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4449" w:rsidRDefault="0090383F">
      <w:pPr>
        <w:widowControl w:val="0"/>
        <w:pBdr>
          <w:top w:val="nil"/>
          <w:left w:val="nil"/>
          <w:bottom w:val="nil"/>
          <w:right w:val="nil"/>
          <w:between w:val="nil"/>
        </w:pBdr>
        <w:spacing w:after="0" w:line="276" w:lineRule="auto"/>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1027" o:spid="_x0000_s1028" type="#_x0000_t136" style="position:absolute;margin-left:0;margin-top:0;width:50pt;height:50pt;z-index:3;visibility:hidden;mso-wrap-distance-left:0;mso-wrap-distance-right:0;mso-position-horizontal-relative:text;mso-position-vertical-relative:text;mso-width-relative:page;mso-height-relative:page">
            <o:lock v:ext="edit" selection="t"/>
          </v:shape>
        </w:pict>
      </w:r>
      <w:r>
        <w:pict>
          <v:shape id="1028" o:spid="_x0000_s1027" type="#_x0000_t136" style="position:absolute;margin-left:0;margin-top:0;width:50pt;height:50pt;z-index:4;visibility:hidden;mso-wrap-distance-left:0;mso-wrap-distance-right:0;mso-position-horizontal-relative:text;mso-position-vertical-relative:text;mso-width-relative:page;mso-height-relative:page">
            <o:lock v:ext="edit" selection="t"/>
          </v:shape>
        </w:pict>
      </w:r>
      <w:r>
        <w:pict>
          <v:shape id="1029" o:spid="_x0000_s1026" type="#_x0000_t136" style="position:absolute;margin-left:0;margin-top:0;width:50pt;height:50pt;z-index:5;visibility:hidden;mso-wrap-distance-left:0;mso-wrap-distance-right:0;mso-position-horizontal-relative:text;mso-position-vertical-relative:text;mso-width-relative:page;mso-height-relative:page">
            <o:lock v:ext="edit" selection="t"/>
          </v:shape>
        </w:pict>
      </w:r>
    </w:p>
    <w:p w:rsidR="00704449" w:rsidRDefault="0090383F">
      <w:pPr>
        <w:pBdr>
          <w:top w:val="nil"/>
          <w:left w:val="nil"/>
          <w:bottom w:val="nil"/>
          <w:right w:val="nil"/>
          <w:between w:val="nil"/>
        </w:pBdr>
        <w:spacing w:after="0" w:line="240" w:lineRule="auto"/>
        <w:jc w:val="right"/>
        <w:rPr>
          <w:rFonts w:ascii="Arial" w:eastAsia="Arial" w:hAnsi="Arial" w:cs="Arial"/>
          <w:b/>
          <w:color w:val="000000"/>
          <w:sz w:val="36"/>
          <w:szCs w:val="36"/>
        </w:rPr>
      </w:pPr>
      <w:r>
        <w:rPr>
          <w:rFonts w:ascii="Arial" w:eastAsia="Arial" w:hAnsi="Arial" w:cs="Arial"/>
          <w:b/>
          <w:color w:val="000000"/>
          <w:sz w:val="36"/>
          <w:szCs w:val="36"/>
        </w:rPr>
        <w:t xml:space="preserve">Acceptance Level of </w:t>
      </w:r>
      <w:r>
        <w:rPr>
          <w:rFonts w:ascii="Arial" w:eastAsia="Arial" w:hAnsi="Arial" w:cs="Arial"/>
          <w:b/>
          <w:sz w:val="36"/>
          <w:szCs w:val="36"/>
        </w:rPr>
        <w:t>Teaching Sex Education among</w:t>
      </w:r>
      <w:r>
        <w:rPr>
          <w:rFonts w:ascii="Arial" w:eastAsia="Arial" w:hAnsi="Arial" w:cs="Arial"/>
          <w:b/>
          <w:color w:val="000000"/>
          <w:sz w:val="36"/>
          <w:szCs w:val="36"/>
        </w:rPr>
        <w:t xml:space="preserve"> Elementary Teachers in Davao del Sur </w:t>
      </w:r>
    </w:p>
    <w:p w:rsidR="00704449" w:rsidRDefault="00704449">
      <w:pPr>
        <w:pBdr>
          <w:top w:val="nil"/>
          <w:left w:val="nil"/>
          <w:bottom w:val="nil"/>
          <w:right w:val="nil"/>
          <w:between w:val="nil"/>
        </w:pBdr>
        <w:spacing w:after="0" w:line="240" w:lineRule="auto"/>
        <w:jc w:val="both"/>
        <w:rPr>
          <w:rFonts w:ascii="Arial" w:eastAsia="Arial" w:hAnsi="Arial" w:cs="Arial"/>
          <w:b/>
          <w:color w:val="000000"/>
          <w:sz w:val="36"/>
          <w:szCs w:val="36"/>
        </w:rPr>
      </w:pPr>
    </w:p>
    <w:p w:rsidR="00704449" w:rsidRDefault="00704449">
      <w:pPr>
        <w:pBdr>
          <w:top w:val="nil"/>
          <w:left w:val="nil"/>
          <w:bottom w:val="nil"/>
          <w:right w:val="nil"/>
          <w:between w:val="nil"/>
        </w:pBdr>
        <w:spacing w:after="0" w:line="240" w:lineRule="auto"/>
        <w:jc w:val="right"/>
        <w:rPr>
          <w:rFonts w:ascii="Arial" w:eastAsia="Arial" w:hAnsi="Arial" w:cs="Arial"/>
          <w:i/>
          <w:color w:val="000000"/>
          <w:sz w:val="16"/>
          <w:szCs w:val="16"/>
        </w:rPr>
      </w:pPr>
    </w:p>
    <w:p w:rsidR="00704449" w:rsidRDefault="0090383F">
      <w:pPr>
        <w:rPr>
          <w:rFonts w:ascii="Arial" w:eastAsia="Arial" w:hAnsi="Arial" w:cs="Arial"/>
        </w:rPr>
      </w:pPr>
      <w:r>
        <w:rPr>
          <w:rFonts w:ascii="Arial" w:eastAsia="Arial" w:hAnsi="Arial" w:cs="Arial"/>
          <w:noProof/>
        </w:rPr>
        <mc:AlternateContent>
          <mc:Choice Requires="wps">
            <w:drawing>
              <wp:inline distT="0" distB="0" distL="0" distR="0">
                <wp:extent cx="635" cy="19050"/>
                <wp:effectExtent l="0" t="0" r="0" b="0"/>
                <wp:docPr id="1030" name="Straight Arrow Connector 1700814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050"/>
                        </a:xfrm>
                        <a:prstGeom prst="straightConnector1">
                          <a:avLst/>
                        </a:prstGeom>
                        <a:ln w="19050" cap="flat" cmpd="sng">
                          <a:solidFill>
                            <a:srgbClr val="000000"/>
                          </a:solidFill>
                          <a:prstDash val="solid"/>
                          <a:round/>
                          <a:headEnd type="none" w="med" len="med"/>
                          <a:tailEnd type="none" w="med" len="med"/>
                        </a:ln>
                      </wps:spPr>
                      <wps:bodyPr/>
                    </wps:wsp>
                  </a:graphicData>
                </a:graphic>
              </wp:inline>
            </w:drawing>
          </mc:Choice>
          <mc:Fallback xmlns:wpsCustomData="http://www.wps.cn/officeDocument/2013/wpsCustomData">
            <w:pict>
              <v:shapetype id="_x0000_t32" coordsize="21600,21600" o:spt="32" o:oned="t" path="m,l21600,21600e">
                <v:path arrowok="t" fillok="f" o:connecttype="none"/>
                <o:lock v:ext="edit" shapetype="t"/>
              </v:shapetype>
              <v:shape id="1030" type="#_x0000_t32" filled="f" style="margin-left:0.0pt;margin-top:0.0pt;width:0.05pt;height:1.5pt;mso-wrap-distance-left:0.0pt;mso-wrap-distance-right:0.0pt;visibility:visible;">
                <w10:anchorlock/>
                <v:stroke weight="1.5pt"/>
                <v:fill rotate="true"/>
              </v:shape>
            </w:pict>
          </mc:Fallback>
        </mc:AlternateContent>
      </w:r>
    </w:p>
    <w:p w:rsidR="00704449" w:rsidRDefault="00220C1F">
      <w:pPr>
        <w:rPr>
          <w:rFonts w:ascii="Arial" w:eastAsia="Arial" w:hAnsi="Arial" w:cs="Arial"/>
          <w:b/>
          <w:sz w:val="22"/>
          <w:szCs w:val="22"/>
        </w:rPr>
      </w:pPr>
      <w:r>
        <w:rPr>
          <w:noProof/>
        </w:rPr>
        <mc:AlternateContent>
          <mc:Choice Requires="wps">
            <w:drawing>
              <wp:anchor distT="0" distB="0" distL="0" distR="0" simplePos="0" relativeHeight="2" behindDoc="0" locked="0" layoutInCell="1" allowOverlap="1">
                <wp:simplePos x="0" y="0"/>
                <wp:positionH relativeFrom="column">
                  <wp:posOffset>0</wp:posOffset>
                </wp:positionH>
                <wp:positionV relativeFrom="paragraph">
                  <wp:posOffset>200304</wp:posOffset>
                </wp:positionV>
                <wp:extent cx="5313045" cy="2772461"/>
                <wp:effectExtent l="0" t="0" r="20955" b="27940"/>
                <wp:wrapNone/>
                <wp:docPr id="1032" name="Rectangle 1700814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3045" cy="2772461"/>
                        </a:xfrm>
                        <a:prstGeom prst="rect">
                          <a:avLst/>
                        </a:prstGeom>
                        <a:solidFill>
                          <a:srgbClr val="E8E8E8"/>
                        </a:solidFill>
                        <a:ln w="9525" cap="flat" cmpd="sng">
                          <a:solidFill>
                            <a:srgbClr val="000000"/>
                          </a:solidFill>
                          <a:prstDash val="solid"/>
                          <a:round/>
                          <a:headEnd type="none" w="sm" len="sm"/>
                          <a:tailEnd type="none" w="sm" len="sm"/>
                        </a:ln>
                      </wps:spPr>
                      <wps:txbx>
                        <w:txbxContent>
                          <w:p w:rsidR="00704449" w:rsidRDefault="0090383F">
                            <w:pPr>
                              <w:spacing w:line="277" w:lineRule="auto"/>
                              <w:jc w:val="both"/>
                              <w:textDirection w:val="btLr"/>
                              <w:rPr>
                                <w:rFonts w:ascii="Arial" w:eastAsia="Arial" w:hAnsi="Arial" w:cs="Arial"/>
                                <w:color w:val="000000"/>
                                <w:sz w:val="20"/>
                              </w:rPr>
                            </w:pPr>
                            <w:r>
                              <w:rPr>
                                <w:rFonts w:ascii="Arial" w:eastAsia="Arial" w:hAnsi="Arial" w:cs="Arial"/>
                                <w:color w:val="000000"/>
                                <w:sz w:val="20"/>
                              </w:rPr>
                              <w:t>Teachers experience conflict in Comprehensive Sex Education (CSE) due to differences between beliefs and cultural background. Teachers frequently struggle to give developmentally appropriate knowledge while navigating the varied cultural beliefs of familie</w:t>
                            </w:r>
                            <w:r>
                              <w:rPr>
                                <w:rFonts w:ascii="Arial" w:eastAsia="Arial" w:hAnsi="Arial" w:cs="Arial"/>
                                <w:color w:val="000000"/>
                                <w:sz w:val="20"/>
                              </w:rPr>
                              <w:t>s, resulting in insufficient or contradictory information. This study aims to determine the level of teachers acceptance in teaching sex education and determined the socio-demographic profile among teachers and it’s significant differences. The participant</w:t>
                            </w:r>
                            <w:r>
                              <w:rPr>
                                <w:rFonts w:ascii="Arial" w:eastAsia="Arial" w:hAnsi="Arial" w:cs="Arial"/>
                                <w:color w:val="000000"/>
                                <w:sz w:val="20"/>
                              </w:rPr>
                              <w:t>s of this study were 150 public elementary teachers in Davao del Sur. This study used the adopted research questionnaire and utilized Kruskall-Wallis H and Mann-Whitney U, to treat the data statistically. The results showed that the overall acceptance leve</w:t>
                            </w:r>
                            <w:r>
                              <w:rPr>
                                <w:rFonts w:ascii="Arial" w:eastAsia="Arial" w:hAnsi="Arial" w:cs="Arial"/>
                                <w:color w:val="000000"/>
                                <w:sz w:val="20"/>
                              </w:rPr>
                              <w:t>l of sex education among teachers was very high across three (3) indicators; approval, job effectiveness and confidence. Also, the acceptance level of teachers in teaching sex education when grouped by age, gender, civil status, and years of teaching, show</w:t>
                            </w:r>
                            <w:r>
                              <w:rPr>
                                <w:rFonts w:ascii="Arial" w:eastAsia="Arial" w:hAnsi="Arial" w:cs="Arial"/>
                                <w:color w:val="000000"/>
                                <w:sz w:val="20"/>
                              </w:rPr>
                              <w:t xml:space="preserve">ed no significant difference. Among all the indicators, </w:t>
                            </w:r>
                            <w:r>
                              <w:rPr>
                                <w:rFonts w:ascii="Arial" w:eastAsia="Arial" w:hAnsi="Arial" w:cs="Arial"/>
                                <w:i/>
                                <w:color w:val="000000"/>
                                <w:sz w:val="20"/>
                              </w:rPr>
                              <w:t xml:space="preserve">confidence </w:t>
                            </w:r>
                            <w:r>
                              <w:rPr>
                                <w:rFonts w:ascii="Arial" w:eastAsia="Arial" w:hAnsi="Arial" w:cs="Arial"/>
                                <w:color w:val="000000"/>
                                <w:sz w:val="20"/>
                              </w:rPr>
                              <w:t>received the lowest mean score out of all the measures. This means that teachers needs more trainings to be more confident in their teaching approach towards the CSE. Additionally, the scho</w:t>
                            </w:r>
                            <w:r>
                              <w:rPr>
                                <w:rFonts w:ascii="Arial" w:eastAsia="Arial" w:hAnsi="Arial" w:cs="Arial"/>
                                <w:color w:val="000000"/>
                                <w:sz w:val="20"/>
                              </w:rPr>
                              <w:t xml:space="preserve">ol administration must </w:t>
                            </w:r>
                            <w:proofErr w:type="gramStart"/>
                            <w:r>
                              <w:rPr>
                                <w:rFonts w:ascii="Arial" w:eastAsia="Arial" w:hAnsi="Arial" w:cs="Arial"/>
                                <w:color w:val="000000"/>
                                <w:sz w:val="20"/>
                              </w:rPr>
                              <w:t>holds</w:t>
                            </w:r>
                            <w:proofErr w:type="gramEnd"/>
                            <w:r>
                              <w:rPr>
                                <w:rFonts w:ascii="Arial" w:eastAsia="Arial" w:hAnsi="Arial" w:cs="Arial"/>
                                <w:color w:val="000000"/>
                                <w:sz w:val="20"/>
                              </w:rPr>
                              <w:t xml:space="preserve"> workshops and seminars to boost teachers' confidence in teaching sex education.</w:t>
                            </w:r>
                          </w:p>
                          <w:p w:rsidR="00220C1F" w:rsidRDefault="00220C1F">
                            <w:pPr>
                              <w:spacing w:line="277" w:lineRule="auto"/>
                              <w:jc w:val="both"/>
                              <w:textDirection w:val="btLr"/>
                            </w:pPr>
                          </w:p>
                        </w:txbxContent>
                      </wps:txbx>
                      <wps:bodyPr wrap="square" lIns="91425" tIns="45700" rIns="91425" bIns="45700" anchor="t">
                        <a:prstTxWarp prst="textNoShape">
                          <a:avLst/>
                        </a:prstTxWarp>
                        <a:noAutofit/>
                      </wps:bodyPr>
                    </wps:wsp>
                  </a:graphicData>
                </a:graphic>
                <wp14:sizeRelV relativeFrom="margin">
                  <wp14:pctHeight>0</wp14:pctHeight>
                </wp14:sizeRelV>
              </wp:anchor>
            </w:drawing>
          </mc:Choice>
          <mc:Fallback>
            <w:pict>
              <v:rect id="Rectangle 1700814323" o:spid="_x0000_s1026" style="position:absolute;margin-left:0;margin-top:15.75pt;width:418.35pt;height:218.3pt;z-index:2;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" fillcolor="#e8e8e8">
                <v:stroke startarrowwidth="narrow" startarrowlength="short" endarrowwidth="narrow" endarrowlength="short" joinstyle="round"/>
                <v:path arrowok="t"/>
                <v:textbox inset="2.53958mm,1.2694mm,2.53958mm,1.2694mm">
                  <w:txbxContent>
                    <w:p w:rsidR="00704449" w:rsidRDefault="0090383F">
                      <w:pPr>
                        <w:spacing w:line="277" w:lineRule="auto"/>
                        <w:jc w:val="both"/>
                        <w:textDirection w:val="btLr"/>
                        <w:rPr>
                          <w:rFonts w:ascii="Arial" w:eastAsia="Arial" w:hAnsi="Arial" w:cs="Arial"/>
                          <w:color w:val="000000"/>
                          <w:sz w:val="20"/>
                        </w:rPr>
                      </w:pPr>
                      <w:r>
                        <w:rPr>
                          <w:rFonts w:ascii="Arial" w:eastAsia="Arial" w:hAnsi="Arial" w:cs="Arial"/>
                          <w:color w:val="000000"/>
                          <w:sz w:val="20"/>
                        </w:rPr>
                        <w:t>Teachers experience conflict in Comprehensive Sex Education (CSE) due to differences between beliefs and cultural background. Teachers frequently struggle to give developmentally appropriate knowledge while navigating the varied cultural beliefs of familie</w:t>
                      </w:r>
                      <w:r>
                        <w:rPr>
                          <w:rFonts w:ascii="Arial" w:eastAsia="Arial" w:hAnsi="Arial" w:cs="Arial"/>
                          <w:color w:val="000000"/>
                          <w:sz w:val="20"/>
                        </w:rPr>
                        <w:t>s, resulting in insufficient or contradictory information. This study aims to determine the level of teachers acceptance in teaching sex education and determined the socio-demographic profile among teachers and it’s significant differences. The participant</w:t>
                      </w:r>
                      <w:r>
                        <w:rPr>
                          <w:rFonts w:ascii="Arial" w:eastAsia="Arial" w:hAnsi="Arial" w:cs="Arial"/>
                          <w:color w:val="000000"/>
                          <w:sz w:val="20"/>
                        </w:rPr>
                        <w:t>s of this study were 150 public elementary teachers in Davao del Sur. This study used the adopted research questionnaire and utilized Kruskall-Wallis H and Mann-Whitney U, to treat the data statistically. The results showed that the overall acceptance leve</w:t>
                      </w:r>
                      <w:r>
                        <w:rPr>
                          <w:rFonts w:ascii="Arial" w:eastAsia="Arial" w:hAnsi="Arial" w:cs="Arial"/>
                          <w:color w:val="000000"/>
                          <w:sz w:val="20"/>
                        </w:rPr>
                        <w:t>l of sex education among teachers was very high across three (3) indicators; approval, job effectiveness and confidence. Also, the acceptance level of teachers in teaching sex education when grouped by age, gender, civil status, and years of teaching, show</w:t>
                      </w:r>
                      <w:r>
                        <w:rPr>
                          <w:rFonts w:ascii="Arial" w:eastAsia="Arial" w:hAnsi="Arial" w:cs="Arial"/>
                          <w:color w:val="000000"/>
                          <w:sz w:val="20"/>
                        </w:rPr>
                        <w:t xml:space="preserve">ed no significant difference. Among all the indicators, </w:t>
                      </w:r>
                      <w:r>
                        <w:rPr>
                          <w:rFonts w:ascii="Arial" w:eastAsia="Arial" w:hAnsi="Arial" w:cs="Arial"/>
                          <w:i/>
                          <w:color w:val="000000"/>
                          <w:sz w:val="20"/>
                        </w:rPr>
                        <w:t xml:space="preserve">confidence </w:t>
                      </w:r>
                      <w:r>
                        <w:rPr>
                          <w:rFonts w:ascii="Arial" w:eastAsia="Arial" w:hAnsi="Arial" w:cs="Arial"/>
                          <w:color w:val="000000"/>
                          <w:sz w:val="20"/>
                        </w:rPr>
                        <w:t>received the lowest mean score out of all the measures. This means that teachers needs more trainings to be more confident in their teaching approach towards the CSE. Additionally, the scho</w:t>
                      </w:r>
                      <w:r>
                        <w:rPr>
                          <w:rFonts w:ascii="Arial" w:eastAsia="Arial" w:hAnsi="Arial" w:cs="Arial"/>
                          <w:color w:val="000000"/>
                          <w:sz w:val="20"/>
                        </w:rPr>
                        <w:t xml:space="preserve">ol administration must </w:t>
                      </w:r>
                      <w:proofErr w:type="gramStart"/>
                      <w:r>
                        <w:rPr>
                          <w:rFonts w:ascii="Arial" w:eastAsia="Arial" w:hAnsi="Arial" w:cs="Arial"/>
                          <w:color w:val="000000"/>
                          <w:sz w:val="20"/>
                        </w:rPr>
                        <w:t>holds</w:t>
                      </w:r>
                      <w:proofErr w:type="gramEnd"/>
                      <w:r>
                        <w:rPr>
                          <w:rFonts w:ascii="Arial" w:eastAsia="Arial" w:hAnsi="Arial" w:cs="Arial"/>
                          <w:color w:val="000000"/>
                          <w:sz w:val="20"/>
                        </w:rPr>
                        <w:t xml:space="preserve"> workshops and seminars to boost teachers' confidence in teaching sex education.</w:t>
                      </w:r>
                    </w:p>
                    <w:p w:rsidR="00220C1F" w:rsidRDefault="00220C1F">
                      <w:pPr>
                        <w:spacing w:line="277" w:lineRule="auto"/>
                        <w:jc w:val="both"/>
                        <w:textDirection w:val="btLr"/>
                      </w:pPr>
                    </w:p>
                  </w:txbxContent>
                </v:textbox>
              </v:rect>
            </w:pict>
          </mc:Fallback>
        </mc:AlternateContent>
      </w:r>
      <w:r w:rsidR="0090383F">
        <w:rPr>
          <w:rFonts w:ascii="Arial" w:eastAsia="Arial" w:hAnsi="Arial" w:cs="Arial"/>
          <w:b/>
          <w:sz w:val="22"/>
          <w:szCs w:val="22"/>
        </w:rPr>
        <w:t>ABSTRACT</w:t>
      </w:r>
    </w:p>
    <w:p w:rsidR="00704449" w:rsidRDefault="00704449">
      <w:pPr>
        <w:widowControl w:val="0"/>
        <w:pBdr>
          <w:top w:val="nil"/>
          <w:left w:val="nil"/>
          <w:bottom w:val="nil"/>
          <w:right w:val="nil"/>
          <w:between w:val="nil"/>
        </w:pBdr>
        <w:spacing w:after="0" w:line="240" w:lineRule="auto"/>
        <w:ind w:right="-158"/>
        <w:jc w:val="both"/>
        <w:rPr>
          <w:rFonts w:ascii="Arial" w:eastAsia="Arial" w:hAnsi="Arial" w:cs="Arial"/>
          <w:b/>
          <w:color w:val="000000"/>
          <w:sz w:val="20"/>
          <w:szCs w:val="20"/>
        </w:rPr>
      </w:pPr>
    </w:p>
    <w:p w:rsidR="00704449" w:rsidRDefault="00704449">
      <w:pPr>
        <w:widowControl w:val="0"/>
        <w:pBdr>
          <w:top w:val="nil"/>
          <w:left w:val="nil"/>
          <w:bottom w:val="nil"/>
          <w:right w:val="nil"/>
          <w:between w:val="nil"/>
        </w:pBdr>
        <w:spacing w:after="0" w:line="240" w:lineRule="auto"/>
        <w:ind w:right="-158"/>
        <w:jc w:val="both"/>
        <w:rPr>
          <w:rFonts w:ascii="Arial" w:eastAsia="Arial" w:hAnsi="Arial" w:cs="Arial"/>
          <w:b/>
          <w:color w:val="000000"/>
          <w:sz w:val="20"/>
          <w:szCs w:val="20"/>
        </w:rPr>
      </w:pPr>
    </w:p>
    <w:p w:rsidR="00704449" w:rsidRDefault="00704449">
      <w:pPr>
        <w:widowControl w:val="0"/>
        <w:pBdr>
          <w:top w:val="nil"/>
          <w:left w:val="nil"/>
          <w:bottom w:val="nil"/>
          <w:right w:val="nil"/>
          <w:between w:val="nil"/>
        </w:pBdr>
        <w:spacing w:after="0" w:line="240" w:lineRule="auto"/>
        <w:ind w:right="-158"/>
        <w:jc w:val="both"/>
        <w:rPr>
          <w:rFonts w:ascii="Arial" w:eastAsia="Arial" w:hAnsi="Arial" w:cs="Arial"/>
          <w:b/>
          <w:color w:val="000000"/>
          <w:sz w:val="20"/>
          <w:szCs w:val="20"/>
        </w:rPr>
      </w:pPr>
    </w:p>
    <w:p w:rsidR="00704449" w:rsidRDefault="00704449">
      <w:pPr>
        <w:widowControl w:val="0"/>
        <w:pBdr>
          <w:top w:val="nil"/>
          <w:left w:val="nil"/>
          <w:bottom w:val="nil"/>
          <w:right w:val="nil"/>
          <w:between w:val="nil"/>
        </w:pBdr>
        <w:spacing w:after="0" w:line="240" w:lineRule="auto"/>
        <w:ind w:right="-158"/>
        <w:jc w:val="both"/>
        <w:rPr>
          <w:rFonts w:ascii="Arial" w:eastAsia="Arial" w:hAnsi="Arial" w:cs="Arial"/>
          <w:b/>
          <w:color w:val="000000"/>
          <w:sz w:val="20"/>
          <w:szCs w:val="20"/>
        </w:rPr>
      </w:pPr>
    </w:p>
    <w:p w:rsidR="00704449" w:rsidRDefault="00704449">
      <w:pPr>
        <w:widowControl w:val="0"/>
        <w:pBdr>
          <w:top w:val="nil"/>
          <w:left w:val="nil"/>
          <w:bottom w:val="nil"/>
          <w:right w:val="nil"/>
          <w:between w:val="nil"/>
        </w:pBdr>
        <w:spacing w:after="0" w:line="240" w:lineRule="auto"/>
        <w:ind w:right="-158"/>
        <w:jc w:val="both"/>
        <w:rPr>
          <w:rFonts w:ascii="Arial" w:eastAsia="Arial" w:hAnsi="Arial" w:cs="Arial"/>
          <w:b/>
          <w:color w:val="000000"/>
          <w:sz w:val="20"/>
          <w:szCs w:val="20"/>
        </w:rPr>
      </w:pPr>
    </w:p>
    <w:p w:rsidR="00704449" w:rsidRDefault="00704449">
      <w:pPr>
        <w:widowControl w:val="0"/>
        <w:pBdr>
          <w:top w:val="nil"/>
          <w:left w:val="nil"/>
          <w:bottom w:val="nil"/>
          <w:right w:val="nil"/>
          <w:between w:val="nil"/>
        </w:pBdr>
        <w:spacing w:after="0" w:line="240" w:lineRule="auto"/>
        <w:ind w:right="-158"/>
        <w:jc w:val="both"/>
        <w:rPr>
          <w:rFonts w:ascii="Arial" w:eastAsia="Arial" w:hAnsi="Arial" w:cs="Arial"/>
          <w:b/>
          <w:color w:val="000000"/>
          <w:sz w:val="20"/>
          <w:szCs w:val="20"/>
        </w:rPr>
      </w:pPr>
    </w:p>
    <w:p w:rsidR="00704449" w:rsidRDefault="00704449">
      <w:pPr>
        <w:widowControl w:val="0"/>
        <w:pBdr>
          <w:top w:val="nil"/>
          <w:left w:val="nil"/>
          <w:bottom w:val="nil"/>
          <w:right w:val="nil"/>
          <w:between w:val="nil"/>
        </w:pBdr>
        <w:spacing w:after="0" w:line="240" w:lineRule="auto"/>
        <w:ind w:right="-158"/>
        <w:jc w:val="both"/>
        <w:rPr>
          <w:rFonts w:ascii="Arial" w:eastAsia="Arial" w:hAnsi="Arial" w:cs="Arial"/>
          <w:b/>
          <w:color w:val="000000"/>
          <w:sz w:val="20"/>
          <w:szCs w:val="20"/>
        </w:rPr>
      </w:pPr>
    </w:p>
    <w:p w:rsidR="00704449" w:rsidRDefault="00704449">
      <w:pPr>
        <w:widowControl w:val="0"/>
        <w:pBdr>
          <w:top w:val="nil"/>
          <w:left w:val="nil"/>
          <w:bottom w:val="nil"/>
          <w:right w:val="nil"/>
          <w:between w:val="nil"/>
        </w:pBdr>
        <w:spacing w:after="0" w:line="240" w:lineRule="auto"/>
        <w:ind w:right="-158"/>
        <w:jc w:val="both"/>
        <w:rPr>
          <w:rFonts w:ascii="Arial" w:eastAsia="Arial" w:hAnsi="Arial" w:cs="Arial"/>
          <w:b/>
          <w:color w:val="000000"/>
          <w:sz w:val="20"/>
          <w:szCs w:val="20"/>
        </w:rPr>
      </w:pPr>
    </w:p>
    <w:p w:rsidR="00704449" w:rsidRDefault="00704449">
      <w:pPr>
        <w:widowControl w:val="0"/>
        <w:pBdr>
          <w:top w:val="nil"/>
          <w:left w:val="nil"/>
          <w:bottom w:val="nil"/>
          <w:right w:val="nil"/>
          <w:between w:val="nil"/>
        </w:pBdr>
        <w:spacing w:after="0" w:line="240" w:lineRule="auto"/>
        <w:ind w:right="-158"/>
        <w:jc w:val="both"/>
        <w:rPr>
          <w:rFonts w:ascii="Arial" w:eastAsia="Arial" w:hAnsi="Arial" w:cs="Arial"/>
          <w:b/>
          <w:color w:val="000000"/>
          <w:sz w:val="20"/>
          <w:szCs w:val="20"/>
        </w:rPr>
      </w:pPr>
    </w:p>
    <w:p w:rsidR="00704449" w:rsidRDefault="0090383F">
      <w:pPr>
        <w:widowControl w:val="0"/>
        <w:pBdr>
          <w:top w:val="nil"/>
          <w:left w:val="nil"/>
          <w:bottom w:val="nil"/>
          <w:right w:val="nil"/>
          <w:between w:val="nil"/>
        </w:pBdr>
        <w:spacing w:after="0" w:line="240" w:lineRule="auto"/>
        <w:ind w:right="-158"/>
        <w:jc w:val="both"/>
        <w:rPr>
          <w:rFonts w:ascii="Arial" w:eastAsia="Arial" w:hAnsi="Arial" w:cs="Arial"/>
          <w:color w:val="000000"/>
          <w:sz w:val="20"/>
          <w:szCs w:val="20"/>
        </w:rPr>
      </w:pPr>
      <w:r>
        <w:rPr>
          <w:rFonts w:ascii="Arial" w:eastAsia="Arial" w:hAnsi="Arial" w:cs="Arial"/>
          <w:color w:val="000000"/>
          <w:sz w:val="20"/>
          <w:szCs w:val="20"/>
        </w:rPr>
        <w:t>.</w:t>
      </w:r>
    </w:p>
    <w:p w:rsidR="00704449" w:rsidRDefault="00704449">
      <w:pPr>
        <w:widowControl w:val="0"/>
        <w:pBdr>
          <w:top w:val="nil"/>
          <w:left w:val="nil"/>
          <w:bottom w:val="nil"/>
          <w:right w:val="nil"/>
          <w:between w:val="nil"/>
        </w:pBdr>
        <w:spacing w:after="0" w:line="240" w:lineRule="auto"/>
        <w:ind w:right="-158"/>
        <w:jc w:val="both"/>
        <w:rPr>
          <w:rFonts w:ascii="Arial" w:eastAsia="Arial" w:hAnsi="Arial" w:cs="Arial"/>
          <w:color w:val="000000"/>
          <w:sz w:val="20"/>
          <w:szCs w:val="20"/>
        </w:rPr>
      </w:pPr>
    </w:p>
    <w:p w:rsidR="00704449" w:rsidRDefault="00704449">
      <w:pPr>
        <w:widowControl w:val="0"/>
        <w:pBdr>
          <w:top w:val="nil"/>
          <w:left w:val="nil"/>
          <w:bottom w:val="nil"/>
          <w:right w:val="nil"/>
          <w:between w:val="nil"/>
        </w:pBdr>
        <w:spacing w:after="0" w:line="240" w:lineRule="auto"/>
        <w:ind w:right="-158"/>
        <w:jc w:val="both"/>
        <w:rPr>
          <w:rFonts w:ascii="Arial" w:eastAsia="Arial" w:hAnsi="Arial" w:cs="Arial"/>
          <w:color w:val="000000"/>
          <w:sz w:val="20"/>
          <w:szCs w:val="20"/>
        </w:rPr>
      </w:pPr>
    </w:p>
    <w:p w:rsidR="00704449" w:rsidRDefault="00704449">
      <w:pPr>
        <w:spacing w:line="240" w:lineRule="auto"/>
        <w:ind w:right="-158"/>
        <w:jc w:val="both"/>
        <w:rPr>
          <w:rFonts w:ascii="Arial" w:eastAsia="Arial" w:hAnsi="Arial" w:cs="Arial"/>
          <w:sz w:val="20"/>
          <w:szCs w:val="20"/>
        </w:rPr>
      </w:pPr>
    </w:p>
    <w:p w:rsidR="00704449" w:rsidRDefault="00704449">
      <w:pPr>
        <w:spacing w:line="240" w:lineRule="auto"/>
        <w:ind w:right="-158"/>
        <w:jc w:val="both"/>
        <w:rPr>
          <w:rFonts w:ascii="Arial" w:eastAsia="Arial" w:hAnsi="Arial" w:cs="Arial"/>
          <w:sz w:val="20"/>
          <w:szCs w:val="20"/>
        </w:rPr>
      </w:pPr>
    </w:p>
    <w:p w:rsidR="00704449" w:rsidRDefault="00704449">
      <w:pPr>
        <w:spacing w:line="240" w:lineRule="auto"/>
        <w:ind w:right="-158"/>
        <w:jc w:val="both"/>
        <w:rPr>
          <w:rFonts w:ascii="Arial" w:eastAsia="Arial" w:hAnsi="Arial" w:cs="Arial"/>
          <w:sz w:val="20"/>
          <w:szCs w:val="20"/>
        </w:rPr>
      </w:pPr>
    </w:p>
    <w:p w:rsidR="00704449" w:rsidRDefault="00704449">
      <w:pPr>
        <w:spacing w:line="240" w:lineRule="auto"/>
        <w:ind w:right="-158"/>
        <w:jc w:val="both"/>
        <w:rPr>
          <w:rFonts w:ascii="Arial" w:eastAsia="Arial" w:hAnsi="Arial" w:cs="Arial"/>
          <w:sz w:val="20"/>
          <w:szCs w:val="20"/>
        </w:rPr>
      </w:pPr>
    </w:p>
    <w:p w:rsidR="00704449" w:rsidRDefault="0090383F">
      <w:pPr>
        <w:pBdr>
          <w:top w:val="nil"/>
          <w:left w:val="nil"/>
          <w:bottom w:val="nil"/>
          <w:right w:val="nil"/>
          <w:between w:val="nil"/>
        </w:pBdr>
        <w:spacing w:after="0" w:line="240" w:lineRule="auto"/>
        <w:rPr>
          <w:rFonts w:ascii="Arial" w:eastAsia="Arial" w:hAnsi="Arial" w:cs="Arial"/>
          <w:i/>
          <w:color w:val="000000"/>
          <w:sz w:val="20"/>
          <w:szCs w:val="20"/>
        </w:rPr>
      </w:pPr>
      <w:r>
        <w:rPr>
          <w:rFonts w:ascii="Arial" w:eastAsia="Arial" w:hAnsi="Arial" w:cs="Arial"/>
          <w:i/>
          <w:color w:val="000000"/>
          <w:sz w:val="20"/>
          <w:szCs w:val="20"/>
        </w:rPr>
        <w:t>Keywords: sex education, descriptive statistics, comprehensive sex education (CSE)</w:t>
      </w:r>
    </w:p>
    <w:p w:rsidR="00704449" w:rsidRDefault="0090383F">
      <w:pPr>
        <w:pBdr>
          <w:top w:val="nil"/>
          <w:left w:val="nil"/>
          <w:bottom w:val="nil"/>
          <w:right w:val="nil"/>
          <w:between w:val="nil"/>
        </w:pBdr>
        <w:spacing w:after="0" w:line="240" w:lineRule="auto"/>
        <w:rPr>
          <w:rFonts w:ascii="Arial" w:eastAsia="Arial" w:hAnsi="Arial" w:cs="Arial"/>
          <w:i/>
          <w:color w:val="000000"/>
          <w:sz w:val="20"/>
          <w:szCs w:val="20"/>
        </w:rPr>
      </w:pPr>
      <w:r>
        <w:rPr>
          <w:rFonts w:ascii="Arial" w:eastAsia="Arial" w:hAnsi="Arial" w:cs="Arial"/>
          <w:i/>
          <w:color w:val="000000"/>
          <w:sz w:val="20"/>
          <w:szCs w:val="20"/>
        </w:rPr>
        <w:t>SGD Thrust: Quality Education, Good Health and</w:t>
      </w:r>
      <w:r>
        <w:rPr>
          <w:rFonts w:ascii="Arial" w:eastAsia="Arial" w:hAnsi="Arial" w:cs="Arial"/>
          <w:i/>
          <w:color w:val="000000"/>
          <w:sz w:val="20"/>
          <w:szCs w:val="20"/>
        </w:rPr>
        <w:t xml:space="preserve"> Well-Being</w:t>
      </w:r>
    </w:p>
    <w:p w:rsidR="00704449" w:rsidRDefault="00704449">
      <w:pPr>
        <w:pBdr>
          <w:top w:val="nil"/>
          <w:left w:val="nil"/>
          <w:bottom w:val="nil"/>
          <w:right w:val="nil"/>
          <w:between w:val="nil"/>
        </w:pBdr>
        <w:spacing w:after="0" w:line="240" w:lineRule="auto"/>
        <w:rPr>
          <w:rFonts w:ascii="Arial" w:eastAsia="Arial" w:hAnsi="Arial" w:cs="Arial"/>
          <w:color w:val="000000"/>
          <w:sz w:val="20"/>
          <w:szCs w:val="20"/>
        </w:rPr>
      </w:pPr>
    </w:p>
    <w:p w:rsidR="00704449" w:rsidRDefault="00704449">
      <w:pPr>
        <w:pBdr>
          <w:top w:val="nil"/>
          <w:left w:val="nil"/>
          <w:bottom w:val="nil"/>
          <w:right w:val="nil"/>
          <w:between w:val="nil"/>
        </w:pBdr>
        <w:spacing w:after="0" w:line="240" w:lineRule="auto"/>
        <w:rPr>
          <w:rFonts w:ascii="Arial" w:eastAsia="Arial" w:hAnsi="Arial" w:cs="Arial"/>
          <w:color w:val="000000"/>
          <w:sz w:val="20"/>
          <w:szCs w:val="20"/>
        </w:rPr>
        <w:sectPr w:rsidR="00704449">
          <w:headerReference w:type="even" r:id="rId8"/>
          <w:headerReference w:type="default" r:id="rId9"/>
          <w:footerReference w:type="even" r:id="rId10"/>
          <w:footerReference w:type="default" r:id="rId11"/>
          <w:headerReference w:type="first" r:id="rId12"/>
          <w:pgSz w:w="12240" w:h="15840"/>
          <w:pgMar w:top="1440" w:right="2016" w:bottom="2016" w:left="2016" w:header="706" w:footer="706" w:gutter="0"/>
          <w:pgNumType w:start="1"/>
          <w:cols w:space="720"/>
        </w:sectPr>
      </w:pPr>
    </w:p>
    <w:p w:rsidR="00220C1F" w:rsidRDefault="00220C1F">
      <w:pPr>
        <w:pBdr>
          <w:top w:val="nil"/>
          <w:left w:val="nil"/>
          <w:bottom w:val="nil"/>
          <w:right w:val="nil"/>
          <w:between w:val="nil"/>
        </w:pBdr>
        <w:spacing w:after="0" w:line="240" w:lineRule="auto"/>
        <w:rPr>
          <w:rFonts w:ascii="Arial" w:eastAsia="Arial" w:hAnsi="Arial" w:cs="Arial"/>
          <w:b/>
          <w:color w:val="000000"/>
          <w:sz w:val="22"/>
          <w:szCs w:val="22"/>
        </w:rPr>
      </w:pPr>
      <w:bookmarkStart w:id="0" w:name="_heading=h.q4zzudygls8c" w:colFirst="0" w:colLast="0"/>
      <w:bookmarkEnd w:id="0"/>
    </w:p>
    <w:p w:rsidR="00704449" w:rsidRDefault="0090383F">
      <w:pPr>
        <w:pBdr>
          <w:top w:val="nil"/>
          <w:left w:val="nil"/>
          <w:bottom w:val="nil"/>
          <w:right w:val="nil"/>
          <w:between w:val="nil"/>
        </w:pBdr>
        <w:spacing w:after="0" w:line="240" w:lineRule="auto"/>
        <w:rPr>
          <w:rFonts w:ascii="Arial" w:eastAsia="Arial" w:hAnsi="Arial" w:cs="Arial"/>
          <w:b/>
          <w:color w:val="000000"/>
          <w:sz w:val="22"/>
          <w:szCs w:val="22"/>
        </w:rPr>
      </w:pPr>
      <w:r>
        <w:rPr>
          <w:rFonts w:ascii="Arial" w:eastAsia="Arial" w:hAnsi="Arial" w:cs="Arial"/>
          <w:b/>
          <w:color w:val="000000"/>
          <w:sz w:val="22"/>
          <w:szCs w:val="22"/>
        </w:rPr>
        <w:t>1. INTRODUCTION</w:t>
      </w:r>
      <w:bookmarkStart w:id="1" w:name="bookmark=id.2na4tb8422t9" w:colFirst="0" w:colLast="0"/>
      <w:bookmarkEnd w:id="1"/>
    </w:p>
    <w:p w:rsidR="00704449" w:rsidRDefault="00704449">
      <w:pPr>
        <w:pBdr>
          <w:top w:val="nil"/>
          <w:left w:val="nil"/>
          <w:bottom w:val="nil"/>
          <w:right w:val="nil"/>
          <w:between w:val="nil"/>
        </w:pBdr>
        <w:spacing w:after="0" w:line="240" w:lineRule="auto"/>
        <w:rPr>
          <w:rFonts w:ascii="Arial" w:eastAsia="Arial" w:hAnsi="Arial" w:cs="Arial"/>
          <w:color w:val="000000"/>
          <w:sz w:val="20"/>
          <w:szCs w:val="20"/>
          <w:highlight w:val="white"/>
        </w:rPr>
      </w:pPr>
    </w:p>
    <w:p w:rsidR="00704449" w:rsidRDefault="0090383F">
      <w:pPr>
        <w:pBdr>
          <w:top w:val="nil"/>
          <w:left w:val="nil"/>
          <w:bottom w:val="nil"/>
          <w:right w:val="nil"/>
          <w:between w:val="nil"/>
        </w:pBdr>
        <w:spacing w:after="0" w:line="240" w:lineRule="auto"/>
        <w:ind w:right="-120"/>
        <w:jc w:val="both"/>
        <w:rPr>
          <w:rFonts w:ascii="Arial" w:eastAsia="Arial" w:hAnsi="Arial" w:cs="Arial"/>
          <w:color w:val="000000"/>
          <w:sz w:val="20"/>
          <w:szCs w:val="20"/>
        </w:rPr>
      </w:pPr>
      <w:r>
        <w:rPr>
          <w:rFonts w:ascii="Arial" w:eastAsia="Arial" w:hAnsi="Arial" w:cs="Arial"/>
          <w:color w:val="000000"/>
          <w:sz w:val="20"/>
          <w:szCs w:val="20"/>
          <w:highlight w:val="white"/>
        </w:rPr>
        <w:t xml:space="preserve">Teachers experience conflict in Comprehensive Sexuality Education (CSE) </w:t>
      </w:r>
      <w:r>
        <w:rPr>
          <w:rFonts w:ascii="Arial" w:eastAsia="Arial" w:hAnsi="Arial" w:cs="Arial"/>
          <w:color w:val="000000"/>
          <w:sz w:val="20"/>
          <w:szCs w:val="20"/>
        </w:rPr>
        <w:t xml:space="preserve">due to differences between beliefs and cultural backgrounds </w:t>
      </w:r>
      <w:r>
        <w:rPr>
          <w:rFonts w:ascii="Arial" w:eastAsia="Arial" w:hAnsi="Arial" w:cs="Arial"/>
          <w:color w:val="000000"/>
          <w:sz w:val="20"/>
          <w:szCs w:val="20"/>
          <w:highlight w:val="white"/>
        </w:rPr>
        <w:t>[1]. Lack of direction on how to teach the curriculum was linked to teachers' decisions regarding the CSE program, particularly about integrating sex education into existing subjects [2].</w:t>
      </w:r>
      <w:r>
        <w:t xml:space="preserve"> </w:t>
      </w:r>
      <w:r>
        <w:rPr>
          <w:rFonts w:ascii="Arial" w:eastAsia="Arial" w:hAnsi="Arial" w:cs="Arial"/>
          <w:color w:val="000000"/>
          <w:sz w:val="20"/>
          <w:szCs w:val="20"/>
        </w:rPr>
        <w:t>Due to t</w:t>
      </w:r>
      <w:r>
        <w:rPr>
          <w:rFonts w:ascii="Arial" w:eastAsia="Arial" w:hAnsi="Arial" w:cs="Arial"/>
          <w:color w:val="000000"/>
          <w:sz w:val="20"/>
          <w:szCs w:val="20"/>
        </w:rPr>
        <w:t xml:space="preserve">he absence of related studies, it highlights the fact that Filipino governing cultures and practices may have a significant impact. </w:t>
      </w:r>
      <w:r>
        <w:rPr>
          <w:rFonts w:ascii="Arial" w:eastAsia="Arial" w:hAnsi="Arial" w:cs="Arial"/>
          <w:color w:val="000000"/>
          <w:sz w:val="20"/>
          <w:szCs w:val="20"/>
          <w:highlight w:val="white"/>
        </w:rPr>
        <w:t>It is concluded that despite initiatives to put in place a thorough strategy for sexuality teaching that acknowledges sexual</w:t>
      </w:r>
      <w:r>
        <w:rPr>
          <w:rFonts w:ascii="Arial" w:eastAsia="Arial" w:hAnsi="Arial" w:cs="Arial"/>
          <w:color w:val="000000"/>
          <w:sz w:val="20"/>
          <w:szCs w:val="20"/>
          <w:highlight w:val="white"/>
        </w:rPr>
        <w:t>ity as a human right [3]</w:t>
      </w:r>
      <w:r>
        <w:rPr>
          <w:rFonts w:ascii="Arial" w:eastAsia="Arial" w:hAnsi="Arial" w:cs="Arial"/>
          <w:sz w:val="20"/>
          <w:szCs w:val="20"/>
          <w:highlight w:val="white"/>
        </w:rPr>
        <w:t>. Moreover, primary</w:t>
      </w:r>
      <w:r>
        <w:rPr>
          <w:rFonts w:ascii="Arial" w:eastAsia="Arial" w:hAnsi="Arial" w:cs="Arial"/>
          <w:color w:val="000000"/>
          <w:sz w:val="20"/>
          <w:szCs w:val="20"/>
          <w:highlight w:val="white"/>
        </w:rPr>
        <w:t xml:space="preserve"> school teachers still encounter challenges in delivering sex education in schools as a </w:t>
      </w:r>
      <w:r>
        <w:rPr>
          <w:rFonts w:ascii="Arial" w:eastAsia="Arial" w:hAnsi="Arial" w:cs="Arial"/>
          <w:color w:val="000000"/>
          <w:sz w:val="20"/>
          <w:szCs w:val="20"/>
          <w:highlight w:val="white"/>
        </w:rPr>
        <w:t>result of inadequate training and concerns that parents prohibit their kids from learning about and having conversations abou</w:t>
      </w:r>
      <w:r>
        <w:rPr>
          <w:rFonts w:ascii="Arial" w:eastAsia="Arial" w:hAnsi="Arial" w:cs="Arial"/>
          <w:color w:val="000000"/>
          <w:sz w:val="20"/>
          <w:szCs w:val="20"/>
          <w:highlight w:val="white"/>
        </w:rPr>
        <w:t>t sexuality.</w:t>
      </w:r>
      <w:r>
        <w:rPr>
          <w:rFonts w:ascii="Arial" w:eastAsia="Arial" w:hAnsi="Arial" w:cs="Arial"/>
          <w:sz w:val="20"/>
          <w:szCs w:val="20"/>
          <w:highlight w:val="white"/>
        </w:rPr>
        <w:t xml:space="preserve"> </w:t>
      </w:r>
      <w:r>
        <w:rPr>
          <w:rFonts w:ascii="Arial" w:eastAsia="Arial" w:hAnsi="Arial" w:cs="Arial"/>
          <w:color w:val="000000"/>
          <w:sz w:val="20"/>
          <w:szCs w:val="20"/>
          <w:highlight w:val="white"/>
        </w:rPr>
        <w:t>Zhuravleva and Helmer [4] on including sex education regardless of their academic environment or personal background, many require greater confidence or comfort to impart it adequately. The rising use of sex education or CSE in educational con</w:t>
      </w:r>
      <w:r>
        <w:rPr>
          <w:rFonts w:ascii="Arial" w:eastAsia="Arial" w:hAnsi="Arial" w:cs="Arial"/>
          <w:color w:val="000000"/>
          <w:sz w:val="20"/>
          <w:szCs w:val="20"/>
          <w:highlight w:val="white"/>
        </w:rPr>
        <w:t xml:space="preserve">texts [5] necessitates bettering student teachers' readiness for dealing with sex education through teacher education. </w:t>
      </w:r>
    </w:p>
    <w:p w:rsidR="00704449" w:rsidRDefault="00704449">
      <w:pPr>
        <w:pBdr>
          <w:top w:val="nil"/>
          <w:left w:val="nil"/>
          <w:bottom w:val="nil"/>
          <w:right w:val="nil"/>
          <w:between w:val="nil"/>
        </w:pBdr>
        <w:spacing w:after="0" w:line="240" w:lineRule="auto"/>
        <w:jc w:val="both"/>
        <w:rPr>
          <w:rFonts w:ascii="Arial" w:eastAsia="Arial" w:hAnsi="Arial" w:cs="Arial"/>
          <w:b/>
          <w:color w:val="000000"/>
          <w:sz w:val="22"/>
          <w:szCs w:val="22"/>
        </w:rPr>
      </w:pPr>
    </w:p>
    <w:p w:rsidR="00704449" w:rsidRDefault="0090383F">
      <w:pPr>
        <w:spacing w:after="0" w:line="240" w:lineRule="auto"/>
        <w:jc w:val="both"/>
        <w:rPr>
          <w:rFonts w:ascii="Arial" w:eastAsia="Arial" w:hAnsi="Arial" w:cs="Arial"/>
          <w:sz w:val="20"/>
          <w:szCs w:val="20"/>
          <w:highlight w:val="white"/>
        </w:rPr>
      </w:pPr>
      <w:r>
        <w:rPr>
          <w:rFonts w:ascii="Arial" w:eastAsia="Arial" w:hAnsi="Arial" w:cs="Arial"/>
          <w:sz w:val="20"/>
          <w:szCs w:val="20"/>
          <w:highlight w:val="white"/>
        </w:rPr>
        <w:t>Teachers encounter conflicts in implementing CSE when teaching sexuality topics in local contexts, especially when traditional religiou</w:t>
      </w:r>
      <w:r>
        <w:rPr>
          <w:rFonts w:ascii="Arial" w:eastAsia="Arial" w:hAnsi="Arial" w:cs="Arial"/>
          <w:sz w:val="20"/>
          <w:szCs w:val="20"/>
          <w:highlight w:val="white"/>
        </w:rPr>
        <w:t xml:space="preserve">s and cultural norms often prohibit the transmission of knowledge about sexuality </w:t>
      </w:r>
      <w:r>
        <w:rPr>
          <w:rFonts w:ascii="Arial" w:eastAsia="Arial" w:hAnsi="Arial" w:cs="Arial"/>
          <w:sz w:val="20"/>
          <w:szCs w:val="20"/>
          <w:highlight w:val="white"/>
        </w:rPr>
        <w:lastRenderedPageBreak/>
        <w:t xml:space="preserve">and contraception [1]. It is known that implementing sex education faces many difficulties </w:t>
      </w:r>
      <w:r>
        <w:rPr>
          <w:rFonts w:ascii="Arial" w:eastAsia="Arial" w:hAnsi="Arial" w:cs="Arial"/>
          <w:sz w:val="20"/>
          <w:szCs w:val="20"/>
        </w:rPr>
        <w:t xml:space="preserve">due to the differences between the beliefs and cultural backgrounds of society and </w:t>
      </w:r>
      <w:r>
        <w:rPr>
          <w:rFonts w:ascii="Arial" w:eastAsia="Arial" w:hAnsi="Arial" w:cs="Arial"/>
          <w:sz w:val="20"/>
          <w:szCs w:val="20"/>
        </w:rPr>
        <w:t xml:space="preserve">community. </w:t>
      </w:r>
      <w:r>
        <w:rPr>
          <w:rFonts w:ascii="Arial" w:eastAsia="Arial" w:hAnsi="Arial" w:cs="Arial"/>
          <w:sz w:val="20"/>
          <w:szCs w:val="20"/>
          <w:highlight w:val="white"/>
        </w:rPr>
        <w:t>According to Rotondano [7], the school still lacked staffs, a group deemed "most prepared to address such a complex theme," which is why teacher training in sexuality was labelled as a "problem"</w:t>
      </w:r>
      <w:r>
        <w:rPr>
          <w:rFonts w:ascii="Arial" w:eastAsia="Arial" w:hAnsi="Arial" w:cs="Arial"/>
          <w:sz w:val="20"/>
          <w:szCs w:val="20"/>
          <w:highlight w:val="white"/>
          <w:lang w:val="en-US"/>
        </w:rPr>
        <w:t xml:space="preserve">. </w:t>
      </w:r>
    </w:p>
    <w:p w:rsidR="00704449" w:rsidRDefault="00704449">
      <w:pPr>
        <w:spacing w:after="0" w:line="240" w:lineRule="auto"/>
        <w:jc w:val="both"/>
        <w:rPr>
          <w:rFonts w:ascii="Arial" w:eastAsia="Arial" w:hAnsi="Arial" w:cs="Arial"/>
          <w:sz w:val="20"/>
          <w:szCs w:val="20"/>
          <w:highlight w:val="white"/>
        </w:rPr>
      </w:pPr>
    </w:p>
    <w:p w:rsidR="00704449" w:rsidRDefault="0090383F">
      <w:pPr>
        <w:spacing w:after="0" w:line="240" w:lineRule="auto"/>
        <w:jc w:val="both"/>
        <w:rPr>
          <w:rFonts w:ascii="Arial" w:eastAsia="Arial" w:hAnsi="Arial" w:cs="Arial"/>
          <w:sz w:val="20"/>
          <w:szCs w:val="20"/>
        </w:rPr>
      </w:pPr>
      <w:r>
        <w:rPr>
          <w:rFonts w:ascii="Arial" w:eastAsia="Arial" w:hAnsi="Arial" w:cs="Arial"/>
          <w:sz w:val="20"/>
          <w:szCs w:val="20"/>
        </w:rPr>
        <w:t>In the international realm, the effectiveness o</w:t>
      </w:r>
      <w:r>
        <w:rPr>
          <w:rFonts w:ascii="Arial" w:eastAsia="Arial" w:hAnsi="Arial" w:cs="Arial"/>
          <w:sz w:val="20"/>
          <w:szCs w:val="20"/>
        </w:rPr>
        <w:t xml:space="preserve">f sex education in Ugandan classrooms mostly depends on the level of competency of the teachers engaged.    Established by the Ugandan government as a "National Framework for Sexuality Education," it is expected to include several topics, including sexual </w:t>
      </w:r>
      <w:r>
        <w:rPr>
          <w:rFonts w:ascii="Arial" w:eastAsia="Arial" w:hAnsi="Arial" w:cs="Arial"/>
          <w:sz w:val="20"/>
          <w:szCs w:val="20"/>
        </w:rPr>
        <w:t>development, gender identity, and interpersonal interactions. Moreover, owing to its dependence on convictions and cultural norms regarding morality and virginity, the system primarily promotes sexual abstinence and, according to Ugandan law, does not endo</w:t>
      </w:r>
      <w:r>
        <w:rPr>
          <w:rFonts w:ascii="Arial" w:eastAsia="Arial" w:hAnsi="Arial" w:cs="Arial"/>
          <w:sz w:val="20"/>
          <w:szCs w:val="20"/>
        </w:rPr>
        <w:t>rse sexual inclusivity [8]. Education centred in schools plays a crucial role in providing insights into students' sexual and reproductive health. As Darabi et al. [9] noted, educators significantly enhance Ugandan students' comprehension of sexual and rep</w:t>
      </w:r>
      <w:r>
        <w:rPr>
          <w:rFonts w:ascii="Arial" w:eastAsia="Arial" w:hAnsi="Arial" w:cs="Arial"/>
          <w:sz w:val="20"/>
          <w:szCs w:val="20"/>
        </w:rPr>
        <w:t xml:space="preserve">roductive health and rights. Moreover, UNESCO has identified in-curricular school-based sex education as the most economically efficient and ecologically advantageous method for educators to interact with a multitude of young children.  </w:t>
      </w:r>
    </w:p>
    <w:p w:rsidR="00704449" w:rsidRDefault="00704449">
      <w:pPr>
        <w:spacing w:after="0" w:line="240" w:lineRule="auto"/>
        <w:jc w:val="both"/>
        <w:rPr>
          <w:rFonts w:ascii="Arial" w:eastAsia="Arial" w:hAnsi="Arial" w:cs="Arial"/>
          <w:sz w:val="20"/>
          <w:szCs w:val="20"/>
        </w:rPr>
      </w:pPr>
    </w:p>
    <w:p w:rsidR="00704449" w:rsidRDefault="0090383F">
      <w:pPr>
        <w:spacing w:after="0" w:line="240" w:lineRule="auto"/>
        <w:jc w:val="both"/>
        <w:rPr>
          <w:rFonts w:ascii="Arial" w:eastAsia="Arial" w:hAnsi="Arial" w:cs="Arial"/>
          <w:sz w:val="20"/>
          <w:szCs w:val="20"/>
          <w:highlight w:val="cyan"/>
        </w:rPr>
      </w:pPr>
      <w:r>
        <w:rPr>
          <w:rFonts w:ascii="Arial" w:eastAsia="Arial" w:hAnsi="Arial" w:cs="Arial"/>
          <w:sz w:val="20"/>
          <w:szCs w:val="20"/>
        </w:rPr>
        <w:t xml:space="preserve">In Indonesia, </w:t>
      </w:r>
      <w:r>
        <w:rPr>
          <w:rFonts w:ascii="Arial" w:eastAsia="Arial" w:hAnsi="Arial" w:cs="Arial"/>
          <w:sz w:val="20"/>
          <w:szCs w:val="20"/>
        </w:rPr>
        <w:t>school-based Comprehensive Sexuality Education (CSE) is essential in shaping children’s attitudes, behaviors, and decision-making skills related to relationships and personal boundaries. It helps individuals make informed choices, build a positive self-ima</w:t>
      </w:r>
      <w:r>
        <w:rPr>
          <w:rFonts w:ascii="Arial" w:eastAsia="Arial" w:hAnsi="Arial" w:cs="Arial"/>
          <w:sz w:val="20"/>
          <w:szCs w:val="20"/>
        </w:rPr>
        <w:t>ge, and avoid negative sexual health outcomes. CSE emphasizes children’s rights to accurate information, skill development, and active participation.</w:t>
      </w:r>
      <w:r>
        <w:rPr>
          <w:rFonts w:ascii="Arial" w:eastAsia="Arial" w:hAnsi="Arial" w:cs="Arial"/>
          <w:sz w:val="20"/>
          <w:szCs w:val="20"/>
        </w:rPr>
        <w:t xml:space="preserve"> </w:t>
      </w:r>
      <w:r>
        <w:rPr>
          <w:rFonts w:ascii="Arial" w:eastAsia="Arial" w:hAnsi="Arial" w:cs="Arial"/>
          <w:sz w:val="20"/>
          <w:szCs w:val="20"/>
        </w:rPr>
        <w:t>When combined with a counseling approach, it effectively raises children’s awareness of personal boundarie</w:t>
      </w:r>
      <w:r>
        <w:rPr>
          <w:rFonts w:ascii="Arial" w:eastAsia="Arial" w:hAnsi="Arial" w:cs="Arial"/>
          <w:sz w:val="20"/>
          <w:szCs w:val="20"/>
        </w:rPr>
        <w:t xml:space="preserve">s and </w:t>
      </w:r>
      <w:r>
        <w:rPr>
          <w:rFonts w:ascii="Arial" w:eastAsia="Arial" w:hAnsi="Arial" w:cs="Arial"/>
          <w:sz w:val="20"/>
          <w:szCs w:val="20"/>
        </w:rPr>
        <w:t xml:space="preserve">healthy relationships Fadhilah &amp; Mulyani, (2024). Counseling promotes open dialogue and active engagement, which positively influences children’s understanding and attitudes toward their bodies and personal limits. </w:t>
      </w:r>
    </w:p>
    <w:p w:rsidR="00704449" w:rsidRDefault="00704449">
      <w:pPr>
        <w:spacing w:after="0" w:line="240" w:lineRule="auto"/>
        <w:jc w:val="both"/>
        <w:rPr>
          <w:rFonts w:ascii="Arial" w:eastAsia="Arial" w:hAnsi="Arial" w:cs="Arial"/>
          <w:sz w:val="20"/>
          <w:szCs w:val="20"/>
          <w:highlight w:val="cyan"/>
        </w:rPr>
      </w:pPr>
    </w:p>
    <w:p w:rsidR="00704449" w:rsidRDefault="0090383F">
      <w:pPr>
        <w:spacing w:after="0" w:line="240" w:lineRule="auto"/>
        <w:jc w:val="both"/>
        <w:rPr>
          <w:rFonts w:ascii="Arial" w:eastAsia="Arial" w:hAnsi="Arial" w:cs="Arial"/>
          <w:sz w:val="20"/>
          <w:szCs w:val="20"/>
        </w:rPr>
      </w:pPr>
      <w:r>
        <w:rPr>
          <w:rFonts w:ascii="Arial" w:eastAsia="Arial" w:hAnsi="Arial" w:cs="Arial"/>
          <w:sz w:val="20"/>
          <w:szCs w:val="20"/>
        </w:rPr>
        <w:t xml:space="preserve">The imperative of Comprehensive </w:t>
      </w:r>
      <w:r>
        <w:rPr>
          <w:rFonts w:ascii="Arial" w:eastAsia="Arial" w:hAnsi="Arial" w:cs="Arial"/>
          <w:sz w:val="20"/>
          <w:szCs w:val="20"/>
        </w:rPr>
        <w:t>Sexuality Education (CSE) in South Africa's Foundation Phase</w:t>
      </w:r>
      <w:r>
        <w:rPr>
          <w:rFonts w:ascii="Arial" w:eastAsia="Arial" w:hAnsi="Arial" w:cs="Arial"/>
          <w:sz w:val="20"/>
          <w:szCs w:val="20"/>
          <w:lang w:val="en-US"/>
        </w:rPr>
        <w:t xml:space="preserve">, </w:t>
      </w:r>
      <w:r>
        <w:rPr>
          <w:rFonts w:ascii="Arial" w:eastAsia="Arial" w:hAnsi="Arial" w:cs="Arial"/>
          <w:sz w:val="20"/>
          <w:szCs w:val="20"/>
        </w:rPr>
        <w:t>education is a national concern and a matter of global and societal significance. It intersects crucially with the discipline of education, addressing critical child rights issues as enshrined i</w:t>
      </w:r>
      <w:r>
        <w:rPr>
          <w:rFonts w:ascii="Arial" w:eastAsia="Arial" w:hAnsi="Arial" w:cs="Arial"/>
          <w:sz w:val="20"/>
          <w:szCs w:val="20"/>
        </w:rPr>
        <w:t>n the Constitution of the Republic of South Africa (1996), emphasising children's protection from harm (Venketsamy, 2023). Integrating CSE into the educational curriculum is essential in safeguarding these rights and promoting society's overall well-being.</w:t>
      </w:r>
      <w:r>
        <w:rPr>
          <w:rFonts w:ascii="Arial" w:eastAsia="Arial" w:hAnsi="Arial" w:cs="Arial"/>
          <w:sz w:val="20"/>
          <w:szCs w:val="20"/>
        </w:rPr>
        <w:t xml:space="preserve"> However, teachers are reluctant to engage in this form of education, presenting a complex and multifaceted problem that </w:t>
      </w:r>
    </w:p>
    <w:p w:rsidR="00704449" w:rsidRDefault="0090383F">
      <w:pPr>
        <w:spacing w:after="0" w:line="240" w:lineRule="auto"/>
        <w:jc w:val="both"/>
        <w:rPr>
          <w:rFonts w:ascii="Arial" w:eastAsia="Arial" w:hAnsi="Arial" w:cs="Arial"/>
          <w:sz w:val="20"/>
          <w:szCs w:val="20"/>
        </w:rPr>
      </w:pPr>
      <w:r>
        <w:rPr>
          <w:rFonts w:ascii="Arial" w:eastAsia="Arial" w:hAnsi="Arial" w:cs="Arial"/>
          <w:sz w:val="20"/>
          <w:szCs w:val="20"/>
        </w:rPr>
        <w:t>demands a thorough investigation. Understanding the roots of this reluctance is vital to implementing effective educational strategies</w:t>
      </w:r>
      <w:r>
        <w:rPr>
          <w:rFonts w:ascii="Arial" w:eastAsia="Arial" w:hAnsi="Arial" w:cs="Arial"/>
          <w:sz w:val="20"/>
          <w:szCs w:val="20"/>
        </w:rPr>
        <w:t xml:space="preserve"> that align with national and international child </w:t>
      </w:r>
    </w:p>
    <w:p w:rsidR="00704449" w:rsidRDefault="0090383F">
      <w:pPr>
        <w:spacing w:after="0" w:line="240" w:lineRule="auto"/>
        <w:jc w:val="both"/>
        <w:rPr>
          <w:rFonts w:ascii="Arial" w:eastAsia="Arial" w:hAnsi="Arial" w:cs="Arial"/>
          <w:sz w:val="20"/>
          <w:szCs w:val="20"/>
        </w:rPr>
      </w:pPr>
      <w:r>
        <w:rPr>
          <w:rFonts w:ascii="Arial" w:eastAsia="Arial" w:hAnsi="Arial" w:cs="Arial"/>
          <w:sz w:val="20"/>
          <w:szCs w:val="20"/>
        </w:rPr>
        <w:t xml:space="preserve">protection standards. </w:t>
      </w:r>
    </w:p>
    <w:p w:rsidR="00704449" w:rsidRDefault="00704449">
      <w:pPr>
        <w:spacing w:after="0" w:line="240" w:lineRule="auto"/>
        <w:jc w:val="both"/>
        <w:rPr>
          <w:rFonts w:ascii="Arial" w:eastAsia="Arial" w:hAnsi="Arial" w:cs="Arial"/>
          <w:sz w:val="20"/>
          <w:szCs w:val="20"/>
        </w:rPr>
      </w:pPr>
    </w:p>
    <w:p w:rsidR="00704449" w:rsidRDefault="0090383F">
      <w:pPr>
        <w:spacing w:after="0" w:line="240" w:lineRule="auto"/>
        <w:jc w:val="both"/>
        <w:rPr>
          <w:rFonts w:ascii="Arial" w:eastAsia="Arial" w:hAnsi="Arial" w:cs="Arial"/>
          <w:sz w:val="20"/>
          <w:szCs w:val="20"/>
        </w:rPr>
      </w:pPr>
      <w:r>
        <w:rPr>
          <w:rFonts w:ascii="Arial" w:eastAsia="Arial" w:hAnsi="Arial" w:cs="Arial"/>
          <w:sz w:val="20"/>
          <w:szCs w:val="20"/>
          <w:highlight w:val="white"/>
        </w:rPr>
        <w:t>In addition, the United Nations Educational, Scientific and Cultural Organization UNESCO [10] encourages conceptual and broad sexuality as a methodological assumption, as this propo</w:t>
      </w:r>
      <w:r>
        <w:rPr>
          <w:rFonts w:ascii="Arial" w:eastAsia="Arial" w:hAnsi="Arial" w:cs="Arial"/>
          <w:sz w:val="20"/>
          <w:szCs w:val="20"/>
          <w:highlight w:val="white"/>
        </w:rPr>
        <w:t xml:space="preserve">sed curriculum for CSE education proves that pupils begin learning at a young age. Living fully and entirely with their sexuality, exercising accountability and respect for others. That implies that the foundation of CSE is human rights and that its goals </w:t>
      </w:r>
      <w:r>
        <w:rPr>
          <w:rFonts w:ascii="Arial" w:eastAsia="Arial" w:hAnsi="Arial" w:cs="Arial"/>
          <w:sz w:val="20"/>
          <w:szCs w:val="20"/>
          <w:highlight w:val="white"/>
        </w:rPr>
        <w:t>include encouraging individuals to shatter the taboos. In the study by Herat et al. [11], eight curriculum points in CSE interact with one another. Others cover subjects including values, relationships, and rights - knowing gender, sexuality and culture, v</w:t>
      </w:r>
      <w:r>
        <w:rPr>
          <w:rFonts w:ascii="Arial" w:eastAsia="Arial" w:hAnsi="Arial" w:cs="Arial"/>
          <w:sz w:val="20"/>
          <w:szCs w:val="20"/>
          <w:highlight w:val="white"/>
        </w:rPr>
        <w:t xml:space="preserve">iolence, safety, health, well-being skills, the development, sexuality, and anatomy of the human body, sexual and reproductive health, as well as behavior. </w:t>
      </w:r>
      <w:r>
        <w:rPr>
          <w:rFonts w:ascii="Arial" w:eastAsia="Arial" w:hAnsi="Arial" w:cs="Arial"/>
          <w:sz w:val="20"/>
          <w:szCs w:val="20"/>
          <w:highlight w:val="white"/>
        </w:rPr>
        <w:lastRenderedPageBreak/>
        <w:t>Professors and educational [12] communities need to establish protocols to identify, report, and fol</w:t>
      </w:r>
      <w:r>
        <w:rPr>
          <w:rFonts w:ascii="Arial" w:eastAsia="Arial" w:hAnsi="Arial" w:cs="Arial"/>
          <w:sz w:val="20"/>
          <w:szCs w:val="20"/>
          <w:highlight w:val="white"/>
        </w:rPr>
        <w:t>low up on the population. However, teachers may contribute to the culture of silence surrounding this phenomenon by avoiding it due to their own stand and beliefs.</w:t>
      </w:r>
    </w:p>
    <w:p w:rsidR="00704449" w:rsidRDefault="00704449">
      <w:pPr>
        <w:spacing w:after="0" w:line="240" w:lineRule="auto"/>
        <w:jc w:val="both"/>
        <w:rPr>
          <w:rFonts w:ascii="Arial" w:eastAsia="Arial" w:hAnsi="Arial" w:cs="Arial"/>
          <w:sz w:val="20"/>
          <w:szCs w:val="20"/>
        </w:rPr>
      </w:pPr>
    </w:p>
    <w:p w:rsidR="00704449" w:rsidRDefault="0090383F">
      <w:pPr>
        <w:spacing w:after="0" w:line="240" w:lineRule="auto"/>
        <w:jc w:val="both"/>
        <w:rPr>
          <w:rFonts w:ascii="Arial" w:eastAsia="Arial" w:hAnsi="Arial" w:cs="Arial"/>
          <w:sz w:val="20"/>
          <w:szCs w:val="20"/>
          <w:highlight w:val="white"/>
        </w:rPr>
      </w:pPr>
      <w:r>
        <w:rPr>
          <w:rFonts w:ascii="Arial" w:eastAsia="Arial" w:hAnsi="Arial" w:cs="Arial"/>
          <w:sz w:val="20"/>
          <w:szCs w:val="20"/>
        </w:rPr>
        <w:t>In the Philippine context, the Philippine Institute of Development Studies (PIDS) claims nu</w:t>
      </w:r>
      <w:r>
        <w:rPr>
          <w:rFonts w:ascii="Arial" w:eastAsia="Arial" w:hAnsi="Arial" w:cs="Arial"/>
          <w:sz w:val="20"/>
          <w:szCs w:val="20"/>
        </w:rPr>
        <w:t>merous obstacles to implementing comprehensive sex education, including a lack of school resources and facilities and necessary training [13]. The Philippines is adopting sex education, but slowly. First, rather than combining sex education with other topi</w:t>
      </w:r>
      <w:r>
        <w:rPr>
          <w:rFonts w:ascii="Arial" w:eastAsia="Arial" w:hAnsi="Arial" w:cs="Arial"/>
          <w:sz w:val="20"/>
          <w:szCs w:val="20"/>
        </w:rPr>
        <w:t>cs, the Department of Education is thinking of [14] creating a stand-alone course on the subject. Rather than asking other educators to change their curriculum, it enables schools to employ teachers who specialize in this area. Although it is not taught in</w:t>
      </w:r>
      <w:r>
        <w:rPr>
          <w:rFonts w:ascii="Arial" w:eastAsia="Arial" w:hAnsi="Arial" w:cs="Arial"/>
          <w:sz w:val="20"/>
          <w:szCs w:val="20"/>
        </w:rPr>
        <w:t xml:space="preserve"> secondary or even primary schools, Perez [15], sex education is not a subject in the Philippines. To ensure that young people are safe when they become older, there is a push for sex education in the Philippines.</w:t>
      </w:r>
    </w:p>
    <w:p w:rsidR="00704449" w:rsidRDefault="00704449">
      <w:pPr>
        <w:spacing w:after="0" w:line="240" w:lineRule="auto"/>
        <w:jc w:val="both"/>
        <w:rPr>
          <w:rFonts w:ascii="Arial" w:eastAsia="Arial" w:hAnsi="Arial" w:cs="Arial"/>
          <w:sz w:val="20"/>
          <w:szCs w:val="20"/>
          <w:highlight w:val="white"/>
        </w:rPr>
      </w:pPr>
    </w:p>
    <w:p w:rsidR="00704449" w:rsidRDefault="0090383F">
      <w:pPr>
        <w:spacing w:after="0" w:line="240" w:lineRule="auto"/>
        <w:jc w:val="both"/>
        <w:rPr>
          <w:rFonts w:ascii="Arial" w:eastAsia="Arial" w:hAnsi="Arial" w:cs="Arial"/>
          <w:sz w:val="20"/>
          <w:szCs w:val="20"/>
          <w:highlight w:val="white"/>
        </w:rPr>
      </w:pPr>
      <w:r>
        <w:rPr>
          <w:rFonts w:ascii="Arial" w:eastAsia="Arial" w:hAnsi="Arial" w:cs="Arial"/>
          <w:sz w:val="20"/>
          <w:szCs w:val="20"/>
          <w:highlight w:val="white"/>
        </w:rPr>
        <w:t xml:space="preserve">Teachers experience conflict in </w:t>
      </w:r>
      <w:r>
        <w:rPr>
          <w:rFonts w:ascii="Arial" w:eastAsia="Arial" w:hAnsi="Arial" w:cs="Arial"/>
          <w:sz w:val="20"/>
          <w:szCs w:val="20"/>
        </w:rPr>
        <w:t>CSE due t</w:t>
      </w:r>
      <w:r>
        <w:rPr>
          <w:rFonts w:ascii="Arial" w:eastAsia="Arial" w:hAnsi="Arial" w:cs="Arial"/>
          <w:sz w:val="20"/>
          <w:szCs w:val="20"/>
        </w:rPr>
        <w:t>o the differences between beliefs and cultural backgrounds [1]</w:t>
      </w:r>
      <w:r>
        <w:rPr>
          <w:rFonts w:ascii="Arial" w:eastAsia="Arial" w:hAnsi="Arial" w:cs="Arial"/>
          <w:sz w:val="20"/>
          <w:szCs w:val="20"/>
          <w:highlight w:val="white"/>
        </w:rPr>
        <w:t xml:space="preserve">. Students want sex education classes to be taught by credible people [16]. Low-income families prefer to have sex education included in the school curriculum. However, [17], [18], the majority </w:t>
      </w:r>
      <w:r>
        <w:rPr>
          <w:rFonts w:ascii="Arial" w:eastAsia="Arial" w:hAnsi="Arial" w:cs="Arial"/>
          <w:sz w:val="20"/>
          <w:szCs w:val="20"/>
          <w:highlight w:val="white"/>
        </w:rPr>
        <w:t>still shun education on the Reproductive Health (RH) Bill, according to a recent survey by the city's largest university. According to the author, the literature on receptivity to organizational innovation needs to be more accurate in emphasizing the theor</w:t>
      </w:r>
      <w:r>
        <w:rPr>
          <w:rFonts w:ascii="Arial" w:eastAsia="Arial" w:hAnsi="Arial" w:cs="Arial"/>
          <w:sz w:val="20"/>
          <w:szCs w:val="20"/>
          <w:highlight w:val="white"/>
        </w:rPr>
        <w:t>etical assessment of receptivity correlates. It wrongly implies that people are generally resistant to change. For example, he presents research on hypothesis testing based on information from a poll of public-school educators' reactions to sex education b</w:t>
      </w:r>
      <w:r>
        <w:rPr>
          <w:rFonts w:ascii="Arial" w:eastAsia="Arial" w:hAnsi="Arial" w:cs="Arial"/>
          <w:sz w:val="20"/>
          <w:szCs w:val="20"/>
          <w:highlight w:val="white"/>
        </w:rPr>
        <w:t>eing taught in elementary schools [19].</w:t>
      </w:r>
    </w:p>
    <w:p w:rsidR="00704449" w:rsidRDefault="00704449">
      <w:pPr>
        <w:spacing w:after="0" w:line="240" w:lineRule="auto"/>
        <w:jc w:val="both"/>
        <w:rPr>
          <w:rFonts w:ascii="Arial" w:eastAsia="Arial" w:hAnsi="Arial" w:cs="Arial"/>
          <w:sz w:val="20"/>
          <w:szCs w:val="20"/>
          <w:highlight w:val="white"/>
        </w:rPr>
      </w:pPr>
    </w:p>
    <w:p w:rsidR="00704449" w:rsidRDefault="0090383F">
      <w:pPr>
        <w:spacing w:after="0" w:line="240" w:lineRule="auto"/>
        <w:jc w:val="both"/>
        <w:rPr>
          <w:rFonts w:ascii="Arial" w:eastAsia="Arial" w:hAnsi="Arial" w:cs="Arial"/>
          <w:sz w:val="20"/>
          <w:szCs w:val="20"/>
        </w:rPr>
      </w:pPr>
      <w:r>
        <w:rPr>
          <w:rFonts w:ascii="Arial" w:eastAsia="Arial" w:hAnsi="Arial" w:cs="Arial"/>
          <w:sz w:val="20"/>
          <w:szCs w:val="20"/>
          <w:highlight w:val="white"/>
        </w:rPr>
        <w:t xml:space="preserve">The Reasoned Action Theory of Martin Fishbein [20] was the foundation for this study. This theory </w:t>
      </w:r>
      <w:r>
        <w:rPr>
          <w:rFonts w:ascii="Arial" w:eastAsia="Arial" w:hAnsi="Arial" w:cs="Arial"/>
          <w:sz w:val="20"/>
          <w:szCs w:val="20"/>
        </w:rPr>
        <w:t>suggests that individual behaviour influences personal actions. Moreover, it is affected by points of view on behavio</w:t>
      </w:r>
      <w:r>
        <w:rPr>
          <w:rFonts w:ascii="Arial" w:eastAsia="Arial" w:hAnsi="Arial" w:cs="Arial"/>
          <w:sz w:val="20"/>
          <w:szCs w:val="20"/>
        </w:rPr>
        <w:t xml:space="preserve">ur and personal </w:t>
      </w:r>
      <w:r>
        <w:rPr>
          <w:rFonts w:ascii="Arial" w:eastAsia="Arial" w:hAnsi="Arial" w:cs="Arial"/>
          <w:sz w:val="20"/>
          <w:szCs w:val="20"/>
          <w:highlight w:val="white"/>
        </w:rPr>
        <w:t>standards. Understanding teachers' acceptance of sex education can benefit from this theory since their readiness to educate depends on their attitudes and the expected standards of peers and society. It provides evidence of theoretical and</w:t>
      </w:r>
      <w:r>
        <w:rPr>
          <w:rFonts w:ascii="Arial" w:eastAsia="Arial" w:hAnsi="Arial" w:cs="Arial"/>
          <w:sz w:val="20"/>
          <w:szCs w:val="20"/>
          <w:highlight w:val="white"/>
        </w:rPr>
        <w:t xml:space="preserve"> empirical grounds to assume that conservative</w:t>
      </w:r>
      <w:r>
        <w:rPr>
          <w:rFonts w:ascii="Arial" w:eastAsia="Arial" w:hAnsi="Arial" w:cs="Arial"/>
          <w:sz w:val="20"/>
          <w:szCs w:val="20"/>
        </w:rPr>
        <w:t xml:space="preserve"> </w:t>
      </w:r>
      <w:r>
        <w:rPr>
          <w:rFonts w:ascii="Arial" w:eastAsia="Arial" w:hAnsi="Arial" w:cs="Arial"/>
          <w:sz w:val="20"/>
          <w:szCs w:val="20"/>
          <w:highlight w:val="white"/>
        </w:rPr>
        <w:t xml:space="preserve">worldviews significantly influence behavioral intentions concerning sex education </w:t>
      </w:r>
      <w:hyperlink r:id="rId13" w:history="1">
        <w:proofErr w:type="spellStart"/>
        <w:r>
          <w:rPr>
            <w:rFonts w:ascii="Arial" w:eastAsia="Arial" w:hAnsi="Arial" w:cs="Arial"/>
            <w:color w:val="000000"/>
            <w:sz w:val="20"/>
            <w:szCs w:val="20"/>
            <w:highlight w:val="white"/>
            <w:u w:val="single"/>
          </w:rPr>
          <w:t>Grigoropoulos</w:t>
        </w:r>
        <w:proofErr w:type="spellEnd"/>
      </w:hyperlink>
      <w:r>
        <w:rPr>
          <w:rFonts w:ascii="Arial" w:eastAsia="Arial" w:hAnsi="Arial" w:cs="Arial"/>
          <w:color w:val="000000"/>
          <w:sz w:val="20"/>
          <w:szCs w:val="20"/>
          <w:highlight w:val="white"/>
        </w:rPr>
        <w:t xml:space="preserve"> </w:t>
      </w:r>
      <w:r>
        <w:rPr>
          <w:rFonts w:ascii="Arial" w:eastAsia="Arial" w:hAnsi="Arial" w:cs="Arial"/>
          <w:sz w:val="20"/>
          <w:szCs w:val="20"/>
        </w:rPr>
        <w:t>[21].</w:t>
      </w:r>
    </w:p>
    <w:p w:rsidR="00704449" w:rsidRDefault="00704449">
      <w:pPr>
        <w:spacing w:after="0" w:line="240" w:lineRule="auto"/>
        <w:jc w:val="both"/>
        <w:rPr>
          <w:rFonts w:ascii="Arial" w:eastAsia="Arial" w:hAnsi="Arial" w:cs="Arial"/>
          <w:sz w:val="20"/>
          <w:szCs w:val="20"/>
          <w:highlight w:val="white"/>
        </w:rPr>
      </w:pPr>
    </w:p>
    <w:p w:rsidR="00704449" w:rsidRDefault="0090383F">
      <w:pPr>
        <w:spacing w:after="0" w:line="240" w:lineRule="auto"/>
        <w:jc w:val="both"/>
        <w:rPr>
          <w:rFonts w:ascii="Arial" w:eastAsia="Arial" w:hAnsi="Arial" w:cs="Arial"/>
          <w:sz w:val="20"/>
          <w:szCs w:val="20"/>
          <w:highlight w:val="white"/>
        </w:rPr>
      </w:pPr>
      <w:r>
        <w:rPr>
          <w:rFonts w:ascii="Arial" w:eastAsia="Arial" w:hAnsi="Arial" w:cs="Arial"/>
          <w:sz w:val="20"/>
          <w:szCs w:val="20"/>
          <w:highlight w:val="white"/>
        </w:rPr>
        <w:t>This study aims to determine the elementary school tea</w:t>
      </w:r>
      <w:r>
        <w:rPr>
          <w:rFonts w:ascii="Arial" w:eastAsia="Arial" w:hAnsi="Arial" w:cs="Arial"/>
          <w:sz w:val="20"/>
          <w:szCs w:val="20"/>
          <w:highlight w:val="white"/>
        </w:rPr>
        <w:t>chers' acceptance level in teaching sex education. The paragraph discusses how cultural and religious variables make it difficult to administer Comprehensive Sexuality Education (CSE). Although sex education rules are in place in 85% of the nations assesse</w:t>
      </w:r>
      <w:r>
        <w:rPr>
          <w:rFonts w:ascii="Arial" w:eastAsia="Arial" w:hAnsi="Arial" w:cs="Arial"/>
          <w:sz w:val="20"/>
          <w:szCs w:val="20"/>
          <w:highlight w:val="white"/>
        </w:rPr>
        <w:t xml:space="preserve">d, their efficacy is hampered by inadequate curricula and teachers' lack of confidence. Teachers feel uneasy when social conventions and personal beliefs influence their teaching. There are obstacles to using CSE because of community context, culture, and </w:t>
      </w:r>
      <w:r>
        <w:rPr>
          <w:rFonts w:ascii="Arial" w:eastAsia="Arial" w:hAnsi="Arial" w:cs="Arial"/>
          <w:sz w:val="20"/>
          <w:szCs w:val="20"/>
          <w:highlight w:val="white"/>
        </w:rPr>
        <w:t xml:space="preserve">religion. For CSE implementation in school health policies to be successful, it is stressed how important it is to consider cultural and religious backgrounds. </w:t>
      </w:r>
    </w:p>
    <w:p w:rsidR="00704449" w:rsidRDefault="00704449">
      <w:pPr>
        <w:spacing w:after="0" w:line="240" w:lineRule="auto"/>
        <w:jc w:val="both"/>
        <w:rPr>
          <w:rFonts w:ascii="Arial" w:eastAsia="Arial" w:hAnsi="Arial" w:cs="Arial"/>
          <w:sz w:val="20"/>
          <w:szCs w:val="20"/>
          <w:highlight w:val="white"/>
        </w:rPr>
      </w:pPr>
    </w:p>
    <w:p w:rsidR="00704449" w:rsidRDefault="0090383F">
      <w:pPr>
        <w:spacing w:after="0" w:line="240" w:lineRule="auto"/>
        <w:jc w:val="both"/>
        <w:rPr>
          <w:rFonts w:ascii="Arial" w:eastAsia="Arial" w:hAnsi="Arial" w:cs="Arial"/>
          <w:sz w:val="20"/>
          <w:szCs w:val="20"/>
          <w:highlight w:val="white"/>
        </w:rPr>
      </w:pPr>
      <w:r>
        <w:rPr>
          <w:rFonts w:ascii="Arial" w:eastAsia="Arial" w:hAnsi="Arial" w:cs="Arial"/>
          <w:sz w:val="20"/>
          <w:szCs w:val="20"/>
          <w:highlight w:val="white"/>
        </w:rPr>
        <w:t>Thus, the findings of this study may benefit the school, administrators, teachers, and student</w:t>
      </w:r>
      <w:r>
        <w:rPr>
          <w:rFonts w:ascii="Arial" w:eastAsia="Arial" w:hAnsi="Arial" w:cs="Arial"/>
          <w:sz w:val="20"/>
          <w:szCs w:val="20"/>
          <w:highlight w:val="white"/>
        </w:rPr>
        <w:t>s as a guide in assessing the acceptance level of teachers teaching sex education. Hence, the research questionnaire aims to determine this level. Despite the challenges of teaching sex education in the classroom, teachers are committed to understanding th</w:t>
      </w:r>
      <w:r>
        <w:rPr>
          <w:rFonts w:ascii="Arial" w:eastAsia="Arial" w:hAnsi="Arial" w:cs="Arial"/>
          <w:sz w:val="20"/>
          <w:szCs w:val="20"/>
          <w:highlight w:val="white"/>
        </w:rPr>
        <w:t>e function the educational system performs in providing students with good health by leading the execution of thorough sex education (CSE).</w:t>
      </w:r>
    </w:p>
    <w:p w:rsidR="00704449" w:rsidRDefault="00704449">
      <w:pPr>
        <w:spacing w:after="0" w:line="240" w:lineRule="auto"/>
        <w:jc w:val="both"/>
        <w:rPr>
          <w:rFonts w:ascii="Arial" w:eastAsia="Arial" w:hAnsi="Arial" w:cs="Arial"/>
          <w:sz w:val="20"/>
          <w:szCs w:val="20"/>
          <w:highlight w:val="white"/>
        </w:rPr>
      </w:pPr>
    </w:p>
    <w:p w:rsidR="00704449" w:rsidRDefault="00704449">
      <w:pPr>
        <w:spacing w:after="0" w:line="240" w:lineRule="auto"/>
        <w:jc w:val="both"/>
        <w:rPr>
          <w:rFonts w:ascii="Arial" w:eastAsia="Arial" w:hAnsi="Arial" w:cs="Arial"/>
          <w:sz w:val="20"/>
          <w:szCs w:val="20"/>
          <w:highlight w:val="white"/>
        </w:rPr>
      </w:pPr>
    </w:p>
    <w:p w:rsidR="00704449" w:rsidRDefault="00704449">
      <w:pPr>
        <w:spacing w:after="0" w:line="240" w:lineRule="auto"/>
        <w:jc w:val="both"/>
        <w:rPr>
          <w:rFonts w:ascii="Arial" w:eastAsia="Arial" w:hAnsi="Arial" w:cs="Arial"/>
          <w:sz w:val="20"/>
          <w:szCs w:val="20"/>
          <w:highlight w:val="white"/>
        </w:rPr>
      </w:pPr>
    </w:p>
    <w:p w:rsidR="00704449" w:rsidRDefault="00704449">
      <w:pPr>
        <w:spacing w:after="0" w:line="240" w:lineRule="auto"/>
        <w:jc w:val="both"/>
        <w:rPr>
          <w:rFonts w:ascii="Arial" w:eastAsia="Arial" w:hAnsi="Arial" w:cs="Arial"/>
          <w:sz w:val="20"/>
          <w:szCs w:val="20"/>
          <w:highlight w:val="white"/>
        </w:rPr>
      </w:pPr>
    </w:p>
    <w:p w:rsidR="00704449" w:rsidRDefault="00704449">
      <w:pPr>
        <w:pBdr>
          <w:top w:val="nil"/>
          <w:left w:val="nil"/>
          <w:bottom w:val="nil"/>
          <w:right w:val="nil"/>
          <w:between w:val="nil"/>
        </w:pBdr>
        <w:spacing w:after="0" w:line="240" w:lineRule="auto"/>
        <w:ind w:right="-252"/>
        <w:jc w:val="both"/>
        <w:rPr>
          <w:rFonts w:ascii="Arial" w:eastAsia="Arial" w:hAnsi="Arial" w:cs="Arial"/>
          <w:color w:val="000000"/>
        </w:rPr>
      </w:pPr>
    </w:p>
    <w:p w:rsidR="00704449" w:rsidRDefault="0090383F">
      <w:pPr>
        <w:pBdr>
          <w:top w:val="nil"/>
          <w:left w:val="nil"/>
          <w:bottom w:val="nil"/>
          <w:right w:val="nil"/>
          <w:between w:val="nil"/>
        </w:pBdr>
        <w:spacing w:after="0" w:line="240" w:lineRule="auto"/>
        <w:ind w:right="-252"/>
        <w:jc w:val="both"/>
        <w:rPr>
          <w:rFonts w:ascii="Arial" w:eastAsia="Arial" w:hAnsi="Arial" w:cs="Arial"/>
          <w:b/>
          <w:color w:val="000000"/>
          <w:sz w:val="22"/>
          <w:szCs w:val="22"/>
        </w:rPr>
      </w:pPr>
      <w:r>
        <w:rPr>
          <w:rFonts w:ascii="Arial" w:eastAsia="Arial" w:hAnsi="Arial" w:cs="Arial"/>
          <w:b/>
          <w:color w:val="000000"/>
          <w:sz w:val="22"/>
          <w:szCs w:val="22"/>
        </w:rPr>
        <w:t>2. RESEARCH OBJECTIVES</w:t>
      </w:r>
    </w:p>
    <w:p w:rsidR="00704449" w:rsidRDefault="00704449">
      <w:pPr>
        <w:pBdr>
          <w:top w:val="nil"/>
          <w:left w:val="nil"/>
          <w:bottom w:val="nil"/>
          <w:right w:val="nil"/>
          <w:between w:val="nil"/>
        </w:pBdr>
        <w:spacing w:after="0" w:line="240" w:lineRule="auto"/>
        <w:ind w:right="-252"/>
        <w:jc w:val="both"/>
        <w:rPr>
          <w:rFonts w:ascii="Arial" w:eastAsia="Arial" w:hAnsi="Arial" w:cs="Arial"/>
          <w:b/>
          <w:color w:val="000000"/>
          <w:sz w:val="22"/>
          <w:szCs w:val="22"/>
        </w:rPr>
      </w:pPr>
    </w:p>
    <w:p w:rsidR="00704449" w:rsidRDefault="0090383F">
      <w:pPr>
        <w:pBdr>
          <w:top w:val="nil"/>
          <w:left w:val="nil"/>
          <w:bottom w:val="nil"/>
          <w:right w:val="nil"/>
          <w:between w:val="nil"/>
        </w:pBdr>
        <w:spacing w:after="0" w:line="240" w:lineRule="auto"/>
        <w:ind w:right="-30"/>
        <w:jc w:val="both"/>
        <w:rPr>
          <w:rFonts w:ascii="Arial" w:eastAsia="Arial" w:hAnsi="Arial" w:cs="Arial"/>
          <w:color w:val="000000"/>
          <w:sz w:val="22"/>
          <w:szCs w:val="22"/>
        </w:rPr>
      </w:pPr>
      <w:r>
        <w:rPr>
          <w:rFonts w:ascii="Arial" w:eastAsia="Arial" w:hAnsi="Arial" w:cs="Arial"/>
          <w:color w:val="000000"/>
          <w:sz w:val="22"/>
          <w:szCs w:val="22"/>
        </w:rPr>
        <w:t xml:space="preserve">This study aimed to determine the acceptance level of elementary teachers in teaching </w:t>
      </w:r>
      <w:r>
        <w:rPr>
          <w:rFonts w:ascii="Arial" w:eastAsia="Arial" w:hAnsi="Arial" w:cs="Arial"/>
          <w:color w:val="000000"/>
          <w:sz w:val="22"/>
          <w:szCs w:val="22"/>
        </w:rPr>
        <w:t>sex education. It sought to answer the following:</w:t>
      </w:r>
    </w:p>
    <w:p w:rsidR="00704449" w:rsidRDefault="00704449">
      <w:pPr>
        <w:pBdr>
          <w:top w:val="nil"/>
          <w:left w:val="nil"/>
          <w:bottom w:val="nil"/>
          <w:right w:val="nil"/>
          <w:between w:val="nil"/>
        </w:pBdr>
        <w:spacing w:after="0" w:line="240" w:lineRule="auto"/>
        <w:ind w:right="-252"/>
        <w:jc w:val="both"/>
        <w:rPr>
          <w:rFonts w:ascii="Arial" w:eastAsia="Arial" w:hAnsi="Arial" w:cs="Arial"/>
          <w:color w:val="000000"/>
          <w:sz w:val="22"/>
          <w:szCs w:val="22"/>
        </w:rPr>
      </w:pPr>
    </w:p>
    <w:p w:rsidR="00704449" w:rsidRDefault="0090383F">
      <w:pPr>
        <w:numPr>
          <w:ilvl w:val="0"/>
          <w:numId w:val="1"/>
        </w:numPr>
        <w:pBdr>
          <w:top w:val="nil"/>
          <w:left w:val="nil"/>
          <w:bottom w:val="nil"/>
          <w:right w:val="nil"/>
          <w:between w:val="nil"/>
        </w:pBdr>
        <w:spacing w:after="0" w:line="240" w:lineRule="auto"/>
        <w:ind w:right="60"/>
        <w:jc w:val="both"/>
        <w:rPr>
          <w:rFonts w:ascii="Arial" w:eastAsia="Arial" w:hAnsi="Arial" w:cs="Arial"/>
          <w:color w:val="000000"/>
          <w:sz w:val="22"/>
          <w:szCs w:val="22"/>
        </w:rPr>
      </w:pPr>
      <w:r>
        <w:rPr>
          <w:rFonts w:ascii="Arial" w:eastAsia="Arial" w:hAnsi="Arial" w:cs="Arial"/>
          <w:color w:val="000000"/>
          <w:sz w:val="22"/>
          <w:szCs w:val="22"/>
        </w:rPr>
        <w:t xml:space="preserve">To </w:t>
      </w:r>
      <w:r>
        <w:rPr>
          <w:rFonts w:ascii="Arial" w:eastAsia="Arial" w:hAnsi="Arial" w:cs="Arial"/>
          <w:sz w:val="22"/>
          <w:szCs w:val="22"/>
        </w:rPr>
        <w:t>determine</w:t>
      </w:r>
      <w:r>
        <w:rPr>
          <w:rFonts w:ascii="Arial" w:eastAsia="Arial" w:hAnsi="Arial" w:cs="Arial"/>
          <w:color w:val="000000"/>
          <w:sz w:val="22"/>
          <w:szCs w:val="22"/>
        </w:rPr>
        <w:t xml:space="preserve"> the profile of the respondents in terms of:</w:t>
      </w:r>
    </w:p>
    <w:p w:rsidR="00704449" w:rsidRDefault="0090383F">
      <w:pPr>
        <w:numPr>
          <w:ilvl w:val="1"/>
          <w:numId w:val="1"/>
        </w:numPr>
        <w:pBdr>
          <w:top w:val="nil"/>
          <w:left w:val="nil"/>
          <w:bottom w:val="nil"/>
          <w:right w:val="nil"/>
          <w:between w:val="nil"/>
        </w:pBdr>
        <w:spacing w:after="0" w:line="240" w:lineRule="auto"/>
        <w:ind w:right="60"/>
        <w:jc w:val="both"/>
        <w:rPr>
          <w:rFonts w:ascii="Arial" w:eastAsia="Arial" w:hAnsi="Arial" w:cs="Arial"/>
          <w:color w:val="000000"/>
          <w:sz w:val="22"/>
          <w:szCs w:val="22"/>
        </w:rPr>
      </w:pPr>
      <w:r>
        <w:rPr>
          <w:rFonts w:ascii="Arial" w:eastAsia="Arial" w:hAnsi="Arial" w:cs="Arial"/>
          <w:color w:val="000000"/>
          <w:sz w:val="22"/>
          <w:szCs w:val="22"/>
        </w:rPr>
        <w:t>Age;</w:t>
      </w:r>
    </w:p>
    <w:p w:rsidR="00704449" w:rsidRDefault="0090383F">
      <w:pPr>
        <w:numPr>
          <w:ilvl w:val="1"/>
          <w:numId w:val="1"/>
        </w:numPr>
        <w:pBdr>
          <w:top w:val="nil"/>
          <w:left w:val="nil"/>
          <w:bottom w:val="nil"/>
          <w:right w:val="nil"/>
          <w:between w:val="nil"/>
        </w:pBdr>
        <w:spacing w:after="0" w:line="240" w:lineRule="auto"/>
        <w:ind w:right="60"/>
        <w:jc w:val="both"/>
        <w:rPr>
          <w:rFonts w:ascii="Arial" w:eastAsia="Arial" w:hAnsi="Arial" w:cs="Arial"/>
          <w:color w:val="000000"/>
          <w:sz w:val="22"/>
          <w:szCs w:val="22"/>
        </w:rPr>
      </w:pPr>
      <w:r>
        <w:rPr>
          <w:rFonts w:ascii="Arial" w:eastAsia="Arial" w:hAnsi="Arial" w:cs="Arial"/>
          <w:color w:val="000000"/>
          <w:sz w:val="22"/>
          <w:szCs w:val="22"/>
        </w:rPr>
        <w:t>Civil Status;</w:t>
      </w:r>
    </w:p>
    <w:p w:rsidR="00704449" w:rsidRDefault="0090383F">
      <w:pPr>
        <w:numPr>
          <w:ilvl w:val="1"/>
          <w:numId w:val="1"/>
        </w:numPr>
        <w:pBdr>
          <w:top w:val="nil"/>
          <w:left w:val="nil"/>
          <w:bottom w:val="nil"/>
          <w:right w:val="nil"/>
          <w:between w:val="nil"/>
        </w:pBdr>
        <w:spacing w:after="0" w:line="240" w:lineRule="auto"/>
        <w:ind w:right="60"/>
        <w:jc w:val="both"/>
        <w:rPr>
          <w:rFonts w:ascii="Arial" w:eastAsia="Arial" w:hAnsi="Arial" w:cs="Arial"/>
          <w:color w:val="000000"/>
          <w:sz w:val="22"/>
          <w:szCs w:val="22"/>
        </w:rPr>
      </w:pPr>
      <w:r>
        <w:rPr>
          <w:rFonts w:ascii="Arial" w:eastAsia="Arial" w:hAnsi="Arial" w:cs="Arial"/>
          <w:color w:val="000000"/>
          <w:sz w:val="22"/>
          <w:szCs w:val="22"/>
        </w:rPr>
        <w:t>Gender; and</w:t>
      </w:r>
    </w:p>
    <w:p w:rsidR="00704449" w:rsidRDefault="0090383F">
      <w:pPr>
        <w:numPr>
          <w:ilvl w:val="1"/>
          <w:numId w:val="1"/>
        </w:numPr>
        <w:pBdr>
          <w:top w:val="nil"/>
          <w:left w:val="nil"/>
          <w:bottom w:val="nil"/>
          <w:right w:val="nil"/>
          <w:between w:val="nil"/>
        </w:pBdr>
        <w:spacing w:after="0" w:line="240" w:lineRule="auto"/>
        <w:ind w:right="60"/>
        <w:jc w:val="both"/>
        <w:rPr>
          <w:rFonts w:ascii="Arial" w:eastAsia="Arial" w:hAnsi="Arial" w:cs="Arial"/>
          <w:color w:val="000000"/>
          <w:sz w:val="22"/>
          <w:szCs w:val="22"/>
        </w:rPr>
      </w:pPr>
      <w:r>
        <w:rPr>
          <w:rFonts w:ascii="Arial" w:eastAsia="Arial" w:hAnsi="Arial" w:cs="Arial"/>
          <w:color w:val="000000"/>
          <w:sz w:val="22"/>
          <w:szCs w:val="22"/>
        </w:rPr>
        <w:t>Years in Teaching.</w:t>
      </w:r>
    </w:p>
    <w:p w:rsidR="00704449" w:rsidRDefault="00704449">
      <w:pPr>
        <w:pBdr>
          <w:top w:val="nil"/>
          <w:left w:val="nil"/>
          <w:bottom w:val="nil"/>
          <w:right w:val="nil"/>
          <w:between w:val="nil"/>
        </w:pBdr>
        <w:spacing w:after="0" w:line="240" w:lineRule="auto"/>
        <w:ind w:left="1080" w:right="60"/>
        <w:jc w:val="both"/>
        <w:rPr>
          <w:rFonts w:ascii="Arial" w:eastAsia="Arial" w:hAnsi="Arial" w:cs="Arial"/>
          <w:color w:val="000000"/>
          <w:sz w:val="22"/>
          <w:szCs w:val="22"/>
        </w:rPr>
      </w:pPr>
    </w:p>
    <w:p w:rsidR="00704449" w:rsidRDefault="0090383F">
      <w:pPr>
        <w:numPr>
          <w:ilvl w:val="0"/>
          <w:numId w:val="1"/>
        </w:numPr>
        <w:pBdr>
          <w:top w:val="nil"/>
          <w:left w:val="nil"/>
          <w:bottom w:val="nil"/>
          <w:right w:val="nil"/>
          <w:between w:val="nil"/>
        </w:pBdr>
        <w:spacing w:after="0" w:line="240" w:lineRule="auto"/>
        <w:ind w:right="60"/>
        <w:jc w:val="both"/>
        <w:rPr>
          <w:rFonts w:ascii="Arial" w:eastAsia="Arial" w:hAnsi="Arial" w:cs="Arial"/>
          <w:color w:val="000000"/>
          <w:sz w:val="22"/>
          <w:szCs w:val="22"/>
        </w:rPr>
      </w:pPr>
      <w:r>
        <w:rPr>
          <w:rFonts w:ascii="Arial" w:eastAsia="Arial" w:hAnsi="Arial" w:cs="Arial"/>
          <w:color w:val="000000"/>
          <w:sz w:val="22"/>
          <w:szCs w:val="22"/>
        </w:rPr>
        <w:t xml:space="preserve">To determine the level of acceptance of elementary school teachers on the implementation of sex </w:t>
      </w:r>
      <w:r>
        <w:rPr>
          <w:rFonts w:ascii="Arial" w:eastAsia="Arial" w:hAnsi="Arial" w:cs="Arial"/>
          <w:color w:val="000000"/>
          <w:sz w:val="22"/>
          <w:szCs w:val="22"/>
        </w:rPr>
        <w:t>education in the classroom in terms of:</w:t>
      </w:r>
    </w:p>
    <w:p w:rsidR="00704449" w:rsidRDefault="0090383F">
      <w:pPr>
        <w:numPr>
          <w:ilvl w:val="1"/>
          <w:numId w:val="1"/>
        </w:numPr>
        <w:pBdr>
          <w:top w:val="nil"/>
          <w:left w:val="nil"/>
          <w:bottom w:val="nil"/>
          <w:right w:val="nil"/>
          <w:between w:val="nil"/>
        </w:pBdr>
        <w:spacing w:after="0" w:line="240" w:lineRule="auto"/>
        <w:ind w:right="60"/>
        <w:jc w:val="both"/>
        <w:rPr>
          <w:rFonts w:ascii="Arial" w:eastAsia="Arial" w:hAnsi="Arial" w:cs="Arial"/>
          <w:color w:val="000000"/>
          <w:sz w:val="22"/>
          <w:szCs w:val="22"/>
        </w:rPr>
      </w:pPr>
      <w:r>
        <w:rPr>
          <w:rFonts w:ascii="Arial" w:eastAsia="Arial" w:hAnsi="Arial" w:cs="Arial"/>
          <w:color w:val="000000"/>
          <w:sz w:val="22"/>
          <w:szCs w:val="22"/>
        </w:rPr>
        <w:t>Approval</w:t>
      </w:r>
    </w:p>
    <w:p w:rsidR="00704449" w:rsidRDefault="0090383F">
      <w:pPr>
        <w:numPr>
          <w:ilvl w:val="1"/>
          <w:numId w:val="1"/>
        </w:numPr>
        <w:pBdr>
          <w:top w:val="nil"/>
          <w:left w:val="nil"/>
          <w:bottom w:val="nil"/>
          <w:right w:val="nil"/>
          <w:between w:val="nil"/>
        </w:pBdr>
        <w:spacing w:after="0" w:line="240" w:lineRule="auto"/>
        <w:ind w:right="60"/>
        <w:jc w:val="both"/>
        <w:rPr>
          <w:rFonts w:ascii="Arial" w:eastAsia="Arial" w:hAnsi="Arial" w:cs="Arial"/>
          <w:color w:val="000000"/>
          <w:sz w:val="22"/>
          <w:szCs w:val="22"/>
        </w:rPr>
      </w:pPr>
      <w:r>
        <w:rPr>
          <w:rFonts w:ascii="Arial" w:eastAsia="Arial" w:hAnsi="Arial" w:cs="Arial"/>
          <w:color w:val="000000"/>
          <w:sz w:val="22"/>
          <w:szCs w:val="22"/>
        </w:rPr>
        <w:t xml:space="preserve">Job effectiveness; and </w:t>
      </w:r>
    </w:p>
    <w:p w:rsidR="00704449" w:rsidRDefault="0090383F">
      <w:pPr>
        <w:numPr>
          <w:ilvl w:val="1"/>
          <w:numId w:val="1"/>
        </w:numPr>
        <w:pBdr>
          <w:top w:val="nil"/>
          <w:left w:val="nil"/>
          <w:bottom w:val="nil"/>
          <w:right w:val="nil"/>
          <w:between w:val="nil"/>
        </w:pBdr>
        <w:spacing w:after="0" w:line="240" w:lineRule="auto"/>
        <w:ind w:right="60"/>
        <w:jc w:val="both"/>
        <w:rPr>
          <w:rFonts w:ascii="Arial" w:eastAsia="Arial" w:hAnsi="Arial" w:cs="Arial"/>
          <w:color w:val="000000"/>
          <w:sz w:val="22"/>
          <w:szCs w:val="22"/>
        </w:rPr>
      </w:pPr>
      <w:r>
        <w:rPr>
          <w:rFonts w:ascii="Arial" w:eastAsia="Arial" w:hAnsi="Arial" w:cs="Arial"/>
          <w:color w:val="000000"/>
          <w:sz w:val="22"/>
          <w:szCs w:val="22"/>
        </w:rPr>
        <w:t>Confidence.</w:t>
      </w:r>
    </w:p>
    <w:p w:rsidR="00704449" w:rsidRDefault="00704449">
      <w:pPr>
        <w:pBdr>
          <w:top w:val="nil"/>
          <w:left w:val="nil"/>
          <w:bottom w:val="nil"/>
          <w:right w:val="nil"/>
          <w:between w:val="nil"/>
        </w:pBdr>
        <w:spacing w:after="0" w:line="240" w:lineRule="auto"/>
        <w:ind w:left="1080" w:right="60"/>
        <w:jc w:val="both"/>
        <w:rPr>
          <w:rFonts w:ascii="Arial" w:eastAsia="Arial" w:hAnsi="Arial" w:cs="Arial"/>
          <w:color w:val="000000"/>
          <w:sz w:val="22"/>
          <w:szCs w:val="22"/>
        </w:rPr>
      </w:pPr>
    </w:p>
    <w:p w:rsidR="00704449" w:rsidRDefault="0090383F">
      <w:pPr>
        <w:numPr>
          <w:ilvl w:val="0"/>
          <w:numId w:val="1"/>
        </w:numPr>
        <w:pBdr>
          <w:top w:val="nil"/>
          <w:left w:val="nil"/>
          <w:bottom w:val="nil"/>
          <w:right w:val="nil"/>
          <w:between w:val="nil"/>
        </w:pBdr>
        <w:spacing w:after="0" w:line="240" w:lineRule="auto"/>
        <w:ind w:right="60"/>
        <w:jc w:val="both"/>
        <w:rPr>
          <w:rFonts w:ascii="Arial" w:eastAsia="Arial" w:hAnsi="Arial" w:cs="Arial"/>
          <w:color w:val="000000"/>
          <w:sz w:val="22"/>
          <w:szCs w:val="22"/>
        </w:rPr>
      </w:pPr>
      <w:r>
        <w:rPr>
          <w:rFonts w:ascii="Arial" w:eastAsia="Arial" w:hAnsi="Arial" w:cs="Arial"/>
          <w:sz w:val="22"/>
          <w:szCs w:val="22"/>
        </w:rPr>
        <w:t>T</w:t>
      </w:r>
      <w:r>
        <w:rPr>
          <w:rFonts w:ascii="Arial" w:eastAsia="Arial" w:hAnsi="Arial" w:cs="Arial"/>
          <w:color w:val="000000"/>
          <w:sz w:val="22"/>
          <w:szCs w:val="22"/>
        </w:rPr>
        <w:t xml:space="preserve">o determine </w:t>
      </w:r>
      <w:r>
        <w:rPr>
          <w:rFonts w:ascii="Arial" w:eastAsia="Arial" w:hAnsi="Arial" w:cs="Arial"/>
          <w:sz w:val="22"/>
          <w:szCs w:val="22"/>
        </w:rPr>
        <w:t>the</w:t>
      </w:r>
      <w:r>
        <w:rPr>
          <w:rFonts w:ascii="Arial" w:eastAsia="Arial" w:hAnsi="Arial" w:cs="Arial"/>
          <w:color w:val="000000"/>
          <w:sz w:val="22"/>
          <w:szCs w:val="22"/>
        </w:rPr>
        <w:t xml:space="preserve"> significant difference </w:t>
      </w:r>
      <w:r>
        <w:rPr>
          <w:rFonts w:ascii="Arial" w:eastAsia="Arial" w:hAnsi="Arial" w:cs="Arial"/>
          <w:sz w:val="22"/>
          <w:szCs w:val="22"/>
        </w:rPr>
        <w:t>between the teacher’s profile and acceptance level in teaching sex education</w:t>
      </w:r>
    </w:p>
    <w:p w:rsidR="00704449" w:rsidRDefault="00704449">
      <w:pPr>
        <w:pBdr>
          <w:top w:val="nil"/>
          <w:left w:val="nil"/>
          <w:bottom w:val="nil"/>
          <w:right w:val="nil"/>
          <w:between w:val="nil"/>
        </w:pBdr>
        <w:spacing w:after="0" w:line="240" w:lineRule="auto"/>
        <w:ind w:right="-252"/>
        <w:jc w:val="both"/>
        <w:rPr>
          <w:rFonts w:ascii="Arial" w:eastAsia="Arial" w:hAnsi="Arial" w:cs="Arial"/>
          <w:color w:val="000000"/>
          <w:sz w:val="22"/>
          <w:szCs w:val="22"/>
        </w:rPr>
      </w:pPr>
    </w:p>
    <w:p w:rsidR="00704449" w:rsidRDefault="0090383F">
      <w:pPr>
        <w:pBdr>
          <w:top w:val="nil"/>
          <w:left w:val="nil"/>
          <w:bottom w:val="nil"/>
          <w:right w:val="nil"/>
          <w:between w:val="nil"/>
        </w:pBdr>
        <w:spacing w:after="0" w:line="240" w:lineRule="auto"/>
        <w:ind w:right="-252"/>
        <w:jc w:val="both"/>
        <w:rPr>
          <w:rFonts w:ascii="Arial" w:eastAsia="Arial" w:hAnsi="Arial" w:cs="Arial"/>
          <w:b/>
          <w:color w:val="000000"/>
          <w:sz w:val="22"/>
          <w:szCs w:val="22"/>
        </w:rPr>
      </w:pPr>
      <w:r>
        <w:rPr>
          <w:rFonts w:ascii="Arial" w:eastAsia="Arial" w:hAnsi="Arial" w:cs="Arial"/>
          <w:b/>
          <w:color w:val="000000"/>
          <w:sz w:val="22"/>
          <w:szCs w:val="22"/>
        </w:rPr>
        <w:t>3. METHODS</w:t>
      </w:r>
    </w:p>
    <w:p w:rsidR="00704449" w:rsidRDefault="00704449">
      <w:pPr>
        <w:pBdr>
          <w:top w:val="nil"/>
          <w:left w:val="nil"/>
          <w:bottom w:val="nil"/>
          <w:right w:val="nil"/>
          <w:between w:val="nil"/>
        </w:pBdr>
        <w:spacing w:after="0" w:line="240" w:lineRule="auto"/>
        <w:ind w:right="-252"/>
        <w:jc w:val="both"/>
        <w:rPr>
          <w:rFonts w:ascii="Arial" w:eastAsia="Arial" w:hAnsi="Arial" w:cs="Arial"/>
          <w:b/>
          <w:color w:val="000000"/>
          <w:sz w:val="22"/>
          <w:szCs w:val="22"/>
        </w:rPr>
      </w:pPr>
    </w:p>
    <w:p w:rsidR="00704449" w:rsidRDefault="0090383F">
      <w:pPr>
        <w:pBdr>
          <w:top w:val="nil"/>
          <w:left w:val="nil"/>
          <w:bottom w:val="nil"/>
          <w:right w:val="nil"/>
          <w:between w:val="nil"/>
        </w:pBdr>
        <w:spacing w:after="0" w:line="240" w:lineRule="auto"/>
        <w:ind w:right="-252"/>
        <w:jc w:val="both"/>
        <w:rPr>
          <w:rFonts w:ascii="Arial" w:eastAsia="Arial" w:hAnsi="Arial" w:cs="Arial"/>
          <w:b/>
          <w:color w:val="000000"/>
          <w:sz w:val="22"/>
          <w:szCs w:val="22"/>
        </w:rPr>
      </w:pPr>
      <w:r>
        <w:rPr>
          <w:rFonts w:ascii="Arial" w:eastAsia="Arial" w:hAnsi="Arial" w:cs="Arial"/>
          <w:b/>
          <w:color w:val="000000"/>
          <w:sz w:val="22"/>
          <w:szCs w:val="22"/>
        </w:rPr>
        <w:t>3.1 RESPONDENTS</w:t>
      </w:r>
    </w:p>
    <w:p w:rsidR="00704449" w:rsidRDefault="00704449">
      <w:pPr>
        <w:pBdr>
          <w:top w:val="nil"/>
          <w:left w:val="nil"/>
          <w:bottom w:val="nil"/>
          <w:right w:val="nil"/>
          <w:between w:val="nil"/>
        </w:pBdr>
        <w:spacing w:after="0" w:line="240" w:lineRule="auto"/>
        <w:ind w:right="-252"/>
        <w:jc w:val="both"/>
        <w:rPr>
          <w:rFonts w:ascii="Arial" w:eastAsia="Arial" w:hAnsi="Arial" w:cs="Arial"/>
          <w:color w:val="000000"/>
        </w:rPr>
      </w:pPr>
    </w:p>
    <w:p w:rsidR="00704449" w:rsidRDefault="0090383F">
      <w:pPr>
        <w:spacing w:after="0" w:line="240" w:lineRule="auto"/>
        <w:ind w:right="-30"/>
        <w:jc w:val="both"/>
        <w:rPr>
          <w:rFonts w:ascii="Arial" w:eastAsia="Arial" w:hAnsi="Arial" w:cs="Arial"/>
          <w:color w:val="000000"/>
          <w:sz w:val="20"/>
          <w:szCs w:val="20"/>
        </w:rPr>
      </w:pPr>
      <w:r>
        <w:rPr>
          <w:rFonts w:ascii="Arial" w:eastAsia="Arial" w:hAnsi="Arial" w:cs="Arial"/>
          <w:color w:val="000000"/>
          <w:sz w:val="20"/>
          <w:szCs w:val="20"/>
        </w:rPr>
        <w:t xml:space="preserve">This study's participants were 150 elementary teachers in the Division of Davao del Sur. Simple random sampling [22] </w:t>
      </w:r>
      <w:r>
        <w:rPr>
          <w:rFonts w:ascii="Arial" w:eastAsia="Arial" w:hAnsi="Arial" w:cs="Arial"/>
          <w:sz w:val="20"/>
          <w:szCs w:val="20"/>
        </w:rPr>
        <w:t>was employed to choose respondents based</w:t>
      </w:r>
      <w:r>
        <w:rPr>
          <w:rFonts w:ascii="Arial" w:eastAsia="Arial" w:hAnsi="Arial" w:cs="Arial"/>
          <w:color w:val="000000"/>
          <w:sz w:val="20"/>
          <w:szCs w:val="20"/>
        </w:rPr>
        <w:t xml:space="preserve"> on Age, Gender, civil status, and years of teaching. According to Thomas [23]</w:t>
      </w:r>
      <w:r>
        <w:rPr>
          <w:rFonts w:ascii="Arial" w:eastAsia="Arial" w:hAnsi="Arial" w:cs="Arial"/>
          <w:sz w:val="20"/>
          <w:szCs w:val="20"/>
        </w:rPr>
        <w:t xml:space="preserve">, simple random sampling ensures that each member of a population has an equal probability of selection in their response. </w:t>
      </w:r>
      <w:r>
        <w:rPr>
          <w:rFonts w:ascii="Arial" w:eastAsia="Arial" w:hAnsi="Arial" w:cs="Arial"/>
          <w:color w:val="000000"/>
          <w:sz w:val="20"/>
          <w:szCs w:val="20"/>
        </w:rPr>
        <w:t>Only teachers who agreed to participate in the data collection are eligible for this survey.</w:t>
      </w:r>
    </w:p>
    <w:p w:rsidR="00704449" w:rsidRDefault="00704449">
      <w:pPr>
        <w:spacing w:after="0" w:line="240" w:lineRule="auto"/>
        <w:ind w:right="-300"/>
        <w:jc w:val="both"/>
        <w:rPr>
          <w:rFonts w:ascii="Arial" w:eastAsia="Arial" w:hAnsi="Arial" w:cs="Arial"/>
          <w:sz w:val="20"/>
          <w:szCs w:val="20"/>
        </w:rPr>
      </w:pPr>
    </w:p>
    <w:p w:rsidR="00704449" w:rsidRDefault="0090383F">
      <w:pPr>
        <w:spacing w:after="0" w:line="240" w:lineRule="auto"/>
        <w:ind w:right="-30"/>
        <w:jc w:val="both"/>
        <w:rPr>
          <w:rFonts w:ascii="Arial" w:eastAsia="Arial" w:hAnsi="Arial" w:cs="Arial"/>
          <w:sz w:val="20"/>
          <w:szCs w:val="20"/>
        </w:rPr>
      </w:pPr>
      <w:r>
        <w:rPr>
          <w:rFonts w:ascii="Arial" w:eastAsia="Arial" w:hAnsi="Arial" w:cs="Arial"/>
          <w:color w:val="000000"/>
          <w:sz w:val="20"/>
          <w:szCs w:val="20"/>
        </w:rPr>
        <w:t>In choosing the research participants o</w:t>
      </w:r>
      <w:r>
        <w:rPr>
          <w:rFonts w:ascii="Arial" w:eastAsia="Arial" w:hAnsi="Arial" w:cs="Arial"/>
          <w:color w:val="000000"/>
          <w:sz w:val="20"/>
          <w:szCs w:val="20"/>
        </w:rPr>
        <w:t xml:space="preserve">f this study, the following criteria were strictly followed: (1) must be a teacher in a </w:t>
      </w:r>
      <w:r>
        <w:rPr>
          <w:rFonts w:ascii="Arial" w:eastAsia="Arial" w:hAnsi="Arial" w:cs="Arial"/>
          <w:sz w:val="20"/>
          <w:szCs w:val="20"/>
        </w:rPr>
        <w:t>public school, (2) the teacher must have at least one (1) year of teaching experience</w:t>
      </w:r>
      <w:r>
        <w:rPr>
          <w:rFonts w:ascii="Arial" w:eastAsia="Arial" w:hAnsi="Arial" w:cs="Arial"/>
          <w:sz w:val="20"/>
          <w:szCs w:val="20"/>
          <w:lang w:val="en-US"/>
        </w:rPr>
        <w:t>,</w:t>
      </w:r>
      <w:r>
        <w:rPr>
          <w:rFonts w:ascii="Arial" w:eastAsia="Arial" w:hAnsi="Arial" w:cs="Arial"/>
          <w:sz w:val="20"/>
          <w:szCs w:val="20"/>
        </w:rPr>
        <w:t xml:space="preserve"> and </w:t>
      </w:r>
      <w:r>
        <w:rPr>
          <w:rFonts w:ascii="Arial" w:eastAsia="Arial" w:hAnsi="Arial" w:cs="Arial"/>
          <w:color w:val="000000"/>
          <w:sz w:val="20"/>
          <w:szCs w:val="20"/>
        </w:rPr>
        <w:t>(3) the teacher is willing to participate in answering the survey questionnai</w:t>
      </w:r>
      <w:r>
        <w:rPr>
          <w:rFonts w:ascii="Arial" w:eastAsia="Arial" w:hAnsi="Arial" w:cs="Arial"/>
          <w:color w:val="000000"/>
          <w:sz w:val="20"/>
          <w:szCs w:val="20"/>
        </w:rPr>
        <w:t>re. Moreover, the withdrawal criteria are the following: (1) not a public-school</w:t>
      </w:r>
      <w:r>
        <w:rPr>
          <w:rFonts w:ascii="Arial" w:eastAsia="Arial" w:hAnsi="Arial" w:cs="Arial"/>
          <w:sz w:val="20"/>
          <w:szCs w:val="20"/>
        </w:rPr>
        <w:t xml:space="preserve"> </w:t>
      </w:r>
      <w:r>
        <w:rPr>
          <w:rFonts w:ascii="Arial" w:eastAsia="Arial" w:hAnsi="Arial" w:cs="Arial"/>
          <w:color w:val="000000"/>
          <w:sz w:val="20"/>
          <w:szCs w:val="20"/>
        </w:rPr>
        <w:t>teacher, (2) less than one (1) year of teaching experience, (3) not responsive to any questions, and (4) not meeting the criteria during the conduct of data collection.</w:t>
      </w:r>
    </w:p>
    <w:p w:rsidR="00704449" w:rsidRDefault="00704449">
      <w:pPr>
        <w:pBdr>
          <w:top w:val="nil"/>
          <w:left w:val="nil"/>
          <w:bottom w:val="nil"/>
          <w:right w:val="nil"/>
          <w:between w:val="nil"/>
        </w:pBdr>
        <w:spacing w:after="0" w:line="240" w:lineRule="auto"/>
        <w:ind w:right="-252"/>
        <w:jc w:val="both"/>
        <w:rPr>
          <w:rFonts w:ascii="Arial" w:eastAsia="Arial" w:hAnsi="Arial" w:cs="Arial"/>
          <w:b/>
          <w:color w:val="000000"/>
          <w:sz w:val="22"/>
          <w:szCs w:val="22"/>
        </w:rPr>
      </w:pPr>
    </w:p>
    <w:p w:rsidR="00704449" w:rsidRDefault="0090383F">
      <w:pPr>
        <w:pBdr>
          <w:top w:val="nil"/>
          <w:left w:val="nil"/>
          <w:bottom w:val="nil"/>
          <w:right w:val="nil"/>
          <w:between w:val="nil"/>
        </w:pBdr>
        <w:spacing w:after="0" w:line="240" w:lineRule="auto"/>
        <w:ind w:right="-252"/>
        <w:jc w:val="both"/>
        <w:rPr>
          <w:rFonts w:ascii="Arial" w:eastAsia="Arial" w:hAnsi="Arial" w:cs="Arial"/>
          <w:b/>
          <w:color w:val="000000"/>
          <w:sz w:val="22"/>
          <w:szCs w:val="22"/>
        </w:rPr>
      </w:pPr>
      <w:r>
        <w:rPr>
          <w:rFonts w:ascii="Arial" w:eastAsia="Arial" w:hAnsi="Arial" w:cs="Arial"/>
          <w:b/>
          <w:color w:val="000000"/>
          <w:sz w:val="22"/>
          <w:szCs w:val="22"/>
        </w:rPr>
        <w:t>3.2 I</w:t>
      </w:r>
      <w:r>
        <w:rPr>
          <w:rFonts w:ascii="Arial" w:eastAsia="Arial" w:hAnsi="Arial" w:cs="Arial"/>
          <w:b/>
          <w:color w:val="000000"/>
          <w:sz w:val="22"/>
          <w:szCs w:val="22"/>
        </w:rPr>
        <w:t>NSTRUMENTS</w:t>
      </w:r>
    </w:p>
    <w:p w:rsidR="00704449" w:rsidRDefault="00704449">
      <w:pPr>
        <w:pBdr>
          <w:top w:val="nil"/>
          <w:left w:val="nil"/>
          <w:bottom w:val="nil"/>
          <w:right w:val="nil"/>
          <w:between w:val="nil"/>
        </w:pBdr>
        <w:spacing w:after="0" w:line="240" w:lineRule="auto"/>
        <w:ind w:right="-252"/>
        <w:jc w:val="both"/>
        <w:rPr>
          <w:rFonts w:ascii="Arial" w:eastAsia="Arial" w:hAnsi="Arial" w:cs="Arial"/>
          <w:b/>
          <w:color w:val="000000"/>
          <w:sz w:val="22"/>
          <w:szCs w:val="22"/>
        </w:rPr>
      </w:pPr>
    </w:p>
    <w:p w:rsidR="00704449" w:rsidRDefault="0090383F">
      <w:pPr>
        <w:spacing w:after="0" w:line="240" w:lineRule="auto"/>
        <w:ind w:right="60"/>
        <w:jc w:val="both"/>
        <w:rPr>
          <w:rFonts w:ascii="Arial" w:eastAsia="Arial" w:hAnsi="Arial" w:cs="Arial"/>
          <w:sz w:val="20"/>
          <w:szCs w:val="20"/>
        </w:rPr>
      </w:pPr>
      <w:r>
        <w:rPr>
          <w:rFonts w:ascii="Arial" w:eastAsia="Arial" w:hAnsi="Arial" w:cs="Arial"/>
          <w:sz w:val="20"/>
          <w:szCs w:val="20"/>
        </w:rPr>
        <w:t>Teachers' Perceptions of the Teaching of Sexuality Education in the Pinetown Schools. The instrument used by the researcher to gather data is a validated questionnaire adopted from (Namisile Joyce Mchunu, 2007).</w:t>
      </w:r>
      <w:r>
        <w:rPr>
          <w:rFonts w:ascii="Arial" w:eastAsia="Arial" w:hAnsi="Arial" w:cs="Arial"/>
          <w:sz w:val="20"/>
          <w:szCs w:val="20"/>
        </w:rPr>
        <w:t xml:space="preserve"> The instrument was composed of t</w:t>
      </w:r>
      <w:r>
        <w:rPr>
          <w:rFonts w:ascii="Arial" w:eastAsia="Arial" w:hAnsi="Arial" w:cs="Arial"/>
          <w:sz w:val="20"/>
          <w:szCs w:val="20"/>
        </w:rPr>
        <w:t xml:space="preserve">wo parts. Part I deals with the demographic profiles of the </w:t>
      </w:r>
    </w:p>
    <w:p w:rsidR="00704449" w:rsidRDefault="00704449">
      <w:pPr>
        <w:spacing w:after="0" w:line="240" w:lineRule="auto"/>
        <w:ind w:right="60"/>
        <w:jc w:val="both"/>
        <w:rPr>
          <w:rFonts w:ascii="Arial" w:eastAsia="Arial" w:hAnsi="Arial" w:cs="Arial"/>
          <w:sz w:val="20"/>
          <w:szCs w:val="20"/>
        </w:rPr>
      </w:pPr>
    </w:p>
    <w:p w:rsidR="00704449" w:rsidRDefault="0090383F">
      <w:pPr>
        <w:spacing w:after="0" w:line="240" w:lineRule="auto"/>
        <w:ind w:right="60"/>
        <w:jc w:val="both"/>
        <w:rPr>
          <w:rFonts w:ascii="Arial" w:eastAsia="Arial" w:hAnsi="Arial" w:cs="Arial"/>
          <w:color w:val="000000"/>
          <w:sz w:val="20"/>
          <w:szCs w:val="20"/>
        </w:rPr>
      </w:pPr>
      <w:r>
        <w:rPr>
          <w:rFonts w:ascii="Arial" w:eastAsia="Arial" w:hAnsi="Arial" w:cs="Arial"/>
          <w:color w:val="000000"/>
          <w:sz w:val="20"/>
          <w:szCs w:val="20"/>
        </w:rPr>
        <w:t xml:space="preserve">The instrument was composed of two parts. Part I deals with the demographic profiles of the respondents in terms of </w:t>
      </w:r>
      <w:r>
        <w:rPr>
          <w:rFonts w:ascii="Arial" w:eastAsia="Arial" w:hAnsi="Arial" w:cs="Arial"/>
          <w:sz w:val="20"/>
          <w:szCs w:val="20"/>
        </w:rPr>
        <w:t>a</w:t>
      </w:r>
      <w:r>
        <w:rPr>
          <w:rFonts w:ascii="Arial" w:eastAsia="Arial" w:hAnsi="Arial" w:cs="Arial"/>
          <w:color w:val="000000"/>
          <w:sz w:val="20"/>
          <w:szCs w:val="20"/>
        </w:rPr>
        <w:t xml:space="preserve">ge, </w:t>
      </w:r>
      <w:r>
        <w:rPr>
          <w:rFonts w:ascii="Arial" w:eastAsia="Arial" w:hAnsi="Arial" w:cs="Arial"/>
          <w:sz w:val="20"/>
          <w:szCs w:val="20"/>
        </w:rPr>
        <w:t>g</w:t>
      </w:r>
      <w:r>
        <w:rPr>
          <w:rFonts w:ascii="Arial" w:eastAsia="Arial" w:hAnsi="Arial" w:cs="Arial"/>
          <w:color w:val="000000"/>
          <w:sz w:val="20"/>
          <w:szCs w:val="20"/>
        </w:rPr>
        <w:t>ender, civil status, and years of teaching. Part II deals with the accep</w:t>
      </w:r>
      <w:r>
        <w:rPr>
          <w:rFonts w:ascii="Arial" w:eastAsia="Arial" w:hAnsi="Arial" w:cs="Arial"/>
          <w:color w:val="000000"/>
          <w:sz w:val="20"/>
          <w:szCs w:val="20"/>
        </w:rPr>
        <w:t>tance level of teachers teaching sex education, which has three indicators: approval, job effectiveness, and confidence. The second part was a 16-item questionnaire adopted from</w:t>
      </w:r>
      <w:r>
        <w:rPr>
          <w:rFonts w:ascii="Arial" w:eastAsia="Arial" w:hAnsi="Arial" w:cs="Arial"/>
          <w:sz w:val="20"/>
          <w:szCs w:val="20"/>
        </w:rPr>
        <w:t xml:space="preserve"> Mchunu [24]</w:t>
      </w:r>
      <w:r>
        <w:rPr>
          <w:rFonts w:ascii="Arial" w:eastAsia="Arial" w:hAnsi="Arial" w:cs="Arial"/>
          <w:color w:val="000000"/>
          <w:sz w:val="20"/>
          <w:szCs w:val="20"/>
        </w:rPr>
        <w:t>, with six (6) items for approval, five (5) items for job effective</w:t>
      </w:r>
      <w:r>
        <w:rPr>
          <w:rFonts w:ascii="Arial" w:eastAsia="Arial" w:hAnsi="Arial" w:cs="Arial"/>
          <w:color w:val="000000"/>
          <w:sz w:val="20"/>
          <w:szCs w:val="20"/>
        </w:rPr>
        <w:t xml:space="preserve">ness, and five (5) items for confidence. Hence, the reliability test of the 16-item scale </w:t>
      </w:r>
      <m:oMath>
        <m:r>
          <w:rPr>
            <w:rFonts w:ascii="Cambria Math" w:eastAsia="Cambria Math" w:hAnsi="Cambria Math" w:cs="Cambria Math"/>
            <w:color w:val="000000"/>
            <w:sz w:val="20"/>
            <w:szCs w:val="20"/>
          </w:rPr>
          <m:t>α</m:t>
        </m:r>
        <m:r>
          <w:rPr>
            <w:rFonts w:ascii="Cambria Math" w:eastAsia="Cambria Math" w:hAnsi="Cambria Math" w:cs="Cambria Math"/>
            <w:color w:val="000000"/>
            <w:sz w:val="20"/>
            <w:szCs w:val="20"/>
          </w:rPr>
          <m:t>=.835</m:t>
        </m:r>
      </m:oMath>
      <w:r>
        <w:rPr>
          <w:rFonts w:ascii="Arial" w:eastAsia="Arial" w:hAnsi="Arial" w:cs="Arial"/>
          <w:color w:val="000000"/>
          <w:sz w:val="20"/>
          <w:szCs w:val="20"/>
        </w:rPr>
        <w:t xml:space="preserve">suggested that the items have a relatively high internal consistency. </w:t>
      </w:r>
    </w:p>
    <w:p w:rsidR="00704449" w:rsidRDefault="00704449">
      <w:pPr>
        <w:spacing w:after="0" w:line="240" w:lineRule="auto"/>
        <w:jc w:val="both"/>
        <w:rPr>
          <w:rFonts w:ascii="Arial" w:eastAsia="Arial" w:hAnsi="Arial" w:cs="Arial"/>
          <w:color w:val="000000"/>
          <w:sz w:val="20"/>
          <w:szCs w:val="20"/>
        </w:rPr>
      </w:pPr>
    </w:p>
    <w:p w:rsidR="00704449" w:rsidRDefault="0090383F">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In this study, the researchers used a 5-likert scale to interpret the teachers’ respons</w:t>
      </w:r>
      <w:r>
        <w:rPr>
          <w:rFonts w:ascii="Arial" w:eastAsia="Arial" w:hAnsi="Arial" w:cs="Arial"/>
          <w:color w:val="000000"/>
          <w:sz w:val="20"/>
          <w:szCs w:val="20"/>
        </w:rPr>
        <w:t>es to the level of teachers teaching sex education. The scale below was used to analyze the data</w:t>
      </w:r>
      <w:r>
        <w:rPr>
          <w:rFonts w:ascii="Arial" w:eastAsia="Arial" w:hAnsi="Arial" w:cs="Arial"/>
          <w:sz w:val="20"/>
          <w:szCs w:val="20"/>
        </w:rPr>
        <w:t xml:space="preserve"> adopted from the work of Malasarte et al, (2024)</w:t>
      </w:r>
    </w:p>
    <w:p w:rsidR="00704449" w:rsidRDefault="00704449">
      <w:pPr>
        <w:pBdr>
          <w:top w:val="nil"/>
          <w:left w:val="nil"/>
          <w:bottom w:val="nil"/>
          <w:right w:val="nil"/>
          <w:between w:val="nil"/>
        </w:pBdr>
        <w:spacing w:after="0" w:line="240" w:lineRule="auto"/>
        <w:ind w:right="-252"/>
        <w:jc w:val="both"/>
        <w:rPr>
          <w:rFonts w:ascii="Arial" w:eastAsia="Arial" w:hAnsi="Arial" w:cs="Arial"/>
          <w:b/>
          <w:color w:val="000000"/>
          <w:sz w:val="22"/>
          <w:szCs w:val="22"/>
        </w:rPr>
      </w:pPr>
    </w:p>
    <w:p w:rsidR="00704449" w:rsidRDefault="0090383F">
      <w:pPr>
        <w:pBdr>
          <w:top w:val="nil"/>
          <w:left w:val="nil"/>
          <w:bottom w:val="nil"/>
          <w:right w:val="nil"/>
          <w:between w:val="nil"/>
        </w:pBdr>
        <w:spacing w:after="0" w:line="240" w:lineRule="auto"/>
        <w:ind w:right="-252"/>
        <w:jc w:val="both"/>
        <w:rPr>
          <w:rFonts w:ascii="Arial" w:eastAsia="Arial" w:hAnsi="Arial" w:cs="Arial"/>
          <w:b/>
          <w:color w:val="000000"/>
          <w:sz w:val="22"/>
          <w:szCs w:val="22"/>
        </w:rPr>
      </w:pPr>
      <w:r>
        <w:rPr>
          <w:rFonts w:ascii="Arial" w:eastAsia="Arial" w:hAnsi="Arial" w:cs="Arial"/>
          <w:b/>
          <w:color w:val="000000"/>
          <w:sz w:val="22"/>
          <w:szCs w:val="22"/>
        </w:rPr>
        <w:t>3.3 DESIGN AND PROCEDURE</w:t>
      </w:r>
    </w:p>
    <w:p w:rsidR="00704449" w:rsidRDefault="00704449">
      <w:pPr>
        <w:pBdr>
          <w:top w:val="nil"/>
          <w:left w:val="nil"/>
          <w:bottom w:val="nil"/>
          <w:right w:val="nil"/>
          <w:between w:val="nil"/>
        </w:pBdr>
        <w:spacing w:after="0" w:line="240" w:lineRule="auto"/>
        <w:ind w:right="-252"/>
        <w:jc w:val="both"/>
        <w:rPr>
          <w:rFonts w:ascii="Arial" w:eastAsia="Arial" w:hAnsi="Arial" w:cs="Arial"/>
          <w:b/>
          <w:color w:val="000000"/>
          <w:sz w:val="22"/>
          <w:szCs w:val="22"/>
        </w:rPr>
      </w:pPr>
    </w:p>
    <w:p w:rsidR="00704449" w:rsidRDefault="0090383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sz w:val="20"/>
          <w:szCs w:val="20"/>
        </w:rPr>
        <w:t xml:space="preserve">This study utilized descriptive statistics to systematically synthesize data by </w:t>
      </w:r>
      <w:r>
        <w:rPr>
          <w:rFonts w:ascii="Arial" w:eastAsia="Arial" w:hAnsi="Arial" w:cs="Arial"/>
          <w:sz w:val="20"/>
          <w:szCs w:val="20"/>
        </w:rPr>
        <w:lastRenderedPageBreak/>
        <w:t xml:space="preserve">elucidating the association between variables within a sample or population Kaur et al. [25]. </w:t>
      </w:r>
      <w:r>
        <w:rPr>
          <w:rFonts w:ascii="Arial" w:eastAsia="Arial" w:hAnsi="Arial" w:cs="Arial"/>
          <w:color w:val="000000"/>
          <w:sz w:val="20"/>
          <w:szCs w:val="20"/>
        </w:rPr>
        <w:t>It also provides appropriate and precise explanations of such information with, wi</w:t>
      </w:r>
      <w:r>
        <w:rPr>
          <w:rFonts w:ascii="Arial" w:eastAsia="Arial" w:hAnsi="Arial" w:cs="Arial"/>
          <w:color w:val="000000"/>
          <w:sz w:val="20"/>
          <w:szCs w:val="20"/>
        </w:rPr>
        <w:t xml:space="preserve">thout, or sometimes with minimal statistical procedures that focus on the acceptance level of teachers teaching sex education. The researchers began by sending letters to the Division Office of Davao Del Sur to request </w:t>
      </w:r>
      <w:r>
        <w:rPr>
          <w:rFonts w:ascii="Arial" w:eastAsia="Arial" w:hAnsi="Arial" w:cs="Arial"/>
          <w:color w:val="000000"/>
          <w:sz w:val="20"/>
          <w:szCs w:val="20"/>
        </w:rPr>
        <w:t>permission to conduct the study. Once</w:t>
      </w:r>
      <w:r>
        <w:rPr>
          <w:rFonts w:ascii="Arial" w:eastAsia="Arial" w:hAnsi="Arial" w:cs="Arial"/>
          <w:color w:val="000000"/>
          <w:sz w:val="20"/>
          <w:szCs w:val="20"/>
        </w:rPr>
        <w:t xml:space="preserve"> approval was granted, additional permissions were obtained from the school heads for the appropriate survey schedules. Subsequently, the researchers met with the teachers to explain the study's purpose and significance and distribute the survey questionna</w:t>
      </w:r>
      <w:r>
        <w:rPr>
          <w:rFonts w:ascii="Arial" w:eastAsia="Arial" w:hAnsi="Arial" w:cs="Arial"/>
          <w:color w:val="000000"/>
          <w:sz w:val="20"/>
          <w:szCs w:val="20"/>
        </w:rPr>
        <w:t xml:space="preserve">ire. </w:t>
      </w:r>
    </w:p>
    <w:p w:rsidR="00704449" w:rsidRDefault="00704449">
      <w:pPr>
        <w:pBdr>
          <w:top w:val="nil"/>
          <w:left w:val="nil"/>
          <w:bottom w:val="nil"/>
          <w:right w:val="nil"/>
          <w:between w:val="nil"/>
        </w:pBdr>
        <w:spacing w:after="0" w:line="240" w:lineRule="auto"/>
        <w:jc w:val="both"/>
        <w:rPr>
          <w:rFonts w:ascii="Arial" w:eastAsia="Arial" w:hAnsi="Arial" w:cs="Arial"/>
          <w:color w:val="000000"/>
          <w:sz w:val="20"/>
          <w:szCs w:val="20"/>
        </w:rPr>
      </w:pPr>
    </w:p>
    <w:p w:rsidR="00704449" w:rsidRDefault="00704449">
      <w:pPr>
        <w:spacing w:after="0" w:line="240" w:lineRule="auto"/>
        <w:jc w:val="both"/>
        <w:rPr>
          <w:rFonts w:ascii="Arial" w:eastAsia="Arial" w:hAnsi="Arial" w:cs="Arial"/>
          <w:color w:val="000000"/>
          <w:sz w:val="20"/>
          <w:szCs w:val="20"/>
        </w:rPr>
        <w:sectPr w:rsidR="00704449">
          <w:type w:val="continuous"/>
          <w:pgSz w:w="12240" w:h="15840"/>
          <w:pgMar w:top="1440" w:right="2016" w:bottom="2016" w:left="2016" w:header="706" w:footer="706" w:gutter="0"/>
          <w:cols w:num="2" w:space="720" w:equalWidth="0">
            <w:col w:w="3750" w:space="708"/>
            <w:col w:w="3750"/>
          </w:cols>
        </w:sectPr>
      </w:pPr>
    </w:p>
    <w:p w:rsidR="00704449" w:rsidRDefault="00704449">
      <w:pPr>
        <w:spacing w:after="0" w:line="240" w:lineRule="auto"/>
        <w:rPr>
          <w:rFonts w:ascii="Arial" w:eastAsia="Arial" w:hAnsi="Arial" w:cs="Arial"/>
          <w:b/>
          <w:sz w:val="20"/>
          <w:szCs w:val="20"/>
        </w:rPr>
      </w:pPr>
    </w:p>
    <w:p w:rsidR="00704449" w:rsidRDefault="0090383F">
      <w:pPr>
        <w:spacing w:after="0" w:line="240" w:lineRule="auto"/>
        <w:jc w:val="center"/>
        <w:rPr>
          <w:rFonts w:ascii="Arial" w:eastAsia="Arial" w:hAnsi="Arial" w:cs="Arial"/>
          <w:b/>
          <w:i/>
          <w:color w:val="000000"/>
          <w:sz w:val="20"/>
          <w:szCs w:val="20"/>
        </w:rPr>
      </w:pPr>
      <w:r>
        <w:rPr>
          <w:rFonts w:ascii="Arial" w:eastAsia="Arial" w:hAnsi="Arial" w:cs="Arial"/>
          <w:b/>
          <w:color w:val="000000"/>
          <w:sz w:val="20"/>
          <w:szCs w:val="20"/>
        </w:rPr>
        <w:t xml:space="preserve">Table 1. </w:t>
      </w:r>
      <w:r>
        <w:rPr>
          <w:rFonts w:ascii="Arial" w:eastAsia="Arial" w:hAnsi="Arial" w:cs="Arial"/>
          <w:b/>
          <w:i/>
          <w:color w:val="000000"/>
          <w:sz w:val="20"/>
          <w:szCs w:val="20"/>
        </w:rPr>
        <w:t>Table for Interpretation for Acceptance Level.</w:t>
      </w:r>
    </w:p>
    <w:tbl>
      <w:tblPr>
        <w:tblStyle w:val="TableNormal0"/>
        <w:tblpPr w:leftFromText="180" w:rightFromText="180" w:vertAnchor="text" w:tblpX="-550" w:tblpY="112"/>
        <w:tblW w:w="9997" w:type="dxa"/>
        <w:tblInd w:w="0" w:type="dxa"/>
        <w:tblLayout w:type="fixed"/>
        <w:tblLook w:val="0000" w:firstRow="0" w:lastRow="0" w:firstColumn="0" w:lastColumn="0" w:noHBand="0" w:noVBand="0"/>
      </w:tblPr>
      <w:tblGrid>
        <w:gridCol w:w="811"/>
        <w:gridCol w:w="1713"/>
        <w:gridCol w:w="2001"/>
        <w:gridCol w:w="5472"/>
      </w:tblGrid>
      <w:tr w:rsidR="00704449">
        <w:trPr>
          <w:trHeight w:val="493"/>
        </w:trPr>
        <w:tc>
          <w:tcPr>
            <w:tcW w:w="811" w:type="dxa"/>
          </w:tcPr>
          <w:p w:rsidR="00704449" w:rsidRDefault="0090383F">
            <w:pPr>
              <w:widowControl w:val="0"/>
              <w:spacing w:after="0" w:line="240" w:lineRule="auto"/>
              <w:jc w:val="center"/>
              <w:rPr>
                <w:rFonts w:ascii="Arial" w:eastAsia="Arial" w:hAnsi="Arial" w:cs="Arial"/>
                <w:b/>
                <w:sz w:val="20"/>
                <w:szCs w:val="20"/>
              </w:rPr>
            </w:pPr>
            <w:r>
              <w:rPr>
                <w:rFonts w:ascii="Arial" w:eastAsia="Arial" w:hAnsi="Arial" w:cs="Arial"/>
                <w:b/>
                <w:sz w:val="20"/>
                <w:szCs w:val="20"/>
              </w:rPr>
              <w:t>Scale</w:t>
            </w:r>
          </w:p>
        </w:tc>
        <w:tc>
          <w:tcPr>
            <w:tcW w:w="1713" w:type="dxa"/>
          </w:tcPr>
          <w:p w:rsidR="00704449" w:rsidRDefault="0090383F">
            <w:pPr>
              <w:widowControl w:val="0"/>
              <w:spacing w:after="0" w:line="240" w:lineRule="auto"/>
              <w:jc w:val="center"/>
              <w:rPr>
                <w:rFonts w:ascii="Arial" w:eastAsia="Arial" w:hAnsi="Arial" w:cs="Arial"/>
                <w:b/>
                <w:sz w:val="20"/>
                <w:szCs w:val="20"/>
              </w:rPr>
            </w:pPr>
            <w:r>
              <w:rPr>
                <w:rFonts w:ascii="Arial" w:eastAsia="Arial" w:hAnsi="Arial" w:cs="Arial"/>
                <w:b/>
                <w:sz w:val="20"/>
                <w:szCs w:val="20"/>
              </w:rPr>
              <w:t>Range of Means</w:t>
            </w:r>
          </w:p>
        </w:tc>
        <w:tc>
          <w:tcPr>
            <w:tcW w:w="2001" w:type="dxa"/>
          </w:tcPr>
          <w:p w:rsidR="00704449" w:rsidRDefault="0090383F">
            <w:pPr>
              <w:widowControl w:val="0"/>
              <w:spacing w:after="0" w:line="240" w:lineRule="auto"/>
              <w:jc w:val="center"/>
              <w:rPr>
                <w:rFonts w:ascii="Arial" w:eastAsia="Arial" w:hAnsi="Arial" w:cs="Arial"/>
                <w:b/>
                <w:sz w:val="20"/>
                <w:szCs w:val="20"/>
              </w:rPr>
            </w:pPr>
            <w:r>
              <w:rPr>
                <w:rFonts w:ascii="Arial" w:eastAsia="Arial" w:hAnsi="Arial" w:cs="Arial"/>
                <w:b/>
                <w:sz w:val="20"/>
                <w:szCs w:val="20"/>
              </w:rPr>
              <w:t>Description Levels</w:t>
            </w:r>
          </w:p>
        </w:tc>
        <w:tc>
          <w:tcPr>
            <w:tcW w:w="5472" w:type="dxa"/>
          </w:tcPr>
          <w:p w:rsidR="00704449" w:rsidRDefault="0090383F">
            <w:pPr>
              <w:widowControl w:val="0"/>
              <w:spacing w:after="0" w:line="240" w:lineRule="auto"/>
              <w:ind w:left="1215"/>
              <w:rPr>
                <w:rFonts w:ascii="Arial" w:eastAsia="Arial" w:hAnsi="Arial" w:cs="Arial"/>
                <w:b/>
                <w:sz w:val="20"/>
                <w:szCs w:val="20"/>
              </w:rPr>
            </w:pPr>
            <w:r>
              <w:rPr>
                <w:rFonts w:ascii="Arial" w:eastAsia="Arial" w:hAnsi="Arial" w:cs="Arial"/>
                <w:b/>
                <w:sz w:val="20"/>
                <w:szCs w:val="20"/>
              </w:rPr>
              <w:t>Interpretation</w:t>
            </w:r>
          </w:p>
        </w:tc>
      </w:tr>
      <w:tr w:rsidR="00704449">
        <w:trPr>
          <w:trHeight w:val="653"/>
        </w:trPr>
        <w:tc>
          <w:tcPr>
            <w:tcW w:w="811" w:type="dxa"/>
          </w:tcPr>
          <w:p w:rsidR="00704449" w:rsidRDefault="0090383F">
            <w:pPr>
              <w:widowControl w:val="0"/>
              <w:spacing w:after="0" w:line="240" w:lineRule="auto"/>
              <w:ind w:left="107"/>
              <w:jc w:val="center"/>
              <w:rPr>
                <w:rFonts w:ascii="Arial" w:eastAsia="Arial" w:hAnsi="Arial" w:cs="Arial"/>
                <w:b/>
                <w:sz w:val="20"/>
                <w:szCs w:val="20"/>
              </w:rPr>
            </w:pPr>
            <w:r>
              <w:rPr>
                <w:rFonts w:ascii="Arial" w:eastAsia="Arial" w:hAnsi="Arial" w:cs="Arial"/>
                <w:b/>
                <w:sz w:val="20"/>
                <w:szCs w:val="20"/>
              </w:rPr>
              <w:t>5</w:t>
            </w:r>
          </w:p>
        </w:tc>
        <w:tc>
          <w:tcPr>
            <w:tcW w:w="1713" w:type="dxa"/>
          </w:tcPr>
          <w:p w:rsidR="00704449" w:rsidRDefault="0090383F">
            <w:pPr>
              <w:widowControl w:val="0"/>
              <w:spacing w:after="0" w:line="240" w:lineRule="auto"/>
              <w:ind w:left="107"/>
              <w:jc w:val="center"/>
              <w:rPr>
                <w:rFonts w:ascii="Arial" w:eastAsia="Arial" w:hAnsi="Arial" w:cs="Arial"/>
                <w:b/>
                <w:sz w:val="20"/>
                <w:szCs w:val="20"/>
              </w:rPr>
            </w:pPr>
            <w:r>
              <w:rPr>
                <w:rFonts w:ascii="Arial" w:eastAsia="Arial" w:hAnsi="Arial" w:cs="Arial"/>
                <w:b/>
                <w:sz w:val="20"/>
                <w:szCs w:val="20"/>
              </w:rPr>
              <w:t>4.20-5.00</w:t>
            </w:r>
          </w:p>
        </w:tc>
        <w:tc>
          <w:tcPr>
            <w:tcW w:w="2001" w:type="dxa"/>
          </w:tcPr>
          <w:p w:rsidR="00704449" w:rsidRDefault="0090383F">
            <w:pPr>
              <w:widowControl w:val="0"/>
              <w:spacing w:after="0" w:line="240" w:lineRule="auto"/>
              <w:ind w:left="28"/>
              <w:jc w:val="center"/>
              <w:rPr>
                <w:rFonts w:ascii="Arial" w:eastAsia="Arial" w:hAnsi="Arial" w:cs="Arial"/>
                <w:b/>
                <w:sz w:val="20"/>
                <w:szCs w:val="20"/>
              </w:rPr>
            </w:pPr>
            <w:r>
              <w:rPr>
                <w:rFonts w:ascii="Arial" w:eastAsia="Arial" w:hAnsi="Arial" w:cs="Arial"/>
                <w:b/>
                <w:sz w:val="20"/>
                <w:szCs w:val="20"/>
              </w:rPr>
              <w:t>Very high</w:t>
            </w:r>
          </w:p>
        </w:tc>
        <w:tc>
          <w:tcPr>
            <w:tcW w:w="5472" w:type="dxa"/>
          </w:tcPr>
          <w:p w:rsidR="00704449" w:rsidRDefault="0090383F">
            <w:pPr>
              <w:widowControl w:val="0"/>
              <w:spacing w:after="0" w:line="240" w:lineRule="auto"/>
              <w:ind w:right="231"/>
              <w:jc w:val="both"/>
              <w:rPr>
                <w:rFonts w:ascii="Arial" w:eastAsia="Arial" w:hAnsi="Arial" w:cs="Arial"/>
                <w:sz w:val="20"/>
                <w:szCs w:val="20"/>
              </w:rPr>
            </w:pPr>
            <w:r>
              <w:rPr>
                <w:rFonts w:ascii="Arial" w:eastAsia="Arial" w:hAnsi="Arial" w:cs="Arial"/>
                <w:sz w:val="20"/>
                <w:szCs w:val="20"/>
              </w:rPr>
              <w:t xml:space="preserve">It indicates that the items relating to the acceptance level of elementary teachers in </w:t>
            </w:r>
            <w:r>
              <w:rPr>
                <w:rFonts w:ascii="Arial" w:eastAsia="Arial" w:hAnsi="Arial" w:cs="Arial"/>
                <w:sz w:val="20"/>
                <w:szCs w:val="20"/>
              </w:rPr>
              <w:t>teaching sex education embodied in the item were always present.</w:t>
            </w:r>
          </w:p>
          <w:p w:rsidR="00704449" w:rsidRDefault="00704449">
            <w:pPr>
              <w:widowControl w:val="0"/>
              <w:spacing w:after="0" w:line="240" w:lineRule="auto"/>
              <w:ind w:right="231"/>
              <w:jc w:val="both"/>
              <w:rPr>
                <w:rFonts w:ascii="Arial" w:eastAsia="Arial" w:hAnsi="Arial" w:cs="Arial"/>
                <w:sz w:val="20"/>
                <w:szCs w:val="20"/>
              </w:rPr>
            </w:pPr>
          </w:p>
        </w:tc>
      </w:tr>
      <w:tr w:rsidR="00704449">
        <w:trPr>
          <w:trHeight w:val="785"/>
        </w:trPr>
        <w:tc>
          <w:tcPr>
            <w:tcW w:w="811" w:type="dxa"/>
          </w:tcPr>
          <w:p w:rsidR="00704449" w:rsidRDefault="0090383F">
            <w:pPr>
              <w:widowControl w:val="0"/>
              <w:spacing w:after="0" w:line="240" w:lineRule="auto"/>
              <w:ind w:left="107"/>
              <w:jc w:val="center"/>
              <w:rPr>
                <w:rFonts w:ascii="Arial" w:eastAsia="Arial" w:hAnsi="Arial" w:cs="Arial"/>
                <w:b/>
                <w:sz w:val="20"/>
                <w:szCs w:val="20"/>
              </w:rPr>
            </w:pPr>
            <w:r>
              <w:rPr>
                <w:rFonts w:ascii="Arial" w:eastAsia="Arial" w:hAnsi="Arial" w:cs="Arial"/>
                <w:b/>
                <w:sz w:val="20"/>
                <w:szCs w:val="20"/>
              </w:rPr>
              <w:t>4</w:t>
            </w:r>
          </w:p>
        </w:tc>
        <w:tc>
          <w:tcPr>
            <w:tcW w:w="1713" w:type="dxa"/>
          </w:tcPr>
          <w:p w:rsidR="00704449" w:rsidRDefault="0090383F">
            <w:pPr>
              <w:widowControl w:val="0"/>
              <w:spacing w:after="0" w:line="240" w:lineRule="auto"/>
              <w:ind w:left="107"/>
              <w:jc w:val="center"/>
              <w:rPr>
                <w:rFonts w:ascii="Arial" w:eastAsia="Arial" w:hAnsi="Arial" w:cs="Arial"/>
                <w:b/>
                <w:sz w:val="20"/>
                <w:szCs w:val="20"/>
              </w:rPr>
            </w:pPr>
            <w:r>
              <w:rPr>
                <w:rFonts w:ascii="Arial" w:eastAsia="Arial" w:hAnsi="Arial" w:cs="Arial"/>
                <w:b/>
                <w:sz w:val="20"/>
                <w:szCs w:val="20"/>
              </w:rPr>
              <w:t>3.40-4.19</w:t>
            </w:r>
          </w:p>
        </w:tc>
        <w:tc>
          <w:tcPr>
            <w:tcW w:w="2001" w:type="dxa"/>
          </w:tcPr>
          <w:p w:rsidR="00704449" w:rsidRDefault="0090383F">
            <w:pPr>
              <w:widowControl w:val="0"/>
              <w:spacing w:after="0" w:line="240" w:lineRule="auto"/>
              <w:ind w:left="28"/>
              <w:jc w:val="center"/>
              <w:rPr>
                <w:rFonts w:ascii="Arial" w:eastAsia="Arial" w:hAnsi="Arial" w:cs="Arial"/>
                <w:b/>
                <w:sz w:val="20"/>
                <w:szCs w:val="20"/>
              </w:rPr>
            </w:pPr>
            <w:r>
              <w:rPr>
                <w:rFonts w:ascii="Arial" w:eastAsia="Arial" w:hAnsi="Arial" w:cs="Arial"/>
                <w:b/>
                <w:sz w:val="20"/>
                <w:szCs w:val="20"/>
              </w:rPr>
              <w:t>High</w:t>
            </w:r>
          </w:p>
        </w:tc>
        <w:tc>
          <w:tcPr>
            <w:tcW w:w="5472" w:type="dxa"/>
          </w:tcPr>
          <w:p w:rsidR="00704449" w:rsidRDefault="0090383F">
            <w:pPr>
              <w:widowControl w:val="0"/>
              <w:spacing w:after="0" w:line="240" w:lineRule="auto"/>
              <w:ind w:right="231"/>
              <w:jc w:val="both"/>
              <w:rPr>
                <w:rFonts w:ascii="Arial" w:eastAsia="Arial" w:hAnsi="Arial" w:cs="Arial"/>
                <w:sz w:val="20"/>
                <w:szCs w:val="20"/>
              </w:rPr>
            </w:pPr>
            <w:r>
              <w:rPr>
                <w:rFonts w:ascii="Arial" w:eastAsia="Arial" w:hAnsi="Arial" w:cs="Arial"/>
                <w:sz w:val="20"/>
                <w:szCs w:val="20"/>
              </w:rPr>
              <w:t>It indicates that the items relating to the acceptance level of elementary teachers in teaching sex education embodied in the item were sometimes present.</w:t>
            </w:r>
          </w:p>
          <w:p w:rsidR="00704449" w:rsidRDefault="00704449">
            <w:pPr>
              <w:widowControl w:val="0"/>
              <w:spacing w:after="0" w:line="240" w:lineRule="auto"/>
              <w:ind w:left="57" w:right="231"/>
              <w:jc w:val="both"/>
              <w:rPr>
                <w:rFonts w:ascii="Arial" w:eastAsia="Arial" w:hAnsi="Arial" w:cs="Arial"/>
                <w:sz w:val="20"/>
                <w:szCs w:val="20"/>
              </w:rPr>
            </w:pPr>
          </w:p>
        </w:tc>
      </w:tr>
      <w:tr w:rsidR="00704449">
        <w:trPr>
          <w:trHeight w:val="767"/>
        </w:trPr>
        <w:tc>
          <w:tcPr>
            <w:tcW w:w="811" w:type="dxa"/>
          </w:tcPr>
          <w:p w:rsidR="00704449" w:rsidRDefault="0090383F">
            <w:pPr>
              <w:widowControl w:val="0"/>
              <w:spacing w:after="0" w:line="240" w:lineRule="auto"/>
              <w:ind w:left="107"/>
              <w:jc w:val="center"/>
              <w:rPr>
                <w:rFonts w:ascii="Arial" w:eastAsia="Arial" w:hAnsi="Arial" w:cs="Arial"/>
                <w:b/>
                <w:sz w:val="20"/>
                <w:szCs w:val="20"/>
              </w:rPr>
            </w:pPr>
            <w:r>
              <w:rPr>
                <w:rFonts w:ascii="Arial" w:eastAsia="Arial" w:hAnsi="Arial" w:cs="Arial"/>
                <w:b/>
                <w:sz w:val="20"/>
                <w:szCs w:val="20"/>
              </w:rPr>
              <w:t>3</w:t>
            </w:r>
          </w:p>
        </w:tc>
        <w:tc>
          <w:tcPr>
            <w:tcW w:w="1713" w:type="dxa"/>
          </w:tcPr>
          <w:p w:rsidR="00704449" w:rsidRDefault="0090383F">
            <w:pPr>
              <w:widowControl w:val="0"/>
              <w:spacing w:after="0" w:line="240" w:lineRule="auto"/>
              <w:ind w:left="107"/>
              <w:jc w:val="center"/>
              <w:rPr>
                <w:rFonts w:ascii="Arial" w:eastAsia="Arial" w:hAnsi="Arial" w:cs="Arial"/>
                <w:b/>
                <w:sz w:val="20"/>
                <w:szCs w:val="20"/>
              </w:rPr>
            </w:pPr>
            <w:r>
              <w:rPr>
                <w:rFonts w:ascii="Arial" w:eastAsia="Arial" w:hAnsi="Arial" w:cs="Arial"/>
                <w:b/>
                <w:sz w:val="20"/>
                <w:szCs w:val="20"/>
              </w:rPr>
              <w:t>2.60-3.39</w:t>
            </w:r>
          </w:p>
        </w:tc>
        <w:tc>
          <w:tcPr>
            <w:tcW w:w="2001" w:type="dxa"/>
          </w:tcPr>
          <w:p w:rsidR="00704449" w:rsidRDefault="0090383F">
            <w:pPr>
              <w:widowControl w:val="0"/>
              <w:spacing w:after="0" w:line="240" w:lineRule="auto"/>
              <w:ind w:left="28"/>
              <w:jc w:val="center"/>
              <w:rPr>
                <w:rFonts w:ascii="Arial" w:eastAsia="Arial" w:hAnsi="Arial" w:cs="Arial"/>
                <w:b/>
                <w:sz w:val="20"/>
                <w:szCs w:val="20"/>
              </w:rPr>
            </w:pPr>
            <w:r>
              <w:rPr>
                <w:rFonts w:ascii="Arial" w:eastAsia="Arial" w:hAnsi="Arial" w:cs="Arial"/>
                <w:b/>
                <w:sz w:val="20"/>
                <w:szCs w:val="20"/>
              </w:rPr>
              <w:t>Moderate</w:t>
            </w:r>
          </w:p>
        </w:tc>
        <w:tc>
          <w:tcPr>
            <w:tcW w:w="5472" w:type="dxa"/>
          </w:tcPr>
          <w:p w:rsidR="00704449" w:rsidRDefault="0090383F">
            <w:pPr>
              <w:widowControl w:val="0"/>
              <w:spacing w:after="0" w:line="240" w:lineRule="auto"/>
              <w:ind w:right="231"/>
              <w:jc w:val="both"/>
              <w:rPr>
                <w:rFonts w:ascii="Arial" w:eastAsia="Arial" w:hAnsi="Arial" w:cs="Arial"/>
                <w:sz w:val="20"/>
                <w:szCs w:val="20"/>
              </w:rPr>
            </w:pPr>
            <w:r>
              <w:rPr>
                <w:rFonts w:ascii="Arial" w:eastAsia="Arial" w:hAnsi="Arial" w:cs="Arial"/>
                <w:sz w:val="20"/>
                <w:szCs w:val="20"/>
              </w:rPr>
              <w:t>It indicates that the items relating to the acceptance level of elementary teachers in teaching sex education embodied in the item were often present.</w:t>
            </w:r>
          </w:p>
        </w:tc>
      </w:tr>
      <w:tr w:rsidR="00704449">
        <w:trPr>
          <w:trHeight w:val="740"/>
        </w:trPr>
        <w:tc>
          <w:tcPr>
            <w:tcW w:w="811" w:type="dxa"/>
          </w:tcPr>
          <w:p w:rsidR="00704449" w:rsidRDefault="0090383F">
            <w:pPr>
              <w:widowControl w:val="0"/>
              <w:spacing w:after="0" w:line="240" w:lineRule="auto"/>
              <w:ind w:left="107"/>
              <w:jc w:val="center"/>
              <w:rPr>
                <w:rFonts w:ascii="Arial" w:eastAsia="Arial" w:hAnsi="Arial" w:cs="Arial"/>
                <w:b/>
                <w:sz w:val="20"/>
                <w:szCs w:val="20"/>
              </w:rPr>
            </w:pPr>
            <w:r>
              <w:rPr>
                <w:rFonts w:ascii="Arial" w:eastAsia="Arial" w:hAnsi="Arial" w:cs="Arial"/>
                <w:b/>
                <w:sz w:val="20"/>
                <w:szCs w:val="20"/>
              </w:rPr>
              <w:t>2</w:t>
            </w:r>
          </w:p>
        </w:tc>
        <w:tc>
          <w:tcPr>
            <w:tcW w:w="1713" w:type="dxa"/>
          </w:tcPr>
          <w:p w:rsidR="00704449" w:rsidRDefault="0090383F">
            <w:pPr>
              <w:widowControl w:val="0"/>
              <w:spacing w:after="0" w:line="240" w:lineRule="auto"/>
              <w:ind w:left="107"/>
              <w:jc w:val="center"/>
              <w:rPr>
                <w:rFonts w:ascii="Arial" w:eastAsia="Arial" w:hAnsi="Arial" w:cs="Arial"/>
                <w:b/>
                <w:sz w:val="20"/>
                <w:szCs w:val="20"/>
              </w:rPr>
            </w:pPr>
            <w:r>
              <w:rPr>
                <w:rFonts w:ascii="Arial" w:eastAsia="Arial" w:hAnsi="Arial" w:cs="Arial"/>
                <w:b/>
                <w:sz w:val="20"/>
                <w:szCs w:val="20"/>
              </w:rPr>
              <w:t>1.80-2.59</w:t>
            </w:r>
          </w:p>
        </w:tc>
        <w:tc>
          <w:tcPr>
            <w:tcW w:w="2001" w:type="dxa"/>
          </w:tcPr>
          <w:p w:rsidR="00704449" w:rsidRDefault="0090383F">
            <w:pPr>
              <w:widowControl w:val="0"/>
              <w:spacing w:after="0" w:line="240" w:lineRule="auto"/>
              <w:ind w:left="28"/>
              <w:jc w:val="center"/>
              <w:rPr>
                <w:rFonts w:ascii="Arial" w:eastAsia="Arial" w:hAnsi="Arial" w:cs="Arial"/>
                <w:b/>
                <w:sz w:val="20"/>
                <w:szCs w:val="20"/>
              </w:rPr>
            </w:pPr>
            <w:r>
              <w:rPr>
                <w:rFonts w:ascii="Arial" w:eastAsia="Arial" w:hAnsi="Arial" w:cs="Arial"/>
                <w:b/>
                <w:sz w:val="20"/>
                <w:szCs w:val="20"/>
              </w:rPr>
              <w:t>Low</w:t>
            </w:r>
          </w:p>
        </w:tc>
        <w:tc>
          <w:tcPr>
            <w:tcW w:w="5472" w:type="dxa"/>
          </w:tcPr>
          <w:p w:rsidR="00704449" w:rsidRDefault="0090383F">
            <w:pPr>
              <w:widowControl w:val="0"/>
              <w:spacing w:after="0" w:line="240" w:lineRule="auto"/>
              <w:ind w:right="231"/>
              <w:jc w:val="both"/>
              <w:rPr>
                <w:rFonts w:ascii="Arial" w:eastAsia="Arial" w:hAnsi="Arial" w:cs="Arial"/>
                <w:sz w:val="20"/>
                <w:szCs w:val="20"/>
              </w:rPr>
            </w:pPr>
            <w:r>
              <w:rPr>
                <w:rFonts w:ascii="Arial" w:eastAsia="Arial" w:hAnsi="Arial" w:cs="Arial"/>
                <w:sz w:val="20"/>
                <w:szCs w:val="20"/>
              </w:rPr>
              <w:t xml:space="preserve">It indicates that the items relating to the acceptance level of elementary </w:t>
            </w:r>
            <w:r>
              <w:rPr>
                <w:rFonts w:ascii="Arial" w:eastAsia="Arial" w:hAnsi="Arial" w:cs="Arial"/>
                <w:sz w:val="20"/>
                <w:szCs w:val="20"/>
              </w:rPr>
              <w:t>teachers in teaching sex education embodied in the item were seldom present.</w:t>
            </w:r>
          </w:p>
        </w:tc>
      </w:tr>
      <w:tr w:rsidR="00704449">
        <w:trPr>
          <w:trHeight w:val="698"/>
        </w:trPr>
        <w:tc>
          <w:tcPr>
            <w:tcW w:w="811" w:type="dxa"/>
          </w:tcPr>
          <w:p w:rsidR="00704449" w:rsidRDefault="0090383F">
            <w:pPr>
              <w:widowControl w:val="0"/>
              <w:spacing w:after="0" w:line="240" w:lineRule="auto"/>
              <w:ind w:left="107"/>
              <w:jc w:val="center"/>
              <w:rPr>
                <w:rFonts w:ascii="Arial" w:eastAsia="Arial" w:hAnsi="Arial" w:cs="Arial"/>
                <w:b/>
                <w:sz w:val="20"/>
                <w:szCs w:val="20"/>
              </w:rPr>
            </w:pPr>
            <w:r>
              <w:rPr>
                <w:rFonts w:ascii="Arial" w:eastAsia="Arial" w:hAnsi="Arial" w:cs="Arial"/>
                <w:b/>
                <w:sz w:val="20"/>
                <w:szCs w:val="20"/>
              </w:rPr>
              <w:t>1</w:t>
            </w:r>
          </w:p>
        </w:tc>
        <w:tc>
          <w:tcPr>
            <w:tcW w:w="1713" w:type="dxa"/>
          </w:tcPr>
          <w:p w:rsidR="00704449" w:rsidRDefault="0090383F">
            <w:pPr>
              <w:widowControl w:val="0"/>
              <w:spacing w:after="0" w:line="240" w:lineRule="auto"/>
              <w:ind w:left="107"/>
              <w:jc w:val="center"/>
              <w:rPr>
                <w:rFonts w:ascii="Arial" w:eastAsia="Arial" w:hAnsi="Arial" w:cs="Arial"/>
                <w:b/>
                <w:sz w:val="20"/>
                <w:szCs w:val="20"/>
              </w:rPr>
            </w:pPr>
            <w:r>
              <w:rPr>
                <w:rFonts w:ascii="Arial" w:eastAsia="Arial" w:hAnsi="Arial" w:cs="Arial"/>
                <w:b/>
                <w:sz w:val="20"/>
                <w:szCs w:val="20"/>
              </w:rPr>
              <w:t>1.00-1.79</w:t>
            </w:r>
          </w:p>
        </w:tc>
        <w:tc>
          <w:tcPr>
            <w:tcW w:w="2001" w:type="dxa"/>
          </w:tcPr>
          <w:p w:rsidR="00704449" w:rsidRDefault="0090383F">
            <w:pPr>
              <w:widowControl w:val="0"/>
              <w:spacing w:after="0" w:line="240" w:lineRule="auto"/>
              <w:ind w:left="28"/>
              <w:jc w:val="center"/>
              <w:rPr>
                <w:rFonts w:ascii="Arial" w:eastAsia="Arial" w:hAnsi="Arial" w:cs="Arial"/>
                <w:b/>
                <w:sz w:val="20"/>
                <w:szCs w:val="20"/>
              </w:rPr>
            </w:pPr>
            <w:r>
              <w:rPr>
                <w:rFonts w:ascii="Arial" w:eastAsia="Arial" w:hAnsi="Arial" w:cs="Arial"/>
                <w:b/>
                <w:sz w:val="20"/>
                <w:szCs w:val="20"/>
              </w:rPr>
              <w:t>Very Low</w:t>
            </w:r>
          </w:p>
        </w:tc>
        <w:tc>
          <w:tcPr>
            <w:tcW w:w="5472" w:type="dxa"/>
          </w:tcPr>
          <w:p w:rsidR="00704449" w:rsidRDefault="0090383F">
            <w:pPr>
              <w:widowControl w:val="0"/>
              <w:spacing w:after="0" w:line="240" w:lineRule="auto"/>
              <w:ind w:right="231"/>
              <w:jc w:val="both"/>
              <w:rPr>
                <w:rFonts w:ascii="Arial" w:eastAsia="Arial" w:hAnsi="Arial" w:cs="Arial"/>
                <w:sz w:val="20"/>
                <w:szCs w:val="20"/>
              </w:rPr>
            </w:pPr>
            <w:r>
              <w:rPr>
                <w:rFonts w:ascii="Arial" w:eastAsia="Arial" w:hAnsi="Arial" w:cs="Arial"/>
                <w:sz w:val="20"/>
                <w:szCs w:val="20"/>
              </w:rPr>
              <w:t>It indicates that the items relating to the acceptance level of elementary teachers in teaching sex education embodied in the item were absent.</w:t>
            </w:r>
          </w:p>
        </w:tc>
      </w:tr>
    </w:tbl>
    <w:p w:rsidR="00704449" w:rsidRDefault="00704449">
      <w:pPr>
        <w:spacing w:after="0" w:line="480" w:lineRule="auto"/>
        <w:jc w:val="both"/>
        <w:rPr>
          <w:rFonts w:ascii="Arial" w:eastAsia="Arial" w:hAnsi="Arial" w:cs="Arial"/>
          <w:b/>
          <w:color w:val="000000"/>
        </w:rPr>
        <w:sectPr w:rsidR="00704449">
          <w:type w:val="continuous"/>
          <w:pgSz w:w="12240" w:h="15840"/>
          <w:pgMar w:top="1440" w:right="2016" w:bottom="2016" w:left="2016" w:header="706" w:footer="706" w:gutter="0"/>
          <w:cols w:space="720"/>
        </w:sectPr>
      </w:pPr>
    </w:p>
    <w:p w:rsidR="00704449" w:rsidRDefault="00704449">
      <w:pPr>
        <w:spacing w:after="0" w:line="240" w:lineRule="auto"/>
        <w:jc w:val="both"/>
        <w:rPr>
          <w:rFonts w:ascii="Arial" w:eastAsia="Arial" w:hAnsi="Arial" w:cs="Arial"/>
          <w:color w:val="000000"/>
          <w:sz w:val="20"/>
          <w:szCs w:val="20"/>
        </w:rPr>
        <w:sectPr w:rsidR="00704449">
          <w:type w:val="continuous"/>
          <w:pgSz w:w="12240" w:h="15840"/>
          <w:pgMar w:top="1440" w:right="2016" w:bottom="2016" w:left="2016" w:header="706" w:footer="706" w:gutter="0"/>
          <w:cols w:num="2" w:space="720" w:equalWidth="0">
            <w:col w:w="3750" w:space="708"/>
            <w:col w:w="3750"/>
          </w:cols>
        </w:sectPr>
      </w:pPr>
    </w:p>
    <w:p w:rsidR="00704449" w:rsidRDefault="00704449">
      <w:pPr>
        <w:spacing w:after="0" w:line="240" w:lineRule="auto"/>
        <w:jc w:val="both"/>
        <w:rPr>
          <w:rFonts w:ascii="Arial" w:eastAsia="Arial" w:hAnsi="Arial" w:cs="Arial"/>
          <w:color w:val="000000"/>
          <w:sz w:val="20"/>
          <w:szCs w:val="20"/>
        </w:rPr>
        <w:sectPr w:rsidR="00704449">
          <w:type w:val="continuous"/>
          <w:pgSz w:w="12240" w:h="15840"/>
          <w:pgMar w:top="1440" w:right="2016" w:bottom="2016" w:left="2016" w:header="706" w:footer="706" w:gutter="0"/>
          <w:cols w:num="2" w:space="720" w:equalWidth="0">
            <w:col w:w="3750" w:space="708"/>
            <w:col w:w="3750"/>
          </w:cols>
        </w:sectPr>
      </w:pPr>
    </w:p>
    <w:p w:rsidR="00704449" w:rsidRDefault="00704449">
      <w:pPr>
        <w:spacing w:after="0" w:line="240" w:lineRule="auto"/>
        <w:jc w:val="both"/>
        <w:rPr>
          <w:rFonts w:ascii="Arial" w:eastAsia="Arial" w:hAnsi="Arial" w:cs="Arial"/>
          <w:color w:val="000000"/>
          <w:sz w:val="20"/>
          <w:szCs w:val="20"/>
        </w:rPr>
      </w:pPr>
    </w:p>
    <w:p w:rsidR="00704449" w:rsidRDefault="0090383F">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The survey questionnaire was developed with the assistance of the Research Publication Center (RPPC) at UM Digos College, and the RPPC office validated it to ensure reliability. Following data collection</w:t>
      </w:r>
      <w:r>
        <w:rPr>
          <w:rFonts w:ascii="Arial" w:eastAsia="Arial" w:hAnsi="Arial" w:cs="Arial"/>
          <w:color w:val="000000"/>
          <w:sz w:val="20"/>
          <w:szCs w:val="20"/>
        </w:rPr>
        <w:t>, the researchers coordinated with the RPPC and provided the collected data to the</w:t>
      </w:r>
      <w:r>
        <w:rPr>
          <w:rFonts w:ascii="Arial" w:eastAsia="Arial" w:hAnsi="Arial" w:cs="Arial"/>
          <w:sz w:val="20"/>
          <w:szCs w:val="20"/>
        </w:rPr>
        <w:t xml:space="preserve"> </w:t>
      </w:r>
      <w:r>
        <w:rPr>
          <w:rFonts w:ascii="Arial" w:eastAsia="Arial" w:hAnsi="Arial" w:cs="Arial"/>
          <w:color w:val="000000"/>
          <w:sz w:val="20"/>
          <w:szCs w:val="20"/>
        </w:rPr>
        <w:t>statistician. The researchers totalled and catalogued the survey results before passing them to the statistician. After data analysis, the statistician forwards the findings</w:t>
      </w:r>
      <w:r>
        <w:rPr>
          <w:rFonts w:ascii="Arial" w:eastAsia="Arial" w:hAnsi="Arial" w:cs="Arial"/>
          <w:color w:val="000000"/>
          <w:sz w:val="20"/>
          <w:szCs w:val="20"/>
        </w:rPr>
        <w:t xml:space="preserve"> to the researchers. Strictly and morally, the procedure was followed to ensure that the results would significantly enhance the sex education initiative.</w:t>
      </w:r>
    </w:p>
    <w:p w:rsidR="00704449" w:rsidRDefault="00704449">
      <w:pPr>
        <w:spacing w:after="0" w:line="240" w:lineRule="auto"/>
        <w:jc w:val="both"/>
        <w:rPr>
          <w:rFonts w:ascii="Arial" w:eastAsia="Arial" w:hAnsi="Arial" w:cs="Arial"/>
          <w:sz w:val="20"/>
          <w:szCs w:val="20"/>
        </w:rPr>
      </w:pPr>
    </w:p>
    <w:p w:rsidR="00704449" w:rsidRDefault="0090383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The research study used the following descriptive statistical analysis, including the respondents' f</w:t>
      </w:r>
      <w:r>
        <w:rPr>
          <w:rFonts w:ascii="Arial" w:eastAsia="Arial" w:hAnsi="Arial" w:cs="Arial"/>
          <w:color w:val="000000"/>
          <w:sz w:val="20"/>
          <w:szCs w:val="20"/>
        </w:rPr>
        <w:t xml:space="preserve">requency, percentages, means, and standard deviation testing, to represent how well the method measures something about the study. The frequency of the value in the number of times it occurs in a dataset [26]. </w:t>
      </w:r>
      <w:r>
        <w:rPr>
          <w:rFonts w:ascii="Arial" w:eastAsia="Arial" w:hAnsi="Arial" w:cs="Arial"/>
          <w:sz w:val="20"/>
          <w:szCs w:val="20"/>
        </w:rPr>
        <w:t xml:space="preserve">The percentage generally represents data that </w:t>
      </w:r>
      <w:r>
        <w:rPr>
          <w:rFonts w:ascii="Arial" w:eastAsia="Arial" w:hAnsi="Arial" w:cs="Arial"/>
          <w:sz w:val="20"/>
          <w:szCs w:val="20"/>
        </w:rPr>
        <w:t xml:space="preserve">indicates the proportion of observations for each data point or collection of data points </w:t>
      </w:r>
      <w:r>
        <w:rPr>
          <w:rFonts w:ascii="Arial" w:eastAsia="Arial" w:hAnsi="Arial" w:cs="Arial"/>
          <w:color w:val="000000"/>
          <w:sz w:val="20"/>
          <w:szCs w:val="20"/>
        </w:rPr>
        <w:t xml:space="preserve">[27]. Moreover, the mean was used to define the entire sum of the values in a sample </w:t>
      </w:r>
      <w:r>
        <w:rPr>
          <w:rFonts w:ascii="Arial" w:eastAsia="Arial" w:hAnsi="Arial" w:cs="Arial"/>
          <w:sz w:val="20"/>
          <w:szCs w:val="20"/>
        </w:rPr>
        <w:t xml:space="preserve">Hurley &amp; Tenny [28] </w:t>
      </w:r>
      <w:r>
        <w:rPr>
          <w:rFonts w:ascii="Arial" w:eastAsia="Arial" w:hAnsi="Arial" w:cs="Arial"/>
          <w:color w:val="000000"/>
          <w:sz w:val="20"/>
          <w:szCs w:val="20"/>
        </w:rPr>
        <w:t>divided by the total number of values in the sample. Finally,</w:t>
      </w:r>
      <w:r>
        <w:rPr>
          <w:rFonts w:ascii="Arial" w:eastAsia="Arial" w:hAnsi="Arial" w:cs="Arial"/>
          <w:color w:val="000000"/>
          <w:sz w:val="20"/>
          <w:szCs w:val="20"/>
        </w:rPr>
        <w:t xml:space="preserve"> usually about </w:t>
      </w:r>
    </w:p>
    <w:p w:rsidR="00704449" w:rsidRDefault="00704449">
      <w:pPr>
        <w:pBdr>
          <w:top w:val="nil"/>
          <w:left w:val="nil"/>
          <w:bottom w:val="nil"/>
          <w:right w:val="nil"/>
          <w:between w:val="nil"/>
        </w:pBdr>
        <w:spacing w:after="0" w:line="240" w:lineRule="auto"/>
        <w:jc w:val="both"/>
        <w:rPr>
          <w:rFonts w:ascii="Arial" w:eastAsia="Arial" w:hAnsi="Arial" w:cs="Arial"/>
          <w:color w:val="000000"/>
          <w:sz w:val="20"/>
          <w:szCs w:val="20"/>
        </w:rPr>
      </w:pPr>
    </w:p>
    <w:p w:rsidR="00704449" w:rsidRDefault="0090383F">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color w:val="000000"/>
          <w:sz w:val="20"/>
          <w:szCs w:val="20"/>
        </w:rPr>
        <w:t xml:space="preserve">the mean value of the data set, the standard deviation (SD), was used to gauge the degree of scattering in a set of values. Standard deviation computation in the study </w:t>
      </w:r>
      <w:r>
        <w:rPr>
          <w:rFonts w:ascii="Arial" w:eastAsia="Arial" w:hAnsi="Arial" w:cs="Arial"/>
          <w:sz w:val="20"/>
          <w:szCs w:val="20"/>
        </w:rPr>
        <w:t>Omda &amp; Sergent [29] depends on whether the dataset reflects a sample or</w:t>
      </w:r>
      <w:r>
        <w:rPr>
          <w:rFonts w:ascii="Arial" w:eastAsia="Arial" w:hAnsi="Arial" w:cs="Arial"/>
          <w:sz w:val="20"/>
          <w:szCs w:val="20"/>
        </w:rPr>
        <w:t xml:space="preserve"> the whole population. </w:t>
      </w:r>
    </w:p>
    <w:p w:rsidR="00704449" w:rsidRDefault="00704449">
      <w:pPr>
        <w:pBdr>
          <w:top w:val="nil"/>
          <w:left w:val="nil"/>
          <w:bottom w:val="nil"/>
          <w:right w:val="nil"/>
          <w:between w:val="nil"/>
        </w:pBdr>
        <w:spacing w:after="0" w:line="240" w:lineRule="auto"/>
        <w:jc w:val="both"/>
        <w:rPr>
          <w:rFonts w:ascii="Arial" w:eastAsia="Arial" w:hAnsi="Arial" w:cs="Arial"/>
          <w:color w:val="000000"/>
          <w:sz w:val="20"/>
          <w:szCs w:val="20"/>
        </w:rPr>
      </w:pPr>
    </w:p>
    <w:p w:rsidR="00704449" w:rsidRDefault="0090383F">
      <w:pPr>
        <w:pBdr>
          <w:top w:val="nil"/>
          <w:left w:val="nil"/>
          <w:bottom w:val="nil"/>
          <w:right w:val="nil"/>
          <w:between w:val="nil"/>
        </w:pBdr>
        <w:spacing w:after="0" w:line="240" w:lineRule="auto"/>
        <w:ind w:right="-252"/>
        <w:jc w:val="both"/>
        <w:rPr>
          <w:rFonts w:ascii="Arial" w:eastAsia="Arial" w:hAnsi="Arial" w:cs="Arial"/>
          <w:b/>
          <w:color w:val="000000"/>
          <w:sz w:val="22"/>
          <w:szCs w:val="22"/>
        </w:rPr>
      </w:pPr>
      <w:r>
        <w:rPr>
          <w:rFonts w:ascii="Arial" w:eastAsia="Arial" w:hAnsi="Arial" w:cs="Arial"/>
          <w:b/>
          <w:color w:val="000000"/>
          <w:sz w:val="22"/>
          <w:szCs w:val="22"/>
        </w:rPr>
        <w:lastRenderedPageBreak/>
        <w:t>3.4 ETHICAL CONSIDERATIONS</w:t>
      </w:r>
    </w:p>
    <w:p w:rsidR="00704449" w:rsidRDefault="00704449">
      <w:pPr>
        <w:pBdr>
          <w:top w:val="nil"/>
          <w:left w:val="nil"/>
          <w:bottom w:val="nil"/>
          <w:right w:val="nil"/>
          <w:between w:val="nil"/>
        </w:pBdr>
        <w:spacing w:after="0" w:line="240" w:lineRule="auto"/>
        <w:ind w:right="-252"/>
        <w:jc w:val="both"/>
        <w:rPr>
          <w:rFonts w:ascii="Arial" w:eastAsia="Arial" w:hAnsi="Arial" w:cs="Arial"/>
          <w:b/>
          <w:color w:val="000000"/>
          <w:sz w:val="22"/>
          <w:szCs w:val="22"/>
        </w:rPr>
      </w:pPr>
    </w:p>
    <w:p w:rsidR="00704449" w:rsidRDefault="0090383F">
      <w:pPr>
        <w:pBdr>
          <w:top w:val="nil"/>
          <w:left w:val="nil"/>
          <w:bottom w:val="nil"/>
          <w:right w:val="nil"/>
          <w:between w:val="nil"/>
        </w:pBdr>
        <w:spacing w:after="0" w:line="240" w:lineRule="auto"/>
        <w:ind w:right="-252"/>
        <w:jc w:val="both"/>
        <w:rPr>
          <w:rFonts w:ascii="Arial" w:eastAsia="Arial" w:hAnsi="Arial" w:cs="Arial"/>
          <w:color w:val="000000"/>
          <w:sz w:val="20"/>
          <w:szCs w:val="20"/>
        </w:rPr>
      </w:pPr>
      <w:r>
        <w:rPr>
          <w:rFonts w:ascii="Arial" w:eastAsia="Arial" w:hAnsi="Arial" w:cs="Arial"/>
          <w:color w:val="000000"/>
          <w:sz w:val="20"/>
          <w:szCs w:val="20"/>
        </w:rPr>
        <w:t xml:space="preserve">Throughout this investigation, ethical guidelines and practices of the University of Mindanao Ethics Committee were rigorously observed. Often, the researchers asked for and got letters from important institution officials. Permission is needed to do this </w:t>
      </w:r>
      <w:r>
        <w:rPr>
          <w:rFonts w:ascii="Arial" w:eastAsia="Arial" w:hAnsi="Arial" w:cs="Arial"/>
          <w:color w:val="000000"/>
          <w:sz w:val="20"/>
          <w:szCs w:val="20"/>
        </w:rPr>
        <w:t xml:space="preserve">research. The researchers assessed the risks and safety measures to be taken against the identified recruitment parties and verified that </w:t>
      </w:r>
      <w:r>
        <w:rPr>
          <w:rFonts w:ascii="Arial" w:eastAsia="Arial" w:hAnsi="Arial" w:cs="Arial"/>
          <w:color w:val="000000"/>
          <w:sz w:val="20"/>
          <w:szCs w:val="20"/>
        </w:rPr>
        <w:t>they were suitable (including social, psychological, and physical dangers). The study's sample also provides proper au</w:t>
      </w:r>
      <w:r>
        <w:rPr>
          <w:rFonts w:ascii="Arial" w:eastAsia="Arial" w:hAnsi="Arial" w:cs="Arial"/>
          <w:color w:val="000000"/>
          <w:sz w:val="20"/>
          <w:szCs w:val="20"/>
        </w:rPr>
        <w:t>thorization and consent, and they are assured that all of their rights will be respected, especially when processing the data, which includes but is not limited to:</w:t>
      </w:r>
    </w:p>
    <w:p w:rsidR="00704449" w:rsidRDefault="00704449">
      <w:pPr>
        <w:pBdr>
          <w:top w:val="nil"/>
          <w:left w:val="nil"/>
          <w:bottom w:val="nil"/>
          <w:right w:val="nil"/>
          <w:between w:val="nil"/>
        </w:pBdr>
        <w:spacing w:after="0" w:line="240" w:lineRule="auto"/>
        <w:ind w:right="-252"/>
        <w:jc w:val="both"/>
        <w:rPr>
          <w:rFonts w:ascii="Arial" w:eastAsia="Arial" w:hAnsi="Arial" w:cs="Arial"/>
          <w:color w:val="000000"/>
          <w:sz w:val="20"/>
          <w:szCs w:val="20"/>
        </w:rPr>
      </w:pPr>
    </w:p>
    <w:p w:rsidR="00704449" w:rsidRDefault="0090383F">
      <w:pPr>
        <w:pBdr>
          <w:top w:val="nil"/>
          <w:left w:val="nil"/>
          <w:bottom w:val="nil"/>
          <w:right w:val="nil"/>
          <w:between w:val="nil"/>
        </w:pBdr>
        <w:spacing w:after="0" w:line="240" w:lineRule="auto"/>
        <w:ind w:right="-252"/>
        <w:jc w:val="both"/>
        <w:rPr>
          <w:rFonts w:ascii="Arial" w:eastAsia="Arial" w:hAnsi="Arial" w:cs="Arial"/>
          <w:color w:val="000000"/>
          <w:sz w:val="20"/>
          <w:szCs w:val="20"/>
        </w:rPr>
        <w:sectPr w:rsidR="00704449">
          <w:type w:val="continuous"/>
          <w:pgSz w:w="12240" w:h="15840"/>
          <w:pgMar w:top="1440" w:right="2016" w:bottom="2016" w:left="2016" w:header="706" w:footer="706" w:gutter="0"/>
          <w:cols w:num="2" w:space="720" w:equalWidth="0">
            <w:col w:w="3750" w:space="708"/>
            <w:col w:w="3750"/>
          </w:cols>
        </w:sectPr>
      </w:pPr>
      <w:r>
        <w:rPr>
          <w:rFonts w:ascii="Arial" w:eastAsia="Arial" w:hAnsi="Arial" w:cs="Arial"/>
          <w:b/>
          <w:color w:val="000000"/>
          <w:sz w:val="20"/>
          <w:szCs w:val="20"/>
        </w:rPr>
        <w:t xml:space="preserve">Informed Consent and Voluntary Participation. </w:t>
      </w:r>
      <w:r>
        <w:rPr>
          <w:rFonts w:ascii="Arial" w:eastAsia="Arial" w:hAnsi="Arial" w:cs="Arial"/>
          <w:color w:val="000000"/>
          <w:sz w:val="20"/>
          <w:szCs w:val="20"/>
        </w:rPr>
        <w:t xml:space="preserve">Every participant was under the obligation to provide signed informed consent. Individual potential volunteers were </w:t>
      </w:r>
    </w:p>
    <w:p w:rsidR="00704449" w:rsidRDefault="00704449">
      <w:pPr>
        <w:spacing w:after="0" w:line="240" w:lineRule="auto"/>
        <w:jc w:val="center"/>
        <w:rPr>
          <w:rFonts w:ascii="Arial" w:eastAsia="Arial" w:hAnsi="Arial" w:cs="Arial"/>
          <w:b/>
          <w:sz w:val="20"/>
          <w:szCs w:val="20"/>
        </w:rPr>
      </w:pPr>
    </w:p>
    <w:p w:rsidR="00704449" w:rsidRDefault="0090383F">
      <w:pPr>
        <w:spacing w:after="0" w:line="240" w:lineRule="auto"/>
        <w:jc w:val="center"/>
        <w:rPr>
          <w:rFonts w:ascii="Arial" w:eastAsia="Arial" w:hAnsi="Arial" w:cs="Arial"/>
          <w:i/>
          <w:sz w:val="20"/>
          <w:szCs w:val="20"/>
        </w:rPr>
      </w:pPr>
      <w:r>
        <w:rPr>
          <w:rFonts w:ascii="Arial" w:eastAsia="Arial" w:hAnsi="Arial" w:cs="Arial"/>
          <w:b/>
          <w:sz w:val="20"/>
          <w:szCs w:val="20"/>
        </w:rPr>
        <w:t xml:space="preserve">Table 2. </w:t>
      </w:r>
      <w:r>
        <w:rPr>
          <w:rFonts w:ascii="Arial" w:eastAsia="Arial" w:hAnsi="Arial" w:cs="Arial"/>
          <w:b/>
          <w:i/>
          <w:sz w:val="20"/>
          <w:szCs w:val="20"/>
        </w:rPr>
        <w:t>Demographic Profile of the Respondents (n=150</w:t>
      </w:r>
      <w:r>
        <w:rPr>
          <w:rFonts w:ascii="Arial" w:eastAsia="Arial" w:hAnsi="Arial" w:cs="Arial"/>
          <w:i/>
          <w:sz w:val="20"/>
          <w:szCs w:val="20"/>
        </w:rPr>
        <w:t>)</w:t>
      </w:r>
    </w:p>
    <w:p w:rsidR="00704449" w:rsidRDefault="00704449">
      <w:pPr>
        <w:spacing w:after="0" w:line="240" w:lineRule="auto"/>
        <w:jc w:val="center"/>
        <w:rPr>
          <w:rFonts w:ascii="Arial" w:eastAsia="Arial" w:hAnsi="Arial" w:cs="Arial"/>
          <w:sz w:val="20"/>
          <w:szCs w:val="20"/>
        </w:rPr>
      </w:pPr>
    </w:p>
    <w:tbl>
      <w:tblPr>
        <w:tblStyle w:val="a0"/>
        <w:tblpPr w:leftFromText="180" w:rightFromText="180" w:vertAnchor="text" w:tblpY="1"/>
        <w:tblW w:w="8248"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4690"/>
        <w:gridCol w:w="1708"/>
        <w:gridCol w:w="1850"/>
      </w:tblGrid>
      <w:tr w:rsidR="00704449">
        <w:trPr>
          <w:trHeight w:val="380"/>
        </w:trPr>
        <w:tc>
          <w:tcPr>
            <w:tcW w:w="4690" w:type="dxa"/>
            <w:tcBorders>
              <w:top w:val="single" w:sz="4" w:space="0" w:color="000000"/>
              <w:bottom w:val="single" w:sz="4" w:space="0" w:color="000000"/>
            </w:tcBorders>
          </w:tcPr>
          <w:p w:rsidR="00704449" w:rsidRDefault="0090383F">
            <w:pPr>
              <w:jc w:val="center"/>
              <w:rPr>
                <w:rFonts w:ascii="Arial" w:eastAsia="Arial" w:hAnsi="Arial" w:cs="Arial"/>
                <w:b/>
                <w:sz w:val="20"/>
                <w:szCs w:val="20"/>
              </w:rPr>
            </w:pPr>
            <w:r>
              <w:rPr>
                <w:rFonts w:ascii="Arial" w:eastAsia="Arial" w:hAnsi="Arial" w:cs="Arial"/>
                <w:b/>
                <w:sz w:val="20"/>
                <w:szCs w:val="20"/>
              </w:rPr>
              <w:t>Profile</w:t>
            </w:r>
          </w:p>
        </w:tc>
        <w:tc>
          <w:tcPr>
            <w:tcW w:w="1708" w:type="dxa"/>
            <w:tcBorders>
              <w:top w:val="single" w:sz="4" w:space="0" w:color="000000"/>
              <w:bottom w:val="single" w:sz="4" w:space="0" w:color="000000"/>
            </w:tcBorders>
          </w:tcPr>
          <w:p w:rsidR="00704449" w:rsidRDefault="0090383F">
            <w:pPr>
              <w:jc w:val="center"/>
              <w:rPr>
                <w:rFonts w:ascii="Arial" w:eastAsia="Arial" w:hAnsi="Arial" w:cs="Arial"/>
                <w:b/>
                <w:sz w:val="20"/>
                <w:szCs w:val="20"/>
              </w:rPr>
            </w:pPr>
            <w:r>
              <w:rPr>
                <w:rFonts w:ascii="Arial" w:eastAsia="Arial" w:hAnsi="Arial" w:cs="Arial"/>
                <w:b/>
                <w:sz w:val="20"/>
                <w:szCs w:val="20"/>
              </w:rPr>
              <w:t>f</w:t>
            </w:r>
          </w:p>
        </w:tc>
        <w:tc>
          <w:tcPr>
            <w:tcW w:w="1850" w:type="dxa"/>
            <w:tcBorders>
              <w:top w:val="single" w:sz="4" w:space="0" w:color="000000"/>
              <w:bottom w:val="single" w:sz="4" w:space="0" w:color="000000"/>
            </w:tcBorders>
          </w:tcPr>
          <w:p w:rsidR="00704449" w:rsidRDefault="0090383F">
            <w:pPr>
              <w:jc w:val="center"/>
              <w:rPr>
                <w:rFonts w:ascii="Arial" w:eastAsia="Arial" w:hAnsi="Arial" w:cs="Arial"/>
                <w:b/>
                <w:sz w:val="20"/>
                <w:szCs w:val="20"/>
              </w:rPr>
            </w:pPr>
            <w:r>
              <w:rPr>
                <w:rFonts w:ascii="Arial" w:eastAsia="Arial" w:hAnsi="Arial" w:cs="Arial"/>
                <w:b/>
                <w:sz w:val="20"/>
                <w:szCs w:val="20"/>
              </w:rPr>
              <w:t>%</w:t>
            </w:r>
          </w:p>
        </w:tc>
      </w:tr>
      <w:tr w:rsidR="00704449">
        <w:trPr>
          <w:trHeight w:val="672"/>
        </w:trPr>
        <w:tc>
          <w:tcPr>
            <w:tcW w:w="4690" w:type="dxa"/>
            <w:tcBorders>
              <w:top w:val="single" w:sz="4" w:space="0" w:color="000000"/>
            </w:tcBorders>
          </w:tcPr>
          <w:p w:rsidR="00704449" w:rsidRDefault="0090383F">
            <w:pPr>
              <w:jc w:val="both"/>
              <w:rPr>
                <w:rFonts w:ascii="Arial" w:eastAsia="Arial" w:hAnsi="Arial" w:cs="Arial"/>
                <w:b/>
                <w:sz w:val="20"/>
                <w:szCs w:val="20"/>
              </w:rPr>
            </w:pPr>
            <w:r>
              <w:rPr>
                <w:rFonts w:ascii="Arial" w:eastAsia="Arial" w:hAnsi="Arial" w:cs="Arial"/>
                <w:b/>
                <w:sz w:val="20"/>
                <w:szCs w:val="20"/>
              </w:rPr>
              <w:t>Age</w:t>
            </w:r>
          </w:p>
          <w:p w:rsidR="00704449" w:rsidRDefault="0090383F">
            <w:pPr>
              <w:jc w:val="both"/>
              <w:rPr>
                <w:rFonts w:ascii="Arial" w:eastAsia="Arial" w:hAnsi="Arial" w:cs="Arial"/>
                <w:sz w:val="20"/>
                <w:szCs w:val="20"/>
              </w:rPr>
            </w:pPr>
            <w:r>
              <w:rPr>
                <w:rFonts w:ascii="Arial" w:eastAsia="Arial" w:hAnsi="Arial" w:cs="Arial"/>
                <w:sz w:val="20"/>
                <w:szCs w:val="20"/>
              </w:rPr>
              <w:t xml:space="preserve">      20-30 years old</w:t>
            </w:r>
          </w:p>
          <w:p w:rsidR="00704449" w:rsidRDefault="0090383F">
            <w:pPr>
              <w:jc w:val="both"/>
              <w:rPr>
                <w:rFonts w:ascii="Arial" w:eastAsia="Arial" w:hAnsi="Arial" w:cs="Arial"/>
                <w:sz w:val="20"/>
                <w:szCs w:val="20"/>
              </w:rPr>
            </w:pPr>
            <w:r>
              <w:rPr>
                <w:rFonts w:ascii="Arial" w:eastAsia="Arial" w:hAnsi="Arial" w:cs="Arial"/>
                <w:sz w:val="20"/>
                <w:szCs w:val="20"/>
              </w:rPr>
              <w:t xml:space="preserve">      31-40 years old  </w:t>
            </w:r>
          </w:p>
          <w:p w:rsidR="00704449" w:rsidRDefault="0090383F">
            <w:pPr>
              <w:jc w:val="both"/>
              <w:rPr>
                <w:rFonts w:ascii="Arial" w:eastAsia="Arial" w:hAnsi="Arial" w:cs="Arial"/>
                <w:sz w:val="20"/>
                <w:szCs w:val="20"/>
              </w:rPr>
            </w:pPr>
            <w:r>
              <w:rPr>
                <w:rFonts w:ascii="Arial" w:eastAsia="Arial" w:hAnsi="Arial" w:cs="Arial"/>
                <w:sz w:val="20"/>
                <w:szCs w:val="20"/>
              </w:rPr>
              <w:t xml:space="preserve">      41-50 years old</w:t>
            </w:r>
          </w:p>
          <w:p w:rsidR="00704449" w:rsidRDefault="0090383F">
            <w:pPr>
              <w:jc w:val="both"/>
              <w:rPr>
                <w:rFonts w:ascii="Arial" w:eastAsia="Arial" w:hAnsi="Arial" w:cs="Arial"/>
                <w:sz w:val="20"/>
                <w:szCs w:val="20"/>
              </w:rPr>
            </w:pPr>
            <w:r>
              <w:rPr>
                <w:rFonts w:ascii="Arial" w:eastAsia="Arial" w:hAnsi="Arial" w:cs="Arial"/>
                <w:sz w:val="20"/>
                <w:szCs w:val="20"/>
              </w:rPr>
              <w:t xml:space="preserve">      51-60 years old</w:t>
            </w:r>
          </w:p>
          <w:p w:rsidR="00704449" w:rsidRDefault="0090383F">
            <w:pPr>
              <w:jc w:val="both"/>
              <w:rPr>
                <w:rFonts w:ascii="Arial" w:eastAsia="Arial" w:hAnsi="Arial" w:cs="Arial"/>
                <w:sz w:val="20"/>
                <w:szCs w:val="20"/>
              </w:rPr>
            </w:pPr>
            <w:r>
              <w:rPr>
                <w:rFonts w:ascii="Arial" w:eastAsia="Arial" w:hAnsi="Arial" w:cs="Arial"/>
                <w:sz w:val="20"/>
                <w:szCs w:val="20"/>
              </w:rPr>
              <w:t xml:space="preserve">      Above 60 years old</w:t>
            </w:r>
          </w:p>
        </w:tc>
        <w:tc>
          <w:tcPr>
            <w:tcW w:w="1708" w:type="dxa"/>
            <w:tcBorders>
              <w:top w:val="single" w:sz="4" w:space="0" w:color="000000"/>
            </w:tcBorders>
          </w:tcPr>
          <w:p w:rsidR="00704449" w:rsidRDefault="00704449">
            <w:pPr>
              <w:jc w:val="center"/>
              <w:rPr>
                <w:rFonts w:ascii="Arial" w:eastAsia="Arial" w:hAnsi="Arial" w:cs="Arial"/>
                <w:sz w:val="20"/>
                <w:szCs w:val="20"/>
              </w:rPr>
            </w:pPr>
          </w:p>
          <w:p w:rsidR="00704449" w:rsidRDefault="0090383F">
            <w:pPr>
              <w:jc w:val="center"/>
              <w:rPr>
                <w:rFonts w:ascii="Arial" w:eastAsia="Arial" w:hAnsi="Arial" w:cs="Arial"/>
                <w:sz w:val="20"/>
                <w:szCs w:val="20"/>
              </w:rPr>
            </w:pPr>
            <w:r>
              <w:rPr>
                <w:rFonts w:ascii="Arial" w:eastAsia="Arial" w:hAnsi="Arial" w:cs="Arial"/>
                <w:sz w:val="20"/>
                <w:szCs w:val="20"/>
              </w:rPr>
              <w:t>14</w:t>
            </w:r>
          </w:p>
          <w:p w:rsidR="00704449" w:rsidRDefault="0090383F">
            <w:pPr>
              <w:jc w:val="center"/>
              <w:rPr>
                <w:rFonts w:ascii="Arial" w:eastAsia="Arial" w:hAnsi="Arial" w:cs="Arial"/>
                <w:sz w:val="20"/>
                <w:szCs w:val="20"/>
              </w:rPr>
            </w:pPr>
            <w:r>
              <w:rPr>
                <w:rFonts w:ascii="Arial" w:eastAsia="Arial" w:hAnsi="Arial" w:cs="Arial"/>
                <w:sz w:val="20"/>
                <w:szCs w:val="20"/>
              </w:rPr>
              <w:t>31</w:t>
            </w:r>
          </w:p>
          <w:p w:rsidR="00704449" w:rsidRDefault="0090383F">
            <w:pPr>
              <w:jc w:val="center"/>
              <w:rPr>
                <w:rFonts w:ascii="Arial" w:eastAsia="Arial" w:hAnsi="Arial" w:cs="Arial"/>
                <w:sz w:val="20"/>
                <w:szCs w:val="20"/>
              </w:rPr>
            </w:pPr>
            <w:r>
              <w:rPr>
                <w:rFonts w:ascii="Arial" w:eastAsia="Arial" w:hAnsi="Arial" w:cs="Arial"/>
                <w:sz w:val="20"/>
                <w:szCs w:val="20"/>
              </w:rPr>
              <w:t>40</w:t>
            </w:r>
          </w:p>
          <w:p w:rsidR="00704449" w:rsidRDefault="0090383F">
            <w:pPr>
              <w:jc w:val="center"/>
              <w:rPr>
                <w:rFonts w:ascii="Arial" w:eastAsia="Arial" w:hAnsi="Arial" w:cs="Arial"/>
                <w:sz w:val="20"/>
                <w:szCs w:val="20"/>
              </w:rPr>
            </w:pPr>
            <w:r>
              <w:rPr>
                <w:rFonts w:ascii="Arial" w:eastAsia="Arial" w:hAnsi="Arial" w:cs="Arial"/>
                <w:sz w:val="20"/>
                <w:szCs w:val="20"/>
              </w:rPr>
              <w:t>64</w:t>
            </w:r>
          </w:p>
          <w:p w:rsidR="00704449" w:rsidRDefault="0090383F">
            <w:pPr>
              <w:jc w:val="center"/>
              <w:rPr>
                <w:rFonts w:ascii="Arial" w:eastAsia="Arial" w:hAnsi="Arial" w:cs="Arial"/>
                <w:sz w:val="20"/>
                <w:szCs w:val="20"/>
              </w:rPr>
            </w:pPr>
            <w:r>
              <w:rPr>
                <w:rFonts w:ascii="Arial" w:eastAsia="Arial" w:hAnsi="Arial" w:cs="Arial"/>
                <w:sz w:val="20"/>
                <w:szCs w:val="20"/>
              </w:rPr>
              <w:t>1</w:t>
            </w:r>
          </w:p>
        </w:tc>
        <w:tc>
          <w:tcPr>
            <w:tcW w:w="1850" w:type="dxa"/>
            <w:tcBorders>
              <w:top w:val="single" w:sz="4" w:space="0" w:color="000000"/>
            </w:tcBorders>
          </w:tcPr>
          <w:p w:rsidR="00704449" w:rsidRDefault="00704449">
            <w:pPr>
              <w:jc w:val="center"/>
              <w:rPr>
                <w:rFonts w:ascii="Arial" w:eastAsia="Arial" w:hAnsi="Arial" w:cs="Arial"/>
                <w:sz w:val="20"/>
                <w:szCs w:val="20"/>
              </w:rPr>
            </w:pPr>
          </w:p>
          <w:p w:rsidR="00704449" w:rsidRDefault="0090383F">
            <w:pPr>
              <w:jc w:val="center"/>
              <w:rPr>
                <w:rFonts w:ascii="Arial" w:eastAsia="Arial" w:hAnsi="Arial" w:cs="Arial"/>
                <w:sz w:val="20"/>
                <w:szCs w:val="20"/>
              </w:rPr>
            </w:pPr>
            <w:r>
              <w:rPr>
                <w:rFonts w:ascii="Arial" w:eastAsia="Arial" w:hAnsi="Arial" w:cs="Arial"/>
                <w:sz w:val="20"/>
                <w:szCs w:val="20"/>
              </w:rPr>
              <w:t>9.3</w:t>
            </w:r>
          </w:p>
          <w:p w:rsidR="00704449" w:rsidRDefault="0090383F">
            <w:pPr>
              <w:jc w:val="center"/>
              <w:rPr>
                <w:rFonts w:ascii="Arial" w:eastAsia="Arial" w:hAnsi="Arial" w:cs="Arial"/>
                <w:sz w:val="20"/>
                <w:szCs w:val="20"/>
              </w:rPr>
            </w:pPr>
            <w:r>
              <w:rPr>
                <w:rFonts w:ascii="Arial" w:eastAsia="Arial" w:hAnsi="Arial" w:cs="Arial"/>
                <w:sz w:val="20"/>
                <w:szCs w:val="20"/>
              </w:rPr>
              <w:t>20.7</w:t>
            </w:r>
          </w:p>
          <w:p w:rsidR="00704449" w:rsidRDefault="0090383F">
            <w:pPr>
              <w:jc w:val="center"/>
              <w:rPr>
                <w:rFonts w:ascii="Arial" w:eastAsia="Arial" w:hAnsi="Arial" w:cs="Arial"/>
                <w:sz w:val="20"/>
                <w:szCs w:val="20"/>
              </w:rPr>
            </w:pPr>
            <w:r>
              <w:rPr>
                <w:rFonts w:ascii="Arial" w:eastAsia="Arial" w:hAnsi="Arial" w:cs="Arial"/>
                <w:sz w:val="20"/>
                <w:szCs w:val="20"/>
              </w:rPr>
              <w:t>26.7</w:t>
            </w:r>
          </w:p>
          <w:p w:rsidR="00704449" w:rsidRDefault="0090383F">
            <w:pPr>
              <w:jc w:val="center"/>
              <w:rPr>
                <w:rFonts w:ascii="Arial" w:eastAsia="Arial" w:hAnsi="Arial" w:cs="Arial"/>
                <w:sz w:val="20"/>
                <w:szCs w:val="20"/>
              </w:rPr>
            </w:pPr>
            <w:r>
              <w:rPr>
                <w:rFonts w:ascii="Arial" w:eastAsia="Arial" w:hAnsi="Arial" w:cs="Arial"/>
                <w:sz w:val="20"/>
                <w:szCs w:val="20"/>
              </w:rPr>
              <w:t>42.7</w:t>
            </w:r>
          </w:p>
          <w:p w:rsidR="00704449" w:rsidRDefault="0090383F">
            <w:pPr>
              <w:jc w:val="center"/>
              <w:rPr>
                <w:rFonts w:ascii="Arial" w:eastAsia="Arial" w:hAnsi="Arial" w:cs="Arial"/>
                <w:sz w:val="20"/>
                <w:szCs w:val="20"/>
              </w:rPr>
            </w:pPr>
            <w:r>
              <w:rPr>
                <w:rFonts w:ascii="Arial" w:eastAsia="Arial" w:hAnsi="Arial" w:cs="Arial"/>
                <w:sz w:val="20"/>
                <w:szCs w:val="20"/>
              </w:rPr>
              <w:t>.7</w:t>
            </w:r>
          </w:p>
        </w:tc>
      </w:tr>
      <w:tr w:rsidR="00704449">
        <w:trPr>
          <w:trHeight w:val="695"/>
        </w:trPr>
        <w:tc>
          <w:tcPr>
            <w:tcW w:w="4690" w:type="dxa"/>
          </w:tcPr>
          <w:p w:rsidR="00704449" w:rsidRDefault="0090383F">
            <w:pPr>
              <w:jc w:val="both"/>
              <w:rPr>
                <w:rFonts w:ascii="Arial" w:eastAsia="Arial" w:hAnsi="Arial" w:cs="Arial"/>
                <w:b/>
                <w:sz w:val="20"/>
                <w:szCs w:val="20"/>
              </w:rPr>
            </w:pPr>
            <w:r>
              <w:rPr>
                <w:rFonts w:ascii="Arial" w:eastAsia="Arial" w:hAnsi="Arial" w:cs="Arial"/>
                <w:b/>
                <w:sz w:val="20"/>
                <w:szCs w:val="20"/>
              </w:rPr>
              <w:t>Civil Status</w:t>
            </w:r>
          </w:p>
          <w:p w:rsidR="00704449" w:rsidRDefault="0090383F">
            <w:pPr>
              <w:jc w:val="both"/>
              <w:rPr>
                <w:rFonts w:ascii="Arial" w:eastAsia="Arial" w:hAnsi="Arial" w:cs="Arial"/>
                <w:sz w:val="20"/>
                <w:szCs w:val="20"/>
              </w:rPr>
            </w:pPr>
            <w:r>
              <w:rPr>
                <w:rFonts w:ascii="Arial" w:eastAsia="Arial" w:hAnsi="Arial" w:cs="Arial"/>
                <w:sz w:val="20"/>
                <w:szCs w:val="20"/>
              </w:rPr>
              <w:t xml:space="preserve">     Single </w:t>
            </w:r>
          </w:p>
          <w:p w:rsidR="00704449" w:rsidRDefault="0090383F">
            <w:pPr>
              <w:jc w:val="both"/>
              <w:rPr>
                <w:rFonts w:ascii="Arial" w:eastAsia="Arial" w:hAnsi="Arial" w:cs="Arial"/>
                <w:sz w:val="20"/>
                <w:szCs w:val="20"/>
              </w:rPr>
            </w:pPr>
            <w:r>
              <w:rPr>
                <w:rFonts w:ascii="Arial" w:eastAsia="Arial" w:hAnsi="Arial" w:cs="Arial"/>
                <w:sz w:val="20"/>
                <w:szCs w:val="20"/>
              </w:rPr>
              <w:t xml:space="preserve">     Married </w:t>
            </w:r>
          </w:p>
          <w:p w:rsidR="00704449" w:rsidRDefault="0090383F">
            <w:pPr>
              <w:jc w:val="both"/>
              <w:rPr>
                <w:rFonts w:ascii="Arial" w:eastAsia="Arial" w:hAnsi="Arial" w:cs="Arial"/>
                <w:sz w:val="20"/>
                <w:szCs w:val="20"/>
              </w:rPr>
            </w:pPr>
            <w:r>
              <w:rPr>
                <w:rFonts w:ascii="Arial" w:eastAsia="Arial" w:hAnsi="Arial" w:cs="Arial"/>
                <w:sz w:val="20"/>
                <w:szCs w:val="20"/>
              </w:rPr>
              <w:t xml:space="preserve">     Separated </w:t>
            </w:r>
          </w:p>
          <w:p w:rsidR="00704449" w:rsidRDefault="0090383F">
            <w:pPr>
              <w:jc w:val="both"/>
              <w:rPr>
                <w:rFonts w:ascii="Arial" w:eastAsia="Arial" w:hAnsi="Arial" w:cs="Arial"/>
                <w:sz w:val="20"/>
                <w:szCs w:val="20"/>
              </w:rPr>
            </w:pPr>
            <w:r>
              <w:rPr>
                <w:rFonts w:ascii="Arial" w:eastAsia="Arial" w:hAnsi="Arial" w:cs="Arial"/>
                <w:sz w:val="20"/>
                <w:szCs w:val="20"/>
              </w:rPr>
              <w:t xml:space="preserve">     Widow(er)</w:t>
            </w:r>
          </w:p>
        </w:tc>
        <w:tc>
          <w:tcPr>
            <w:tcW w:w="1708" w:type="dxa"/>
          </w:tcPr>
          <w:p w:rsidR="00704449" w:rsidRDefault="00704449">
            <w:pPr>
              <w:jc w:val="center"/>
              <w:rPr>
                <w:rFonts w:ascii="Arial" w:eastAsia="Arial" w:hAnsi="Arial" w:cs="Arial"/>
                <w:sz w:val="20"/>
                <w:szCs w:val="20"/>
              </w:rPr>
            </w:pPr>
          </w:p>
          <w:p w:rsidR="00704449" w:rsidRDefault="0090383F">
            <w:pPr>
              <w:jc w:val="center"/>
              <w:rPr>
                <w:rFonts w:ascii="Arial" w:eastAsia="Arial" w:hAnsi="Arial" w:cs="Arial"/>
                <w:sz w:val="20"/>
                <w:szCs w:val="20"/>
              </w:rPr>
            </w:pPr>
            <w:r>
              <w:rPr>
                <w:rFonts w:ascii="Arial" w:eastAsia="Arial" w:hAnsi="Arial" w:cs="Arial"/>
                <w:sz w:val="20"/>
                <w:szCs w:val="20"/>
              </w:rPr>
              <w:t>38</w:t>
            </w:r>
          </w:p>
          <w:p w:rsidR="00704449" w:rsidRDefault="0090383F">
            <w:pPr>
              <w:jc w:val="center"/>
              <w:rPr>
                <w:rFonts w:ascii="Arial" w:eastAsia="Arial" w:hAnsi="Arial" w:cs="Arial"/>
                <w:sz w:val="20"/>
                <w:szCs w:val="20"/>
              </w:rPr>
            </w:pPr>
            <w:r>
              <w:rPr>
                <w:rFonts w:ascii="Arial" w:eastAsia="Arial" w:hAnsi="Arial" w:cs="Arial"/>
                <w:sz w:val="20"/>
                <w:szCs w:val="20"/>
              </w:rPr>
              <w:t>50</w:t>
            </w:r>
          </w:p>
          <w:p w:rsidR="00704449" w:rsidRDefault="0090383F">
            <w:pPr>
              <w:jc w:val="center"/>
              <w:rPr>
                <w:rFonts w:ascii="Arial" w:eastAsia="Arial" w:hAnsi="Arial" w:cs="Arial"/>
                <w:sz w:val="20"/>
                <w:szCs w:val="20"/>
              </w:rPr>
            </w:pPr>
            <w:r>
              <w:rPr>
                <w:rFonts w:ascii="Arial" w:eastAsia="Arial" w:hAnsi="Arial" w:cs="Arial"/>
                <w:sz w:val="20"/>
                <w:szCs w:val="20"/>
              </w:rPr>
              <w:t>31</w:t>
            </w:r>
          </w:p>
          <w:p w:rsidR="00704449" w:rsidRDefault="0090383F">
            <w:pPr>
              <w:jc w:val="center"/>
              <w:rPr>
                <w:rFonts w:ascii="Arial" w:eastAsia="Arial" w:hAnsi="Arial" w:cs="Arial"/>
                <w:sz w:val="20"/>
                <w:szCs w:val="20"/>
              </w:rPr>
            </w:pPr>
            <w:r>
              <w:rPr>
                <w:rFonts w:ascii="Arial" w:eastAsia="Arial" w:hAnsi="Arial" w:cs="Arial"/>
                <w:sz w:val="20"/>
                <w:szCs w:val="20"/>
              </w:rPr>
              <w:t>31</w:t>
            </w:r>
          </w:p>
        </w:tc>
        <w:tc>
          <w:tcPr>
            <w:tcW w:w="1850" w:type="dxa"/>
          </w:tcPr>
          <w:p w:rsidR="00704449" w:rsidRDefault="00704449">
            <w:pPr>
              <w:jc w:val="center"/>
              <w:rPr>
                <w:rFonts w:ascii="Arial" w:eastAsia="Arial" w:hAnsi="Arial" w:cs="Arial"/>
                <w:sz w:val="20"/>
                <w:szCs w:val="20"/>
              </w:rPr>
            </w:pPr>
          </w:p>
          <w:p w:rsidR="00704449" w:rsidRDefault="0090383F">
            <w:pPr>
              <w:jc w:val="center"/>
              <w:rPr>
                <w:rFonts w:ascii="Arial" w:eastAsia="Arial" w:hAnsi="Arial" w:cs="Arial"/>
                <w:sz w:val="20"/>
                <w:szCs w:val="20"/>
              </w:rPr>
            </w:pPr>
            <w:r>
              <w:rPr>
                <w:rFonts w:ascii="Arial" w:eastAsia="Arial" w:hAnsi="Arial" w:cs="Arial"/>
                <w:sz w:val="20"/>
                <w:szCs w:val="20"/>
              </w:rPr>
              <w:t>25.3</w:t>
            </w:r>
          </w:p>
          <w:p w:rsidR="00704449" w:rsidRDefault="0090383F">
            <w:pPr>
              <w:jc w:val="center"/>
              <w:rPr>
                <w:rFonts w:ascii="Arial" w:eastAsia="Arial" w:hAnsi="Arial" w:cs="Arial"/>
                <w:sz w:val="20"/>
                <w:szCs w:val="20"/>
              </w:rPr>
            </w:pPr>
            <w:r>
              <w:rPr>
                <w:rFonts w:ascii="Arial" w:eastAsia="Arial" w:hAnsi="Arial" w:cs="Arial"/>
                <w:sz w:val="20"/>
                <w:szCs w:val="20"/>
              </w:rPr>
              <w:t>33.3</w:t>
            </w:r>
          </w:p>
          <w:p w:rsidR="00704449" w:rsidRDefault="0090383F">
            <w:pPr>
              <w:jc w:val="center"/>
              <w:rPr>
                <w:rFonts w:ascii="Arial" w:eastAsia="Arial" w:hAnsi="Arial" w:cs="Arial"/>
                <w:sz w:val="20"/>
                <w:szCs w:val="20"/>
              </w:rPr>
            </w:pPr>
            <w:r>
              <w:rPr>
                <w:rFonts w:ascii="Arial" w:eastAsia="Arial" w:hAnsi="Arial" w:cs="Arial"/>
                <w:sz w:val="20"/>
                <w:szCs w:val="20"/>
              </w:rPr>
              <w:t>20.7</w:t>
            </w:r>
          </w:p>
          <w:p w:rsidR="00704449" w:rsidRDefault="0090383F">
            <w:pPr>
              <w:jc w:val="center"/>
              <w:rPr>
                <w:rFonts w:ascii="Arial" w:eastAsia="Arial" w:hAnsi="Arial" w:cs="Arial"/>
                <w:sz w:val="20"/>
                <w:szCs w:val="20"/>
              </w:rPr>
            </w:pPr>
            <w:r>
              <w:rPr>
                <w:rFonts w:ascii="Arial" w:eastAsia="Arial" w:hAnsi="Arial" w:cs="Arial"/>
                <w:sz w:val="20"/>
                <w:szCs w:val="20"/>
              </w:rPr>
              <w:t>20.7</w:t>
            </w:r>
          </w:p>
        </w:tc>
      </w:tr>
      <w:tr w:rsidR="00704449">
        <w:trPr>
          <w:trHeight w:val="113"/>
        </w:trPr>
        <w:tc>
          <w:tcPr>
            <w:tcW w:w="4690" w:type="dxa"/>
          </w:tcPr>
          <w:p w:rsidR="00704449" w:rsidRDefault="0090383F">
            <w:pPr>
              <w:jc w:val="both"/>
              <w:rPr>
                <w:rFonts w:ascii="Arial" w:eastAsia="Arial" w:hAnsi="Arial" w:cs="Arial"/>
                <w:b/>
                <w:sz w:val="20"/>
                <w:szCs w:val="20"/>
              </w:rPr>
            </w:pPr>
            <w:r>
              <w:rPr>
                <w:rFonts w:ascii="Arial" w:eastAsia="Arial" w:hAnsi="Arial" w:cs="Arial"/>
                <w:b/>
                <w:sz w:val="20"/>
                <w:szCs w:val="20"/>
              </w:rPr>
              <w:t>Gender</w:t>
            </w:r>
          </w:p>
          <w:p w:rsidR="00704449" w:rsidRDefault="0090383F">
            <w:pPr>
              <w:ind w:left="360"/>
              <w:jc w:val="both"/>
              <w:rPr>
                <w:rFonts w:ascii="Arial" w:eastAsia="Arial" w:hAnsi="Arial" w:cs="Arial"/>
                <w:sz w:val="20"/>
                <w:szCs w:val="20"/>
              </w:rPr>
            </w:pPr>
            <w:r>
              <w:rPr>
                <w:rFonts w:ascii="Arial" w:eastAsia="Arial" w:hAnsi="Arial" w:cs="Arial"/>
                <w:sz w:val="20"/>
                <w:szCs w:val="20"/>
              </w:rPr>
              <w:t xml:space="preserve">Male </w:t>
            </w:r>
          </w:p>
          <w:p w:rsidR="00704449" w:rsidRDefault="0090383F">
            <w:pPr>
              <w:ind w:left="360"/>
              <w:jc w:val="both"/>
              <w:rPr>
                <w:rFonts w:ascii="Arial" w:eastAsia="Arial" w:hAnsi="Arial" w:cs="Arial"/>
                <w:sz w:val="20"/>
                <w:szCs w:val="20"/>
              </w:rPr>
            </w:pPr>
            <w:r>
              <w:rPr>
                <w:rFonts w:ascii="Arial" w:eastAsia="Arial" w:hAnsi="Arial" w:cs="Arial"/>
                <w:sz w:val="20"/>
                <w:szCs w:val="20"/>
              </w:rPr>
              <w:t>Female</w:t>
            </w:r>
          </w:p>
        </w:tc>
        <w:tc>
          <w:tcPr>
            <w:tcW w:w="1708" w:type="dxa"/>
          </w:tcPr>
          <w:p w:rsidR="00704449" w:rsidRDefault="00704449">
            <w:pPr>
              <w:jc w:val="center"/>
              <w:rPr>
                <w:rFonts w:ascii="Arial" w:eastAsia="Arial" w:hAnsi="Arial" w:cs="Arial"/>
                <w:sz w:val="20"/>
                <w:szCs w:val="20"/>
              </w:rPr>
            </w:pPr>
          </w:p>
          <w:p w:rsidR="00704449" w:rsidRDefault="0090383F">
            <w:pPr>
              <w:jc w:val="center"/>
              <w:rPr>
                <w:rFonts w:ascii="Arial" w:eastAsia="Arial" w:hAnsi="Arial" w:cs="Arial"/>
                <w:sz w:val="20"/>
                <w:szCs w:val="20"/>
              </w:rPr>
            </w:pPr>
            <w:r>
              <w:rPr>
                <w:rFonts w:ascii="Arial" w:eastAsia="Arial" w:hAnsi="Arial" w:cs="Arial"/>
                <w:sz w:val="20"/>
                <w:szCs w:val="20"/>
              </w:rPr>
              <w:t>75</w:t>
            </w:r>
          </w:p>
          <w:p w:rsidR="00704449" w:rsidRDefault="0090383F">
            <w:pPr>
              <w:jc w:val="center"/>
              <w:rPr>
                <w:rFonts w:ascii="Arial" w:eastAsia="Arial" w:hAnsi="Arial" w:cs="Arial"/>
                <w:sz w:val="20"/>
                <w:szCs w:val="20"/>
              </w:rPr>
            </w:pPr>
            <w:r>
              <w:rPr>
                <w:rFonts w:ascii="Arial" w:eastAsia="Arial" w:hAnsi="Arial" w:cs="Arial"/>
                <w:sz w:val="20"/>
                <w:szCs w:val="20"/>
              </w:rPr>
              <w:t>75</w:t>
            </w:r>
          </w:p>
        </w:tc>
        <w:tc>
          <w:tcPr>
            <w:tcW w:w="1850" w:type="dxa"/>
          </w:tcPr>
          <w:p w:rsidR="00704449" w:rsidRDefault="00704449">
            <w:pPr>
              <w:jc w:val="center"/>
              <w:rPr>
                <w:rFonts w:ascii="Arial" w:eastAsia="Arial" w:hAnsi="Arial" w:cs="Arial"/>
                <w:sz w:val="20"/>
                <w:szCs w:val="20"/>
              </w:rPr>
            </w:pPr>
          </w:p>
          <w:p w:rsidR="00704449" w:rsidRDefault="0090383F">
            <w:pPr>
              <w:jc w:val="center"/>
              <w:rPr>
                <w:rFonts w:ascii="Arial" w:eastAsia="Arial" w:hAnsi="Arial" w:cs="Arial"/>
                <w:sz w:val="20"/>
                <w:szCs w:val="20"/>
              </w:rPr>
            </w:pPr>
            <w:r>
              <w:rPr>
                <w:rFonts w:ascii="Arial" w:eastAsia="Arial" w:hAnsi="Arial" w:cs="Arial"/>
                <w:sz w:val="20"/>
                <w:szCs w:val="20"/>
              </w:rPr>
              <w:t>50.0</w:t>
            </w:r>
          </w:p>
          <w:p w:rsidR="00704449" w:rsidRDefault="0090383F">
            <w:pPr>
              <w:jc w:val="center"/>
              <w:rPr>
                <w:rFonts w:ascii="Arial" w:eastAsia="Arial" w:hAnsi="Arial" w:cs="Arial"/>
                <w:sz w:val="20"/>
                <w:szCs w:val="20"/>
              </w:rPr>
            </w:pPr>
            <w:r>
              <w:rPr>
                <w:rFonts w:ascii="Arial" w:eastAsia="Arial" w:hAnsi="Arial" w:cs="Arial"/>
                <w:sz w:val="20"/>
                <w:szCs w:val="20"/>
              </w:rPr>
              <w:t>50.0</w:t>
            </w:r>
          </w:p>
        </w:tc>
      </w:tr>
      <w:tr w:rsidR="00704449">
        <w:trPr>
          <w:trHeight w:val="695"/>
        </w:trPr>
        <w:tc>
          <w:tcPr>
            <w:tcW w:w="4690" w:type="dxa"/>
          </w:tcPr>
          <w:p w:rsidR="00704449" w:rsidRDefault="0090383F">
            <w:pPr>
              <w:jc w:val="both"/>
              <w:rPr>
                <w:rFonts w:ascii="Arial" w:eastAsia="Arial" w:hAnsi="Arial" w:cs="Arial"/>
                <w:b/>
                <w:sz w:val="20"/>
                <w:szCs w:val="20"/>
              </w:rPr>
            </w:pPr>
            <w:r>
              <w:rPr>
                <w:rFonts w:ascii="Arial" w:eastAsia="Arial" w:hAnsi="Arial" w:cs="Arial"/>
                <w:b/>
                <w:sz w:val="20"/>
                <w:szCs w:val="20"/>
              </w:rPr>
              <w:t xml:space="preserve">Years in Teaching </w:t>
            </w:r>
          </w:p>
          <w:p w:rsidR="00704449" w:rsidRDefault="0090383F">
            <w:pPr>
              <w:jc w:val="both"/>
              <w:rPr>
                <w:rFonts w:ascii="Arial" w:eastAsia="Arial" w:hAnsi="Arial" w:cs="Arial"/>
                <w:sz w:val="20"/>
                <w:szCs w:val="20"/>
              </w:rPr>
            </w:pPr>
            <w:r>
              <w:rPr>
                <w:rFonts w:ascii="Arial" w:eastAsia="Arial" w:hAnsi="Arial" w:cs="Arial"/>
                <w:sz w:val="20"/>
                <w:szCs w:val="20"/>
              </w:rPr>
              <w:t xml:space="preserve">     3-5 years </w:t>
            </w:r>
          </w:p>
          <w:p w:rsidR="00704449" w:rsidRDefault="0090383F">
            <w:pPr>
              <w:jc w:val="both"/>
              <w:rPr>
                <w:rFonts w:ascii="Arial" w:eastAsia="Arial" w:hAnsi="Arial" w:cs="Arial"/>
                <w:sz w:val="20"/>
                <w:szCs w:val="20"/>
              </w:rPr>
            </w:pPr>
            <w:r>
              <w:rPr>
                <w:rFonts w:ascii="Arial" w:eastAsia="Arial" w:hAnsi="Arial" w:cs="Arial"/>
                <w:sz w:val="20"/>
                <w:szCs w:val="20"/>
              </w:rPr>
              <w:t xml:space="preserve">     6-10 years </w:t>
            </w:r>
          </w:p>
          <w:p w:rsidR="00704449" w:rsidRDefault="0090383F">
            <w:pPr>
              <w:jc w:val="both"/>
              <w:rPr>
                <w:rFonts w:ascii="Arial" w:eastAsia="Arial" w:hAnsi="Arial" w:cs="Arial"/>
                <w:sz w:val="20"/>
                <w:szCs w:val="20"/>
              </w:rPr>
            </w:pPr>
            <w:r>
              <w:rPr>
                <w:rFonts w:ascii="Arial" w:eastAsia="Arial" w:hAnsi="Arial" w:cs="Arial"/>
                <w:sz w:val="20"/>
                <w:szCs w:val="20"/>
              </w:rPr>
              <w:t xml:space="preserve">     More than 12 years </w:t>
            </w:r>
          </w:p>
        </w:tc>
        <w:tc>
          <w:tcPr>
            <w:tcW w:w="1708" w:type="dxa"/>
          </w:tcPr>
          <w:p w:rsidR="00704449" w:rsidRDefault="00704449">
            <w:pPr>
              <w:jc w:val="center"/>
              <w:rPr>
                <w:rFonts w:ascii="Arial" w:eastAsia="Arial" w:hAnsi="Arial" w:cs="Arial"/>
                <w:sz w:val="20"/>
                <w:szCs w:val="20"/>
              </w:rPr>
            </w:pPr>
          </w:p>
          <w:p w:rsidR="00704449" w:rsidRDefault="0090383F">
            <w:pPr>
              <w:jc w:val="center"/>
              <w:rPr>
                <w:rFonts w:ascii="Arial" w:eastAsia="Arial" w:hAnsi="Arial" w:cs="Arial"/>
                <w:sz w:val="20"/>
                <w:szCs w:val="20"/>
              </w:rPr>
            </w:pPr>
            <w:r>
              <w:rPr>
                <w:rFonts w:ascii="Arial" w:eastAsia="Arial" w:hAnsi="Arial" w:cs="Arial"/>
                <w:sz w:val="20"/>
                <w:szCs w:val="20"/>
              </w:rPr>
              <w:t>37</w:t>
            </w:r>
          </w:p>
          <w:p w:rsidR="00704449" w:rsidRDefault="0090383F">
            <w:pPr>
              <w:jc w:val="center"/>
              <w:rPr>
                <w:rFonts w:ascii="Arial" w:eastAsia="Arial" w:hAnsi="Arial" w:cs="Arial"/>
                <w:sz w:val="20"/>
                <w:szCs w:val="20"/>
              </w:rPr>
            </w:pPr>
            <w:r>
              <w:rPr>
                <w:rFonts w:ascii="Arial" w:eastAsia="Arial" w:hAnsi="Arial" w:cs="Arial"/>
                <w:sz w:val="20"/>
                <w:szCs w:val="20"/>
              </w:rPr>
              <w:t>47</w:t>
            </w:r>
          </w:p>
          <w:p w:rsidR="00704449" w:rsidRDefault="0090383F">
            <w:pPr>
              <w:jc w:val="center"/>
              <w:rPr>
                <w:rFonts w:ascii="Arial" w:eastAsia="Arial" w:hAnsi="Arial" w:cs="Arial"/>
                <w:sz w:val="20"/>
                <w:szCs w:val="20"/>
              </w:rPr>
            </w:pPr>
            <w:r>
              <w:rPr>
                <w:rFonts w:ascii="Arial" w:eastAsia="Arial" w:hAnsi="Arial" w:cs="Arial"/>
                <w:sz w:val="20"/>
                <w:szCs w:val="20"/>
              </w:rPr>
              <w:t>66</w:t>
            </w:r>
          </w:p>
        </w:tc>
        <w:tc>
          <w:tcPr>
            <w:tcW w:w="1850" w:type="dxa"/>
          </w:tcPr>
          <w:p w:rsidR="00704449" w:rsidRDefault="00704449">
            <w:pPr>
              <w:jc w:val="center"/>
              <w:rPr>
                <w:rFonts w:ascii="Arial" w:eastAsia="Arial" w:hAnsi="Arial" w:cs="Arial"/>
                <w:sz w:val="20"/>
                <w:szCs w:val="20"/>
              </w:rPr>
            </w:pPr>
          </w:p>
          <w:p w:rsidR="00704449" w:rsidRDefault="0090383F">
            <w:pPr>
              <w:jc w:val="center"/>
              <w:rPr>
                <w:rFonts w:ascii="Arial" w:eastAsia="Arial" w:hAnsi="Arial" w:cs="Arial"/>
                <w:sz w:val="20"/>
                <w:szCs w:val="20"/>
              </w:rPr>
            </w:pPr>
            <w:r>
              <w:rPr>
                <w:rFonts w:ascii="Arial" w:eastAsia="Arial" w:hAnsi="Arial" w:cs="Arial"/>
                <w:sz w:val="20"/>
                <w:szCs w:val="20"/>
              </w:rPr>
              <w:t>24.7</w:t>
            </w:r>
          </w:p>
          <w:p w:rsidR="00704449" w:rsidRDefault="0090383F">
            <w:pPr>
              <w:jc w:val="center"/>
              <w:rPr>
                <w:rFonts w:ascii="Arial" w:eastAsia="Arial" w:hAnsi="Arial" w:cs="Arial"/>
                <w:sz w:val="20"/>
                <w:szCs w:val="20"/>
              </w:rPr>
            </w:pPr>
            <w:r>
              <w:rPr>
                <w:rFonts w:ascii="Arial" w:eastAsia="Arial" w:hAnsi="Arial" w:cs="Arial"/>
                <w:sz w:val="20"/>
                <w:szCs w:val="20"/>
              </w:rPr>
              <w:t>31.3</w:t>
            </w:r>
          </w:p>
          <w:p w:rsidR="00704449" w:rsidRDefault="0090383F">
            <w:pPr>
              <w:jc w:val="center"/>
              <w:rPr>
                <w:rFonts w:ascii="Arial" w:eastAsia="Arial" w:hAnsi="Arial" w:cs="Arial"/>
                <w:sz w:val="20"/>
                <w:szCs w:val="20"/>
              </w:rPr>
            </w:pPr>
            <w:r>
              <w:rPr>
                <w:rFonts w:ascii="Arial" w:eastAsia="Arial" w:hAnsi="Arial" w:cs="Arial"/>
                <w:sz w:val="20"/>
                <w:szCs w:val="20"/>
              </w:rPr>
              <w:t>44.0</w:t>
            </w:r>
          </w:p>
        </w:tc>
      </w:tr>
    </w:tbl>
    <w:p w:rsidR="00704449" w:rsidRDefault="00704449">
      <w:pPr>
        <w:pBdr>
          <w:top w:val="nil"/>
          <w:left w:val="nil"/>
          <w:bottom w:val="nil"/>
          <w:right w:val="nil"/>
          <w:between w:val="nil"/>
        </w:pBdr>
        <w:spacing w:after="0" w:line="240" w:lineRule="auto"/>
        <w:ind w:right="-252"/>
        <w:jc w:val="both"/>
        <w:rPr>
          <w:rFonts w:ascii="Arial" w:eastAsia="Arial" w:hAnsi="Arial" w:cs="Arial"/>
          <w:color w:val="000000"/>
          <w:sz w:val="20"/>
          <w:szCs w:val="20"/>
        </w:rPr>
        <w:sectPr w:rsidR="00704449">
          <w:type w:val="continuous"/>
          <w:pgSz w:w="12240" w:h="15840"/>
          <w:pgMar w:top="1440" w:right="2016" w:bottom="2016" w:left="2016" w:header="706" w:footer="706" w:gutter="0"/>
          <w:cols w:space="720"/>
        </w:sectPr>
      </w:pPr>
    </w:p>
    <w:p w:rsidR="00704449" w:rsidRDefault="00704449">
      <w:pPr>
        <w:pBdr>
          <w:top w:val="nil"/>
          <w:left w:val="nil"/>
          <w:bottom w:val="nil"/>
          <w:right w:val="nil"/>
          <w:between w:val="nil"/>
        </w:pBdr>
        <w:spacing w:after="0" w:line="240" w:lineRule="auto"/>
        <w:ind w:right="-252"/>
        <w:jc w:val="both"/>
        <w:rPr>
          <w:rFonts w:ascii="Arial" w:eastAsia="Arial" w:hAnsi="Arial" w:cs="Arial"/>
          <w:color w:val="000000"/>
          <w:sz w:val="20"/>
          <w:szCs w:val="20"/>
        </w:rPr>
        <w:sectPr w:rsidR="00704449">
          <w:type w:val="continuous"/>
          <w:pgSz w:w="12240" w:h="15840"/>
          <w:pgMar w:top="1440" w:right="2016" w:bottom="2016" w:left="2016" w:header="706" w:footer="706" w:gutter="0"/>
          <w:cols w:num="2" w:space="720" w:equalWidth="0">
            <w:col w:w="3750" w:space="708"/>
            <w:col w:w="3750"/>
          </w:cols>
        </w:sectPr>
      </w:pPr>
    </w:p>
    <w:p w:rsidR="00704449" w:rsidRDefault="00704449">
      <w:pPr>
        <w:pBdr>
          <w:top w:val="nil"/>
          <w:left w:val="nil"/>
          <w:bottom w:val="nil"/>
          <w:right w:val="nil"/>
          <w:between w:val="nil"/>
        </w:pBdr>
        <w:spacing w:after="0" w:line="240" w:lineRule="auto"/>
        <w:ind w:right="-252"/>
        <w:jc w:val="both"/>
        <w:rPr>
          <w:rFonts w:ascii="Arial" w:eastAsia="Arial" w:hAnsi="Arial" w:cs="Arial"/>
          <w:color w:val="000000"/>
          <w:sz w:val="20"/>
          <w:szCs w:val="20"/>
        </w:rPr>
        <w:sectPr w:rsidR="00704449">
          <w:type w:val="continuous"/>
          <w:pgSz w:w="12240" w:h="15840"/>
          <w:pgMar w:top="1440" w:right="2016" w:bottom="2016" w:left="2016" w:header="706" w:footer="706" w:gutter="0"/>
          <w:cols w:num="2" w:space="720" w:equalWidth="0">
            <w:col w:w="3750" w:space="708"/>
            <w:col w:w="3750"/>
          </w:cols>
        </w:sectPr>
      </w:pPr>
    </w:p>
    <w:p w:rsidR="00704449" w:rsidRDefault="00704449">
      <w:pPr>
        <w:pBdr>
          <w:top w:val="nil"/>
          <w:left w:val="nil"/>
          <w:bottom w:val="nil"/>
          <w:right w:val="nil"/>
          <w:between w:val="nil"/>
        </w:pBdr>
        <w:spacing w:after="0" w:line="240" w:lineRule="auto"/>
        <w:ind w:right="-252"/>
        <w:jc w:val="both"/>
        <w:rPr>
          <w:rFonts w:ascii="Arial" w:eastAsia="Arial" w:hAnsi="Arial" w:cs="Arial"/>
          <w:color w:val="000000"/>
          <w:sz w:val="20"/>
          <w:szCs w:val="20"/>
        </w:rPr>
      </w:pPr>
    </w:p>
    <w:p w:rsidR="00704449" w:rsidRDefault="0090383F">
      <w:pPr>
        <w:pBdr>
          <w:top w:val="nil"/>
          <w:left w:val="nil"/>
          <w:bottom w:val="nil"/>
          <w:right w:val="nil"/>
          <w:between w:val="nil"/>
        </w:pBdr>
        <w:spacing w:after="0" w:line="240" w:lineRule="auto"/>
        <w:ind w:right="-252"/>
        <w:jc w:val="both"/>
        <w:rPr>
          <w:rFonts w:ascii="Arial" w:eastAsia="Arial" w:hAnsi="Arial" w:cs="Arial"/>
          <w:color w:val="000000"/>
          <w:sz w:val="20"/>
          <w:szCs w:val="20"/>
        </w:rPr>
      </w:pPr>
      <w:r>
        <w:rPr>
          <w:rFonts w:ascii="Arial" w:eastAsia="Arial" w:hAnsi="Arial" w:cs="Arial"/>
          <w:color w:val="000000"/>
          <w:sz w:val="20"/>
          <w:szCs w:val="20"/>
        </w:rPr>
        <w:t xml:space="preserve">contacted and advised of the study's goals and data collection method. They were given </w:t>
      </w:r>
      <w:r>
        <w:rPr>
          <w:rFonts w:ascii="Arial" w:eastAsia="Arial" w:hAnsi="Arial" w:cs="Arial"/>
          <w:color w:val="000000"/>
          <w:sz w:val="20"/>
          <w:szCs w:val="20"/>
        </w:rPr>
        <w:t>a reasonable time to ask questions and communicate any concerns. Their participation was voluntary; hence, opting to join or stop the study during its term would not affect their employment or care [30].</w:t>
      </w:r>
    </w:p>
    <w:p w:rsidR="00704449" w:rsidRDefault="00704449">
      <w:pPr>
        <w:pBdr>
          <w:top w:val="nil"/>
          <w:left w:val="nil"/>
          <w:bottom w:val="nil"/>
          <w:right w:val="nil"/>
          <w:between w:val="nil"/>
        </w:pBdr>
        <w:spacing w:after="0" w:line="240" w:lineRule="auto"/>
        <w:ind w:right="-252"/>
        <w:jc w:val="both"/>
        <w:rPr>
          <w:rFonts w:ascii="Arial" w:eastAsia="Arial" w:hAnsi="Arial" w:cs="Arial"/>
          <w:color w:val="000000"/>
          <w:sz w:val="20"/>
          <w:szCs w:val="20"/>
        </w:rPr>
      </w:pPr>
    </w:p>
    <w:p w:rsidR="00704449" w:rsidRDefault="0090383F">
      <w:pPr>
        <w:pBdr>
          <w:top w:val="nil"/>
          <w:left w:val="nil"/>
          <w:bottom w:val="nil"/>
          <w:right w:val="nil"/>
          <w:between w:val="nil"/>
        </w:pBdr>
        <w:spacing w:after="0" w:line="240" w:lineRule="auto"/>
        <w:ind w:right="-252"/>
        <w:jc w:val="both"/>
        <w:rPr>
          <w:rFonts w:ascii="Arial" w:eastAsia="Arial" w:hAnsi="Arial" w:cs="Arial"/>
          <w:b/>
          <w:color w:val="000000"/>
          <w:sz w:val="20"/>
          <w:szCs w:val="20"/>
        </w:rPr>
      </w:pPr>
      <w:r>
        <w:rPr>
          <w:rFonts w:ascii="Arial" w:eastAsia="Arial" w:hAnsi="Arial" w:cs="Arial"/>
          <w:b/>
          <w:color w:val="000000"/>
          <w:sz w:val="20"/>
          <w:szCs w:val="20"/>
        </w:rPr>
        <w:t xml:space="preserve">Anonymity and Confidentiality. </w:t>
      </w:r>
      <w:r>
        <w:rPr>
          <w:rFonts w:ascii="Arial" w:eastAsia="Arial" w:hAnsi="Arial" w:cs="Arial"/>
          <w:color w:val="000000"/>
          <w:sz w:val="20"/>
          <w:szCs w:val="20"/>
        </w:rPr>
        <w:t>Data collection, ana</w:t>
      </w:r>
      <w:r>
        <w:rPr>
          <w:rFonts w:ascii="Arial" w:eastAsia="Arial" w:hAnsi="Arial" w:cs="Arial"/>
          <w:color w:val="000000"/>
          <w:sz w:val="20"/>
          <w:szCs w:val="20"/>
        </w:rPr>
        <w:t>lysis, and release of the study findings preserved participants' anonymity and confidentiality by hiding their names and identities. Throughout phone contact, interview sessions, data processing, results distribution, privacy, and confidentiality in the in</w:t>
      </w:r>
      <w:r>
        <w:rPr>
          <w:rFonts w:ascii="Arial" w:eastAsia="Arial" w:hAnsi="Arial" w:cs="Arial"/>
          <w:color w:val="000000"/>
          <w:sz w:val="20"/>
          <w:szCs w:val="20"/>
        </w:rPr>
        <w:t>terview environment were painstakingly upheld [30].</w:t>
      </w:r>
    </w:p>
    <w:p w:rsidR="00704449" w:rsidRDefault="00704449">
      <w:pPr>
        <w:pBdr>
          <w:top w:val="nil"/>
          <w:left w:val="nil"/>
          <w:bottom w:val="nil"/>
          <w:right w:val="nil"/>
          <w:between w:val="nil"/>
        </w:pBdr>
        <w:spacing w:after="0" w:line="240" w:lineRule="auto"/>
        <w:ind w:right="-252"/>
        <w:jc w:val="both"/>
        <w:rPr>
          <w:rFonts w:ascii="Arial" w:eastAsia="Arial" w:hAnsi="Arial" w:cs="Arial"/>
          <w:b/>
          <w:color w:val="000000"/>
          <w:sz w:val="20"/>
          <w:szCs w:val="20"/>
        </w:rPr>
      </w:pPr>
    </w:p>
    <w:p w:rsidR="00220C1F" w:rsidRDefault="00220C1F">
      <w:pPr>
        <w:pBdr>
          <w:top w:val="nil"/>
          <w:left w:val="nil"/>
          <w:bottom w:val="nil"/>
          <w:right w:val="nil"/>
          <w:between w:val="nil"/>
        </w:pBdr>
        <w:spacing w:after="0" w:line="240" w:lineRule="auto"/>
        <w:ind w:right="-252"/>
        <w:jc w:val="both"/>
        <w:rPr>
          <w:rFonts w:ascii="Arial" w:eastAsia="Arial" w:hAnsi="Arial" w:cs="Arial"/>
          <w:b/>
          <w:color w:val="000000"/>
          <w:sz w:val="22"/>
          <w:szCs w:val="22"/>
        </w:rPr>
      </w:pPr>
    </w:p>
    <w:p w:rsidR="00704449" w:rsidRDefault="0090383F">
      <w:pPr>
        <w:pBdr>
          <w:top w:val="nil"/>
          <w:left w:val="nil"/>
          <w:bottom w:val="nil"/>
          <w:right w:val="nil"/>
          <w:between w:val="nil"/>
        </w:pBdr>
        <w:spacing w:after="0" w:line="240" w:lineRule="auto"/>
        <w:ind w:right="-252"/>
        <w:jc w:val="both"/>
        <w:rPr>
          <w:rFonts w:ascii="Arial" w:eastAsia="Arial" w:hAnsi="Arial" w:cs="Arial"/>
          <w:b/>
          <w:color w:val="000000"/>
          <w:sz w:val="22"/>
          <w:szCs w:val="22"/>
        </w:rPr>
      </w:pPr>
      <w:r>
        <w:rPr>
          <w:rFonts w:ascii="Arial" w:eastAsia="Arial" w:hAnsi="Arial" w:cs="Arial"/>
          <w:b/>
          <w:color w:val="000000"/>
          <w:sz w:val="22"/>
          <w:szCs w:val="22"/>
        </w:rPr>
        <w:t>4. RESULTS AND DISCUSSION</w:t>
      </w:r>
    </w:p>
    <w:p w:rsidR="00704449" w:rsidRDefault="00704449">
      <w:pPr>
        <w:pBdr>
          <w:top w:val="nil"/>
          <w:left w:val="nil"/>
          <w:bottom w:val="nil"/>
          <w:right w:val="nil"/>
          <w:between w:val="nil"/>
        </w:pBdr>
        <w:spacing w:after="0" w:line="240" w:lineRule="auto"/>
        <w:ind w:right="-252"/>
        <w:jc w:val="both"/>
        <w:rPr>
          <w:rFonts w:ascii="Arial" w:eastAsia="Arial" w:hAnsi="Arial" w:cs="Arial"/>
          <w:b/>
          <w:color w:val="000000"/>
          <w:sz w:val="22"/>
          <w:szCs w:val="22"/>
        </w:rPr>
      </w:pPr>
    </w:p>
    <w:p w:rsidR="00704449" w:rsidRDefault="0090383F">
      <w:pPr>
        <w:pBdr>
          <w:top w:val="nil"/>
          <w:left w:val="nil"/>
          <w:bottom w:val="nil"/>
          <w:right w:val="nil"/>
          <w:between w:val="nil"/>
        </w:pBdr>
        <w:spacing w:after="0" w:line="240" w:lineRule="auto"/>
        <w:ind w:right="-252"/>
        <w:jc w:val="both"/>
        <w:rPr>
          <w:rFonts w:ascii="Arial" w:eastAsia="Arial" w:hAnsi="Arial" w:cs="Arial"/>
          <w:b/>
          <w:color w:val="000000"/>
          <w:sz w:val="22"/>
          <w:szCs w:val="22"/>
        </w:rPr>
      </w:pPr>
      <w:r>
        <w:rPr>
          <w:rFonts w:ascii="Arial" w:eastAsia="Arial" w:hAnsi="Arial" w:cs="Arial"/>
          <w:b/>
          <w:color w:val="000000"/>
          <w:sz w:val="22"/>
          <w:szCs w:val="22"/>
        </w:rPr>
        <w:t xml:space="preserve">4.1 DEMOGRAPHIC PROFILE OF THE RESPONDENTS </w:t>
      </w:r>
    </w:p>
    <w:p w:rsidR="00704449" w:rsidRDefault="00704449">
      <w:pPr>
        <w:pBdr>
          <w:top w:val="nil"/>
          <w:left w:val="nil"/>
          <w:bottom w:val="nil"/>
          <w:right w:val="nil"/>
          <w:between w:val="nil"/>
        </w:pBdr>
        <w:spacing w:after="0" w:line="240" w:lineRule="auto"/>
        <w:ind w:right="-252"/>
        <w:jc w:val="both"/>
        <w:rPr>
          <w:rFonts w:ascii="Arial" w:eastAsia="Arial" w:hAnsi="Arial" w:cs="Arial"/>
          <w:b/>
          <w:color w:val="000000"/>
          <w:sz w:val="22"/>
          <w:szCs w:val="22"/>
        </w:rPr>
      </w:pPr>
    </w:p>
    <w:p w:rsidR="00704449" w:rsidRDefault="0090383F">
      <w:pPr>
        <w:spacing w:after="0" w:line="240" w:lineRule="auto"/>
        <w:jc w:val="both"/>
        <w:rPr>
          <w:rFonts w:ascii="Arial" w:eastAsia="Arial" w:hAnsi="Arial" w:cs="Arial"/>
          <w:sz w:val="20"/>
          <w:szCs w:val="20"/>
        </w:rPr>
      </w:pPr>
      <w:r>
        <w:rPr>
          <w:rFonts w:ascii="Arial" w:eastAsia="Arial" w:hAnsi="Arial" w:cs="Arial"/>
          <w:sz w:val="20"/>
          <w:szCs w:val="20"/>
        </w:rPr>
        <w:t xml:space="preserve">Table 2 represents the demographic profiles of 150 respondents in several categories namely; their age, civil status, gender, and years in teaching. </w:t>
      </w:r>
    </w:p>
    <w:p w:rsidR="00704449" w:rsidRDefault="0090383F">
      <w:pPr>
        <w:spacing w:before="240" w:after="240" w:line="240" w:lineRule="auto"/>
        <w:jc w:val="both"/>
        <w:rPr>
          <w:rFonts w:ascii="Arial" w:eastAsia="Arial" w:hAnsi="Arial" w:cs="Arial"/>
          <w:sz w:val="20"/>
          <w:szCs w:val="20"/>
        </w:rPr>
      </w:pPr>
      <w:r>
        <w:rPr>
          <w:rFonts w:ascii="Arial" w:eastAsia="Arial" w:hAnsi="Arial" w:cs="Arial"/>
          <w:sz w:val="20"/>
          <w:szCs w:val="20"/>
        </w:rPr>
        <w:t>The demographic profile of the respondents highlights key trends in age, civil status, gender, and years i</w:t>
      </w:r>
      <w:r>
        <w:rPr>
          <w:rFonts w:ascii="Arial" w:eastAsia="Arial" w:hAnsi="Arial" w:cs="Arial"/>
          <w:sz w:val="20"/>
          <w:szCs w:val="20"/>
        </w:rPr>
        <w:t xml:space="preserve">n teaching. </w:t>
      </w:r>
      <w:r>
        <w:rPr>
          <w:rFonts w:ascii="Arial" w:eastAsia="Arial" w:hAnsi="Arial" w:cs="Arial"/>
          <w:sz w:val="20"/>
          <w:szCs w:val="20"/>
        </w:rPr>
        <w:t xml:space="preserve">This indicates a stable institution and may or may not be characterized by high expertise. Nevertheless, the high number of teachers aged between 51 and 60 </w:t>
      </w:r>
      <w:r>
        <w:rPr>
          <w:rFonts w:ascii="Arial" w:eastAsia="Arial" w:hAnsi="Arial" w:cs="Arial"/>
          <w:sz w:val="20"/>
          <w:szCs w:val="20"/>
        </w:rPr>
        <w:lastRenderedPageBreak/>
        <w:t>(42.7%) poses a significant challenge to succession planning; it is imperative to recrui</w:t>
      </w:r>
      <w:r>
        <w:rPr>
          <w:rFonts w:ascii="Arial" w:eastAsia="Arial" w:hAnsi="Arial" w:cs="Arial"/>
          <w:sz w:val="20"/>
          <w:szCs w:val="20"/>
        </w:rPr>
        <w:t>t and train younger teachers to maintain their institutional knowledge and prevent advancing beyond the current skill gap. A positive outcome of the gender distribution (50% male, 50% female) is that it is almost equal, which may lead to equitable represen</w:t>
      </w:r>
      <w:r>
        <w:rPr>
          <w:rFonts w:ascii="Arial" w:eastAsia="Arial" w:hAnsi="Arial" w:cs="Arial"/>
          <w:sz w:val="20"/>
          <w:szCs w:val="20"/>
        </w:rPr>
        <w:t>tation and potentially favorable policy formulation. Teachers' varied personal circumstances and needs, as well as their marital statuses (married; single; separated; widowed), necessitates the need for inclusive policies &amp; support systems that foster well</w:t>
      </w:r>
      <w:r>
        <w:rPr>
          <w:rFonts w:ascii="Arial" w:eastAsia="Arial" w:hAnsi="Arial" w:cs="Arial"/>
          <w:sz w:val="20"/>
          <w:szCs w:val="20"/>
        </w:rPr>
        <w:t xml:space="preserve">-being and promote better working conditions. The majority of teachers (44%) possessing over 12 years of experience supports the idea of institutional knowledge and stability, but highlights the importance of succession planning to maintain continuity and </w:t>
      </w:r>
      <w:r>
        <w:rPr>
          <w:rFonts w:ascii="Arial" w:eastAsia="Arial" w:hAnsi="Arial" w:cs="Arial"/>
          <w:sz w:val="20"/>
          <w:szCs w:val="20"/>
        </w:rPr>
        <w:t>avoid teacher turnover. Why is this important? Ultimately, these figures show that it is important to plan for the future retirement of many years’ experience but also for an inclusive environment (positive and supportive) in which all teachers can feel we</w:t>
      </w:r>
      <w:r>
        <w:rPr>
          <w:rFonts w:ascii="Arial" w:eastAsia="Arial" w:hAnsi="Arial" w:cs="Arial"/>
          <w:sz w:val="20"/>
          <w:szCs w:val="20"/>
        </w:rPr>
        <w:t>lcome.</w:t>
      </w:r>
    </w:p>
    <w:p w:rsidR="00704449" w:rsidRDefault="0090383F">
      <w:pPr>
        <w:spacing w:before="240" w:after="240" w:line="240" w:lineRule="auto"/>
        <w:jc w:val="both"/>
        <w:rPr>
          <w:rFonts w:ascii="Arial" w:eastAsia="Arial" w:hAnsi="Arial" w:cs="Arial"/>
          <w:sz w:val="20"/>
          <w:szCs w:val="20"/>
        </w:rPr>
      </w:pPr>
      <w:r>
        <w:rPr>
          <w:rFonts w:ascii="Arial" w:eastAsia="Arial" w:hAnsi="Arial" w:cs="Arial"/>
          <w:sz w:val="20"/>
          <w:szCs w:val="20"/>
        </w:rPr>
        <w:t>Most participants are in the 51–60 age group (42.7%), suggesting that the teaching population is largely composed of mid-to-late career professionals. A small portion (0.7%) are over 60, while those aged 41–50 account for 26.7%. In terms of civil st</w:t>
      </w:r>
      <w:r>
        <w:rPr>
          <w:rFonts w:ascii="Arial" w:eastAsia="Arial" w:hAnsi="Arial" w:cs="Arial"/>
          <w:sz w:val="20"/>
          <w:szCs w:val="20"/>
        </w:rPr>
        <w:t>atus, married respondents dominate at 33.3%, followed by single (25.3%), separated (20.7%), and widowed individuals (20.7%). This indicates a diverse range of family situations that may influence work-life balance and career perspectives.</w:t>
      </w:r>
    </w:p>
    <w:p w:rsidR="00704449" w:rsidRDefault="0090383F">
      <w:pPr>
        <w:spacing w:before="240" w:after="240" w:line="240" w:lineRule="auto"/>
        <w:jc w:val="both"/>
        <w:rPr>
          <w:rFonts w:ascii="Arial" w:eastAsia="Arial" w:hAnsi="Arial" w:cs="Arial"/>
          <w:sz w:val="20"/>
          <w:szCs w:val="20"/>
        </w:rPr>
      </w:pPr>
      <w:r>
        <w:rPr>
          <w:rFonts w:ascii="Arial" w:eastAsia="Arial" w:hAnsi="Arial" w:cs="Arial"/>
          <w:sz w:val="20"/>
          <w:szCs w:val="20"/>
        </w:rPr>
        <w:t>Gender distributi</w:t>
      </w:r>
      <w:r>
        <w:rPr>
          <w:rFonts w:ascii="Arial" w:eastAsia="Arial" w:hAnsi="Arial" w:cs="Arial"/>
          <w:sz w:val="20"/>
          <w:szCs w:val="20"/>
        </w:rPr>
        <w:t>on is perfectly balanced, with 75 males and 75 females (50% each), suggesting inclusivity and equal representation in the teaching workforce. When considering years of teaching experience, the largest group has more than 12 years of service (44%), followed</w:t>
      </w:r>
      <w:r>
        <w:rPr>
          <w:rFonts w:ascii="Arial" w:eastAsia="Arial" w:hAnsi="Arial" w:cs="Arial"/>
          <w:sz w:val="20"/>
          <w:szCs w:val="20"/>
        </w:rPr>
        <w:t xml:space="preserve"> by those with 6–10 years (31.4%), and 3–5 years (24.7%). This distribution reveals a seasoned workforce, potentially rich in </w:t>
      </w:r>
      <w:r>
        <w:rPr>
          <w:rFonts w:ascii="Arial" w:eastAsia="Arial" w:hAnsi="Arial" w:cs="Arial"/>
          <w:sz w:val="20"/>
          <w:szCs w:val="20"/>
        </w:rPr>
        <w:t>pedagogical expertise and institutional knowledge, which could positively affect mentoring practices and classroom effectiveness.</w:t>
      </w:r>
    </w:p>
    <w:p w:rsidR="00704449" w:rsidRDefault="0090383F">
      <w:pPr>
        <w:spacing w:after="0" w:line="240" w:lineRule="auto"/>
        <w:jc w:val="both"/>
        <w:rPr>
          <w:rFonts w:ascii="Arial" w:eastAsia="Arial" w:hAnsi="Arial" w:cs="Arial"/>
          <w:sz w:val="20"/>
          <w:szCs w:val="20"/>
        </w:rPr>
      </w:pPr>
      <w:r>
        <w:rPr>
          <w:rFonts w:ascii="Arial" w:eastAsia="Arial" w:hAnsi="Arial" w:cs="Arial"/>
          <w:sz w:val="20"/>
          <w:szCs w:val="20"/>
        </w:rPr>
        <w:t>The predominance of experienced and married educators in the sample implies a stable teaching force likely committed to long-term service. However, the aging workforce may present challenges in succession planning and innovation adoption. The balanced gend</w:t>
      </w:r>
      <w:r>
        <w:rPr>
          <w:rFonts w:ascii="Arial" w:eastAsia="Arial" w:hAnsi="Arial" w:cs="Arial"/>
          <w:sz w:val="20"/>
          <w:szCs w:val="20"/>
        </w:rPr>
        <w:t>er ratio supports equitable policy development, while the presence of various civil statuses calls for responsive support systems addressing different personal circumstances among teachers.</w:t>
      </w:r>
    </w:p>
    <w:p w:rsidR="00704449" w:rsidRDefault="00704449">
      <w:pPr>
        <w:spacing w:after="0" w:line="240" w:lineRule="auto"/>
        <w:jc w:val="both"/>
        <w:rPr>
          <w:rFonts w:ascii="Arial" w:eastAsia="Arial" w:hAnsi="Arial" w:cs="Arial"/>
          <w:sz w:val="20"/>
          <w:szCs w:val="20"/>
        </w:rPr>
      </w:pPr>
    </w:p>
    <w:p w:rsidR="00704449" w:rsidRDefault="0090383F">
      <w:pPr>
        <w:pBdr>
          <w:top w:val="nil"/>
          <w:left w:val="nil"/>
          <w:bottom w:val="nil"/>
          <w:right w:val="nil"/>
          <w:between w:val="nil"/>
        </w:pBdr>
        <w:spacing w:after="0" w:line="240" w:lineRule="auto"/>
        <w:ind w:right="-252"/>
        <w:jc w:val="both"/>
        <w:rPr>
          <w:rFonts w:ascii="Arial" w:eastAsia="Arial" w:hAnsi="Arial" w:cs="Arial"/>
          <w:b/>
          <w:color w:val="000000"/>
          <w:sz w:val="22"/>
          <w:szCs w:val="22"/>
        </w:rPr>
      </w:pPr>
      <w:r>
        <w:rPr>
          <w:rFonts w:ascii="Arial" w:eastAsia="Arial" w:hAnsi="Arial" w:cs="Arial"/>
          <w:b/>
          <w:color w:val="000000"/>
          <w:sz w:val="22"/>
          <w:szCs w:val="22"/>
        </w:rPr>
        <w:t>4.2 ACCEPTANCE LEVEL OF ELEMENTARY SCHOOL TEACHERS ON THE IMPLEME</w:t>
      </w:r>
      <w:r>
        <w:rPr>
          <w:rFonts w:ascii="Arial" w:eastAsia="Arial" w:hAnsi="Arial" w:cs="Arial"/>
          <w:b/>
          <w:color w:val="000000"/>
          <w:sz w:val="22"/>
          <w:szCs w:val="22"/>
        </w:rPr>
        <w:t>NTATION OF SEX EDUCATION</w:t>
      </w:r>
    </w:p>
    <w:p w:rsidR="00704449" w:rsidRDefault="00704449">
      <w:pPr>
        <w:pBdr>
          <w:top w:val="nil"/>
          <w:left w:val="nil"/>
          <w:bottom w:val="nil"/>
          <w:right w:val="nil"/>
          <w:between w:val="nil"/>
        </w:pBdr>
        <w:spacing w:after="0" w:line="240" w:lineRule="auto"/>
        <w:ind w:right="-252"/>
        <w:jc w:val="both"/>
        <w:rPr>
          <w:rFonts w:ascii="Arial" w:eastAsia="Arial" w:hAnsi="Arial" w:cs="Arial"/>
          <w:b/>
          <w:color w:val="000000"/>
          <w:sz w:val="22"/>
          <w:szCs w:val="22"/>
        </w:rPr>
      </w:pPr>
    </w:p>
    <w:p w:rsidR="00704449" w:rsidRDefault="0090383F">
      <w:pPr>
        <w:pBdr>
          <w:top w:val="nil"/>
          <w:left w:val="nil"/>
          <w:bottom w:val="nil"/>
          <w:right w:val="nil"/>
          <w:between w:val="nil"/>
        </w:pBdr>
        <w:spacing w:after="0" w:line="240" w:lineRule="auto"/>
        <w:ind w:right="-252"/>
        <w:jc w:val="both"/>
        <w:rPr>
          <w:rFonts w:ascii="Arial" w:eastAsia="Arial" w:hAnsi="Arial" w:cs="Arial"/>
          <w:bCs/>
          <w:color w:val="000000"/>
          <w:sz w:val="20"/>
          <w:szCs w:val="20"/>
        </w:rPr>
      </w:pPr>
      <w:r>
        <w:rPr>
          <w:rFonts w:ascii="Arial" w:eastAsia="Arial" w:hAnsi="Arial" w:cs="Arial"/>
          <w:bCs/>
          <w:color w:val="000000"/>
          <w:sz w:val="20"/>
          <w:szCs w:val="20"/>
        </w:rPr>
        <w:t xml:space="preserve">Table 3 shows the acceptance level of elementary school teachers regarding the implementation of sex education, based on three indicators: Approval, Job Effectiveness, and Confidence. The mean scores (x) indicate a high level of </w:t>
      </w:r>
      <w:r>
        <w:rPr>
          <w:rFonts w:ascii="Arial" w:eastAsia="Arial" w:hAnsi="Arial" w:cs="Arial"/>
          <w:bCs/>
          <w:color w:val="000000"/>
          <w:sz w:val="20"/>
          <w:szCs w:val="20"/>
        </w:rPr>
        <w:t>approval (4.70), suggesting sex education is being well-liked by the instructors. The slightly lower mean scores for Job Effectiveness (4.40) and Confidence (4.22) indicate that teachers may have some reservations about teaching sex education, as well as l</w:t>
      </w:r>
      <w:r>
        <w:rPr>
          <w:rFonts w:ascii="Arial" w:eastAsia="Arial" w:hAnsi="Arial" w:cs="Arial"/>
          <w:bCs/>
          <w:color w:val="000000"/>
          <w:sz w:val="20"/>
          <w:szCs w:val="20"/>
        </w:rPr>
        <w:t>ack confidence in their abilities. All three indicators have relatively similar SDs, indicating relative agreement among the teachers. Even though the differences between these two approaches are not significant, they could point to a need for professional</w:t>
      </w:r>
      <w:r>
        <w:rPr>
          <w:rFonts w:ascii="Arial" w:eastAsia="Arial" w:hAnsi="Arial" w:cs="Arial"/>
          <w:bCs/>
          <w:color w:val="000000"/>
          <w:sz w:val="20"/>
          <w:szCs w:val="20"/>
        </w:rPr>
        <w:t xml:space="preserve"> development focused on building teacher confidence and providing them with the tools and training needed to deliver effective and perceived job delivery in delivering sex education.</w:t>
      </w:r>
    </w:p>
    <w:p w:rsidR="00704449" w:rsidRDefault="00704449">
      <w:pPr>
        <w:pBdr>
          <w:top w:val="nil"/>
          <w:left w:val="nil"/>
          <w:bottom w:val="nil"/>
          <w:right w:val="nil"/>
          <w:between w:val="nil"/>
        </w:pBdr>
        <w:spacing w:after="0" w:line="240" w:lineRule="auto"/>
        <w:ind w:right="-252"/>
        <w:jc w:val="both"/>
        <w:rPr>
          <w:rFonts w:ascii="Arial" w:eastAsia="Arial" w:hAnsi="Arial" w:cs="Arial"/>
          <w:bCs/>
          <w:color w:val="000000"/>
          <w:sz w:val="20"/>
          <w:szCs w:val="20"/>
        </w:rPr>
      </w:pPr>
    </w:p>
    <w:p w:rsidR="00704449" w:rsidRDefault="0090383F">
      <w:pPr>
        <w:spacing w:after="0" w:line="240" w:lineRule="auto"/>
        <w:jc w:val="both"/>
        <w:rPr>
          <w:rFonts w:ascii="Arial" w:eastAsia="Arial" w:hAnsi="Arial" w:cs="Arial"/>
          <w:sz w:val="20"/>
          <w:szCs w:val="20"/>
        </w:rPr>
      </w:pPr>
      <w:r>
        <w:rPr>
          <w:rFonts w:ascii="Arial" w:eastAsia="Arial" w:hAnsi="Arial" w:cs="Arial"/>
          <w:sz w:val="20"/>
          <w:szCs w:val="20"/>
        </w:rPr>
        <w:t>Table 3 shows elementary school teachers' acceptance level: approval, jo</w:t>
      </w:r>
      <w:r>
        <w:rPr>
          <w:rFonts w:ascii="Arial" w:eastAsia="Arial" w:hAnsi="Arial" w:cs="Arial"/>
          <w:sz w:val="20"/>
          <w:szCs w:val="20"/>
        </w:rPr>
        <w:t xml:space="preserve">b effectiveness, and confidence. The overall level of teachers' acceptance (x̄=4.44; SD=0.36). This indicates that the level of teachers' acceptance of the implementation of sex education was very </w:t>
      </w:r>
      <w:r>
        <w:rPr>
          <w:rFonts w:ascii="Arial" w:eastAsia="Arial" w:hAnsi="Arial" w:cs="Arial"/>
          <w:sz w:val="20"/>
          <w:szCs w:val="20"/>
        </w:rPr>
        <w:lastRenderedPageBreak/>
        <w:t>high. This implies that most of the respondents in the stud</w:t>
      </w:r>
      <w:r>
        <w:rPr>
          <w:rFonts w:ascii="Arial" w:eastAsia="Arial" w:hAnsi="Arial" w:cs="Arial"/>
          <w:sz w:val="20"/>
          <w:szCs w:val="20"/>
        </w:rPr>
        <w:t>y favoured the implementation of sex education in the curriculum.</w:t>
      </w:r>
    </w:p>
    <w:p w:rsidR="00704449" w:rsidRDefault="00704449">
      <w:pPr>
        <w:spacing w:after="0" w:line="240" w:lineRule="auto"/>
        <w:jc w:val="both"/>
        <w:rPr>
          <w:rFonts w:ascii="Arial" w:eastAsia="Arial" w:hAnsi="Arial" w:cs="Arial"/>
          <w:sz w:val="20"/>
          <w:szCs w:val="20"/>
        </w:rPr>
      </w:pPr>
    </w:p>
    <w:p w:rsidR="00704449" w:rsidRDefault="0090383F">
      <w:pPr>
        <w:spacing w:after="0" w:line="240" w:lineRule="auto"/>
        <w:jc w:val="both"/>
        <w:rPr>
          <w:rFonts w:ascii="Arial" w:eastAsia="Arial" w:hAnsi="Arial" w:cs="Arial"/>
          <w:sz w:val="20"/>
          <w:szCs w:val="20"/>
        </w:rPr>
      </w:pPr>
      <w:r>
        <w:rPr>
          <w:rFonts w:ascii="Arial" w:eastAsia="Arial" w:hAnsi="Arial" w:cs="Arial"/>
          <w:sz w:val="20"/>
          <w:szCs w:val="20"/>
        </w:rPr>
        <w:t>Sex education is mandated on a state level, whereas different states, districts, and school boards have the autonomy to determine the implementation of federal policies and funds for sex ed</w:t>
      </w:r>
      <w:r>
        <w:rPr>
          <w:rFonts w:ascii="Arial" w:eastAsia="Arial" w:hAnsi="Arial" w:cs="Arial"/>
          <w:sz w:val="20"/>
          <w:szCs w:val="20"/>
        </w:rPr>
        <w:t xml:space="preserve">ucation. The system has been criticized for being a "highly diverse patchwork of sex education laws and practices Leung et al. [31]. Shin et al. [32] claimed that although most people agree that formal sex education is important for schools, teachers also </w:t>
      </w:r>
      <w:r>
        <w:rPr>
          <w:rFonts w:ascii="Arial" w:eastAsia="Arial" w:hAnsi="Arial" w:cs="Arial"/>
          <w:sz w:val="20"/>
          <w:szCs w:val="20"/>
        </w:rPr>
        <w:t>have a great need to provide natural and ongoing sexual guidance. Examining [1] requires one to take national values and culture into account in order to progress the integration of CSE into educational health programs. Beliefs and cultural elements affect</w:t>
      </w:r>
      <w:r>
        <w:rPr>
          <w:rFonts w:ascii="Arial" w:eastAsia="Arial" w:hAnsi="Arial" w:cs="Arial"/>
          <w:sz w:val="20"/>
          <w:szCs w:val="20"/>
        </w:rPr>
        <w:t xml:space="preserve"> the execution of CSE. Teachers' confidence in implementing CSE is compromised by the beliefs and cultural backgrounds of their communities, along</w:t>
      </w:r>
      <w:r>
        <w:rPr>
          <w:rFonts w:ascii="Arial" w:eastAsia="Arial" w:hAnsi="Arial" w:cs="Arial"/>
          <w:sz w:val="20"/>
          <w:szCs w:val="20"/>
          <w:lang w:val="en-US"/>
        </w:rPr>
        <w:t xml:space="preserve"> </w:t>
      </w:r>
      <w:r>
        <w:rPr>
          <w:rFonts w:ascii="Arial" w:eastAsia="Arial" w:hAnsi="Arial" w:cs="Arial"/>
          <w:sz w:val="20"/>
          <w:szCs w:val="20"/>
        </w:rPr>
        <w:t>with concerns about adverse outcomes, like promoting unhealthy sexual behaviour among students.</w:t>
      </w:r>
    </w:p>
    <w:p w:rsidR="00704449" w:rsidRDefault="00704449">
      <w:pPr>
        <w:spacing w:after="0" w:line="240" w:lineRule="auto"/>
        <w:jc w:val="both"/>
        <w:rPr>
          <w:rFonts w:ascii="Arial" w:eastAsia="Arial" w:hAnsi="Arial" w:cs="Arial"/>
          <w:sz w:val="20"/>
          <w:szCs w:val="20"/>
        </w:rPr>
      </w:pPr>
    </w:p>
    <w:p w:rsidR="00220C1F" w:rsidRPr="00220C1F" w:rsidRDefault="00220C1F">
      <w:pPr>
        <w:spacing w:after="0" w:line="240" w:lineRule="auto"/>
        <w:jc w:val="both"/>
        <w:rPr>
          <w:rFonts w:ascii="Arial" w:eastAsia="Arial" w:hAnsi="Arial" w:cs="Arial"/>
          <w:b/>
          <w:sz w:val="20"/>
          <w:szCs w:val="20"/>
        </w:rPr>
      </w:pPr>
      <w:r w:rsidRPr="00220C1F">
        <w:rPr>
          <w:rFonts w:ascii="Arial" w:eastAsia="Arial" w:hAnsi="Arial" w:cs="Arial"/>
          <w:b/>
          <w:sz w:val="20"/>
          <w:szCs w:val="20"/>
        </w:rPr>
        <w:t xml:space="preserve">APPROVAL: </w:t>
      </w:r>
    </w:p>
    <w:p w:rsidR="00704449" w:rsidRDefault="0090383F">
      <w:pPr>
        <w:spacing w:after="0" w:line="240" w:lineRule="auto"/>
        <w:jc w:val="both"/>
        <w:rPr>
          <w:rFonts w:ascii="Arial" w:eastAsia="Arial" w:hAnsi="Arial" w:cs="Arial"/>
          <w:sz w:val="20"/>
          <w:szCs w:val="20"/>
        </w:rPr>
      </w:pPr>
      <w:r>
        <w:rPr>
          <w:rFonts w:ascii="Arial" w:eastAsia="Arial" w:hAnsi="Arial" w:cs="Arial"/>
          <w:sz w:val="20"/>
          <w:szCs w:val="20"/>
        </w:rPr>
        <w:t>Ta</w:t>
      </w:r>
      <w:r>
        <w:rPr>
          <w:rFonts w:ascii="Arial" w:eastAsia="Arial" w:hAnsi="Arial" w:cs="Arial"/>
          <w:sz w:val="20"/>
          <w:szCs w:val="20"/>
        </w:rPr>
        <w:t>ble 3 also shows that the level of teaching sex education</w:t>
      </w:r>
      <w:r>
        <w:rPr>
          <w:rFonts w:ascii="Arial" w:eastAsia="Arial" w:hAnsi="Arial" w:cs="Arial"/>
          <w:b/>
          <w:sz w:val="20"/>
          <w:szCs w:val="20"/>
        </w:rPr>
        <w:t xml:space="preserve"> </w:t>
      </w:r>
      <w:r>
        <w:rPr>
          <w:rFonts w:ascii="Arial" w:eastAsia="Arial" w:hAnsi="Arial" w:cs="Arial"/>
          <w:sz w:val="20"/>
          <w:szCs w:val="20"/>
        </w:rPr>
        <w:t>in terms of approval was very high (x̄=4.70; SD=0.37). It indicates that this level of acceptance of elementary teachers in teaching sex education was always observed. It implies that most of the se</w:t>
      </w:r>
      <w:r>
        <w:rPr>
          <w:rFonts w:ascii="Arial" w:eastAsia="Arial" w:hAnsi="Arial" w:cs="Arial"/>
          <w:sz w:val="20"/>
          <w:szCs w:val="20"/>
        </w:rPr>
        <w:t>lected elementary teachers in Hagonoy Davao Del Sur favoured implementing sex education in the curriculum.</w:t>
      </w:r>
    </w:p>
    <w:p w:rsidR="00704449" w:rsidRDefault="00704449">
      <w:pPr>
        <w:spacing w:after="0" w:line="240" w:lineRule="auto"/>
        <w:jc w:val="both"/>
        <w:rPr>
          <w:rFonts w:ascii="Arial" w:eastAsia="Arial" w:hAnsi="Arial" w:cs="Arial"/>
          <w:color w:val="FF0000"/>
          <w:sz w:val="20"/>
          <w:szCs w:val="20"/>
        </w:rPr>
      </w:pPr>
    </w:p>
    <w:p w:rsidR="00704449" w:rsidRDefault="0090383F">
      <w:pPr>
        <w:spacing w:after="0" w:line="240" w:lineRule="auto"/>
        <w:jc w:val="both"/>
        <w:rPr>
          <w:rFonts w:ascii="Arial" w:eastAsia="Arial" w:hAnsi="Arial" w:cs="Arial"/>
          <w:sz w:val="20"/>
          <w:szCs w:val="20"/>
        </w:rPr>
      </w:pPr>
      <w:r>
        <w:rPr>
          <w:rFonts w:ascii="Arial" w:eastAsia="Arial" w:hAnsi="Arial" w:cs="Arial"/>
          <w:sz w:val="20"/>
          <w:szCs w:val="20"/>
        </w:rPr>
        <w:t xml:space="preserve">According to the DepEd Order No. 031, s. 2018, Comprehensive Sexuality Education </w:t>
      </w:r>
      <w:r>
        <w:rPr>
          <w:rFonts w:ascii="Arial" w:eastAsia="Arial" w:hAnsi="Arial" w:cs="Arial"/>
          <w:sz w:val="20"/>
          <w:szCs w:val="20"/>
        </w:rPr>
        <w:t>(CSE) is a curriculum-based process encompassing the cognitive, emo</w:t>
      </w:r>
      <w:r>
        <w:rPr>
          <w:rFonts w:ascii="Arial" w:eastAsia="Arial" w:hAnsi="Arial" w:cs="Arial"/>
          <w:sz w:val="20"/>
          <w:szCs w:val="20"/>
        </w:rPr>
        <w:t>tional, physical, and social dimensions of sexuality, characterized by scientific rigour, age and development appropriateness, cultural and gender responsiveness, and a rights-based framework.</w:t>
      </w:r>
      <w:r>
        <w:rPr>
          <w:sz w:val="20"/>
          <w:szCs w:val="20"/>
        </w:rPr>
        <w:t xml:space="preserve"> </w:t>
      </w:r>
      <w:r>
        <w:rPr>
          <w:rFonts w:ascii="Arial" w:eastAsia="Arial" w:hAnsi="Arial" w:cs="Arial"/>
          <w:sz w:val="20"/>
          <w:szCs w:val="20"/>
        </w:rPr>
        <w:t xml:space="preserve">Teachers are frequently uneasy or defensive about teaching sex </w:t>
      </w:r>
      <w:r>
        <w:rPr>
          <w:rFonts w:ascii="Arial" w:eastAsia="Arial" w:hAnsi="Arial" w:cs="Arial"/>
          <w:sz w:val="20"/>
          <w:szCs w:val="20"/>
        </w:rPr>
        <w:t>education since social standards and personal experiences heavily impact it, Ngabaza &amp; Shefer [33]. Moreover, Adonis and Baxen [34] stated that providing sex education in the classroom is a practical and emotional endeavour where educators actively build t</w:t>
      </w:r>
      <w:r>
        <w:rPr>
          <w:rFonts w:ascii="Arial" w:eastAsia="Arial" w:hAnsi="Arial" w:cs="Arial"/>
          <w:sz w:val="20"/>
          <w:szCs w:val="20"/>
        </w:rPr>
        <w:t>he knowledge they impart to their learners. In sex education in the curriculum, teachers are integral in delivering content that will not lead to students' misconceptions and interpretations.</w:t>
      </w:r>
    </w:p>
    <w:p w:rsidR="00704449" w:rsidRDefault="00704449">
      <w:pPr>
        <w:spacing w:after="0" w:line="240" w:lineRule="auto"/>
        <w:jc w:val="both"/>
        <w:rPr>
          <w:rFonts w:ascii="Arial" w:eastAsia="Arial" w:hAnsi="Arial" w:cs="Arial"/>
          <w:sz w:val="20"/>
          <w:szCs w:val="20"/>
        </w:rPr>
      </w:pPr>
    </w:p>
    <w:p w:rsidR="00704449" w:rsidRDefault="0090383F">
      <w:pPr>
        <w:spacing w:after="0" w:line="240" w:lineRule="auto"/>
        <w:jc w:val="both"/>
        <w:rPr>
          <w:rFonts w:ascii="Arial" w:eastAsia="Arial" w:hAnsi="Arial" w:cs="Arial"/>
          <w:sz w:val="20"/>
          <w:szCs w:val="20"/>
        </w:rPr>
        <w:sectPr w:rsidR="00704449">
          <w:type w:val="continuous"/>
          <w:pgSz w:w="12240" w:h="15840"/>
          <w:pgMar w:top="1440" w:right="2016" w:bottom="2016" w:left="2016" w:header="706" w:footer="706" w:gutter="0"/>
          <w:cols w:num="2" w:space="720" w:equalWidth="0">
            <w:col w:w="3750" w:space="708"/>
            <w:col w:w="3750"/>
          </w:cols>
        </w:sectPr>
      </w:pPr>
      <w:r>
        <w:rPr>
          <w:rFonts w:ascii="Arial" w:eastAsia="Arial" w:hAnsi="Arial" w:cs="Arial"/>
          <w:sz w:val="20"/>
          <w:szCs w:val="20"/>
        </w:rPr>
        <w:t>In addition, Buston et al. [35] indicat</w:t>
      </w:r>
      <w:r>
        <w:rPr>
          <w:rFonts w:ascii="Arial" w:eastAsia="Arial" w:hAnsi="Arial" w:cs="Arial"/>
          <w:sz w:val="20"/>
          <w:szCs w:val="20"/>
        </w:rPr>
        <w:t>ed that insufficient time is critical for comprehensive implementation. Given the sensitive nature of sex education, educators in both public and private institutions allocate considerable time deliberating on appropriate materials and information for clas</w:t>
      </w:r>
      <w:r>
        <w:rPr>
          <w:rFonts w:ascii="Arial" w:eastAsia="Arial" w:hAnsi="Arial" w:cs="Arial"/>
          <w:sz w:val="20"/>
          <w:szCs w:val="20"/>
        </w:rPr>
        <w:t xml:space="preserve">sroom delivery, Mkumbo [36]. Moreover, Helleve et al. [37] noted that curriculum reforms in general and specific domains of health and physical education necessitate teachers acquiring knowledge of sports training methodologies and sports health through a </w:t>
      </w:r>
      <w:r>
        <w:rPr>
          <w:rFonts w:ascii="Arial" w:eastAsia="Arial" w:hAnsi="Arial" w:cs="Arial"/>
          <w:sz w:val="20"/>
          <w:szCs w:val="20"/>
        </w:rPr>
        <w:t>certification system, thereby diminishing the time for sex education. The scope of health and physical education content has expanded significantly. Educators need enhanced training or confidence to convey the information accurately. Inadequately trained t</w:t>
      </w:r>
      <w:r>
        <w:rPr>
          <w:rFonts w:ascii="Arial" w:eastAsia="Arial" w:hAnsi="Arial" w:cs="Arial"/>
          <w:sz w:val="20"/>
          <w:szCs w:val="20"/>
        </w:rPr>
        <w:t xml:space="preserve">eachers often exhibit reluctance to </w:t>
      </w:r>
    </w:p>
    <w:p w:rsidR="00704449" w:rsidRDefault="00704449">
      <w:pPr>
        <w:spacing w:after="0" w:line="240" w:lineRule="auto"/>
        <w:jc w:val="center"/>
        <w:rPr>
          <w:rFonts w:ascii="Arial" w:eastAsia="Arial" w:hAnsi="Arial" w:cs="Arial"/>
          <w:b/>
          <w:sz w:val="22"/>
          <w:szCs w:val="22"/>
        </w:rPr>
      </w:pPr>
    </w:p>
    <w:p w:rsidR="00704449" w:rsidRDefault="0090383F">
      <w:pPr>
        <w:spacing w:after="0" w:line="240" w:lineRule="auto"/>
        <w:jc w:val="center"/>
        <w:rPr>
          <w:rFonts w:ascii="Arial" w:eastAsia="Arial" w:hAnsi="Arial" w:cs="Arial"/>
          <w:b/>
          <w:i/>
          <w:sz w:val="22"/>
          <w:szCs w:val="22"/>
        </w:rPr>
      </w:pPr>
      <w:r>
        <w:rPr>
          <w:rFonts w:ascii="Arial" w:eastAsia="Arial" w:hAnsi="Arial" w:cs="Arial"/>
          <w:b/>
          <w:sz w:val="22"/>
          <w:szCs w:val="22"/>
        </w:rPr>
        <w:t>Table 3.</w:t>
      </w:r>
      <w:r>
        <w:rPr>
          <w:rFonts w:ascii="Arial" w:eastAsia="Arial" w:hAnsi="Arial" w:cs="Arial"/>
          <w:b/>
          <w:i/>
          <w:sz w:val="22"/>
          <w:szCs w:val="22"/>
        </w:rPr>
        <w:t xml:space="preserve"> Acceptance level of elementary school teachers on the implementation of sex education, n=150</w:t>
      </w:r>
    </w:p>
    <w:p w:rsidR="00704449" w:rsidRDefault="00704449">
      <w:pPr>
        <w:spacing w:after="0" w:line="240" w:lineRule="auto"/>
        <w:jc w:val="center"/>
        <w:rPr>
          <w:rFonts w:ascii="Arial" w:eastAsia="Arial" w:hAnsi="Arial" w:cs="Arial"/>
          <w:b/>
          <w:i/>
          <w:sz w:val="22"/>
          <w:szCs w:val="22"/>
        </w:rPr>
      </w:pPr>
    </w:p>
    <w:p w:rsidR="00704449" w:rsidRDefault="00704449">
      <w:pPr>
        <w:spacing w:after="0" w:line="240" w:lineRule="auto"/>
        <w:jc w:val="both"/>
        <w:rPr>
          <w:rFonts w:ascii="Arial" w:eastAsia="Arial" w:hAnsi="Arial" w:cs="Arial"/>
          <w:sz w:val="20"/>
          <w:szCs w:val="20"/>
        </w:rPr>
        <w:sectPr w:rsidR="00704449">
          <w:type w:val="continuous"/>
          <w:pgSz w:w="12240" w:h="15840"/>
          <w:pgMar w:top="1440" w:right="2016" w:bottom="2016" w:left="2016" w:header="706" w:footer="706" w:gutter="0"/>
          <w:cols w:space="720"/>
        </w:sectPr>
      </w:pPr>
    </w:p>
    <w:tbl>
      <w:tblPr>
        <w:tblStyle w:val="a1"/>
        <w:tblpPr w:leftFromText="180" w:rightFromText="180" w:vertAnchor="text" w:horzAnchor="margin" w:tblpY="16"/>
        <w:tblW w:w="8208"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4203"/>
        <w:gridCol w:w="2180"/>
        <w:gridCol w:w="1825"/>
      </w:tblGrid>
      <w:tr w:rsidR="00704449">
        <w:trPr>
          <w:trHeight w:val="251"/>
        </w:trPr>
        <w:tc>
          <w:tcPr>
            <w:tcW w:w="4203" w:type="dxa"/>
            <w:tcBorders>
              <w:top w:val="single" w:sz="4" w:space="0" w:color="000000"/>
              <w:bottom w:val="single" w:sz="4" w:space="0" w:color="000000"/>
            </w:tcBorders>
          </w:tcPr>
          <w:p w:rsidR="00704449" w:rsidRDefault="0090383F">
            <w:pPr>
              <w:jc w:val="both"/>
              <w:rPr>
                <w:rFonts w:ascii="Arial" w:eastAsia="Arial" w:hAnsi="Arial" w:cs="Arial"/>
                <w:b/>
                <w:sz w:val="20"/>
                <w:szCs w:val="20"/>
              </w:rPr>
            </w:pPr>
            <w:r>
              <w:rPr>
                <w:rFonts w:ascii="Arial" w:eastAsia="Arial" w:hAnsi="Arial" w:cs="Arial"/>
                <w:b/>
                <w:sz w:val="20"/>
                <w:szCs w:val="20"/>
              </w:rPr>
              <w:t>Indicators</w:t>
            </w:r>
          </w:p>
        </w:tc>
        <w:tc>
          <w:tcPr>
            <w:tcW w:w="2180" w:type="dxa"/>
            <w:tcBorders>
              <w:top w:val="single" w:sz="4" w:space="0" w:color="000000"/>
              <w:bottom w:val="single" w:sz="4" w:space="0" w:color="000000"/>
            </w:tcBorders>
          </w:tcPr>
          <w:p w:rsidR="00704449" w:rsidRDefault="0090383F">
            <w:pPr>
              <w:jc w:val="both"/>
              <w:rPr>
                <w:rFonts w:ascii="Arial" w:eastAsia="Arial" w:hAnsi="Arial" w:cs="Arial"/>
                <w:b/>
                <w:sz w:val="20"/>
                <w:szCs w:val="20"/>
              </w:rPr>
            </w:pPr>
            <w:r>
              <w:rPr>
                <w:rFonts w:ascii="Arial" w:eastAsia="Arial" w:hAnsi="Arial" w:cs="Arial"/>
                <w:sz w:val="20"/>
                <w:szCs w:val="20"/>
              </w:rPr>
              <w:t xml:space="preserve"> </w:t>
            </w:r>
            <w:r>
              <w:rPr>
                <w:rFonts w:ascii="Arial" w:eastAsia="Arial" w:hAnsi="Arial" w:cs="Arial"/>
                <w:b/>
                <w:sz w:val="20"/>
                <w:szCs w:val="20"/>
              </w:rPr>
              <w:t xml:space="preserve"> x̄</w:t>
            </w:r>
          </w:p>
        </w:tc>
        <w:tc>
          <w:tcPr>
            <w:tcW w:w="1825" w:type="dxa"/>
            <w:tcBorders>
              <w:top w:val="single" w:sz="4" w:space="0" w:color="000000"/>
              <w:bottom w:val="single" w:sz="4" w:space="0" w:color="000000"/>
            </w:tcBorders>
          </w:tcPr>
          <w:p w:rsidR="00704449" w:rsidRDefault="0090383F">
            <w:pPr>
              <w:jc w:val="both"/>
              <w:rPr>
                <w:rFonts w:ascii="Arial" w:eastAsia="Arial" w:hAnsi="Arial" w:cs="Arial"/>
                <w:b/>
                <w:sz w:val="20"/>
                <w:szCs w:val="20"/>
              </w:rPr>
            </w:pPr>
            <w:r>
              <w:rPr>
                <w:rFonts w:ascii="Arial" w:eastAsia="Arial" w:hAnsi="Arial" w:cs="Arial"/>
                <w:b/>
                <w:sz w:val="20"/>
                <w:szCs w:val="20"/>
              </w:rPr>
              <w:t>SD</w:t>
            </w:r>
          </w:p>
        </w:tc>
      </w:tr>
      <w:tr w:rsidR="00704449">
        <w:tc>
          <w:tcPr>
            <w:tcW w:w="4203" w:type="dxa"/>
            <w:tcBorders>
              <w:top w:val="single" w:sz="4" w:space="0" w:color="000000"/>
            </w:tcBorders>
          </w:tcPr>
          <w:p w:rsidR="00704449" w:rsidRDefault="0090383F">
            <w:pPr>
              <w:jc w:val="both"/>
              <w:rPr>
                <w:rFonts w:ascii="Arial" w:eastAsia="Arial" w:hAnsi="Arial" w:cs="Arial"/>
                <w:sz w:val="20"/>
                <w:szCs w:val="20"/>
              </w:rPr>
            </w:pPr>
            <w:r>
              <w:rPr>
                <w:rFonts w:ascii="Arial" w:eastAsia="Arial" w:hAnsi="Arial" w:cs="Arial"/>
                <w:sz w:val="20"/>
                <w:szCs w:val="20"/>
              </w:rPr>
              <w:t>Approval</w:t>
            </w:r>
          </w:p>
        </w:tc>
        <w:tc>
          <w:tcPr>
            <w:tcW w:w="2180" w:type="dxa"/>
            <w:tcBorders>
              <w:top w:val="single" w:sz="4" w:space="0" w:color="000000"/>
            </w:tcBorders>
          </w:tcPr>
          <w:p w:rsidR="00704449" w:rsidRDefault="0090383F">
            <w:pPr>
              <w:jc w:val="both"/>
              <w:rPr>
                <w:rFonts w:ascii="Arial" w:eastAsia="Arial" w:hAnsi="Arial" w:cs="Arial"/>
                <w:sz w:val="20"/>
                <w:szCs w:val="20"/>
              </w:rPr>
            </w:pPr>
            <w:r>
              <w:rPr>
                <w:rFonts w:ascii="Arial" w:eastAsia="Arial" w:hAnsi="Arial" w:cs="Arial"/>
                <w:sz w:val="20"/>
                <w:szCs w:val="20"/>
              </w:rPr>
              <w:t>4.70</w:t>
            </w:r>
          </w:p>
        </w:tc>
        <w:tc>
          <w:tcPr>
            <w:tcW w:w="1825" w:type="dxa"/>
            <w:tcBorders>
              <w:top w:val="single" w:sz="4" w:space="0" w:color="000000"/>
            </w:tcBorders>
          </w:tcPr>
          <w:p w:rsidR="00704449" w:rsidRDefault="0090383F">
            <w:pPr>
              <w:jc w:val="both"/>
              <w:rPr>
                <w:rFonts w:ascii="Arial" w:eastAsia="Arial" w:hAnsi="Arial" w:cs="Arial"/>
                <w:sz w:val="20"/>
                <w:szCs w:val="20"/>
              </w:rPr>
            </w:pPr>
            <w:r>
              <w:rPr>
                <w:rFonts w:ascii="Arial" w:eastAsia="Arial" w:hAnsi="Arial" w:cs="Arial"/>
                <w:sz w:val="20"/>
                <w:szCs w:val="20"/>
              </w:rPr>
              <w:t>0.37</w:t>
            </w:r>
          </w:p>
        </w:tc>
      </w:tr>
      <w:tr w:rsidR="00704449">
        <w:tc>
          <w:tcPr>
            <w:tcW w:w="4203" w:type="dxa"/>
          </w:tcPr>
          <w:p w:rsidR="00704449" w:rsidRDefault="0090383F">
            <w:pPr>
              <w:jc w:val="both"/>
              <w:rPr>
                <w:rFonts w:ascii="Arial" w:eastAsia="Arial" w:hAnsi="Arial" w:cs="Arial"/>
                <w:sz w:val="20"/>
                <w:szCs w:val="20"/>
              </w:rPr>
            </w:pPr>
            <w:r>
              <w:rPr>
                <w:rFonts w:ascii="Arial" w:eastAsia="Arial" w:hAnsi="Arial" w:cs="Arial"/>
                <w:sz w:val="20"/>
                <w:szCs w:val="20"/>
              </w:rPr>
              <w:t>Job Effectiveness</w:t>
            </w:r>
          </w:p>
        </w:tc>
        <w:tc>
          <w:tcPr>
            <w:tcW w:w="2180" w:type="dxa"/>
          </w:tcPr>
          <w:p w:rsidR="00704449" w:rsidRDefault="0090383F">
            <w:pPr>
              <w:jc w:val="both"/>
              <w:rPr>
                <w:rFonts w:ascii="Arial" w:eastAsia="Arial" w:hAnsi="Arial" w:cs="Arial"/>
                <w:sz w:val="20"/>
                <w:szCs w:val="20"/>
              </w:rPr>
            </w:pPr>
            <w:r>
              <w:rPr>
                <w:rFonts w:ascii="Arial" w:eastAsia="Arial" w:hAnsi="Arial" w:cs="Arial"/>
                <w:sz w:val="20"/>
                <w:szCs w:val="20"/>
              </w:rPr>
              <w:t>4.40</w:t>
            </w:r>
          </w:p>
        </w:tc>
        <w:tc>
          <w:tcPr>
            <w:tcW w:w="1825" w:type="dxa"/>
          </w:tcPr>
          <w:p w:rsidR="00704449" w:rsidRDefault="0090383F">
            <w:pPr>
              <w:jc w:val="both"/>
              <w:rPr>
                <w:rFonts w:ascii="Arial" w:eastAsia="Arial" w:hAnsi="Arial" w:cs="Arial"/>
                <w:sz w:val="20"/>
                <w:szCs w:val="20"/>
              </w:rPr>
            </w:pPr>
            <w:r>
              <w:rPr>
                <w:rFonts w:ascii="Arial" w:eastAsia="Arial" w:hAnsi="Arial" w:cs="Arial"/>
                <w:sz w:val="20"/>
                <w:szCs w:val="20"/>
              </w:rPr>
              <w:t>0.43</w:t>
            </w:r>
          </w:p>
        </w:tc>
      </w:tr>
      <w:tr w:rsidR="00704449">
        <w:tc>
          <w:tcPr>
            <w:tcW w:w="4203" w:type="dxa"/>
          </w:tcPr>
          <w:p w:rsidR="00704449" w:rsidRDefault="0090383F">
            <w:pPr>
              <w:jc w:val="both"/>
              <w:rPr>
                <w:rFonts w:ascii="Arial" w:eastAsia="Arial" w:hAnsi="Arial" w:cs="Arial"/>
                <w:sz w:val="20"/>
                <w:szCs w:val="20"/>
              </w:rPr>
            </w:pPr>
            <w:r>
              <w:rPr>
                <w:rFonts w:ascii="Arial" w:eastAsia="Arial" w:hAnsi="Arial" w:cs="Arial"/>
                <w:sz w:val="20"/>
                <w:szCs w:val="20"/>
              </w:rPr>
              <w:t xml:space="preserve">Confidence </w:t>
            </w:r>
          </w:p>
        </w:tc>
        <w:tc>
          <w:tcPr>
            <w:tcW w:w="2180" w:type="dxa"/>
          </w:tcPr>
          <w:p w:rsidR="00704449" w:rsidRDefault="0090383F">
            <w:pPr>
              <w:jc w:val="both"/>
              <w:rPr>
                <w:rFonts w:ascii="Arial" w:eastAsia="Arial" w:hAnsi="Arial" w:cs="Arial"/>
                <w:sz w:val="20"/>
                <w:szCs w:val="20"/>
              </w:rPr>
            </w:pPr>
            <w:r>
              <w:rPr>
                <w:rFonts w:ascii="Arial" w:eastAsia="Arial" w:hAnsi="Arial" w:cs="Arial"/>
                <w:sz w:val="20"/>
                <w:szCs w:val="20"/>
              </w:rPr>
              <w:t>4.22</w:t>
            </w:r>
          </w:p>
        </w:tc>
        <w:tc>
          <w:tcPr>
            <w:tcW w:w="1825" w:type="dxa"/>
          </w:tcPr>
          <w:p w:rsidR="00704449" w:rsidRDefault="0090383F">
            <w:pPr>
              <w:jc w:val="both"/>
              <w:rPr>
                <w:rFonts w:ascii="Arial" w:eastAsia="Arial" w:hAnsi="Arial" w:cs="Arial"/>
                <w:sz w:val="20"/>
                <w:szCs w:val="20"/>
              </w:rPr>
            </w:pPr>
            <w:r>
              <w:rPr>
                <w:rFonts w:ascii="Arial" w:eastAsia="Arial" w:hAnsi="Arial" w:cs="Arial"/>
                <w:sz w:val="20"/>
                <w:szCs w:val="20"/>
              </w:rPr>
              <w:t>0.71</w:t>
            </w:r>
          </w:p>
        </w:tc>
      </w:tr>
      <w:tr w:rsidR="00704449">
        <w:tc>
          <w:tcPr>
            <w:tcW w:w="4203" w:type="dxa"/>
          </w:tcPr>
          <w:p w:rsidR="00704449" w:rsidRDefault="0090383F">
            <w:pPr>
              <w:jc w:val="both"/>
              <w:rPr>
                <w:rFonts w:ascii="Arial" w:eastAsia="Arial" w:hAnsi="Arial" w:cs="Arial"/>
                <w:b/>
                <w:sz w:val="20"/>
                <w:szCs w:val="20"/>
              </w:rPr>
            </w:pPr>
            <w:r>
              <w:rPr>
                <w:rFonts w:ascii="Arial" w:eastAsia="Arial" w:hAnsi="Arial" w:cs="Arial"/>
                <w:b/>
                <w:sz w:val="20"/>
                <w:szCs w:val="20"/>
              </w:rPr>
              <w:t>Total</w:t>
            </w:r>
          </w:p>
        </w:tc>
        <w:tc>
          <w:tcPr>
            <w:tcW w:w="2180" w:type="dxa"/>
          </w:tcPr>
          <w:p w:rsidR="00704449" w:rsidRDefault="0090383F">
            <w:pPr>
              <w:jc w:val="both"/>
              <w:rPr>
                <w:rFonts w:ascii="Arial" w:eastAsia="Arial" w:hAnsi="Arial" w:cs="Arial"/>
                <w:b/>
                <w:sz w:val="20"/>
                <w:szCs w:val="20"/>
              </w:rPr>
            </w:pPr>
            <w:r>
              <w:rPr>
                <w:rFonts w:ascii="Arial" w:eastAsia="Arial" w:hAnsi="Arial" w:cs="Arial"/>
                <w:b/>
                <w:sz w:val="20"/>
                <w:szCs w:val="20"/>
              </w:rPr>
              <w:t>4.44</w:t>
            </w:r>
          </w:p>
        </w:tc>
        <w:tc>
          <w:tcPr>
            <w:tcW w:w="1825" w:type="dxa"/>
          </w:tcPr>
          <w:p w:rsidR="00704449" w:rsidRDefault="0090383F">
            <w:pPr>
              <w:jc w:val="both"/>
              <w:rPr>
                <w:rFonts w:ascii="Arial" w:eastAsia="Arial" w:hAnsi="Arial" w:cs="Arial"/>
                <w:b/>
                <w:sz w:val="20"/>
                <w:szCs w:val="20"/>
              </w:rPr>
            </w:pPr>
            <w:r>
              <w:rPr>
                <w:rFonts w:ascii="Arial" w:eastAsia="Arial" w:hAnsi="Arial" w:cs="Arial"/>
                <w:b/>
                <w:sz w:val="20"/>
                <w:szCs w:val="20"/>
              </w:rPr>
              <w:t>0.36</w:t>
            </w:r>
          </w:p>
        </w:tc>
      </w:tr>
    </w:tbl>
    <w:p w:rsidR="00704449" w:rsidRDefault="00704449">
      <w:pPr>
        <w:spacing w:after="0" w:line="240" w:lineRule="auto"/>
        <w:jc w:val="both"/>
        <w:rPr>
          <w:rFonts w:ascii="Arial" w:eastAsia="Arial" w:hAnsi="Arial" w:cs="Arial"/>
          <w:sz w:val="20"/>
          <w:szCs w:val="20"/>
        </w:rPr>
        <w:sectPr w:rsidR="00704449">
          <w:type w:val="continuous"/>
          <w:pgSz w:w="12240" w:h="15840"/>
          <w:pgMar w:top="1440" w:right="2016" w:bottom="2016" w:left="2016" w:header="706" w:footer="706" w:gutter="0"/>
          <w:cols w:num="2" w:space="720" w:equalWidth="0">
            <w:col w:w="3750" w:space="708"/>
            <w:col w:w="3750"/>
          </w:cols>
        </w:sectPr>
      </w:pPr>
    </w:p>
    <w:p w:rsidR="00704449" w:rsidRDefault="00704449">
      <w:pPr>
        <w:spacing w:after="0" w:line="240" w:lineRule="auto"/>
        <w:jc w:val="both"/>
        <w:rPr>
          <w:rFonts w:ascii="Arial" w:eastAsia="Arial" w:hAnsi="Arial" w:cs="Arial"/>
          <w:sz w:val="20"/>
          <w:szCs w:val="20"/>
        </w:rPr>
        <w:sectPr w:rsidR="00704449">
          <w:type w:val="continuous"/>
          <w:pgSz w:w="12240" w:h="15840"/>
          <w:pgMar w:top="1440" w:right="2016" w:bottom="2016" w:left="2016" w:header="706" w:footer="706" w:gutter="0"/>
          <w:cols w:num="2" w:space="720" w:equalWidth="0">
            <w:col w:w="3750" w:space="708"/>
            <w:col w:w="3750"/>
          </w:cols>
        </w:sectPr>
      </w:pPr>
    </w:p>
    <w:p w:rsidR="00704449" w:rsidRDefault="00704449">
      <w:pPr>
        <w:spacing w:after="0" w:line="240" w:lineRule="auto"/>
        <w:jc w:val="both"/>
        <w:rPr>
          <w:rFonts w:ascii="Arial" w:eastAsia="Arial" w:hAnsi="Arial" w:cs="Arial"/>
          <w:sz w:val="20"/>
          <w:szCs w:val="20"/>
        </w:rPr>
      </w:pPr>
    </w:p>
    <w:p w:rsidR="00704449" w:rsidRDefault="00704449">
      <w:pPr>
        <w:spacing w:after="0" w:line="240" w:lineRule="auto"/>
        <w:jc w:val="both"/>
        <w:rPr>
          <w:rFonts w:ascii="Arial" w:eastAsia="Arial" w:hAnsi="Arial" w:cs="Arial"/>
          <w:sz w:val="20"/>
          <w:szCs w:val="20"/>
        </w:rPr>
      </w:pPr>
    </w:p>
    <w:p w:rsidR="00704449" w:rsidRDefault="00704449">
      <w:pPr>
        <w:spacing w:after="0" w:line="240" w:lineRule="auto"/>
        <w:jc w:val="both"/>
        <w:rPr>
          <w:rFonts w:ascii="Arial" w:eastAsia="Arial" w:hAnsi="Arial" w:cs="Arial"/>
          <w:sz w:val="20"/>
          <w:szCs w:val="20"/>
        </w:rPr>
      </w:pPr>
    </w:p>
    <w:p w:rsidR="00704449" w:rsidRDefault="00704449">
      <w:pPr>
        <w:spacing w:after="0" w:line="240" w:lineRule="auto"/>
        <w:jc w:val="both"/>
        <w:rPr>
          <w:rFonts w:ascii="Arial" w:eastAsia="Arial" w:hAnsi="Arial" w:cs="Arial"/>
          <w:sz w:val="20"/>
          <w:szCs w:val="20"/>
        </w:rPr>
      </w:pPr>
    </w:p>
    <w:p w:rsidR="00704449" w:rsidRDefault="0090383F">
      <w:pPr>
        <w:spacing w:after="0" w:line="240" w:lineRule="auto"/>
        <w:jc w:val="both"/>
        <w:rPr>
          <w:rFonts w:ascii="Arial" w:eastAsia="Arial" w:hAnsi="Arial" w:cs="Arial"/>
          <w:sz w:val="20"/>
          <w:szCs w:val="20"/>
        </w:rPr>
      </w:pPr>
      <w:r>
        <w:rPr>
          <w:rFonts w:ascii="Arial" w:eastAsia="Arial" w:hAnsi="Arial" w:cs="Arial"/>
          <w:sz w:val="20"/>
          <w:szCs w:val="20"/>
        </w:rPr>
        <w:t>teach sex education and frequently lack a sustained commitment to introducing these topics Haignere et al. [38].</w:t>
      </w:r>
    </w:p>
    <w:p w:rsidR="00704449" w:rsidRDefault="00704449">
      <w:pPr>
        <w:spacing w:after="0" w:line="240" w:lineRule="auto"/>
        <w:jc w:val="both"/>
        <w:rPr>
          <w:rFonts w:ascii="Arial" w:eastAsia="Arial" w:hAnsi="Arial" w:cs="Arial"/>
          <w:sz w:val="20"/>
          <w:szCs w:val="20"/>
        </w:rPr>
      </w:pPr>
    </w:p>
    <w:p w:rsidR="00220C1F" w:rsidRDefault="0090383F">
      <w:pPr>
        <w:spacing w:after="0" w:line="240" w:lineRule="auto"/>
        <w:jc w:val="both"/>
        <w:rPr>
          <w:rFonts w:ascii="Arial" w:eastAsia="Arial" w:hAnsi="Arial" w:cs="Arial"/>
          <w:b/>
          <w:sz w:val="20"/>
          <w:szCs w:val="20"/>
        </w:rPr>
      </w:pPr>
      <w:r>
        <w:rPr>
          <w:rFonts w:ascii="Arial" w:eastAsia="Arial" w:hAnsi="Arial" w:cs="Arial"/>
          <w:b/>
          <w:sz w:val="20"/>
          <w:szCs w:val="20"/>
        </w:rPr>
        <w:t>Job Effectiveness</w:t>
      </w:r>
      <w:r w:rsidR="00220C1F">
        <w:rPr>
          <w:rFonts w:ascii="Arial" w:eastAsia="Arial" w:hAnsi="Arial" w:cs="Arial"/>
          <w:b/>
          <w:sz w:val="20"/>
          <w:szCs w:val="20"/>
        </w:rPr>
        <w:t>:</w:t>
      </w:r>
    </w:p>
    <w:p w:rsidR="00704449" w:rsidRDefault="0090383F">
      <w:pPr>
        <w:spacing w:after="0" w:line="240" w:lineRule="auto"/>
        <w:jc w:val="both"/>
        <w:rPr>
          <w:rFonts w:ascii="Arial" w:eastAsia="Arial" w:hAnsi="Arial" w:cs="Arial"/>
          <w:sz w:val="20"/>
          <w:szCs w:val="20"/>
        </w:rPr>
      </w:pPr>
      <w:r>
        <w:rPr>
          <w:rFonts w:ascii="Arial" w:eastAsia="Arial" w:hAnsi="Arial" w:cs="Arial"/>
          <w:sz w:val="20"/>
          <w:szCs w:val="20"/>
        </w:rPr>
        <w:t>Table 3 also displays high work effectiveness levels accep</w:t>
      </w:r>
      <w:r>
        <w:rPr>
          <w:rFonts w:ascii="Arial" w:eastAsia="Arial" w:hAnsi="Arial" w:cs="Arial"/>
          <w:sz w:val="20"/>
          <w:szCs w:val="20"/>
        </w:rPr>
        <w:t>ted by the teacher (x̄=4.40; SD=0.43). This suggests that the degree of teacher approval for applying for sex education was consistent. This implies that adding sex education will ensure a comprehensive teaching approach instead of negatively influencing t</w:t>
      </w:r>
      <w:r>
        <w:rPr>
          <w:rFonts w:ascii="Arial" w:eastAsia="Arial" w:hAnsi="Arial" w:cs="Arial"/>
          <w:sz w:val="20"/>
          <w:szCs w:val="20"/>
        </w:rPr>
        <w:t>he teacher's obligation and responsibility.</w:t>
      </w:r>
    </w:p>
    <w:p w:rsidR="00704449" w:rsidRDefault="00704449">
      <w:pPr>
        <w:spacing w:after="0" w:line="240" w:lineRule="auto"/>
        <w:jc w:val="both"/>
        <w:rPr>
          <w:rFonts w:ascii="Arial" w:eastAsia="Arial" w:hAnsi="Arial" w:cs="Arial"/>
          <w:sz w:val="20"/>
          <w:szCs w:val="20"/>
        </w:rPr>
      </w:pPr>
    </w:p>
    <w:p w:rsidR="00704449" w:rsidRDefault="0090383F">
      <w:pPr>
        <w:spacing w:after="0" w:line="240" w:lineRule="auto"/>
        <w:jc w:val="both"/>
        <w:rPr>
          <w:rFonts w:ascii="Arial" w:eastAsia="Arial" w:hAnsi="Arial" w:cs="Arial"/>
          <w:sz w:val="20"/>
          <w:szCs w:val="20"/>
        </w:rPr>
      </w:pPr>
      <w:r>
        <w:rPr>
          <w:rFonts w:ascii="Arial" w:eastAsia="Arial" w:hAnsi="Arial" w:cs="Arial"/>
          <w:sz w:val="20"/>
          <w:szCs w:val="20"/>
        </w:rPr>
        <w:t>Moreover, as said in the 2018 Policy Guidelines on Implementing Comprehensive Sexuality Education, the Department of Education is dedicated to helping teacher preparation in CSE. It intends to collaborate with t</w:t>
      </w:r>
      <w:r>
        <w:rPr>
          <w:rFonts w:ascii="Arial" w:eastAsia="Arial" w:hAnsi="Arial" w:cs="Arial"/>
          <w:sz w:val="20"/>
          <w:szCs w:val="20"/>
        </w:rPr>
        <w:t>he Curriculum and Learning Management Division to create CSE training programs. This division explicitly trains school leaders and educators to integrate CSE across various learning domains and coordinate with the School Governance and Operations Division.</w:t>
      </w:r>
      <w:r>
        <w:rPr>
          <w:rFonts w:ascii="Arial" w:eastAsia="Arial" w:hAnsi="Arial" w:cs="Arial"/>
          <w:sz w:val="20"/>
          <w:szCs w:val="20"/>
        </w:rPr>
        <w:t xml:space="preserve"> According to research done in South Africa, teachers regularly assume several roles, including those of a parent, peer, and social worker in imparting sex education.</w:t>
      </w:r>
    </w:p>
    <w:p w:rsidR="00704449" w:rsidRDefault="00704449">
      <w:pPr>
        <w:spacing w:after="0" w:line="240" w:lineRule="auto"/>
        <w:jc w:val="both"/>
        <w:rPr>
          <w:rFonts w:ascii="Arial" w:eastAsia="Arial" w:hAnsi="Arial" w:cs="Arial"/>
          <w:sz w:val="20"/>
          <w:szCs w:val="20"/>
        </w:rPr>
      </w:pPr>
    </w:p>
    <w:p w:rsidR="00704449" w:rsidRDefault="0090383F">
      <w:pPr>
        <w:spacing w:after="0" w:line="240" w:lineRule="auto"/>
        <w:jc w:val="both"/>
        <w:rPr>
          <w:rFonts w:ascii="Arial" w:eastAsia="Arial" w:hAnsi="Arial" w:cs="Arial"/>
          <w:sz w:val="20"/>
          <w:szCs w:val="20"/>
        </w:rPr>
      </w:pPr>
      <w:r>
        <w:rPr>
          <w:rFonts w:ascii="Arial" w:eastAsia="Arial" w:hAnsi="Arial" w:cs="Arial"/>
          <w:sz w:val="20"/>
          <w:szCs w:val="20"/>
        </w:rPr>
        <w:t>Conversely,</w:t>
      </w:r>
      <w:r>
        <w:rPr>
          <w:sz w:val="20"/>
          <w:szCs w:val="20"/>
        </w:rPr>
        <w:t xml:space="preserve"> </w:t>
      </w:r>
      <w:r>
        <w:rPr>
          <w:rFonts w:ascii="Arial" w:eastAsia="Arial" w:hAnsi="Arial" w:cs="Arial"/>
          <w:sz w:val="20"/>
          <w:szCs w:val="20"/>
        </w:rPr>
        <w:t>teachers could be reluctant to start these projects because of anxiety. Thes</w:t>
      </w:r>
      <w:r>
        <w:rPr>
          <w:rFonts w:ascii="Arial" w:eastAsia="Arial" w:hAnsi="Arial" w:cs="Arial"/>
          <w:sz w:val="20"/>
          <w:szCs w:val="20"/>
        </w:rPr>
        <w:t>e roles can be judged as connected to their teaching responsibilities or call for further training to provide student direction. Ahmed et al. [39] say that many educators feel that teaching sex education is immoral and that talking about a topic in class w</w:t>
      </w:r>
      <w:r>
        <w:rPr>
          <w:rFonts w:ascii="Arial" w:eastAsia="Arial" w:hAnsi="Arial" w:cs="Arial"/>
          <w:sz w:val="20"/>
          <w:szCs w:val="20"/>
        </w:rPr>
        <w:t xml:space="preserve">ill </w:t>
      </w:r>
      <w:r>
        <w:rPr>
          <w:rFonts w:ascii="Arial" w:eastAsia="Arial" w:hAnsi="Arial" w:cs="Arial"/>
          <w:sz w:val="20"/>
          <w:szCs w:val="20"/>
        </w:rPr>
        <w:t>cause "losing students' respect." The general understanding of sex education may not be covered until teachers are fully trained or instructed before teaching it.</w:t>
      </w:r>
    </w:p>
    <w:p w:rsidR="00704449" w:rsidRDefault="00704449">
      <w:pPr>
        <w:spacing w:after="0" w:line="240" w:lineRule="auto"/>
        <w:jc w:val="both"/>
        <w:rPr>
          <w:rFonts w:ascii="Arial" w:eastAsia="Arial" w:hAnsi="Arial" w:cs="Arial"/>
          <w:sz w:val="20"/>
          <w:szCs w:val="20"/>
        </w:rPr>
      </w:pPr>
    </w:p>
    <w:p w:rsidR="00704449" w:rsidRDefault="0090383F">
      <w:pPr>
        <w:spacing w:after="0" w:line="240" w:lineRule="auto"/>
        <w:jc w:val="both"/>
        <w:rPr>
          <w:rFonts w:ascii="Arial" w:eastAsia="Arial" w:hAnsi="Arial" w:cs="Arial"/>
          <w:sz w:val="20"/>
          <w:szCs w:val="20"/>
        </w:rPr>
      </w:pPr>
      <w:r>
        <w:rPr>
          <w:rFonts w:ascii="Arial" w:eastAsia="Arial" w:hAnsi="Arial" w:cs="Arial"/>
          <w:sz w:val="20"/>
          <w:szCs w:val="20"/>
        </w:rPr>
        <w:t xml:space="preserve">Moreover, the recommended teaching approaches and guidelines should also be introduced </w:t>
      </w:r>
      <w:r>
        <w:rPr>
          <w:rFonts w:ascii="Arial" w:eastAsia="Arial" w:hAnsi="Arial" w:cs="Arial"/>
          <w:sz w:val="20"/>
          <w:szCs w:val="20"/>
        </w:rPr>
        <w:t>to the teachers who are about to teach sex education to ease some identified barriers. Natividad [40] states that most teachers do not usually integrate these topics and do not provide enough information to their students, resulting in poor knowledge about</w:t>
      </w:r>
      <w:r>
        <w:rPr>
          <w:rFonts w:ascii="Arial" w:eastAsia="Arial" w:hAnsi="Arial" w:cs="Arial"/>
          <w:sz w:val="20"/>
          <w:szCs w:val="20"/>
        </w:rPr>
        <w:t xml:space="preserve"> sex education. Moreover, without proper guidance and education from the teachers, problems concerning sex education will arise due to cultural orientations where an open discussion about sexuality results in the lack of job effectiveness of the teachers t</w:t>
      </w:r>
      <w:r>
        <w:rPr>
          <w:rFonts w:ascii="Arial" w:eastAsia="Arial" w:hAnsi="Arial" w:cs="Arial"/>
          <w:sz w:val="20"/>
          <w:szCs w:val="20"/>
        </w:rPr>
        <w:t>eaching sex education in the classroom [41].</w:t>
      </w:r>
    </w:p>
    <w:p w:rsidR="00704449" w:rsidRDefault="00704449">
      <w:pPr>
        <w:spacing w:after="0" w:line="240" w:lineRule="auto"/>
        <w:jc w:val="both"/>
        <w:rPr>
          <w:rFonts w:ascii="Arial" w:eastAsia="Arial" w:hAnsi="Arial" w:cs="Arial"/>
          <w:sz w:val="20"/>
          <w:szCs w:val="20"/>
        </w:rPr>
      </w:pPr>
    </w:p>
    <w:p w:rsidR="00220C1F" w:rsidRDefault="0090383F">
      <w:pPr>
        <w:spacing w:after="0" w:line="240" w:lineRule="auto"/>
        <w:jc w:val="both"/>
        <w:rPr>
          <w:rFonts w:ascii="Arial" w:eastAsia="Arial" w:hAnsi="Arial" w:cs="Arial"/>
          <w:sz w:val="20"/>
          <w:szCs w:val="20"/>
        </w:rPr>
      </w:pPr>
      <w:r>
        <w:rPr>
          <w:rFonts w:ascii="Arial" w:eastAsia="Arial" w:hAnsi="Arial" w:cs="Arial"/>
          <w:b/>
          <w:sz w:val="20"/>
          <w:szCs w:val="20"/>
        </w:rPr>
        <w:t>Confidence</w:t>
      </w:r>
      <w:r w:rsidR="00220C1F">
        <w:rPr>
          <w:rFonts w:ascii="Arial" w:eastAsia="Arial" w:hAnsi="Arial" w:cs="Arial"/>
          <w:b/>
          <w:sz w:val="20"/>
          <w:szCs w:val="20"/>
        </w:rPr>
        <w:t>:</w:t>
      </w:r>
    </w:p>
    <w:p w:rsidR="00704449" w:rsidRDefault="0090383F">
      <w:pPr>
        <w:spacing w:after="0" w:line="240" w:lineRule="auto"/>
        <w:jc w:val="both"/>
        <w:rPr>
          <w:rFonts w:ascii="Arial" w:eastAsia="Arial" w:hAnsi="Arial" w:cs="Arial"/>
          <w:sz w:val="20"/>
          <w:szCs w:val="20"/>
        </w:rPr>
      </w:pPr>
      <w:r>
        <w:rPr>
          <w:rFonts w:ascii="Arial" w:eastAsia="Arial" w:hAnsi="Arial" w:cs="Arial"/>
          <w:sz w:val="20"/>
          <w:szCs w:val="20"/>
        </w:rPr>
        <w:t>Table 3 also shows that the level of teacher acceptance of implementing sex education in terms of confidence was very high (x̄=4.22; SD=0.71). This indicates that this confidence level towards imple</w:t>
      </w:r>
      <w:r>
        <w:rPr>
          <w:rFonts w:ascii="Arial" w:eastAsia="Arial" w:hAnsi="Arial" w:cs="Arial"/>
          <w:sz w:val="20"/>
          <w:szCs w:val="20"/>
        </w:rPr>
        <w:t>menting sex education was always observed. It also implies that most of the selected elementary teachers were confident in teaching sex education in the curriculum.</w:t>
      </w:r>
    </w:p>
    <w:p w:rsidR="00704449" w:rsidRDefault="00704449">
      <w:pPr>
        <w:spacing w:after="0" w:line="240" w:lineRule="auto"/>
        <w:jc w:val="both"/>
        <w:rPr>
          <w:rFonts w:ascii="Arial" w:eastAsia="Arial" w:hAnsi="Arial" w:cs="Arial"/>
          <w:sz w:val="20"/>
          <w:szCs w:val="20"/>
        </w:rPr>
      </w:pPr>
    </w:p>
    <w:p w:rsidR="00704449" w:rsidRDefault="0090383F">
      <w:pPr>
        <w:spacing w:after="0" w:line="240" w:lineRule="auto"/>
        <w:jc w:val="both"/>
        <w:rPr>
          <w:rFonts w:ascii="Arial" w:eastAsia="Arial" w:hAnsi="Arial" w:cs="Arial"/>
          <w:sz w:val="20"/>
          <w:szCs w:val="20"/>
        </w:rPr>
        <w:sectPr w:rsidR="00704449">
          <w:type w:val="continuous"/>
          <w:pgSz w:w="12240" w:h="15840"/>
          <w:pgMar w:top="1440" w:right="2016" w:bottom="2016" w:left="2016" w:header="706" w:footer="706" w:gutter="0"/>
          <w:cols w:num="2" w:space="720" w:equalWidth="0">
            <w:col w:w="3750" w:space="708"/>
            <w:col w:w="3750"/>
          </w:cols>
        </w:sectPr>
      </w:pPr>
      <w:r>
        <w:rPr>
          <w:rFonts w:ascii="Arial" w:eastAsia="Arial" w:hAnsi="Arial" w:cs="Arial"/>
          <w:sz w:val="20"/>
          <w:szCs w:val="20"/>
        </w:rPr>
        <w:t>The results are a consequence of Mukambika’s [42] statement that w</w:t>
      </w:r>
      <w:r>
        <w:rPr>
          <w:rFonts w:ascii="Arial" w:eastAsia="Arial" w:hAnsi="Arial" w:cs="Arial"/>
          <w:sz w:val="20"/>
          <w:szCs w:val="20"/>
        </w:rPr>
        <w:t>ork experience in teaching helped teachers become confident in understanding the role of sex education in schools and its effects on students. Bola et al. [43] state that teachers' positive attitudes toward sex education make them confiden</w:t>
      </w:r>
      <w:bookmarkStart w:id="2" w:name="_GoBack"/>
      <w:bookmarkEnd w:id="2"/>
      <w:r>
        <w:rPr>
          <w:rFonts w:ascii="Arial" w:eastAsia="Arial" w:hAnsi="Arial" w:cs="Arial"/>
          <w:sz w:val="20"/>
          <w:szCs w:val="20"/>
        </w:rPr>
        <w:t>t to teach the su</w:t>
      </w:r>
      <w:r>
        <w:rPr>
          <w:rFonts w:ascii="Arial" w:eastAsia="Arial" w:hAnsi="Arial" w:cs="Arial"/>
          <w:sz w:val="20"/>
          <w:szCs w:val="20"/>
        </w:rPr>
        <w:t xml:space="preserve">bject. It implies that they have a high indication understanding of sex education, like ensuring that in teaching, </w:t>
      </w:r>
    </w:p>
    <w:p w:rsidR="00704449" w:rsidRDefault="00704449">
      <w:pPr>
        <w:spacing w:after="0" w:line="240" w:lineRule="auto"/>
        <w:rPr>
          <w:rFonts w:ascii="Arial" w:eastAsia="Arial" w:hAnsi="Arial" w:cs="Arial"/>
          <w:b/>
          <w:sz w:val="22"/>
          <w:szCs w:val="22"/>
        </w:rPr>
      </w:pPr>
    </w:p>
    <w:p w:rsidR="00704449" w:rsidRDefault="00704449">
      <w:pPr>
        <w:spacing w:after="0" w:line="240" w:lineRule="auto"/>
        <w:jc w:val="center"/>
        <w:rPr>
          <w:rFonts w:ascii="Arial" w:eastAsia="Arial" w:hAnsi="Arial" w:cs="Arial"/>
          <w:b/>
          <w:sz w:val="22"/>
          <w:szCs w:val="22"/>
        </w:rPr>
      </w:pPr>
    </w:p>
    <w:p w:rsidR="00704449" w:rsidRDefault="00704449">
      <w:pPr>
        <w:spacing w:after="0" w:line="240" w:lineRule="auto"/>
        <w:jc w:val="center"/>
        <w:rPr>
          <w:rFonts w:ascii="Arial" w:eastAsia="Arial" w:hAnsi="Arial" w:cs="Arial"/>
          <w:b/>
          <w:sz w:val="22"/>
          <w:szCs w:val="22"/>
        </w:rPr>
      </w:pPr>
    </w:p>
    <w:p w:rsidR="00704449" w:rsidRDefault="0090383F">
      <w:pPr>
        <w:spacing w:after="0" w:line="240" w:lineRule="auto"/>
        <w:jc w:val="center"/>
        <w:rPr>
          <w:rFonts w:ascii="Arial" w:eastAsia="Arial" w:hAnsi="Arial" w:cs="Arial"/>
          <w:b/>
          <w:i/>
          <w:sz w:val="22"/>
          <w:szCs w:val="22"/>
        </w:rPr>
      </w:pPr>
      <w:r>
        <w:rPr>
          <w:rFonts w:ascii="Arial" w:eastAsia="Arial" w:hAnsi="Arial" w:cs="Arial"/>
          <w:b/>
          <w:sz w:val="22"/>
          <w:szCs w:val="22"/>
        </w:rPr>
        <w:t>Table 4.</w:t>
      </w:r>
      <w:r>
        <w:rPr>
          <w:rFonts w:ascii="Arial" w:eastAsia="Arial" w:hAnsi="Arial" w:cs="Arial"/>
          <w:b/>
          <w:i/>
          <w:sz w:val="22"/>
          <w:szCs w:val="22"/>
        </w:rPr>
        <w:t xml:space="preserve"> The difference in acceptance level when analyzed by age</w:t>
      </w:r>
    </w:p>
    <w:p w:rsidR="00704449" w:rsidRDefault="00704449">
      <w:pPr>
        <w:spacing w:after="0" w:line="240" w:lineRule="auto"/>
        <w:jc w:val="center"/>
        <w:rPr>
          <w:rFonts w:ascii="Arial" w:eastAsia="Arial" w:hAnsi="Arial" w:cs="Arial"/>
          <w:b/>
          <w:i/>
          <w:sz w:val="22"/>
          <w:szCs w:val="22"/>
        </w:rPr>
      </w:pPr>
    </w:p>
    <w:tbl>
      <w:tblPr>
        <w:tblStyle w:val="a2"/>
        <w:tblpPr w:leftFromText="180" w:rightFromText="180" w:vertAnchor="text" w:tblpX="-545" w:tblpY="1"/>
        <w:tblW w:w="9641"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893"/>
        <w:gridCol w:w="1983"/>
        <w:gridCol w:w="935"/>
        <w:gridCol w:w="1317"/>
        <w:gridCol w:w="1261"/>
        <w:gridCol w:w="812"/>
        <w:gridCol w:w="1440"/>
      </w:tblGrid>
      <w:tr w:rsidR="00704449">
        <w:tc>
          <w:tcPr>
            <w:tcW w:w="1893" w:type="dxa"/>
            <w:tcBorders>
              <w:top w:val="single" w:sz="4" w:space="0" w:color="000000"/>
              <w:bottom w:val="single" w:sz="4" w:space="0" w:color="000000"/>
            </w:tcBorders>
          </w:tcPr>
          <w:p w:rsidR="00704449" w:rsidRDefault="00704449">
            <w:pPr>
              <w:spacing w:line="276" w:lineRule="auto"/>
              <w:rPr>
                <w:rFonts w:ascii="Arial" w:eastAsia="Arial" w:hAnsi="Arial" w:cs="Arial"/>
                <w:sz w:val="20"/>
                <w:szCs w:val="20"/>
              </w:rPr>
            </w:pPr>
          </w:p>
        </w:tc>
        <w:tc>
          <w:tcPr>
            <w:tcW w:w="1983" w:type="dxa"/>
            <w:tcBorders>
              <w:top w:val="single" w:sz="4" w:space="0" w:color="000000"/>
              <w:bottom w:val="single" w:sz="4" w:space="0" w:color="000000"/>
            </w:tcBorders>
          </w:tcPr>
          <w:p w:rsidR="00704449" w:rsidRDefault="0090383F">
            <w:pPr>
              <w:spacing w:line="276" w:lineRule="auto"/>
              <w:jc w:val="center"/>
              <w:rPr>
                <w:rFonts w:ascii="Arial" w:eastAsia="Arial" w:hAnsi="Arial" w:cs="Arial"/>
                <w:sz w:val="20"/>
                <w:szCs w:val="20"/>
              </w:rPr>
            </w:pPr>
            <w:r>
              <w:rPr>
                <w:rFonts w:ascii="Arial" w:eastAsia="Arial" w:hAnsi="Arial" w:cs="Arial"/>
                <w:sz w:val="20"/>
                <w:szCs w:val="20"/>
              </w:rPr>
              <w:t>Age</w:t>
            </w:r>
          </w:p>
        </w:tc>
        <w:tc>
          <w:tcPr>
            <w:tcW w:w="935" w:type="dxa"/>
            <w:tcBorders>
              <w:top w:val="single" w:sz="4" w:space="0" w:color="000000"/>
              <w:bottom w:val="single" w:sz="4" w:space="0" w:color="000000"/>
            </w:tcBorders>
          </w:tcPr>
          <w:p w:rsidR="00704449" w:rsidRDefault="0090383F">
            <w:pPr>
              <w:spacing w:line="276" w:lineRule="auto"/>
              <w:jc w:val="center"/>
              <w:rPr>
                <w:rFonts w:ascii="Arial" w:eastAsia="Arial" w:hAnsi="Arial" w:cs="Arial"/>
                <w:sz w:val="20"/>
                <w:szCs w:val="20"/>
              </w:rPr>
            </w:pPr>
            <w:r>
              <w:rPr>
                <w:rFonts w:ascii="Arial" w:eastAsia="Arial" w:hAnsi="Arial" w:cs="Arial"/>
                <w:sz w:val="20"/>
                <w:szCs w:val="20"/>
              </w:rPr>
              <w:t>N</w:t>
            </w:r>
          </w:p>
        </w:tc>
        <w:tc>
          <w:tcPr>
            <w:tcW w:w="1317" w:type="dxa"/>
            <w:tcBorders>
              <w:top w:val="single" w:sz="4" w:space="0" w:color="000000"/>
              <w:bottom w:val="single" w:sz="4" w:space="0" w:color="000000"/>
            </w:tcBorders>
          </w:tcPr>
          <w:p w:rsidR="00704449" w:rsidRDefault="0090383F">
            <w:pPr>
              <w:spacing w:line="276" w:lineRule="auto"/>
              <w:jc w:val="center"/>
              <w:rPr>
                <w:rFonts w:ascii="Arial" w:eastAsia="Arial" w:hAnsi="Arial" w:cs="Arial"/>
                <w:sz w:val="20"/>
                <w:szCs w:val="20"/>
              </w:rPr>
            </w:pPr>
            <w:r>
              <w:rPr>
                <w:rFonts w:ascii="Arial" w:eastAsia="Arial" w:hAnsi="Arial" w:cs="Arial"/>
                <w:sz w:val="20"/>
                <w:szCs w:val="20"/>
              </w:rPr>
              <w:t>Mean Rank</w:t>
            </w:r>
          </w:p>
        </w:tc>
        <w:tc>
          <w:tcPr>
            <w:tcW w:w="1261" w:type="dxa"/>
            <w:tcBorders>
              <w:top w:val="single" w:sz="4" w:space="0" w:color="000000"/>
              <w:bottom w:val="single" w:sz="4" w:space="0" w:color="000000"/>
            </w:tcBorders>
          </w:tcPr>
          <w:p w:rsidR="00704449" w:rsidRDefault="0090383F">
            <w:pPr>
              <w:spacing w:line="276" w:lineRule="auto"/>
              <w:jc w:val="center"/>
              <w:rPr>
                <w:rFonts w:ascii="Arial" w:eastAsia="Arial" w:hAnsi="Arial" w:cs="Arial"/>
                <w:sz w:val="20"/>
                <w:szCs w:val="20"/>
              </w:rPr>
            </w:pPr>
            <w:r>
              <w:rPr>
                <w:rFonts w:ascii="Arial" w:eastAsia="Arial" w:hAnsi="Arial" w:cs="Arial"/>
                <w:sz w:val="20"/>
                <w:szCs w:val="20"/>
              </w:rPr>
              <w:t>Chi-square</w:t>
            </w:r>
          </w:p>
        </w:tc>
        <w:tc>
          <w:tcPr>
            <w:tcW w:w="812" w:type="dxa"/>
            <w:tcBorders>
              <w:top w:val="single" w:sz="4" w:space="0" w:color="000000"/>
              <w:bottom w:val="single" w:sz="4" w:space="0" w:color="000000"/>
            </w:tcBorders>
          </w:tcPr>
          <w:p w:rsidR="00704449" w:rsidRDefault="0090383F">
            <w:pPr>
              <w:spacing w:line="276" w:lineRule="auto"/>
              <w:jc w:val="center"/>
              <w:rPr>
                <w:rFonts w:ascii="Arial" w:eastAsia="Arial" w:hAnsi="Arial" w:cs="Arial"/>
                <w:sz w:val="20"/>
                <w:szCs w:val="20"/>
              </w:rPr>
            </w:pPr>
            <w:r>
              <w:rPr>
                <w:rFonts w:ascii="Arial" w:eastAsia="Arial" w:hAnsi="Arial" w:cs="Arial"/>
                <w:sz w:val="20"/>
                <w:szCs w:val="20"/>
              </w:rPr>
              <w:t>df</w:t>
            </w:r>
          </w:p>
        </w:tc>
        <w:tc>
          <w:tcPr>
            <w:tcW w:w="1440" w:type="dxa"/>
            <w:tcBorders>
              <w:top w:val="single" w:sz="4" w:space="0" w:color="000000"/>
              <w:bottom w:val="single" w:sz="4" w:space="0" w:color="000000"/>
            </w:tcBorders>
          </w:tcPr>
          <w:p w:rsidR="00704449" w:rsidRDefault="0090383F">
            <w:pPr>
              <w:spacing w:line="276" w:lineRule="auto"/>
              <w:jc w:val="center"/>
              <w:rPr>
                <w:rFonts w:ascii="Arial" w:eastAsia="Arial" w:hAnsi="Arial" w:cs="Arial"/>
                <w:sz w:val="20"/>
                <w:szCs w:val="20"/>
              </w:rPr>
            </w:pPr>
            <w:r>
              <w:rPr>
                <w:rFonts w:ascii="Arial" w:eastAsia="Arial" w:hAnsi="Arial" w:cs="Arial"/>
                <w:sz w:val="20"/>
                <w:szCs w:val="20"/>
              </w:rPr>
              <w:t xml:space="preserve">Asymp. Sig. </w:t>
            </w:r>
          </w:p>
        </w:tc>
      </w:tr>
      <w:tr w:rsidR="00704449">
        <w:tc>
          <w:tcPr>
            <w:tcW w:w="1893" w:type="dxa"/>
            <w:vMerge w:val="restart"/>
            <w:tcBorders>
              <w:top w:val="single" w:sz="4" w:space="0" w:color="000000"/>
              <w:bottom w:val="nil"/>
            </w:tcBorders>
            <w:vAlign w:val="center"/>
          </w:tcPr>
          <w:p w:rsidR="00704449" w:rsidRDefault="0090383F">
            <w:pPr>
              <w:jc w:val="center"/>
              <w:rPr>
                <w:rFonts w:ascii="Arial" w:eastAsia="Arial" w:hAnsi="Arial" w:cs="Arial"/>
                <w:b/>
                <w:sz w:val="20"/>
                <w:szCs w:val="20"/>
              </w:rPr>
            </w:pPr>
            <w:r>
              <w:rPr>
                <w:rFonts w:ascii="Arial" w:eastAsia="Arial" w:hAnsi="Arial" w:cs="Arial"/>
                <w:b/>
                <w:sz w:val="20"/>
                <w:szCs w:val="20"/>
              </w:rPr>
              <w:t>Approval</w:t>
            </w:r>
          </w:p>
        </w:tc>
        <w:tc>
          <w:tcPr>
            <w:tcW w:w="1983" w:type="dxa"/>
            <w:tcBorders>
              <w:top w:val="single" w:sz="4" w:space="0" w:color="000000"/>
              <w:bottom w:val="nil"/>
            </w:tcBorders>
          </w:tcPr>
          <w:p w:rsidR="00704449" w:rsidRDefault="0090383F">
            <w:pPr>
              <w:rPr>
                <w:rFonts w:ascii="Arial" w:eastAsia="Arial" w:hAnsi="Arial" w:cs="Arial"/>
                <w:sz w:val="20"/>
                <w:szCs w:val="20"/>
              </w:rPr>
            </w:pPr>
            <w:r>
              <w:rPr>
                <w:rFonts w:ascii="Arial" w:eastAsia="Arial" w:hAnsi="Arial" w:cs="Arial"/>
                <w:sz w:val="20"/>
                <w:szCs w:val="20"/>
              </w:rPr>
              <w:t>20-30 yrs. Old</w:t>
            </w:r>
          </w:p>
        </w:tc>
        <w:tc>
          <w:tcPr>
            <w:tcW w:w="935" w:type="dxa"/>
            <w:tcBorders>
              <w:top w:val="single" w:sz="4" w:space="0" w:color="000000"/>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14</w:t>
            </w:r>
          </w:p>
        </w:tc>
        <w:tc>
          <w:tcPr>
            <w:tcW w:w="1317" w:type="dxa"/>
            <w:tcBorders>
              <w:top w:val="single" w:sz="4" w:space="0" w:color="000000"/>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70.29</w:t>
            </w:r>
          </w:p>
        </w:tc>
        <w:tc>
          <w:tcPr>
            <w:tcW w:w="1261" w:type="dxa"/>
            <w:tcBorders>
              <w:top w:val="single" w:sz="4" w:space="0" w:color="000000"/>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2.589</w:t>
            </w:r>
          </w:p>
        </w:tc>
        <w:tc>
          <w:tcPr>
            <w:tcW w:w="812" w:type="dxa"/>
            <w:tcBorders>
              <w:top w:val="single" w:sz="4" w:space="0" w:color="000000"/>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4</w:t>
            </w:r>
          </w:p>
        </w:tc>
        <w:tc>
          <w:tcPr>
            <w:tcW w:w="1440" w:type="dxa"/>
            <w:tcBorders>
              <w:top w:val="single" w:sz="4" w:space="0" w:color="000000"/>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0.629</w:t>
            </w:r>
          </w:p>
        </w:tc>
      </w:tr>
      <w:tr w:rsidR="00704449">
        <w:tc>
          <w:tcPr>
            <w:tcW w:w="1893" w:type="dxa"/>
            <w:vMerge/>
            <w:tcBorders>
              <w:top w:val="single" w:sz="4" w:space="0" w:color="000000"/>
              <w:bottom w:val="nil"/>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1983" w:type="dxa"/>
            <w:tcBorders>
              <w:top w:val="nil"/>
              <w:bottom w:val="nil"/>
            </w:tcBorders>
          </w:tcPr>
          <w:p w:rsidR="00704449" w:rsidRDefault="0090383F">
            <w:pPr>
              <w:rPr>
                <w:rFonts w:ascii="Arial" w:eastAsia="Arial" w:hAnsi="Arial" w:cs="Arial"/>
                <w:sz w:val="20"/>
                <w:szCs w:val="20"/>
              </w:rPr>
            </w:pPr>
            <w:r>
              <w:rPr>
                <w:rFonts w:ascii="Arial" w:eastAsia="Arial" w:hAnsi="Arial" w:cs="Arial"/>
                <w:sz w:val="20"/>
                <w:szCs w:val="20"/>
              </w:rPr>
              <w:t xml:space="preserve"> 1-40 yrs. Old</w:t>
            </w:r>
          </w:p>
        </w:tc>
        <w:tc>
          <w:tcPr>
            <w:tcW w:w="935" w:type="dxa"/>
            <w:tcBorders>
              <w:top w:val="nil"/>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31</w:t>
            </w:r>
          </w:p>
        </w:tc>
        <w:tc>
          <w:tcPr>
            <w:tcW w:w="1317" w:type="dxa"/>
            <w:tcBorders>
              <w:top w:val="nil"/>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79.66</w:t>
            </w:r>
          </w:p>
        </w:tc>
        <w:tc>
          <w:tcPr>
            <w:tcW w:w="1261" w:type="dxa"/>
            <w:tcBorders>
              <w:top w:val="nil"/>
              <w:bottom w:val="nil"/>
            </w:tcBorders>
          </w:tcPr>
          <w:p w:rsidR="00704449" w:rsidRDefault="00704449">
            <w:pPr>
              <w:jc w:val="center"/>
              <w:rPr>
                <w:rFonts w:ascii="Arial" w:eastAsia="Arial" w:hAnsi="Arial" w:cs="Arial"/>
                <w:sz w:val="20"/>
                <w:szCs w:val="20"/>
              </w:rPr>
            </w:pPr>
          </w:p>
        </w:tc>
        <w:tc>
          <w:tcPr>
            <w:tcW w:w="812" w:type="dxa"/>
            <w:tcBorders>
              <w:top w:val="nil"/>
              <w:bottom w:val="nil"/>
            </w:tcBorders>
          </w:tcPr>
          <w:p w:rsidR="00704449" w:rsidRDefault="00704449">
            <w:pPr>
              <w:jc w:val="center"/>
              <w:rPr>
                <w:rFonts w:ascii="Arial" w:eastAsia="Arial" w:hAnsi="Arial" w:cs="Arial"/>
                <w:sz w:val="20"/>
                <w:szCs w:val="20"/>
              </w:rPr>
            </w:pPr>
          </w:p>
        </w:tc>
        <w:tc>
          <w:tcPr>
            <w:tcW w:w="1440" w:type="dxa"/>
            <w:tcBorders>
              <w:top w:val="nil"/>
              <w:bottom w:val="nil"/>
            </w:tcBorders>
          </w:tcPr>
          <w:p w:rsidR="00704449" w:rsidRDefault="00704449">
            <w:pPr>
              <w:jc w:val="center"/>
              <w:rPr>
                <w:rFonts w:ascii="Arial" w:eastAsia="Arial" w:hAnsi="Arial" w:cs="Arial"/>
                <w:sz w:val="20"/>
                <w:szCs w:val="20"/>
              </w:rPr>
            </w:pPr>
          </w:p>
        </w:tc>
      </w:tr>
      <w:tr w:rsidR="00704449">
        <w:tc>
          <w:tcPr>
            <w:tcW w:w="1893" w:type="dxa"/>
            <w:vMerge/>
            <w:tcBorders>
              <w:top w:val="single" w:sz="4" w:space="0" w:color="000000"/>
              <w:bottom w:val="nil"/>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1983" w:type="dxa"/>
            <w:tcBorders>
              <w:top w:val="nil"/>
              <w:bottom w:val="nil"/>
            </w:tcBorders>
          </w:tcPr>
          <w:p w:rsidR="00704449" w:rsidRDefault="0090383F">
            <w:pPr>
              <w:rPr>
                <w:rFonts w:ascii="Arial" w:eastAsia="Arial" w:hAnsi="Arial" w:cs="Arial"/>
                <w:sz w:val="20"/>
                <w:szCs w:val="20"/>
              </w:rPr>
            </w:pPr>
            <w:r>
              <w:rPr>
                <w:rFonts w:ascii="Arial" w:eastAsia="Arial" w:hAnsi="Arial" w:cs="Arial"/>
                <w:sz w:val="20"/>
                <w:szCs w:val="20"/>
              </w:rPr>
              <w:t xml:space="preserve">41-50 yrs.  old </w:t>
            </w:r>
          </w:p>
        </w:tc>
        <w:tc>
          <w:tcPr>
            <w:tcW w:w="935" w:type="dxa"/>
            <w:tcBorders>
              <w:top w:val="nil"/>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40</w:t>
            </w:r>
          </w:p>
        </w:tc>
        <w:tc>
          <w:tcPr>
            <w:tcW w:w="1317" w:type="dxa"/>
            <w:tcBorders>
              <w:top w:val="nil"/>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70.43</w:t>
            </w:r>
          </w:p>
        </w:tc>
        <w:tc>
          <w:tcPr>
            <w:tcW w:w="1261" w:type="dxa"/>
            <w:tcBorders>
              <w:top w:val="nil"/>
              <w:bottom w:val="nil"/>
            </w:tcBorders>
          </w:tcPr>
          <w:p w:rsidR="00704449" w:rsidRDefault="00704449">
            <w:pPr>
              <w:jc w:val="center"/>
              <w:rPr>
                <w:rFonts w:ascii="Arial" w:eastAsia="Arial" w:hAnsi="Arial" w:cs="Arial"/>
                <w:sz w:val="20"/>
                <w:szCs w:val="20"/>
              </w:rPr>
            </w:pPr>
          </w:p>
        </w:tc>
        <w:tc>
          <w:tcPr>
            <w:tcW w:w="812" w:type="dxa"/>
            <w:tcBorders>
              <w:top w:val="nil"/>
              <w:bottom w:val="nil"/>
            </w:tcBorders>
          </w:tcPr>
          <w:p w:rsidR="00704449" w:rsidRDefault="00704449">
            <w:pPr>
              <w:jc w:val="center"/>
              <w:rPr>
                <w:rFonts w:ascii="Arial" w:eastAsia="Arial" w:hAnsi="Arial" w:cs="Arial"/>
                <w:sz w:val="20"/>
                <w:szCs w:val="20"/>
              </w:rPr>
            </w:pPr>
          </w:p>
        </w:tc>
        <w:tc>
          <w:tcPr>
            <w:tcW w:w="1440" w:type="dxa"/>
            <w:tcBorders>
              <w:top w:val="nil"/>
              <w:bottom w:val="nil"/>
            </w:tcBorders>
          </w:tcPr>
          <w:p w:rsidR="00704449" w:rsidRDefault="00704449">
            <w:pPr>
              <w:jc w:val="center"/>
              <w:rPr>
                <w:rFonts w:ascii="Arial" w:eastAsia="Arial" w:hAnsi="Arial" w:cs="Arial"/>
                <w:sz w:val="20"/>
                <w:szCs w:val="20"/>
              </w:rPr>
            </w:pPr>
          </w:p>
        </w:tc>
      </w:tr>
      <w:tr w:rsidR="00704449">
        <w:tc>
          <w:tcPr>
            <w:tcW w:w="1893" w:type="dxa"/>
            <w:vMerge/>
            <w:tcBorders>
              <w:top w:val="single" w:sz="4" w:space="0" w:color="000000"/>
              <w:bottom w:val="nil"/>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1983" w:type="dxa"/>
            <w:tcBorders>
              <w:top w:val="nil"/>
              <w:bottom w:val="nil"/>
            </w:tcBorders>
          </w:tcPr>
          <w:p w:rsidR="00704449" w:rsidRDefault="0090383F">
            <w:pPr>
              <w:rPr>
                <w:rFonts w:ascii="Arial" w:eastAsia="Arial" w:hAnsi="Arial" w:cs="Arial"/>
                <w:sz w:val="20"/>
                <w:szCs w:val="20"/>
              </w:rPr>
            </w:pPr>
            <w:r>
              <w:rPr>
                <w:rFonts w:ascii="Arial" w:eastAsia="Arial" w:hAnsi="Arial" w:cs="Arial"/>
                <w:sz w:val="20"/>
                <w:szCs w:val="20"/>
              </w:rPr>
              <w:t>51-60 yrs. Old</w:t>
            </w:r>
          </w:p>
        </w:tc>
        <w:tc>
          <w:tcPr>
            <w:tcW w:w="935" w:type="dxa"/>
            <w:tcBorders>
              <w:top w:val="nil"/>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64</w:t>
            </w:r>
          </w:p>
        </w:tc>
        <w:tc>
          <w:tcPr>
            <w:tcW w:w="1317" w:type="dxa"/>
            <w:tcBorders>
              <w:top w:val="nil"/>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77.02</w:t>
            </w:r>
          </w:p>
        </w:tc>
        <w:tc>
          <w:tcPr>
            <w:tcW w:w="1261" w:type="dxa"/>
            <w:tcBorders>
              <w:top w:val="nil"/>
              <w:bottom w:val="nil"/>
            </w:tcBorders>
          </w:tcPr>
          <w:p w:rsidR="00704449" w:rsidRDefault="00704449">
            <w:pPr>
              <w:jc w:val="center"/>
              <w:rPr>
                <w:rFonts w:ascii="Arial" w:eastAsia="Arial" w:hAnsi="Arial" w:cs="Arial"/>
                <w:sz w:val="20"/>
                <w:szCs w:val="20"/>
              </w:rPr>
            </w:pPr>
          </w:p>
        </w:tc>
        <w:tc>
          <w:tcPr>
            <w:tcW w:w="812" w:type="dxa"/>
            <w:tcBorders>
              <w:top w:val="nil"/>
              <w:bottom w:val="nil"/>
            </w:tcBorders>
          </w:tcPr>
          <w:p w:rsidR="00704449" w:rsidRDefault="00704449">
            <w:pPr>
              <w:jc w:val="center"/>
              <w:rPr>
                <w:rFonts w:ascii="Arial" w:eastAsia="Arial" w:hAnsi="Arial" w:cs="Arial"/>
                <w:sz w:val="20"/>
                <w:szCs w:val="20"/>
              </w:rPr>
            </w:pPr>
          </w:p>
        </w:tc>
        <w:tc>
          <w:tcPr>
            <w:tcW w:w="1440" w:type="dxa"/>
            <w:tcBorders>
              <w:top w:val="nil"/>
              <w:bottom w:val="nil"/>
            </w:tcBorders>
          </w:tcPr>
          <w:p w:rsidR="00704449" w:rsidRDefault="00704449">
            <w:pPr>
              <w:jc w:val="center"/>
              <w:rPr>
                <w:rFonts w:ascii="Arial" w:eastAsia="Arial" w:hAnsi="Arial" w:cs="Arial"/>
                <w:sz w:val="20"/>
                <w:szCs w:val="20"/>
              </w:rPr>
            </w:pPr>
          </w:p>
        </w:tc>
      </w:tr>
      <w:tr w:rsidR="00704449">
        <w:tc>
          <w:tcPr>
            <w:tcW w:w="1893" w:type="dxa"/>
            <w:vMerge/>
            <w:tcBorders>
              <w:top w:val="single" w:sz="4" w:space="0" w:color="000000"/>
              <w:bottom w:val="nil"/>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1983" w:type="dxa"/>
            <w:tcBorders>
              <w:top w:val="nil"/>
              <w:bottom w:val="nil"/>
            </w:tcBorders>
          </w:tcPr>
          <w:p w:rsidR="00704449" w:rsidRDefault="0090383F">
            <w:pPr>
              <w:rPr>
                <w:rFonts w:ascii="Arial" w:eastAsia="Arial" w:hAnsi="Arial" w:cs="Arial"/>
                <w:sz w:val="20"/>
                <w:szCs w:val="20"/>
              </w:rPr>
            </w:pPr>
            <w:r>
              <w:rPr>
                <w:rFonts w:ascii="Arial" w:eastAsia="Arial" w:hAnsi="Arial" w:cs="Arial"/>
                <w:sz w:val="20"/>
                <w:szCs w:val="20"/>
              </w:rPr>
              <w:t>Above 60 yr. old</w:t>
            </w:r>
          </w:p>
        </w:tc>
        <w:tc>
          <w:tcPr>
            <w:tcW w:w="935" w:type="dxa"/>
            <w:tcBorders>
              <w:top w:val="nil"/>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1</w:t>
            </w:r>
          </w:p>
        </w:tc>
        <w:tc>
          <w:tcPr>
            <w:tcW w:w="1317" w:type="dxa"/>
            <w:tcBorders>
              <w:top w:val="nil"/>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125</w:t>
            </w:r>
          </w:p>
        </w:tc>
        <w:tc>
          <w:tcPr>
            <w:tcW w:w="1261" w:type="dxa"/>
            <w:tcBorders>
              <w:top w:val="nil"/>
              <w:bottom w:val="nil"/>
            </w:tcBorders>
          </w:tcPr>
          <w:p w:rsidR="00704449" w:rsidRDefault="00704449">
            <w:pPr>
              <w:jc w:val="center"/>
              <w:rPr>
                <w:rFonts w:ascii="Arial" w:eastAsia="Arial" w:hAnsi="Arial" w:cs="Arial"/>
                <w:sz w:val="20"/>
                <w:szCs w:val="20"/>
              </w:rPr>
            </w:pPr>
          </w:p>
        </w:tc>
        <w:tc>
          <w:tcPr>
            <w:tcW w:w="812" w:type="dxa"/>
            <w:tcBorders>
              <w:top w:val="nil"/>
              <w:bottom w:val="nil"/>
            </w:tcBorders>
          </w:tcPr>
          <w:p w:rsidR="00704449" w:rsidRDefault="00704449">
            <w:pPr>
              <w:jc w:val="center"/>
              <w:rPr>
                <w:rFonts w:ascii="Arial" w:eastAsia="Arial" w:hAnsi="Arial" w:cs="Arial"/>
                <w:sz w:val="20"/>
                <w:szCs w:val="20"/>
              </w:rPr>
            </w:pPr>
          </w:p>
        </w:tc>
        <w:tc>
          <w:tcPr>
            <w:tcW w:w="1440" w:type="dxa"/>
            <w:tcBorders>
              <w:top w:val="nil"/>
              <w:bottom w:val="nil"/>
            </w:tcBorders>
          </w:tcPr>
          <w:p w:rsidR="00704449" w:rsidRDefault="00704449">
            <w:pPr>
              <w:jc w:val="center"/>
              <w:rPr>
                <w:rFonts w:ascii="Arial" w:eastAsia="Arial" w:hAnsi="Arial" w:cs="Arial"/>
                <w:sz w:val="20"/>
                <w:szCs w:val="20"/>
              </w:rPr>
            </w:pPr>
          </w:p>
        </w:tc>
      </w:tr>
      <w:tr w:rsidR="00704449">
        <w:tc>
          <w:tcPr>
            <w:tcW w:w="1893" w:type="dxa"/>
            <w:vMerge/>
            <w:tcBorders>
              <w:top w:val="single" w:sz="4" w:space="0" w:color="000000"/>
              <w:bottom w:val="nil"/>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1983" w:type="dxa"/>
            <w:tcBorders>
              <w:top w:val="nil"/>
              <w:bottom w:val="single" w:sz="4" w:space="0" w:color="000000"/>
            </w:tcBorders>
          </w:tcPr>
          <w:p w:rsidR="00704449" w:rsidRDefault="0090383F">
            <w:pPr>
              <w:rPr>
                <w:rFonts w:ascii="Arial" w:eastAsia="Arial" w:hAnsi="Arial" w:cs="Arial"/>
                <w:sz w:val="20"/>
                <w:szCs w:val="20"/>
              </w:rPr>
            </w:pPr>
            <w:r>
              <w:rPr>
                <w:rFonts w:ascii="Arial" w:eastAsia="Arial" w:hAnsi="Arial" w:cs="Arial"/>
                <w:sz w:val="20"/>
                <w:szCs w:val="20"/>
              </w:rPr>
              <w:t>Total</w:t>
            </w:r>
          </w:p>
        </w:tc>
        <w:tc>
          <w:tcPr>
            <w:tcW w:w="935" w:type="dxa"/>
            <w:tcBorders>
              <w:top w:val="nil"/>
              <w:bottom w:val="single" w:sz="4" w:space="0" w:color="000000"/>
            </w:tcBorders>
          </w:tcPr>
          <w:p w:rsidR="00704449" w:rsidRDefault="0090383F">
            <w:pPr>
              <w:jc w:val="center"/>
              <w:rPr>
                <w:rFonts w:ascii="Arial" w:eastAsia="Arial" w:hAnsi="Arial" w:cs="Arial"/>
                <w:sz w:val="20"/>
                <w:szCs w:val="20"/>
              </w:rPr>
            </w:pPr>
            <w:r>
              <w:rPr>
                <w:rFonts w:ascii="Arial" w:eastAsia="Arial" w:hAnsi="Arial" w:cs="Arial"/>
                <w:sz w:val="20"/>
                <w:szCs w:val="20"/>
              </w:rPr>
              <w:t>150</w:t>
            </w:r>
          </w:p>
        </w:tc>
        <w:tc>
          <w:tcPr>
            <w:tcW w:w="1317" w:type="dxa"/>
            <w:tcBorders>
              <w:top w:val="nil"/>
              <w:bottom w:val="single" w:sz="4" w:space="0" w:color="000000"/>
            </w:tcBorders>
          </w:tcPr>
          <w:p w:rsidR="00704449" w:rsidRDefault="00704449">
            <w:pPr>
              <w:jc w:val="center"/>
              <w:rPr>
                <w:rFonts w:ascii="Arial" w:eastAsia="Arial" w:hAnsi="Arial" w:cs="Arial"/>
                <w:sz w:val="20"/>
                <w:szCs w:val="20"/>
              </w:rPr>
            </w:pPr>
          </w:p>
        </w:tc>
        <w:tc>
          <w:tcPr>
            <w:tcW w:w="1261" w:type="dxa"/>
            <w:tcBorders>
              <w:top w:val="nil"/>
              <w:bottom w:val="single" w:sz="4" w:space="0" w:color="000000"/>
            </w:tcBorders>
          </w:tcPr>
          <w:p w:rsidR="00704449" w:rsidRDefault="00704449">
            <w:pPr>
              <w:jc w:val="center"/>
              <w:rPr>
                <w:rFonts w:ascii="Arial" w:eastAsia="Arial" w:hAnsi="Arial" w:cs="Arial"/>
                <w:sz w:val="20"/>
                <w:szCs w:val="20"/>
              </w:rPr>
            </w:pPr>
          </w:p>
        </w:tc>
        <w:tc>
          <w:tcPr>
            <w:tcW w:w="812" w:type="dxa"/>
            <w:tcBorders>
              <w:top w:val="nil"/>
              <w:bottom w:val="single" w:sz="4" w:space="0" w:color="000000"/>
            </w:tcBorders>
          </w:tcPr>
          <w:p w:rsidR="00704449" w:rsidRDefault="00704449">
            <w:pPr>
              <w:jc w:val="center"/>
              <w:rPr>
                <w:rFonts w:ascii="Arial" w:eastAsia="Arial" w:hAnsi="Arial" w:cs="Arial"/>
                <w:sz w:val="20"/>
                <w:szCs w:val="20"/>
              </w:rPr>
            </w:pPr>
          </w:p>
        </w:tc>
        <w:tc>
          <w:tcPr>
            <w:tcW w:w="1440" w:type="dxa"/>
            <w:tcBorders>
              <w:top w:val="nil"/>
              <w:bottom w:val="single" w:sz="4" w:space="0" w:color="000000"/>
            </w:tcBorders>
          </w:tcPr>
          <w:p w:rsidR="00704449" w:rsidRDefault="00704449">
            <w:pPr>
              <w:rPr>
                <w:rFonts w:ascii="Arial" w:eastAsia="Arial" w:hAnsi="Arial" w:cs="Arial"/>
                <w:sz w:val="20"/>
                <w:szCs w:val="20"/>
              </w:rPr>
            </w:pPr>
          </w:p>
        </w:tc>
      </w:tr>
      <w:tr w:rsidR="00704449">
        <w:tc>
          <w:tcPr>
            <w:tcW w:w="1893" w:type="dxa"/>
            <w:vMerge w:val="restart"/>
            <w:tcBorders>
              <w:top w:val="single" w:sz="4" w:space="0" w:color="000000"/>
              <w:bottom w:val="nil"/>
            </w:tcBorders>
            <w:vAlign w:val="center"/>
          </w:tcPr>
          <w:p w:rsidR="00704449" w:rsidRDefault="0090383F">
            <w:pPr>
              <w:jc w:val="center"/>
              <w:rPr>
                <w:rFonts w:ascii="Arial" w:eastAsia="Arial" w:hAnsi="Arial" w:cs="Arial"/>
                <w:b/>
                <w:sz w:val="20"/>
                <w:szCs w:val="20"/>
              </w:rPr>
            </w:pPr>
            <w:r>
              <w:rPr>
                <w:rFonts w:ascii="Arial" w:eastAsia="Arial" w:hAnsi="Arial" w:cs="Arial"/>
                <w:b/>
                <w:sz w:val="20"/>
                <w:szCs w:val="20"/>
              </w:rPr>
              <w:t>Job Effectiveness</w:t>
            </w:r>
          </w:p>
        </w:tc>
        <w:tc>
          <w:tcPr>
            <w:tcW w:w="1983" w:type="dxa"/>
            <w:tcBorders>
              <w:top w:val="single" w:sz="4" w:space="0" w:color="000000"/>
              <w:bottom w:val="nil"/>
            </w:tcBorders>
          </w:tcPr>
          <w:p w:rsidR="00704449" w:rsidRDefault="0090383F">
            <w:pPr>
              <w:rPr>
                <w:rFonts w:ascii="Arial" w:eastAsia="Arial" w:hAnsi="Arial" w:cs="Arial"/>
                <w:sz w:val="20"/>
                <w:szCs w:val="20"/>
              </w:rPr>
            </w:pPr>
            <w:r>
              <w:rPr>
                <w:rFonts w:ascii="Arial" w:eastAsia="Arial" w:hAnsi="Arial" w:cs="Arial"/>
                <w:sz w:val="20"/>
                <w:szCs w:val="20"/>
              </w:rPr>
              <w:t>20-30 yrs. Old</w:t>
            </w:r>
          </w:p>
        </w:tc>
        <w:tc>
          <w:tcPr>
            <w:tcW w:w="935" w:type="dxa"/>
            <w:tcBorders>
              <w:top w:val="single" w:sz="4" w:space="0" w:color="000000"/>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14</w:t>
            </w:r>
          </w:p>
        </w:tc>
        <w:tc>
          <w:tcPr>
            <w:tcW w:w="1317" w:type="dxa"/>
            <w:tcBorders>
              <w:top w:val="single" w:sz="4" w:space="0" w:color="000000"/>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101.5</w:t>
            </w:r>
          </w:p>
        </w:tc>
        <w:tc>
          <w:tcPr>
            <w:tcW w:w="1261" w:type="dxa"/>
            <w:tcBorders>
              <w:top w:val="single" w:sz="4" w:space="0" w:color="000000"/>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5.799</w:t>
            </w:r>
          </w:p>
        </w:tc>
        <w:tc>
          <w:tcPr>
            <w:tcW w:w="812" w:type="dxa"/>
            <w:tcBorders>
              <w:top w:val="single" w:sz="4" w:space="0" w:color="000000"/>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4</w:t>
            </w:r>
          </w:p>
        </w:tc>
        <w:tc>
          <w:tcPr>
            <w:tcW w:w="1440" w:type="dxa"/>
            <w:tcBorders>
              <w:top w:val="single" w:sz="4" w:space="0" w:color="000000"/>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0.215</w:t>
            </w:r>
          </w:p>
        </w:tc>
      </w:tr>
      <w:tr w:rsidR="00704449">
        <w:tc>
          <w:tcPr>
            <w:tcW w:w="1893" w:type="dxa"/>
            <w:vMerge/>
            <w:tcBorders>
              <w:top w:val="single" w:sz="4" w:space="0" w:color="000000"/>
              <w:bottom w:val="nil"/>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1983" w:type="dxa"/>
            <w:tcBorders>
              <w:top w:val="nil"/>
              <w:bottom w:val="nil"/>
            </w:tcBorders>
          </w:tcPr>
          <w:p w:rsidR="00704449" w:rsidRDefault="0090383F">
            <w:pPr>
              <w:rPr>
                <w:rFonts w:ascii="Arial" w:eastAsia="Arial" w:hAnsi="Arial" w:cs="Arial"/>
                <w:sz w:val="20"/>
                <w:szCs w:val="20"/>
              </w:rPr>
            </w:pPr>
            <w:r>
              <w:rPr>
                <w:rFonts w:ascii="Arial" w:eastAsia="Arial" w:hAnsi="Arial" w:cs="Arial"/>
                <w:sz w:val="20"/>
                <w:szCs w:val="20"/>
              </w:rPr>
              <w:t xml:space="preserve"> 1-40 yrs. old</w:t>
            </w:r>
          </w:p>
        </w:tc>
        <w:tc>
          <w:tcPr>
            <w:tcW w:w="935" w:type="dxa"/>
            <w:tcBorders>
              <w:top w:val="nil"/>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31</w:t>
            </w:r>
          </w:p>
        </w:tc>
        <w:tc>
          <w:tcPr>
            <w:tcW w:w="1317" w:type="dxa"/>
            <w:tcBorders>
              <w:top w:val="nil"/>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73.05</w:t>
            </w:r>
          </w:p>
        </w:tc>
        <w:tc>
          <w:tcPr>
            <w:tcW w:w="1261" w:type="dxa"/>
            <w:tcBorders>
              <w:top w:val="nil"/>
              <w:bottom w:val="nil"/>
            </w:tcBorders>
          </w:tcPr>
          <w:p w:rsidR="00704449" w:rsidRDefault="00704449">
            <w:pPr>
              <w:jc w:val="center"/>
              <w:rPr>
                <w:rFonts w:ascii="Arial" w:eastAsia="Arial" w:hAnsi="Arial" w:cs="Arial"/>
                <w:sz w:val="20"/>
                <w:szCs w:val="20"/>
              </w:rPr>
            </w:pPr>
          </w:p>
        </w:tc>
        <w:tc>
          <w:tcPr>
            <w:tcW w:w="812" w:type="dxa"/>
            <w:tcBorders>
              <w:top w:val="nil"/>
              <w:bottom w:val="nil"/>
            </w:tcBorders>
          </w:tcPr>
          <w:p w:rsidR="00704449" w:rsidRDefault="00704449">
            <w:pPr>
              <w:jc w:val="center"/>
              <w:rPr>
                <w:rFonts w:ascii="Arial" w:eastAsia="Arial" w:hAnsi="Arial" w:cs="Arial"/>
                <w:sz w:val="20"/>
                <w:szCs w:val="20"/>
              </w:rPr>
            </w:pPr>
          </w:p>
        </w:tc>
        <w:tc>
          <w:tcPr>
            <w:tcW w:w="1440" w:type="dxa"/>
            <w:tcBorders>
              <w:top w:val="nil"/>
              <w:bottom w:val="nil"/>
            </w:tcBorders>
          </w:tcPr>
          <w:p w:rsidR="00704449" w:rsidRDefault="00704449">
            <w:pPr>
              <w:jc w:val="center"/>
              <w:rPr>
                <w:rFonts w:ascii="Arial" w:eastAsia="Arial" w:hAnsi="Arial" w:cs="Arial"/>
                <w:sz w:val="20"/>
                <w:szCs w:val="20"/>
              </w:rPr>
            </w:pPr>
          </w:p>
        </w:tc>
      </w:tr>
      <w:tr w:rsidR="00704449">
        <w:tc>
          <w:tcPr>
            <w:tcW w:w="1893" w:type="dxa"/>
            <w:vMerge/>
            <w:tcBorders>
              <w:top w:val="single" w:sz="4" w:space="0" w:color="000000"/>
              <w:bottom w:val="nil"/>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1983" w:type="dxa"/>
            <w:tcBorders>
              <w:top w:val="nil"/>
              <w:bottom w:val="nil"/>
            </w:tcBorders>
          </w:tcPr>
          <w:p w:rsidR="00704449" w:rsidRDefault="0090383F">
            <w:pPr>
              <w:rPr>
                <w:rFonts w:ascii="Arial" w:eastAsia="Arial" w:hAnsi="Arial" w:cs="Arial"/>
                <w:sz w:val="20"/>
                <w:szCs w:val="20"/>
              </w:rPr>
            </w:pPr>
            <w:r>
              <w:rPr>
                <w:rFonts w:ascii="Arial" w:eastAsia="Arial" w:hAnsi="Arial" w:cs="Arial"/>
                <w:sz w:val="20"/>
                <w:szCs w:val="20"/>
              </w:rPr>
              <w:t>41-50 yrs. old</w:t>
            </w:r>
          </w:p>
        </w:tc>
        <w:tc>
          <w:tcPr>
            <w:tcW w:w="935" w:type="dxa"/>
            <w:tcBorders>
              <w:top w:val="nil"/>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40</w:t>
            </w:r>
          </w:p>
        </w:tc>
        <w:tc>
          <w:tcPr>
            <w:tcW w:w="1317" w:type="dxa"/>
            <w:tcBorders>
              <w:top w:val="nil"/>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74.64</w:t>
            </w:r>
          </w:p>
        </w:tc>
        <w:tc>
          <w:tcPr>
            <w:tcW w:w="1261" w:type="dxa"/>
            <w:tcBorders>
              <w:top w:val="nil"/>
              <w:bottom w:val="nil"/>
            </w:tcBorders>
          </w:tcPr>
          <w:p w:rsidR="00704449" w:rsidRDefault="00704449">
            <w:pPr>
              <w:jc w:val="center"/>
              <w:rPr>
                <w:rFonts w:ascii="Arial" w:eastAsia="Arial" w:hAnsi="Arial" w:cs="Arial"/>
                <w:sz w:val="20"/>
                <w:szCs w:val="20"/>
              </w:rPr>
            </w:pPr>
          </w:p>
        </w:tc>
        <w:tc>
          <w:tcPr>
            <w:tcW w:w="812" w:type="dxa"/>
            <w:tcBorders>
              <w:top w:val="nil"/>
              <w:bottom w:val="nil"/>
            </w:tcBorders>
          </w:tcPr>
          <w:p w:rsidR="00704449" w:rsidRDefault="00704449">
            <w:pPr>
              <w:jc w:val="center"/>
              <w:rPr>
                <w:rFonts w:ascii="Arial" w:eastAsia="Arial" w:hAnsi="Arial" w:cs="Arial"/>
                <w:sz w:val="20"/>
                <w:szCs w:val="20"/>
              </w:rPr>
            </w:pPr>
          </w:p>
        </w:tc>
        <w:tc>
          <w:tcPr>
            <w:tcW w:w="1440" w:type="dxa"/>
            <w:tcBorders>
              <w:top w:val="nil"/>
              <w:bottom w:val="nil"/>
            </w:tcBorders>
          </w:tcPr>
          <w:p w:rsidR="00704449" w:rsidRDefault="00704449">
            <w:pPr>
              <w:jc w:val="center"/>
              <w:rPr>
                <w:rFonts w:ascii="Arial" w:eastAsia="Arial" w:hAnsi="Arial" w:cs="Arial"/>
                <w:sz w:val="20"/>
                <w:szCs w:val="20"/>
              </w:rPr>
            </w:pPr>
          </w:p>
        </w:tc>
      </w:tr>
      <w:tr w:rsidR="00704449">
        <w:tc>
          <w:tcPr>
            <w:tcW w:w="1893" w:type="dxa"/>
            <w:vMerge/>
            <w:tcBorders>
              <w:top w:val="single" w:sz="4" w:space="0" w:color="000000"/>
              <w:bottom w:val="nil"/>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1983" w:type="dxa"/>
            <w:tcBorders>
              <w:top w:val="nil"/>
              <w:bottom w:val="nil"/>
            </w:tcBorders>
          </w:tcPr>
          <w:p w:rsidR="00704449" w:rsidRDefault="0090383F">
            <w:pPr>
              <w:rPr>
                <w:rFonts w:ascii="Arial" w:eastAsia="Arial" w:hAnsi="Arial" w:cs="Arial"/>
                <w:sz w:val="20"/>
                <w:szCs w:val="20"/>
              </w:rPr>
            </w:pPr>
            <w:r>
              <w:rPr>
                <w:rFonts w:ascii="Arial" w:eastAsia="Arial" w:hAnsi="Arial" w:cs="Arial"/>
                <w:sz w:val="20"/>
                <w:szCs w:val="20"/>
              </w:rPr>
              <w:t>51-60 yrs. old</w:t>
            </w:r>
          </w:p>
        </w:tc>
        <w:tc>
          <w:tcPr>
            <w:tcW w:w="935" w:type="dxa"/>
            <w:tcBorders>
              <w:top w:val="nil"/>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64</w:t>
            </w:r>
          </w:p>
        </w:tc>
        <w:tc>
          <w:tcPr>
            <w:tcW w:w="1317" w:type="dxa"/>
            <w:tcBorders>
              <w:top w:val="nil"/>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71.55</w:t>
            </w:r>
          </w:p>
        </w:tc>
        <w:tc>
          <w:tcPr>
            <w:tcW w:w="1261" w:type="dxa"/>
            <w:tcBorders>
              <w:top w:val="nil"/>
              <w:bottom w:val="nil"/>
            </w:tcBorders>
          </w:tcPr>
          <w:p w:rsidR="00704449" w:rsidRDefault="00704449">
            <w:pPr>
              <w:jc w:val="center"/>
              <w:rPr>
                <w:rFonts w:ascii="Arial" w:eastAsia="Arial" w:hAnsi="Arial" w:cs="Arial"/>
                <w:sz w:val="20"/>
                <w:szCs w:val="20"/>
              </w:rPr>
            </w:pPr>
          </w:p>
        </w:tc>
        <w:tc>
          <w:tcPr>
            <w:tcW w:w="812" w:type="dxa"/>
            <w:tcBorders>
              <w:top w:val="nil"/>
              <w:bottom w:val="nil"/>
            </w:tcBorders>
          </w:tcPr>
          <w:p w:rsidR="00704449" w:rsidRDefault="00704449">
            <w:pPr>
              <w:jc w:val="center"/>
              <w:rPr>
                <w:rFonts w:ascii="Arial" w:eastAsia="Arial" w:hAnsi="Arial" w:cs="Arial"/>
                <w:sz w:val="20"/>
                <w:szCs w:val="20"/>
              </w:rPr>
            </w:pPr>
          </w:p>
        </w:tc>
        <w:tc>
          <w:tcPr>
            <w:tcW w:w="1440" w:type="dxa"/>
            <w:tcBorders>
              <w:top w:val="nil"/>
              <w:bottom w:val="nil"/>
            </w:tcBorders>
          </w:tcPr>
          <w:p w:rsidR="00704449" w:rsidRDefault="00704449">
            <w:pPr>
              <w:jc w:val="center"/>
              <w:rPr>
                <w:rFonts w:ascii="Arial" w:eastAsia="Arial" w:hAnsi="Arial" w:cs="Arial"/>
                <w:sz w:val="20"/>
                <w:szCs w:val="20"/>
              </w:rPr>
            </w:pPr>
          </w:p>
        </w:tc>
      </w:tr>
      <w:tr w:rsidR="00704449">
        <w:tc>
          <w:tcPr>
            <w:tcW w:w="1893" w:type="dxa"/>
            <w:vMerge/>
            <w:tcBorders>
              <w:top w:val="single" w:sz="4" w:space="0" w:color="000000"/>
              <w:bottom w:val="nil"/>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1983" w:type="dxa"/>
            <w:tcBorders>
              <w:top w:val="nil"/>
              <w:bottom w:val="nil"/>
            </w:tcBorders>
          </w:tcPr>
          <w:p w:rsidR="00704449" w:rsidRDefault="0090383F">
            <w:pPr>
              <w:rPr>
                <w:rFonts w:ascii="Arial" w:eastAsia="Arial" w:hAnsi="Arial" w:cs="Arial"/>
                <w:sz w:val="20"/>
                <w:szCs w:val="20"/>
              </w:rPr>
            </w:pPr>
            <w:r>
              <w:rPr>
                <w:rFonts w:ascii="Arial" w:eastAsia="Arial" w:hAnsi="Arial" w:cs="Arial"/>
                <w:sz w:val="20"/>
                <w:szCs w:val="20"/>
              </w:rPr>
              <w:t>Above 60 yrs. old</w:t>
            </w:r>
          </w:p>
        </w:tc>
        <w:tc>
          <w:tcPr>
            <w:tcW w:w="935" w:type="dxa"/>
            <w:tcBorders>
              <w:top w:val="nil"/>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1</w:t>
            </w:r>
          </w:p>
        </w:tc>
        <w:tc>
          <w:tcPr>
            <w:tcW w:w="1317" w:type="dxa"/>
            <w:tcBorders>
              <w:top w:val="nil"/>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75</w:t>
            </w:r>
          </w:p>
        </w:tc>
        <w:tc>
          <w:tcPr>
            <w:tcW w:w="1261" w:type="dxa"/>
            <w:tcBorders>
              <w:top w:val="nil"/>
              <w:bottom w:val="nil"/>
            </w:tcBorders>
          </w:tcPr>
          <w:p w:rsidR="00704449" w:rsidRDefault="00704449">
            <w:pPr>
              <w:jc w:val="center"/>
              <w:rPr>
                <w:rFonts w:ascii="Arial" w:eastAsia="Arial" w:hAnsi="Arial" w:cs="Arial"/>
                <w:sz w:val="20"/>
                <w:szCs w:val="20"/>
              </w:rPr>
            </w:pPr>
          </w:p>
        </w:tc>
        <w:tc>
          <w:tcPr>
            <w:tcW w:w="812" w:type="dxa"/>
            <w:tcBorders>
              <w:top w:val="nil"/>
              <w:bottom w:val="nil"/>
            </w:tcBorders>
          </w:tcPr>
          <w:p w:rsidR="00704449" w:rsidRDefault="00704449">
            <w:pPr>
              <w:jc w:val="center"/>
              <w:rPr>
                <w:rFonts w:ascii="Arial" w:eastAsia="Arial" w:hAnsi="Arial" w:cs="Arial"/>
                <w:sz w:val="20"/>
                <w:szCs w:val="20"/>
              </w:rPr>
            </w:pPr>
          </w:p>
        </w:tc>
        <w:tc>
          <w:tcPr>
            <w:tcW w:w="1440" w:type="dxa"/>
            <w:tcBorders>
              <w:top w:val="nil"/>
              <w:bottom w:val="nil"/>
            </w:tcBorders>
          </w:tcPr>
          <w:p w:rsidR="00704449" w:rsidRDefault="00704449">
            <w:pPr>
              <w:jc w:val="center"/>
              <w:rPr>
                <w:rFonts w:ascii="Arial" w:eastAsia="Arial" w:hAnsi="Arial" w:cs="Arial"/>
                <w:sz w:val="20"/>
                <w:szCs w:val="20"/>
              </w:rPr>
            </w:pPr>
          </w:p>
        </w:tc>
      </w:tr>
      <w:tr w:rsidR="00704449">
        <w:tc>
          <w:tcPr>
            <w:tcW w:w="1893" w:type="dxa"/>
            <w:vMerge/>
            <w:tcBorders>
              <w:top w:val="single" w:sz="4" w:space="0" w:color="000000"/>
              <w:bottom w:val="nil"/>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1983" w:type="dxa"/>
            <w:tcBorders>
              <w:top w:val="nil"/>
              <w:bottom w:val="single" w:sz="4" w:space="0" w:color="000000"/>
            </w:tcBorders>
          </w:tcPr>
          <w:p w:rsidR="00704449" w:rsidRDefault="0090383F">
            <w:pPr>
              <w:rPr>
                <w:rFonts w:ascii="Arial" w:eastAsia="Arial" w:hAnsi="Arial" w:cs="Arial"/>
                <w:sz w:val="20"/>
                <w:szCs w:val="20"/>
              </w:rPr>
            </w:pPr>
            <w:r>
              <w:rPr>
                <w:rFonts w:ascii="Arial" w:eastAsia="Arial" w:hAnsi="Arial" w:cs="Arial"/>
                <w:sz w:val="20"/>
                <w:szCs w:val="20"/>
              </w:rPr>
              <w:t>Total</w:t>
            </w:r>
          </w:p>
        </w:tc>
        <w:tc>
          <w:tcPr>
            <w:tcW w:w="935" w:type="dxa"/>
            <w:tcBorders>
              <w:top w:val="nil"/>
              <w:bottom w:val="single" w:sz="4" w:space="0" w:color="000000"/>
            </w:tcBorders>
          </w:tcPr>
          <w:p w:rsidR="00704449" w:rsidRDefault="0090383F">
            <w:pPr>
              <w:jc w:val="center"/>
              <w:rPr>
                <w:rFonts w:ascii="Arial" w:eastAsia="Arial" w:hAnsi="Arial" w:cs="Arial"/>
                <w:sz w:val="20"/>
                <w:szCs w:val="20"/>
              </w:rPr>
            </w:pPr>
            <w:r>
              <w:rPr>
                <w:rFonts w:ascii="Arial" w:eastAsia="Arial" w:hAnsi="Arial" w:cs="Arial"/>
                <w:sz w:val="20"/>
                <w:szCs w:val="20"/>
              </w:rPr>
              <w:t>150</w:t>
            </w:r>
          </w:p>
        </w:tc>
        <w:tc>
          <w:tcPr>
            <w:tcW w:w="1317" w:type="dxa"/>
            <w:tcBorders>
              <w:top w:val="nil"/>
              <w:bottom w:val="single" w:sz="4" w:space="0" w:color="000000"/>
            </w:tcBorders>
          </w:tcPr>
          <w:p w:rsidR="00704449" w:rsidRDefault="00704449">
            <w:pPr>
              <w:jc w:val="center"/>
              <w:rPr>
                <w:rFonts w:ascii="Arial" w:eastAsia="Arial" w:hAnsi="Arial" w:cs="Arial"/>
                <w:sz w:val="20"/>
                <w:szCs w:val="20"/>
              </w:rPr>
            </w:pPr>
          </w:p>
        </w:tc>
        <w:tc>
          <w:tcPr>
            <w:tcW w:w="1261" w:type="dxa"/>
            <w:tcBorders>
              <w:top w:val="nil"/>
              <w:bottom w:val="single" w:sz="4" w:space="0" w:color="000000"/>
            </w:tcBorders>
          </w:tcPr>
          <w:p w:rsidR="00704449" w:rsidRDefault="00704449">
            <w:pPr>
              <w:jc w:val="center"/>
              <w:rPr>
                <w:rFonts w:ascii="Arial" w:eastAsia="Arial" w:hAnsi="Arial" w:cs="Arial"/>
                <w:sz w:val="20"/>
                <w:szCs w:val="20"/>
              </w:rPr>
            </w:pPr>
          </w:p>
        </w:tc>
        <w:tc>
          <w:tcPr>
            <w:tcW w:w="812" w:type="dxa"/>
            <w:tcBorders>
              <w:top w:val="nil"/>
              <w:bottom w:val="single" w:sz="4" w:space="0" w:color="000000"/>
            </w:tcBorders>
          </w:tcPr>
          <w:p w:rsidR="00704449" w:rsidRDefault="00704449">
            <w:pPr>
              <w:jc w:val="center"/>
              <w:rPr>
                <w:rFonts w:ascii="Arial" w:eastAsia="Arial" w:hAnsi="Arial" w:cs="Arial"/>
                <w:sz w:val="20"/>
                <w:szCs w:val="20"/>
              </w:rPr>
            </w:pPr>
          </w:p>
        </w:tc>
        <w:tc>
          <w:tcPr>
            <w:tcW w:w="1440" w:type="dxa"/>
            <w:tcBorders>
              <w:top w:val="nil"/>
              <w:bottom w:val="single" w:sz="4" w:space="0" w:color="000000"/>
            </w:tcBorders>
          </w:tcPr>
          <w:p w:rsidR="00704449" w:rsidRDefault="00704449">
            <w:pPr>
              <w:jc w:val="center"/>
              <w:rPr>
                <w:rFonts w:ascii="Arial" w:eastAsia="Arial" w:hAnsi="Arial" w:cs="Arial"/>
                <w:sz w:val="20"/>
                <w:szCs w:val="20"/>
              </w:rPr>
            </w:pPr>
          </w:p>
        </w:tc>
      </w:tr>
      <w:tr w:rsidR="00704449">
        <w:tc>
          <w:tcPr>
            <w:tcW w:w="1893" w:type="dxa"/>
            <w:vMerge w:val="restart"/>
            <w:tcBorders>
              <w:top w:val="single" w:sz="4" w:space="0" w:color="000000"/>
              <w:bottom w:val="nil"/>
            </w:tcBorders>
            <w:vAlign w:val="center"/>
          </w:tcPr>
          <w:p w:rsidR="00704449" w:rsidRDefault="0090383F">
            <w:pPr>
              <w:jc w:val="center"/>
              <w:rPr>
                <w:rFonts w:ascii="Arial" w:eastAsia="Arial" w:hAnsi="Arial" w:cs="Arial"/>
                <w:b/>
                <w:sz w:val="20"/>
                <w:szCs w:val="20"/>
              </w:rPr>
            </w:pPr>
            <w:r>
              <w:rPr>
                <w:rFonts w:ascii="Arial" w:eastAsia="Arial" w:hAnsi="Arial" w:cs="Arial"/>
                <w:b/>
                <w:sz w:val="20"/>
                <w:szCs w:val="20"/>
              </w:rPr>
              <w:t>Confidence</w:t>
            </w:r>
          </w:p>
        </w:tc>
        <w:tc>
          <w:tcPr>
            <w:tcW w:w="1983" w:type="dxa"/>
            <w:tcBorders>
              <w:top w:val="single" w:sz="4" w:space="0" w:color="000000"/>
              <w:bottom w:val="nil"/>
            </w:tcBorders>
          </w:tcPr>
          <w:p w:rsidR="00704449" w:rsidRDefault="0090383F">
            <w:pPr>
              <w:rPr>
                <w:rFonts w:ascii="Arial" w:eastAsia="Arial" w:hAnsi="Arial" w:cs="Arial"/>
                <w:sz w:val="20"/>
                <w:szCs w:val="20"/>
              </w:rPr>
            </w:pPr>
            <w:r>
              <w:rPr>
                <w:rFonts w:ascii="Arial" w:eastAsia="Arial" w:hAnsi="Arial" w:cs="Arial"/>
                <w:sz w:val="20"/>
                <w:szCs w:val="20"/>
              </w:rPr>
              <w:t>20-30 yrs. old</w:t>
            </w:r>
          </w:p>
        </w:tc>
        <w:tc>
          <w:tcPr>
            <w:tcW w:w="935" w:type="dxa"/>
            <w:tcBorders>
              <w:top w:val="single" w:sz="4" w:space="0" w:color="000000"/>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14</w:t>
            </w:r>
          </w:p>
        </w:tc>
        <w:tc>
          <w:tcPr>
            <w:tcW w:w="1317" w:type="dxa"/>
            <w:tcBorders>
              <w:top w:val="single" w:sz="4" w:space="0" w:color="000000"/>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84.61</w:t>
            </w:r>
          </w:p>
        </w:tc>
        <w:tc>
          <w:tcPr>
            <w:tcW w:w="1261" w:type="dxa"/>
            <w:tcBorders>
              <w:top w:val="single" w:sz="4" w:space="0" w:color="000000"/>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6.523</w:t>
            </w:r>
          </w:p>
        </w:tc>
        <w:tc>
          <w:tcPr>
            <w:tcW w:w="812" w:type="dxa"/>
            <w:tcBorders>
              <w:top w:val="single" w:sz="4" w:space="0" w:color="000000"/>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4</w:t>
            </w:r>
          </w:p>
        </w:tc>
        <w:tc>
          <w:tcPr>
            <w:tcW w:w="1440" w:type="dxa"/>
            <w:tcBorders>
              <w:top w:val="single" w:sz="4" w:space="0" w:color="000000"/>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0.163</w:t>
            </w:r>
          </w:p>
        </w:tc>
      </w:tr>
      <w:tr w:rsidR="00704449">
        <w:tc>
          <w:tcPr>
            <w:tcW w:w="1893" w:type="dxa"/>
            <w:vMerge/>
            <w:tcBorders>
              <w:top w:val="single" w:sz="4" w:space="0" w:color="000000"/>
              <w:bottom w:val="nil"/>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1983" w:type="dxa"/>
            <w:tcBorders>
              <w:top w:val="nil"/>
              <w:bottom w:val="nil"/>
            </w:tcBorders>
          </w:tcPr>
          <w:p w:rsidR="00704449" w:rsidRDefault="0090383F">
            <w:pPr>
              <w:rPr>
                <w:rFonts w:ascii="Arial" w:eastAsia="Arial" w:hAnsi="Arial" w:cs="Arial"/>
                <w:sz w:val="20"/>
                <w:szCs w:val="20"/>
              </w:rPr>
            </w:pPr>
            <w:r>
              <w:rPr>
                <w:rFonts w:ascii="Arial" w:eastAsia="Arial" w:hAnsi="Arial" w:cs="Arial"/>
                <w:sz w:val="20"/>
                <w:szCs w:val="20"/>
              </w:rPr>
              <w:t>31-40 yrs. old</w:t>
            </w:r>
          </w:p>
        </w:tc>
        <w:tc>
          <w:tcPr>
            <w:tcW w:w="935" w:type="dxa"/>
            <w:tcBorders>
              <w:top w:val="nil"/>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31</w:t>
            </w:r>
          </w:p>
        </w:tc>
        <w:tc>
          <w:tcPr>
            <w:tcW w:w="1317" w:type="dxa"/>
            <w:tcBorders>
              <w:top w:val="nil"/>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87.35</w:t>
            </w:r>
          </w:p>
        </w:tc>
        <w:tc>
          <w:tcPr>
            <w:tcW w:w="1261" w:type="dxa"/>
            <w:tcBorders>
              <w:top w:val="nil"/>
              <w:bottom w:val="nil"/>
            </w:tcBorders>
          </w:tcPr>
          <w:p w:rsidR="00704449" w:rsidRDefault="00704449">
            <w:pPr>
              <w:jc w:val="center"/>
              <w:rPr>
                <w:rFonts w:ascii="Arial" w:eastAsia="Arial" w:hAnsi="Arial" w:cs="Arial"/>
                <w:sz w:val="20"/>
                <w:szCs w:val="20"/>
              </w:rPr>
            </w:pPr>
          </w:p>
        </w:tc>
        <w:tc>
          <w:tcPr>
            <w:tcW w:w="812" w:type="dxa"/>
            <w:tcBorders>
              <w:top w:val="nil"/>
              <w:bottom w:val="nil"/>
            </w:tcBorders>
          </w:tcPr>
          <w:p w:rsidR="00704449" w:rsidRDefault="00704449">
            <w:pPr>
              <w:jc w:val="center"/>
              <w:rPr>
                <w:rFonts w:ascii="Arial" w:eastAsia="Arial" w:hAnsi="Arial" w:cs="Arial"/>
                <w:sz w:val="20"/>
                <w:szCs w:val="20"/>
              </w:rPr>
            </w:pPr>
          </w:p>
        </w:tc>
        <w:tc>
          <w:tcPr>
            <w:tcW w:w="1440" w:type="dxa"/>
            <w:tcBorders>
              <w:top w:val="nil"/>
              <w:bottom w:val="nil"/>
            </w:tcBorders>
          </w:tcPr>
          <w:p w:rsidR="00704449" w:rsidRDefault="00704449">
            <w:pPr>
              <w:jc w:val="center"/>
              <w:rPr>
                <w:rFonts w:ascii="Arial" w:eastAsia="Arial" w:hAnsi="Arial" w:cs="Arial"/>
                <w:sz w:val="20"/>
                <w:szCs w:val="20"/>
              </w:rPr>
            </w:pPr>
          </w:p>
        </w:tc>
      </w:tr>
      <w:tr w:rsidR="00704449">
        <w:tc>
          <w:tcPr>
            <w:tcW w:w="1893" w:type="dxa"/>
            <w:vMerge/>
            <w:tcBorders>
              <w:top w:val="single" w:sz="4" w:space="0" w:color="000000"/>
              <w:bottom w:val="nil"/>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1983" w:type="dxa"/>
            <w:tcBorders>
              <w:top w:val="nil"/>
              <w:bottom w:val="nil"/>
            </w:tcBorders>
          </w:tcPr>
          <w:p w:rsidR="00704449" w:rsidRDefault="0090383F">
            <w:pPr>
              <w:rPr>
                <w:rFonts w:ascii="Arial" w:eastAsia="Arial" w:hAnsi="Arial" w:cs="Arial"/>
                <w:sz w:val="20"/>
                <w:szCs w:val="20"/>
              </w:rPr>
            </w:pPr>
            <w:r>
              <w:rPr>
                <w:rFonts w:ascii="Arial" w:eastAsia="Arial" w:hAnsi="Arial" w:cs="Arial"/>
                <w:sz w:val="20"/>
                <w:szCs w:val="20"/>
              </w:rPr>
              <w:t>41-50 yrs. old</w:t>
            </w:r>
          </w:p>
        </w:tc>
        <w:tc>
          <w:tcPr>
            <w:tcW w:w="935" w:type="dxa"/>
            <w:tcBorders>
              <w:top w:val="nil"/>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40</w:t>
            </w:r>
          </w:p>
        </w:tc>
        <w:tc>
          <w:tcPr>
            <w:tcW w:w="1317" w:type="dxa"/>
            <w:tcBorders>
              <w:top w:val="nil"/>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72.63</w:t>
            </w:r>
          </w:p>
        </w:tc>
        <w:tc>
          <w:tcPr>
            <w:tcW w:w="1261" w:type="dxa"/>
            <w:tcBorders>
              <w:top w:val="nil"/>
              <w:bottom w:val="nil"/>
            </w:tcBorders>
          </w:tcPr>
          <w:p w:rsidR="00704449" w:rsidRDefault="00704449">
            <w:pPr>
              <w:jc w:val="center"/>
              <w:rPr>
                <w:rFonts w:ascii="Arial" w:eastAsia="Arial" w:hAnsi="Arial" w:cs="Arial"/>
                <w:sz w:val="20"/>
                <w:szCs w:val="20"/>
              </w:rPr>
            </w:pPr>
          </w:p>
        </w:tc>
        <w:tc>
          <w:tcPr>
            <w:tcW w:w="812" w:type="dxa"/>
            <w:tcBorders>
              <w:top w:val="nil"/>
              <w:bottom w:val="nil"/>
            </w:tcBorders>
          </w:tcPr>
          <w:p w:rsidR="00704449" w:rsidRDefault="00704449">
            <w:pPr>
              <w:jc w:val="center"/>
              <w:rPr>
                <w:rFonts w:ascii="Arial" w:eastAsia="Arial" w:hAnsi="Arial" w:cs="Arial"/>
                <w:sz w:val="20"/>
                <w:szCs w:val="20"/>
              </w:rPr>
            </w:pPr>
          </w:p>
        </w:tc>
        <w:tc>
          <w:tcPr>
            <w:tcW w:w="1440" w:type="dxa"/>
            <w:tcBorders>
              <w:top w:val="nil"/>
              <w:bottom w:val="nil"/>
            </w:tcBorders>
          </w:tcPr>
          <w:p w:rsidR="00704449" w:rsidRDefault="00704449">
            <w:pPr>
              <w:jc w:val="center"/>
              <w:rPr>
                <w:rFonts w:ascii="Arial" w:eastAsia="Arial" w:hAnsi="Arial" w:cs="Arial"/>
                <w:sz w:val="20"/>
                <w:szCs w:val="20"/>
              </w:rPr>
            </w:pPr>
          </w:p>
        </w:tc>
      </w:tr>
      <w:tr w:rsidR="00704449">
        <w:tc>
          <w:tcPr>
            <w:tcW w:w="1893" w:type="dxa"/>
            <w:vMerge/>
            <w:tcBorders>
              <w:top w:val="single" w:sz="4" w:space="0" w:color="000000"/>
              <w:bottom w:val="nil"/>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1983" w:type="dxa"/>
            <w:tcBorders>
              <w:top w:val="nil"/>
              <w:bottom w:val="nil"/>
            </w:tcBorders>
          </w:tcPr>
          <w:p w:rsidR="00704449" w:rsidRDefault="0090383F">
            <w:pPr>
              <w:rPr>
                <w:rFonts w:ascii="Arial" w:eastAsia="Arial" w:hAnsi="Arial" w:cs="Arial"/>
                <w:b/>
                <w:sz w:val="20"/>
                <w:szCs w:val="20"/>
              </w:rPr>
            </w:pPr>
            <w:r>
              <w:rPr>
                <w:rFonts w:ascii="Arial" w:eastAsia="Arial" w:hAnsi="Arial" w:cs="Arial"/>
                <w:sz w:val="20"/>
                <w:szCs w:val="20"/>
              </w:rPr>
              <w:t>51-60 yrs. old</w:t>
            </w:r>
          </w:p>
        </w:tc>
        <w:tc>
          <w:tcPr>
            <w:tcW w:w="935" w:type="dxa"/>
            <w:tcBorders>
              <w:top w:val="nil"/>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64</w:t>
            </w:r>
          </w:p>
        </w:tc>
        <w:tc>
          <w:tcPr>
            <w:tcW w:w="1317" w:type="dxa"/>
            <w:tcBorders>
              <w:top w:val="nil"/>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70.63</w:t>
            </w:r>
          </w:p>
        </w:tc>
        <w:tc>
          <w:tcPr>
            <w:tcW w:w="1261" w:type="dxa"/>
            <w:tcBorders>
              <w:top w:val="nil"/>
              <w:bottom w:val="nil"/>
            </w:tcBorders>
          </w:tcPr>
          <w:p w:rsidR="00704449" w:rsidRDefault="00704449">
            <w:pPr>
              <w:jc w:val="center"/>
              <w:rPr>
                <w:rFonts w:ascii="Arial" w:eastAsia="Arial" w:hAnsi="Arial" w:cs="Arial"/>
                <w:sz w:val="20"/>
                <w:szCs w:val="20"/>
              </w:rPr>
            </w:pPr>
          </w:p>
        </w:tc>
        <w:tc>
          <w:tcPr>
            <w:tcW w:w="812" w:type="dxa"/>
            <w:tcBorders>
              <w:top w:val="nil"/>
              <w:bottom w:val="nil"/>
            </w:tcBorders>
          </w:tcPr>
          <w:p w:rsidR="00704449" w:rsidRDefault="00704449">
            <w:pPr>
              <w:jc w:val="center"/>
              <w:rPr>
                <w:rFonts w:ascii="Arial" w:eastAsia="Arial" w:hAnsi="Arial" w:cs="Arial"/>
                <w:sz w:val="20"/>
                <w:szCs w:val="20"/>
              </w:rPr>
            </w:pPr>
          </w:p>
        </w:tc>
        <w:tc>
          <w:tcPr>
            <w:tcW w:w="1440" w:type="dxa"/>
            <w:tcBorders>
              <w:top w:val="nil"/>
              <w:bottom w:val="nil"/>
            </w:tcBorders>
          </w:tcPr>
          <w:p w:rsidR="00704449" w:rsidRDefault="00704449">
            <w:pPr>
              <w:jc w:val="center"/>
              <w:rPr>
                <w:rFonts w:ascii="Arial" w:eastAsia="Arial" w:hAnsi="Arial" w:cs="Arial"/>
                <w:sz w:val="20"/>
                <w:szCs w:val="20"/>
              </w:rPr>
            </w:pPr>
          </w:p>
        </w:tc>
      </w:tr>
      <w:tr w:rsidR="00704449">
        <w:tc>
          <w:tcPr>
            <w:tcW w:w="1893" w:type="dxa"/>
            <w:vMerge/>
            <w:tcBorders>
              <w:top w:val="single" w:sz="4" w:space="0" w:color="000000"/>
              <w:bottom w:val="nil"/>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1983" w:type="dxa"/>
            <w:tcBorders>
              <w:top w:val="nil"/>
              <w:bottom w:val="nil"/>
            </w:tcBorders>
          </w:tcPr>
          <w:p w:rsidR="00704449" w:rsidRDefault="0090383F">
            <w:pPr>
              <w:rPr>
                <w:rFonts w:ascii="Arial" w:eastAsia="Arial" w:hAnsi="Arial" w:cs="Arial"/>
                <w:sz w:val="20"/>
                <w:szCs w:val="20"/>
              </w:rPr>
            </w:pPr>
            <w:r>
              <w:rPr>
                <w:rFonts w:ascii="Arial" w:eastAsia="Arial" w:hAnsi="Arial" w:cs="Arial"/>
                <w:sz w:val="20"/>
                <w:szCs w:val="20"/>
              </w:rPr>
              <w:t>Above 60 yrs. old</w:t>
            </w:r>
          </w:p>
        </w:tc>
        <w:tc>
          <w:tcPr>
            <w:tcW w:w="935" w:type="dxa"/>
            <w:tcBorders>
              <w:top w:val="nil"/>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1</w:t>
            </w:r>
          </w:p>
        </w:tc>
        <w:tc>
          <w:tcPr>
            <w:tcW w:w="1317" w:type="dxa"/>
            <w:tcBorders>
              <w:top w:val="nil"/>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7</w:t>
            </w:r>
          </w:p>
        </w:tc>
        <w:tc>
          <w:tcPr>
            <w:tcW w:w="1261" w:type="dxa"/>
            <w:tcBorders>
              <w:top w:val="nil"/>
              <w:bottom w:val="nil"/>
            </w:tcBorders>
          </w:tcPr>
          <w:p w:rsidR="00704449" w:rsidRDefault="00704449">
            <w:pPr>
              <w:jc w:val="center"/>
              <w:rPr>
                <w:rFonts w:ascii="Arial" w:eastAsia="Arial" w:hAnsi="Arial" w:cs="Arial"/>
                <w:sz w:val="20"/>
                <w:szCs w:val="20"/>
              </w:rPr>
            </w:pPr>
          </w:p>
        </w:tc>
        <w:tc>
          <w:tcPr>
            <w:tcW w:w="812" w:type="dxa"/>
            <w:tcBorders>
              <w:top w:val="nil"/>
              <w:bottom w:val="nil"/>
            </w:tcBorders>
          </w:tcPr>
          <w:p w:rsidR="00704449" w:rsidRDefault="00704449">
            <w:pPr>
              <w:jc w:val="center"/>
              <w:rPr>
                <w:rFonts w:ascii="Arial" w:eastAsia="Arial" w:hAnsi="Arial" w:cs="Arial"/>
                <w:sz w:val="20"/>
                <w:szCs w:val="20"/>
              </w:rPr>
            </w:pPr>
          </w:p>
        </w:tc>
        <w:tc>
          <w:tcPr>
            <w:tcW w:w="1440" w:type="dxa"/>
            <w:tcBorders>
              <w:top w:val="nil"/>
              <w:bottom w:val="nil"/>
            </w:tcBorders>
          </w:tcPr>
          <w:p w:rsidR="00704449" w:rsidRDefault="00704449">
            <w:pPr>
              <w:jc w:val="center"/>
              <w:rPr>
                <w:rFonts w:ascii="Arial" w:eastAsia="Arial" w:hAnsi="Arial" w:cs="Arial"/>
                <w:sz w:val="20"/>
                <w:szCs w:val="20"/>
              </w:rPr>
            </w:pPr>
          </w:p>
        </w:tc>
      </w:tr>
      <w:tr w:rsidR="00704449">
        <w:tc>
          <w:tcPr>
            <w:tcW w:w="1893" w:type="dxa"/>
            <w:vMerge/>
            <w:tcBorders>
              <w:top w:val="single" w:sz="4" w:space="0" w:color="000000"/>
              <w:bottom w:val="nil"/>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1983" w:type="dxa"/>
            <w:tcBorders>
              <w:top w:val="nil"/>
              <w:bottom w:val="single" w:sz="4" w:space="0" w:color="000000"/>
            </w:tcBorders>
          </w:tcPr>
          <w:p w:rsidR="00704449" w:rsidRDefault="0090383F">
            <w:pPr>
              <w:rPr>
                <w:rFonts w:ascii="Arial" w:eastAsia="Arial" w:hAnsi="Arial" w:cs="Arial"/>
                <w:sz w:val="20"/>
                <w:szCs w:val="20"/>
              </w:rPr>
            </w:pPr>
            <w:r>
              <w:rPr>
                <w:rFonts w:ascii="Arial" w:eastAsia="Arial" w:hAnsi="Arial" w:cs="Arial"/>
                <w:sz w:val="20"/>
                <w:szCs w:val="20"/>
              </w:rPr>
              <w:t>Total</w:t>
            </w:r>
          </w:p>
        </w:tc>
        <w:tc>
          <w:tcPr>
            <w:tcW w:w="935" w:type="dxa"/>
            <w:tcBorders>
              <w:top w:val="nil"/>
              <w:bottom w:val="single" w:sz="4" w:space="0" w:color="000000"/>
            </w:tcBorders>
          </w:tcPr>
          <w:p w:rsidR="00704449" w:rsidRDefault="0090383F">
            <w:pPr>
              <w:jc w:val="center"/>
              <w:rPr>
                <w:rFonts w:ascii="Arial" w:eastAsia="Arial" w:hAnsi="Arial" w:cs="Arial"/>
                <w:sz w:val="20"/>
                <w:szCs w:val="20"/>
              </w:rPr>
            </w:pPr>
            <w:r>
              <w:rPr>
                <w:rFonts w:ascii="Arial" w:eastAsia="Arial" w:hAnsi="Arial" w:cs="Arial"/>
                <w:sz w:val="20"/>
                <w:szCs w:val="20"/>
              </w:rPr>
              <w:t>150</w:t>
            </w:r>
          </w:p>
        </w:tc>
        <w:tc>
          <w:tcPr>
            <w:tcW w:w="1317" w:type="dxa"/>
            <w:tcBorders>
              <w:top w:val="nil"/>
              <w:bottom w:val="single" w:sz="4" w:space="0" w:color="000000"/>
            </w:tcBorders>
          </w:tcPr>
          <w:p w:rsidR="00704449" w:rsidRDefault="00704449">
            <w:pPr>
              <w:jc w:val="center"/>
              <w:rPr>
                <w:rFonts w:ascii="Arial" w:eastAsia="Arial" w:hAnsi="Arial" w:cs="Arial"/>
                <w:sz w:val="20"/>
                <w:szCs w:val="20"/>
              </w:rPr>
            </w:pPr>
          </w:p>
        </w:tc>
        <w:tc>
          <w:tcPr>
            <w:tcW w:w="1261" w:type="dxa"/>
            <w:tcBorders>
              <w:top w:val="nil"/>
              <w:bottom w:val="single" w:sz="4" w:space="0" w:color="000000"/>
            </w:tcBorders>
          </w:tcPr>
          <w:p w:rsidR="00704449" w:rsidRDefault="00704449">
            <w:pPr>
              <w:jc w:val="center"/>
              <w:rPr>
                <w:rFonts w:ascii="Arial" w:eastAsia="Arial" w:hAnsi="Arial" w:cs="Arial"/>
                <w:sz w:val="20"/>
                <w:szCs w:val="20"/>
              </w:rPr>
            </w:pPr>
          </w:p>
        </w:tc>
        <w:tc>
          <w:tcPr>
            <w:tcW w:w="812" w:type="dxa"/>
            <w:tcBorders>
              <w:top w:val="nil"/>
              <w:bottom w:val="single" w:sz="4" w:space="0" w:color="000000"/>
            </w:tcBorders>
          </w:tcPr>
          <w:p w:rsidR="00704449" w:rsidRDefault="00704449">
            <w:pPr>
              <w:jc w:val="center"/>
              <w:rPr>
                <w:rFonts w:ascii="Arial" w:eastAsia="Arial" w:hAnsi="Arial" w:cs="Arial"/>
                <w:sz w:val="20"/>
                <w:szCs w:val="20"/>
              </w:rPr>
            </w:pPr>
          </w:p>
        </w:tc>
        <w:tc>
          <w:tcPr>
            <w:tcW w:w="1440" w:type="dxa"/>
            <w:tcBorders>
              <w:top w:val="nil"/>
              <w:bottom w:val="single" w:sz="4" w:space="0" w:color="000000"/>
            </w:tcBorders>
          </w:tcPr>
          <w:p w:rsidR="00704449" w:rsidRDefault="00704449">
            <w:pPr>
              <w:jc w:val="center"/>
              <w:rPr>
                <w:rFonts w:ascii="Arial" w:eastAsia="Arial" w:hAnsi="Arial" w:cs="Arial"/>
                <w:sz w:val="20"/>
                <w:szCs w:val="20"/>
              </w:rPr>
            </w:pPr>
          </w:p>
        </w:tc>
      </w:tr>
      <w:tr w:rsidR="00704449">
        <w:tc>
          <w:tcPr>
            <w:tcW w:w="1893" w:type="dxa"/>
            <w:vMerge w:val="restart"/>
            <w:tcBorders>
              <w:top w:val="single" w:sz="4" w:space="0" w:color="000000"/>
            </w:tcBorders>
            <w:vAlign w:val="center"/>
          </w:tcPr>
          <w:p w:rsidR="00704449" w:rsidRDefault="0090383F">
            <w:pPr>
              <w:jc w:val="center"/>
              <w:rPr>
                <w:rFonts w:ascii="Arial" w:eastAsia="Arial" w:hAnsi="Arial" w:cs="Arial"/>
                <w:b/>
                <w:sz w:val="20"/>
                <w:szCs w:val="20"/>
              </w:rPr>
            </w:pPr>
            <w:r>
              <w:rPr>
                <w:rFonts w:ascii="Arial" w:eastAsia="Arial" w:hAnsi="Arial" w:cs="Arial"/>
                <w:b/>
                <w:sz w:val="20"/>
                <w:szCs w:val="20"/>
              </w:rPr>
              <w:t>Overall</w:t>
            </w:r>
          </w:p>
        </w:tc>
        <w:tc>
          <w:tcPr>
            <w:tcW w:w="1983" w:type="dxa"/>
            <w:tcBorders>
              <w:top w:val="single" w:sz="4" w:space="0" w:color="000000"/>
            </w:tcBorders>
          </w:tcPr>
          <w:p w:rsidR="00704449" w:rsidRDefault="0090383F">
            <w:pPr>
              <w:rPr>
                <w:rFonts w:ascii="Arial" w:eastAsia="Arial" w:hAnsi="Arial" w:cs="Arial"/>
                <w:sz w:val="20"/>
                <w:szCs w:val="20"/>
              </w:rPr>
            </w:pPr>
            <w:r>
              <w:rPr>
                <w:rFonts w:ascii="Arial" w:eastAsia="Arial" w:hAnsi="Arial" w:cs="Arial"/>
                <w:sz w:val="20"/>
                <w:szCs w:val="20"/>
              </w:rPr>
              <w:t>20-30 yrs. old</w:t>
            </w:r>
          </w:p>
        </w:tc>
        <w:tc>
          <w:tcPr>
            <w:tcW w:w="935" w:type="dxa"/>
            <w:tcBorders>
              <w:top w:val="single" w:sz="4" w:space="0" w:color="000000"/>
            </w:tcBorders>
          </w:tcPr>
          <w:p w:rsidR="00704449" w:rsidRDefault="0090383F">
            <w:pPr>
              <w:jc w:val="center"/>
              <w:rPr>
                <w:rFonts w:ascii="Arial" w:eastAsia="Arial" w:hAnsi="Arial" w:cs="Arial"/>
                <w:sz w:val="20"/>
                <w:szCs w:val="20"/>
              </w:rPr>
            </w:pPr>
            <w:r>
              <w:rPr>
                <w:rFonts w:ascii="Arial" w:eastAsia="Arial" w:hAnsi="Arial" w:cs="Arial"/>
                <w:sz w:val="20"/>
                <w:szCs w:val="20"/>
              </w:rPr>
              <w:t>13</w:t>
            </w:r>
          </w:p>
        </w:tc>
        <w:tc>
          <w:tcPr>
            <w:tcW w:w="1317" w:type="dxa"/>
            <w:tcBorders>
              <w:top w:val="single" w:sz="4" w:space="0" w:color="000000"/>
            </w:tcBorders>
          </w:tcPr>
          <w:p w:rsidR="00704449" w:rsidRDefault="0090383F">
            <w:pPr>
              <w:jc w:val="center"/>
              <w:rPr>
                <w:rFonts w:ascii="Arial" w:eastAsia="Arial" w:hAnsi="Arial" w:cs="Arial"/>
                <w:sz w:val="20"/>
                <w:szCs w:val="20"/>
              </w:rPr>
            </w:pPr>
            <w:r>
              <w:rPr>
                <w:rFonts w:ascii="Arial" w:eastAsia="Arial" w:hAnsi="Arial" w:cs="Arial"/>
                <w:sz w:val="20"/>
                <w:szCs w:val="20"/>
              </w:rPr>
              <w:t>84.18</w:t>
            </w:r>
          </w:p>
        </w:tc>
        <w:tc>
          <w:tcPr>
            <w:tcW w:w="1261" w:type="dxa"/>
            <w:tcBorders>
              <w:top w:val="single" w:sz="4" w:space="0" w:color="000000"/>
            </w:tcBorders>
          </w:tcPr>
          <w:p w:rsidR="00704449" w:rsidRDefault="0090383F">
            <w:pPr>
              <w:jc w:val="center"/>
              <w:rPr>
                <w:rFonts w:ascii="Arial" w:eastAsia="Arial" w:hAnsi="Arial" w:cs="Arial"/>
                <w:sz w:val="20"/>
                <w:szCs w:val="20"/>
              </w:rPr>
            </w:pPr>
            <w:r>
              <w:rPr>
                <w:rFonts w:ascii="Arial" w:eastAsia="Arial" w:hAnsi="Arial" w:cs="Arial"/>
                <w:sz w:val="20"/>
                <w:szCs w:val="20"/>
              </w:rPr>
              <w:t>4.086</w:t>
            </w:r>
          </w:p>
        </w:tc>
        <w:tc>
          <w:tcPr>
            <w:tcW w:w="812" w:type="dxa"/>
            <w:tcBorders>
              <w:top w:val="single" w:sz="4" w:space="0" w:color="000000"/>
            </w:tcBorders>
          </w:tcPr>
          <w:p w:rsidR="00704449" w:rsidRDefault="0090383F">
            <w:pPr>
              <w:jc w:val="center"/>
              <w:rPr>
                <w:rFonts w:ascii="Arial" w:eastAsia="Arial" w:hAnsi="Arial" w:cs="Arial"/>
                <w:sz w:val="20"/>
                <w:szCs w:val="20"/>
              </w:rPr>
            </w:pPr>
            <w:r>
              <w:rPr>
                <w:rFonts w:ascii="Arial" w:eastAsia="Arial" w:hAnsi="Arial" w:cs="Arial"/>
                <w:sz w:val="20"/>
                <w:szCs w:val="20"/>
              </w:rPr>
              <w:t>4</w:t>
            </w:r>
          </w:p>
        </w:tc>
        <w:tc>
          <w:tcPr>
            <w:tcW w:w="1440" w:type="dxa"/>
            <w:tcBorders>
              <w:top w:val="single" w:sz="4" w:space="0" w:color="000000"/>
            </w:tcBorders>
          </w:tcPr>
          <w:p w:rsidR="00704449" w:rsidRDefault="0090383F">
            <w:pPr>
              <w:jc w:val="center"/>
              <w:rPr>
                <w:rFonts w:ascii="Arial" w:eastAsia="Arial" w:hAnsi="Arial" w:cs="Arial"/>
                <w:sz w:val="20"/>
                <w:szCs w:val="20"/>
              </w:rPr>
            </w:pPr>
            <w:r>
              <w:rPr>
                <w:rFonts w:ascii="Arial" w:eastAsia="Arial" w:hAnsi="Arial" w:cs="Arial"/>
                <w:sz w:val="20"/>
                <w:szCs w:val="20"/>
              </w:rPr>
              <w:t>0.395</w:t>
            </w:r>
          </w:p>
        </w:tc>
      </w:tr>
      <w:tr w:rsidR="00704449">
        <w:tc>
          <w:tcPr>
            <w:tcW w:w="1893" w:type="dxa"/>
            <w:vMerge/>
            <w:tcBorders>
              <w:top w:val="single" w:sz="4" w:space="0" w:color="000000"/>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1983" w:type="dxa"/>
          </w:tcPr>
          <w:p w:rsidR="00704449" w:rsidRDefault="0090383F">
            <w:pPr>
              <w:rPr>
                <w:rFonts w:ascii="Arial" w:eastAsia="Arial" w:hAnsi="Arial" w:cs="Arial"/>
                <w:sz w:val="20"/>
                <w:szCs w:val="20"/>
              </w:rPr>
            </w:pPr>
            <w:r>
              <w:rPr>
                <w:rFonts w:ascii="Arial" w:eastAsia="Arial" w:hAnsi="Arial" w:cs="Arial"/>
                <w:sz w:val="20"/>
                <w:szCs w:val="20"/>
              </w:rPr>
              <w:t>31-40 yrs. old</w:t>
            </w:r>
          </w:p>
        </w:tc>
        <w:tc>
          <w:tcPr>
            <w:tcW w:w="935" w:type="dxa"/>
          </w:tcPr>
          <w:p w:rsidR="00704449" w:rsidRDefault="0090383F">
            <w:pPr>
              <w:jc w:val="center"/>
              <w:rPr>
                <w:rFonts w:ascii="Arial" w:eastAsia="Arial" w:hAnsi="Arial" w:cs="Arial"/>
                <w:sz w:val="20"/>
                <w:szCs w:val="20"/>
              </w:rPr>
            </w:pPr>
            <w:r>
              <w:rPr>
                <w:rFonts w:ascii="Arial" w:eastAsia="Arial" w:hAnsi="Arial" w:cs="Arial"/>
                <w:sz w:val="20"/>
                <w:szCs w:val="20"/>
              </w:rPr>
              <w:t>31</w:t>
            </w:r>
          </w:p>
        </w:tc>
        <w:tc>
          <w:tcPr>
            <w:tcW w:w="1317" w:type="dxa"/>
          </w:tcPr>
          <w:p w:rsidR="00704449" w:rsidRDefault="0090383F">
            <w:pPr>
              <w:jc w:val="center"/>
              <w:rPr>
                <w:rFonts w:ascii="Arial" w:eastAsia="Arial" w:hAnsi="Arial" w:cs="Arial"/>
                <w:sz w:val="20"/>
                <w:szCs w:val="20"/>
              </w:rPr>
            </w:pPr>
            <w:r>
              <w:rPr>
                <w:rFonts w:ascii="Arial" w:eastAsia="Arial" w:hAnsi="Arial" w:cs="Arial"/>
                <w:sz w:val="20"/>
                <w:szCs w:val="20"/>
              </w:rPr>
              <w:t>84.97</w:t>
            </w:r>
          </w:p>
        </w:tc>
        <w:tc>
          <w:tcPr>
            <w:tcW w:w="1261" w:type="dxa"/>
          </w:tcPr>
          <w:p w:rsidR="00704449" w:rsidRDefault="00704449">
            <w:pPr>
              <w:jc w:val="center"/>
              <w:rPr>
                <w:rFonts w:ascii="Arial" w:eastAsia="Arial" w:hAnsi="Arial" w:cs="Arial"/>
                <w:sz w:val="20"/>
                <w:szCs w:val="20"/>
              </w:rPr>
            </w:pPr>
          </w:p>
        </w:tc>
        <w:tc>
          <w:tcPr>
            <w:tcW w:w="812" w:type="dxa"/>
          </w:tcPr>
          <w:p w:rsidR="00704449" w:rsidRDefault="00704449">
            <w:pPr>
              <w:jc w:val="center"/>
              <w:rPr>
                <w:rFonts w:ascii="Arial" w:eastAsia="Arial" w:hAnsi="Arial" w:cs="Arial"/>
                <w:sz w:val="20"/>
                <w:szCs w:val="20"/>
              </w:rPr>
            </w:pPr>
          </w:p>
        </w:tc>
        <w:tc>
          <w:tcPr>
            <w:tcW w:w="1440" w:type="dxa"/>
          </w:tcPr>
          <w:p w:rsidR="00704449" w:rsidRDefault="00704449">
            <w:pPr>
              <w:jc w:val="center"/>
              <w:rPr>
                <w:rFonts w:ascii="Arial" w:eastAsia="Arial" w:hAnsi="Arial" w:cs="Arial"/>
                <w:sz w:val="20"/>
                <w:szCs w:val="20"/>
              </w:rPr>
            </w:pPr>
          </w:p>
        </w:tc>
      </w:tr>
      <w:tr w:rsidR="00704449">
        <w:tc>
          <w:tcPr>
            <w:tcW w:w="1893" w:type="dxa"/>
            <w:vMerge/>
            <w:tcBorders>
              <w:top w:val="single" w:sz="4" w:space="0" w:color="000000"/>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1983" w:type="dxa"/>
          </w:tcPr>
          <w:p w:rsidR="00704449" w:rsidRDefault="0090383F">
            <w:pPr>
              <w:rPr>
                <w:rFonts w:ascii="Arial" w:eastAsia="Arial" w:hAnsi="Arial" w:cs="Arial"/>
                <w:sz w:val="20"/>
                <w:szCs w:val="20"/>
              </w:rPr>
            </w:pPr>
            <w:r>
              <w:rPr>
                <w:rFonts w:ascii="Arial" w:eastAsia="Arial" w:hAnsi="Arial" w:cs="Arial"/>
                <w:sz w:val="20"/>
                <w:szCs w:val="20"/>
              </w:rPr>
              <w:t>41-50 yrs. old</w:t>
            </w:r>
          </w:p>
        </w:tc>
        <w:tc>
          <w:tcPr>
            <w:tcW w:w="935" w:type="dxa"/>
          </w:tcPr>
          <w:p w:rsidR="00704449" w:rsidRDefault="0090383F">
            <w:pPr>
              <w:jc w:val="center"/>
              <w:rPr>
                <w:rFonts w:ascii="Arial" w:eastAsia="Arial" w:hAnsi="Arial" w:cs="Arial"/>
                <w:sz w:val="20"/>
                <w:szCs w:val="20"/>
              </w:rPr>
            </w:pPr>
            <w:r>
              <w:rPr>
                <w:rFonts w:ascii="Arial" w:eastAsia="Arial" w:hAnsi="Arial" w:cs="Arial"/>
                <w:sz w:val="20"/>
                <w:szCs w:val="20"/>
              </w:rPr>
              <w:t>40</w:t>
            </w:r>
          </w:p>
        </w:tc>
        <w:tc>
          <w:tcPr>
            <w:tcW w:w="1317" w:type="dxa"/>
          </w:tcPr>
          <w:p w:rsidR="00704449" w:rsidRDefault="0090383F">
            <w:pPr>
              <w:jc w:val="center"/>
              <w:rPr>
                <w:rFonts w:ascii="Arial" w:eastAsia="Arial" w:hAnsi="Arial" w:cs="Arial"/>
                <w:sz w:val="20"/>
                <w:szCs w:val="20"/>
              </w:rPr>
            </w:pPr>
            <w:r>
              <w:rPr>
                <w:rFonts w:ascii="Arial" w:eastAsia="Arial" w:hAnsi="Arial" w:cs="Arial"/>
                <w:sz w:val="20"/>
                <w:szCs w:val="20"/>
              </w:rPr>
              <w:t>73.44</w:t>
            </w:r>
          </w:p>
        </w:tc>
        <w:tc>
          <w:tcPr>
            <w:tcW w:w="1261" w:type="dxa"/>
          </w:tcPr>
          <w:p w:rsidR="00704449" w:rsidRDefault="00704449">
            <w:pPr>
              <w:jc w:val="center"/>
              <w:rPr>
                <w:rFonts w:ascii="Arial" w:eastAsia="Arial" w:hAnsi="Arial" w:cs="Arial"/>
                <w:sz w:val="20"/>
                <w:szCs w:val="20"/>
              </w:rPr>
            </w:pPr>
          </w:p>
        </w:tc>
        <w:tc>
          <w:tcPr>
            <w:tcW w:w="812" w:type="dxa"/>
          </w:tcPr>
          <w:p w:rsidR="00704449" w:rsidRDefault="00704449">
            <w:pPr>
              <w:jc w:val="center"/>
              <w:rPr>
                <w:rFonts w:ascii="Arial" w:eastAsia="Arial" w:hAnsi="Arial" w:cs="Arial"/>
                <w:sz w:val="20"/>
                <w:szCs w:val="20"/>
              </w:rPr>
            </w:pPr>
          </w:p>
        </w:tc>
        <w:tc>
          <w:tcPr>
            <w:tcW w:w="1440" w:type="dxa"/>
          </w:tcPr>
          <w:p w:rsidR="00704449" w:rsidRDefault="00704449">
            <w:pPr>
              <w:jc w:val="center"/>
              <w:rPr>
                <w:rFonts w:ascii="Arial" w:eastAsia="Arial" w:hAnsi="Arial" w:cs="Arial"/>
                <w:sz w:val="20"/>
                <w:szCs w:val="20"/>
              </w:rPr>
            </w:pPr>
          </w:p>
        </w:tc>
      </w:tr>
      <w:tr w:rsidR="00704449">
        <w:tc>
          <w:tcPr>
            <w:tcW w:w="1893" w:type="dxa"/>
            <w:vMerge/>
            <w:tcBorders>
              <w:top w:val="single" w:sz="4" w:space="0" w:color="000000"/>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1983" w:type="dxa"/>
          </w:tcPr>
          <w:p w:rsidR="00704449" w:rsidRDefault="0090383F">
            <w:pPr>
              <w:rPr>
                <w:rFonts w:ascii="Arial" w:eastAsia="Arial" w:hAnsi="Arial" w:cs="Arial"/>
                <w:sz w:val="20"/>
                <w:szCs w:val="20"/>
              </w:rPr>
            </w:pPr>
            <w:r>
              <w:rPr>
                <w:rFonts w:ascii="Arial" w:eastAsia="Arial" w:hAnsi="Arial" w:cs="Arial"/>
                <w:sz w:val="20"/>
                <w:szCs w:val="20"/>
              </w:rPr>
              <w:t>51-60 yrs. old</w:t>
            </w:r>
          </w:p>
        </w:tc>
        <w:tc>
          <w:tcPr>
            <w:tcW w:w="935" w:type="dxa"/>
          </w:tcPr>
          <w:p w:rsidR="00704449" w:rsidRDefault="0090383F">
            <w:pPr>
              <w:jc w:val="center"/>
              <w:rPr>
                <w:rFonts w:ascii="Arial" w:eastAsia="Arial" w:hAnsi="Arial" w:cs="Arial"/>
                <w:sz w:val="20"/>
                <w:szCs w:val="20"/>
              </w:rPr>
            </w:pPr>
            <w:r>
              <w:rPr>
                <w:rFonts w:ascii="Arial" w:eastAsia="Arial" w:hAnsi="Arial" w:cs="Arial"/>
                <w:sz w:val="20"/>
                <w:szCs w:val="20"/>
              </w:rPr>
              <w:t>64</w:t>
            </w:r>
          </w:p>
        </w:tc>
        <w:tc>
          <w:tcPr>
            <w:tcW w:w="1317" w:type="dxa"/>
          </w:tcPr>
          <w:p w:rsidR="00704449" w:rsidRDefault="0090383F">
            <w:pPr>
              <w:jc w:val="center"/>
              <w:rPr>
                <w:rFonts w:ascii="Arial" w:eastAsia="Arial" w:hAnsi="Arial" w:cs="Arial"/>
                <w:sz w:val="20"/>
                <w:szCs w:val="20"/>
              </w:rPr>
            </w:pPr>
            <w:r>
              <w:rPr>
                <w:rFonts w:ascii="Arial" w:eastAsia="Arial" w:hAnsi="Arial" w:cs="Arial"/>
                <w:sz w:val="20"/>
                <w:szCs w:val="20"/>
              </w:rPr>
              <w:t>71.08</w:t>
            </w:r>
          </w:p>
        </w:tc>
        <w:tc>
          <w:tcPr>
            <w:tcW w:w="1261" w:type="dxa"/>
          </w:tcPr>
          <w:p w:rsidR="00704449" w:rsidRDefault="00704449">
            <w:pPr>
              <w:jc w:val="center"/>
              <w:rPr>
                <w:rFonts w:ascii="Arial" w:eastAsia="Arial" w:hAnsi="Arial" w:cs="Arial"/>
                <w:sz w:val="20"/>
                <w:szCs w:val="20"/>
              </w:rPr>
            </w:pPr>
          </w:p>
        </w:tc>
        <w:tc>
          <w:tcPr>
            <w:tcW w:w="812" w:type="dxa"/>
          </w:tcPr>
          <w:p w:rsidR="00704449" w:rsidRDefault="00704449">
            <w:pPr>
              <w:jc w:val="center"/>
              <w:rPr>
                <w:rFonts w:ascii="Arial" w:eastAsia="Arial" w:hAnsi="Arial" w:cs="Arial"/>
                <w:sz w:val="20"/>
                <w:szCs w:val="20"/>
              </w:rPr>
            </w:pPr>
          </w:p>
        </w:tc>
        <w:tc>
          <w:tcPr>
            <w:tcW w:w="1440" w:type="dxa"/>
          </w:tcPr>
          <w:p w:rsidR="00704449" w:rsidRDefault="00704449">
            <w:pPr>
              <w:jc w:val="center"/>
              <w:rPr>
                <w:rFonts w:ascii="Arial" w:eastAsia="Arial" w:hAnsi="Arial" w:cs="Arial"/>
                <w:sz w:val="20"/>
                <w:szCs w:val="20"/>
              </w:rPr>
            </w:pPr>
          </w:p>
        </w:tc>
      </w:tr>
      <w:tr w:rsidR="00704449">
        <w:tc>
          <w:tcPr>
            <w:tcW w:w="1893" w:type="dxa"/>
            <w:vMerge/>
            <w:tcBorders>
              <w:top w:val="single" w:sz="4" w:space="0" w:color="000000"/>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1983" w:type="dxa"/>
          </w:tcPr>
          <w:p w:rsidR="00704449" w:rsidRDefault="0090383F">
            <w:pPr>
              <w:rPr>
                <w:rFonts w:ascii="Arial" w:eastAsia="Arial" w:hAnsi="Arial" w:cs="Arial"/>
                <w:sz w:val="20"/>
                <w:szCs w:val="20"/>
              </w:rPr>
            </w:pPr>
            <w:r>
              <w:rPr>
                <w:rFonts w:ascii="Arial" w:eastAsia="Arial" w:hAnsi="Arial" w:cs="Arial"/>
                <w:sz w:val="20"/>
                <w:szCs w:val="20"/>
              </w:rPr>
              <w:t>Above 60 yrs. old</w:t>
            </w:r>
          </w:p>
        </w:tc>
        <w:tc>
          <w:tcPr>
            <w:tcW w:w="935" w:type="dxa"/>
          </w:tcPr>
          <w:p w:rsidR="00704449" w:rsidRDefault="0090383F">
            <w:pPr>
              <w:jc w:val="center"/>
              <w:rPr>
                <w:rFonts w:ascii="Arial" w:eastAsia="Arial" w:hAnsi="Arial" w:cs="Arial"/>
                <w:sz w:val="20"/>
                <w:szCs w:val="20"/>
              </w:rPr>
            </w:pPr>
            <w:r>
              <w:rPr>
                <w:rFonts w:ascii="Arial" w:eastAsia="Arial" w:hAnsi="Arial" w:cs="Arial"/>
                <w:sz w:val="20"/>
                <w:szCs w:val="20"/>
              </w:rPr>
              <w:t>1</w:t>
            </w:r>
          </w:p>
        </w:tc>
        <w:tc>
          <w:tcPr>
            <w:tcW w:w="1317" w:type="dxa"/>
          </w:tcPr>
          <w:p w:rsidR="00704449" w:rsidRDefault="0090383F">
            <w:pPr>
              <w:jc w:val="center"/>
              <w:rPr>
                <w:rFonts w:ascii="Arial" w:eastAsia="Arial" w:hAnsi="Arial" w:cs="Arial"/>
                <w:sz w:val="20"/>
                <w:szCs w:val="20"/>
              </w:rPr>
            </w:pPr>
            <w:r>
              <w:rPr>
                <w:rFonts w:ascii="Arial" w:eastAsia="Arial" w:hAnsi="Arial" w:cs="Arial"/>
                <w:sz w:val="20"/>
                <w:szCs w:val="20"/>
              </w:rPr>
              <w:t>26</w:t>
            </w:r>
          </w:p>
        </w:tc>
        <w:tc>
          <w:tcPr>
            <w:tcW w:w="1261" w:type="dxa"/>
          </w:tcPr>
          <w:p w:rsidR="00704449" w:rsidRDefault="00704449">
            <w:pPr>
              <w:jc w:val="center"/>
              <w:rPr>
                <w:rFonts w:ascii="Arial" w:eastAsia="Arial" w:hAnsi="Arial" w:cs="Arial"/>
                <w:sz w:val="20"/>
                <w:szCs w:val="20"/>
              </w:rPr>
            </w:pPr>
          </w:p>
        </w:tc>
        <w:tc>
          <w:tcPr>
            <w:tcW w:w="812" w:type="dxa"/>
          </w:tcPr>
          <w:p w:rsidR="00704449" w:rsidRDefault="00704449">
            <w:pPr>
              <w:jc w:val="center"/>
              <w:rPr>
                <w:rFonts w:ascii="Arial" w:eastAsia="Arial" w:hAnsi="Arial" w:cs="Arial"/>
                <w:sz w:val="20"/>
                <w:szCs w:val="20"/>
              </w:rPr>
            </w:pPr>
          </w:p>
        </w:tc>
        <w:tc>
          <w:tcPr>
            <w:tcW w:w="1440" w:type="dxa"/>
          </w:tcPr>
          <w:p w:rsidR="00704449" w:rsidRDefault="00704449">
            <w:pPr>
              <w:jc w:val="center"/>
              <w:rPr>
                <w:rFonts w:ascii="Arial" w:eastAsia="Arial" w:hAnsi="Arial" w:cs="Arial"/>
                <w:sz w:val="20"/>
                <w:szCs w:val="20"/>
              </w:rPr>
            </w:pPr>
          </w:p>
        </w:tc>
      </w:tr>
      <w:tr w:rsidR="00704449">
        <w:tc>
          <w:tcPr>
            <w:tcW w:w="1893" w:type="dxa"/>
            <w:vMerge/>
            <w:tcBorders>
              <w:top w:val="single" w:sz="4" w:space="0" w:color="000000"/>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1983" w:type="dxa"/>
          </w:tcPr>
          <w:p w:rsidR="00704449" w:rsidRDefault="0090383F">
            <w:pPr>
              <w:rPr>
                <w:rFonts w:ascii="Arial" w:eastAsia="Arial" w:hAnsi="Arial" w:cs="Arial"/>
                <w:sz w:val="20"/>
                <w:szCs w:val="20"/>
              </w:rPr>
            </w:pPr>
            <w:r>
              <w:rPr>
                <w:rFonts w:ascii="Arial" w:eastAsia="Arial" w:hAnsi="Arial" w:cs="Arial"/>
                <w:sz w:val="20"/>
                <w:szCs w:val="20"/>
              </w:rPr>
              <w:t>Total</w:t>
            </w:r>
          </w:p>
        </w:tc>
        <w:tc>
          <w:tcPr>
            <w:tcW w:w="935" w:type="dxa"/>
          </w:tcPr>
          <w:p w:rsidR="00704449" w:rsidRDefault="0090383F">
            <w:pPr>
              <w:jc w:val="center"/>
              <w:rPr>
                <w:rFonts w:ascii="Arial" w:eastAsia="Arial" w:hAnsi="Arial" w:cs="Arial"/>
                <w:sz w:val="20"/>
                <w:szCs w:val="20"/>
              </w:rPr>
            </w:pPr>
            <w:r>
              <w:rPr>
                <w:rFonts w:ascii="Arial" w:eastAsia="Arial" w:hAnsi="Arial" w:cs="Arial"/>
                <w:sz w:val="20"/>
                <w:szCs w:val="20"/>
              </w:rPr>
              <w:t>150</w:t>
            </w:r>
          </w:p>
        </w:tc>
        <w:tc>
          <w:tcPr>
            <w:tcW w:w="1317" w:type="dxa"/>
          </w:tcPr>
          <w:p w:rsidR="00704449" w:rsidRDefault="00704449">
            <w:pPr>
              <w:jc w:val="center"/>
              <w:rPr>
                <w:rFonts w:ascii="Arial" w:eastAsia="Arial" w:hAnsi="Arial" w:cs="Arial"/>
                <w:sz w:val="20"/>
                <w:szCs w:val="20"/>
              </w:rPr>
            </w:pPr>
          </w:p>
        </w:tc>
        <w:tc>
          <w:tcPr>
            <w:tcW w:w="1261" w:type="dxa"/>
          </w:tcPr>
          <w:p w:rsidR="00704449" w:rsidRDefault="00704449">
            <w:pPr>
              <w:jc w:val="center"/>
              <w:rPr>
                <w:rFonts w:ascii="Arial" w:eastAsia="Arial" w:hAnsi="Arial" w:cs="Arial"/>
                <w:sz w:val="20"/>
                <w:szCs w:val="20"/>
              </w:rPr>
            </w:pPr>
          </w:p>
        </w:tc>
        <w:tc>
          <w:tcPr>
            <w:tcW w:w="812" w:type="dxa"/>
          </w:tcPr>
          <w:p w:rsidR="00704449" w:rsidRDefault="00704449">
            <w:pPr>
              <w:jc w:val="center"/>
              <w:rPr>
                <w:rFonts w:ascii="Arial" w:eastAsia="Arial" w:hAnsi="Arial" w:cs="Arial"/>
                <w:sz w:val="20"/>
                <w:szCs w:val="20"/>
              </w:rPr>
            </w:pPr>
          </w:p>
        </w:tc>
        <w:tc>
          <w:tcPr>
            <w:tcW w:w="1440" w:type="dxa"/>
          </w:tcPr>
          <w:p w:rsidR="00704449" w:rsidRDefault="00704449">
            <w:pPr>
              <w:jc w:val="center"/>
              <w:rPr>
                <w:rFonts w:ascii="Arial" w:eastAsia="Arial" w:hAnsi="Arial" w:cs="Arial"/>
                <w:sz w:val="20"/>
                <w:szCs w:val="20"/>
              </w:rPr>
            </w:pPr>
          </w:p>
        </w:tc>
      </w:tr>
    </w:tbl>
    <w:p w:rsidR="00704449" w:rsidRDefault="00704449">
      <w:pPr>
        <w:spacing w:after="0" w:line="240" w:lineRule="auto"/>
        <w:jc w:val="both"/>
        <w:rPr>
          <w:rFonts w:ascii="Arial" w:eastAsia="Arial" w:hAnsi="Arial" w:cs="Arial"/>
          <w:sz w:val="20"/>
          <w:szCs w:val="20"/>
        </w:rPr>
        <w:sectPr w:rsidR="00704449">
          <w:type w:val="continuous"/>
          <w:pgSz w:w="12240" w:h="15840"/>
          <w:pgMar w:top="1440" w:right="2016" w:bottom="2016" w:left="2016" w:header="706" w:footer="706" w:gutter="0"/>
          <w:cols w:space="720"/>
        </w:sectPr>
      </w:pPr>
    </w:p>
    <w:p w:rsidR="00704449" w:rsidRDefault="0090383F">
      <w:pPr>
        <w:spacing w:after="0" w:line="240" w:lineRule="auto"/>
        <w:ind w:left="-540"/>
        <w:jc w:val="both"/>
        <w:rPr>
          <w:rFonts w:ascii="Arial" w:eastAsia="Arial" w:hAnsi="Arial" w:cs="Arial"/>
          <w:sz w:val="20"/>
          <w:szCs w:val="20"/>
        </w:rPr>
      </w:pPr>
      <w:r>
        <w:rPr>
          <w:rFonts w:ascii="Arial" w:eastAsia="Arial" w:hAnsi="Arial" w:cs="Arial"/>
          <w:sz w:val="20"/>
          <w:szCs w:val="20"/>
        </w:rPr>
        <w:t>*p&lt;0.05</w:t>
      </w:r>
    </w:p>
    <w:p w:rsidR="00704449" w:rsidRDefault="00704449">
      <w:pPr>
        <w:spacing w:after="0" w:line="240" w:lineRule="auto"/>
        <w:jc w:val="both"/>
        <w:rPr>
          <w:rFonts w:ascii="Arial" w:eastAsia="Arial" w:hAnsi="Arial" w:cs="Arial"/>
          <w:sz w:val="20"/>
          <w:szCs w:val="20"/>
        </w:rPr>
        <w:sectPr w:rsidR="00704449">
          <w:type w:val="continuous"/>
          <w:pgSz w:w="12240" w:h="15840"/>
          <w:pgMar w:top="1440" w:right="2016" w:bottom="2016" w:left="2016" w:header="706" w:footer="706" w:gutter="0"/>
          <w:cols w:num="2" w:space="720" w:equalWidth="0">
            <w:col w:w="3750" w:space="708"/>
            <w:col w:w="3750"/>
          </w:cols>
        </w:sectPr>
      </w:pPr>
    </w:p>
    <w:p w:rsidR="00704449" w:rsidRDefault="0090383F">
      <w:pPr>
        <w:spacing w:after="0" w:line="240" w:lineRule="auto"/>
        <w:jc w:val="both"/>
        <w:rPr>
          <w:rFonts w:ascii="Arial" w:eastAsia="Arial" w:hAnsi="Arial" w:cs="Arial"/>
          <w:sz w:val="20"/>
          <w:szCs w:val="20"/>
        </w:rPr>
      </w:pPr>
      <w:r>
        <w:rPr>
          <w:rFonts w:ascii="Arial" w:eastAsia="Arial" w:hAnsi="Arial" w:cs="Arial"/>
          <w:sz w:val="20"/>
          <w:szCs w:val="20"/>
        </w:rPr>
        <w:t xml:space="preserve">sex education </w:t>
      </w:r>
      <w:r>
        <w:rPr>
          <w:rFonts w:ascii="Arial" w:eastAsia="Arial" w:hAnsi="Arial" w:cs="Arial"/>
          <w:sz w:val="20"/>
          <w:szCs w:val="20"/>
        </w:rPr>
        <w:t xml:space="preserve">should be developmentally appropriate to avoid misconceptions among students. However, Kasonde [44] found that teachers have less Confidence in Teaching education because of the cultural and religious barriers and lack of formal training. Thus, before the </w:t>
      </w:r>
      <w:r>
        <w:rPr>
          <w:rFonts w:ascii="Arial" w:eastAsia="Arial" w:hAnsi="Arial" w:cs="Arial"/>
          <w:sz w:val="20"/>
          <w:szCs w:val="20"/>
        </w:rPr>
        <w:t>implementation of sex education, school administrators may provide their teachers with formal training to enhance their general understanding of sex education and somehow modify their cultural beliefs that might be affecting their behaviour towards sex edu</w:t>
      </w:r>
      <w:r>
        <w:rPr>
          <w:rFonts w:ascii="Arial" w:eastAsia="Arial" w:hAnsi="Arial" w:cs="Arial"/>
          <w:sz w:val="20"/>
          <w:szCs w:val="20"/>
        </w:rPr>
        <w:t>cation. Lastly, the school institution should provide adequate resources to address all the gaps in teaching sex education.</w:t>
      </w:r>
    </w:p>
    <w:p w:rsidR="00704449" w:rsidRDefault="00704449">
      <w:pPr>
        <w:spacing w:after="0" w:line="240" w:lineRule="auto"/>
        <w:jc w:val="both"/>
        <w:rPr>
          <w:rFonts w:ascii="Arial" w:eastAsia="Arial" w:hAnsi="Arial" w:cs="Arial"/>
          <w:sz w:val="20"/>
          <w:szCs w:val="20"/>
        </w:rPr>
      </w:pPr>
    </w:p>
    <w:p w:rsidR="00704449" w:rsidRDefault="0090383F">
      <w:pPr>
        <w:spacing w:after="0" w:line="240" w:lineRule="auto"/>
        <w:jc w:val="both"/>
        <w:rPr>
          <w:rFonts w:ascii="Arial" w:eastAsia="Arial" w:hAnsi="Arial" w:cs="Arial"/>
          <w:sz w:val="20"/>
          <w:szCs w:val="20"/>
        </w:rPr>
      </w:pPr>
      <w:r>
        <w:rPr>
          <w:rFonts w:ascii="Arial" w:eastAsia="Arial" w:hAnsi="Arial" w:cs="Arial"/>
          <w:sz w:val="20"/>
          <w:szCs w:val="20"/>
        </w:rPr>
        <w:t>Furthermore, Javadnoori et al. [45] and Martin et al. [46] stated that sex education knowledge and confidence in teaching sex educa</w:t>
      </w:r>
      <w:r>
        <w:rPr>
          <w:rFonts w:ascii="Arial" w:eastAsia="Arial" w:hAnsi="Arial" w:cs="Arial"/>
          <w:sz w:val="20"/>
          <w:szCs w:val="20"/>
        </w:rPr>
        <w:t>tion were slightly below the threshold. Teachers should continue to develop and broaden their understanding of sex education. According to Pokhrel and Chhetri [47], teachers' sex education competency criteria should be changed to account for social changes</w:t>
      </w:r>
      <w:r>
        <w:rPr>
          <w:rFonts w:ascii="Arial" w:eastAsia="Arial" w:hAnsi="Arial" w:cs="Arial"/>
          <w:sz w:val="20"/>
          <w:szCs w:val="20"/>
        </w:rPr>
        <w:t xml:space="preserve">, and </w:t>
      </w:r>
      <w:r>
        <w:rPr>
          <w:rFonts w:ascii="Arial" w:eastAsia="Arial" w:hAnsi="Arial" w:cs="Arial"/>
          <w:sz w:val="20"/>
          <w:szCs w:val="20"/>
        </w:rPr>
        <w:t xml:space="preserve">policymakers should use these findings to support training initiatives. As a result, Aventin et al. [48] recommend improving the confidence of school personnel and instructors in teaching sex education in the classroom. </w:t>
      </w:r>
    </w:p>
    <w:p w:rsidR="00704449" w:rsidRDefault="00704449">
      <w:pPr>
        <w:spacing w:after="0" w:line="240" w:lineRule="auto"/>
        <w:jc w:val="both"/>
        <w:rPr>
          <w:rFonts w:ascii="Arial" w:eastAsia="Arial" w:hAnsi="Arial" w:cs="Arial"/>
          <w:sz w:val="20"/>
          <w:szCs w:val="20"/>
        </w:rPr>
      </w:pPr>
    </w:p>
    <w:p w:rsidR="00704449" w:rsidRDefault="0090383F">
      <w:pPr>
        <w:spacing w:after="0" w:line="240" w:lineRule="auto"/>
        <w:jc w:val="both"/>
        <w:rPr>
          <w:rFonts w:ascii="Arial" w:eastAsia="Arial" w:hAnsi="Arial" w:cs="Arial"/>
          <w:b/>
          <w:sz w:val="22"/>
          <w:szCs w:val="22"/>
        </w:rPr>
      </w:pPr>
      <w:r>
        <w:rPr>
          <w:rFonts w:ascii="Arial" w:eastAsia="Arial" w:hAnsi="Arial" w:cs="Arial"/>
          <w:b/>
          <w:sz w:val="22"/>
          <w:szCs w:val="22"/>
        </w:rPr>
        <w:t>4.3 SIGNIFICANT DIFFERENCE I</w:t>
      </w:r>
      <w:r>
        <w:rPr>
          <w:rFonts w:ascii="Arial" w:eastAsia="Arial" w:hAnsi="Arial" w:cs="Arial"/>
          <w:b/>
          <w:sz w:val="22"/>
          <w:szCs w:val="22"/>
        </w:rPr>
        <w:t>N THE LEVEL OF ACCEPTANCE OF SCHOOL TEACHERS IN TEACHING SEX EDUCATION AS ANALYZED BY AGE</w:t>
      </w:r>
    </w:p>
    <w:p w:rsidR="00704449" w:rsidRDefault="00704449">
      <w:pPr>
        <w:spacing w:after="0" w:line="240" w:lineRule="auto"/>
        <w:jc w:val="both"/>
        <w:rPr>
          <w:rFonts w:ascii="Arial" w:eastAsia="Arial" w:hAnsi="Arial" w:cs="Arial"/>
          <w:b/>
          <w:sz w:val="22"/>
          <w:szCs w:val="22"/>
        </w:rPr>
      </w:pPr>
    </w:p>
    <w:p w:rsidR="00704449" w:rsidRDefault="0090383F">
      <w:pPr>
        <w:spacing w:after="0" w:line="240" w:lineRule="auto"/>
        <w:jc w:val="both"/>
        <w:rPr>
          <w:rFonts w:ascii="Arial" w:eastAsia="Arial" w:hAnsi="Arial" w:cs="Arial"/>
          <w:bCs/>
          <w:sz w:val="20"/>
          <w:szCs w:val="20"/>
        </w:rPr>
      </w:pPr>
      <w:r>
        <w:rPr>
          <w:rFonts w:ascii="Arial" w:eastAsia="Arial" w:hAnsi="Arial" w:cs="Arial"/>
          <w:bCs/>
          <w:sz w:val="20"/>
          <w:szCs w:val="20"/>
        </w:rPr>
        <w:t>Table 4 examines the difference in acceptance levels of sex education among teachers, categorized by age group. The analysis uses mean ranks and a chi-square test. T</w:t>
      </w:r>
      <w:r>
        <w:rPr>
          <w:rFonts w:ascii="Arial" w:eastAsia="Arial" w:hAnsi="Arial" w:cs="Arial"/>
          <w:bCs/>
          <w:sz w:val="20"/>
          <w:szCs w:val="20"/>
        </w:rPr>
        <w:t>he relatively high p-value (Asymp. The level of approval for sex education does not vary significantly among teaching age groups, as indicated by Sig. = 0.629 (equivalent). The mean ranks differ, but not so much that they are statistically significant at a</w:t>
      </w:r>
      <w:r>
        <w:rPr>
          <w:rFonts w:ascii="Arial" w:eastAsia="Arial" w:hAnsi="Arial" w:cs="Arial"/>
          <w:bCs/>
          <w:sz w:val="20"/>
          <w:szCs w:val="20"/>
        </w:rPr>
        <w:t xml:space="preserve"> standard alpha level (e.g, 0.05). Thus, we can conclude that age is not a significant factor in teachers' support of sex education. Understanding the subtleties of teacher </w:t>
      </w:r>
      <w:r>
        <w:rPr>
          <w:rFonts w:ascii="Arial" w:eastAsia="Arial" w:hAnsi="Arial" w:cs="Arial"/>
          <w:bCs/>
          <w:sz w:val="20"/>
          <w:szCs w:val="20"/>
        </w:rPr>
        <w:lastRenderedPageBreak/>
        <w:t>acceptance of sex education may require further consideration beyond age.</w:t>
      </w:r>
    </w:p>
    <w:p w:rsidR="00704449" w:rsidRDefault="00704449">
      <w:pPr>
        <w:spacing w:after="0" w:line="240" w:lineRule="auto"/>
        <w:jc w:val="both"/>
        <w:rPr>
          <w:rFonts w:ascii="Arial" w:eastAsia="Arial" w:hAnsi="Arial" w:cs="Arial"/>
          <w:bCs/>
          <w:sz w:val="20"/>
          <w:szCs w:val="20"/>
          <w:highlight w:val="cyan"/>
        </w:rPr>
      </w:pPr>
    </w:p>
    <w:p w:rsidR="00704449" w:rsidRDefault="0090383F">
      <w:pPr>
        <w:spacing w:after="0" w:line="240" w:lineRule="auto"/>
        <w:jc w:val="both"/>
        <w:rPr>
          <w:rFonts w:ascii="Arial" w:eastAsia="Arial" w:hAnsi="Arial" w:cs="Arial"/>
          <w:bCs/>
          <w:sz w:val="20"/>
          <w:szCs w:val="20"/>
        </w:rPr>
      </w:pPr>
      <w:r>
        <w:rPr>
          <w:rFonts w:ascii="Arial" w:eastAsia="Arial" w:hAnsi="Arial" w:cs="Arial"/>
          <w:bCs/>
          <w:sz w:val="20"/>
          <w:szCs w:val="20"/>
        </w:rPr>
        <w:t>Based on</w:t>
      </w:r>
      <w:r>
        <w:rPr>
          <w:rFonts w:ascii="Arial" w:eastAsia="Arial" w:hAnsi="Arial" w:cs="Arial"/>
          <w:bCs/>
          <w:sz w:val="20"/>
          <w:szCs w:val="20"/>
        </w:rPr>
        <w:t xml:space="preserve"> age, Job Effectiveness, Confidence, and an Overall assessment of three dimensions, this table displays the acceptance level of sex education among teachers. The analysis employs a Kruskal-Wallis test (based on Chi-square values and degrees of freedom). Cr</w:t>
      </w:r>
      <w:r>
        <w:rPr>
          <w:rFonts w:ascii="Arial" w:eastAsia="Arial" w:hAnsi="Arial" w:cs="Arial"/>
          <w:bCs/>
          <w:sz w:val="20"/>
          <w:szCs w:val="20"/>
        </w:rPr>
        <w:t>ucially, the p-values (Asymp. Job Effectiveness (0.215), Confidence (0.163), and Overall assessment (0.395) score significantly exceed the mean significance level of 0.05. This means there are no statistically significant differences in the acceptance of s</w:t>
      </w:r>
      <w:r>
        <w:rPr>
          <w:rFonts w:ascii="Arial" w:eastAsia="Arial" w:hAnsi="Arial" w:cs="Arial"/>
          <w:bCs/>
          <w:sz w:val="20"/>
          <w:szCs w:val="20"/>
        </w:rPr>
        <w:t xml:space="preserve">ex education for any of the three dimensions by teachers across different </w:t>
      </w:r>
      <w:r>
        <w:rPr>
          <w:rFonts w:ascii="Arial" w:eastAsia="Arial" w:hAnsi="Arial" w:cs="Arial"/>
          <w:bCs/>
          <w:sz w:val="20"/>
          <w:szCs w:val="20"/>
        </w:rPr>
        <w:t>age groups. There are some variations in the mean ranks across age groups for each dimension, but these differences are not substantial enough to be considered statistically signific</w:t>
      </w:r>
      <w:r>
        <w:rPr>
          <w:rFonts w:ascii="Arial" w:eastAsia="Arial" w:hAnsi="Arial" w:cs="Arial"/>
          <w:bCs/>
          <w:sz w:val="20"/>
          <w:szCs w:val="20"/>
        </w:rPr>
        <w:t>ant. Accordingly, teachers' age does not seem to have a significant impact on their job performance, confidence levels or general acceptance of sex education.</w:t>
      </w:r>
    </w:p>
    <w:p w:rsidR="00704449" w:rsidRDefault="00704449">
      <w:pPr>
        <w:spacing w:after="0" w:line="240" w:lineRule="auto"/>
        <w:jc w:val="both"/>
        <w:rPr>
          <w:rFonts w:ascii="Arial" w:eastAsia="Arial" w:hAnsi="Arial" w:cs="Arial"/>
          <w:bCs/>
          <w:sz w:val="20"/>
          <w:szCs w:val="20"/>
        </w:rPr>
      </w:pPr>
    </w:p>
    <w:p w:rsidR="00704449" w:rsidRDefault="0090383F">
      <w:pPr>
        <w:spacing w:after="0" w:line="240" w:lineRule="auto"/>
        <w:jc w:val="both"/>
        <w:rPr>
          <w:rFonts w:ascii="Arial" w:eastAsia="Arial" w:hAnsi="Arial" w:cs="Arial"/>
          <w:sz w:val="20"/>
          <w:szCs w:val="20"/>
        </w:rPr>
        <w:sectPr w:rsidR="00704449">
          <w:type w:val="continuous"/>
          <w:pgSz w:w="12240" w:h="15840"/>
          <w:pgMar w:top="1440" w:right="2016" w:bottom="2016" w:left="2016" w:header="706" w:footer="706" w:gutter="0"/>
          <w:cols w:num="2" w:space="720" w:equalWidth="0">
            <w:col w:w="3750" w:space="708"/>
            <w:col w:w="3750"/>
          </w:cols>
        </w:sectPr>
      </w:pPr>
      <w:r>
        <w:rPr>
          <w:rFonts w:ascii="Arial" w:eastAsia="Arial" w:hAnsi="Arial" w:cs="Arial"/>
          <w:sz w:val="20"/>
          <w:szCs w:val="20"/>
        </w:rPr>
        <w:t xml:space="preserve">Table 4 shows the age-related differences in the level of acceptance of </w:t>
      </w:r>
      <w:r>
        <w:rPr>
          <w:rFonts w:ascii="Arial" w:eastAsia="Arial" w:hAnsi="Arial" w:cs="Arial"/>
          <w:sz w:val="20"/>
          <w:szCs w:val="20"/>
        </w:rPr>
        <w:t xml:space="preserve">elementary school teachers in teaching sex education. The results show that there is no significant difference when analyzed by age, with a mean rank of 84.18 for 20-30 years old, 84.97 for 31-40 years old, 73.44 for 41-50 </w:t>
      </w:r>
    </w:p>
    <w:p w:rsidR="00704449" w:rsidRDefault="0090383F">
      <w:pPr>
        <w:spacing w:after="0" w:line="240" w:lineRule="auto"/>
        <w:jc w:val="center"/>
        <w:rPr>
          <w:rFonts w:ascii="Arial" w:eastAsia="Arial" w:hAnsi="Arial" w:cs="Arial"/>
          <w:b/>
          <w:i/>
          <w:sz w:val="22"/>
          <w:szCs w:val="22"/>
        </w:rPr>
      </w:pPr>
      <w:r>
        <w:rPr>
          <w:rFonts w:ascii="Arial" w:eastAsia="Arial" w:hAnsi="Arial" w:cs="Arial"/>
          <w:b/>
          <w:sz w:val="22"/>
          <w:szCs w:val="22"/>
        </w:rPr>
        <w:t xml:space="preserve">Table 5. </w:t>
      </w:r>
      <w:r>
        <w:rPr>
          <w:rFonts w:ascii="Arial" w:eastAsia="Arial" w:hAnsi="Arial" w:cs="Arial"/>
          <w:b/>
          <w:i/>
          <w:sz w:val="22"/>
          <w:szCs w:val="22"/>
        </w:rPr>
        <w:t>The difference in accep</w:t>
      </w:r>
      <w:r>
        <w:rPr>
          <w:rFonts w:ascii="Arial" w:eastAsia="Arial" w:hAnsi="Arial" w:cs="Arial"/>
          <w:b/>
          <w:i/>
          <w:sz w:val="22"/>
          <w:szCs w:val="22"/>
        </w:rPr>
        <w:t>tance level when analyzed by Civil Status</w:t>
      </w:r>
    </w:p>
    <w:p w:rsidR="00704449" w:rsidRDefault="00704449">
      <w:pPr>
        <w:spacing w:after="0" w:line="240" w:lineRule="auto"/>
        <w:jc w:val="center"/>
        <w:rPr>
          <w:rFonts w:ascii="Arial" w:eastAsia="Arial" w:hAnsi="Arial" w:cs="Arial"/>
          <w:b/>
          <w:i/>
          <w:sz w:val="22"/>
          <w:szCs w:val="22"/>
        </w:rPr>
      </w:pPr>
    </w:p>
    <w:tbl>
      <w:tblPr>
        <w:tblStyle w:val="a3"/>
        <w:tblpPr w:leftFromText="180" w:rightFromText="180" w:vertAnchor="text" w:tblpX="-635" w:tblpY="1"/>
        <w:tblW w:w="9822" w:type="dxa"/>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1801"/>
        <w:gridCol w:w="1803"/>
        <w:gridCol w:w="811"/>
        <w:gridCol w:w="1623"/>
        <w:gridCol w:w="1442"/>
        <w:gridCol w:w="719"/>
        <w:gridCol w:w="1623"/>
      </w:tblGrid>
      <w:tr w:rsidR="00704449">
        <w:tc>
          <w:tcPr>
            <w:tcW w:w="1801" w:type="dxa"/>
            <w:tcBorders>
              <w:top w:val="single" w:sz="4" w:space="0" w:color="000000"/>
              <w:bottom w:val="single" w:sz="4" w:space="0" w:color="000000"/>
            </w:tcBorders>
          </w:tcPr>
          <w:p w:rsidR="00704449" w:rsidRDefault="00704449">
            <w:pPr>
              <w:rPr>
                <w:rFonts w:ascii="Arial" w:eastAsia="Arial" w:hAnsi="Arial" w:cs="Arial"/>
                <w:b/>
                <w:sz w:val="20"/>
                <w:szCs w:val="20"/>
              </w:rPr>
            </w:pPr>
          </w:p>
        </w:tc>
        <w:tc>
          <w:tcPr>
            <w:tcW w:w="1803" w:type="dxa"/>
            <w:tcBorders>
              <w:top w:val="single" w:sz="4" w:space="0" w:color="000000"/>
              <w:bottom w:val="single" w:sz="4" w:space="0" w:color="000000"/>
            </w:tcBorders>
          </w:tcPr>
          <w:p w:rsidR="00704449" w:rsidRDefault="0090383F">
            <w:pPr>
              <w:jc w:val="center"/>
              <w:rPr>
                <w:rFonts w:ascii="Arial" w:eastAsia="Arial" w:hAnsi="Arial" w:cs="Arial"/>
                <w:b/>
                <w:sz w:val="20"/>
                <w:szCs w:val="20"/>
              </w:rPr>
            </w:pPr>
            <w:r>
              <w:rPr>
                <w:rFonts w:ascii="Arial" w:eastAsia="Arial" w:hAnsi="Arial" w:cs="Arial"/>
                <w:b/>
                <w:sz w:val="20"/>
                <w:szCs w:val="20"/>
              </w:rPr>
              <w:t>Civil Status</w:t>
            </w:r>
          </w:p>
        </w:tc>
        <w:tc>
          <w:tcPr>
            <w:tcW w:w="811" w:type="dxa"/>
            <w:tcBorders>
              <w:top w:val="single" w:sz="4" w:space="0" w:color="000000"/>
              <w:bottom w:val="single" w:sz="4" w:space="0" w:color="000000"/>
            </w:tcBorders>
          </w:tcPr>
          <w:p w:rsidR="00704449" w:rsidRDefault="0090383F">
            <w:pPr>
              <w:jc w:val="center"/>
              <w:rPr>
                <w:rFonts w:ascii="Arial" w:eastAsia="Arial" w:hAnsi="Arial" w:cs="Arial"/>
                <w:b/>
                <w:sz w:val="20"/>
                <w:szCs w:val="20"/>
              </w:rPr>
            </w:pPr>
            <w:r>
              <w:rPr>
                <w:rFonts w:ascii="Arial" w:eastAsia="Arial" w:hAnsi="Arial" w:cs="Arial"/>
                <w:b/>
                <w:sz w:val="20"/>
                <w:szCs w:val="20"/>
              </w:rPr>
              <w:t>N</w:t>
            </w:r>
          </w:p>
        </w:tc>
        <w:tc>
          <w:tcPr>
            <w:tcW w:w="1623" w:type="dxa"/>
            <w:tcBorders>
              <w:top w:val="single" w:sz="4" w:space="0" w:color="000000"/>
              <w:bottom w:val="single" w:sz="4" w:space="0" w:color="000000"/>
            </w:tcBorders>
          </w:tcPr>
          <w:p w:rsidR="00704449" w:rsidRDefault="0090383F">
            <w:pPr>
              <w:jc w:val="center"/>
              <w:rPr>
                <w:rFonts w:ascii="Arial" w:eastAsia="Arial" w:hAnsi="Arial" w:cs="Arial"/>
                <w:b/>
                <w:sz w:val="20"/>
                <w:szCs w:val="20"/>
              </w:rPr>
            </w:pPr>
            <w:r>
              <w:rPr>
                <w:rFonts w:ascii="Arial" w:eastAsia="Arial" w:hAnsi="Arial" w:cs="Arial"/>
                <w:b/>
                <w:sz w:val="20"/>
                <w:szCs w:val="20"/>
              </w:rPr>
              <w:t>Mean Rank</w:t>
            </w:r>
          </w:p>
        </w:tc>
        <w:tc>
          <w:tcPr>
            <w:tcW w:w="1442" w:type="dxa"/>
            <w:tcBorders>
              <w:top w:val="single" w:sz="4" w:space="0" w:color="000000"/>
              <w:bottom w:val="single" w:sz="4" w:space="0" w:color="000000"/>
            </w:tcBorders>
          </w:tcPr>
          <w:p w:rsidR="00704449" w:rsidRDefault="0090383F">
            <w:pPr>
              <w:jc w:val="center"/>
              <w:rPr>
                <w:rFonts w:ascii="Arial" w:eastAsia="Arial" w:hAnsi="Arial" w:cs="Arial"/>
                <w:b/>
                <w:sz w:val="20"/>
                <w:szCs w:val="20"/>
              </w:rPr>
            </w:pPr>
            <w:r>
              <w:rPr>
                <w:rFonts w:ascii="Arial" w:eastAsia="Arial" w:hAnsi="Arial" w:cs="Arial"/>
                <w:b/>
                <w:sz w:val="20"/>
                <w:szCs w:val="20"/>
              </w:rPr>
              <w:t>Chi-square</w:t>
            </w:r>
          </w:p>
        </w:tc>
        <w:tc>
          <w:tcPr>
            <w:tcW w:w="719" w:type="dxa"/>
            <w:tcBorders>
              <w:top w:val="single" w:sz="4" w:space="0" w:color="000000"/>
              <w:bottom w:val="single" w:sz="4" w:space="0" w:color="000000"/>
            </w:tcBorders>
          </w:tcPr>
          <w:p w:rsidR="00704449" w:rsidRDefault="0090383F">
            <w:pPr>
              <w:jc w:val="center"/>
              <w:rPr>
                <w:rFonts w:ascii="Arial" w:eastAsia="Arial" w:hAnsi="Arial" w:cs="Arial"/>
                <w:b/>
                <w:sz w:val="20"/>
                <w:szCs w:val="20"/>
              </w:rPr>
            </w:pPr>
            <w:r>
              <w:rPr>
                <w:rFonts w:ascii="Arial" w:eastAsia="Arial" w:hAnsi="Arial" w:cs="Arial"/>
                <w:b/>
                <w:sz w:val="20"/>
                <w:szCs w:val="20"/>
              </w:rPr>
              <w:t>df</w:t>
            </w:r>
          </w:p>
        </w:tc>
        <w:tc>
          <w:tcPr>
            <w:tcW w:w="1623" w:type="dxa"/>
            <w:tcBorders>
              <w:top w:val="single" w:sz="4" w:space="0" w:color="000000"/>
              <w:bottom w:val="single" w:sz="4" w:space="0" w:color="000000"/>
            </w:tcBorders>
          </w:tcPr>
          <w:p w:rsidR="00704449" w:rsidRDefault="0090383F">
            <w:pPr>
              <w:jc w:val="center"/>
              <w:rPr>
                <w:rFonts w:ascii="Arial" w:eastAsia="Arial" w:hAnsi="Arial" w:cs="Arial"/>
                <w:b/>
                <w:sz w:val="20"/>
                <w:szCs w:val="20"/>
              </w:rPr>
            </w:pPr>
            <w:r>
              <w:rPr>
                <w:rFonts w:ascii="Arial" w:eastAsia="Arial" w:hAnsi="Arial" w:cs="Arial"/>
                <w:b/>
                <w:sz w:val="20"/>
                <w:szCs w:val="20"/>
              </w:rPr>
              <w:t xml:space="preserve">Asymp. Sig. </w:t>
            </w:r>
          </w:p>
        </w:tc>
      </w:tr>
      <w:tr w:rsidR="00704449">
        <w:tc>
          <w:tcPr>
            <w:tcW w:w="1801" w:type="dxa"/>
            <w:vMerge w:val="restart"/>
            <w:tcBorders>
              <w:top w:val="single" w:sz="4" w:space="0" w:color="000000"/>
            </w:tcBorders>
            <w:vAlign w:val="center"/>
          </w:tcPr>
          <w:p w:rsidR="00704449" w:rsidRDefault="0090383F">
            <w:pPr>
              <w:jc w:val="center"/>
              <w:rPr>
                <w:rFonts w:ascii="Arial" w:eastAsia="Arial" w:hAnsi="Arial" w:cs="Arial"/>
                <w:b/>
                <w:sz w:val="20"/>
                <w:szCs w:val="20"/>
              </w:rPr>
            </w:pPr>
            <w:r>
              <w:rPr>
                <w:rFonts w:ascii="Arial" w:eastAsia="Arial" w:hAnsi="Arial" w:cs="Arial"/>
                <w:b/>
                <w:sz w:val="20"/>
                <w:szCs w:val="20"/>
              </w:rPr>
              <w:t>Approval</w:t>
            </w:r>
          </w:p>
        </w:tc>
        <w:tc>
          <w:tcPr>
            <w:tcW w:w="1803" w:type="dxa"/>
            <w:tcBorders>
              <w:top w:val="single" w:sz="4" w:space="0" w:color="000000"/>
            </w:tcBorders>
          </w:tcPr>
          <w:p w:rsidR="00704449" w:rsidRDefault="0090383F">
            <w:pPr>
              <w:rPr>
                <w:rFonts w:ascii="Arial" w:eastAsia="Arial" w:hAnsi="Arial" w:cs="Arial"/>
                <w:sz w:val="20"/>
                <w:szCs w:val="20"/>
              </w:rPr>
            </w:pPr>
            <w:r>
              <w:rPr>
                <w:rFonts w:ascii="Arial" w:eastAsia="Arial" w:hAnsi="Arial" w:cs="Arial"/>
                <w:sz w:val="20"/>
                <w:szCs w:val="20"/>
              </w:rPr>
              <w:t>Single</w:t>
            </w:r>
          </w:p>
        </w:tc>
        <w:tc>
          <w:tcPr>
            <w:tcW w:w="811" w:type="dxa"/>
            <w:tcBorders>
              <w:top w:val="single" w:sz="4" w:space="0" w:color="000000"/>
            </w:tcBorders>
          </w:tcPr>
          <w:p w:rsidR="00704449" w:rsidRDefault="0090383F">
            <w:pPr>
              <w:jc w:val="center"/>
              <w:rPr>
                <w:rFonts w:ascii="Arial" w:eastAsia="Arial" w:hAnsi="Arial" w:cs="Arial"/>
                <w:sz w:val="20"/>
                <w:szCs w:val="20"/>
              </w:rPr>
            </w:pPr>
            <w:r>
              <w:rPr>
                <w:rFonts w:ascii="Arial" w:eastAsia="Arial" w:hAnsi="Arial" w:cs="Arial"/>
                <w:sz w:val="20"/>
                <w:szCs w:val="20"/>
              </w:rPr>
              <w:t>38</w:t>
            </w:r>
          </w:p>
        </w:tc>
        <w:tc>
          <w:tcPr>
            <w:tcW w:w="1623" w:type="dxa"/>
            <w:tcBorders>
              <w:top w:val="single" w:sz="4" w:space="0" w:color="000000"/>
            </w:tcBorders>
          </w:tcPr>
          <w:p w:rsidR="00704449" w:rsidRDefault="0090383F">
            <w:pPr>
              <w:jc w:val="center"/>
              <w:rPr>
                <w:rFonts w:ascii="Arial" w:eastAsia="Arial" w:hAnsi="Arial" w:cs="Arial"/>
                <w:sz w:val="20"/>
                <w:szCs w:val="20"/>
              </w:rPr>
            </w:pPr>
            <w:r>
              <w:rPr>
                <w:rFonts w:ascii="Arial" w:eastAsia="Arial" w:hAnsi="Arial" w:cs="Arial"/>
                <w:sz w:val="20"/>
                <w:szCs w:val="20"/>
              </w:rPr>
              <w:t>87.82</w:t>
            </w:r>
          </w:p>
        </w:tc>
        <w:tc>
          <w:tcPr>
            <w:tcW w:w="1442" w:type="dxa"/>
            <w:tcBorders>
              <w:top w:val="single" w:sz="4" w:space="0" w:color="000000"/>
            </w:tcBorders>
          </w:tcPr>
          <w:p w:rsidR="00704449" w:rsidRDefault="0090383F">
            <w:pPr>
              <w:jc w:val="center"/>
              <w:rPr>
                <w:rFonts w:ascii="Arial" w:eastAsia="Arial" w:hAnsi="Arial" w:cs="Arial"/>
                <w:sz w:val="20"/>
                <w:szCs w:val="20"/>
              </w:rPr>
            </w:pPr>
            <w:r>
              <w:rPr>
                <w:rFonts w:ascii="Arial" w:eastAsia="Arial" w:hAnsi="Arial" w:cs="Arial"/>
                <w:sz w:val="20"/>
                <w:szCs w:val="20"/>
              </w:rPr>
              <w:t>8.444</w:t>
            </w:r>
          </w:p>
        </w:tc>
        <w:tc>
          <w:tcPr>
            <w:tcW w:w="719" w:type="dxa"/>
            <w:tcBorders>
              <w:top w:val="single" w:sz="4" w:space="0" w:color="000000"/>
            </w:tcBorders>
          </w:tcPr>
          <w:p w:rsidR="00704449" w:rsidRDefault="0090383F">
            <w:pPr>
              <w:jc w:val="center"/>
              <w:rPr>
                <w:rFonts w:ascii="Arial" w:eastAsia="Arial" w:hAnsi="Arial" w:cs="Arial"/>
                <w:sz w:val="20"/>
                <w:szCs w:val="20"/>
              </w:rPr>
            </w:pPr>
            <w:r>
              <w:rPr>
                <w:rFonts w:ascii="Arial" w:eastAsia="Arial" w:hAnsi="Arial" w:cs="Arial"/>
                <w:sz w:val="20"/>
                <w:szCs w:val="20"/>
              </w:rPr>
              <w:t>3</w:t>
            </w:r>
          </w:p>
        </w:tc>
        <w:tc>
          <w:tcPr>
            <w:tcW w:w="1623" w:type="dxa"/>
            <w:tcBorders>
              <w:top w:val="single" w:sz="4" w:space="0" w:color="000000"/>
            </w:tcBorders>
          </w:tcPr>
          <w:p w:rsidR="00704449" w:rsidRDefault="0090383F">
            <w:pPr>
              <w:jc w:val="center"/>
              <w:rPr>
                <w:rFonts w:ascii="Arial" w:eastAsia="Arial" w:hAnsi="Arial" w:cs="Arial"/>
                <w:sz w:val="20"/>
                <w:szCs w:val="20"/>
              </w:rPr>
            </w:pPr>
            <w:r>
              <w:rPr>
                <w:rFonts w:ascii="Arial" w:eastAsia="Arial" w:hAnsi="Arial" w:cs="Arial"/>
                <w:sz w:val="20"/>
                <w:szCs w:val="20"/>
              </w:rPr>
              <w:t>0.038*</w:t>
            </w:r>
          </w:p>
        </w:tc>
      </w:tr>
      <w:tr w:rsidR="00704449">
        <w:tc>
          <w:tcPr>
            <w:tcW w:w="1801" w:type="dxa"/>
            <w:vMerge/>
            <w:tcBorders>
              <w:top w:val="single" w:sz="4" w:space="0" w:color="000000"/>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1803" w:type="dxa"/>
            <w:tcBorders>
              <w:top w:val="nil"/>
            </w:tcBorders>
          </w:tcPr>
          <w:p w:rsidR="00704449" w:rsidRDefault="0090383F">
            <w:pPr>
              <w:rPr>
                <w:rFonts w:ascii="Arial" w:eastAsia="Arial" w:hAnsi="Arial" w:cs="Arial"/>
                <w:sz w:val="20"/>
                <w:szCs w:val="20"/>
              </w:rPr>
            </w:pPr>
            <w:r>
              <w:rPr>
                <w:rFonts w:ascii="Arial" w:eastAsia="Arial" w:hAnsi="Arial" w:cs="Arial"/>
                <w:sz w:val="20"/>
                <w:szCs w:val="20"/>
              </w:rPr>
              <w:t>Married</w:t>
            </w:r>
          </w:p>
        </w:tc>
        <w:tc>
          <w:tcPr>
            <w:tcW w:w="811" w:type="dxa"/>
            <w:tcBorders>
              <w:top w:val="nil"/>
            </w:tcBorders>
          </w:tcPr>
          <w:p w:rsidR="00704449" w:rsidRDefault="0090383F">
            <w:pPr>
              <w:jc w:val="center"/>
              <w:rPr>
                <w:rFonts w:ascii="Arial" w:eastAsia="Arial" w:hAnsi="Arial" w:cs="Arial"/>
                <w:sz w:val="20"/>
                <w:szCs w:val="20"/>
              </w:rPr>
            </w:pPr>
            <w:r>
              <w:rPr>
                <w:rFonts w:ascii="Arial" w:eastAsia="Arial" w:hAnsi="Arial" w:cs="Arial"/>
                <w:sz w:val="20"/>
                <w:szCs w:val="20"/>
              </w:rPr>
              <w:t>50</w:t>
            </w:r>
          </w:p>
        </w:tc>
        <w:tc>
          <w:tcPr>
            <w:tcW w:w="1623" w:type="dxa"/>
            <w:tcBorders>
              <w:top w:val="nil"/>
            </w:tcBorders>
          </w:tcPr>
          <w:p w:rsidR="00704449" w:rsidRDefault="0090383F">
            <w:pPr>
              <w:jc w:val="center"/>
              <w:rPr>
                <w:rFonts w:ascii="Arial" w:eastAsia="Arial" w:hAnsi="Arial" w:cs="Arial"/>
                <w:sz w:val="20"/>
                <w:szCs w:val="20"/>
              </w:rPr>
            </w:pPr>
            <w:r>
              <w:rPr>
                <w:rFonts w:ascii="Arial" w:eastAsia="Arial" w:hAnsi="Arial" w:cs="Arial"/>
                <w:sz w:val="20"/>
                <w:szCs w:val="20"/>
              </w:rPr>
              <w:t>79.98</w:t>
            </w:r>
          </w:p>
        </w:tc>
        <w:tc>
          <w:tcPr>
            <w:tcW w:w="1442" w:type="dxa"/>
            <w:tcBorders>
              <w:top w:val="nil"/>
            </w:tcBorders>
          </w:tcPr>
          <w:p w:rsidR="00704449" w:rsidRDefault="00704449">
            <w:pPr>
              <w:jc w:val="center"/>
              <w:rPr>
                <w:rFonts w:ascii="Arial" w:eastAsia="Arial" w:hAnsi="Arial" w:cs="Arial"/>
                <w:sz w:val="20"/>
                <w:szCs w:val="20"/>
              </w:rPr>
            </w:pPr>
          </w:p>
        </w:tc>
        <w:tc>
          <w:tcPr>
            <w:tcW w:w="719" w:type="dxa"/>
            <w:tcBorders>
              <w:top w:val="nil"/>
            </w:tcBorders>
          </w:tcPr>
          <w:p w:rsidR="00704449" w:rsidRDefault="00704449">
            <w:pPr>
              <w:jc w:val="center"/>
              <w:rPr>
                <w:rFonts w:ascii="Arial" w:eastAsia="Arial" w:hAnsi="Arial" w:cs="Arial"/>
                <w:sz w:val="20"/>
                <w:szCs w:val="20"/>
              </w:rPr>
            </w:pPr>
          </w:p>
        </w:tc>
        <w:tc>
          <w:tcPr>
            <w:tcW w:w="1623" w:type="dxa"/>
            <w:tcBorders>
              <w:top w:val="nil"/>
            </w:tcBorders>
          </w:tcPr>
          <w:p w:rsidR="00704449" w:rsidRDefault="00704449">
            <w:pPr>
              <w:jc w:val="center"/>
              <w:rPr>
                <w:rFonts w:ascii="Arial" w:eastAsia="Arial" w:hAnsi="Arial" w:cs="Arial"/>
                <w:sz w:val="20"/>
                <w:szCs w:val="20"/>
              </w:rPr>
            </w:pPr>
          </w:p>
        </w:tc>
      </w:tr>
      <w:tr w:rsidR="00704449">
        <w:tc>
          <w:tcPr>
            <w:tcW w:w="1801" w:type="dxa"/>
            <w:vMerge/>
            <w:tcBorders>
              <w:top w:val="single" w:sz="4" w:space="0" w:color="000000"/>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1803" w:type="dxa"/>
            <w:tcBorders>
              <w:top w:val="nil"/>
            </w:tcBorders>
          </w:tcPr>
          <w:p w:rsidR="00704449" w:rsidRDefault="0090383F">
            <w:pPr>
              <w:rPr>
                <w:rFonts w:ascii="Arial" w:eastAsia="Arial" w:hAnsi="Arial" w:cs="Arial"/>
                <w:sz w:val="20"/>
                <w:szCs w:val="20"/>
              </w:rPr>
            </w:pPr>
            <w:r>
              <w:rPr>
                <w:rFonts w:ascii="Arial" w:eastAsia="Arial" w:hAnsi="Arial" w:cs="Arial"/>
                <w:sz w:val="20"/>
                <w:szCs w:val="20"/>
              </w:rPr>
              <w:t xml:space="preserve">Separated </w:t>
            </w:r>
          </w:p>
        </w:tc>
        <w:tc>
          <w:tcPr>
            <w:tcW w:w="811" w:type="dxa"/>
            <w:tcBorders>
              <w:top w:val="nil"/>
            </w:tcBorders>
          </w:tcPr>
          <w:p w:rsidR="00704449" w:rsidRDefault="0090383F">
            <w:pPr>
              <w:jc w:val="center"/>
              <w:rPr>
                <w:rFonts w:ascii="Arial" w:eastAsia="Arial" w:hAnsi="Arial" w:cs="Arial"/>
                <w:sz w:val="20"/>
                <w:szCs w:val="20"/>
              </w:rPr>
            </w:pPr>
            <w:r>
              <w:rPr>
                <w:rFonts w:ascii="Arial" w:eastAsia="Arial" w:hAnsi="Arial" w:cs="Arial"/>
                <w:sz w:val="20"/>
                <w:szCs w:val="20"/>
              </w:rPr>
              <w:t>31</w:t>
            </w:r>
          </w:p>
        </w:tc>
        <w:tc>
          <w:tcPr>
            <w:tcW w:w="1623" w:type="dxa"/>
            <w:tcBorders>
              <w:top w:val="nil"/>
            </w:tcBorders>
          </w:tcPr>
          <w:p w:rsidR="00704449" w:rsidRDefault="0090383F">
            <w:pPr>
              <w:jc w:val="center"/>
              <w:rPr>
                <w:rFonts w:ascii="Arial" w:eastAsia="Arial" w:hAnsi="Arial" w:cs="Arial"/>
                <w:sz w:val="20"/>
                <w:szCs w:val="20"/>
              </w:rPr>
            </w:pPr>
            <w:r>
              <w:rPr>
                <w:rFonts w:ascii="Arial" w:eastAsia="Arial" w:hAnsi="Arial" w:cs="Arial"/>
                <w:sz w:val="20"/>
                <w:szCs w:val="20"/>
              </w:rPr>
              <w:t>66.66</w:t>
            </w:r>
          </w:p>
        </w:tc>
        <w:tc>
          <w:tcPr>
            <w:tcW w:w="1442" w:type="dxa"/>
            <w:tcBorders>
              <w:top w:val="nil"/>
            </w:tcBorders>
          </w:tcPr>
          <w:p w:rsidR="00704449" w:rsidRDefault="00704449">
            <w:pPr>
              <w:jc w:val="center"/>
              <w:rPr>
                <w:rFonts w:ascii="Arial" w:eastAsia="Arial" w:hAnsi="Arial" w:cs="Arial"/>
                <w:sz w:val="20"/>
                <w:szCs w:val="20"/>
              </w:rPr>
            </w:pPr>
          </w:p>
        </w:tc>
        <w:tc>
          <w:tcPr>
            <w:tcW w:w="719" w:type="dxa"/>
            <w:tcBorders>
              <w:top w:val="nil"/>
            </w:tcBorders>
          </w:tcPr>
          <w:p w:rsidR="00704449" w:rsidRDefault="00704449">
            <w:pPr>
              <w:jc w:val="center"/>
              <w:rPr>
                <w:rFonts w:ascii="Arial" w:eastAsia="Arial" w:hAnsi="Arial" w:cs="Arial"/>
                <w:sz w:val="20"/>
                <w:szCs w:val="20"/>
              </w:rPr>
            </w:pPr>
          </w:p>
        </w:tc>
        <w:tc>
          <w:tcPr>
            <w:tcW w:w="1623" w:type="dxa"/>
            <w:tcBorders>
              <w:top w:val="nil"/>
            </w:tcBorders>
          </w:tcPr>
          <w:p w:rsidR="00704449" w:rsidRDefault="00704449">
            <w:pPr>
              <w:jc w:val="center"/>
              <w:rPr>
                <w:rFonts w:ascii="Arial" w:eastAsia="Arial" w:hAnsi="Arial" w:cs="Arial"/>
                <w:sz w:val="20"/>
                <w:szCs w:val="20"/>
              </w:rPr>
            </w:pPr>
          </w:p>
        </w:tc>
      </w:tr>
      <w:tr w:rsidR="00704449">
        <w:tc>
          <w:tcPr>
            <w:tcW w:w="1801" w:type="dxa"/>
            <w:vMerge/>
            <w:tcBorders>
              <w:top w:val="single" w:sz="4" w:space="0" w:color="000000"/>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1803" w:type="dxa"/>
            <w:tcBorders>
              <w:top w:val="nil"/>
            </w:tcBorders>
          </w:tcPr>
          <w:p w:rsidR="00704449" w:rsidRDefault="0090383F">
            <w:pPr>
              <w:rPr>
                <w:rFonts w:ascii="Arial" w:eastAsia="Arial" w:hAnsi="Arial" w:cs="Arial"/>
                <w:sz w:val="20"/>
                <w:szCs w:val="20"/>
              </w:rPr>
            </w:pPr>
            <w:r>
              <w:rPr>
                <w:rFonts w:ascii="Arial" w:eastAsia="Arial" w:hAnsi="Arial" w:cs="Arial"/>
                <w:sz w:val="20"/>
                <w:szCs w:val="20"/>
              </w:rPr>
              <w:t>Window(er)</w:t>
            </w:r>
          </w:p>
        </w:tc>
        <w:tc>
          <w:tcPr>
            <w:tcW w:w="811" w:type="dxa"/>
            <w:tcBorders>
              <w:top w:val="nil"/>
            </w:tcBorders>
          </w:tcPr>
          <w:p w:rsidR="00704449" w:rsidRDefault="0090383F">
            <w:pPr>
              <w:jc w:val="center"/>
              <w:rPr>
                <w:rFonts w:ascii="Arial" w:eastAsia="Arial" w:hAnsi="Arial" w:cs="Arial"/>
                <w:sz w:val="20"/>
                <w:szCs w:val="20"/>
              </w:rPr>
            </w:pPr>
            <w:r>
              <w:rPr>
                <w:rFonts w:ascii="Arial" w:eastAsia="Arial" w:hAnsi="Arial" w:cs="Arial"/>
                <w:sz w:val="20"/>
                <w:szCs w:val="20"/>
              </w:rPr>
              <w:t>31</w:t>
            </w:r>
          </w:p>
        </w:tc>
        <w:tc>
          <w:tcPr>
            <w:tcW w:w="1623" w:type="dxa"/>
            <w:tcBorders>
              <w:top w:val="nil"/>
            </w:tcBorders>
          </w:tcPr>
          <w:p w:rsidR="00704449" w:rsidRDefault="0090383F">
            <w:pPr>
              <w:jc w:val="center"/>
              <w:rPr>
                <w:rFonts w:ascii="Arial" w:eastAsia="Arial" w:hAnsi="Arial" w:cs="Arial"/>
                <w:sz w:val="20"/>
                <w:szCs w:val="20"/>
              </w:rPr>
            </w:pPr>
            <w:r>
              <w:rPr>
                <w:rFonts w:ascii="Arial" w:eastAsia="Arial" w:hAnsi="Arial" w:cs="Arial"/>
                <w:sz w:val="20"/>
                <w:szCs w:val="20"/>
              </w:rPr>
              <w:t>62.02</w:t>
            </w:r>
          </w:p>
        </w:tc>
        <w:tc>
          <w:tcPr>
            <w:tcW w:w="1442" w:type="dxa"/>
            <w:tcBorders>
              <w:top w:val="nil"/>
            </w:tcBorders>
          </w:tcPr>
          <w:p w:rsidR="00704449" w:rsidRDefault="00704449">
            <w:pPr>
              <w:jc w:val="center"/>
              <w:rPr>
                <w:rFonts w:ascii="Arial" w:eastAsia="Arial" w:hAnsi="Arial" w:cs="Arial"/>
                <w:sz w:val="20"/>
                <w:szCs w:val="20"/>
              </w:rPr>
            </w:pPr>
          </w:p>
        </w:tc>
        <w:tc>
          <w:tcPr>
            <w:tcW w:w="719" w:type="dxa"/>
            <w:tcBorders>
              <w:top w:val="nil"/>
            </w:tcBorders>
          </w:tcPr>
          <w:p w:rsidR="00704449" w:rsidRDefault="00704449">
            <w:pPr>
              <w:jc w:val="center"/>
              <w:rPr>
                <w:rFonts w:ascii="Arial" w:eastAsia="Arial" w:hAnsi="Arial" w:cs="Arial"/>
                <w:sz w:val="20"/>
                <w:szCs w:val="20"/>
              </w:rPr>
            </w:pPr>
          </w:p>
        </w:tc>
        <w:tc>
          <w:tcPr>
            <w:tcW w:w="1623" w:type="dxa"/>
            <w:tcBorders>
              <w:top w:val="nil"/>
            </w:tcBorders>
          </w:tcPr>
          <w:p w:rsidR="00704449" w:rsidRDefault="00704449">
            <w:pPr>
              <w:jc w:val="center"/>
              <w:rPr>
                <w:rFonts w:ascii="Arial" w:eastAsia="Arial" w:hAnsi="Arial" w:cs="Arial"/>
                <w:sz w:val="20"/>
                <w:szCs w:val="20"/>
              </w:rPr>
            </w:pPr>
          </w:p>
        </w:tc>
      </w:tr>
      <w:tr w:rsidR="00704449">
        <w:tc>
          <w:tcPr>
            <w:tcW w:w="1801" w:type="dxa"/>
            <w:vMerge/>
            <w:tcBorders>
              <w:top w:val="single" w:sz="4" w:space="0" w:color="000000"/>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1803" w:type="dxa"/>
            <w:tcBorders>
              <w:top w:val="nil"/>
              <w:bottom w:val="single" w:sz="4" w:space="0" w:color="000000"/>
            </w:tcBorders>
          </w:tcPr>
          <w:p w:rsidR="00704449" w:rsidRDefault="0090383F">
            <w:pPr>
              <w:rPr>
                <w:rFonts w:ascii="Arial" w:eastAsia="Arial" w:hAnsi="Arial" w:cs="Arial"/>
                <w:sz w:val="20"/>
                <w:szCs w:val="20"/>
              </w:rPr>
            </w:pPr>
            <w:r>
              <w:rPr>
                <w:rFonts w:ascii="Arial" w:eastAsia="Arial" w:hAnsi="Arial" w:cs="Arial"/>
                <w:sz w:val="20"/>
                <w:szCs w:val="20"/>
              </w:rPr>
              <w:t>Total</w:t>
            </w:r>
          </w:p>
        </w:tc>
        <w:tc>
          <w:tcPr>
            <w:tcW w:w="811" w:type="dxa"/>
            <w:tcBorders>
              <w:top w:val="nil"/>
              <w:bottom w:val="single" w:sz="4" w:space="0" w:color="000000"/>
            </w:tcBorders>
          </w:tcPr>
          <w:p w:rsidR="00704449" w:rsidRDefault="0090383F">
            <w:pPr>
              <w:jc w:val="center"/>
              <w:rPr>
                <w:rFonts w:ascii="Arial" w:eastAsia="Arial" w:hAnsi="Arial" w:cs="Arial"/>
                <w:sz w:val="20"/>
                <w:szCs w:val="20"/>
              </w:rPr>
            </w:pPr>
            <w:r>
              <w:rPr>
                <w:rFonts w:ascii="Arial" w:eastAsia="Arial" w:hAnsi="Arial" w:cs="Arial"/>
                <w:sz w:val="20"/>
                <w:szCs w:val="20"/>
              </w:rPr>
              <w:t>150</w:t>
            </w:r>
          </w:p>
        </w:tc>
        <w:tc>
          <w:tcPr>
            <w:tcW w:w="1623" w:type="dxa"/>
            <w:tcBorders>
              <w:top w:val="nil"/>
              <w:bottom w:val="single" w:sz="4" w:space="0" w:color="000000"/>
            </w:tcBorders>
          </w:tcPr>
          <w:p w:rsidR="00704449" w:rsidRDefault="00704449">
            <w:pPr>
              <w:jc w:val="center"/>
              <w:rPr>
                <w:rFonts w:ascii="Arial" w:eastAsia="Arial" w:hAnsi="Arial" w:cs="Arial"/>
                <w:sz w:val="20"/>
                <w:szCs w:val="20"/>
              </w:rPr>
            </w:pPr>
          </w:p>
        </w:tc>
        <w:tc>
          <w:tcPr>
            <w:tcW w:w="1442" w:type="dxa"/>
            <w:tcBorders>
              <w:top w:val="nil"/>
              <w:bottom w:val="single" w:sz="4" w:space="0" w:color="000000"/>
            </w:tcBorders>
          </w:tcPr>
          <w:p w:rsidR="00704449" w:rsidRDefault="00704449">
            <w:pPr>
              <w:jc w:val="center"/>
              <w:rPr>
                <w:rFonts w:ascii="Arial" w:eastAsia="Arial" w:hAnsi="Arial" w:cs="Arial"/>
                <w:sz w:val="20"/>
                <w:szCs w:val="20"/>
              </w:rPr>
            </w:pPr>
          </w:p>
        </w:tc>
        <w:tc>
          <w:tcPr>
            <w:tcW w:w="719" w:type="dxa"/>
            <w:tcBorders>
              <w:top w:val="nil"/>
              <w:bottom w:val="single" w:sz="4" w:space="0" w:color="000000"/>
            </w:tcBorders>
          </w:tcPr>
          <w:p w:rsidR="00704449" w:rsidRDefault="00704449">
            <w:pPr>
              <w:jc w:val="center"/>
              <w:rPr>
                <w:rFonts w:ascii="Arial" w:eastAsia="Arial" w:hAnsi="Arial" w:cs="Arial"/>
                <w:sz w:val="20"/>
                <w:szCs w:val="20"/>
              </w:rPr>
            </w:pPr>
          </w:p>
        </w:tc>
        <w:tc>
          <w:tcPr>
            <w:tcW w:w="1623" w:type="dxa"/>
            <w:tcBorders>
              <w:top w:val="nil"/>
              <w:bottom w:val="single" w:sz="4" w:space="0" w:color="000000"/>
            </w:tcBorders>
          </w:tcPr>
          <w:p w:rsidR="00704449" w:rsidRDefault="00704449">
            <w:pPr>
              <w:jc w:val="center"/>
              <w:rPr>
                <w:rFonts w:ascii="Arial" w:eastAsia="Arial" w:hAnsi="Arial" w:cs="Arial"/>
                <w:sz w:val="20"/>
                <w:szCs w:val="20"/>
              </w:rPr>
            </w:pPr>
          </w:p>
        </w:tc>
      </w:tr>
      <w:tr w:rsidR="00704449">
        <w:tc>
          <w:tcPr>
            <w:tcW w:w="1801" w:type="dxa"/>
            <w:vMerge w:val="restart"/>
            <w:tcBorders>
              <w:top w:val="single" w:sz="4" w:space="0" w:color="000000"/>
            </w:tcBorders>
            <w:vAlign w:val="center"/>
          </w:tcPr>
          <w:p w:rsidR="00704449" w:rsidRDefault="0090383F">
            <w:pPr>
              <w:jc w:val="center"/>
              <w:rPr>
                <w:rFonts w:ascii="Arial" w:eastAsia="Arial" w:hAnsi="Arial" w:cs="Arial"/>
                <w:b/>
                <w:sz w:val="20"/>
                <w:szCs w:val="20"/>
              </w:rPr>
            </w:pPr>
            <w:r>
              <w:rPr>
                <w:rFonts w:ascii="Arial" w:eastAsia="Arial" w:hAnsi="Arial" w:cs="Arial"/>
                <w:b/>
                <w:sz w:val="20"/>
                <w:szCs w:val="20"/>
              </w:rPr>
              <w:t>Job Effectiveness</w:t>
            </w:r>
          </w:p>
        </w:tc>
        <w:tc>
          <w:tcPr>
            <w:tcW w:w="1803" w:type="dxa"/>
            <w:tcBorders>
              <w:top w:val="single" w:sz="4" w:space="0" w:color="000000"/>
            </w:tcBorders>
          </w:tcPr>
          <w:p w:rsidR="00704449" w:rsidRDefault="0090383F">
            <w:pPr>
              <w:rPr>
                <w:rFonts w:ascii="Arial" w:eastAsia="Arial" w:hAnsi="Arial" w:cs="Arial"/>
                <w:sz w:val="20"/>
                <w:szCs w:val="20"/>
              </w:rPr>
            </w:pPr>
            <w:r>
              <w:rPr>
                <w:rFonts w:ascii="Arial" w:eastAsia="Arial" w:hAnsi="Arial" w:cs="Arial"/>
                <w:sz w:val="20"/>
                <w:szCs w:val="20"/>
              </w:rPr>
              <w:t>Single</w:t>
            </w:r>
          </w:p>
        </w:tc>
        <w:tc>
          <w:tcPr>
            <w:tcW w:w="811" w:type="dxa"/>
            <w:tcBorders>
              <w:top w:val="single" w:sz="4" w:space="0" w:color="000000"/>
            </w:tcBorders>
          </w:tcPr>
          <w:p w:rsidR="00704449" w:rsidRDefault="0090383F">
            <w:pPr>
              <w:jc w:val="center"/>
              <w:rPr>
                <w:rFonts w:ascii="Arial" w:eastAsia="Arial" w:hAnsi="Arial" w:cs="Arial"/>
                <w:sz w:val="20"/>
                <w:szCs w:val="20"/>
              </w:rPr>
            </w:pPr>
            <w:r>
              <w:rPr>
                <w:rFonts w:ascii="Arial" w:eastAsia="Arial" w:hAnsi="Arial" w:cs="Arial"/>
                <w:sz w:val="20"/>
                <w:szCs w:val="20"/>
              </w:rPr>
              <w:t>38</w:t>
            </w:r>
          </w:p>
        </w:tc>
        <w:tc>
          <w:tcPr>
            <w:tcW w:w="1623" w:type="dxa"/>
            <w:tcBorders>
              <w:top w:val="single" w:sz="4" w:space="0" w:color="000000"/>
            </w:tcBorders>
          </w:tcPr>
          <w:p w:rsidR="00704449" w:rsidRDefault="0090383F">
            <w:pPr>
              <w:jc w:val="center"/>
              <w:rPr>
                <w:rFonts w:ascii="Arial" w:eastAsia="Arial" w:hAnsi="Arial" w:cs="Arial"/>
                <w:sz w:val="20"/>
                <w:szCs w:val="20"/>
              </w:rPr>
            </w:pPr>
            <w:r>
              <w:rPr>
                <w:rFonts w:ascii="Arial" w:eastAsia="Arial" w:hAnsi="Arial" w:cs="Arial"/>
                <w:sz w:val="20"/>
                <w:szCs w:val="20"/>
              </w:rPr>
              <w:t>74.01</w:t>
            </w:r>
          </w:p>
        </w:tc>
        <w:tc>
          <w:tcPr>
            <w:tcW w:w="1442" w:type="dxa"/>
            <w:tcBorders>
              <w:top w:val="single" w:sz="4" w:space="0" w:color="000000"/>
            </w:tcBorders>
          </w:tcPr>
          <w:p w:rsidR="00704449" w:rsidRDefault="0090383F">
            <w:pPr>
              <w:jc w:val="center"/>
              <w:rPr>
                <w:rFonts w:ascii="Arial" w:eastAsia="Arial" w:hAnsi="Arial" w:cs="Arial"/>
                <w:sz w:val="20"/>
                <w:szCs w:val="20"/>
              </w:rPr>
            </w:pPr>
            <w:r>
              <w:rPr>
                <w:rFonts w:ascii="Arial" w:eastAsia="Arial" w:hAnsi="Arial" w:cs="Arial"/>
                <w:sz w:val="20"/>
                <w:szCs w:val="20"/>
              </w:rPr>
              <w:t>1.035</w:t>
            </w:r>
          </w:p>
        </w:tc>
        <w:tc>
          <w:tcPr>
            <w:tcW w:w="719" w:type="dxa"/>
            <w:tcBorders>
              <w:top w:val="single" w:sz="4" w:space="0" w:color="000000"/>
            </w:tcBorders>
          </w:tcPr>
          <w:p w:rsidR="00704449" w:rsidRDefault="0090383F">
            <w:pPr>
              <w:jc w:val="center"/>
              <w:rPr>
                <w:rFonts w:ascii="Arial" w:eastAsia="Arial" w:hAnsi="Arial" w:cs="Arial"/>
                <w:sz w:val="20"/>
                <w:szCs w:val="20"/>
              </w:rPr>
            </w:pPr>
            <w:r>
              <w:rPr>
                <w:rFonts w:ascii="Arial" w:eastAsia="Arial" w:hAnsi="Arial" w:cs="Arial"/>
                <w:sz w:val="20"/>
                <w:szCs w:val="20"/>
              </w:rPr>
              <w:t>3</w:t>
            </w:r>
          </w:p>
        </w:tc>
        <w:tc>
          <w:tcPr>
            <w:tcW w:w="1623" w:type="dxa"/>
            <w:tcBorders>
              <w:top w:val="single" w:sz="4" w:space="0" w:color="000000"/>
            </w:tcBorders>
          </w:tcPr>
          <w:p w:rsidR="00704449" w:rsidRDefault="0090383F">
            <w:pPr>
              <w:jc w:val="center"/>
              <w:rPr>
                <w:rFonts w:ascii="Arial" w:eastAsia="Arial" w:hAnsi="Arial" w:cs="Arial"/>
                <w:sz w:val="20"/>
                <w:szCs w:val="20"/>
              </w:rPr>
            </w:pPr>
            <w:r>
              <w:rPr>
                <w:rFonts w:ascii="Arial" w:eastAsia="Arial" w:hAnsi="Arial" w:cs="Arial"/>
                <w:sz w:val="20"/>
                <w:szCs w:val="20"/>
              </w:rPr>
              <w:t>0.793</w:t>
            </w:r>
          </w:p>
        </w:tc>
      </w:tr>
      <w:tr w:rsidR="00704449">
        <w:tc>
          <w:tcPr>
            <w:tcW w:w="1801" w:type="dxa"/>
            <w:vMerge/>
            <w:tcBorders>
              <w:top w:val="single" w:sz="4" w:space="0" w:color="000000"/>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1803" w:type="dxa"/>
            <w:tcBorders>
              <w:top w:val="nil"/>
            </w:tcBorders>
          </w:tcPr>
          <w:p w:rsidR="00704449" w:rsidRDefault="0090383F">
            <w:pPr>
              <w:rPr>
                <w:rFonts w:ascii="Arial" w:eastAsia="Arial" w:hAnsi="Arial" w:cs="Arial"/>
                <w:sz w:val="20"/>
                <w:szCs w:val="20"/>
              </w:rPr>
            </w:pPr>
            <w:r>
              <w:rPr>
                <w:rFonts w:ascii="Arial" w:eastAsia="Arial" w:hAnsi="Arial" w:cs="Arial"/>
                <w:sz w:val="20"/>
                <w:szCs w:val="20"/>
              </w:rPr>
              <w:t>Married</w:t>
            </w:r>
          </w:p>
        </w:tc>
        <w:tc>
          <w:tcPr>
            <w:tcW w:w="811" w:type="dxa"/>
            <w:tcBorders>
              <w:top w:val="nil"/>
            </w:tcBorders>
          </w:tcPr>
          <w:p w:rsidR="00704449" w:rsidRDefault="0090383F">
            <w:pPr>
              <w:jc w:val="center"/>
              <w:rPr>
                <w:rFonts w:ascii="Arial" w:eastAsia="Arial" w:hAnsi="Arial" w:cs="Arial"/>
                <w:sz w:val="20"/>
                <w:szCs w:val="20"/>
              </w:rPr>
            </w:pPr>
            <w:r>
              <w:rPr>
                <w:rFonts w:ascii="Arial" w:eastAsia="Arial" w:hAnsi="Arial" w:cs="Arial"/>
                <w:sz w:val="20"/>
                <w:szCs w:val="20"/>
              </w:rPr>
              <w:t>50</w:t>
            </w:r>
          </w:p>
        </w:tc>
        <w:tc>
          <w:tcPr>
            <w:tcW w:w="1623" w:type="dxa"/>
            <w:tcBorders>
              <w:top w:val="nil"/>
            </w:tcBorders>
          </w:tcPr>
          <w:p w:rsidR="00704449" w:rsidRDefault="0090383F">
            <w:pPr>
              <w:jc w:val="center"/>
              <w:rPr>
                <w:rFonts w:ascii="Arial" w:eastAsia="Arial" w:hAnsi="Arial" w:cs="Arial"/>
                <w:sz w:val="20"/>
                <w:szCs w:val="20"/>
              </w:rPr>
            </w:pPr>
            <w:r>
              <w:rPr>
                <w:rFonts w:ascii="Arial" w:eastAsia="Arial" w:hAnsi="Arial" w:cs="Arial"/>
                <w:sz w:val="20"/>
                <w:szCs w:val="20"/>
              </w:rPr>
              <w:t>75.27</w:t>
            </w:r>
          </w:p>
        </w:tc>
        <w:tc>
          <w:tcPr>
            <w:tcW w:w="1442" w:type="dxa"/>
            <w:tcBorders>
              <w:top w:val="nil"/>
            </w:tcBorders>
          </w:tcPr>
          <w:p w:rsidR="00704449" w:rsidRDefault="00704449">
            <w:pPr>
              <w:jc w:val="center"/>
              <w:rPr>
                <w:rFonts w:ascii="Arial" w:eastAsia="Arial" w:hAnsi="Arial" w:cs="Arial"/>
                <w:sz w:val="20"/>
                <w:szCs w:val="20"/>
              </w:rPr>
            </w:pPr>
          </w:p>
        </w:tc>
        <w:tc>
          <w:tcPr>
            <w:tcW w:w="719" w:type="dxa"/>
            <w:tcBorders>
              <w:top w:val="nil"/>
            </w:tcBorders>
          </w:tcPr>
          <w:p w:rsidR="00704449" w:rsidRDefault="00704449">
            <w:pPr>
              <w:jc w:val="center"/>
              <w:rPr>
                <w:rFonts w:ascii="Arial" w:eastAsia="Arial" w:hAnsi="Arial" w:cs="Arial"/>
                <w:sz w:val="20"/>
                <w:szCs w:val="20"/>
              </w:rPr>
            </w:pPr>
          </w:p>
        </w:tc>
        <w:tc>
          <w:tcPr>
            <w:tcW w:w="1623" w:type="dxa"/>
            <w:tcBorders>
              <w:top w:val="nil"/>
            </w:tcBorders>
          </w:tcPr>
          <w:p w:rsidR="00704449" w:rsidRDefault="00704449">
            <w:pPr>
              <w:jc w:val="center"/>
              <w:rPr>
                <w:rFonts w:ascii="Arial" w:eastAsia="Arial" w:hAnsi="Arial" w:cs="Arial"/>
                <w:sz w:val="20"/>
                <w:szCs w:val="20"/>
              </w:rPr>
            </w:pPr>
          </w:p>
        </w:tc>
      </w:tr>
      <w:tr w:rsidR="00704449">
        <w:tc>
          <w:tcPr>
            <w:tcW w:w="1801" w:type="dxa"/>
            <w:vMerge/>
            <w:tcBorders>
              <w:top w:val="single" w:sz="4" w:space="0" w:color="000000"/>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1803" w:type="dxa"/>
            <w:tcBorders>
              <w:top w:val="nil"/>
            </w:tcBorders>
          </w:tcPr>
          <w:p w:rsidR="00704449" w:rsidRDefault="0090383F">
            <w:pPr>
              <w:rPr>
                <w:rFonts w:ascii="Arial" w:eastAsia="Arial" w:hAnsi="Arial" w:cs="Arial"/>
                <w:sz w:val="20"/>
                <w:szCs w:val="20"/>
              </w:rPr>
            </w:pPr>
            <w:r>
              <w:rPr>
                <w:rFonts w:ascii="Arial" w:eastAsia="Arial" w:hAnsi="Arial" w:cs="Arial"/>
                <w:sz w:val="20"/>
                <w:szCs w:val="20"/>
              </w:rPr>
              <w:t>Separated</w:t>
            </w:r>
          </w:p>
        </w:tc>
        <w:tc>
          <w:tcPr>
            <w:tcW w:w="811" w:type="dxa"/>
            <w:tcBorders>
              <w:top w:val="nil"/>
            </w:tcBorders>
          </w:tcPr>
          <w:p w:rsidR="00704449" w:rsidRDefault="0090383F">
            <w:pPr>
              <w:jc w:val="center"/>
              <w:rPr>
                <w:rFonts w:ascii="Arial" w:eastAsia="Arial" w:hAnsi="Arial" w:cs="Arial"/>
                <w:sz w:val="20"/>
                <w:szCs w:val="20"/>
              </w:rPr>
            </w:pPr>
            <w:r>
              <w:rPr>
                <w:rFonts w:ascii="Arial" w:eastAsia="Arial" w:hAnsi="Arial" w:cs="Arial"/>
                <w:sz w:val="20"/>
                <w:szCs w:val="20"/>
              </w:rPr>
              <w:t>31</w:t>
            </w:r>
          </w:p>
        </w:tc>
        <w:tc>
          <w:tcPr>
            <w:tcW w:w="1623" w:type="dxa"/>
            <w:tcBorders>
              <w:top w:val="nil"/>
            </w:tcBorders>
          </w:tcPr>
          <w:p w:rsidR="00704449" w:rsidRDefault="0090383F">
            <w:pPr>
              <w:jc w:val="center"/>
              <w:rPr>
                <w:rFonts w:ascii="Arial" w:eastAsia="Arial" w:hAnsi="Arial" w:cs="Arial"/>
                <w:sz w:val="20"/>
                <w:szCs w:val="20"/>
              </w:rPr>
            </w:pPr>
            <w:r>
              <w:rPr>
                <w:rFonts w:ascii="Arial" w:eastAsia="Arial" w:hAnsi="Arial" w:cs="Arial"/>
                <w:sz w:val="20"/>
                <w:szCs w:val="20"/>
              </w:rPr>
              <w:t>81.9</w:t>
            </w:r>
          </w:p>
        </w:tc>
        <w:tc>
          <w:tcPr>
            <w:tcW w:w="1442" w:type="dxa"/>
            <w:tcBorders>
              <w:top w:val="nil"/>
            </w:tcBorders>
          </w:tcPr>
          <w:p w:rsidR="00704449" w:rsidRDefault="00704449">
            <w:pPr>
              <w:jc w:val="center"/>
              <w:rPr>
                <w:rFonts w:ascii="Arial" w:eastAsia="Arial" w:hAnsi="Arial" w:cs="Arial"/>
                <w:sz w:val="20"/>
                <w:szCs w:val="20"/>
              </w:rPr>
            </w:pPr>
          </w:p>
        </w:tc>
        <w:tc>
          <w:tcPr>
            <w:tcW w:w="719" w:type="dxa"/>
            <w:tcBorders>
              <w:top w:val="nil"/>
            </w:tcBorders>
          </w:tcPr>
          <w:p w:rsidR="00704449" w:rsidRDefault="00704449">
            <w:pPr>
              <w:jc w:val="center"/>
              <w:rPr>
                <w:rFonts w:ascii="Arial" w:eastAsia="Arial" w:hAnsi="Arial" w:cs="Arial"/>
                <w:sz w:val="20"/>
                <w:szCs w:val="20"/>
              </w:rPr>
            </w:pPr>
          </w:p>
        </w:tc>
        <w:tc>
          <w:tcPr>
            <w:tcW w:w="1623" w:type="dxa"/>
            <w:tcBorders>
              <w:top w:val="nil"/>
            </w:tcBorders>
          </w:tcPr>
          <w:p w:rsidR="00704449" w:rsidRDefault="00704449">
            <w:pPr>
              <w:jc w:val="center"/>
              <w:rPr>
                <w:rFonts w:ascii="Arial" w:eastAsia="Arial" w:hAnsi="Arial" w:cs="Arial"/>
                <w:sz w:val="20"/>
                <w:szCs w:val="20"/>
              </w:rPr>
            </w:pPr>
          </w:p>
        </w:tc>
      </w:tr>
      <w:tr w:rsidR="00704449">
        <w:tc>
          <w:tcPr>
            <w:tcW w:w="1801" w:type="dxa"/>
            <w:vMerge/>
            <w:tcBorders>
              <w:top w:val="single" w:sz="4" w:space="0" w:color="000000"/>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1803" w:type="dxa"/>
            <w:tcBorders>
              <w:top w:val="nil"/>
            </w:tcBorders>
          </w:tcPr>
          <w:p w:rsidR="00704449" w:rsidRDefault="0090383F">
            <w:pPr>
              <w:rPr>
                <w:rFonts w:ascii="Arial" w:eastAsia="Arial" w:hAnsi="Arial" w:cs="Arial"/>
                <w:sz w:val="20"/>
                <w:szCs w:val="20"/>
              </w:rPr>
            </w:pPr>
            <w:r>
              <w:rPr>
                <w:rFonts w:ascii="Arial" w:eastAsia="Arial" w:hAnsi="Arial" w:cs="Arial"/>
                <w:sz w:val="20"/>
                <w:szCs w:val="20"/>
              </w:rPr>
              <w:t>Window(er)</w:t>
            </w:r>
          </w:p>
        </w:tc>
        <w:tc>
          <w:tcPr>
            <w:tcW w:w="811" w:type="dxa"/>
            <w:tcBorders>
              <w:top w:val="nil"/>
            </w:tcBorders>
          </w:tcPr>
          <w:p w:rsidR="00704449" w:rsidRDefault="0090383F">
            <w:pPr>
              <w:jc w:val="center"/>
              <w:rPr>
                <w:rFonts w:ascii="Arial" w:eastAsia="Arial" w:hAnsi="Arial" w:cs="Arial"/>
                <w:sz w:val="20"/>
                <w:szCs w:val="20"/>
              </w:rPr>
            </w:pPr>
            <w:r>
              <w:rPr>
                <w:rFonts w:ascii="Arial" w:eastAsia="Arial" w:hAnsi="Arial" w:cs="Arial"/>
                <w:sz w:val="20"/>
                <w:szCs w:val="20"/>
              </w:rPr>
              <w:t>31</w:t>
            </w:r>
          </w:p>
        </w:tc>
        <w:tc>
          <w:tcPr>
            <w:tcW w:w="1623" w:type="dxa"/>
            <w:tcBorders>
              <w:top w:val="nil"/>
            </w:tcBorders>
          </w:tcPr>
          <w:p w:rsidR="00704449" w:rsidRDefault="0090383F">
            <w:pPr>
              <w:jc w:val="center"/>
              <w:rPr>
                <w:rFonts w:ascii="Arial" w:eastAsia="Arial" w:hAnsi="Arial" w:cs="Arial"/>
                <w:sz w:val="20"/>
                <w:szCs w:val="20"/>
              </w:rPr>
            </w:pPr>
            <w:r>
              <w:rPr>
                <w:rFonts w:ascii="Arial" w:eastAsia="Arial" w:hAnsi="Arial" w:cs="Arial"/>
                <w:sz w:val="20"/>
                <w:szCs w:val="20"/>
              </w:rPr>
              <w:t>71.29</w:t>
            </w:r>
          </w:p>
        </w:tc>
        <w:tc>
          <w:tcPr>
            <w:tcW w:w="1442" w:type="dxa"/>
            <w:tcBorders>
              <w:top w:val="nil"/>
            </w:tcBorders>
          </w:tcPr>
          <w:p w:rsidR="00704449" w:rsidRDefault="00704449">
            <w:pPr>
              <w:jc w:val="center"/>
              <w:rPr>
                <w:rFonts w:ascii="Arial" w:eastAsia="Arial" w:hAnsi="Arial" w:cs="Arial"/>
                <w:sz w:val="20"/>
                <w:szCs w:val="20"/>
              </w:rPr>
            </w:pPr>
          </w:p>
        </w:tc>
        <w:tc>
          <w:tcPr>
            <w:tcW w:w="719" w:type="dxa"/>
            <w:tcBorders>
              <w:top w:val="nil"/>
            </w:tcBorders>
          </w:tcPr>
          <w:p w:rsidR="00704449" w:rsidRDefault="00704449">
            <w:pPr>
              <w:jc w:val="center"/>
              <w:rPr>
                <w:rFonts w:ascii="Arial" w:eastAsia="Arial" w:hAnsi="Arial" w:cs="Arial"/>
                <w:sz w:val="20"/>
                <w:szCs w:val="20"/>
              </w:rPr>
            </w:pPr>
          </w:p>
        </w:tc>
        <w:tc>
          <w:tcPr>
            <w:tcW w:w="1623" w:type="dxa"/>
            <w:tcBorders>
              <w:top w:val="nil"/>
            </w:tcBorders>
          </w:tcPr>
          <w:p w:rsidR="00704449" w:rsidRDefault="00704449">
            <w:pPr>
              <w:jc w:val="center"/>
              <w:rPr>
                <w:rFonts w:ascii="Arial" w:eastAsia="Arial" w:hAnsi="Arial" w:cs="Arial"/>
                <w:sz w:val="20"/>
                <w:szCs w:val="20"/>
              </w:rPr>
            </w:pPr>
          </w:p>
        </w:tc>
      </w:tr>
      <w:tr w:rsidR="00704449">
        <w:tc>
          <w:tcPr>
            <w:tcW w:w="1801" w:type="dxa"/>
            <w:vMerge/>
            <w:tcBorders>
              <w:top w:val="single" w:sz="4" w:space="0" w:color="000000"/>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1803" w:type="dxa"/>
            <w:tcBorders>
              <w:top w:val="nil"/>
              <w:bottom w:val="single" w:sz="4" w:space="0" w:color="000000"/>
            </w:tcBorders>
          </w:tcPr>
          <w:p w:rsidR="00704449" w:rsidRDefault="0090383F">
            <w:pPr>
              <w:rPr>
                <w:rFonts w:ascii="Arial" w:eastAsia="Arial" w:hAnsi="Arial" w:cs="Arial"/>
                <w:sz w:val="20"/>
                <w:szCs w:val="20"/>
              </w:rPr>
            </w:pPr>
            <w:r>
              <w:rPr>
                <w:rFonts w:ascii="Arial" w:eastAsia="Arial" w:hAnsi="Arial" w:cs="Arial"/>
                <w:sz w:val="20"/>
                <w:szCs w:val="20"/>
              </w:rPr>
              <w:t>Total</w:t>
            </w:r>
          </w:p>
        </w:tc>
        <w:tc>
          <w:tcPr>
            <w:tcW w:w="811" w:type="dxa"/>
            <w:tcBorders>
              <w:top w:val="nil"/>
              <w:bottom w:val="single" w:sz="4" w:space="0" w:color="000000"/>
            </w:tcBorders>
          </w:tcPr>
          <w:p w:rsidR="00704449" w:rsidRDefault="0090383F">
            <w:pPr>
              <w:jc w:val="center"/>
              <w:rPr>
                <w:rFonts w:ascii="Arial" w:eastAsia="Arial" w:hAnsi="Arial" w:cs="Arial"/>
                <w:sz w:val="20"/>
                <w:szCs w:val="20"/>
              </w:rPr>
            </w:pPr>
            <w:r>
              <w:rPr>
                <w:rFonts w:ascii="Arial" w:eastAsia="Arial" w:hAnsi="Arial" w:cs="Arial"/>
                <w:sz w:val="20"/>
                <w:szCs w:val="20"/>
              </w:rPr>
              <w:t>150</w:t>
            </w:r>
          </w:p>
        </w:tc>
        <w:tc>
          <w:tcPr>
            <w:tcW w:w="1623" w:type="dxa"/>
            <w:tcBorders>
              <w:top w:val="nil"/>
              <w:bottom w:val="single" w:sz="4" w:space="0" w:color="000000"/>
            </w:tcBorders>
          </w:tcPr>
          <w:p w:rsidR="00704449" w:rsidRDefault="00704449">
            <w:pPr>
              <w:jc w:val="center"/>
              <w:rPr>
                <w:rFonts w:ascii="Arial" w:eastAsia="Arial" w:hAnsi="Arial" w:cs="Arial"/>
                <w:sz w:val="20"/>
                <w:szCs w:val="20"/>
              </w:rPr>
            </w:pPr>
          </w:p>
        </w:tc>
        <w:tc>
          <w:tcPr>
            <w:tcW w:w="1442" w:type="dxa"/>
            <w:tcBorders>
              <w:top w:val="nil"/>
              <w:bottom w:val="single" w:sz="4" w:space="0" w:color="000000"/>
            </w:tcBorders>
          </w:tcPr>
          <w:p w:rsidR="00704449" w:rsidRDefault="00704449">
            <w:pPr>
              <w:jc w:val="center"/>
              <w:rPr>
                <w:rFonts w:ascii="Arial" w:eastAsia="Arial" w:hAnsi="Arial" w:cs="Arial"/>
                <w:sz w:val="20"/>
                <w:szCs w:val="20"/>
              </w:rPr>
            </w:pPr>
          </w:p>
        </w:tc>
        <w:tc>
          <w:tcPr>
            <w:tcW w:w="719" w:type="dxa"/>
            <w:tcBorders>
              <w:top w:val="nil"/>
              <w:bottom w:val="single" w:sz="4" w:space="0" w:color="000000"/>
            </w:tcBorders>
          </w:tcPr>
          <w:p w:rsidR="00704449" w:rsidRDefault="00704449">
            <w:pPr>
              <w:jc w:val="center"/>
              <w:rPr>
                <w:rFonts w:ascii="Arial" w:eastAsia="Arial" w:hAnsi="Arial" w:cs="Arial"/>
                <w:sz w:val="20"/>
                <w:szCs w:val="20"/>
              </w:rPr>
            </w:pPr>
          </w:p>
        </w:tc>
        <w:tc>
          <w:tcPr>
            <w:tcW w:w="1623" w:type="dxa"/>
            <w:tcBorders>
              <w:top w:val="nil"/>
              <w:bottom w:val="single" w:sz="4" w:space="0" w:color="000000"/>
            </w:tcBorders>
          </w:tcPr>
          <w:p w:rsidR="00704449" w:rsidRDefault="00704449">
            <w:pPr>
              <w:jc w:val="center"/>
              <w:rPr>
                <w:rFonts w:ascii="Arial" w:eastAsia="Arial" w:hAnsi="Arial" w:cs="Arial"/>
                <w:sz w:val="20"/>
                <w:szCs w:val="20"/>
              </w:rPr>
            </w:pPr>
          </w:p>
        </w:tc>
      </w:tr>
      <w:tr w:rsidR="00704449">
        <w:tc>
          <w:tcPr>
            <w:tcW w:w="1801" w:type="dxa"/>
            <w:vMerge w:val="restart"/>
            <w:tcBorders>
              <w:top w:val="single" w:sz="4" w:space="0" w:color="000000"/>
            </w:tcBorders>
            <w:vAlign w:val="center"/>
          </w:tcPr>
          <w:p w:rsidR="00704449" w:rsidRDefault="0090383F">
            <w:pPr>
              <w:jc w:val="center"/>
              <w:rPr>
                <w:rFonts w:ascii="Arial" w:eastAsia="Arial" w:hAnsi="Arial" w:cs="Arial"/>
                <w:b/>
                <w:sz w:val="20"/>
                <w:szCs w:val="20"/>
              </w:rPr>
            </w:pPr>
            <w:r>
              <w:rPr>
                <w:rFonts w:ascii="Arial" w:eastAsia="Arial" w:hAnsi="Arial" w:cs="Arial"/>
                <w:b/>
                <w:sz w:val="20"/>
                <w:szCs w:val="20"/>
              </w:rPr>
              <w:t>Confidence</w:t>
            </w:r>
          </w:p>
        </w:tc>
        <w:tc>
          <w:tcPr>
            <w:tcW w:w="1803" w:type="dxa"/>
            <w:tcBorders>
              <w:top w:val="single" w:sz="4" w:space="0" w:color="000000"/>
            </w:tcBorders>
          </w:tcPr>
          <w:p w:rsidR="00704449" w:rsidRDefault="0090383F">
            <w:pPr>
              <w:rPr>
                <w:rFonts w:ascii="Arial" w:eastAsia="Arial" w:hAnsi="Arial" w:cs="Arial"/>
                <w:sz w:val="20"/>
                <w:szCs w:val="20"/>
              </w:rPr>
            </w:pPr>
            <w:r>
              <w:rPr>
                <w:rFonts w:ascii="Arial" w:eastAsia="Arial" w:hAnsi="Arial" w:cs="Arial"/>
                <w:sz w:val="20"/>
                <w:szCs w:val="20"/>
              </w:rPr>
              <w:t>Single</w:t>
            </w:r>
          </w:p>
        </w:tc>
        <w:tc>
          <w:tcPr>
            <w:tcW w:w="811" w:type="dxa"/>
            <w:tcBorders>
              <w:top w:val="single" w:sz="4" w:space="0" w:color="000000"/>
            </w:tcBorders>
          </w:tcPr>
          <w:p w:rsidR="00704449" w:rsidRDefault="0090383F">
            <w:pPr>
              <w:jc w:val="center"/>
              <w:rPr>
                <w:rFonts w:ascii="Arial" w:eastAsia="Arial" w:hAnsi="Arial" w:cs="Arial"/>
                <w:sz w:val="20"/>
                <w:szCs w:val="20"/>
              </w:rPr>
            </w:pPr>
            <w:r>
              <w:rPr>
                <w:rFonts w:ascii="Arial" w:eastAsia="Arial" w:hAnsi="Arial" w:cs="Arial"/>
                <w:sz w:val="20"/>
                <w:szCs w:val="20"/>
              </w:rPr>
              <w:t>38</w:t>
            </w:r>
          </w:p>
        </w:tc>
        <w:tc>
          <w:tcPr>
            <w:tcW w:w="1623" w:type="dxa"/>
            <w:tcBorders>
              <w:top w:val="single" w:sz="4" w:space="0" w:color="000000"/>
            </w:tcBorders>
          </w:tcPr>
          <w:p w:rsidR="00704449" w:rsidRDefault="0090383F">
            <w:pPr>
              <w:jc w:val="center"/>
              <w:rPr>
                <w:rFonts w:ascii="Arial" w:eastAsia="Arial" w:hAnsi="Arial" w:cs="Arial"/>
                <w:sz w:val="20"/>
                <w:szCs w:val="20"/>
              </w:rPr>
            </w:pPr>
            <w:r>
              <w:rPr>
                <w:rFonts w:ascii="Arial" w:eastAsia="Arial" w:hAnsi="Arial" w:cs="Arial"/>
                <w:sz w:val="20"/>
                <w:szCs w:val="20"/>
              </w:rPr>
              <w:t>67.3</w:t>
            </w:r>
          </w:p>
        </w:tc>
        <w:tc>
          <w:tcPr>
            <w:tcW w:w="1442" w:type="dxa"/>
            <w:tcBorders>
              <w:top w:val="single" w:sz="4" w:space="0" w:color="000000"/>
            </w:tcBorders>
          </w:tcPr>
          <w:p w:rsidR="00704449" w:rsidRDefault="0090383F">
            <w:pPr>
              <w:jc w:val="center"/>
              <w:rPr>
                <w:rFonts w:ascii="Arial" w:eastAsia="Arial" w:hAnsi="Arial" w:cs="Arial"/>
                <w:sz w:val="20"/>
                <w:szCs w:val="20"/>
              </w:rPr>
            </w:pPr>
            <w:r>
              <w:rPr>
                <w:rFonts w:ascii="Arial" w:eastAsia="Arial" w:hAnsi="Arial" w:cs="Arial"/>
                <w:sz w:val="20"/>
                <w:szCs w:val="20"/>
              </w:rPr>
              <w:t>9.609</w:t>
            </w:r>
          </w:p>
        </w:tc>
        <w:tc>
          <w:tcPr>
            <w:tcW w:w="719" w:type="dxa"/>
            <w:tcBorders>
              <w:top w:val="single" w:sz="4" w:space="0" w:color="000000"/>
            </w:tcBorders>
          </w:tcPr>
          <w:p w:rsidR="00704449" w:rsidRDefault="0090383F">
            <w:pPr>
              <w:jc w:val="center"/>
              <w:rPr>
                <w:rFonts w:ascii="Arial" w:eastAsia="Arial" w:hAnsi="Arial" w:cs="Arial"/>
                <w:sz w:val="20"/>
                <w:szCs w:val="20"/>
              </w:rPr>
            </w:pPr>
            <w:r>
              <w:rPr>
                <w:rFonts w:ascii="Arial" w:eastAsia="Arial" w:hAnsi="Arial" w:cs="Arial"/>
                <w:sz w:val="20"/>
                <w:szCs w:val="20"/>
              </w:rPr>
              <w:t>3</w:t>
            </w:r>
          </w:p>
        </w:tc>
        <w:tc>
          <w:tcPr>
            <w:tcW w:w="1623" w:type="dxa"/>
            <w:tcBorders>
              <w:top w:val="single" w:sz="4" w:space="0" w:color="000000"/>
            </w:tcBorders>
          </w:tcPr>
          <w:p w:rsidR="00704449" w:rsidRDefault="0090383F">
            <w:pPr>
              <w:jc w:val="center"/>
              <w:rPr>
                <w:rFonts w:ascii="Arial" w:eastAsia="Arial" w:hAnsi="Arial" w:cs="Arial"/>
                <w:sz w:val="20"/>
                <w:szCs w:val="20"/>
              </w:rPr>
            </w:pPr>
            <w:r>
              <w:rPr>
                <w:rFonts w:ascii="Arial" w:eastAsia="Arial" w:hAnsi="Arial" w:cs="Arial"/>
                <w:sz w:val="20"/>
                <w:szCs w:val="20"/>
              </w:rPr>
              <w:t>0.022*</w:t>
            </w:r>
          </w:p>
        </w:tc>
      </w:tr>
      <w:tr w:rsidR="00704449">
        <w:tc>
          <w:tcPr>
            <w:tcW w:w="1801" w:type="dxa"/>
            <w:vMerge/>
            <w:tcBorders>
              <w:top w:val="single" w:sz="4" w:space="0" w:color="000000"/>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1803" w:type="dxa"/>
            <w:tcBorders>
              <w:top w:val="nil"/>
            </w:tcBorders>
          </w:tcPr>
          <w:p w:rsidR="00704449" w:rsidRDefault="0090383F">
            <w:pPr>
              <w:rPr>
                <w:rFonts w:ascii="Arial" w:eastAsia="Arial" w:hAnsi="Arial" w:cs="Arial"/>
                <w:sz w:val="20"/>
                <w:szCs w:val="20"/>
              </w:rPr>
            </w:pPr>
            <w:r>
              <w:rPr>
                <w:rFonts w:ascii="Arial" w:eastAsia="Arial" w:hAnsi="Arial" w:cs="Arial"/>
                <w:sz w:val="20"/>
                <w:szCs w:val="20"/>
              </w:rPr>
              <w:t>Married</w:t>
            </w:r>
          </w:p>
        </w:tc>
        <w:tc>
          <w:tcPr>
            <w:tcW w:w="811" w:type="dxa"/>
            <w:tcBorders>
              <w:top w:val="nil"/>
            </w:tcBorders>
          </w:tcPr>
          <w:p w:rsidR="00704449" w:rsidRDefault="0090383F">
            <w:pPr>
              <w:jc w:val="center"/>
              <w:rPr>
                <w:rFonts w:ascii="Arial" w:eastAsia="Arial" w:hAnsi="Arial" w:cs="Arial"/>
                <w:sz w:val="20"/>
                <w:szCs w:val="20"/>
              </w:rPr>
            </w:pPr>
            <w:r>
              <w:rPr>
                <w:rFonts w:ascii="Arial" w:eastAsia="Arial" w:hAnsi="Arial" w:cs="Arial"/>
                <w:sz w:val="20"/>
                <w:szCs w:val="20"/>
              </w:rPr>
              <w:t>50</w:t>
            </w:r>
          </w:p>
        </w:tc>
        <w:tc>
          <w:tcPr>
            <w:tcW w:w="1623" w:type="dxa"/>
            <w:tcBorders>
              <w:top w:val="nil"/>
            </w:tcBorders>
          </w:tcPr>
          <w:p w:rsidR="00704449" w:rsidRDefault="0090383F">
            <w:pPr>
              <w:jc w:val="center"/>
              <w:rPr>
                <w:rFonts w:ascii="Arial" w:eastAsia="Arial" w:hAnsi="Arial" w:cs="Arial"/>
                <w:sz w:val="20"/>
                <w:szCs w:val="20"/>
              </w:rPr>
            </w:pPr>
            <w:r>
              <w:rPr>
                <w:rFonts w:ascii="Arial" w:eastAsia="Arial" w:hAnsi="Arial" w:cs="Arial"/>
                <w:sz w:val="20"/>
                <w:szCs w:val="20"/>
              </w:rPr>
              <w:t>70.98</w:t>
            </w:r>
          </w:p>
        </w:tc>
        <w:tc>
          <w:tcPr>
            <w:tcW w:w="1442" w:type="dxa"/>
            <w:tcBorders>
              <w:top w:val="nil"/>
            </w:tcBorders>
          </w:tcPr>
          <w:p w:rsidR="00704449" w:rsidRDefault="00704449">
            <w:pPr>
              <w:jc w:val="center"/>
              <w:rPr>
                <w:rFonts w:ascii="Arial" w:eastAsia="Arial" w:hAnsi="Arial" w:cs="Arial"/>
                <w:sz w:val="20"/>
                <w:szCs w:val="20"/>
              </w:rPr>
            </w:pPr>
          </w:p>
        </w:tc>
        <w:tc>
          <w:tcPr>
            <w:tcW w:w="719" w:type="dxa"/>
            <w:tcBorders>
              <w:top w:val="nil"/>
            </w:tcBorders>
          </w:tcPr>
          <w:p w:rsidR="00704449" w:rsidRDefault="00704449">
            <w:pPr>
              <w:jc w:val="center"/>
              <w:rPr>
                <w:rFonts w:ascii="Arial" w:eastAsia="Arial" w:hAnsi="Arial" w:cs="Arial"/>
                <w:sz w:val="20"/>
                <w:szCs w:val="20"/>
              </w:rPr>
            </w:pPr>
          </w:p>
        </w:tc>
        <w:tc>
          <w:tcPr>
            <w:tcW w:w="1623" w:type="dxa"/>
            <w:tcBorders>
              <w:top w:val="nil"/>
            </w:tcBorders>
          </w:tcPr>
          <w:p w:rsidR="00704449" w:rsidRDefault="00704449">
            <w:pPr>
              <w:jc w:val="center"/>
              <w:rPr>
                <w:rFonts w:ascii="Arial" w:eastAsia="Arial" w:hAnsi="Arial" w:cs="Arial"/>
                <w:sz w:val="20"/>
                <w:szCs w:val="20"/>
              </w:rPr>
            </w:pPr>
          </w:p>
        </w:tc>
      </w:tr>
      <w:tr w:rsidR="00704449">
        <w:tc>
          <w:tcPr>
            <w:tcW w:w="1801" w:type="dxa"/>
            <w:vMerge/>
            <w:tcBorders>
              <w:top w:val="single" w:sz="4" w:space="0" w:color="000000"/>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1803" w:type="dxa"/>
            <w:tcBorders>
              <w:top w:val="nil"/>
            </w:tcBorders>
          </w:tcPr>
          <w:p w:rsidR="00704449" w:rsidRDefault="0090383F">
            <w:pPr>
              <w:rPr>
                <w:rFonts w:ascii="Arial" w:eastAsia="Arial" w:hAnsi="Arial" w:cs="Arial"/>
                <w:sz w:val="20"/>
                <w:szCs w:val="20"/>
              </w:rPr>
            </w:pPr>
            <w:r>
              <w:rPr>
                <w:rFonts w:ascii="Arial" w:eastAsia="Arial" w:hAnsi="Arial" w:cs="Arial"/>
                <w:sz w:val="20"/>
                <w:szCs w:val="20"/>
              </w:rPr>
              <w:t>Separated</w:t>
            </w:r>
          </w:p>
        </w:tc>
        <w:tc>
          <w:tcPr>
            <w:tcW w:w="811" w:type="dxa"/>
            <w:tcBorders>
              <w:top w:val="nil"/>
            </w:tcBorders>
          </w:tcPr>
          <w:p w:rsidR="00704449" w:rsidRDefault="0090383F">
            <w:pPr>
              <w:jc w:val="center"/>
              <w:rPr>
                <w:rFonts w:ascii="Arial" w:eastAsia="Arial" w:hAnsi="Arial" w:cs="Arial"/>
                <w:sz w:val="20"/>
                <w:szCs w:val="20"/>
              </w:rPr>
            </w:pPr>
            <w:r>
              <w:rPr>
                <w:rFonts w:ascii="Arial" w:eastAsia="Arial" w:hAnsi="Arial" w:cs="Arial"/>
                <w:sz w:val="20"/>
                <w:szCs w:val="20"/>
              </w:rPr>
              <w:t>31</w:t>
            </w:r>
          </w:p>
        </w:tc>
        <w:tc>
          <w:tcPr>
            <w:tcW w:w="1623" w:type="dxa"/>
            <w:tcBorders>
              <w:top w:val="nil"/>
            </w:tcBorders>
          </w:tcPr>
          <w:p w:rsidR="00704449" w:rsidRDefault="0090383F">
            <w:pPr>
              <w:jc w:val="center"/>
              <w:rPr>
                <w:rFonts w:ascii="Arial" w:eastAsia="Arial" w:hAnsi="Arial" w:cs="Arial"/>
                <w:sz w:val="20"/>
                <w:szCs w:val="20"/>
              </w:rPr>
            </w:pPr>
            <w:r>
              <w:rPr>
                <w:rFonts w:ascii="Arial" w:eastAsia="Arial" w:hAnsi="Arial" w:cs="Arial"/>
                <w:sz w:val="20"/>
                <w:szCs w:val="20"/>
              </w:rPr>
              <w:t>96.56</w:t>
            </w:r>
          </w:p>
        </w:tc>
        <w:tc>
          <w:tcPr>
            <w:tcW w:w="1442" w:type="dxa"/>
            <w:tcBorders>
              <w:top w:val="nil"/>
            </w:tcBorders>
          </w:tcPr>
          <w:p w:rsidR="00704449" w:rsidRDefault="00704449">
            <w:pPr>
              <w:jc w:val="center"/>
              <w:rPr>
                <w:rFonts w:ascii="Arial" w:eastAsia="Arial" w:hAnsi="Arial" w:cs="Arial"/>
                <w:sz w:val="20"/>
                <w:szCs w:val="20"/>
              </w:rPr>
            </w:pPr>
          </w:p>
        </w:tc>
        <w:tc>
          <w:tcPr>
            <w:tcW w:w="719" w:type="dxa"/>
            <w:tcBorders>
              <w:top w:val="nil"/>
            </w:tcBorders>
          </w:tcPr>
          <w:p w:rsidR="00704449" w:rsidRDefault="00704449">
            <w:pPr>
              <w:jc w:val="center"/>
              <w:rPr>
                <w:rFonts w:ascii="Arial" w:eastAsia="Arial" w:hAnsi="Arial" w:cs="Arial"/>
                <w:sz w:val="20"/>
                <w:szCs w:val="20"/>
              </w:rPr>
            </w:pPr>
          </w:p>
        </w:tc>
        <w:tc>
          <w:tcPr>
            <w:tcW w:w="1623" w:type="dxa"/>
            <w:tcBorders>
              <w:top w:val="nil"/>
            </w:tcBorders>
          </w:tcPr>
          <w:p w:rsidR="00704449" w:rsidRDefault="00704449">
            <w:pPr>
              <w:jc w:val="center"/>
              <w:rPr>
                <w:rFonts w:ascii="Arial" w:eastAsia="Arial" w:hAnsi="Arial" w:cs="Arial"/>
                <w:sz w:val="20"/>
                <w:szCs w:val="20"/>
              </w:rPr>
            </w:pPr>
          </w:p>
        </w:tc>
      </w:tr>
      <w:tr w:rsidR="00704449">
        <w:tc>
          <w:tcPr>
            <w:tcW w:w="1801" w:type="dxa"/>
            <w:vMerge/>
            <w:tcBorders>
              <w:top w:val="single" w:sz="4" w:space="0" w:color="000000"/>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1803" w:type="dxa"/>
            <w:tcBorders>
              <w:top w:val="nil"/>
            </w:tcBorders>
          </w:tcPr>
          <w:p w:rsidR="00704449" w:rsidRDefault="0090383F">
            <w:pPr>
              <w:rPr>
                <w:rFonts w:ascii="Arial" w:eastAsia="Arial" w:hAnsi="Arial" w:cs="Arial"/>
                <w:b/>
                <w:sz w:val="20"/>
                <w:szCs w:val="20"/>
              </w:rPr>
            </w:pPr>
            <w:r>
              <w:rPr>
                <w:rFonts w:ascii="Arial" w:eastAsia="Arial" w:hAnsi="Arial" w:cs="Arial"/>
                <w:sz w:val="20"/>
                <w:szCs w:val="20"/>
              </w:rPr>
              <w:t>Window(er)</w:t>
            </w:r>
          </w:p>
        </w:tc>
        <w:tc>
          <w:tcPr>
            <w:tcW w:w="811" w:type="dxa"/>
            <w:tcBorders>
              <w:top w:val="nil"/>
            </w:tcBorders>
          </w:tcPr>
          <w:p w:rsidR="00704449" w:rsidRDefault="0090383F">
            <w:pPr>
              <w:jc w:val="center"/>
              <w:rPr>
                <w:rFonts w:ascii="Arial" w:eastAsia="Arial" w:hAnsi="Arial" w:cs="Arial"/>
                <w:sz w:val="20"/>
                <w:szCs w:val="20"/>
              </w:rPr>
            </w:pPr>
            <w:r>
              <w:rPr>
                <w:rFonts w:ascii="Arial" w:eastAsia="Arial" w:hAnsi="Arial" w:cs="Arial"/>
                <w:sz w:val="20"/>
                <w:szCs w:val="20"/>
              </w:rPr>
              <w:t>31</w:t>
            </w:r>
          </w:p>
        </w:tc>
        <w:tc>
          <w:tcPr>
            <w:tcW w:w="1623" w:type="dxa"/>
            <w:tcBorders>
              <w:top w:val="nil"/>
            </w:tcBorders>
          </w:tcPr>
          <w:p w:rsidR="00704449" w:rsidRDefault="0090383F">
            <w:pPr>
              <w:jc w:val="center"/>
              <w:rPr>
                <w:rFonts w:ascii="Arial" w:eastAsia="Arial" w:hAnsi="Arial" w:cs="Arial"/>
                <w:sz w:val="20"/>
                <w:szCs w:val="20"/>
              </w:rPr>
            </w:pPr>
            <w:r>
              <w:rPr>
                <w:rFonts w:ascii="Arial" w:eastAsia="Arial" w:hAnsi="Arial" w:cs="Arial"/>
                <w:sz w:val="20"/>
                <w:szCs w:val="20"/>
              </w:rPr>
              <w:t>71.77</w:t>
            </w:r>
          </w:p>
        </w:tc>
        <w:tc>
          <w:tcPr>
            <w:tcW w:w="1442" w:type="dxa"/>
            <w:tcBorders>
              <w:top w:val="nil"/>
            </w:tcBorders>
          </w:tcPr>
          <w:p w:rsidR="00704449" w:rsidRDefault="00704449">
            <w:pPr>
              <w:jc w:val="center"/>
              <w:rPr>
                <w:rFonts w:ascii="Arial" w:eastAsia="Arial" w:hAnsi="Arial" w:cs="Arial"/>
                <w:sz w:val="20"/>
                <w:szCs w:val="20"/>
              </w:rPr>
            </w:pPr>
          </w:p>
        </w:tc>
        <w:tc>
          <w:tcPr>
            <w:tcW w:w="719" w:type="dxa"/>
            <w:tcBorders>
              <w:top w:val="nil"/>
            </w:tcBorders>
          </w:tcPr>
          <w:p w:rsidR="00704449" w:rsidRDefault="00704449">
            <w:pPr>
              <w:jc w:val="center"/>
              <w:rPr>
                <w:rFonts w:ascii="Arial" w:eastAsia="Arial" w:hAnsi="Arial" w:cs="Arial"/>
                <w:sz w:val="20"/>
                <w:szCs w:val="20"/>
              </w:rPr>
            </w:pPr>
          </w:p>
        </w:tc>
        <w:tc>
          <w:tcPr>
            <w:tcW w:w="1623" w:type="dxa"/>
            <w:tcBorders>
              <w:top w:val="nil"/>
            </w:tcBorders>
          </w:tcPr>
          <w:p w:rsidR="00704449" w:rsidRDefault="00704449">
            <w:pPr>
              <w:jc w:val="center"/>
              <w:rPr>
                <w:rFonts w:ascii="Arial" w:eastAsia="Arial" w:hAnsi="Arial" w:cs="Arial"/>
                <w:sz w:val="20"/>
                <w:szCs w:val="20"/>
              </w:rPr>
            </w:pPr>
          </w:p>
        </w:tc>
      </w:tr>
      <w:tr w:rsidR="00704449">
        <w:tc>
          <w:tcPr>
            <w:tcW w:w="1801" w:type="dxa"/>
            <w:vMerge/>
            <w:tcBorders>
              <w:top w:val="single" w:sz="4" w:space="0" w:color="000000"/>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1803" w:type="dxa"/>
            <w:tcBorders>
              <w:top w:val="nil"/>
              <w:bottom w:val="single" w:sz="4" w:space="0" w:color="000000"/>
            </w:tcBorders>
          </w:tcPr>
          <w:p w:rsidR="00704449" w:rsidRDefault="0090383F">
            <w:pPr>
              <w:rPr>
                <w:rFonts w:ascii="Arial" w:eastAsia="Arial" w:hAnsi="Arial" w:cs="Arial"/>
                <w:sz w:val="20"/>
                <w:szCs w:val="20"/>
              </w:rPr>
            </w:pPr>
            <w:r>
              <w:rPr>
                <w:rFonts w:ascii="Arial" w:eastAsia="Arial" w:hAnsi="Arial" w:cs="Arial"/>
                <w:sz w:val="20"/>
                <w:szCs w:val="20"/>
              </w:rPr>
              <w:t>Total</w:t>
            </w:r>
          </w:p>
        </w:tc>
        <w:tc>
          <w:tcPr>
            <w:tcW w:w="811" w:type="dxa"/>
            <w:tcBorders>
              <w:top w:val="nil"/>
              <w:bottom w:val="single" w:sz="4" w:space="0" w:color="000000"/>
            </w:tcBorders>
          </w:tcPr>
          <w:p w:rsidR="00704449" w:rsidRDefault="0090383F">
            <w:pPr>
              <w:jc w:val="center"/>
              <w:rPr>
                <w:rFonts w:ascii="Arial" w:eastAsia="Arial" w:hAnsi="Arial" w:cs="Arial"/>
                <w:sz w:val="20"/>
                <w:szCs w:val="20"/>
              </w:rPr>
            </w:pPr>
            <w:r>
              <w:rPr>
                <w:rFonts w:ascii="Arial" w:eastAsia="Arial" w:hAnsi="Arial" w:cs="Arial"/>
                <w:sz w:val="20"/>
                <w:szCs w:val="20"/>
              </w:rPr>
              <w:t>150</w:t>
            </w:r>
          </w:p>
        </w:tc>
        <w:tc>
          <w:tcPr>
            <w:tcW w:w="1623" w:type="dxa"/>
            <w:tcBorders>
              <w:top w:val="nil"/>
              <w:bottom w:val="single" w:sz="4" w:space="0" w:color="000000"/>
            </w:tcBorders>
          </w:tcPr>
          <w:p w:rsidR="00704449" w:rsidRDefault="00704449">
            <w:pPr>
              <w:jc w:val="center"/>
              <w:rPr>
                <w:rFonts w:ascii="Arial" w:eastAsia="Arial" w:hAnsi="Arial" w:cs="Arial"/>
                <w:sz w:val="20"/>
                <w:szCs w:val="20"/>
              </w:rPr>
            </w:pPr>
          </w:p>
        </w:tc>
        <w:tc>
          <w:tcPr>
            <w:tcW w:w="1442" w:type="dxa"/>
            <w:tcBorders>
              <w:top w:val="nil"/>
              <w:bottom w:val="single" w:sz="4" w:space="0" w:color="000000"/>
            </w:tcBorders>
          </w:tcPr>
          <w:p w:rsidR="00704449" w:rsidRDefault="00704449">
            <w:pPr>
              <w:jc w:val="center"/>
              <w:rPr>
                <w:rFonts w:ascii="Arial" w:eastAsia="Arial" w:hAnsi="Arial" w:cs="Arial"/>
                <w:sz w:val="20"/>
                <w:szCs w:val="20"/>
              </w:rPr>
            </w:pPr>
          </w:p>
        </w:tc>
        <w:tc>
          <w:tcPr>
            <w:tcW w:w="719" w:type="dxa"/>
            <w:tcBorders>
              <w:top w:val="nil"/>
              <w:bottom w:val="single" w:sz="4" w:space="0" w:color="000000"/>
            </w:tcBorders>
          </w:tcPr>
          <w:p w:rsidR="00704449" w:rsidRDefault="00704449">
            <w:pPr>
              <w:jc w:val="center"/>
              <w:rPr>
                <w:rFonts w:ascii="Arial" w:eastAsia="Arial" w:hAnsi="Arial" w:cs="Arial"/>
                <w:sz w:val="20"/>
                <w:szCs w:val="20"/>
              </w:rPr>
            </w:pPr>
          </w:p>
        </w:tc>
        <w:tc>
          <w:tcPr>
            <w:tcW w:w="1623" w:type="dxa"/>
            <w:tcBorders>
              <w:top w:val="nil"/>
              <w:bottom w:val="single" w:sz="4" w:space="0" w:color="000000"/>
            </w:tcBorders>
          </w:tcPr>
          <w:p w:rsidR="00704449" w:rsidRDefault="00704449">
            <w:pPr>
              <w:jc w:val="center"/>
              <w:rPr>
                <w:rFonts w:ascii="Arial" w:eastAsia="Arial" w:hAnsi="Arial" w:cs="Arial"/>
                <w:sz w:val="20"/>
                <w:szCs w:val="20"/>
              </w:rPr>
            </w:pPr>
          </w:p>
        </w:tc>
      </w:tr>
      <w:tr w:rsidR="00704449">
        <w:tc>
          <w:tcPr>
            <w:tcW w:w="1801" w:type="dxa"/>
            <w:vMerge w:val="restart"/>
            <w:tcBorders>
              <w:top w:val="single" w:sz="4" w:space="0" w:color="000000"/>
            </w:tcBorders>
            <w:vAlign w:val="center"/>
          </w:tcPr>
          <w:p w:rsidR="00704449" w:rsidRDefault="0090383F">
            <w:pPr>
              <w:jc w:val="center"/>
              <w:rPr>
                <w:rFonts w:ascii="Arial" w:eastAsia="Arial" w:hAnsi="Arial" w:cs="Arial"/>
                <w:b/>
                <w:sz w:val="20"/>
                <w:szCs w:val="20"/>
              </w:rPr>
            </w:pPr>
            <w:r>
              <w:rPr>
                <w:rFonts w:ascii="Arial" w:eastAsia="Arial" w:hAnsi="Arial" w:cs="Arial"/>
                <w:b/>
                <w:sz w:val="20"/>
                <w:szCs w:val="20"/>
              </w:rPr>
              <w:t>Overall</w:t>
            </w:r>
          </w:p>
        </w:tc>
        <w:tc>
          <w:tcPr>
            <w:tcW w:w="1803" w:type="dxa"/>
            <w:tcBorders>
              <w:top w:val="single" w:sz="4" w:space="0" w:color="000000"/>
            </w:tcBorders>
          </w:tcPr>
          <w:p w:rsidR="00704449" w:rsidRDefault="0090383F">
            <w:pPr>
              <w:rPr>
                <w:rFonts w:ascii="Arial" w:eastAsia="Arial" w:hAnsi="Arial" w:cs="Arial"/>
                <w:sz w:val="20"/>
                <w:szCs w:val="20"/>
              </w:rPr>
            </w:pPr>
            <w:r>
              <w:rPr>
                <w:rFonts w:ascii="Arial" w:eastAsia="Arial" w:hAnsi="Arial" w:cs="Arial"/>
                <w:sz w:val="20"/>
                <w:szCs w:val="20"/>
              </w:rPr>
              <w:t>Single</w:t>
            </w:r>
          </w:p>
        </w:tc>
        <w:tc>
          <w:tcPr>
            <w:tcW w:w="811" w:type="dxa"/>
            <w:tcBorders>
              <w:top w:val="single" w:sz="4" w:space="0" w:color="000000"/>
            </w:tcBorders>
          </w:tcPr>
          <w:p w:rsidR="00704449" w:rsidRDefault="0090383F">
            <w:pPr>
              <w:jc w:val="center"/>
              <w:rPr>
                <w:rFonts w:ascii="Arial" w:eastAsia="Arial" w:hAnsi="Arial" w:cs="Arial"/>
                <w:sz w:val="20"/>
                <w:szCs w:val="20"/>
              </w:rPr>
            </w:pPr>
            <w:r>
              <w:rPr>
                <w:rFonts w:ascii="Arial" w:eastAsia="Arial" w:hAnsi="Arial" w:cs="Arial"/>
                <w:sz w:val="20"/>
                <w:szCs w:val="20"/>
              </w:rPr>
              <w:t>38</w:t>
            </w:r>
          </w:p>
        </w:tc>
        <w:tc>
          <w:tcPr>
            <w:tcW w:w="1623" w:type="dxa"/>
            <w:tcBorders>
              <w:top w:val="single" w:sz="4" w:space="0" w:color="000000"/>
            </w:tcBorders>
          </w:tcPr>
          <w:p w:rsidR="00704449" w:rsidRDefault="0090383F">
            <w:pPr>
              <w:jc w:val="center"/>
              <w:rPr>
                <w:rFonts w:ascii="Arial" w:eastAsia="Arial" w:hAnsi="Arial" w:cs="Arial"/>
                <w:sz w:val="20"/>
                <w:szCs w:val="20"/>
              </w:rPr>
            </w:pPr>
            <w:r>
              <w:rPr>
                <w:rFonts w:ascii="Arial" w:eastAsia="Arial" w:hAnsi="Arial" w:cs="Arial"/>
                <w:sz w:val="20"/>
                <w:szCs w:val="20"/>
              </w:rPr>
              <w:t>70.67</w:t>
            </w:r>
          </w:p>
        </w:tc>
        <w:tc>
          <w:tcPr>
            <w:tcW w:w="1442" w:type="dxa"/>
            <w:tcBorders>
              <w:top w:val="single" w:sz="4" w:space="0" w:color="000000"/>
            </w:tcBorders>
          </w:tcPr>
          <w:p w:rsidR="00704449" w:rsidRDefault="0090383F">
            <w:pPr>
              <w:jc w:val="center"/>
              <w:rPr>
                <w:rFonts w:ascii="Arial" w:eastAsia="Arial" w:hAnsi="Arial" w:cs="Arial"/>
                <w:sz w:val="20"/>
                <w:szCs w:val="20"/>
              </w:rPr>
            </w:pPr>
            <w:r>
              <w:rPr>
                <w:rFonts w:ascii="Arial" w:eastAsia="Arial" w:hAnsi="Arial" w:cs="Arial"/>
                <w:sz w:val="20"/>
                <w:szCs w:val="20"/>
              </w:rPr>
              <w:t>6.349</w:t>
            </w:r>
          </w:p>
        </w:tc>
        <w:tc>
          <w:tcPr>
            <w:tcW w:w="719" w:type="dxa"/>
            <w:tcBorders>
              <w:top w:val="single" w:sz="4" w:space="0" w:color="000000"/>
            </w:tcBorders>
          </w:tcPr>
          <w:p w:rsidR="00704449" w:rsidRDefault="0090383F">
            <w:pPr>
              <w:jc w:val="center"/>
              <w:rPr>
                <w:rFonts w:ascii="Arial" w:eastAsia="Arial" w:hAnsi="Arial" w:cs="Arial"/>
                <w:sz w:val="20"/>
                <w:szCs w:val="20"/>
              </w:rPr>
            </w:pPr>
            <w:r>
              <w:rPr>
                <w:rFonts w:ascii="Arial" w:eastAsia="Arial" w:hAnsi="Arial" w:cs="Arial"/>
                <w:sz w:val="20"/>
                <w:szCs w:val="20"/>
              </w:rPr>
              <w:t>3</w:t>
            </w:r>
          </w:p>
        </w:tc>
        <w:tc>
          <w:tcPr>
            <w:tcW w:w="1623" w:type="dxa"/>
            <w:tcBorders>
              <w:top w:val="single" w:sz="4" w:space="0" w:color="000000"/>
            </w:tcBorders>
          </w:tcPr>
          <w:p w:rsidR="00704449" w:rsidRDefault="0090383F">
            <w:pPr>
              <w:jc w:val="center"/>
              <w:rPr>
                <w:rFonts w:ascii="Arial" w:eastAsia="Arial" w:hAnsi="Arial" w:cs="Arial"/>
                <w:sz w:val="20"/>
                <w:szCs w:val="20"/>
              </w:rPr>
            </w:pPr>
            <w:r>
              <w:rPr>
                <w:rFonts w:ascii="Arial" w:eastAsia="Arial" w:hAnsi="Arial" w:cs="Arial"/>
                <w:sz w:val="20"/>
                <w:szCs w:val="20"/>
              </w:rPr>
              <w:t>0.096</w:t>
            </w:r>
          </w:p>
        </w:tc>
      </w:tr>
      <w:tr w:rsidR="00704449">
        <w:tc>
          <w:tcPr>
            <w:tcW w:w="1801" w:type="dxa"/>
            <w:vMerge/>
            <w:tcBorders>
              <w:top w:val="single" w:sz="4" w:space="0" w:color="000000"/>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1803" w:type="dxa"/>
          </w:tcPr>
          <w:p w:rsidR="00704449" w:rsidRDefault="0090383F">
            <w:pPr>
              <w:rPr>
                <w:rFonts w:ascii="Arial" w:eastAsia="Arial" w:hAnsi="Arial" w:cs="Arial"/>
                <w:sz w:val="20"/>
                <w:szCs w:val="20"/>
              </w:rPr>
            </w:pPr>
            <w:r>
              <w:rPr>
                <w:rFonts w:ascii="Arial" w:eastAsia="Arial" w:hAnsi="Arial" w:cs="Arial"/>
                <w:sz w:val="20"/>
                <w:szCs w:val="20"/>
              </w:rPr>
              <w:t>Married</w:t>
            </w:r>
          </w:p>
        </w:tc>
        <w:tc>
          <w:tcPr>
            <w:tcW w:w="811" w:type="dxa"/>
          </w:tcPr>
          <w:p w:rsidR="00704449" w:rsidRDefault="0090383F">
            <w:pPr>
              <w:jc w:val="center"/>
              <w:rPr>
                <w:rFonts w:ascii="Arial" w:eastAsia="Arial" w:hAnsi="Arial" w:cs="Arial"/>
                <w:sz w:val="20"/>
                <w:szCs w:val="20"/>
              </w:rPr>
            </w:pPr>
            <w:r>
              <w:rPr>
                <w:rFonts w:ascii="Arial" w:eastAsia="Arial" w:hAnsi="Arial" w:cs="Arial"/>
                <w:sz w:val="20"/>
                <w:szCs w:val="20"/>
              </w:rPr>
              <w:t>50</w:t>
            </w:r>
          </w:p>
        </w:tc>
        <w:tc>
          <w:tcPr>
            <w:tcW w:w="1623" w:type="dxa"/>
          </w:tcPr>
          <w:p w:rsidR="00704449" w:rsidRDefault="0090383F">
            <w:pPr>
              <w:jc w:val="center"/>
              <w:rPr>
                <w:rFonts w:ascii="Arial" w:eastAsia="Arial" w:hAnsi="Arial" w:cs="Arial"/>
                <w:sz w:val="20"/>
                <w:szCs w:val="20"/>
              </w:rPr>
            </w:pPr>
            <w:r>
              <w:rPr>
                <w:rFonts w:ascii="Arial" w:eastAsia="Arial" w:hAnsi="Arial" w:cs="Arial"/>
                <w:sz w:val="20"/>
                <w:szCs w:val="20"/>
              </w:rPr>
              <w:t>74.75</w:t>
            </w:r>
          </w:p>
        </w:tc>
        <w:tc>
          <w:tcPr>
            <w:tcW w:w="1442" w:type="dxa"/>
          </w:tcPr>
          <w:p w:rsidR="00704449" w:rsidRDefault="00704449">
            <w:pPr>
              <w:jc w:val="center"/>
              <w:rPr>
                <w:rFonts w:ascii="Arial" w:eastAsia="Arial" w:hAnsi="Arial" w:cs="Arial"/>
                <w:sz w:val="20"/>
                <w:szCs w:val="20"/>
              </w:rPr>
            </w:pPr>
          </w:p>
        </w:tc>
        <w:tc>
          <w:tcPr>
            <w:tcW w:w="719" w:type="dxa"/>
          </w:tcPr>
          <w:p w:rsidR="00704449" w:rsidRDefault="00704449">
            <w:pPr>
              <w:jc w:val="center"/>
              <w:rPr>
                <w:rFonts w:ascii="Arial" w:eastAsia="Arial" w:hAnsi="Arial" w:cs="Arial"/>
                <w:sz w:val="20"/>
                <w:szCs w:val="20"/>
              </w:rPr>
            </w:pPr>
          </w:p>
        </w:tc>
        <w:tc>
          <w:tcPr>
            <w:tcW w:w="1623" w:type="dxa"/>
          </w:tcPr>
          <w:p w:rsidR="00704449" w:rsidRDefault="00704449">
            <w:pPr>
              <w:jc w:val="center"/>
              <w:rPr>
                <w:rFonts w:ascii="Arial" w:eastAsia="Arial" w:hAnsi="Arial" w:cs="Arial"/>
                <w:sz w:val="20"/>
                <w:szCs w:val="20"/>
              </w:rPr>
            </w:pPr>
          </w:p>
        </w:tc>
      </w:tr>
      <w:tr w:rsidR="00704449">
        <w:tc>
          <w:tcPr>
            <w:tcW w:w="1801" w:type="dxa"/>
            <w:vMerge/>
            <w:tcBorders>
              <w:top w:val="single" w:sz="4" w:space="0" w:color="000000"/>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1803" w:type="dxa"/>
          </w:tcPr>
          <w:p w:rsidR="00704449" w:rsidRDefault="0090383F">
            <w:pPr>
              <w:rPr>
                <w:rFonts w:ascii="Arial" w:eastAsia="Arial" w:hAnsi="Arial" w:cs="Arial"/>
                <w:sz w:val="20"/>
                <w:szCs w:val="20"/>
              </w:rPr>
            </w:pPr>
            <w:r>
              <w:rPr>
                <w:rFonts w:ascii="Arial" w:eastAsia="Arial" w:hAnsi="Arial" w:cs="Arial"/>
                <w:sz w:val="20"/>
                <w:szCs w:val="20"/>
              </w:rPr>
              <w:t>Separated</w:t>
            </w:r>
          </w:p>
        </w:tc>
        <w:tc>
          <w:tcPr>
            <w:tcW w:w="811" w:type="dxa"/>
          </w:tcPr>
          <w:p w:rsidR="00704449" w:rsidRDefault="0090383F">
            <w:pPr>
              <w:jc w:val="center"/>
              <w:rPr>
                <w:rFonts w:ascii="Arial" w:eastAsia="Arial" w:hAnsi="Arial" w:cs="Arial"/>
                <w:sz w:val="20"/>
                <w:szCs w:val="20"/>
              </w:rPr>
            </w:pPr>
            <w:r>
              <w:rPr>
                <w:rFonts w:ascii="Arial" w:eastAsia="Arial" w:hAnsi="Arial" w:cs="Arial"/>
                <w:sz w:val="20"/>
                <w:szCs w:val="20"/>
              </w:rPr>
              <w:t>31</w:t>
            </w:r>
          </w:p>
        </w:tc>
        <w:tc>
          <w:tcPr>
            <w:tcW w:w="1623" w:type="dxa"/>
          </w:tcPr>
          <w:p w:rsidR="00704449" w:rsidRDefault="0090383F">
            <w:pPr>
              <w:jc w:val="center"/>
              <w:rPr>
                <w:rFonts w:ascii="Arial" w:eastAsia="Arial" w:hAnsi="Arial" w:cs="Arial"/>
                <w:sz w:val="20"/>
                <w:szCs w:val="20"/>
              </w:rPr>
            </w:pPr>
            <w:r>
              <w:rPr>
                <w:rFonts w:ascii="Arial" w:eastAsia="Arial" w:hAnsi="Arial" w:cs="Arial"/>
                <w:sz w:val="20"/>
                <w:szCs w:val="20"/>
              </w:rPr>
              <w:t>91.94</w:t>
            </w:r>
          </w:p>
        </w:tc>
        <w:tc>
          <w:tcPr>
            <w:tcW w:w="1442" w:type="dxa"/>
          </w:tcPr>
          <w:p w:rsidR="00704449" w:rsidRDefault="00704449">
            <w:pPr>
              <w:jc w:val="center"/>
              <w:rPr>
                <w:rFonts w:ascii="Arial" w:eastAsia="Arial" w:hAnsi="Arial" w:cs="Arial"/>
                <w:sz w:val="20"/>
                <w:szCs w:val="20"/>
              </w:rPr>
            </w:pPr>
          </w:p>
        </w:tc>
        <w:tc>
          <w:tcPr>
            <w:tcW w:w="719" w:type="dxa"/>
          </w:tcPr>
          <w:p w:rsidR="00704449" w:rsidRDefault="00704449">
            <w:pPr>
              <w:jc w:val="center"/>
              <w:rPr>
                <w:rFonts w:ascii="Arial" w:eastAsia="Arial" w:hAnsi="Arial" w:cs="Arial"/>
                <w:sz w:val="20"/>
                <w:szCs w:val="20"/>
              </w:rPr>
            </w:pPr>
          </w:p>
        </w:tc>
        <w:tc>
          <w:tcPr>
            <w:tcW w:w="1623" w:type="dxa"/>
          </w:tcPr>
          <w:p w:rsidR="00704449" w:rsidRDefault="00704449">
            <w:pPr>
              <w:jc w:val="center"/>
              <w:rPr>
                <w:rFonts w:ascii="Arial" w:eastAsia="Arial" w:hAnsi="Arial" w:cs="Arial"/>
                <w:sz w:val="20"/>
                <w:szCs w:val="20"/>
              </w:rPr>
            </w:pPr>
          </w:p>
        </w:tc>
      </w:tr>
      <w:tr w:rsidR="00704449">
        <w:tc>
          <w:tcPr>
            <w:tcW w:w="1801" w:type="dxa"/>
            <w:vMerge/>
            <w:tcBorders>
              <w:top w:val="single" w:sz="4" w:space="0" w:color="000000"/>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1803" w:type="dxa"/>
          </w:tcPr>
          <w:p w:rsidR="00704449" w:rsidRDefault="0090383F">
            <w:pPr>
              <w:rPr>
                <w:rFonts w:ascii="Arial" w:eastAsia="Arial" w:hAnsi="Arial" w:cs="Arial"/>
                <w:sz w:val="20"/>
                <w:szCs w:val="20"/>
              </w:rPr>
            </w:pPr>
            <w:r>
              <w:rPr>
                <w:rFonts w:ascii="Arial" w:eastAsia="Arial" w:hAnsi="Arial" w:cs="Arial"/>
                <w:sz w:val="20"/>
                <w:szCs w:val="20"/>
              </w:rPr>
              <w:t>Window(er)</w:t>
            </w:r>
          </w:p>
        </w:tc>
        <w:tc>
          <w:tcPr>
            <w:tcW w:w="811" w:type="dxa"/>
          </w:tcPr>
          <w:p w:rsidR="00704449" w:rsidRDefault="0090383F">
            <w:pPr>
              <w:jc w:val="center"/>
              <w:rPr>
                <w:rFonts w:ascii="Arial" w:eastAsia="Arial" w:hAnsi="Arial" w:cs="Arial"/>
                <w:sz w:val="20"/>
                <w:szCs w:val="20"/>
              </w:rPr>
            </w:pPr>
            <w:r>
              <w:rPr>
                <w:rFonts w:ascii="Arial" w:eastAsia="Arial" w:hAnsi="Arial" w:cs="Arial"/>
                <w:sz w:val="20"/>
                <w:szCs w:val="20"/>
              </w:rPr>
              <w:t>31</w:t>
            </w:r>
          </w:p>
        </w:tc>
        <w:tc>
          <w:tcPr>
            <w:tcW w:w="1623" w:type="dxa"/>
          </w:tcPr>
          <w:p w:rsidR="00704449" w:rsidRDefault="0090383F">
            <w:pPr>
              <w:jc w:val="center"/>
              <w:rPr>
                <w:rFonts w:ascii="Arial" w:eastAsia="Arial" w:hAnsi="Arial" w:cs="Arial"/>
                <w:sz w:val="20"/>
                <w:szCs w:val="20"/>
              </w:rPr>
            </w:pPr>
            <w:r>
              <w:rPr>
                <w:rFonts w:ascii="Arial" w:eastAsia="Arial" w:hAnsi="Arial" w:cs="Arial"/>
                <w:sz w:val="20"/>
                <w:szCs w:val="20"/>
              </w:rPr>
              <w:t>66.19</w:t>
            </w:r>
          </w:p>
        </w:tc>
        <w:tc>
          <w:tcPr>
            <w:tcW w:w="1442" w:type="dxa"/>
          </w:tcPr>
          <w:p w:rsidR="00704449" w:rsidRDefault="00704449">
            <w:pPr>
              <w:jc w:val="center"/>
              <w:rPr>
                <w:rFonts w:ascii="Arial" w:eastAsia="Arial" w:hAnsi="Arial" w:cs="Arial"/>
                <w:sz w:val="20"/>
                <w:szCs w:val="20"/>
              </w:rPr>
            </w:pPr>
          </w:p>
        </w:tc>
        <w:tc>
          <w:tcPr>
            <w:tcW w:w="719" w:type="dxa"/>
          </w:tcPr>
          <w:p w:rsidR="00704449" w:rsidRDefault="00704449">
            <w:pPr>
              <w:jc w:val="center"/>
              <w:rPr>
                <w:rFonts w:ascii="Arial" w:eastAsia="Arial" w:hAnsi="Arial" w:cs="Arial"/>
                <w:sz w:val="20"/>
                <w:szCs w:val="20"/>
              </w:rPr>
            </w:pPr>
          </w:p>
        </w:tc>
        <w:tc>
          <w:tcPr>
            <w:tcW w:w="1623" w:type="dxa"/>
          </w:tcPr>
          <w:p w:rsidR="00704449" w:rsidRDefault="00704449">
            <w:pPr>
              <w:jc w:val="center"/>
              <w:rPr>
                <w:rFonts w:ascii="Arial" w:eastAsia="Arial" w:hAnsi="Arial" w:cs="Arial"/>
                <w:sz w:val="20"/>
                <w:szCs w:val="20"/>
              </w:rPr>
            </w:pPr>
          </w:p>
        </w:tc>
      </w:tr>
      <w:tr w:rsidR="00704449">
        <w:tc>
          <w:tcPr>
            <w:tcW w:w="1801" w:type="dxa"/>
            <w:vMerge/>
            <w:tcBorders>
              <w:top w:val="single" w:sz="4" w:space="0" w:color="000000"/>
              <w:bottom w:val="single" w:sz="4" w:space="0" w:color="auto"/>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1803" w:type="dxa"/>
            <w:tcBorders>
              <w:bottom w:val="single" w:sz="4" w:space="0" w:color="auto"/>
            </w:tcBorders>
          </w:tcPr>
          <w:p w:rsidR="00704449" w:rsidRDefault="0090383F">
            <w:pPr>
              <w:rPr>
                <w:rFonts w:ascii="Arial" w:eastAsia="Arial" w:hAnsi="Arial" w:cs="Arial"/>
                <w:sz w:val="20"/>
                <w:szCs w:val="20"/>
              </w:rPr>
            </w:pPr>
            <w:r>
              <w:rPr>
                <w:rFonts w:ascii="Arial" w:eastAsia="Arial" w:hAnsi="Arial" w:cs="Arial"/>
                <w:sz w:val="20"/>
                <w:szCs w:val="20"/>
              </w:rPr>
              <w:t>Total</w:t>
            </w:r>
          </w:p>
        </w:tc>
        <w:tc>
          <w:tcPr>
            <w:tcW w:w="811" w:type="dxa"/>
            <w:tcBorders>
              <w:bottom w:val="single" w:sz="4" w:space="0" w:color="000000"/>
            </w:tcBorders>
          </w:tcPr>
          <w:p w:rsidR="00704449" w:rsidRDefault="0090383F">
            <w:pPr>
              <w:jc w:val="center"/>
              <w:rPr>
                <w:rFonts w:ascii="Arial" w:eastAsia="Arial" w:hAnsi="Arial" w:cs="Arial"/>
                <w:sz w:val="20"/>
                <w:szCs w:val="20"/>
              </w:rPr>
            </w:pPr>
            <w:r>
              <w:rPr>
                <w:rFonts w:ascii="Arial" w:eastAsia="Arial" w:hAnsi="Arial" w:cs="Arial"/>
                <w:sz w:val="20"/>
                <w:szCs w:val="20"/>
              </w:rPr>
              <w:t>150</w:t>
            </w:r>
          </w:p>
        </w:tc>
        <w:tc>
          <w:tcPr>
            <w:tcW w:w="1623" w:type="dxa"/>
            <w:tcBorders>
              <w:bottom w:val="single" w:sz="4" w:space="0" w:color="000000"/>
            </w:tcBorders>
          </w:tcPr>
          <w:p w:rsidR="00704449" w:rsidRDefault="00704449">
            <w:pPr>
              <w:jc w:val="center"/>
              <w:rPr>
                <w:rFonts w:ascii="Arial" w:eastAsia="Arial" w:hAnsi="Arial" w:cs="Arial"/>
                <w:sz w:val="20"/>
                <w:szCs w:val="20"/>
              </w:rPr>
            </w:pPr>
          </w:p>
        </w:tc>
        <w:tc>
          <w:tcPr>
            <w:tcW w:w="1442" w:type="dxa"/>
            <w:tcBorders>
              <w:bottom w:val="single" w:sz="4" w:space="0" w:color="000000"/>
            </w:tcBorders>
          </w:tcPr>
          <w:p w:rsidR="00704449" w:rsidRDefault="00704449">
            <w:pPr>
              <w:jc w:val="center"/>
              <w:rPr>
                <w:rFonts w:ascii="Arial" w:eastAsia="Arial" w:hAnsi="Arial" w:cs="Arial"/>
                <w:sz w:val="20"/>
                <w:szCs w:val="20"/>
              </w:rPr>
            </w:pPr>
          </w:p>
        </w:tc>
        <w:tc>
          <w:tcPr>
            <w:tcW w:w="719" w:type="dxa"/>
            <w:tcBorders>
              <w:bottom w:val="single" w:sz="4" w:space="0" w:color="000000"/>
            </w:tcBorders>
          </w:tcPr>
          <w:p w:rsidR="00704449" w:rsidRDefault="00704449">
            <w:pPr>
              <w:jc w:val="center"/>
              <w:rPr>
                <w:rFonts w:ascii="Arial" w:eastAsia="Arial" w:hAnsi="Arial" w:cs="Arial"/>
                <w:sz w:val="20"/>
                <w:szCs w:val="20"/>
              </w:rPr>
            </w:pPr>
          </w:p>
        </w:tc>
        <w:tc>
          <w:tcPr>
            <w:tcW w:w="1623" w:type="dxa"/>
            <w:tcBorders>
              <w:bottom w:val="single" w:sz="4" w:space="0" w:color="000000"/>
            </w:tcBorders>
          </w:tcPr>
          <w:p w:rsidR="00704449" w:rsidRDefault="00704449">
            <w:pPr>
              <w:jc w:val="center"/>
              <w:rPr>
                <w:rFonts w:ascii="Arial" w:eastAsia="Arial" w:hAnsi="Arial" w:cs="Arial"/>
                <w:sz w:val="20"/>
                <w:szCs w:val="20"/>
              </w:rPr>
            </w:pPr>
          </w:p>
        </w:tc>
      </w:tr>
    </w:tbl>
    <w:p w:rsidR="00704449" w:rsidRDefault="00704449">
      <w:pPr>
        <w:spacing w:after="0" w:line="240" w:lineRule="auto"/>
        <w:ind w:left="-630"/>
        <w:jc w:val="both"/>
        <w:rPr>
          <w:rFonts w:ascii="Arial" w:eastAsia="Arial" w:hAnsi="Arial" w:cs="Arial"/>
          <w:sz w:val="20"/>
          <w:szCs w:val="20"/>
        </w:rPr>
      </w:pPr>
    </w:p>
    <w:p w:rsidR="00704449" w:rsidRDefault="0090383F">
      <w:pPr>
        <w:spacing w:after="0" w:line="240" w:lineRule="auto"/>
        <w:ind w:left="-630"/>
        <w:jc w:val="both"/>
        <w:rPr>
          <w:rFonts w:ascii="Arial" w:eastAsia="Arial" w:hAnsi="Arial" w:cs="Arial"/>
          <w:sz w:val="20"/>
          <w:szCs w:val="20"/>
        </w:rPr>
        <w:sectPr w:rsidR="00704449">
          <w:type w:val="continuous"/>
          <w:pgSz w:w="12240" w:h="15840"/>
          <w:pgMar w:top="1440" w:right="2016" w:bottom="2016" w:left="2016" w:header="706" w:footer="706" w:gutter="0"/>
          <w:cols w:space="720"/>
        </w:sectPr>
      </w:pPr>
      <w:r>
        <w:rPr>
          <w:rFonts w:ascii="Arial" w:eastAsia="Arial" w:hAnsi="Arial" w:cs="Arial"/>
          <w:sz w:val="20"/>
          <w:szCs w:val="20"/>
        </w:rPr>
        <w:t>*p&lt;0.05</w:t>
      </w:r>
    </w:p>
    <w:p w:rsidR="00704449" w:rsidRDefault="00704449">
      <w:pPr>
        <w:spacing w:after="0" w:line="240" w:lineRule="auto"/>
        <w:jc w:val="both"/>
        <w:rPr>
          <w:rFonts w:ascii="Arial" w:eastAsia="Arial" w:hAnsi="Arial" w:cs="Arial"/>
          <w:sz w:val="20"/>
          <w:szCs w:val="20"/>
        </w:rPr>
        <w:sectPr w:rsidR="00704449">
          <w:type w:val="continuous"/>
          <w:pgSz w:w="12240" w:h="15840"/>
          <w:pgMar w:top="1440" w:right="2016" w:bottom="2016" w:left="2016" w:header="706" w:footer="706" w:gutter="0"/>
          <w:cols w:num="2" w:space="720" w:equalWidth="0">
            <w:col w:w="3750" w:space="708"/>
            <w:col w:w="3750"/>
          </w:cols>
        </w:sectPr>
      </w:pPr>
    </w:p>
    <w:p w:rsidR="00704449" w:rsidRDefault="0090383F">
      <w:pPr>
        <w:spacing w:after="0" w:line="240" w:lineRule="auto"/>
        <w:jc w:val="both"/>
        <w:rPr>
          <w:rFonts w:ascii="Arial" w:eastAsia="Arial" w:hAnsi="Arial" w:cs="Arial"/>
          <w:sz w:val="20"/>
          <w:szCs w:val="20"/>
        </w:rPr>
      </w:pPr>
      <w:r>
        <w:rPr>
          <w:rFonts w:ascii="Arial" w:eastAsia="Arial" w:hAnsi="Arial" w:cs="Arial"/>
          <w:sz w:val="20"/>
          <w:szCs w:val="20"/>
        </w:rPr>
        <w:t>years old, 71.08 for 51-60 years old, and 26 for above 60 years old. This means that their acceptance</w:t>
      </w:r>
      <w:r>
        <w:rPr>
          <w:rFonts w:ascii="Arial" w:eastAsia="Arial" w:hAnsi="Arial" w:cs="Arial"/>
          <w:sz w:val="20"/>
          <w:szCs w:val="20"/>
        </w:rPr>
        <w:t xml:space="preserve"> level is similar to their age. The Department of Education said that the program to include sexuality education fits the Responsible Parenthood and Reproductive Health Law of 2012, which requires the delivery of age and </w:t>
      </w:r>
      <w:r>
        <w:rPr>
          <w:rFonts w:ascii="Arial" w:eastAsia="Arial" w:hAnsi="Arial" w:cs="Arial"/>
          <w:sz w:val="20"/>
          <w:szCs w:val="20"/>
        </w:rPr>
        <w:t>developmentally appropriate reprodu</w:t>
      </w:r>
      <w:r>
        <w:rPr>
          <w:rFonts w:ascii="Arial" w:eastAsia="Arial" w:hAnsi="Arial" w:cs="Arial"/>
          <w:sz w:val="20"/>
          <w:szCs w:val="20"/>
        </w:rPr>
        <w:t>ctive health education for teenagers. According to them, teenagers need adult direction to understand the core of sex education properly and to avoid misreading its primary goals. By arming future mistakes with the necessary counselling and healthcare trea</w:t>
      </w:r>
      <w:r>
        <w:rPr>
          <w:rFonts w:ascii="Arial" w:eastAsia="Arial" w:hAnsi="Arial" w:cs="Arial"/>
          <w:sz w:val="20"/>
          <w:szCs w:val="20"/>
        </w:rPr>
        <w:t xml:space="preserve">tments, this project seeks to </w:t>
      </w:r>
      <w:r>
        <w:rPr>
          <w:rFonts w:ascii="Arial" w:eastAsia="Arial" w:hAnsi="Arial" w:cs="Arial"/>
          <w:sz w:val="20"/>
          <w:szCs w:val="20"/>
        </w:rPr>
        <w:lastRenderedPageBreak/>
        <w:t xml:space="preserve">prevent them, Cruz &amp; Chua [49]. The effort to provide sex education conforms with the law that guarantees teenagers’ right to health and education, according to the education department, Miedema &amp; Oduro [50]. According to the </w:t>
      </w:r>
      <w:r>
        <w:rPr>
          <w:rFonts w:ascii="Arial" w:eastAsia="Arial" w:hAnsi="Arial" w:cs="Arial"/>
          <w:sz w:val="20"/>
          <w:szCs w:val="20"/>
        </w:rPr>
        <w:t>education departments, education conforms to the law that guarantees teenagers' right to health and education, Miedema &amp; Oduro [50].</w:t>
      </w:r>
    </w:p>
    <w:p w:rsidR="00704449" w:rsidRDefault="00704449">
      <w:pPr>
        <w:spacing w:after="0" w:line="240" w:lineRule="auto"/>
        <w:jc w:val="both"/>
        <w:rPr>
          <w:rFonts w:ascii="Arial" w:eastAsia="Arial" w:hAnsi="Arial" w:cs="Arial"/>
          <w:sz w:val="20"/>
          <w:szCs w:val="20"/>
        </w:rPr>
      </w:pPr>
    </w:p>
    <w:p w:rsidR="00704449" w:rsidRDefault="0090383F">
      <w:pPr>
        <w:spacing w:line="240" w:lineRule="auto"/>
        <w:jc w:val="both"/>
        <w:rPr>
          <w:rFonts w:ascii="Arial" w:eastAsia="Arial" w:hAnsi="Arial" w:cs="Arial"/>
          <w:sz w:val="20"/>
          <w:szCs w:val="20"/>
        </w:rPr>
      </w:pPr>
      <w:r>
        <w:rPr>
          <w:rFonts w:ascii="Arial" w:eastAsia="Arial" w:hAnsi="Arial" w:cs="Arial"/>
          <w:sz w:val="20"/>
          <w:szCs w:val="20"/>
        </w:rPr>
        <w:t xml:space="preserve">Gacoin [51] asserts that the objective of incorporating sex education into the </w:t>
      </w:r>
      <w:r>
        <w:rPr>
          <w:rFonts w:ascii="Arial" w:eastAsia="Arial" w:hAnsi="Arial" w:cs="Arial"/>
          <w:sz w:val="20"/>
          <w:szCs w:val="20"/>
        </w:rPr>
        <w:t>curriculum is to enable students and educators to make informed decisions that positively impact their overall well-being. Educators, mainly guide-friendly counsellors, must possess the requisite knowledge and skills to integrate sex education into various</w:t>
      </w:r>
      <w:r>
        <w:rPr>
          <w:rFonts w:ascii="Arial" w:eastAsia="Arial" w:hAnsi="Arial" w:cs="Arial"/>
          <w:sz w:val="20"/>
          <w:szCs w:val="20"/>
        </w:rPr>
        <w:t xml:space="preserve"> subjects effectively. </w:t>
      </w:r>
      <w:r>
        <w:rPr>
          <w:rFonts w:ascii="Arial" w:eastAsia="Arial" w:hAnsi="Arial" w:cs="Arial"/>
          <w:sz w:val="20"/>
          <w:szCs w:val="20"/>
        </w:rPr>
        <w:t>Adolescents are currently unprepared for the obligations and hardships that adult sexuality brings, McCormack [52]; UNESCO [53]. Many young and older adults are exposed to exploitation, coercion, and violence without enough sex educa</w:t>
      </w:r>
      <w:r>
        <w:rPr>
          <w:rFonts w:ascii="Arial" w:eastAsia="Arial" w:hAnsi="Arial" w:cs="Arial"/>
          <w:sz w:val="20"/>
          <w:szCs w:val="20"/>
        </w:rPr>
        <w:t xml:space="preserve">tion. Furthermore, more and more young people are beginning to develop sexual consciousness in their early years, UNESCO [53].   Given this, comprehensive sexuality education (CSE) should be delivered sensibly and adapted to the developmental level of the </w:t>
      </w:r>
      <w:r>
        <w:rPr>
          <w:rFonts w:ascii="Arial" w:eastAsia="Arial" w:hAnsi="Arial" w:cs="Arial"/>
          <w:sz w:val="20"/>
          <w:szCs w:val="20"/>
        </w:rPr>
        <w:t xml:space="preserve">learner. </w:t>
      </w:r>
    </w:p>
    <w:p w:rsidR="00704449" w:rsidRDefault="0090383F">
      <w:pPr>
        <w:spacing w:after="0" w:line="240" w:lineRule="auto"/>
        <w:jc w:val="both"/>
        <w:rPr>
          <w:rFonts w:ascii="Arial" w:eastAsia="Arial" w:hAnsi="Arial" w:cs="Arial"/>
          <w:b/>
          <w:sz w:val="22"/>
          <w:szCs w:val="22"/>
        </w:rPr>
        <w:sectPr w:rsidR="00704449">
          <w:type w:val="continuous"/>
          <w:pgSz w:w="12240" w:h="15840"/>
          <w:pgMar w:top="1440" w:right="2016" w:bottom="2016" w:left="2016" w:header="706" w:footer="706" w:gutter="0"/>
          <w:cols w:num="2" w:space="720" w:equalWidth="0">
            <w:col w:w="3750" w:space="708"/>
            <w:col w:w="3750"/>
          </w:cols>
        </w:sectPr>
      </w:pPr>
      <w:r>
        <w:rPr>
          <w:rFonts w:ascii="Arial" w:eastAsia="Arial" w:hAnsi="Arial" w:cs="Arial"/>
          <w:b/>
          <w:sz w:val="22"/>
          <w:szCs w:val="22"/>
        </w:rPr>
        <w:t>4.4 SIGNIFICANT DIFFERENCE IN THE LEVEL OF ACCEPTANCE OF SCHOOL TEACHERS IN TEACHING SEX EDUCATION AS ANALYZED BY CIVIL STATUS</w:t>
      </w:r>
    </w:p>
    <w:p w:rsidR="00704449" w:rsidRDefault="0090383F">
      <w:pPr>
        <w:spacing w:after="0" w:line="240" w:lineRule="auto"/>
        <w:jc w:val="center"/>
        <w:rPr>
          <w:rFonts w:ascii="Arial" w:eastAsia="Arial" w:hAnsi="Arial" w:cs="Arial"/>
          <w:b/>
          <w:i/>
          <w:sz w:val="22"/>
          <w:szCs w:val="22"/>
        </w:rPr>
      </w:pPr>
      <w:r>
        <w:rPr>
          <w:rFonts w:ascii="Arial" w:eastAsia="Arial" w:hAnsi="Arial" w:cs="Arial"/>
          <w:b/>
          <w:sz w:val="22"/>
          <w:szCs w:val="22"/>
        </w:rPr>
        <w:t>Table 6.</w:t>
      </w:r>
      <w:r>
        <w:rPr>
          <w:rFonts w:ascii="Arial" w:eastAsia="Arial" w:hAnsi="Arial" w:cs="Arial"/>
          <w:b/>
          <w:i/>
          <w:sz w:val="22"/>
          <w:szCs w:val="22"/>
        </w:rPr>
        <w:t xml:space="preserve"> The difference in acceptance level when analyzed by gender</w:t>
      </w:r>
    </w:p>
    <w:p w:rsidR="00704449" w:rsidRDefault="00704449">
      <w:pPr>
        <w:spacing w:after="0" w:line="240" w:lineRule="auto"/>
        <w:jc w:val="center"/>
        <w:rPr>
          <w:rFonts w:ascii="Arial" w:eastAsia="Arial" w:hAnsi="Arial" w:cs="Arial"/>
          <w:b/>
          <w:i/>
          <w:sz w:val="22"/>
          <w:szCs w:val="22"/>
        </w:rPr>
      </w:pPr>
    </w:p>
    <w:tbl>
      <w:tblPr>
        <w:tblStyle w:val="a4"/>
        <w:tblpPr w:leftFromText="180" w:rightFromText="180" w:vertAnchor="text" w:tblpX="-545" w:tblpY="1"/>
        <w:tblW w:w="954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507"/>
        <w:gridCol w:w="932"/>
        <w:gridCol w:w="627"/>
        <w:gridCol w:w="1152"/>
        <w:gridCol w:w="1242"/>
        <w:gridCol w:w="1431"/>
        <w:gridCol w:w="1071"/>
        <w:gridCol w:w="1578"/>
      </w:tblGrid>
      <w:tr w:rsidR="00704449">
        <w:tc>
          <w:tcPr>
            <w:tcW w:w="1507" w:type="dxa"/>
            <w:tcBorders>
              <w:top w:val="single" w:sz="4" w:space="0" w:color="000000"/>
              <w:bottom w:val="single" w:sz="4" w:space="0" w:color="000000"/>
            </w:tcBorders>
          </w:tcPr>
          <w:p w:rsidR="00704449" w:rsidRDefault="00704449">
            <w:pPr>
              <w:rPr>
                <w:rFonts w:ascii="Arial" w:eastAsia="Arial" w:hAnsi="Arial" w:cs="Arial"/>
                <w:sz w:val="20"/>
                <w:szCs w:val="20"/>
              </w:rPr>
            </w:pPr>
          </w:p>
        </w:tc>
        <w:tc>
          <w:tcPr>
            <w:tcW w:w="932" w:type="dxa"/>
            <w:tcBorders>
              <w:top w:val="single" w:sz="4" w:space="0" w:color="000000"/>
              <w:bottom w:val="single" w:sz="4" w:space="0" w:color="000000"/>
            </w:tcBorders>
          </w:tcPr>
          <w:p w:rsidR="00704449" w:rsidRDefault="0090383F">
            <w:pPr>
              <w:jc w:val="center"/>
              <w:rPr>
                <w:rFonts w:ascii="Arial" w:eastAsia="Arial" w:hAnsi="Arial" w:cs="Arial"/>
                <w:b/>
                <w:sz w:val="20"/>
                <w:szCs w:val="20"/>
              </w:rPr>
            </w:pPr>
            <w:r>
              <w:rPr>
                <w:rFonts w:ascii="Arial" w:eastAsia="Arial" w:hAnsi="Arial" w:cs="Arial"/>
                <w:b/>
                <w:sz w:val="20"/>
                <w:szCs w:val="20"/>
              </w:rPr>
              <w:t>Gender</w:t>
            </w:r>
          </w:p>
        </w:tc>
        <w:tc>
          <w:tcPr>
            <w:tcW w:w="627" w:type="dxa"/>
            <w:tcBorders>
              <w:top w:val="single" w:sz="4" w:space="0" w:color="000000"/>
              <w:bottom w:val="single" w:sz="4" w:space="0" w:color="000000"/>
            </w:tcBorders>
          </w:tcPr>
          <w:p w:rsidR="00704449" w:rsidRDefault="0090383F">
            <w:pPr>
              <w:jc w:val="center"/>
              <w:rPr>
                <w:rFonts w:ascii="Arial" w:eastAsia="Arial" w:hAnsi="Arial" w:cs="Arial"/>
                <w:b/>
                <w:sz w:val="20"/>
                <w:szCs w:val="20"/>
              </w:rPr>
            </w:pPr>
            <w:r>
              <w:rPr>
                <w:rFonts w:ascii="Arial" w:eastAsia="Arial" w:hAnsi="Arial" w:cs="Arial"/>
                <w:b/>
                <w:sz w:val="20"/>
                <w:szCs w:val="20"/>
              </w:rPr>
              <w:t>N</w:t>
            </w:r>
          </w:p>
        </w:tc>
        <w:tc>
          <w:tcPr>
            <w:tcW w:w="1152" w:type="dxa"/>
            <w:tcBorders>
              <w:top w:val="single" w:sz="4" w:space="0" w:color="000000"/>
              <w:bottom w:val="single" w:sz="4" w:space="0" w:color="000000"/>
            </w:tcBorders>
          </w:tcPr>
          <w:p w:rsidR="00704449" w:rsidRDefault="0090383F">
            <w:pPr>
              <w:jc w:val="center"/>
              <w:rPr>
                <w:rFonts w:ascii="Arial" w:eastAsia="Arial" w:hAnsi="Arial" w:cs="Arial"/>
                <w:b/>
                <w:sz w:val="20"/>
                <w:szCs w:val="20"/>
              </w:rPr>
            </w:pPr>
            <w:r>
              <w:rPr>
                <w:rFonts w:ascii="Arial" w:eastAsia="Arial" w:hAnsi="Arial" w:cs="Arial"/>
                <w:b/>
                <w:sz w:val="20"/>
                <w:szCs w:val="20"/>
              </w:rPr>
              <w:t>Mean Rank</w:t>
            </w:r>
          </w:p>
        </w:tc>
        <w:tc>
          <w:tcPr>
            <w:tcW w:w="1242" w:type="dxa"/>
            <w:tcBorders>
              <w:top w:val="single" w:sz="4" w:space="0" w:color="000000"/>
              <w:bottom w:val="single" w:sz="4" w:space="0" w:color="000000"/>
            </w:tcBorders>
          </w:tcPr>
          <w:p w:rsidR="00704449" w:rsidRDefault="0090383F">
            <w:pPr>
              <w:jc w:val="center"/>
              <w:rPr>
                <w:rFonts w:ascii="Arial" w:eastAsia="Arial" w:hAnsi="Arial" w:cs="Arial"/>
                <w:b/>
                <w:sz w:val="20"/>
                <w:szCs w:val="20"/>
              </w:rPr>
            </w:pPr>
            <w:r>
              <w:rPr>
                <w:rFonts w:ascii="Arial" w:eastAsia="Arial" w:hAnsi="Arial" w:cs="Arial"/>
                <w:b/>
                <w:sz w:val="20"/>
                <w:szCs w:val="20"/>
              </w:rPr>
              <w:t>Sum of</w:t>
            </w:r>
            <w:r>
              <w:rPr>
                <w:rFonts w:ascii="Arial" w:eastAsia="Arial" w:hAnsi="Arial" w:cs="Arial"/>
                <w:b/>
                <w:sz w:val="20"/>
                <w:szCs w:val="20"/>
              </w:rPr>
              <w:t xml:space="preserve"> Ranks</w:t>
            </w:r>
          </w:p>
        </w:tc>
        <w:tc>
          <w:tcPr>
            <w:tcW w:w="1431" w:type="dxa"/>
            <w:tcBorders>
              <w:top w:val="single" w:sz="4" w:space="0" w:color="000000"/>
              <w:bottom w:val="single" w:sz="4" w:space="0" w:color="000000"/>
            </w:tcBorders>
          </w:tcPr>
          <w:p w:rsidR="00704449" w:rsidRDefault="0090383F">
            <w:pPr>
              <w:jc w:val="center"/>
              <w:rPr>
                <w:rFonts w:ascii="Arial" w:eastAsia="Arial" w:hAnsi="Arial" w:cs="Arial"/>
                <w:b/>
                <w:sz w:val="20"/>
                <w:szCs w:val="20"/>
              </w:rPr>
            </w:pPr>
            <w:r>
              <w:rPr>
                <w:rFonts w:ascii="Arial" w:eastAsia="Arial" w:hAnsi="Arial" w:cs="Arial"/>
                <w:b/>
                <w:sz w:val="20"/>
                <w:szCs w:val="20"/>
              </w:rPr>
              <w:t>Mann-Whitney U</w:t>
            </w:r>
          </w:p>
        </w:tc>
        <w:tc>
          <w:tcPr>
            <w:tcW w:w="1071" w:type="dxa"/>
            <w:tcBorders>
              <w:top w:val="single" w:sz="4" w:space="0" w:color="000000"/>
              <w:bottom w:val="single" w:sz="4" w:space="0" w:color="000000"/>
            </w:tcBorders>
          </w:tcPr>
          <w:p w:rsidR="00704449" w:rsidRDefault="0090383F">
            <w:pPr>
              <w:jc w:val="center"/>
              <w:rPr>
                <w:rFonts w:ascii="Arial" w:eastAsia="Arial" w:hAnsi="Arial" w:cs="Arial"/>
                <w:b/>
                <w:sz w:val="20"/>
                <w:szCs w:val="20"/>
              </w:rPr>
            </w:pPr>
            <w:r>
              <w:rPr>
                <w:rFonts w:ascii="Arial" w:eastAsia="Arial" w:hAnsi="Arial" w:cs="Arial"/>
                <w:b/>
                <w:sz w:val="20"/>
                <w:szCs w:val="20"/>
              </w:rPr>
              <w:t>Z</w:t>
            </w:r>
          </w:p>
        </w:tc>
        <w:tc>
          <w:tcPr>
            <w:tcW w:w="1578" w:type="dxa"/>
            <w:tcBorders>
              <w:top w:val="single" w:sz="4" w:space="0" w:color="000000"/>
              <w:bottom w:val="single" w:sz="4" w:space="0" w:color="000000"/>
            </w:tcBorders>
          </w:tcPr>
          <w:p w:rsidR="00704449" w:rsidRDefault="0090383F">
            <w:pPr>
              <w:jc w:val="center"/>
              <w:rPr>
                <w:rFonts w:ascii="Arial" w:eastAsia="Arial" w:hAnsi="Arial" w:cs="Arial"/>
                <w:b/>
                <w:sz w:val="20"/>
                <w:szCs w:val="20"/>
              </w:rPr>
            </w:pPr>
            <w:r>
              <w:rPr>
                <w:rFonts w:ascii="Arial" w:eastAsia="Arial" w:hAnsi="Arial" w:cs="Arial"/>
                <w:b/>
                <w:sz w:val="20"/>
                <w:szCs w:val="20"/>
              </w:rPr>
              <w:t>Asymp. Sig. (2-tailed)</w:t>
            </w:r>
          </w:p>
        </w:tc>
      </w:tr>
      <w:tr w:rsidR="00704449">
        <w:tc>
          <w:tcPr>
            <w:tcW w:w="1507" w:type="dxa"/>
            <w:vMerge w:val="restart"/>
            <w:tcBorders>
              <w:top w:val="single" w:sz="4" w:space="0" w:color="000000"/>
              <w:bottom w:val="nil"/>
            </w:tcBorders>
            <w:vAlign w:val="center"/>
          </w:tcPr>
          <w:p w:rsidR="00704449" w:rsidRDefault="0090383F">
            <w:pPr>
              <w:jc w:val="center"/>
              <w:rPr>
                <w:rFonts w:ascii="Arial" w:eastAsia="Arial" w:hAnsi="Arial" w:cs="Arial"/>
                <w:b/>
                <w:sz w:val="20"/>
                <w:szCs w:val="20"/>
              </w:rPr>
            </w:pPr>
            <w:r>
              <w:rPr>
                <w:rFonts w:ascii="Arial" w:eastAsia="Arial" w:hAnsi="Arial" w:cs="Arial"/>
                <w:b/>
                <w:sz w:val="20"/>
                <w:szCs w:val="20"/>
              </w:rPr>
              <w:t>Approval</w:t>
            </w:r>
          </w:p>
        </w:tc>
        <w:tc>
          <w:tcPr>
            <w:tcW w:w="932" w:type="dxa"/>
            <w:tcBorders>
              <w:top w:val="single" w:sz="4" w:space="0" w:color="000000"/>
              <w:bottom w:val="nil"/>
            </w:tcBorders>
          </w:tcPr>
          <w:p w:rsidR="00704449" w:rsidRDefault="0090383F">
            <w:pPr>
              <w:rPr>
                <w:rFonts w:ascii="Arial" w:eastAsia="Arial" w:hAnsi="Arial" w:cs="Arial"/>
                <w:sz w:val="20"/>
                <w:szCs w:val="20"/>
              </w:rPr>
            </w:pPr>
            <w:r>
              <w:rPr>
                <w:rFonts w:ascii="Arial" w:eastAsia="Arial" w:hAnsi="Arial" w:cs="Arial"/>
                <w:sz w:val="20"/>
                <w:szCs w:val="20"/>
              </w:rPr>
              <w:t>Male</w:t>
            </w:r>
          </w:p>
        </w:tc>
        <w:tc>
          <w:tcPr>
            <w:tcW w:w="627" w:type="dxa"/>
            <w:tcBorders>
              <w:top w:val="single" w:sz="4" w:space="0" w:color="000000"/>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75</w:t>
            </w:r>
          </w:p>
        </w:tc>
        <w:tc>
          <w:tcPr>
            <w:tcW w:w="1152" w:type="dxa"/>
            <w:tcBorders>
              <w:top w:val="single" w:sz="4" w:space="0" w:color="000000"/>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 xml:space="preserve"> 3.8</w:t>
            </w:r>
          </w:p>
        </w:tc>
        <w:tc>
          <w:tcPr>
            <w:tcW w:w="1242" w:type="dxa"/>
            <w:tcBorders>
              <w:top w:val="single" w:sz="4" w:space="0" w:color="000000"/>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5535</w:t>
            </w:r>
          </w:p>
        </w:tc>
        <w:tc>
          <w:tcPr>
            <w:tcW w:w="1431" w:type="dxa"/>
            <w:tcBorders>
              <w:top w:val="single" w:sz="4" w:space="0" w:color="000000"/>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2685</w:t>
            </w:r>
          </w:p>
        </w:tc>
        <w:tc>
          <w:tcPr>
            <w:tcW w:w="1071" w:type="dxa"/>
            <w:tcBorders>
              <w:top w:val="single" w:sz="4" w:space="0" w:color="000000"/>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-0.497</w:t>
            </w:r>
          </w:p>
        </w:tc>
        <w:tc>
          <w:tcPr>
            <w:tcW w:w="1578" w:type="dxa"/>
            <w:tcBorders>
              <w:top w:val="single" w:sz="4" w:space="0" w:color="000000"/>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0.619</w:t>
            </w:r>
          </w:p>
        </w:tc>
      </w:tr>
      <w:tr w:rsidR="00704449">
        <w:tc>
          <w:tcPr>
            <w:tcW w:w="1507" w:type="dxa"/>
            <w:vMerge/>
            <w:tcBorders>
              <w:top w:val="single" w:sz="4" w:space="0" w:color="000000"/>
              <w:bottom w:val="nil"/>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932" w:type="dxa"/>
            <w:tcBorders>
              <w:top w:val="nil"/>
              <w:bottom w:val="nil"/>
            </w:tcBorders>
          </w:tcPr>
          <w:p w:rsidR="00704449" w:rsidRDefault="0090383F">
            <w:pPr>
              <w:rPr>
                <w:rFonts w:ascii="Arial" w:eastAsia="Arial" w:hAnsi="Arial" w:cs="Arial"/>
                <w:sz w:val="20"/>
                <w:szCs w:val="20"/>
              </w:rPr>
            </w:pPr>
            <w:r>
              <w:rPr>
                <w:rFonts w:ascii="Arial" w:eastAsia="Arial" w:hAnsi="Arial" w:cs="Arial"/>
                <w:sz w:val="20"/>
                <w:szCs w:val="20"/>
              </w:rPr>
              <w:t>Female</w:t>
            </w:r>
          </w:p>
        </w:tc>
        <w:tc>
          <w:tcPr>
            <w:tcW w:w="627" w:type="dxa"/>
            <w:tcBorders>
              <w:top w:val="nil"/>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75</w:t>
            </w:r>
          </w:p>
        </w:tc>
        <w:tc>
          <w:tcPr>
            <w:tcW w:w="1152" w:type="dxa"/>
            <w:tcBorders>
              <w:top w:val="nil"/>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77.2</w:t>
            </w:r>
          </w:p>
        </w:tc>
        <w:tc>
          <w:tcPr>
            <w:tcW w:w="1242" w:type="dxa"/>
            <w:tcBorders>
              <w:top w:val="nil"/>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5790</w:t>
            </w:r>
          </w:p>
        </w:tc>
        <w:tc>
          <w:tcPr>
            <w:tcW w:w="1431" w:type="dxa"/>
            <w:tcBorders>
              <w:top w:val="nil"/>
              <w:bottom w:val="nil"/>
            </w:tcBorders>
          </w:tcPr>
          <w:p w:rsidR="00704449" w:rsidRDefault="00704449">
            <w:pPr>
              <w:jc w:val="center"/>
              <w:rPr>
                <w:rFonts w:ascii="Arial" w:eastAsia="Arial" w:hAnsi="Arial" w:cs="Arial"/>
                <w:sz w:val="20"/>
                <w:szCs w:val="20"/>
              </w:rPr>
            </w:pPr>
          </w:p>
        </w:tc>
        <w:tc>
          <w:tcPr>
            <w:tcW w:w="1071" w:type="dxa"/>
            <w:tcBorders>
              <w:top w:val="nil"/>
              <w:bottom w:val="nil"/>
            </w:tcBorders>
          </w:tcPr>
          <w:p w:rsidR="00704449" w:rsidRDefault="00704449">
            <w:pPr>
              <w:jc w:val="center"/>
              <w:rPr>
                <w:rFonts w:ascii="Arial" w:eastAsia="Arial" w:hAnsi="Arial" w:cs="Arial"/>
                <w:sz w:val="20"/>
                <w:szCs w:val="20"/>
              </w:rPr>
            </w:pPr>
          </w:p>
        </w:tc>
        <w:tc>
          <w:tcPr>
            <w:tcW w:w="1578" w:type="dxa"/>
            <w:tcBorders>
              <w:top w:val="nil"/>
              <w:bottom w:val="nil"/>
            </w:tcBorders>
          </w:tcPr>
          <w:p w:rsidR="00704449" w:rsidRDefault="00704449">
            <w:pPr>
              <w:jc w:val="center"/>
              <w:rPr>
                <w:rFonts w:ascii="Arial" w:eastAsia="Arial" w:hAnsi="Arial" w:cs="Arial"/>
                <w:sz w:val="20"/>
                <w:szCs w:val="20"/>
              </w:rPr>
            </w:pPr>
          </w:p>
        </w:tc>
      </w:tr>
      <w:tr w:rsidR="00704449">
        <w:tc>
          <w:tcPr>
            <w:tcW w:w="1507" w:type="dxa"/>
            <w:vMerge/>
            <w:tcBorders>
              <w:top w:val="single" w:sz="4" w:space="0" w:color="000000"/>
              <w:bottom w:val="nil"/>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932" w:type="dxa"/>
            <w:tcBorders>
              <w:top w:val="nil"/>
              <w:bottom w:val="single" w:sz="4" w:space="0" w:color="000000"/>
            </w:tcBorders>
          </w:tcPr>
          <w:p w:rsidR="00704449" w:rsidRDefault="0090383F">
            <w:pPr>
              <w:rPr>
                <w:rFonts w:ascii="Arial" w:eastAsia="Arial" w:hAnsi="Arial" w:cs="Arial"/>
                <w:sz w:val="20"/>
                <w:szCs w:val="20"/>
              </w:rPr>
            </w:pPr>
            <w:r>
              <w:rPr>
                <w:rFonts w:ascii="Arial" w:eastAsia="Arial" w:hAnsi="Arial" w:cs="Arial"/>
                <w:sz w:val="20"/>
                <w:szCs w:val="20"/>
              </w:rPr>
              <w:t>Total</w:t>
            </w:r>
          </w:p>
        </w:tc>
        <w:tc>
          <w:tcPr>
            <w:tcW w:w="627" w:type="dxa"/>
            <w:tcBorders>
              <w:top w:val="nil"/>
              <w:bottom w:val="single" w:sz="4" w:space="0" w:color="000000"/>
            </w:tcBorders>
          </w:tcPr>
          <w:p w:rsidR="00704449" w:rsidRDefault="0090383F">
            <w:pPr>
              <w:jc w:val="center"/>
              <w:rPr>
                <w:rFonts w:ascii="Arial" w:eastAsia="Arial" w:hAnsi="Arial" w:cs="Arial"/>
                <w:sz w:val="20"/>
                <w:szCs w:val="20"/>
              </w:rPr>
            </w:pPr>
            <w:r>
              <w:rPr>
                <w:rFonts w:ascii="Arial" w:eastAsia="Arial" w:hAnsi="Arial" w:cs="Arial"/>
                <w:sz w:val="20"/>
                <w:szCs w:val="20"/>
              </w:rPr>
              <w:t>150</w:t>
            </w:r>
          </w:p>
        </w:tc>
        <w:tc>
          <w:tcPr>
            <w:tcW w:w="1152" w:type="dxa"/>
            <w:tcBorders>
              <w:top w:val="nil"/>
              <w:bottom w:val="single" w:sz="4" w:space="0" w:color="000000"/>
            </w:tcBorders>
          </w:tcPr>
          <w:p w:rsidR="00704449" w:rsidRDefault="00704449">
            <w:pPr>
              <w:jc w:val="center"/>
              <w:rPr>
                <w:rFonts w:ascii="Arial" w:eastAsia="Arial" w:hAnsi="Arial" w:cs="Arial"/>
                <w:sz w:val="20"/>
                <w:szCs w:val="20"/>
              </w:rPr>
            </w:pPr>
          </w:p>
        </w:tc>
        <w:tc>
          <w:tcPr>
            <w:tcW w:w="1242" w:type="dxa"/>
            <w:tcBorders>
              <w:top w:val="nil"/>
              <w:bottom w:val="single" w:sz="4" w:space="0" w:color="000000"/>
            </w:tcBorders>
          </w:tcPr>
          <w:p w:rsidR="00704449" w:rsidRDefault="00704449">
            <w:pPr>
              <w:jc w:val="center"/>
              <w:rPr>
                <w:rFonts w:ascii="Arial" w:eastAsia="Arial" w:hAnsi="Arial" w:cs="Arial"/>
                <w:sz w:val="20"/>
                <w:szCs w:val="20"/>
              </w:rPr>
            </w:pPr>
          </w:p>
        </w:tc>
        <w:tc>
          <w:tcPr>
            <w:tcW w:w="1431" w:type="dxa"/>
            <w:tcBorders>
              <w:top w:val="nil"/>
              <w:bottom w:val="single" w:sz="4" w:space="0" w:color="000000"/>
            </w:tcBorders>
          </w:tcPr>
          <w:p w:rsidR="00704449" w:rsidRDefault="00704449">
            <w:pPr>
              <w:jc w:val="center"/>
              <w:rPr>
                <w:rFonts w:ascii="Arial" w:eastAsia="Arial" w:hAnsi="Arial" w:cs="Arial"/>
                <w:sz w:val="20"/>
                <w:szCs w:val="20"/>
              </w:rPr>
            </w:pPr>
          </w:p>
        </w:tc>
        <w:tc>
          <w:tcPr>
            <w:tcW w:w="1071" w:type="dxa"/>
            <w:tcBorders>
              <w:top w:val="nil"/>
              <w:bottom w:val="single" w:sz="4" w:space="0" w:color="000000"/>
            </w:tcBorders>
          </w:tcPr>
          <w:p w:rsidR="00704449" w:rsidRDefault="00704449">
            <w:pPr>
              <w:jc w:val="center"/>
              <w:rPr>
                <w:rFonts w:ascii="Arial" w:eastAsia="Arial" w:hAnsi="Arial" w:cs="Arial"/>
                <w:sz w:val="20"/>
                <w:szCs w:val="20"/>
              </w:rPr>
            </w:pPr>
          </w:p>
        </w:tc>
        <w:tc>
          <w:tcPr>
            <w:tcW w:w="1578" w:type="dxa"/>
            <w:tcBorders>
              <w:top w:val="nil"/>
              <w:bottom w:val="single" w:sz="4" w:space="0" w:color="000000"/>
            </w:tcBorders>
          </w:tcPr>
          <w:p w:rsidR="00704449" w:rsidRDefault="00704449">
            <w:pPr>
              <w:jc w:val="center"/>
              <w:rPr>
                <w:rFonts w:ascii="Arial" w:eastAsia="Arial" w:hAnsi="Arial" w:cs="Arial"/>
                <w:sz w:val="20"/>
                <w:szCs w:val="20"/>
              </w:rPr>
            </w:pPr>
          </w:p>
        </w:tc>
      </w:tr>
      <w:tr w:rsidR="00704449">
        <w:tc>
          <w:tcPr>
            <w:tcW w:w="1507" w:type="dxa"/>
            <w:vMerge w:val="restart"/>
            <w:tcBorders>
              <w:top w:val="single" w:sz="4" w:space="0" w:color="000000"/>
              <w:bottom w:val="nil"/>
            </w:tcBorders>
            <w:vAlign w:val="center"/>
          </w:tcPr>
          <w:p w:rsidR="00704449" w:rsidRDefault="0090383F">
            <w:pPr>
              <w:jc w:val="center"/>
              <w:rPr>
                <w:rFonts w:ascii="Arial" w:eastAsia="Arial" w:hAnsi="Arial" w:cs="Arial"/>
                <w:b/>
                <w:sz w:val="20"/>
                <w:szCs w:val="20"/>
              </w:rPr>
            </w:pPr>
            <w:r>
              <w:rPr>
                <w:rFonts w:ascii="Arial" w:eastAsia="Arial" w:hAnsi="Arial" w:cs="Arial"/>
                <w:b/>
                <w:sz w:val="20"/>
                <w:szCs w:val="20"/>
              </w:rPr>
              <w:t>Job Effectiveness</w:t>
            </w:r>
          </w:p>
        </w:tc>
        <w:tc>
          <w:tcPr>
            <w:tcW w:w="932" w:type="dxa"/>
            <w:tcBorders>
              <w:top w:val="single" w:sz="4" w:space="0" w:color="000000"/>
              <w:bottom w:val="nil"/>
            </w:tcBorders>
          </w:tcPr>
          <w:p w:rsidR="00704449" w:rsidRDefault="0090383F">
            <w:pPr>
              <w:rPr>
                <w:rFonts w:ascii="Arial" w:eastAsia="Arial" w:hAnsi="Arial" w:cs="Arial"/>
                <w:sz w:val="20"/>
                <w:szCs w:val="20"/>
              </w:rPr>
            </w:pPr>
            <w:r>
              <w:rPr>
                <w:rFonts w:ascii="Arial" w:eastAsia="Arial" w:hAnsi="Arial" w:cs="Arial"/>
                <w:sz w:val="20"/>
                <w:szCs w:val="20"/>
              </w:rPr>
              <w:t>Male</w:t>
            </w:r>
          </w:p>
        </w:tc>
        <w:tc>
          <w:tcPr>
            <w:tcW w:w="627" w:type="dxa"/>
            <w:tcBorders>
              <w:top w:val="single" w:sz="4" w:space="0" w:color="000000"/>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75</w:t>
            </w:r>
          </w:p>
        </w:tc>
        <w:tc>
          <w:tcPr>
            <w:tcW w:w="1152" w:type="dxa"/>
            <w:tcBorders>
              <w:top w:val="single" w:sz="4" w:space="0" w:color="000000"/>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76.16</w:t>
            </w:r>
          </w:p>
        </w:tc>
        <w:tc>
          <w:tcPr>
            <w:tcW w:w="1242" w:type="dxa"/>
            <w:tcBorders>
              <w:top w:val="single" w:sz="4" w:space="0" w:color="000000"/>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5712</w:t>
            </w:r>
          </w:p>
        </w:tc>
        <w:tc>
          <w:tcPr>
            <w:tcW w:w="1431" w:type="dxa"/>
            <w:tcBorders>
              <w:top w:val="single" w:sz="4" w:space="0" w:color="000000"/>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2763</w:t>
            </w:r>
          </w:p>
        </w:tc>
        <w:tc>
          <w:tcPr>
            <w:tcW w:w="1071" w:type="dxa"/>
            <w:tcBorders>
              <w:top w:val="single" w:sz="4" w:space="0" w:color="000000"/>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-0.188</w:t>
            </w:r>
          </w:p>
        </w:tc>
        <w:tc>
          <w:tcPr>
            <w:tcW w:w="1578" w:type="dxa"/>
            <w:tcBorders>
              <w:top w:val="single" w:sz="4" w:space="0" w:color="000000"/>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0.851</w:t>
            </w:r>
          </w:p>
        </w:tc>
      </w:tr>
      <w:tr w:rsidR="00704449">
        <w:tc>
          <w:tcPr>
            <w:tcW w:w="1507" w:type="dxa"/>
            <w:vMerge/>
            <w:tcBorders>
              <w:top w:val="single" w:sz="4" w:space="0" w:color="000000"/>
              <w:bottom w:val="nil"/>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932" w:type="dxa"/>
            <w:tcBorders>
              <w:top w:val="nil"/>
              <w:bottom w:val="nil"/>
            </w:tcBorders>
          </w:tcPr>
          <w:p w:rsidR="00704449" w:rsidRDefault="0090383F">
            <w:pPr>
              <w:rPr>
                <w:rFonts w:ascii="Arial" w:eastAsia="Arial" w:hAnsi="Arial" w:cs="Arial"/>
                <w:sz w:val="20"/>
                <w:szCs w:val="20"/>
              </w:rPr>
            </w:pPr>
            <w:r>
              <w:rPr>
                <w:rFonts w:ascii="Arial" w:eastAsia="Arial" w:hAnsi="Arial" w:cs="Arial"/>
                <w:sz w:val="20"/>
                <w:szCs w:val="20"/>
              </w:rPr>
              <w:t>Female</w:t>
            </w:r>
          </w:p>
        </w:tc>
        <w:tc>
          <w:tcPr>
            <w:tcW w:w="627" w:type="dxa"/>
            <w:tcBorders>
              <w:top w:val="nil"/>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75</w:t>
            </w:r>
          </w:p>
        </w:tc>
        <w:tc>
          <w:tcPr>
            <w:tcW w:w="1152" w:type="dxa"/>
            <w:tcBorders>
              <w:top w:val="nil"/>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74.84</w:t>
            </w:r>
          </w:p>
        </w:tc>
        <w:tc>
          <w:tcPr>
            <w:tcW w:w="1242" w:type="dxa"/>
            <w:tcBorders>
              <w:top w:val="nil"/>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5613</w:t>
            </w:r>
          </w:p>
        </w:tc>
        <w:tc>
          <w:tcPr>
            <w:tcW w:w="1431" w:type="dxa"/>
            <w:tcBorders>
              <w:top w:val="nil"/>
              <w:bottom w:val="nil"/>
            </w:tcBorders>
          </w:tcPr>
          <w:p w:rsidR="00704449" w:rsidRDefault="00704449">
            <w:pPr>
              <w:jc w:val="center"/>
              <w:rPr>
                <w:rFonts w:ascii="Arial" w:eastAsia="Arial" w:hAnsi="Arial" w:cs="Arial"/>
                <w:sz w:val="20"/>
                <w:szCs w:val="20"/>
              </w:rPr>
            </w:pPr>
          </w:p>
        </w:tc>
        <w:tc>
          <w:tcPr>
            <w:tcW w:w="1071" w:type="dxa"/>
            <w:tcBorders>
              <w:top w:val="nil"/>
              <w:bottom w:val="nil"/>
            </w:tcBorders>
          </w:tcPr>
          <w:p w:rsidR="00704449" w:rsidRDefault="00704449">
            <w:pPr>
              <w:jc w:val="center"/>
              <w:rPr>
                <w:rFonts w:ascii="Arial" w:eastAsia="Arial" w:hAnsi="Arial" w:cs="Arial"/>
                <w:sz w:val="20"/>
                <w:szCs w:val="20"/>
              </w:rPr>
            </w:pPr>
          </w:p>
        </w:tc>
        <w:tc>
          <w:tcPr>
            <w:tcW w:w="1578" w:type="dxa"/>
            <w:tcBorders>
              <w:top w:val="nil"/>
              <w:bottom w:val="nil"/>
            </w:tcBorders>
          </w:tcPr>
          <w:p w:rsidR="00704449" w:rsidRDefault="00704449">
            <w:pPr>
              <w:jc w:val="center"/>
              <w:rPr>
                <w:rFonts w:ascii="Arial" w:eastAsia="Arial" w:hAnsi="Arial" w:cs="Arial"/>
                <w:sz w:val="20"/>
                <w:szCs w:val="20"/>
              </w:rPr>
            </w:pPr>
          </w:p>
        </w:tc>
      </w:tr>
      <w:tr w:rsidR="00704449">
        <w:tc>
          <w:tcPr>
            <w:tcW w:w="1507" w:type="dxa"/>
            <w:vMerge/>
            <w:tcBorders>
              <w:top w:val="single" w:sz="4" w:space="0" w:color="000000"/>
              <w:bottom w:val="nil"/>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932" w:type="dxa"/>
            <w:tcBorders>
              <w:top w:val="nil"/>
              <w:bottom w:val="single" w:sz="4" w:space="0" w:color="000000"/>
            </w:tcBorders>
          </w:tcPr>
          <w:p w:rsidR="00704449" w:rsidRDefault="0090383F">
            <w:pPr>
              <w:rPr>
                <w:rFonts w:ascii="Arial" w:eastAsia="Arial" w:hAnsi="Arial" w:cs="Arial"/>
                <w:sz w:val="20"/>
                <w:szCs w:val="20"/>
              </w:rPr>
            </w:pPr>
            <w:r>
              <w:rPr>
                <w:rFonts w:ascii="Arial" w:eastAsia="Arial" w:hAnsi="Arial" w:cs="Arial"/>
                <w:sz w:val="20"/>
                <w:szCs w:val="20"/>
              </w:rPr>
              <w:t>Total</w:t>
            </w:r>
          </w:p>
        </w:tc>
        <w:tc>
          <w:tcPr>
            <w:tcW w:w="627" w:type="dxa"/>
            <w:tcBorders>
              <w:top w:val="nil"/>
              <w:bottom w:val="single" w:sz="4" w:space="0" w:color="000000"/>
            </w:tcBorders>
          </w:tcPr>
          <w:p w:rsidR="00704449" w:rsidRDefault="0090383F">
            <w:pPr>
              <w:jc w:val="center"/>
              <w:rPr>
                <w:rFonts w:ascii="Arial" w:eastAsia="Arial" w:hAnsi="Arial" w:cs="Arial"/>
                <w:sz w:val="20"/>
                <w:szCs w:val="20"/>
              </w:rPr>
            </w:pPr>
            <w:r>
              <w:rPr>
                <w:rFonts w:ascii="Arial" w:eastAsia="Arial" w:hAnsi="Arial" w:cs="Arial"/>
                <w:sz w:val="20"/>
                <w:szCs w:val="20"/>
              </w:rPr>
              <w:t>150</w:t>
            </w:r>
          </w:p>
        </w:tc>
        <w:tc>
          <w:tcPr>
            <w:tcW w:w="1152" w:type="dxa"/>
            <w:tcBorders>
              <w:top w:val="nil"/>
              <w:bottom w:val="single" w:sz="4" w:space="0" w:color="000000"/>
            </w:tcBorders>
          </w:tcPr>
          <w:p w:rsidR="00704449" w:rsidRDefault="00704449">
            <w:pPr>
              <w:jc w:val="center"/>
              <w:rPr>
                <w:rFonts w:ascii="Arial" w:eastAsia="Arial" w:hAnsi="Arial" w:cs="Arial"/>
                <w:sz w:val="20"/>
                <w:szCs w:val="20"/>
              </w:rPr>
            </w:pPr>
          </w:p>
        </w:tc>
        <w:tc>
          <w:tcPr>
            <w:tcW w:w="1242" w:type="dxa"/>
            <w:tcBorders>
              <w:top w:val="nil"/>
              <w:bottom w:val="single" w:sz="4" w:space="0" w:color="000000"/>
            </w:tcBorders>
          </w:tcPr>
          <w:p w:rsidR="00704449" w:rsidRDefault="00704449">
            <w:pPr>
              <w:jc w:val="center"/>
              <w:rPr>
                <w:rFonts w:ascii="Arial" w:eastAsia="Arial" w:hAnsi="Arial" w:cs="Arial"/>
                <w:sz w:val="20"/>
                <w:szCs w:val="20"/>
              </w:rPr>
            </w:pPr>
          </w:p>
        </w:tc>
        <w:tc>
          <w:tcPr>
            <w:tcW w:w="1431" w:type="dxa"/>
            <w:tcBorders>
              <w:top w:val="nil"/>
              <w:bottom w:val="single" w:sz="4" w:space="0" w:color="000000"/>
            </w:tcBorders>
          </w:tcPr>
          <w:p w:rsidR="00704449" w:rsidRDefault="00704449">
            <w:pPr>
              <w:jc w:val="center"/>
              <w:rPr>
                <w:rFonts w:ascii="Arial" w:eastAsia="Arial" w:hAnsi="Arial" w:cs="Arial"/>
                <w:sz w:val="20"/>
                <w:szCs w:val="20"/>
              </w:rPr>
            </w:pPr>
          </w:p>
        </w:tc>
        <w:tc>
          <w:tcPr>
            <w:tcW w:w="1071" w:type="dxa"/>
            <w:tcBorders>
              <w:top w:val="nil"/>
              <w:bottom w:val="single" w:sz="4" w:space="0" w:color="000000"/>
            </w:tcBorders>
          </w:tcPr>
          <w:p w:rsidR="00704449" w:rsidRDefault="00704449">
            <w:pPr>
              <w:jc w:val="center"/>
              <w:rPr>
                <w:rFonts w:ascii="Arial" w:eastAsia="Arial" w:hAnsi="Arial" w:cs="Arial"/>
                <w:sz w:val="20"/>
                <w:szCs w:val="20"/>
              </w:rPr>
            </w:pPr>
          </w:p>
        </w:tc>
        <w:tc>
          <w:tcPr>
            <w:tcW w:w="1578" w:type="dxa"/>
            <w:tcBorders>
              <w:top w:val="nil"/>
              <w:bottom w:val="single" w:sz="4" w:space="0" w:color="000000"/>
            </w:tcBorders>
          </w:tcPr>
          <w:p w:rsidR="00704449" w:rsidRDefault="00704449">
            <w:pPr>
              <w:jc w:val="center"/>
              <w:rPr>
                <w:rFonts w:ascii="Arial" w:eastAsia="Arial" w:hAnsi="Arial" w:cs="Arial"/>
                <w:sz w:val="20"/>
                <w:szCs w:val="20"/>
              </w:rPr>
            </w:pPr>
          </w:p>
        </w:tc>
      </w:tr>
      <w:tr w:rsidR="00704449">
        <w:tc>
          <w:tcPr>
            <w:tcW w:w="1507" w:type="dxa"/>
            <w:vMerge w:val="restart"/>
            <w:tcBorders>
              <w:top w:val="single" w:sz="4" w:space="0" w:color="000000"/>
              <w:bottom w:val="nil"/>
            </w:tcBorders>
            <w:vAlign w:val="center"/>
          </w:tcPr>
          <w:p w:rsidR="00704449" w:rsidRDefault="0090383F">
            <w:pPr>
              <w:jc w:val="center"/>
              <w:rPr>
                <w:rFonts w:ascii="Arial" w:eastAsia="Arial" w:hAnsi="Arial" w:cs="Arial"/>
                <w:b/>
                <w:sz w:val="20"/>
                <w:szCs w:val="20"/>
              </w:rPr>
            </w:pPr>
            <w:r>
              <w:rPr>
                <w:rFonts w:ascii="Arial" w:eastAsia="Arial" w:hAnsi="Arial" w:cs="Arial"/>
                <w:b/>
                <w:sz w:val="20"/>
                <w:szCs w:val="20"/>
              </w:rPr>
              <w:t>Confidence</w:t>
            </w:r>
          </w:p>
        </w:tc>
        <w:tc>
          <w:tcPr>
            <w:tcW w:w="932" w:type="dxa"/>
            <w:tcBorders>
              <w:top w:val="single" w:sz="4" w:space="0" w:color="000000"/>
              <w:bottom w:val="nil"/>
            </w:tcBorders>
          </w:tcPr>
          <w:p w:rsidR="00704449" w:rsidRDefault="0090383F">
            <w:pPr>
              <w:rPr>
                <w:rFonts w:ascii="Arial" w:eastAsia="Arial" w:hAnsi="Arial" w:cs="Arial"/>
                <w:sz w:val="20"/>
                <w:szCs w:val="20"/>
              </w:rPr>
            </w:pPr>
            <w:r>
              <w:rPr>
                <w:rFonts w:ascii="Arial" w:eastAsia="Arial" w:hAnsi="Arial" w:cs="Arial"/>
                <w:sz w:val="20"/>
                <w:szCs w:val="20"/>
              </w:rPr>
              <w:t>Male</w:t>
            </w:r>
          </w:p>
        </w:tc>
        <w:tc>
          <w:tcPr>
            <w:tcW w:w="627" w:type="dxa"/>
            <w:tcBorders>
              <w:top w:val="single" w:sz="4" w:space="0" w:color="000000"/>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75</w:t>
            </w:r>
          </w:p>
        </w:tc>
        <w:tc>
          <w:tcPr>
            <w:tcW w:w="1152" w:type="dxa"/>
            <w:tcBorders>
              <w:top w:val="single" w:sz="4" w:space="0" w:color="000000"/>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66.83</w:t>
            </w:r>
          </w:p>
        </w:tc>
        <w:tc>
          <w:tcPr>
            <w:tcW w:w="1242" w:type="dxa"/>
            <w:tcBorders>
              <w:top w:val="single" w:sz="4" w:space="0" w:color="000000"/>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5012</w:t>
            </w:r>
          </w:p>
        </w:tc>
        <w:tc>
          <w:tcPr>
            <w:tcW w:w="1431" w:type="dxa"/>
            <w:tcBorders>
              <w:top w:val="single" w:sz="4" w:space="0" w:color="000000"/>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2162</w:t>
            </w:r>
          </w:p>
        </w:tc>
        <w:tc>
          <w:tcPr>
            <w:tcW w:w="1071" w:type="dxa"/>
            <w:tcBorders>
              <w:top w:val="single" w:sz="4" w:space="0" w:color="000000"/>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-2.471</w:t>
            </w:r>
          </w:p>
        </w:tc>
        <w:tc>
          <w:tcPr>
            <w:tcW w:w="1578" w:type="dxa"/>
            <w:tcBorders>
              <w:top w:val="single" w:sz="4" w:space="0" w:color="000000"/>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0.013*</w:t>
            </w:r>
          </w:p>
        </w:tc>
      </w:tr>
      <w:tr w:rsidR="00704449">
        <w:tc>
          <w:tcPr>
            <w:tcW w:w="1507" w:type="dxa"/>
            <w:vMerge/>
            <w:tcBorders>
              <w:top w:val="single" w:sz="4" w:space="0" w:color="000000"/>
              <w:bottom w:val="nil"/>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932" w:type="dxa"/>
            <w:tcBorders>
              <w:top w:val="nil"/>
              <w:bottom w:val="nil"/>
            </w:tcBorders>
          </w:tcPr>
          <w:p w:rsidR="00704449" w:rsidRDefault="0090383F">
            <w:pPr>
              <w:rPr>
                <w:rFonts w:ascii="Arial" w:eastAsia="Arial" w:hAnsi="Arial" w:cs="Arial"/>
                <w:sz w:val="20"/>
                <w:szCs w:val="20"/>
              </w:rPr>
            </w:pPr>
            <w:r>
              <w:rPr>
                <w:rFonts w:ascii="Arial" w:eastAsia="Arial" w:hAnsi="Arial" w:cs="Arial"/>
                <w:sz w:val="20"/>
                <w:szCs w:val="20"/>
              </w:rPr>
              <w:t>Female</w:t>
            </w:r>
          </w:p>
        </w:tc>
        <w:tc>
          <w:tcPr>
            <w:tcW w:w="627" w:type="dxa"/>
            <w:tcBorders>
              <w:top w:val="nil"/>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75</w:t>
            </w:r>
          </w:p>
        </w:tc>
        <w:tc>
          <w:tcPr>
            <w:tcW w:w="1152" w:type="dxa"/>
            <w:tcBorders>
              <w:top w:val="nil"/>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84.17</w:t>
            </w:r>
          </w:p>
        </w:tc>
        <w:tc>
          <w:tcPr>
            <w:tcW w:w="1242" w:type="dxa"/>
            <w:tcBorders>
              <w:top w:val="nil"/>
              <w:bottom w:val="nil"/>
            </w:tcBorders>
          </w:tcPr>
          <w:p w:rsidR="00704449" w:rsidRDefault="0090383F">
            <w:pPr>
              <w:jc w:val="center"/>
              <w:rPr>
                <w:rFonts w:ascii="Arial" w:eastAsia="Arial" w:hAnsi="Arial" w:cs="Arial"/>
                <w:sz w:val="20"/>
                <w:szCs w:val="20"/>
              </w:rPr>
            </w:pPr>
            <w:r>
              <w:rPr>
                <w:rFonts w:ascii="Arial" w:eastAsia="Arial" w:hAnsi="Arial" w:cs="Arial"/>
                <w:sz w:val="20"/>
                <w:szCs w:val="20"/>
              </w:rPr>
              <w:t>5613</w:t>
            </w:r>
          </w:p>
        </w:tc>
        <w:tc>
          <w:tcPr>
            <w:tcW w:w="1431" w:type="dxa"/>
            <w:tcBorders>
              <w:top w:val="nil"/>
              <w:bottom w:val="nil"/>
            </w:tcBorders>
          </w:tcPr>
          <w:p w:rsidR="00704449" w:rsidRDefault="00704449">
            <w:pPr>
              <w:jc w:val="center"/>
              <w:rPr>
                <w:rFonts w:ascii="Arial" w:eastAsia="Arial" w:hAnsi="Arial" w:cs="Arial"/>
                <w:sz w:val="20"/>
                <w:szCs w:val="20"/>
              </w:rPr>
            </w:pPr>
          </w:p>
        </w:tc>
        <w:tc>
          <w:tcPr>
            <w:tcW w:w="1071" w:type="dxa"/>
            <w:tcBorders>
              <w:top w:val="nil"/>
              <w:bottom w:val="nil"/>
            </w:tcBorders>
          </w:tcPr>
          <w:p w:rsidR="00704449" w:rsidRDefault="00704449">
            <w:pPr>
              <w:jc w:val="center"/>
              <w:rPr>
                <w:rFonts w:ascii="Arial" w:eastAsia="Arial" w:hAnsi="Arial" w:cs="Arial"/>
                <w:sz w:val="20"/>
                <w:szCs w:val="20"/>
              </w:rPr>
            </w:pPr>
          </w:p>
        </w:tc>
        <w:tc>
          <w:tcPr>
            <w:tcW w:w="1578" w:type="dxa"/>
            <w:tcBorders>
              <w:top w:val="nil"/>
              <w:bottom w:val="nil"/>
            </w:tcBorders>
          </w:tcPr>
          <w:p w:rsidR="00704449" w:rsidRDefault="00704449">
            <w:pPr>
              <w:jc w:val="center"/>
              <w:rPr>
                <w:rFonts w:ascii="Arial" w:eastAsia="Arial" w:hAnsi="Arial" w:cs="Arial"/>
                <w:sz w:val="20"/>
                <w:szCs w:val="20"/>
              </w:rPr>
            </w:pPr>
          </w:p>
        </w:tc>
      </w:tr>
      <w:tr w:rsidR="00704449">
        <w:tc>
          <w:tcPr>
            <w:tcW w:w="1507" w:type="dxa"/>
            <w:vMerge/>
            <w:tcBorders>
              <w:top w:val="single" w:sz="4" w:space="0" w:color="000000"/>
              <w:bottom w:val="nil"/>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932" w:type="dxa"/>
            <w:tcBorders>
              <w:top w:val="nil"/>
              <w:bottom w:val="single" w:sz="4" w:space="0" w:color="000000"/>
            </w:tcBorders>
          </w:tcPr>
          <w:p w:rsidR="00704449" w:rsidRDefault="0090383F">
            <w:pPr>
              <w:rPr>
                <w:rFonts w:ascii="Arial" w:eastAsia="Arial" w:hAnsi="Arial" w:cs="Arial"/>
                <w:sz w:val="20"/>
                <w:szCs w:val="20"/>
              </w:rPr>
            </w:pPr>
            <w:r>
              <w:rPr>
                <w:rFonts w:ascii="Arial" w:eastAsia="Arial" w:hAnsi="Arial" w:cs="Arial"/>
                <w:sz w:val="20"/>
                <w:szCs w:val="20"/>
              </w:rPr>
              <w:t>Total</w:t>
            </w:r>
          </w:p>
        </w:tc>
        <w:tc>
          <w:tcPr>
            <w:tcW w:w="627" w:type="dxa"/>
            <w:tcBorders>
              <w:top w:val="nil"/>
              <w:bottom w:val="single" w:sz="4" w:space="0" w:color="000000"/>
            </w:tcBorders>
          </w:tcPr>
          <w:p w:rsidR="00704449" w:rsidRDefault="0090383F">
            <w:pPr>
              <w:jc w:val="center"/>
              <w:rPr>
                <w:rFonts w:ascii="Arial" w:eastAsia="Arial" w:hAnsi="Arial" w:cs="Arial"/>
                <w:sz w:val="20"/>
                <w:szCs w:val="20"/>
              </w:rPr>
            </w:pPr>
            <w:r>
              <w:rPr>
                <w:rFonts w:ascii="Arial" w:eastAsia="Arial" w:hAnsi="Arial" w:cs="Arial"/>
                <w:sz w:val="20"/>
                <w:szCs w:val="20"/>
              </w:rPr>
              <w:t>150</w:t>
            </w:r>
          </w:p>
        </w:tc>
        <w:tc>
          <w:tcPr>
            <w:tcW w:w="1152" w:type="dxa"/>
            <w:tcBorders>
              <w:top w:val="nil"/>
              <w:bottom w:val="single" w:sz="4" w:space="0" w:color="000000"/>
            </w:tcBorders>
          </w:tcPr>
          <w:p w:rsidR="00704449" w:rsidRDefault="00704449">
            <w:pPr>
              <w:jc w:val="center"/>
              <w:rPr>
                <w:rFonts w:ascii="Arial" w:eastAsia="Arial" w:hAnsi="Arial" w:cs="Arial"/>
                <w:sz w:val="20"/>
                <w:szCs w:val="20"/>
              </w:rPr>
            </w:pPr>
          </w:p>
        </w:tc>
        <w:tc>
          <w:tcPr>
            <w:tcW w:w="1242" w:type="dxa"/>
            <w:tcBorders>
              <w:top w:val="nil"/>
              <w:bottom w:val="single" w:sz="4" w:space="0" w:color="000000"/>
            </w:tcBorders>
          </w:tcPr>
          <w:p w:rsidR="00704449" w:rsidRDefault="00704449">
            <w:pPr>
              <w:jc w:val="center"/>
              <w:rPr>
                <w:rFonts w:ascii="Arial" w:eastAsia="Arial" w:hAnsi="Arial" w:cs="Arial"/>
                <w:sz w:val="20"/>
                <w:szCs w:val="20"/>
              </w:rPr>
            </w:pPr>
          </w:p>
        </w:tc>
        <w:tc>
          <w:tcPr>
            <w:tcW w:w="1431" w:type="dxa"/>
            <w:tcBorders>
              <w:top w:val="nil"/>
              <w:bottom w:val="single" w:sz="4" w:space="0" w:color="000000"/>
            </w:tcBorders>
          </w:tcPr>
          <w:p w:rsidR="00704449" w:rsidRDefault="00704449">
            <w:pPr>
              <w:jc w:val="center"/>
              <w:rPr>
                <w:rFonts w:ascii="Arial" w:eastAsia="Arial" w:hAnsi="Arial" w:cs="Arial"/>
                <w:sz w:val="20"/>
                <w:szCs w:val="20"/>
              </w:rPr>
            </w:pPr>
          </w:p>
        </w:tc>
        <w:tc>
          <w:tcPr>
            <w:tcW w:w="1071" w:type="dxa"/>
            <w:tcBorders>
              <w:top w:val="nil"/>
              <w:bottom w:val="single" w:sz="4" w:space="0" w:color="000000"/>
            </w:tcBorders>
          </w:tcPr>
          <w:p w:rsidR="00704449" w:rsidRDefault="00704449">
            <w:pPr>
              <w:jc w:val="center"/>
              <w:rPr>
                <w:rFonts w:ascii="Arial" w:eastAsia="Arial" w:hAnsi="Arial" w:cs="Arial"/>
                <w:sz w:val="20"/>
                <w:szCs w:val="20"/>
              </w:rPr>
            </w:pPr>
          </w:p>
        </w:tc>
        <w:tc>
          <w:tcPr>
            <w:tcW w:w="1578" w:type="dxa"/>
            <w:tcBorders>
              <w:top w:val="nil"/>
              <w:bottom w:val="single" w:sz="4" w:space="0" w:color="000000"/>
            </w:tcBorders>
          </w:tcPr>
          <w:p w:rsidR="00704449" w:rsidRDefault="00704449">
            <w:pPr>
              <w:jc w:val="center"/>
              <w:rPr>
                <w:rFonts w:ascii="Arial" w:eastAsia="Arial" w:hAnsi="Arial" w:cs="Arial"/>
                <w:sz w:val="20"/>
                <w:szCs w:val="20"/>
              </w:rPr>
            </w:pPr>
          </w:p>
        </w:tc>
      </w:tr>
      <w:tr w:rsidR="00704449">
        <w:tc>
          <w:tcPr>
            <w:tcW w:w="1507" w:type="dxa"/>
            <w:vMerge w:val="restart"/>
            <w:tcBorders>
              <w:top w:val="single" w:sz="4" w:space="0" w:color="000000"/>
            </w:tcBorders>
            <w:vAlign w:val="center"/>
          </w:tcPr>
          <w:p w:rsidR="00704449" w:rsidRDefault="0090383F">
            <w:pPr>
              <w:jc w:val="center"/>
              <w:rPr>
                <w:rFonts w:ascii="Arial" w:eastAsia="Arial" w:hAnsi="Arial" w:cs="Arial"/>
                <w:b/>
                <w:sz w:val="20"/>
                <w:szCs w:val="20"/>
              </w:rPr>
            </w:pPr>
            <w:r>
              <w:rPr>
                <w:rFonts w:ascii="Arial" w:eastAsia="Arial" w:hAnsi="Arial" w:cs="Arial"/>
                <w:b/>
                <w:sz w:val="20"/>
                <w:szCs w:val="20"/>
              </w:rPr>
              <w:t>Overall</w:t>
            </w:r>
          </w:p>
        </w:tc>
        <w:tc>
          <w:tcPr>
            <w:tcW w:w="932" w:type="dxa"/>
            <w:tcBorders>
              <w:top w:val="single" w:sz="4" w:space="0" w:color="000000"/>
            </w:tcBorders>
          </w:tcPr>
          <w:p w:rsidR="00704449" w:rsidRDefault="0090383F">
            <w:pPr>
              <w:rPr>
                <w:rFonts w:ascii="Arial" w:eastAsia="Arial" w:hAnsi="Arial" w:cs="Arial"/>
                <w:sz w:val="20"/>
                <w:szCs w:val="20"/>
              </w:rPr>
            </w:pPr>
            <w:r>
              <w:rPr>
                <w:rFonts w:ascii="Arial" w:eastAsia="Arial" w:hAnsi="Arial" w:cs="Arial"/>
                <w:sz w:val="20"/>
                <w:szCs w:val="20"/>
              </w:rPr>
              <w:t>Male</w:t>
            </w:r>
          </w:p>
        </w:tc>
        <w:tc>
          <w:tcPr>
            <w:tcW w:w="627" w:type="dxa"/>
            <w:tcBorders>
              <w:top w:val="single" w:sz="4" w:space="0" w:color="000000"/>
            </w:tcBorders>
          </w:tcPr>
          <w:p w:rsidR="00704449" w:rsidRDefault="0090383F">
            <w:pPr>
              <w:jc w:val="center"/>
              <w:rPr>
                <w:rFonts w:ascii="Arial" w:eastAsia="Arial" w:hAnsi="Arial" w:cs="Arial"/>
                <w:sz w:val="20"/>
                <w:szCs w:val="20"/>
              </w:rPr>
            </w:pPr>
            <w:r>
              <w:rPr>
                <w:rFonts w:ascii="Arial" w:eastAsia="Arial" w:hAnsi="Arial" w:cs="Arial"/>
                <w:sz w:val="20"/>
                <w:szCs w:val="20"/>
              </w:rPr>
              <w:t>75</w:t>
            </w:r>
          </w:p>
        </w:tc>
        <w:tc>
          <w:tcPr>
            <w:tcW w:w="1152" w:type="dxa"/>
            <w:tcBorders>
              <w:top w:val="single" w:sz="4" w:space="0" w:color="000000"/>
            </w:tcBorders>
          </w:tcPr>
          <w:p w:rsidR="00704449" w:rsidRDefault="0090383F">
            <w:pPr>
              <w:jc w:val="center"/>
              <w:rPr>
                <w:rFonts w:ascii="Arial" w:eastAsia="Arial" w:hAnsi="Arial" w:cs="Arial"/>
                <w:sz w:val="20"/>
                <w:szCs w:val="20"/>
              </w:rPr>
            </w:pPr>
            <w:r>
              <w:rPr>
                <w:rFonts w:ascii="Arial" w:eastAsia="Arial" w:hAnsi="Arial" w:cs="Arial"/>
                <w:sz w:val="20"/>
                <w:szCs w:val="20"/>
              </w:rPr>
              <w:t>69.47</w:t>
            </w:r>
          </w:p>
        </w:tc>
        <w:tc>
          <w:tcPr>
            <w:tcW w:w="1242" w:type="dxa"/>
            <w:tcBorders>
              <w:top w:val="single" w:sz="4" w:space="0" w:color="000000"/>
            </w:tcBorders>
          </w:tcPr>
          <w:p w:rsidR="00704449" w:rsidRDefault="0090383F">
            <w:pPr>
              <w:jc w:val="center"/>
              <w:rPr>
                <w:rFonts w:ascii="Arial" w:eastAsia="Arial" w:hAnsi="Arial" w:cs="Arial"/>
                <w:sz w:val="20"/>
                <w:szCs w:val="20"/>
              </w:rPr>
            </w:pPr>
            <w:r>
              <w:rPr>
                <w:rFonts w:ascii="Arial" w:eastAsia="Arial" w:hAnsi="Arial" w:cs="Arial"/>
                <w:sz w:val="20"/>
                <w:szCs w:val="20"/>
              </w:rPr>
              <w:t>5210</w:t>
            </w:r>
          </w:p>
        </w:tc>
        <w:tc>
          <w:tcPr>
            <w:tcW w:w="1431" w:type="dxa"/>
            <w:tcBorders>
              <w:top w:val="single" w:sz="4" w:space="0" w:color="000000"/>
            </w:tcBorders>
          </w:tcPr>
          <w:p w:rsidR="00704449" w:rsidRDefault="0090383F">
            <w:pPr>
              <w:jc w:val="center"/>
              <w:rPr>
                <w:rFonts w:ascii="Arial" w:eastAsia="Arial" w:hAnsi="Arial" w:cs="Arial"/>
                <w:sz w:val="20"/>
                <w:szCs w:val="20"/>
              </w:rPr>
            </w:pPr>
            <w:r>
              <w:rPr>
                <w:rFonts w:ascii="Arial" w:eastAsia="Arial" w:hAnsi="Arial" w:cs="Arial"/>
                <w:sz w:val="20"/>
                <w:szCs w:val="20"/>
              </w:rPr>
              <w:t>2360</w:t>
            </w:r>
          </w:p>
        </w:tc>
        <w:tc>
          <w:tcPr>
            <w:tcW w:w="1071" w:type="dxa"/>
            <w:tcBorders>
              <w:top w:val="single" w:sz="4" w:space="0" w:color="000000"/>
            </w:tcBorders>
          </w:tcPr>
          <w:p w:rsidR="00704449" w:rsidRDefault="0090383F">
            <w:pPr>
              <w:jc w:val="center"/>
              <w:rPr>
                <w:rFonts w:ascii="Arial" w:eastAsia="Arial" w:hAnsi="Arial" w:cs="Arial"/>
                <w:sz w:val="20"/>
                <w:szCs w:val="20"/>
              </w:rPr>
            </w:pPr>
            <w:r>
              <w:rPr>
                <w:rFonts w:ascii="Arial" w:eastAsia="Arial" w:hAnsi="Arial" w:cs="Arial"/>
                <w:sz w:val="20"/>
                <w:szCs w:val="20"/>
              </w:rPr>
              <w:t>-1.702</w:t>
            </w:r>
          </w:p>
        </w:tc>
        <w:tc>
          <w:tcPr>
            <w:tcW w:w="1578" w:type="dxa"/>
            <w:tcBorders>
              <w:top w:val="single" w:sz="4" w:space="0" w:color="000000"/>
            </w:tcBorders>
          </w:tcPr>
          <w:p w:rsidR="00704449" w:rsidRDefault="0090383F">
            <w:pPr>
              <w:jc w:val="center"/>
              <w:rPr>
                <w:rFonts w:ascii="Arial" w:eastAsia="Arial" w:hAnsi="Arial" w:cs="Arial"/>
                <w:sz w:val="20"/>
                <w:szCs w:val="20"/>
              </w:rPr>
            </w:pPr>
            <w:r>
              <w:rPr>
                <w:rFonts w:ascii="Arial" w:eastAsia="Arial" w:hAnsi="Arial" w:cs="Arial"/>
                <w:sz w:val="20"/>
                <w:szCs w:val="20"/>
              </w:rPr>
              <w:t>0.089</w:t>
            </w:r>
          </w:p>
        </w:tc>
      </w:tr>
      <w:tr w:rsidR="00704449">
        <w:tc>
          <w:tcPr>
            <w:tcW w:w="1507" w:type="dxa"/>
            <w:vMerge/>
            <w:tcBorders>
              <w:top w:val="single" w:sz="4" w:space="0" w:color="000000"/>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932" w:type="dxa"/>
          </w:tcPr>
          <w:p w:rsidR="00704449" w:rsidRDefault="0090383F">
            <w:pPr>
              <w:rPr>
                <w:rFonts w:ascii="Arial" w:eastAsia="Arial" w:hAnsi="Arial" w:cs="Arial"/>
                <w:sz w:val="20"/>
                <w:szCs w:val="20"/>
              </w:rPr>
            </w:pPr>
            <w:r>
              <w:rPr>
                <w:rFonts w:ascii="Arial" w:eastAsia="Arial" w:hAnsi="Arial" w:cs="Arial"/>
                <w:sz w:val="20"/>
                <w:szCs w:val="20"/>
              </w:rPr>
              <w:t>Female</w:t>
            </w:r>
          </w:p>
        </w:tc>
        <w:tc>
          <w:tcPr>
            <w:tcW w:w="627" w:type="dxa"/>
          </w:tcPr>
          <w:p w:rsidR="00704449" w:rsidRDefault="0090383F">
            <w:pPr>
              <w:jc w:val="center"/>
              <w:rPr>
                <w:rFonts w:ascii="Arial" w:eastAsia="Arial" w:hAnsi="Arial" w:cs="Arial"/>
                <w:sz w:val="20"/>
                <w:szCs w:val="20"/>
              </w:rPr>
            </w:pPr>
            <w:r>
              <w:rPr>
                <w:rFonts w:ascii="Arial" w:eastAsia="Arial" w:hAnsi="Arial" w:cs="Arial"/>
                <w:sz w:val="20"/>
                <w:szCs w:val="20"/>
              </w:rPr>
              <w:t>75</w:t>
            </w:r>
          </w:p>
        </w:tc>
        <w:tc>
          <w:tcPr>
            <w:tcW w:w="1152" w:type="dxa"/>
          </w:tcPr>
          <w:p w:rsidR="00704449" w:rsidRDefault="0090383F">
            <w:pPr>
              <w:jc w:val="center"/>
              <w:rPr>
                <w:rFonts w:ascii="Arial" w:eastAsia="Arial" w:hAnsi="Arial" w:cs="Arial"/>
                <w:sz w:val="20"/>
                <w:szCs w:val="20"/>
              </w:rPr>
            </w:pPr>
            <w:r>
              <w:rPr>
                <w:rFonts w:ascii="Arial" w:eastAsia="Arial" w:hAnsi="Arial" w:cs="Arial"/>
                <w:sz w:val="20"/>
                <w:szCs w:val="20"/>
              </w:rPr>
              <w:t>81.53</w:t>
            </w:r>
          </w:p>
        </w:tc>
        <w:tc>
          <w:tcPr>
            <w:tcW w:w="1242" w:type="dxa"/>
          </w:tcPr>
          <w:p w:rsidR="00704449" w:rsidRDefault="0090383F">
            <w:pPr>
              <w:jc w:val="center"/>
              <w:rPr>
                <w:rFonts w:ascii="Arial" w:eastAsia="Arial" w:hAnsi="Arial" w:cs="Arial"/>
                <w:sz w:val="20"/>
                <w:szCs w:val="20"/>
              </w:rPr>
            </w:pPr>
            <w:r>
              <w:rPr>
                <w:rFonts w:ascii="Arial" w:eastAsia="Arial" w:hAnsi="Arial" w:cs="Arial"/>
                <w:sz w:val="20"/>
                <w:szCs w:val="20"/>
              </w:rPr>
              <w:t>6115</w:t>
            </w:r>
          </w:p>
        </w:tc>
        <w:tc>
          <w:tcPr>
            <w:tcW w:w="1431" w:type="dxa"/>
          </w:tcPr>
          <w:p w:rsidR="00704449" w:rsidRDefault="00704449">
            <w:pPr>
              <w:jc w:val="center"/>
              <w:rPr>
                <w:rFonts w:ascii="Arial" w:eastAsia="Arial" w:hAnsi="Arial" w:cs="Arial"/>
                <w:sz w:val="20"/>
                <w:szCs w:val="20"/>
              </w:rPr>
            </w:pPr>
          </w:p>
        </w:tc>
        <w:tc>
          <w:tcPr>
            <w:tcW w:w="1071" w:type="dxa"/>
          </w:tcPr>
          <w:p w:rsidR="00704449" w:rsidRDefault="00704449">
            <w:pPr>
              <w:jc w:val="center"/>
              <w:rPr>
                <w:rFonts w:ascii="Arial" w:eastAsia="Arial" w:hAnsi="Arial" w:cs="Arial"/>
                <w:sz w:val="20"/>
                <w:szCs w:val="20"/>
              </w:rPr>
            </w:pPr>
          </w:p>
        </w:tc>
        <w:tc>
          <w:tcPr>
            <w:tcW w:w="1578" w:type="dxa"/>
          </w:tcPr>
          <w:p w:rsidR="00704449" w:rsidRDefault="00704449">
            <w:pPr>
              <w:jc w:val="center"/>
              <w:rPr>
                <w:rFonts w:ascii="Arial" w:eastAsia="Arial" w:hAnsi="Arial" w:cs="Arial"/>
                <w:sz w:val="20"/>
                <w:szCs w:val="20"/>
              </w:rPr>
            </w:pPr>
          </w:p>
        </w:tc>
      </w:tr>
      <w:tr w:rsidR="00704449">
        <w:tc>
          <w:tcPr>
            <w:tcW w:w="1507" w:type="dxa"/>
            <w:vMerge/>
            <w:tcBorders>
              <w:top w:val="single" w:sz="4" w:space="0" w:color="000000"/>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932" w:type="dxa"/>
          </w:tcPr>
          <w:p w:rsidR="00704449" w:rsidRDefault="0090383F">
            <w:pPr>
              <w:rPr>
                <w:rFonts w:ascii="Arial" w:eastAsia="Arial" w:hAnsi="Arial" w:cs="Arial"/>
                <w:sz w:val="20"/>
                <w:szCs w:val="20"/>
              </w:rPr>
            </w:pPr>
            <w:r>
              <w:rPr>
                <w:rFonts w:ascii="Arial" w:eastAsia="Arial" w:hAnsi="Arial" w:cs="Arial"/>
                <w:sz w:val="20"/>
                <w:szCs w:val="20"/>
              </w:rPr>
              <w:t>Total</w:t>
            </w:r>
          </w:p>
        </w:tc>
        <w:tc>
          <w:tcPr>
            <w:tcW w:w="627" w:type="dxa"/>
          </w:tcPr>
          <w:p w:rsidR="00704449" w:rsidRDefault="0090383F">
            <w:pPr>
              <w:jc w:val="center"/>
              <w:rPr>
                <w:rFonts w:ascii="Arial" w:eastAsia="Arial" w:hAnsi="Arial" w:cs="Arial"/>
                <w:sz w:val="20"/>
                <w:szCs w:val="20"/>
              </w:rPr>
            </w:pPr>
            <w:r>
              <w:rPr>
                <w:rFonts w:ascii="Arial" w:eastAsia="Arial" w:hAnsi="Arial" w:cs="Arial"/>
                <w:sz w:val="20"/>
                <w:szCs w:val="20"/>
              </w:rPr>
              <w:t>150</w:t>
            </w:r>
          </w:p>
        </w:tc>
        <w:tc>
          <w:tcPr>
            <w:tcW w:w="1152" w:type="dxa"/>
          </w:tcPr>
          <w:p w:rsidR="00704449" w:rsidRDefault="00704449">
            <w:pPr>
              <w:jc w:val="center"/>
              <w:rPr>
                <w:rFonts w:ascii="Arial" w:eastAsia="Arial" w:hAnsi="Arial" w:cs="Arial"/>
                <w:sz w:val="20"/>
                <w:szCs w:val="20"/>
              </w:rPr>
            </w:pPr>
          </w:p>
        </w:tc>
        <w:tc>
          <w:tcPr>
            <w:tcW w:w="1242" w:type="dxa"/>
          </w:tcPr>
          <w:p w:rsidR="00704449" w:rsidRDefault="00704449">
            <w:pPr>
              <w:jc w:val="center"/>
              <w:rPr>
                <w:rFonts w:ascii="Arial" w:eastAsia="Arial" w:hAnsi="Arial" w:cs="Arial"/>
                <w:sz w:val="20"/>
                <w:szCs w:val="20"/>
              </w:rPr>
            </w:pPr>
          </w:p>
        </w:tc>
        <w:tc>
          <w:tcPr>
            <w:tcW w:w="1431" w:type="dxa"/>
          </w:tcPr>
          <w:p w:rsidR="00704449" w:rsidRDefault="00704449">
            <w:pPr>
              <w:jc w:val="center"/>
              <w:rPr>
                <w:rFonts w:ascii="Arial" w:eastAsia="Arial" w:hAnsi="Arial" w:cs="Arial"/>
                <w:sz w:val="20"/>
                <w:szCs w:val="20"/>
              </w:rPr>
            </w:pPr>
          </w:p>
        </w:tc>
        <w:tc>
          <w:tcPr>
            <w:tcW w:w="1071" w:type="dxa"/>
          </w:tcPr>
          <w:p w:rsidR="00704449" w:rsidRDefault="00704449">
            <w:pPr>
              <w:jc w:val="center"/>
              <w:rPr>
                <w:rFonts w:ascii="Arial" w:eastAsia="Arial" w:hAnsi="Arial" w:cs="Arial"/>
                <w:sz w:val="20"/>
                <w:szCs w:val="20"/>
              </w:rPr>
            </w:pPr>
          </w:p>
        </w:tc>
        <w:tc>
          <w:tcPr>
            <w:tcW w:w="1578" w:type="dxa"/>
          </w:tcPr>
          <w:p w:rsidR="00704449" w:rsidRDefault="00704449">
            <w:pPr>
              <w:jc w:val="center"/>
              <w:rPr>
                <w:rFonts w:ascii="Arial" w:eastAsia="Arial" w:hAnsi="Arial" w:cs="Arial"/>
                <w:sz w:val="20"/>
                <w:szCs w:val="20"/>
              </w:rPr>
            </w:pPr>
          </w:p>
        </w:tc>
      </w:tr>
    </w:tbl>
    <w:p w:rsidR="00704449" w:rsidRDefault="00704449">
      <w:pPr>
        <w:spacing w:after="0" w:line="240" w:lineRule="auto"/>
        <w:jc w:val="both"/>
        <w:rPr>
          <w:rFonts w:ascii="Arial" w:eastAsia="Arial" w:hAnsi="Arial" w:cs="Arial"/>
          <w:sz w:val="20"/>
          <w:szCs w:val="20"/>
        </w:rPr>
        <w:sectPr w:rsidR="00704449">
          <w:type w:val="continuous"/>
          <w:pgSz w:w="12240" w:h="15840"/>
          <w:pgMar w:top="1440" w:right="2016" w:bottom="2016" w:left="2016" w:header="706" w:footer="706" w:gutter="0"/>
          <w:cols w:space="720"/>
        </w:sectPr>
      </w:pPr>
    </w:p>
    <w:p w:rsidR="00704449" w:rsidRDefault="00704449">
      <w:pPr>
        <w:spacing w:after="0" w:line="240" w:lineRule="auto"/>
        <w:jc w:val="both"/>
        <w:rPr>
          <w:rFonts w:ascii="Arial" w:eastAsia="Arial" w:hAnsi="Arial" w:cs="Arial"/>
          <w:sz w:val="20"/>
          <w:szCs w:val="20"/>
        </w:rPr>
        <w:sectPr w:rsidR="00704449">
          <w:type w:val="continuous"/>
          <w:pgSz w:w="12240" w:h="15840"/>
          <w:pgMar w:top="1440" w:right="2016" w:bottom="2016" w:left="2016" w:header="706" w:footer="706" w:gutter="0"/>
          <w:cols w:num="2" w:space="720" w:equalWidth="0">
            <w:col w:w="3750" w:space="708"/>
            <w:col w:w="3750"/>
          </w:cols>
        </w:sectPr>
      </w:pPr>
    </w:p>
    <w:p w:rsidR="00704449" w:rsidRDefault="0090383F">
      <w:pPr>
        <w:spacing w:after="0" w:line="240" w:lineRule="auto"/>
        <w:ind w:left="-540"/>
        <w:jc w:val="both"/>
        <w:rPr>
          <w:rFonts w:ascii="Arial" w:eastAsia="Arial" w:hAnsi="Arial" w:cs="Arial"/>
          <w:sz w:val="20"/>
          <w:szCs w:val="20"/>
        </w:rPr>
      </w:pPr>
      <w:r>
        <w:rPr>
          <w:rFonts w:ascii="Arial" w:eastAsia="Arial" w:hAnsi="Arial" w:cs="Arial"/>
          <w:sz w:val="20"/>
          <w:szCs w:val="20"/>
        </w:rPr>
        <w:t>*p&lt;0.05</w:t>
      </w:r>
    </w:p>
    <w:p w:rsidR="00704449" w:rsidRDefault="00704449">
      <w:pPr>
        <w:spacing w:after="0" w:line="240" w:lineRule="auto"/>
        <w:jc w:val="both"/>
        <w:rPr>
          <w:rFonts w:ascii="Arial" w:eastAsia="Arial" w:hAnsi="Arial" w:cs="Arial"/>
          <w:sz w:val="20"/>
          <w:szCs w:val="20"/>
        </w:rPr>
      </w:pPr>
    </w:p>
    <w:p w:rsidR="00704449" w:rsidRDefault="0090383F">
      <w:pPr>
        <w:spacing w:after="0" w:line="240" w:lineRule="auto"/>
        <w:jc w:val="both"/>
        <w:rPr>
          <w:rFonts w:ascii="Arial" w:eastAsia="Arial" w:hAnsi="Arial" w:cs="Arial"/>
          <w:sz w:val="20"/>
          <w:szCs w:val="20"/>
        </w:rPr>
      </w:pPr>
      <w:r>
        <w:rPr>
          <w:rFonts w:ascii="Arial" w:eastAsia="Arial" w:hAnsi="Arial" w:cs="Arial"/>
          <w:sz w:val="20"/>
          <w:szCs w:val="20"/>
        </w:rPr>
        <w:t xml:space="preserve">Table 5 analyzes the influence of teachers' </w:t>
      </w:r>
      <w:r>
        <w:rPr>
          <w:rFonts w:ascii="Arial" w:eastAsia="Arial" w:hAnsi="Arial" w:cs="Arial"/>
          <w:sz w:val="20"/>
          <w:szCs w:val="20"/>
        </w:rPr>
        <w:t>civil status status on their acceptance of sex education, using a Kruskal-Wallis test. The results show a statistically significant difference (p = 0.038) in approval levels show a statistically significant variation (p = 0.038) between different civil sta</w:t>
      </w:r>
      <w:r>
        <w:rPr>
          <w:rFonts w:ascii="Arial" w:eastAsia="Arial" w:hAnsi="Arial" w:cs="Arial"/>
          <w:sz w:val="20"/>
          <w:szCs w:val="20"/>
        </w:rPr>
        <w:t>tuses. The significant difference in Job Effectiveness (p = 0.793) and Overall acceptance (ap=0.06) is not discerned. Confidence shows a significant difference (p = 0.022). While marital status doesn't impact teachers' overall assessment of sex education o</w:t>
      </w:r>
      <w:r>
        <w:rPr>
          <w:rFonts w:ascii="Arial" w:eastAsia="Arial" w:hAnsi="Arial" w:cs="Arial"/>
          <w:sz w:val="20"/>
          <w:szCs w:val="20"/>
        </w:rPr>
        <w:t>r perceived job effectiveness, it does affect their level of approval and confidence in teaching. More investigation is needed to explain why certain marital statuses are associated with different degrees of approval and confidence in teaching sexual educa</w:t>
      </w:r>
      <w:r>
        <w:rPr>
          <w:rFonts w:ascii="Arial" w:eastAsia="Arial" w:hAnsi="Arial" w:cs="Arial"/>
          <w:sz w:val="20"/>
          <w:szCs w:val="20"/>
        </w:rPr>
        <w:t>tion.</w:t>
      </w:r>
    </w:p>
    <w:p w:rsidR="00704449" w:rsidRDefault="00704449">
      <w:pPr>
        <w:spacing w:after="0" w:line="240" w:lineRule="auto"/>
        <w:jc w:val="both"/>
        <w:rPr>
          <w:rFonts w:ascii="Arial" w:eastAsia="Arial" w:hAnsi="Arial" w:cs="Arial"/>
          <w:sz w:val="20"/>
          <w:szCs w:val="20"/>
        </w:rPr>
      </w:pPr>
    </w:p>
    <w:p w:rsidR="00704449" w:rsidRDefault="0090383F">
      <w:pPr>
        <w:spacing w:after="0" w:line="240" w:lineRule="auto"/>
        <w:jc w:val="both"/>
        <w:rPr>
          <w:rFonts w:ascii="Arial" w:eastAsia="Arial" w:hAnsi="Arial" w:cs="Arial"/>
          <w:sz w:val="20"/>
          <w:szCs w:val="20"/>
        </w:rPr>
      </w:pPr>
      <w:r>
        <w:rPr>
          <w:rFonts w:ascii="Arial" w:eastAsia="Arial" w:hAnsi="Arial" w:cs="Arial"/>
          <w:sz w:val="20"/>
          <w:szCs w:val="20"/>
        </w:rPr>
        <w:t xml:space="preserve">Table 5 shows the differences in the level of acceptance of elementary school teachers in teaching sex education by civil </w:t>
      </w:r>
    </w:p>
    <w:p w:rsidR="00704449" w:rsidRDefault="0090383F">
      <w:pPr>
        <w:spacing w:after="0" w:line="240" w:lineRule="auto"/>
        <w:jc w:val="both"/>
        <w:rPr>
          <w:rFonts w:ascii="Arial" w:eastAsia="Arial" w:hAnsi="Arial" w:cs="Arial"/>
          <w:sz w:val="20"/>
          <w:szCs w:val="20"/>
        </w:rPr>
      </w:pPr>
      <w:r>
        <w:rPr>
          <w:rFonts w:ascii="Arial" w:eastAsia="Arial" w:hAnsi="Arial" w:cs="Arial"/>
          <w:sz w:val="20"/>
          <w:szCs w:val="20"/>
        </w:rPr>
        <w:t>status. When analyzed by civil status, the result shows no significant difference, with a mean rank of 70.67 for singles, 74.7</w:t>
      </w:r>
      <w:r>
        <w:rPr>
          <w:rFonts w:ascii="Arial" w:eastAsia="Arial" w:hAnsi="Arial" w:cs="Arial"/>
          <w:sz w:val="20"/>
          <w:szCs w:val="20"/>
        </w:rPr>
        <w:t xml:space="preserve">5 for married, 91.94 for separated, and 66.19 for widows(er). This means that their acceptance level is similar to their civil status. </w:t>
      </w:r>
    </w:p>
    <w:p w:rsidR="00704449" w:rsidRDefault="00704449">
      <w:pPr>
        <w:spacing w:after="0" w:line="240" w:lineRule="auto"/>
        <w:jc w:val="both"/>
        <w:rPr>
          <w:rFonts w:ascii="Arial" w:eastAsia="Arial" w:hAnsi="Arial" w:cs="Arial"/>
          <w:sz w:val="20"/>
          <w:szCs w:val="20"/>
        </w:rPr>
      </w:pPr>
    </w:p>
    <w:p w:rsidR="00704449" w:rsidRDefault="0090383F">
      <w:pPr>
        <w:spacing w:after="0" w:line="240" w:lineRule="auto"/>
        <w:jc w:val="both"/>
        <w:rPr>
          <w:rFonts w:ascii="Arial" w:eastAsia="Arial" w:hAnsi="Arial" w:cs="Arial"/>
          <w:sz w:val="20"/>
          <w:szCs w:val="20"/>
        </w:rPr>
      </w:pPr>
      <w:r>
        <w:rPr>
          <w:rFonts w:ascii="Arial" w:eastAsia="Arial" w:hAnsi="Arial" w:cs="Arial"/>
          <w:sz w:val="20"/>
          <w:szCs w:val="20"/>
        </w:rPr>
        <w:lastRenderedPageBreak/>
        <w:t xml:space="preserve">This study revealed no appreciable variation in the opinions of single, married, separated, and window(er) instructors </w:t>
      </w:r>
      <w:r>
        <w:rPr>
          <w:rFonts w:ascii="Arial" w:eastAsia="Arial" w:hAnsi="Arial" w:cs="Arial"/>
          <w:sz w:val="20"/>
          <w:szCs w:val="20"/>
        </w:rPr>
        <w:t>about the instruction of sexuality education Eko et al. [54]. Consequently, it identifies early marriages, insufficient education, and inadequate family planning as factors contributing to population growth, emphasizing the academic institution's role in m</w:t>
      </w:r>
      <w:r>
        <w:rPr>
          <w:rFonts w:ascii="Arial" w:eastAsia="Arial" w:hAnsi="Arial" w:cs="Arial"/>
          <w:sz w:val="20"/>
          <w:szCs w:val="20"/>
        </w:rPr>
        <w:t>itigating teenage pregnancy rates through value reformations. Tomol and Narida [55] corroborate this theme, asserting that sex education should encompass values and interpersonal skills as essential components for fostering comprehensive sexual development</w:t>
      </w:r>
      <w:r>
        <w:rPr>
          <w:rFonts w:ascii="Arial" w:eastAsia="Arial" w:hAnsi="Arial" w:cs="Arial"/>
          <w:sz w:val="20"/>
          <w:szCs w:val="20"/>
        </w:rPr>
        <w:t xml:space="preserve"> among students. However, participants in this study did not fully disclose their preferences for delivering sex education at specific grade levels.</w:t>
      </w:r>
    </w:p>
    <w:p w:rsidR="00704449" w:rsidRDefault="00704449">
      <w:pPr>
        <w:spacing w:after="0" w:line="240" w:lineRule="auto"/>
        <w:jc w:val="both"/>
        <w:rPr>
          <w:rFonts w:ascii="Arial" w:eastAsia="Arial" w:hAnsi="Arial" w:cs="Arial"/>
          <w:sz w:val="20"/>
          <w:szCs w:val="20"/>
        </w:rPr>
      </w:pPr>
    </w:p>
    <w:p w:rsidR="00704449" w:rsidRDefault="0090383F">
      <w:pPr>
        <w:spacing w:after="0" w:line="240" w:lineRule="auto"/>
        <w:jc w:val="both"/>
        <w:rPr>
          <w:rFonts w:ascii="Arial" w:eastAsia="Arial" w:hAnsi="Arial" w:cs="Arial"/>
          <w:sz w:val="20"/>
          <w:szCs w:val="20"/>
        </w:rPr>
      </w:pPr>
      <w:r>
        <w:rPr>
          <w:rFonts w:ascii="Arial" w:eastAsia="Arial" w:hAnsi="Arial" w:cs="Arial"/>
          <w:sz w:val="20"/>
          <w:szCs w:val="20"/>
        </w:rPr>
        <w:t>Various studies have provided significant insights into the integration of sex education that promotes com</w:t>
      </w:r>
      <w:r>
        <w:rPr>
          <w:rFonts w:ascii="Arial" w:eastAsia="Arial" w:hAnsi="Arial" w:cs="Arial"/>
          <w:sz w:val="20"/>
          <w:szCs w:val="20"/>
        </w:rPr>
        <w:t xml:space="preserve">prehensive </w:t>
      </w:r>
    </w:p>
    <w:p w:rsidR="00704449" w:rsidRDefault="00704449">
      <w:pPr>
        <w:spacing w:after="0" w:line="240" w:lineRule="auto"/>
        <w:jc w:val="both"/>
        <w:rPr>
          <w:rFonts w:ascii="Arial" w:eastAsia="Arial" w:hAnsi="Arial" w:cs="Arial"/>
          <w:sz w:val="20"/>
          <w:szCs w:val="20"/>
        </w:rPr>
      </w:pPr>
    </w:p>
    <w:p w:rsidR="00704449" w:rsidRDefault="0090383F">
      <w:pPr>
        <w:spacing w:after="0" w:line="240" w:lineRule="auto"/>
        <w:jc w:val="both"/>
        <w:rPr>
          <w:rFonts w:ascii="Arial" w:eastAsia="Arial" w:hAnsi="Arial" w:cs="Arial"/>
          <w:sz w:val="20"/>
          <w:szCs w:val="20"/>
        </w:rPr>
      </w:pPr>
      <w:r>
        <w:rPr>
          <w:rFonts w:ascii="Arial" w:eastAsia="Arial" w:hAnsi="Arial" w:cs="Arial"/>
          <w:sz w:val="20"/>
          <w:szCs w:val="20"/>
        </w:rPr>
        <w:t>development. Unis and Sällström [56] discovered through their phenomenological analysis of adolescents that they internalize various facets of sex and relationships as they progress through their school years, aligning with their maturity leve</w:t>
      </w:r>
      <w:r>
        <w:rPr>
          <w:rFonts w:ascii="Arial" w:eastAsia="Arial" w:hAnsi="Arial" w:cs="Arial"/>
          <w:sz w:val="20"/>
          <w:szCs w:val="20"/>
        </w:rPr>
        <w:t>ls. Despite their differences, they exhibit similar knowledge and attitudes regarding the instruction of sex education.</w:t>
      </w:r>
    </w:p>
    <w:p w:rsidR="00704449" w:rsidRDefault="00704449">
      <w:pPr>
        <w:spacing w:after="0" w:line="240" w:lineRule="auto"/>
        <w:jc w:val="both"/>
        <w:rPr>
          <w:rFonts w:ascii="Arial" w:eastAsia="Arial" w:hAnsi="Arial" w:cs="Arial"/>
          <w:sz w:val="20"/>
          <w:szCs w:val="20"/>
        </w:rPr>
      </w:pPr>
    </w:p>
    <w:p w:rsidR="00704449" w:rsidRDefault="0090383F">
      <w:pPr>
        <w:spacing w:after="0" w:line="240" w:lineRule="auto"/>
        <w:jc w:val="both"/>
        <w:rPr>
          <w:rFonts w:ascii="Arial" w:eastAsia="Arial" w:hAnsi="Arial" w:cs="Arial"/>
          <w:b/>
          <w:sz w:val="22"/>
          <w:szCs w:val="22"/>
        </w:rPr>
      </w:pPr>
      <w:r>
        <w:rPr>
          <w:rFonts w:ascii="Arial" w:eastAsia="Arial" w:hAnsi="Arial" w:cs="Arial"/>
          <w:b/>
          <w:sz w:val="22"/>
          <w:szCs w:val="22"/>
        </w:rPr>
        <w:t>4.5 SIGNIFICANT DIFFERENCE IN THE LEVEL OF ACCEPTANCE OF SCHOOL TEACHERS IN TEACHING SEX EDUCATION AS ANALYZED BY GENDER</w:t>
      </w:r>
    </w:p>
    <w:p w:rsidR="00704449" w:rsidRDefault="00704449">
      <w:pPr>
        <w:spacing w:after="0" w:line="240" w:lineRule="auto"/>
        <w:jc w:val="both"/>
        <w:rPr>
          <w:rFonts w:ascii="Arial" w:eastAsia="Arial" w:hAnsi="Arial" w:cs="Arial"/>
          <w:b/>
          <w:sz w:val="22"/>
          <w:szCs w:val="22"/>
        </w:rPr>
      </w:pPr>
    </w:p>
    <w:p w:rsidR="00704449" w:rsidRDefault="0090383F">
      <w:pPr>
        <w:spacing w:after="0" w:line="240" w:lineRule="auto"/>
        <w:jc w:val="both"/>
        <w:rPr>
          <w:rFonts w:ascii="Arial" w:eastAsia="Arial" w:hAnsi="Arial" w:cs="Arial"/>
          <w:bCs/>
          <w:sz w:val="20"/>
          <w:szCs w:val="20"/>
        </w:rPr>
      </w:pPr>
      <w:r>
        <w:rPr>
          <w:rFonts w:ascii="Arial" w:eastAsia="Arial" w:hAnsi="Arial" w:cs="Arial"/>
          <w:bCs/>
          <w:sz w:val="20"/>
          <w:szCs w:val="20"/>
        </w:rPr>
        <w:t xml:space="preserve">Table 6 uses </w:t>
      </w:r>
      <w:r>
        <w:rPr>
          <w:rFonts w:ascii="Arial" w:eastAsia="Arial" w:hAnsi="Arial" w:cs="Arial"/>
          <w:bCs/>
          <w:sz w:val="20"/>
          <w:szCs w:val="20"/>
        </w:rPr>
        <w:t>a Mann-Whitney U test to compare the acceptance of sex education among male and female teachers. A statistically significant</w:t>
      </w:r>
      <w:r>
        <w:rPr>
          <w:rFonts w:ascii="Arial" w:eastAsia="Arial" w:hAnsi="Arial" w:cs="Arial"/>
          <w:b/>
          <w:sz w:val="20"/>
          <w:szCs w:val="20"/>
        </w:rPr>
        <w:t xml:space="preserve"> </w:t>
      </w:r>
      <w:r>
        <w:rPr>
          <w:rFonts w:ascii="Arial" w:eastAsia="Arial" w:hAnsi="Arial" w:cs="Arial"/>
          <w:bCs/>
          <w:sz w:val="20"/>
          <w:szCs w:val="20"/>
        </w:rPr>
        <w:t>difference (p =</w:t>
      </w:r>
      <w:r>
        <w:rPr>
          <w:rFonts w:ascii="Arial" w:eastAsia="Arial" w:hAnsi="Arial" w:cs="Arial"/>
          <w:b/>
          <w:sz w:val="20"/>
          <w:szCs w:val="20"/>
        </w:rPr>
        <w:t xml:space="preserve"> </w:t>
      </w:r>
      <w:r>
        <w:rPr>
          <w:rFonts w:ascii="Arial" w:eastAsia="Arial" w:hAnsi="Arial" w:cs="Arial"/>
          <w:bCs/>
          <w:sz w:val="20"/>
          <w:szCs w:val="20"/>
        </w:rPr>
        <w:t>0.013) is observed in the</w:t>
      </w:r>
      <w:r>
        <w:rPr>
          <w:rFonts w:ascii="Arial" w:eastAsia="Arial" w:hAnsi="Arial" w:cs="Arial"/>
          <w:b/>
          <w:sz w:val="20"/>
          <w:szCs w:val="20"/>
        </w:rPr>
        <w:t xml:space="preserve"> </w:t>
      </w:r>
      <w:r>
        <w:rPr>
          <w:rFonts w:ascii="Arial" w:eastAsia="Arial" w:hAnsi="Arial" w:cs="Arial"/>
          <w:bCs/>
          <w:sz w:val="20"/>
          <w:szCs w:val="20"/>
        </w:rPr>
        <w:t xml:space="preserve">analysis only for teachers' confidence in teaching about sex education. Compared to male </w:t>
      </w:r>
      <w:r>
        <w:rPr>
          <w:rFonts w:ascii="Arial" w:eastAsia="Arial" w:hAnsi="Arial" w:cs="Arial"/>
          <w:bCs/>
          <w:sz w:val="20"/>
          <w:szCs w:val="20"/>
        </w:rPr>
        <w:t xml:space="preserve">teachers, </w:t>
      </w:r>
      <w:r>
        <w:rPr>
          <w:rFonts w:ascii="Arial" w:eastAsia="Arial" w:hAnsi="Arial" w:cs="Arial"/>
          <w:bCs/>
          <w:sz w:val="20"/>
          <w:szCs w:val="20"/>
        </w:rPr>
        <w:t xml:space="preserve">female teachers have higher mean ranks and greater confidence. Teaching sex education male and female teachers do not exhibit any significant differences in their approval or job effectiveness, as indicated by the overall assessment (p = 0.089). </w:t>
      </w:r>
      <w:r>
        <w:rPr>
          <w:rFonts w:ascii="Arial" w:eastAsia="Arial" w:hAnsi="Arial" w:cs="Arial"/>
          <w:bCs/>
          <w:sz w:val="20"/>
          <w:szCs w:val="20"/>
        </w:rPr>
        <w:t>According to this finding, although female teachers are more confident in their ability to teach sex education, both genders have comparable levels of approval and perception of it as an effective way of teaching. Additional research may focus on the reaso</w:t>
      </w:r>
      <w:r>
        <w:rPr>
          <w:rFonts w:ascii="Arial" w:eastAsia="Arial" w:hAnsi="Arial" w:cs="Arial"/>
          <w:bCs/>
          <w:sz w:val="20"/>
          <w:szCs w:val="20"/>
        </w:rPr>
        <w:t>ns for the discrepancy in confidence levels between male and female teachers, potentially examining factors like previous training, experience, or social assumptions.</w:t>
      </w:r>
    </w:p>
    <w:p w:rsidR="00704449" w:rsidRDefault="00704449">
      <w:pPr>
        <w:spacing w:after="0" w:line="240" w:lineRule="auto"/>
        <w:jc w:val="both"/>
        <w:rPr>
          <w:rFonts w:ascii="Arial" w:eastAsia="Arial" w:hAnsi="Arial" w:cs="Arial"/>
          <w:bCs/>
          <w:sz w:val="20"/>
          <w:szCs w:val="20"/>
        </w:rPr>
      </w:pPr>
    </w:p>
    <w:p w:rsidR="00704449" w:rsidRDefault="0090383F">
      <w:pPr>
        <w:spacing w:after="0" w:line="240" w:lineRule="auto"/>
        <w:jc w:val="both"/>
        <w:rPr>
          <w:rFonts w:ascii="Arial" w:eastAsia="Arial" w:hAnsi="Arial" w:cs="Arial"/>
          <w:sz w:val="20"/>
          <w:szCs w:val="20"/>
        </w:rPr>
      </w:pPr>
      <w:r>
        <w:rPr>
          <w:rFonts w:ascii="Arial" w:eastAsia="Arial" w:hAnsi="Arial" w:cs="Arial"/>
          <w:sz w:val="20"/>
          <w:szCs w:val="20"/>
        </w:rPr>
        <w:t>Table 6 shows gender differences in the level of acceptance of elementary school teacher</w:t>
      </w:r>
      <w:r>
        <w:rPr>
          <w:rFonts w:ascii="Arial" w:eastAsia="Arial" w:hAnsi="Arial" w:cs="Arial"/>
          <w:sz w:val="20"/>
          <w:szCs w:val="20"/>
        </w:rPr>
        <w:t>s in teaching sex education. The result showed no significant difference when analyzed by Gender (</w:t>
      </w:r>
      <w:r>
        <w:rPr>
          <w:rFonts w:ascii="Arial" w:eastAsia="Arial" w:hAnsi="Arial" w:cs="Arial"/>
          <w:i/>
          <w:sz w:val="20"/>
          <w:szCs w:val="20"/>
        </w:rPr>
        <w:t xml:space="preserve">U=2360, p=0.73). </w:t>
      </w:r>
      <w:r>
        <w:rPr>
          <w:rFonts w:ascii="Arial" w:eastAsia="Arial" w:hAnsi="Arial" w:cs="Arial"/>
          <w:sz w:val="20"/>
          <w:szCs w:val="20"/>
        </w:rPr>
        <w:t>Whether the study subjects are male or female, they have similar perceptions of the acceptance level.</w:t>
      </w:r>
    </w:p>
    <w:p w:rsidR="00704449" w:rsidRDefault="00704449">
      <w:pPr>
        <w:spacing w:after="0" w:line="240" w:lineRule="auto"/>
        <w:jc w:val="both"/>
        <w:rPr>
          <w:rFonts w:ascii="Arial" w:eastAsia="Arial" w:hAnsi="Arial" w:cs="Arial"/>
          <w:sz w:val="20"/>
          <w:szCs w:val="20"/>
        </w:rPr>
      </w:pPr>
    </w:p>
    <w:p w:rsidR="00704449" w:rsidRDefault="0090383F">
      <w:pPr>
        <w:spacing w:after="0" w:line="240" w:lineRule="auto"/>
        <w:jc w:val="both"/>
        <w:rPr>
          <w:rFonts w:ascii="Arial" w:eastAsia="Arial" w:hAnsi="Arial" w:cs="Arial"/>
          <w:sz w:val="20"/>
          <w:szCs w:val="20"/>
        </w:rPr>
      </w:pPr>
      <w:r>
        <w:rPr>
          <w:rFonts w:ascii="Arial" w:eastAsia="Arial" w:hAnsi="Arial" w:cs="Arial"/>
          <w:sz w:val="20"/>
          <w:szCs w:val="20"/>
        </w:rPr>
        <w:t>According to Macabago</w:t>
      </w:r>
      <w:r>
        <w:rPr>
          <w:rFonts w:ascii="Arial" w:eastAsia="Arial" w:hAnsi="Arial" w:cs="Arial"/>
          <w:sz w:val="20"/>
          <w:szCs w:val="20"/>
        </w:rPr>
        <w:t xml:space="preserve"> [57], there is no significant difference in terms of gender among teachers in sex education. CSE is also considered an essential tool in efforts to promote gender equality Miller [58]; UNESCO [10], including intimate partner violence Kantor et al. [59]; M</w:t>
      </w:r>
      <w:r>
        <w:rPr>
          <w:rFonts w:ascii="Arial" w:eastAsia="Arial" w:hAnsi="Arial" w:cs="Arial"/>
          <w:sz w:val="20"/>
          <w:szCs w:val="20"/>
        </w:rPr>
        <w:t xml:space="preserve">akleff et al. [60], and in achieving the Sustainable Development Goal Starrs et al. [61]. </w:t>
      </w:r>
    </w:p>
    <w:p w:rsidR="00704449" w:rsidRDefault="00704449">
      <w:pPr>
        <w:spacing w:after="0" w:line="240" w:lineRule="auto"/>
        <w:jc w:val="both"/>
        <w:rPr>
          <w:rFonts w:ascii="Arial" w:eastAsia="Arial" w:hAnsi="Arial" w:cs="Arial"/>
          <w:sz w:val="20"/>
          <w:szCs w:val="20"/>
        </w:rPr>
      </w:pPr>
    </w:p>
    <w:p w:rsidR="00704449" w:rsidRDefault="00704449">
      <w:pPr>
        <w:spacing w:after="0" w:line="240" w:lineRule="auto"/>
        <w:jc w:val="both"/>
        <w:rPr>
          <w:rFonts w:ascii="Arial" w:eastAsia="Arial" w:hAnsi="Arial" w:cs="Arial"/>
          <w:sz w:val="20"/>
          <w:szCs w:val="20"/>
        </w:rPr>
      </w:pPr>
    </w:p>
    <w:p w:rsidR="00704449" w:rsidRDefault="00704449">
      <w:pPr>
        <w:spacing w:after="0" w:line="240" w:lineRule="auto"/>
        <w:jc w:val="both"/>
        <w:rPr>
          <w:rFonts w:ascii="Arial" w:eastAsia="Arial" w:hAnsi="Arial" w:cs="Arial"/>
          <w:sz w:val="20"/>
          <w:szCs w:val="20"/>
        </w:rPr>
      </w:pPr>
    </w:p>
    <w:p w:rsidR="00704449" w:rsidRDefault="00704449">
      <w:pPr>
        <w:spacing w:after="0" w:line="240" w:lineRule="auto"/>
        <w:jc w:val="both"/>
        <w:rPr>
          <w:rFonts w:ascii="Arial" w:eastAsia="Arial" w:hAnsi="Arial" w:cs="Arial"/>
          <w:sz w:val="20"/>
          <w:szCs w:val="20"/>
        </w:rPr>
      </w:pPr>
    </w:p>
    <w:p w:rsidR="00704449" w:rsidRDefault="00704449">
      <w:pPr>
        <w:spacing w:after="0" w:line="240" w:lineRule="auto"/>
        <w:jc w:val="both"/>
        <w:rPr>
          <w:rFonts w:ascii="Arial" w:eastAsia="Arial" w:hAnsi="Arial" w:cs="Arial"/>
          <w:sz w:val="20"/>
          <w:szCs w:val="20"/>
        </w:rPr>
      </w:pPr>
    </w:p>
    <w:p w:rsidR="00704449" w:rsidRDefault="00704449">
      <w:pPr>
        <w:spacing w:after="0" w:line="240" w:lineRule="auto"/>
        <w:jc w:val="both"/>
        <w:rPr>
          <w:rFonts w:ascii="Arial" w:eastAsia="Arial" w:hAnsi="Arial" w:cs="Arial"/>
          <w:sz w:val="20"/>
          <w:szCs w:val="20"/>
        </w:rPr>
      </w:pPr>
    </w:p>
    <w:p w:rsidR="00704449" w:rsidRDefault="00704449">
      <w:pPr>
        <w:spacing w:after="0" w:line="240" w:lineRule="auto"/>
        <w:jc w:val="both"/>
        <w:rPr>
          <w:rFonts w:ascii="Arial" w:eastAsia="Arial" w:hAnsi="Arial" w:cs="Arial"/>
          <w:sz w:val="20"/>
          <w:szCs w:val="20"/>
        </w:rPr>
      </w:pPr>
    </w:p>
    <w:p w:rsidR="00704449" w:rsidRDefault="00704449">
      <w:pPr>
        <w:spacing w:after="0" w:line="240" w:lineRule="auto"/>
        <w:jc w:val="both"/>
        <w:rPr>
          <w:rFonts w:ascii="Arial" w:eastAsia="Arial" w:hAnsi="Arial" w:cs="Arial"/>
          <w:sz w:val="20"/>
          <w:szCs w:val="20"/>
        </w:rPr>
      </w:pPr>
    </w:p>
    <w:p w:rsidR="00704449" w:rsidRDefault="00704449">
      <w:pPr>
        <w:spacing w:after="0" w:line="240" w:lineRule="auto"/>
        <w:jc w:val="both"/>
        <w:rPr>
          <w:rFonts w:ascii="Arial" w:eastAsia="Arial" w:hAnsi="Arial" w:cs="Arial"/>
          <w:sz w:val="20"/>
          <w:szCs w:val="20"/>
        </w:rPr>
      </w:pPr>
    </w:p>
    <w:p w:rsidR="00704449" w:rsidRDefault="00704449">
      <w:pPr>
        <w:spacing w:after="0" w:line="240" w:lineRule="auto"/>
        <w:jc w:val="both"/>
        <w:rPr>
          <w:rFonts w:ascii="Arial" w:eastAsia="Arial" w:hAnsi="Arial" w:cs="Arial"/>
          <w:sz w:val="20"/>
          <w:szCs w:val="20"/>
        </w:rPr>
      </w:pPr>
    </w:p>
    <w:p w:rsidR="00704449" w:rsidRDefault="00704449">
      <w:pPr>
        <w:spacing w:after="0" w:line="240" w:lineRule="auto"/>
        <w:jc w:val="both"/>
        <w:rPr>
          <w:rFonts w:ascii="Arial" w:eastAsia="Arial" w:hAnsi="Arial" w:cs="Arial"/>
          <w:sz w:val="20"/>
          <w:szCs w:val="20"/>
        </w:rPr>
      </w:pPr>
    </w:p>
    <w:p w:rsidR="00704449" w:rsidRDefault="00704449">
      <w:pPr>
        <w:spacing w:after="0" w:line="240" w:lineRule="auto"/>
        <w:jc w:val="both"/>
        <w:rPr>
          <w:rFonts w:ascii="Arial" w:eastAsia="Arial" w:hAnsi="Arial" w:cs="Arial"/>
          <w:sz w:val="20"/>
          <w:szCs w:val="20"/>
        </w:rPr>
      </w:pPr>
    </w:p>
    <w:p w:rsidR="00704449" w:rsidRDefault="00704449">
      <w:pPr>
        <w:spacing w:after="0" w:line="240" w:lineRule="auto"/>
        <w:jc w:val="both"/>
        <w:rPr>
          <w:rFonts w:ascii="Arial" w:eastAsia="Arial" w:hAnsi="Arial" w:cs="Arial"/>
          <w:sz w:val="20"/>
          <w:szCs w:val="20"/>
        </w:rPr>
      </w:pPr>
    </w:p>
    <w:p w:rsidR="00704449" w:rsidRDefault="00704449">
      <w:pPr>
        <w:spacing w:after="0" w:line="240" w:lineRule="auto"/>
        <w:jc w:val="both"/>
        <w:rPr>
          <w:rFonts w:ascii="Arial" w:eastAsia="Arial" w:hAnsi="Arial" w:cs="Arial"/>
          <w:sz w:val="20"/>
          <w:szCs w:val="20"/>
        </w:rPr>
        <w:sectPr w:rsidR="00704449">
          <w:type w:val="continuous"/>
          <w:pgSz w:w="12240" w:h="15840"/>
          <w:pgMar w:top="1440" w:right="2016" w:bottom="2016" w:left="2016" w:header="706" w:footer="706" w:gutter="0"/>
          <w:cols w:num="2" w:space="720" w:equalWidth="0">
            <w:col w:w="3750" w:space="708"/>
            <w:col w:w="3750"/>
          </w:cols>
        </w:sectPr>
      </w:pPr>
    </w:p>
    <w:p w:rsidR="00704449" w:rsidRDefault="0090383F">
      <w:pPr>
        <w:spacing w:after="0" w:line="240" w:lineRule="auto"/>
        <w:jc w:val="center"/>
        <w:rPr>
          <w:rFonts w:ascii="Arial" w:eastAsia="Arial" w:hAnsi="Arial" w:cs="Arial"/>
          <w:b/>
          <w:i/>
          <w:sz w:val="22"/>
          <w:szCs w:val="22"/>
        </w:rPr>
      </w:pPr>
      <w:r>
        <w:rPr>
          <w:rFonts w:ascii="Arial" w:eastAsia="Arial" w:hAnsi="Arial" w:cs="Arial"/>
          <w:b/>
          <w:sz w:val="22"/>
          <w:szCs w:val="22"/>
        </w:rPr>
        <w:t xml:space="preserve">Table 7. </w:t>
      </w:r>
      <w:r>
        <w:rPr>
          <w:rFonts w:ascii="Arial" w:eastAsia="Arial" w:hAnsi="Arial" w:cs="Arial"/>
          <w:b/>
          <w:i/>
          <w:sz w:val="22"/>
          <w:szCs w:val="22"/>
        </w:rPr>
        <w:t>Difference in acceptance level when analyzed by Years of Teaching</w:t>
      </w:r>
    </w:p>
    <w:p w:rsidR="00704449" w:rsidRDefault="00704449">
      <w:pPr>
        <w:spacing w:after="0" w:line="240" w:lineRule="auto"/>
        <w:jc w:val="center"/>
        <w:rPr>
          <w:rFonts w:ascii="Arial" w:eastAsia="Arial" w:hAnsi="Arial" w:cs="Arial"/>
          <w:b/>
          <w:i/>
          <w:sz w:val="22"/>
          <w:szCs w:val="22"/>
        </w:rPr>
      </w:pPr>
    </w:p>
    <w:tbl>
      <w:tblPr>
        <w:tblStyle w:val="a5"/>
        <w:tblpPr w:leftFromText="180" w:rightFromText="180" w:vertAnchor="text" w:tblpX="-540" w:tblpY="1"/>
        <w:tblW w:w="9720" w:type="dxa"/>
        <w:tblBorders>
          <w:top w:val="nil"/>
          <w:left w:val="nil"/>
          <w:bottom w:val="nil"/>
          <w:right w:val="nil"/>
          <w:insideH w:val="nil"/>
          <w:insideV w:val="nil"/>
        </w:tblBorders>
        <w:tblLayout w:type="fixed"/>
        <w:tblLook w:val="0400" w:firstRow="0" w:lastRow="0" w:firstColumn="0" w:lastColumn="0" w:noHBand="0" w:noVBand="1"/>
      </w:tblPr>
      <w:tblGrid>
        <w:gridCol w:w="1712"/>
        <w:gridCol w:w="2341"/>
        <w:gridCol w:w="783"/>
        <w:gridCol w:w="1287"/>
        <w:gridCol w:w="1442"/>
        <w:gridCol w:w="538"/>
        <w:gridCol w:w="1617"/>
      </w:tblGrid>
      <w:tr w:rsidR="00704449">
        <w:tc>
          <w:tcPr>
            <w:tcW w:w="1712" w:type="dxa"/>
            <w:tcBorders>
              <w:top w:val="single" w:sz="4" w:space="0" w:color="000000"/>
              <w:bottom w:val="single" w:sz="4" w:space="0" w:color="000000"/>
            </w:tcBorders>
          </w:tcPr>
          <w:p w:rsidR="00704449" w:rsidRDefault="00704449">
            <w:pPr>
              <w:rPr>
                <w:rFonts w:ascii="Arial" w:eastAsia="Arial" w:hAnsi="Arial" w:cs="Arial"/>
                <w:sz w:val="20"/>
                <w:szCs w:val="20"/>
              </w:rPr>
            </w:pPr>
          </w:p>
        </w:tc>
        <w:tc>
          <w:tcPr>
            <w:tcW w:w="2341" w:type="dxa"/>
            <w:tcBorders>
              <w:top w:val="single" w:sz="4" w:space="0" w:color="000000"/>
              <w:bottom w:val="single" w:sz="4" w:space="0" w:color="000000"/>
            </w:tcBorders>
            <w:vAlign w:val="center"/>
          </w:tcPr>
          <w:p w:rsidR="00704449" w:rsidRDefault="0090383F">
            <w:pPr>
              <w:jc w:val="center"/>
              <w:rPr>
                <w:rFonts w:ascii="Arial" w:eastAsia="Arial" w:hAnsi="Arial" w:cs="Arial"/>
                <w:b/>
                <w:sz w:val="20"/>
                <w:szCs w:val="20"/>
              </w:rPr>
            </w:pPr>
            <w:r>
              <w:rPr>
                <w:rFonts w:ascii="Arial" w:eastAsia="Arial" w:hAnsi="Arial" w:cs="Arial"/>
                <w:b/>
                <w:sz w:val="20"/>
                <w:szCs w:val="20"/>
              </w:rPr>
              <w:t>Civil Status</w:t>
            </w:r>
          </w:p>
        </w:tc>
        <w:tc>
          <w:tcPr>
            <w:tcW w:w="783" w:type="dxa"/>
            <w:tcBorders>
              <w:top w:val="single" w:sz="4" w:space="0" w:color="000000"/>
              <w:bottom w:val="single" w:sz="4" w:space="0" w:color="000000"/>
            </w:tcBorders>
            <w:vAlign w:val="center"/>
          </w:tcPr>
          <w:p w:rsidR="00704449" w:rsidRDefault="0090383F">
            <w:pPr>
              <w:jc w:val="center"/>
              <w:rPr>
                <w:rFonts w:ascii="Arial" w:eastAsia="Arial" w:hAnsi="Arial" w:cs="Arial"/>
                <w:b/>
                <w:sz w:val="20"/>
                <w:szCs w:val="20"/>
              </w:rPr>
            </w:pPr>
            <w:r>
              <w:rPr>
                <w:rFonts w:ascii="Arial" w:eastAsia="Arial" w:hAnsi="Arial" w:cs="Arial"/>
                <w:b/>
                <w:sz w:val="20"/>
                <w:szCs w:val="20"/>
              </w:rPr>
              <w:t>N</w:t>
            </w:r>
          </w:p>
        </w:tc>
        <w:tc>
          <w:tcPr>
            <w:tcW w:w="1287" w:type="dxa"/>
            <w:tcBorders>
              <w:top w:val="single" w:sz="4" w:space="0" w:color="000000"/>
              <w:bottom w:val="single" w:sz="4" w:space="0" w:color="000000"/>
            </w:tcBorders>
            <w:vAlign w:val="center"/>
          </w:tcPr>
          <w:p w:rsidR="00704449" w:rsidRDefault="0090383F">
            <w:pPr>
              <w:jc w:val="center"/>
              <w:rPr>
                <w:rFonts w:ascii="Arial" w:eastAsia="Arial" w:hAnsi="Arial" w:cs="Arial"/>
                <w:b/>
                <w:sz w:val="20"/>
                <w:szCs w:val="20"/>
              </w:rPr>
            </w:pPr>
            <w:r>
              <w:rPr>
                <w:rFonts w:ascii="Arial" w:eastAsia="Arial" w:hAnsi="Arial" w:cs="Arial"/>
                <w:b/>
                <w:sz w:val="20"/>
                <w:szCs w:val="20"/>
              </w:rPr>
              <w:t>Mean Rank</w:t>
            </w:r>
          </w:p>
        </w:tc>
        <w:tc>
          <w:tcPr>
            <w:tcW w:w="1442" w:type="dxa"/>
            <w:tcBorders>
              <w:top w:val="single" w:sz="4" w:space="0" w:color="000000"/>
              <w:bottom w:val="single" w:sz="4" w:space="0" w:color="000000"/>
            </w:tcBorders>
            <w:vAlign w:val="center"/>
          </w:tcPr>
          <w:p w:rsidR="00704449" w:rsidRDefault="0090383F">
            <w:pPr>
              <w:jc w:val="center"/>
              <w:rPr>
                <w:rFonts w:ascii="Arial" w:eastAsia="Arial" w:hAnsi="Arial" w:cs="Arial"/>
                <w:b/>
                <w:sz w:val="20"/>
                <w:szCs w:val="20"/>
              </w:rPr>
            </w:pPr>
            <w:r>
              <w:rPr>
                <w:rFonts w:ascii="Arial" w:eastAsia="Arial" w:hAnsi="Arial" w:cs="Arial"/>
                <w:b/>
                <w:sz w:val="20"/>
                <w:szCs w:val="20"/>
              </w:rPr>
              <w:t>Chi-square</w:t>
            </w:r>
          </w:p>
        </w:tc>
        <w:tc>
          <w:tcPr>
            <w:tcW w:w="538" w:type="dxa"/>
            <w:tcBorders>
              <w:top w:val="single" w:sz="4" w:space="0" w:color="000000"/>
              <w:bottom w:val="single" w:sz="4" w:space="0" w:color="000000"/>
            </w:tcBorders>
            <w:vAlign w:val="center"/>
          </w:tcPr>
          <w:p w:rsidR="00704449" w:rsidRDefault="0090383F">
            <w:pPr>
              <w:jc w:val="center"/>
              <w:rPr>
                <w:rFonts w:ascii="Arial" w:eastAsia="Arial" w:hAnsi="Arial" w:cs="Arial"/>
                <w:b/>
                <w:sz w:val="20"/>
                <w:szCs w:val="20"/>
              </w:rPr>
            </w:pPr>
            <w:r>
              <w:rPr>
                <w:rFonts w:ascii="Arial" w:eastAsia="Arial" w:hAnsi="Arial" w:cs="Arial"/>
                <w:b/>
                <w:sz w:val="20"/>
                <w:szCs w:val="20"/>
              </w:rPr>
              <w:t>Df</w:t>
            </w:r>
          </w:p>
        </w:tc>
        <w:tc>
          <w:tcPr>
            <w:tcW w:w="1617" w:type="dxa"/>
            <w:tcBorders>
              <w:top w:val="single" w:sz="4" w:space="0" w:color="000000"/>
              <w:bottom w:val="single" w:sz="4" w:space="0" w:color="000000"/>
            </w:tcBorders>
            <w:vAlign w:val="center"/>
          </w:tcPr>
          <w:p w:rsidR="00704449" w:rsidRDefault="0090383F">
            <w:pPr>
              <w:jc w:val="center"/>
              <w:rPr>
                <w:rFonts w:ascii="Arial" w:eastAsia="Arial" w:hAnsi="Arial" w:cs="Arial"/>
                <w:b/>
                <w:sz w:val="20"/>
                <w:szCs w:val="20"/>
              </w:rPr>
            </w:pPr>
            <w:r>
              <w:rPr>
                <w:rFonts w:ascii="Arial" w:eastAsia="Arial" w:hAnsi="Arial" w:cs="Arial"/>
                <w:b/>
                <w:sz w:val="20"/>
                <w:szCs w:val="20"/>
              </w:rPr>
              <w:t>Asymp</w:t>
            </w:r>
            <w:r>
              <w:rPr>
                <w:rFonts w:ascii="Arial" w:eastAsia="Arial" w:hAnsi="Arial" w:cs="Arial"/>
                <w:b/>
                <w:sz w:val="20"/>
                <w:szCs w:val="20"/>
              </w:rPr>
              <w:t xml:space="preserve">. Sig. </w:t>
            </w:r>
          </w:p>
        </w:tc>
      </w:tr>
      <w:tr w:rsidR="00704449">
        <w:tc>
          <w:tcPr>
            <w:tcW w:w="1712" w:type="dxa"/>
            <w:vMerge w:val="restart"/>
            <w:tcBorders>
              <w:top w:val="single" w:sz="4" w:space="0" w:color="000000"/>
            </w:tcBorders>
            <w:vAlign w:val="center"/>
          </w:tcPr>
          <w:p w:rsidR="00704449" w:rsidRDefault="0090383F">
            <w:pPr>
              <w:jc w:val="center"/>
              <w:rPr>
                <w:rFonts w:ascii="Arial" w:eastAsia="Arial" w:hAnsi="Arial" w:cs="Arial"/>
                <w:b/>
                <w:sz w:val="20"/>
                <w:szCs w:val="20"/>
              </w:rPr>
            </w:pPr>
            <w:r>
              <w:rPr>
                <w:rFonts w:ascii="Arial" w:eastAsia="Arial" w:hAnsi="Arial" w:cs="Arial"/>
                <w:b/>
                <w:sz w:val="20"/>
                <w:szCs w:val="20"/>
              </w:rPr>
              <w:lastRenderedPageBreak/>
              <w:t>Approval</w:t>
            </w:r>
          </w:p>
        </w:tc>
        <w:tc>
          <w:tcPr>
            <w:tcW w:w="2341" w:type="dxa"/>
            <w:tcBorders>
              <w:top w:val="single" w:sz="4" w:space="0" w:color="000000"/>
            </w:tcBorders>
            <w:vAlign w:val="center"/>
          </w:tcPr>
          <w:p w:rsidR="00704449" w:rsidRDefault="0090383F">
            <w:pPr>
              <w:rPr>
                <w:rFonts w:ascii="Arial" w:eastAsia="Arial" w:hAnsi="Arial" w:cs="Arial"/>
                <w:sz w:val="20"/>
                <w:szCs w:val="20"/>
              </w:rPr>
            </w:pPr>
            <w:r>
              <w:rPr>
                <w:rFonts w:ascii="Arial" w:eastAsia="Arial" w:hAnsi="Arial" w:cs="Arial"/>
                <w:sz w:val="20"/>
                <w:szCs w:val="20"/>
              </w:rPr>
              <w:t>3-5 years</w:t>
            </w:r>
          </w:p>
        </w:tc>
        <w:tc>
          <w:tcPr>
            <w:tcW w:w="783" w:type="dxa"/>
            <w:tcBorders>
              <w:top w:val="single" w:sz="4" w:space="0" w:color="000000"/>
            </w:tcBorders>
            <w:vAlign w:val="center"/>
          </w:tcPr>
          <w:p w:rsidR="00704449" w:rsidRDefault="0090383F">
            <w:pPr>
              <w:jc w:val="center"/>
              <w:rPr>
                <w:rFonts w:ascii="Arial" w:eastAsia="Arial" w:hAnsi="Arial" w:cs="Arial"/>
                <w:sz w:val="20"/>
                <w:szCs w:val="20"/>
              </w:rPr>
            </w:pPr>
            <w:r>
              <w:rPr>
                <w:rFonts w:ascii="Arial" w:eastAsia="Arial" w:hAnsi="Arial" w:cs="Arial"/>
                <w:sz w:val="20"/>
                <w:szCs w:val="20"/>
              </w:rPr>
              <w:t>37</w:t>
            </w:r>
          </w:p>
        </w:tc>
        <w:tc>
          <w:tcPr>
            <w:tcW w:w="1287" w:type="dxa"/>
            <w:tcBorders>
              <w:top w:val="single" w:sz="4" w:space="0" w:color="000000"/>
            </w:tcBorders>
            <w:vAlign w:val="center"/>
          </w:tcPr>
          <w:p w:rsidR="00704449" w:rsidRDefault="0090383F">
            <w:pPr>
              <w:jc w:val="center"/>
              <w:rPr>
                <w:rFonts w:ascii="Arial" w:eastAsia="Arial" w:hAnsi="Arial" w:cs="Arial"/>
                <w:sz w:val="20"/>
                <w:szCs w:val="20"/>
              </w:rPr>
            </w:pPr>
            <w:r>
              <w:rPr>
                <w:rFonts w:ascii="Arial" w:eastAsia="Arial" w:hAnsi="Arial" w:cs="Arial"/>
                <w:sz w:val="20"/>
                <w:szCs w:val="20"/>
              </w:rPr>
              <w:t>83.04</w:t>
            </w:r>
          </w:p>
        </w:tc>
        <w:tc>
          <w:tcPr>
            <w:tcW w:w="1442" w:type="dxa"/>
            <w:tcBorders>
              <w:top w:val="single" w:sz="4" w:space="0" w:color="000000"/>
            </w:tcBorders>
            <w:vAlign w:val="center"/>
          </w:tcPr>
          <w:p w:rsidR="00704449" w:rsidRDefault="0090383F">
            <w:pPr>
              <w:jc w:val="center"/>
              <w:rPr>
                <w:rFonts w:ascii="Arial" w:eastAsia="Arial" w:hAnsi="Arial" w:cs="Arial"/>
                <w:sz w:val="20"/>
                <w:szCs w:val="20"/>
              </w:rPr>
            </w:pPr>
            <w:r>
              <w:rPr>
                <w:rFonts w:ascii="Arial" w:eastAsia="Arial" w:hAnsi="Arial" w:cs="Arial"/>
                <w:sz w:val="20"/>
                <w:szCs w:val="20"/>
              </w:rPr>
              <w:t>1.788</w:t>
            </w:r>
          </w:p>
        </w:tc>
        <w:tc>
          <w:tcPr>
            <w:tcW w:w="538" w:type="dxa"/>
            <w:tcBorders>
              <w:top w:val="single" w:sz="4" w:space="0" w:color="000000"/>
            </w:tcBorders>
            <w:vAlign w:val="center"/>
          </w:tcPr>
          <w:p w:rsidR="00704449" w:rsidRDefault="0090383F">
            <w:pPr>
              <w:jc w:val="center"/>
              <w:rPr>
                <w:rFonts w:ascii="Arial" w:eastAsia="Arial" w:hAnsi="Arial" w:cs="Arial"/>
                <w:sz w:val="20"/>
                <w:szCs w:val="20"/>
              </w:rPr>
            </w:pPr>
            <w:r>
              <w:rPr>
                <w:rFonts w:ascii="Arial" w:eastAsia="Arial" w:hAnsi="Arial" w:cs="Arial"/>
                <w:sz w:val="20"/>
                <w:szCs w:val="20"/>
              </w:rPr>
              <w:t>2</w:t>
            </w:r>
          </w:p>
        </w:tc>
        <w:tc>
          <w:tcPr>
            <w:tcW w:w="1617" w:type="dxa"/>
            <w:tcBorders>
              <w:top w:val="single" w:sz="4" w:space="0" w:color="000000"/>
            </w:tcBorders>
            <w:vAlign w:val="center"/>
          </w:tcPr>
          <w:p w:rsidR="00704449" w:rsidRDefault="0090383F">
            <w:pPr>
              <w:jc w:val="center"/>
              <w:rPr>
                <w:rFonts w:ascii="Arial" w:eastAsia="Arial" w:hAnsi="Arial" w:cs="Arial"/>
                <w:sz w:val="20"/>
                <w:szCs w:val="20"/>
              </w:rPr>
            </w:pPr>
            <w:r>
              <w:rPr>
                <w:rFonts w:ascii="Arial" w:eastAsia="Arial" w:hAnsi="Arial" w:cs="Arial"/>
                <w:sz w:val="20"/>
                <w:szCs w:val="20"/>
              </w:rPr>
              <w:t>0.409</w:t>
            </w:r>
          </w:p>
        </w:tc>
      </w:tr>
      <w:tr w:rsidR="00704449">
        <w:tc>
          <w:tcPr>
            <w:tcW w:w="1712" w:type="dxa"/>
            <w:vMerge/>
            <w:tcBorders>
              <w:top w:val="single" w:sz="4" w:space="0" w:color="000000"/>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2341" w:type="dxa"/>
            <w:vAlign w:val="center"/>
          </w:tcPr>
          <w:p w:rsidR="00704449" w:rsidRDefault="0090383F">
            <w:pPr>
              <w:rPr>
                <w:rFonts w:ascii="Arial" w:eastAsia="Arial" w:hAnsi="Arial" w:cs="Arial"/>
                <w:sz w:val="20"/>
                <w:szCs w:val="20"/>
              </w:rPr>
            </w:pPr>
            <w:r>
              <w:rPr>
                <w:rFonts w:ascii="Arial" w:eastAsia="Arial" w:hAnsi="Arial" w:cs="Arial"/>
                <w:sz w:val="20"/>
                <w:szCs w:val="20"/>
              </w:rPr>
              <w:t>6-10 years</w:t>
            </w:r>
          </w:p>
        </w:tc>
        <w:tc>
          <w:tcPr>
            <w:tcW w:w="783" w:type="dxa"/>
            <w:vAlign w:val="center"/>
          </w:tcPr>
          <w:p w:rsidR="00704449" w:rsidRDefault="0090383F">
            <w:pPr>
              <w:jc w:val="center"/>
              <w:rPr>
                <w:rFonts w:ascii="Arial" w:eastAsia="Arial" w:hAnsi="Arial" w:cs="Arial"/>
                <w:sz w:val="20"/>
                <w:szCs w:val="20"/>
              </w:rPr>
            </w:pPr>
            <w:r>
              <w:rPr>
                <w:rFonts w:ascii="Arial" w:eastAsia="Arial" w:hAnsi="Arial" w:cs="Arial"/>
                <w:sz w:val="20"/>
                <w:szCs w:val="20"/>
              </w:rPr>
              <w:t>47</w:t>
            </w:r>
          </w:p>
        </w:tc>
        <w:tc>
          <w:tcPr>
            <w:tcW w:w="1287" w:type="dxa"/>
            <w:vAlign w:val="center"/>
          </w:tcPr>
          <w:p w:rsidR="00704449" w:rsidRDefault="0090383F">
            <w:pPr>
              <w:jc w:val="center"/>
              <w:rPr>
                <w:rFonts w:ascii="Arial" w:eastAsia="Arial" w:hAnsi="Arial" w:cs="Arial"/>
                <w:sz w:val="20"/>
                <w:szCs w:val="20"/>
              </w:rPr>
            </w:pPr>
            <w:r>
              <w:rPr>
                <w:rFonts w:ascii="Arial" w:eastAsia="Arial" w:hAnsi="Arial" w:cs="Arial"/>
                <w:sz w:val="20"/>
                <w:szCs w:val="20"/>
              </w:rPr>
              <w:t>75.11</w:t>
            </w:r>
          </w:p>
        </w:tc>
        <w:tc>
          <w:tcPr>
            <w:tcW w:w="1442" w:type="dxa"/>
            <w:vAlign w:val="center"/>
          </w:tcPr>
          <w:p w:rsidR="00704449" w:rsidRDefault="00704449">
            <w:pPr>
              <w:jc w:val="center"/>
              <w:rPr>
                <w:rFonts w:ascii="Arial" w:eastAsia="Arial" w:hAnsi="Arial" w:cs="Arial"/>
                <w:sz w:val="20"/>
                <w:szCs w:val="20"/>
              </w:rPr>
            </w:pPr>
          </w:p>
        </w:tc>
        <w:tc>
          <w:tcPr>
            <w:tcW w:w="538" w:type="dxa"/>
            <w:vAlign w:val="center"/>
          </w:tcPr>
          <w:p w:rsidR="00704449" w:rsidRDefault="00704449">
            <w:pPr>
              <w:jc w:val="center"/>
              <w:rPr>
                <w:rFonts w:ascii="Arial" w:eastAsia="Arial" w:hAnsi="Arial" w:cs="Arial"/>
                <w:sz w:val="20"/>
                <w:szCs w:val="20"/>
              </w:rPr>
            </w:pPr>
          </w:p>
        </w:tc>
        <w:tc>
          <w:tcPr>
            <w:tcW w:w="1617" w:type="dxa"/>
            <w:vAlign w:val="center"/>
          </w:tcPr>
          <w:p w:rsidR="00704449" w:rsidRDefault="00704449">
            <w:pPr>
              <w:jc w:val="center"/>
              <w:rPr>
                <w:rFonts w:ascii="Arial" w:eastAsia="Arial" w:hAnsi="Arial" w:cs="Arial"/>
                <w:sz w:val="20"/>
                <w:szCs w:val="20"/>
              </w:rPr>
            </w:pPr>
          </w:p>
        </w:tc>
      </w:tr>
      <w:tr w:rsidR="00704449">
        <w:tc>
          <w:tcPr>
            <w:tcW w:w="1712" w:type="dxa"/>
            <w:vMerge/>
            <w:tcBorders>
              <w:top w:val="single" w:sz="4" w:space="0" w:color="000000"/>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2341" w:type="dxa"/>
            <w:vAlign w:val="center"/>
          </w:tcPr>
          <w:p w:rsidR="00704449" w:rsidRDefault="0090383F">
            <w:pPr>
              <w:rPr>
                <w:rFonts w:ascii="Arial" w:eastAsia="Arial" w:hAnsi="Arial" w:cs="Arial"/>
                <w:sz w:val="20"/>
                <w:szCs w:val="20"/>
              </w:rPr>
            </w:pPr>
            <w:r>
              <w:rPr>
                <w:rFonts w:ascii="Arial" w:eastAsia="Arial" w:hAnsi="Arial" w:cs="Arial"/>
                <w:sz w:val="20"/>
                <w:szCs w:val="20"/>
              </w:rPr>
              <w:t>More than 12 years</w:t>
            </w:r>
          </w:p>
        </w:tc>
        <w:tc>
          <w:tcPr>
            <w:tcW w:w="783" w:type="dxa"/>
            <w:vAlign w:val="center"/>
          </w:tcPr>
          <w:p w:rsidR="00704449" w:rsidRDefault="0090383F">
            <w:pPr>
              <w:jc w:val="center"/>
              <w:rPr>
                <w:rFonts w:ascii="Arial" w:eastAsia="Arial" w:hAnsi="Arial" w:cs="Arial"/>
                <w:sz w:val="20"/>
                <w:szCs w:val="20"/>
              </w:rPr>
            </w:pPr>
            <w:r>
              <w:rPr>
                <w:rFonts w:ascii="Arial" w:eastAsia="Arial" w:hAnsi="Arial" w:cs="Arial"/>
                <w:sz w:val="20"/>
                <w:szCs w:val="20"/>
              </w:rPr>
              <w:t>66</w:t>
            </w:r>
          </w:p>
        </w:tc>
        <w:tc>
          <w:tcPr>
            <w:tcW w:w="1287" w:type="dxa"/>
            <w:vAlign w:val="center"/>
          </w:tcPr>
          <w:p w:rsidR="00704449" w:rsidRDefault="0090383F">
            <w:pPr>
              <w:jc w:val="center"/>
              <w:rPr>
                <w:rFonts w:ascii="Arial" w:eastAsia="Arial" w:hAnsi="Arial" w:cs="Arial"/>
                <w:sz w:val="20"/>
                <w:szCs w:val="20"/>
              </w:rPr>
            </w:pPr>
            <w:r>
              <w:rPr>
                <w:rFonts w:ascii="Arial" w:eastAsia="Arial" w:hAnsi="Arial" w:cs="Arial"/>
                <w:sz w:val="20"/>
                <w:szCs w:val="20"/>
              </w:rPr>
              <w:t>71.55</w:t>
            </w:r>
          </w:p>
        </w:tc>
        <w:tc>
          <w:tcPr>
            <w:tcW w:w="1442" w:type="dxa"/>
            <w:vAlign w:val="center"/>
          </w:tcPr>
          <w:p w:rsidR="00704449" w:rsidRDefault="00704449">
            <w:pPr>
              <w:jc w:val="center"/>
              <w:rPr>
                <w:rFonts w:ascii="Arial" w:eastAsia="Arial" w:hAnsi="Arial" w:cs="Arial"/>
                <w:sz w:val="20"/>
                <w:szCs w:val="20"/>
              </w:rPr>
            </w:pPr>
          </w:p>
        </w:tc>
        <w:tc>
          <w:tcPr>
            <w:tcW w:w="538" w:type="dxa"/>
            <w:vAlign w:val="center"/>
          </w:tcPr>
          <w:p w:rsidR="00704449" w:rsidRDefault="00704449">
            <w:pPr>
              <w:jc w:val="center"/>
              <w:rPr>
                <w:rFonts w:ascii="Arial" w:eastAsia="Arial" w:hAnsi="Arial" w:cs="Arial"/>
                <w:sz w:val="20"/>
                <w:szCs w:val="20"/>
              </w:rPr>
            </w:pPr>
          </w:p>
        </w:tc>
        <w:tc>
          <w:tcPr>
            <w:tcW w:w="1617" w:type="dxa"/>
            <w:vAlign w:val="center"/>
          </w:tcPr>
          <w:p w:rsidR="00704449" w:rsidRDefault="00704449">
            <w:pPr>
              <w:jc w:val="center"/>
              <w:rPr>
                <w:rFonts w:ascii="Arial" w:eastAsia="Arial" w:hAnsi="Arial" w:cs="Arial"/>
                <w:sz w:val="20"/>
                <w:szCs w:val="20"/>
              </w:rPr>
            </w:pPr>
          </w:p>
        </w:tc>
      </w:tr>
      <w:tr w:rsidR="00704449">
        <w:tc>
          <w:tcPr>
            <w:tcW w:w="1712" w:type="dxa"/>
            <w:vMerge/>
            <w:tcBorders>
              <w:top w:val="single" w:sz="4" w:space="0" w:color="000000"/>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2341" w:type="dxa"/>
            <w:tcBorders>
              <w:bottom w:val="single" w:sz="4" w:space="0" w:color="000000"/>
            </w:tcBorders>
            <w:vAlign w:val="center"/>
          </w:tcPr>
          <w:p w:rsidR="00704449" w:rsidRDefault="0090383F">
            <w:pPr>
              <w:rPr>
                <w:rFonts w:ascii="Arial" w:eastAsia="Arial" w:hAnsi="Arial" w:cs="Arial"/>
                <w:sz w:val="20"/>
                <w:szCs w:val="20"/>
              </w:rPr>
            </w:pPr>
            <w:r>
              <w:rPr>
                <w:rFonts w:ascii="Arial" w:eastAsia="Arial" w:hAnsi="Arial" w:cs="Arial"/>
                <w:sz w:val="20"/>
                <w:szCs w:val="20"/>
              </w:rPr>
              <w:t>Total</w:t>
            </w:r>
          </w:p>
        </w:tc>
        <w:tc>
          <w:tcPr>
            <w:tcW w:w="783" w:type="dxa"/>
            <w:tcBorders>
              <w:bottom w:val="single" w:sz="4" w:space="0" w:color="000000"/>
            </w:tcBorders>
            <w:vAlign w:val="center"/>
          </w:tcPr>
          <w:p w:rsidR="00704449" w:rsidRDefault="0090383F">
            <w:pPr>
              <w:jc w:val="center"/>
              <w:rPr>
                <w:rFonts w:ascii="Arial" w:eastAsia="Arial" w:hAnsi="Arial" w:cs="Arial"/>
                <w:sz w:val="20"/>
                <w:szCs w:val="20"/>
              </w:rPr>
            </w:pPr>
            <w:r>
              <w:rPr>
                <w:rFonts w:ascii="Arial" w:eastAsia="Arial" w:hAnsi="Arial" w:cs="Arial"/>
                <w:sz w:val="20"/>
                <w:szCs w:val="20"/>
              </w:rPr>
              <w:t>150</w:t>
            </w:r>
          </w:p>
        </w:tc>
        <w:tc>
          <w:tcPr>
            <w:tcW w:w="1287" w:type="dxa"/>
            <w:tcBorders>
              <w:bottom w:val="single" w:sz="4" w:space="0" w:color="000000"/>
            </w:tcBorders>
            <w:vAlign w:val="center"/>
          </w:tcPr>
          <w:p w:rsidR="00704449" w:rsidRDefault="00704449">
            <w:pPr>
              <w:jc w:val="center"/>
              <w:rPr>
                <w:rFonts w:ascii="Arial" w:eastAsia="Arial" w:hAnsi="Arial" w:cs="Arial"/>
                <w:sz w:val="20"/>
                <w:szCs w:val="20"/>
              </w:rPr>
            </w:pPr>
          </w:p>
        </w:tc>
        <w:tc>
          <w:tcPr>
            <w:tcW w:w="1442" w:type="dxa"/>
            <w:tcBorders>
              <w:bottom w:val="single" w:sz="4" w:space="0" w:color="000000"/>
            </w:tcBorders>
            <w:vAlign w:val="center"/>
          </w:tcPr>
          <w:p w:rsidR="00704449" w:rsidRDefault="00704449">
            <w:pPr>
              <w:jc w:val="center"/>
              <w:rPr>
                <w:rFonts w:ascii="Arial" w:eastAsia="Arial" w:hAnsi="Arial" w:cs="Arial"/>
                <w:sz w:val="20"/>
                <w:szCs w:val="20"/>
              </w:rPr>
            </w:pPr>
          </w:p>
        </w:tc>
        <w:tc>
          <w:tcPr>
            <w:tcW w:w="538" w:type="dxa"/>
            <w:tcBorders>
              <w:bottom w:val="single" w:sz="4" w:space="0" w:color="000000"/>
            </w:tcBorders>
            <w:vAlign w:val="center"/>
          </w:tcPr>
          <w:p w:rsidR="00704449" w:rsidRDefault="00704449">
            <w:pPr>
              <w:jc w:val="center"/>
              <w:rPr>
                <w:rFonts w:ascii="Arial" w:eastAsia="Arial" w:hAnsi="Arial" w:cs="Arial"/>
                <w:sz w:val="20"/>
                <w:szCs w:val="20"/>
              </w:rPr>
            </w:pPr>
          </w:p>
        </w:tc>
        <w:tc>
          <w:tcPr>
            <w:tcW w:w="1617" w:type="dxa"/>
            <w:tcBorders>
              <w:bottom w:val="single" w:sz="4" w:space="0" w:color="000000"/>
            </w:tcBorders>
            <w:vAlign w:val="center"/>
          </w:tcPr>
          <w:p w:rsidR="00704449" w:rsidRDefault="00704449">
            <w:pPr>
              <w:jc w:val="center"/>
              <w:rPr>
                <w:rFonts w:ascii="Arial" w:eastAsia="Arial" w:hAnsi="Arial" w:cs="Arial"/>
                <w:sz w:val="20"/>
                <w:szCs w:val="20"/>
              </w:rPr>
            </w:pPr>
          </w:p>
        </w:tc>
      </w:tr>
      <w:tr w:rsidR="00704449">
        <w:tc>
          <w:tcPr>
            <w:tcW w:w="1712" w:type="dxa"/>
            <w:vMerge w:val="restart"/>
            <w:tcBorders>
              <w:top w:val="single" w:sz="4" w:space="0" w:color="000000"/>
            </w:tcBorders>
            <w:vAlign w:val="center"/>
          </w:tcPr>
          <w:p w:rsidR="00704449" w:rsidRDefault="0090383F">
            <w:pPr>
              <w:jc w:val="center"/>
              <w:rPr>
                <w:rFonts w:ascii="Arial" w:eastAsia="Arial" w:hAnsi="Arial" w:cs="Arial"/>
                <w:b/>
                <w:sz w:val="20"/>
                <w:szCs w:val="20"/>
              </w:rPr>
            </w:pPr>
            <w:r>
              <w:rPr>
                <w:rFonts w:ascii="Arial" w:eastAsia="Arial" w:hAnsi="Arial" w:cs="Arial"/>
                <w:b/>
                <w:sz w:val="20"/>
                <w:szCs w:val="20"/>
              </w:rPr>
              <w:t>Job Effectiveness</w:t>
            </w:r>
          </w:p>
        </w:tc>
        <w:tc>
          <w:tcPr>
            <w:tcW w:w="2341" w:type="dxa"/>
            <w:tcBorders>
              <w:top w:val="single" w:sz="4" w:space="0" w:color="000000"/>
            </w:tcBorders>
            <w:vAlign w:val="center"/>
          </w:tcPr>
          <w:p w:rsidR="00704449" w:rsidRDefault="0090383F">
            <w:pPr>
              <w:rPr>
                <w:rFonts w:ascii="Arial" w:eastAsia="Arial" w:hAnsi="Arial" w:cs="Arial"/>
                <w:sz w:val="20"/>
                <w:szCs w:val="20"/>
              </w:rPr>
            </w:pPr>
            <w:r>
              <w:rPr>
                <w:rFonts w:ascii="Arial" w:eastAsia="Arial" w:hAnsi="Arial" w:cs="Arial"/>
                <w:sz w:val="20"/>
                <w:szCs w:val="20"/>
              </w:rPr>
              <w:t>3-5 years</w:t>
            </w:r>
          </w:p>
        </w:tc>
        <w:tc>
          <w:tcPr>
            <w:tcW w:w="783" w:type="dxa"/>
            <w:tcBorders>
              <w:top w:val="single" w:sz="4" w:space="0" w:color="000000"/>
            </w:tcBorders>
            <w:vAlign w:val="center"/>
          </w:tcPr>
          <w:p w:rsidR="00704449" w:rsidRDefault="0090383F">
            <w:pPr>
              <w:jc w:val="center"/>
              <w:rPr>
                <w:rFonts w:ascii="Arial" w:eastAsia="Arial" w:hAnsi="Arial" w:cs="Arial"/>
                <w:sz w:val="20"/>
                <w:szCs w:val="20"/>
              </w:rPr>
            </w:pPr>
            <w:r>
              <w:rPr>
                <w:rFonts w:ascii="Arial" w:eastAsia="Arial" w:hAnsi="Arial" w:cs="Arial"/>
                <w:sz w:val="20"/>
                <w:szCs w:val="20"/>
              </w:rPr>
              <w:t>37</w:t>
            </w:r>
          </w:p>
        </w:tc>
        <w:tc>
          <w:tcPr>
            <w:tcW w:w="1287" w:type="dxa"/>
            <w:tcBorders>
              <w:top w:val="single" w:sz="4" w:space="0" w:color="000000"/>
            </w:tcBorders>
            <w:vAlign w:val="center"/>
          </w:tcPr>
          <w:p w:rsidR="00704449" w:rsidRDefault="0090383F">
            <w:pPr>
              <w:jc w:val="center"/>
              <w:rPr>
                <w:rFonts w:ascii="Arial" w:eastAsia="Arial" w:hAnsi="Arial" w:cs="Arial"/>
                <w:sz w:val="20"/>
                <w:szCs w:val="20"/>
              </w:rPr>
            </w:pPr>
            <w:r>
              <w:rPr>
                <w:rFonts w:ascii="Arial" w:eastAsia="Arial" w:hAnsi="Arial" w:cs="Arial"/>
                <w:sz w:val="20"/>
                <w:szCs w:val="20"/>
              </w:rPr>
              <w:t>78.05</w:t>
            </w:r>
          </w:p>
        </w:tc>
        <w:tc>
          <w:tcPr>
            <w:tcW w:w="1442" w:type="dxa"/>
            <w:tcBorders>
              <w:top w:val="single" w:sz="4" w:space="0" w:color="000000"/>
            </w:tcBorders>
            <w:vAlign w:val="center"/>
          </w:tcPr>
          <w:p w:rsidR="00704449" w:rsidRDefault="0090383F">
            <w:pPr>
              <w:jc w:val="center"/>
              <w:rPr>
                <w:rFonts w:ascii="Arial" w:eastAsia="Arial" w:hAnsi="Arial" w:cs="Arial"/>
                <w:sz w:val="20"/>
                <w:szCs w:val="20"/>
              </w:rPr>
            </w:pPr>
            <w:r>
              <w:rPr>
                <w:rFonts w:ascii="Arial" w:eastAsia="Arial" w:hAnsi="Arial" w:cs="Arial"/>
                <w:sz w:val="20"/>
                <w:szCs w:val="20"/>
              </w:rPr>
              <w:t>2.151</w:t>
            </w:r>
          </w:p>
        </w:tc>
        <w:tc>
          <w:tcPr>
            <w:tcW w:w="538" w:type="dxa"/>
            <w:tcBorders>
              <w:top w:val="single" w:sz="4" w:space="0" w:color="000000"/>
            </w:tcBorders>
            <w:vAlign w:val="center"/>
          </w:tcPr>
          <w:p w:rsidR="00704449" w:rsidRDefault="0090383F">
            <w:pPr>
              <w:jc w:val="center"/>
              <w:rPr>
                <w:rFonts w:ascii="Arial" w:eastAsia="Arial" w:hAnsi="Arial" w:cs="Arial"/>
                <w:sz w:val="20"/>
                <w:szCs w:val="20"/>
              </w:rPr>
            </w:pPr>
            <w:r>
              <w:rPr>
                <w:rFonts w:ascii="Arial" w:eastAsia="Arial" w:hAnsi="Arial" w:cs="Arial"/>
                <w:sz w:val="20"/>
                <w:szCs w:val="20"/>
              </w:rPr>
              <w:t>2</w:t>
            </w:r>
          </w:p>
        </w:tc>
        <w:tc>
          <w:tcPr>
            <w:tcW w:w="1617" w:type="dxa"/>
            <w:tcBorders>
              <w:top w:val="single" w:sz="4" w:space="0" w:color="000000"/>
            </w:tcBorders>
            <w:vAlign w:val="center"/>
          </w:tcPr>
          <w:p w:rsidR="00704449" w:rsidRDefault="0090383F">
            <w:pPr>
              <w:jc w:val="center"/>
              <w:rPr>
                <w:rFonts w:ascii="Arial" w:eastAsia="Arial" w:hAnsi="Arial" w:cs="Arial"/>
                <w:sz w:val="20"/>
                <w:szCs w:val="20"/>
              </w:rPr>
            </w:pPr>
            <w:r>
              <w:rPr>
                <w:rFonts w:ascii="Arial" w:eastAsia="Arial" w:hAnsi="Arial" w:cs="Arial"/>
                <w:sz w:val="20"/>
                <w:szCs w:val="20"/>
              </w:rPr>
              <w:t>0.341</w:t>
            </w:r>
          </w:p>
        </w:tc>
      </w:tr>
      <w:tr w:rsidR="00704449">
        <w:tc>
          <w:tcPr>
            <w:tcW w:w="1712" w:type="dxa"/>
            <w:vMerge/>
            <w:tcBorders>
              <w:top w:val="single" w:sz="4" w:space="0" w:color="000000"/>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2341" w:type="dxa"/>
            <w:vAlign w:val="center"/>
          </w:tcPr>
          <w:p w:rsidR="00704449" w:rsidRDefault="0090383F">
            <w:pPr>
              <w:rPr>
                <w:rFonts w:ascii="Arial" w:eastAsia="Arial" w:hAnsi="Arial" w:cs="Arial"/>
                <w:sz w:val="20"/>
                <w:szCs w:val="20"/>
              </w:rPr>
            </w:pPr>
            <w:r>
              <w:rPr>
                <w:rFonts w:ascii="Arial" w:eastAsia="Arial" w:hAnsi="Arial" w:cs="Arial"/>
                <w:sz w:val="20"/>
                <w:szCs w:val="20"/>
              </w:rPr>
              <w:t>6-10 years</w:t>
            </w:r>
          </w:p>
        </w:tc>
        <w:tc>
          <w:tcPr>
            <w:tcW w:w="783" w:type="dxa"/>
            <w:vAlign w:val="center"/>
          </w:tcPr>
          <w:p w:rsidR="00704449" w:rsidRDefault="0090383F">
            <w:pPr>
              <w:jc w:val="center"/>
              <w:rPr>
                <w:rFonts w:ascii="Arial" w:eastAsia="Arial" w:hAnsi="Arial" w:cs="Arial"/>
                <w:sz w:val="20"/>
                <w:szCs w:val="20"/>
              </w:rPr>
            </w:pPr>
            <w:r>
              <w:rPr>
                <w:rFonts w:ascii="Arial" w:eastAsia="Arial" w:hAnsi="Arial" w:cs="Arial"/>
                <w:sz w:val="20"/>
                <w:szCs w:val="20"/>
              </w:rPr>
              <w:t>47</w:t>
            </w:r>
          </w:p>
        </w:tc>
        <w:tc>
          <w:tcPr>
            <w:tcW w:w="1287" w:type="dxa"/>
            <w:vAlign w:val="center"/>
          </w:tcPr>
          <w:p w:rsidR="00704449" w:rsidRDefault="0090383F">
            <w:pPr>
              <w:jc w:val="center"/>
              <w:rPr>
                <w:rFonts w:ascii="Arial" w:eastAsia="Arial" w:hAnsi="Arial" w:cs="Arial"/>
                <w:sz w:val="20"/>
                <w:szCs w:val="20"/>
              </w:rPr>
            </w:pPr>
            <w:r>
              <w:rPr>
                <w:rFonts w:ascii="Arial" w:eastAsia="Arial" w:hAnsi="Arial" w:cs="Arial"/>
                <w:sz w:val="20"/>
                <w:szCs w:val="20"/>
              </w:rPr>
              <w:t>67.94</w:t>
            </w:r>
          </w:p>
        </w:tc>
        <w:tc>
          <w:tcPr>
            <w:tcW w:w="1442" w:type="dxa"/>
            <w:vAlign w:val="center"/>
          </w:tcPr>
          <w:p w:rsidR="00704449" w:rsidRDefault="00704449">
            <w:pPr>
              <w:jc w:val="center"/>
              <w:rPr>
                <w:rFonts w:ascii="Arial" w:eastAsia="Arial" w:hAnsi="Arial" w:cs="Arial"/>
                <w:sz w:val="20"/>
                <w:szCs w:val="20"/>
              </w:rPr>
            </w:pPr>
          </w:p>
        </w:tc>
        <w:tc>
          <w:tcPr>
            <w:tcW w:w="538" w:type="dxa"/>
            <w:vAlign w:val="center"/>
          </w:tcPr>
          <w:p w:rsidR="00704449" w:rsidRDefault="00704449">
            <w:pPr>
              <w:jc w:val="center"/>
              <w:rPr>
                <w:rFonts w:ascii="Arial" w:eastAsia="Arial" w:hAnsi="Arial" w:cs="Arial"/>
                <w:sz w:val="20"/>
                <w:szCs w:val="20"/>
              </w:rPr>
            </w:pPr>
          </w:p>
        </w:tc>
        <w:tc>
          <w:tcPr>
            <w:tcW w:w="1617" w:type="dxa"/>
            <w:vAlign w:val="center"/>
          </w:tcPr>
          <w:p w:rsidR="00704449" w:rsidRDefault="00704449">
            <w:pPr>
              <w:jc w:val="center"/>
              <w:rPr>
                <w:rFonts w:ascii="Arial" w:eastAsia="Arial" w:hAnsi="Arial" w:cs="Arial"/>
                <w:sz w:val="20"/>
                <w:szCs w:val="20"/>
              </w:rPr>
            </w:pPr>
          </w:p>
        </w:tc>
      </w:tr>
      <w:tr w:rsidR="00704449">
        <w:tc>
          <w:tcPr>
            <w:tcW w:w="1712" w:type="dxa"/>
            <w:vMerge/>
            <w:tcBorders>
              <w:top w:val="single" w:sz="4" w:space="0" w:color="000000"/>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2341" w:type="dxa"/>
            <w:vAlign w:val="center"/>
          </w:tcPr>
          <w:p w:rsidR="00704449" w:rsidRDefault="0090383F">
            <w:pPr>
              <w:rPr>
                <w:rFonts w:ascii="Arial" w:eastAsia="Arial" w:hAnsi="Arial" w:cs="Arial"/>
                <w:sz w:val="20"/>
                <w:szCs w:val="20"/>
              </w:rPr>
            </w:pPr>
            <w:r>
              <w:rPr>
                <w:rFonts w:ascii="Arial" w:eastAsia="Arial" w:hAnsi="Arial" w:cs="Arial"/>
                <w:sz w:val="20"/>
                <w:szCs w:val="20"/>
              </w:rPr>
              <w:t>More than 12 years</w:t>
            </w:r>
          </w:p>
        </w:tc>
        <w:tc>
          <w:tcPr>
            <w:tcW w:w="783" w:type="dxa"/>
            <w:vAlign w:val="center"/>
          </w:tcPr>
          <w:p w:rsidR="00704449" w:rsidRDefault="0090383F">
            <w:pPr>
              <w:jc w:val="center"/>
              <w:rPr>
                <w:rFonts w:ascii="Arial" w:eastAsia="Arial" w:hAnsi="Arial" w:cs="Arial"/>
                <w:sz w:val="20"/>
                <w:szCs w:val="20"/>
              </w:rPr>
            </w:pPr>
            <w:r>
              <w:rPr>
                <w:rFonts w:ascii="Arial" w:eastAsia="Arial" w:hAnsi="Arial" w:cs="Arial"/>
                <w:sz w:val="20"/>
                <w:szCs w:val="20"/>
              </w:rPr>
              <w:t>66</w:t>
            </w:r>
          </w:p>
        </w:tc>
        <w:tc>
          <w:tcPr>
            <w:tcW w:w="1287" w:type="dxa"/>
            <w:vAlign w:val="center"/>
          </w:tcPr>
          <w:p w:rsidR="00704449" w:rsidRDefault="0090383F">
            <w:pPr>
              <w:jc w:val="center"/>
              <w:rPr>
                <w:rFonts w:ascii="Arial" w:eastAsia="Arial" w:hAnsi="Arial" w:cs="Arial"/>
                <w:sz w:val="20"/>
                <w:szCs w:val="20"/>
              </w:rPr>
            </w:pPr>
            <w:r>
              <w:rPr>
                <w:rFonts w:ascii="Arial" w:eastAsia="Arial" w:hAnsi="Arial" w:cs="Arial"/>
                <w:sz w:val="20"/>
                <w:szCs w:val="20"/>
              </w:rPr>
              <w:t>79.45</w:t>
            </w:r>
          </w:p>
        </w:tc>
        <w:tc>
          <w:tcPr>
            <w:tcW w:w="1442" w:type="dxa"/>
            <w:vAlign w:val="center"/>
          </w:tcPr>
          <w:p w:rsidR="00704449" w:rsidRDefault="00704449">
            <w:pPr>
              <w:jc w:val="center"/>
              <w:rPr>
                <w:rFonts w:ascii="Arial" w:eastAsia="Arial" w:hAnsi="Arial" w:cs="Arial"/>
                <w:sz w:val="20"/>
                <w:szCs w:val="20"/>
              </w:rPr>
            </w:pPr>
          </w:p>
        </w:tc>
        <w:tc>
          <w:tcPr>
            <w:tcW w:w="538" w:type="dxa"/>
            <w:vAlign w:val="center"/>
          </w:tcPr>
          <w:p w:rsidR="00704449" w:rsidRDefault="00704449">
            <w:pPr>
              <w:jc w:val="center"/>
              <w:rPr>
                <w:rFonts w:ascii="Arial" w:eastAsia="Arial" w:hAnsi="Arial" w:cs="Arial"/>
                <w:sz w:val="20"/>
                <w:szCs w:val="20"/>
              </w:rPr>
            </w:pPr>
          </w:p>
        </w:tc>
        <w:tc>
          <w:tcPr>
            <w:tcW w:w="1617" w:type="dxa"/>
            <w:vAlign w:val="center"/>
          </w:tcPr>
          <w:p w:rsidR="00704449" w:rsidRDefault="00704449">
            <w:pPr>
              <w:jc w:val="center"/>
              <w:rPr>
                <w:rFonts w:ascii="Arial" w:eastAsia="Arial" w:hAnsi="Arial" w:cs="Arial"/>
                <w:sz w:val="20"/>
                <w:szCs w:val="20"/>
              </w:rPr>
            </w:pPr>
          </w:p>
        </w:tc>
      </w:tr>
      <w:tr w:rsidR="00704449">
        <w:tc>
          <w:tcPr>
            <w:tcW w:w="1712" w:type="dxa"/>
            <w:vMerge/>
            <w:tcBorders>
              <w:top w:val="single" w:sz="4" w:space="0" w:color="000000"/>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2341" w:type="dxa"/>
            <w:tcBorders>
              <w:bottom w:val="single" w:sz="4" w:space="0" w:color="000000"/>
            </w:tcBorders>
            <w:vAlign w:val="center"/>
          </w:tcPr>
          <w:p w:rsidR="00704449" w:rsidRDefault="0090383F">
            <w:pPr>
              <w:rPr>
                <w:rFonts w:ascii="Arial" w:eastAsia="Arial" w:hAnsi="Arial" w:cs="Arial"/>
                <w:sz w:val="20"/>
                <w:szCs w:val="20"/>
              </w:rPr>
            </w:pPr>
            <w:r>
              <w:rPr>
                <w:rFonts w:ascii="Arial" w:eastAsia="Arial" w:hAnsi="Arial" w:cs="Arial"/>
                <w:sz w:val="20"/>
                <w:szCs w:val="20"/>
              </w:rPr>
              <w:t>Total</w:t>
            </w:r>
          </w:p>
        </w:tc>
        <w:tc>
          <w:tcPr>
            <w:tcW w:w="783" w:type="dxa"/>
            <w:tcBorders>
              <w:bottom w:val="single" w:sz="4" w:space="0" w:color="000000"/>
            </w:tcBorders>
            <w:vAlign w:val="center"/>
          </w:tcPr>
          <w:p w:rsidR="00704449" w:rsidRDefault="0090383F">
            <w:pPr>
              <w:jc w:val="center"/>
              <w:rPr>
                <w:rFonts w:ascii="Arial" w:eastAsia="Arial" w:hAnsi="Arial" w:cs="Arial"/>
                <w:sz w:val="20"/>
                <w:szCs w:val="20"/>
              </w:rPr>
            </w:pPr>
            <w:r>
              <w:rPr>
                <w:rFonts w:ascii="Arial" w:eastAsia="Arial" w:hAnsi="Arial" w:cs="Arial"/>
                <w:sz w:val="20"/>
                <w:szCs w:val="20"/>
              </w:rPr>
              <w:t>150</w:t>
            </w:r>
          </w:p>
        </w:tc>
        <w:tc>
          <w:tcPr>
            <w:tcW w:w="1287" w:type="dxa"/>
            <w:tcBorders>
              <w:bottom w:val="single" w:sz="4" w:space="0" w:color="000000"/>
            </w:tcBorders>
            <w:vAlign w:val="center"/>
          </w:tcPr>
          <w:p w:rsidR="00704449" w:rsidRDefault="00704449">
            <w:pPr>
              <w:jc w:val="center"/>
              <w:rPr>
                <w:rFonts w:ascii="Arial" w:eastAsia="Arial" w:hAnsi="Arial" w:cs="Arial"/>
                <w:sz w:val="20"/>
                <w:szCs w:val="20"/>
              </w:rPr>
            </w:pPr>
          </w:p>
        </w:tc>
        <w:tc>
          <w:tcPr>
            <w:tcW w:w="1442" w:type="dxa"/>
            <w:tcBorders>
              <w:bottom w:val="single" w:sz="4" w:space="0" w:color="000000"/>
            </w:tcBorders>
            <w:vAlign w:val="center"/>
          </w:tcPr>
          <w:p w:rsidR="00704449" w:rsidRDefault="00704449">
            <w:pPr>
              <w:jc w:val="center"/>
              <w:rPr>
                <w:rFonts w:ascii="Arial" w:eastAsia="Arial" w:hAnsi="Arial" w:cs="Arial"/>
                <w:sz w:val="20"/>
                <w:szCs w:val="20"/>
              </w:rPr>
            </w:pPr>
          </w:p>
        </w:tc>
        <w:tc>
          <w:tcPr>
            <w:tcW w:w="538" w:type="dxa"/>
            <w:tcBorders>
              <w:bottom w:val="single" w:sz="4" w:space="0" w:color="000000"/>
            </w:tcBorders>
            <w:vAlign w:val="center"/>
          </w:tcPr>
          <w:p w:rsidR="00704449" w:rsidRDefault="00704449">
            <w:pPr>
              <w:jc w:val="center"/>
              <w:rPr>
                <w:rFonts w:ascii="Arial" w:eastAsia="Arial" w:hAnsi="Arial" w:cs="Arial"/>
                <w:sz w:val="20"/>
                <w:szCs w:val="20"/>
              </w:rPr>
            </w:pPr>
          </w:p>
        </w:tc>
        <w:tc>
          <w:tcPr>
            <w:tcW w:w="1617" w:type="dxa"/>
            <w:tcBorders>
              <w:bottom w:val="single" w:sz="4" w:space="0" w:color="000000"/>
            </w:tcBorders>
            <w:vAlign w:val="center"/>
          </w:tcPr>
          <w:p w:rsidR="00704449" w:rsidRDefault="00704449">
            <w:pPr>
              <w:jc w:val="center"/>
              <w:rPr>
                <w:rFonts w:ascii="Arial" w:eastAsia="Arial" w:hAnsi="Arial" w:cs="Arial"/>
                <w:sz w:val="20"/>
                <w:szCs w:val="20"/>
              </w:rPr>
            </w:pPr>
          </w:p>
        </w:tc>
      </w:tr>
      <w:tr w:rsidR="00704449">
        <w:tc>
          <w:tcPr>
            <w:tcW w:w="1712" w:type="dxa"/>
            <w:vMerge w:val="restart"/>
            <w:tcBorders>
              <w:top w:val="single" w:sz="4" w:space="0" w:color="000000"/>
            </w:tcBorders>
            <w:vAlign w:val="center"/>
          </w:tcPr>
          <w:p w:rsidR="00704449" w:rsidRDefault="0090383F">
            <w:pPr>
              <w:jc w:val="center"/>
              <w:rPr>
                <w:rFonts w:ascii="Arial" w:eastAsia="Arial" w:hAnsi="Arial" w:cs="Arial"/>
                <w:b/>
                <w:sz w:val="20"/>
                <w:szCs w:val="20"/>
              </w:rPr>
            </w:pPr>
            <w:r>
              <w:rPr>
                <w:rFonts w:ascii="Arial" w:eastAsia="Arial" w:hAnsi="Arial" w:cs="Arial"/>
                <w:b/>
                <w:sz w:val="20"/>
                <w:szCs w:val="20"/>
              </w:rPr>
              <w:t>Confidence</w:t>
            </w:r>
          </w:p>
        </w:tc>
        <w:tc>
          <w:tcPr>
            <w:tcW w:w="2341" w:type="dxa"/>
            <w:tcBorders>
              <w:top w:val="single" w:sz="4" w:space="0" w:color="000000"/>
            </w:tcBorders>
            <w:vAlign w:val="center"/>
          </w:tcPr>
          <w:p w:rsidR="00704449" w:rsidRDefault="0090383F">
            <w:pPr>
              <w:rPr>
                <w:rFonts w:ascii="Arial" w:eastAsia="Arial" w:hAnsi="Arial" w:cs="Arial"/>
                <w:sz w:val="20"/>
                <w:szCs w:val="20"/>
              </w:rPr>
            </w:pPr>
            <w:r>
              <w:rPr>
                <w:rFonts w:ascii="Arial" w:eastAsia="Arial" w:hAnsi="Arial" w:cs="Arial"/>
                <w:sz w:val="20"/>
                <w:szCs w:val="20"/>
              </w:rPr>
              <w:t>3-5 years</w:t>
            </w:r>
          </w:p>
        </w:tc>
        <w:tc>
          <w:tcPr>
            <w:tcW w:w="783" w:type="dxa"/>
            <w:tcBorders>
              <w:top w:val="single" w:sz="4" w:space="0" w:color="000000"/>
            </w:tcBorders>
            <w:vAlign w:val="center"/>
          </w:tcPr>
          <w:p w:rsidR="00704449" w:rsidRDefault="0090383F">
            <w:pPr>
              <w:jc w:val="center"/>
              <w:rPr>
                <w:rFonts w:ascii="Arial" w:eastAsia="Arial" w:hAnsi="Arial" w:cs="Arial"/>
                <w:sz w:val="20"/>
                <w:szCs w:val="20"/>
              </w:rPr>
            </w:pPr>
            <w:r>
              <w:rPr>
                <w:rFonts w:ascii="Arial" w:eastAsia="Arial" w:hAnsi="Arial" w:cs="Arial"/>
                <w:sz w:val="20"/>
                <w:szCs w:val="20"/>
              </w:rPr>
              <w:t>37</w:t>
            </w:r>
          </w:p>
        </w:tc>
        <w:tc>
          <w:tcPr>
            <w:tcW w:w="1287" w:type="dxa"/>
            <w:tcBorders>
              <w:top w:val="single" w:sz="4" w:space="0" w:color="000000"/>
            </w:tcBorders>
            <w:vAlign w:val="center"/>
          </w:tcPr>
          <w:p w:rsidR="00704449" w:rsidRDefault="0090383F">
            <w:pPr>
              <w:jc w:val="center"/>
              <w:rPr>
                <w:rFonts w:ascii="Arial" w:eastAsia="Arial" w:hAnsi="Arial" w:cs="Arial"/>
                <w:sz w:val="20"/>
                <w:szCs w:val="20"/>
              </w:rPr>
            </w:pPr>
            <w:r>
              <w:rPr>
                <w:rFonts w:ascii="Arial" w:eastAsia="Arial" w:hAnsi="Arial" w:cs="Arial"/>
                <w:sz w:val="20"/>
                <w:szCs w:val="20"/>
              </w:rPr>
              <w:t>65.22</w:t>
            </w:r>
          </w:p>
        </w:tc>
        <w:tc>
          <w:tcPr>
            <w:tcW w:w="1442" w:type="dxa"/>
            <w:tcBorders>
              <w:top w:val="single" w:sz="4" w:space="0" w:color="000000"/>
            </w:tcBorders>
            <w:vAlign w:val="center"/>
          </w:tcPr>
          <w:p w:rsidR="00704449" w:rsidRDefault="0090383F">
            <w:pPr>
              <w:jc w:val="center"/>
              <w:rPr>
                <w:rFonts w:ascii="Arial" w:eastAsia="Arial" w:hAnsi="Arial" w:cs="Arial"/>
                <w:sz w:val="20"/>
                <w:szCs w:val="20"/>
              </w:rPr>
            </w:pPr>
            <w:r>
              <w:rPr>
                <w:rFonts w:ascii="Arial" w:eastAsia="Arial" w:hAnsi="Arial" w:cs="Arial"/>
                <w:sz w:val="20"/>
                <w:szCs w:val="20"/>
              </w:rPr>
              <w:t>2.851</w:t>
            </w:r>
          </w:p>
        </w:tc>
        <w:tc>
          <w:tcPr>
            <w:tcW w:w="538" w:type="dxa"/>
            <w:tcBorders>
              <w:top w:val="single" w:sz="4" w:space="0" w:color="000000"/>
            </w:tcBorders>
            <w:vAlign w:val="center"/>
          </w:tcPr>
          <w:p w:rsidR="00704449" w:rsidRDefault="0090383F">
            <w:pPr>
              <w:jc w:val="center"/>
              <w:rPr>
                <w:rFonts w:ascii="Arial" w:eastAsia="Arial" w:hAnsi="Arial" w:cs="Arial"/>
                <w:sz w:val="20"/>
                <w:szCs w:val="20"/>
              </w:rPr>
            </w:pPr>
            <w:r>
              <w:rPr>
                <w:rFonts w:ascii="Arial" w:eastAsia="Arial" w:hAnsi="Arial" w:cs="Arial"/>
                <w:sz w:val="20"/>
                <w:szCs w:val="20"/>
              </w:rPr>
              <w:t>2</w:t>
            </w:r>
          </w:p>
        </w:tc>
        <w:tc>
          <w:tcPr>
            <w:tcW w:w="1617" w:type="dxa"/>
            <w:tcBorders>
              <w:top w:val="single" w:sz="4" w:space="0" w:color="000000"/>
            </w:tcBorders>
            <w:vAlign w:val="center"/>
          </w:tcPr>
          <w:p w:rsidR="00704449" w:rsidRDefault="0090383F">
            <w:pPr>
              <w:jc w:val="center"/>
              <w:rPr>
                <w:rFonts w:ascii="Arial" w:eastAsia="Arial" w:hAnsi="Arial" w:cs="Arial"/>
                <w:sz w:val="20"/>
                <w:szCs w:val="20"/>
              </w:rPr>
            </w:pPr>
            <w:r>
              <w:rPr>
                <w:rFonts w:ascii="Arial" w:eastAsia="Arial" w:hAnsi="Arial" w:cs="Arial"/>
                <w:sz w:val="20"/>
                <w:szCs w:val="20"/>
              </w:rPr>
              <w:t>0.24</w:t>
            </w:r>
          </w:p>
        </w:tc>
      </w:tr>
      <w:tr w:rsidR="00704449">
        <w:tc>
          <w:tcPr>
            <w:tcW w:w="1712" w:type="dxa"/>
            <w:vMerge/>
            <w:tcBorders>
              <w:top w:val="single" w:sz="4" w:space="0" w:color="000000"/>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2341" w:type="dxa"/>
            <w:vAlign w:val="center"/>
          </w:tcPr>
          <w:p w:rsidR="00704449" w:rsidRDefault="0090383F">
            <w:pPr>
              <w:rPr>
                <w:rFonts w:ascii="Arial" w:eastAsia="Arial" w:hAnsi="Arial" w:cs="Arial"/>
                <w:sz w:val="20"/>
                <w:szCs w:val="20"/>
              </w:rPr>
            </w:pPr>
            <w:r>
              <w:rPr>
                <w:rFonts w:ascii="Arial" w:eastAsia="Arial" w:hAnsi="Arial" w:cs="Arial"/>
                <w:sz w:val="20"/>
                <w:szCs w:val="20"/>
              </w:rPr>
              <w:t>6-10 years</w:t>
            </w:r>
          </w:p>
        </w:tc>
        <w:tc>
          <w:tcPr>
            <w:tcW w:w="783" w:type="dxa"/>
            <w:vAlign w:val="center"/>
          </w:tcPr>
          <w:p w:rsidR="00704449" w:rsidRDefault="0090383F">
            <w:pPr>
              <w:jc w:val="center"/>
              <w:rPr>
                <w:rFonts w:ascii="Arial" w:eastAsia="Arial" w:hAnsi="Arial" w:cs="Arial"/>
                <w:sz w:val="20"/>
                <w:szCs w:val="20"/>
              </w:rPr>
            </w:pPr>
            <w:r>
              <w:rPr>
                <w:rFonts w:ascii="Arial" w:eastAsia="Arial" w:hAnsi="Arial" w:cs="Arial"/>
                <w:sz w:val="20"/>
                <w:szCs w:val="20"/>
              </w:rPr>
              <w:t>47</w:t>
            </w:r>
          </w:p>
        </w:tc>
        <w:tc>
          <w:tcPr>
            <w:tcW w:w="1287" w:type="dxa"/>
            <w:vAlign w:val="center"/>
          </w:tcPr>
          <w:p w:rsidR="00704449" w:rsidRDefault="0090383F">
            <w:pPr>
              <w:jc w:val="center"/>
              <w:rPr>
                <w:rFonts w:ascii="Arial" w:eastAsia="Arial" w:hAnsi="Arial" w:cs="Arial"/>
                <w:sz w:val="20"/>
                <w:szCs w:val="20"/>
              </w:rPr>
            </w:pPr>
            <w:r>
              <w:rPr>
                <w:rFonts w:ascii="Arial" w:eastAsia="Arial" w:hAnsi="Arial" w:cs="Arial"/>
                <w:sz w:val="20"/>
                <w:szCs w:val="20"/>
              </w:rPr>
              <w:t>77.9</w:t>
            </w:r>
          </w:p>
        </w:tc>
        <w:tc>
          <w:tcPr>
            <w:tcW w:w="1442" w:type="dxa"/>
            <w:vAlign w:val="center"/>
          </w:tcPr>
          <w:p w:rsidR="00704449" w:rsidRDefault="00704449">
            <w:pPr>
              <w:jc w:val="center"/>
              <w:rPr>
                <w:rFonts w:ascii="Arial" w:eastAsia="Arial" w:hAnsi="Arial" w:cs="Arial"/>
                <w:sz w:val="20"/>
                <w:szCs w:val="20"/>
              </w:rPr>
            </w:pPr>
          </w:p>
        </w:tc>
        <w:tc>
          <w:tcPr>
            <w:tcW w:w="538" w:type="dxa"/>
            <w:vAlign w:val="center"/>
          </w:tcPr>
          <w:p w:rsidR="00704449" w:rsidRDefault="00704449">
            <w:pPr>
              <w:jc w:val="center"/>
              <w:rPr>
                <w:rFonts w:ascii="Arial" w:eastAsia="Arial" w:hAnsi="Arial" w:cs="Arial"/>
                <w:sz w:val="20"/>
                <w:szCs w:val="20"/>
              </w:rPr>
            </w:pPr>
          </w:p>
        </w:tc>
        <w:tc>
          <w:tcPr>
            <w:tcW w:w="1617" w:type="dxa"/>
            <w:vAlign w:val="center"/>
          </w:tcPr>
          <w:p w:rsidR="00704449" w:rsidRDefault="00704449">
            <w:pPr>
              <w:jc w:val="center"/>
              <w:rPr>
                <w:rFonts w:ascii="Arial" w:eastAsia="Arial" w:hAnsi="Arial" w:cs="Arial"/>
                <w:sz w:val="20"/>
                <w:szCs w:val="20"/>
              </w:rPr>
            </w:pPr>
          </w:p>
        </w:tc>
      </w:tr>
      <w:tr w:rsidR="00704449">
        <w:tc>
          <w:tcPr>
            <w:tcW w:w="1712" w:type="dxa"/>
            <w:vMerge/>
            <w:tcBorders>
              <w:top w:val="single" w:sz="4" w:space="0" w:color="000000"/>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2341" w:type="dxa"/>
            <w:vAlign w:val="center"/>
          </w:tcPr>
          <w:p w:rsidR="00704449" w:rsidRDefault="0090383F">
            <w:pPr>
              <w:rPr>
                <w:rFonts w:ascii="Arial" w:eastAsia="Arial" w:hAnsi="Arial" w:cs="Arial"/>
                <w:sz w:val="20"/>
                <w:szCs w:val="20"/>
              </w:rPr>
            </w:pPr>
            <w:r>
              <w:rPr>
                <w:rFonts w:ascii="Arial" w:eastAsia="Arial" w:hAnsi="Arial" w:cs="Arial"/>
                <w:sz w:val="20"/>
                <w:szCs w:val="20"/>
              </w:rPr>
              <w:t>More than 12 years</w:t>
            </w:r>
          </w:p>
        </w:tc>
        <w:tc>
          <w:tcPr>
            <w:tcW w:w="783" w:type="dxa"/>
            <w:vAlign w:val="center"/>
          </w:tcPr>
          <w:p w:rsidR="00704449" w:rsidRDefault="0090383F">
            <w:pPr>
              <w:jc w:val="center"/>
              <w:rPr>
                <w:rFonts w:ascii="Arial" w:eastAsia="Arial" w:hAnsi="Arial" w:cs="Arial"/>
                <w:sz w:val="20"/>
                <w:szCs w:val="20"/>
              </w:rPr>
            </w:pPr>
            <w:r>
              <w:rPr>
                <w:rFonts w:ascii="Arial" w:eastAsia="Arial" w:hAnsi="Arial" w:cs="Arial"/>
                <w:sz w:val="20"/>
                <w:szCs w:val="20"/>
              </w:rPr>
              <w:t>66</w:t>
            </w:r>
          </w:p>
        </w:tc>
        <w:tc>
          <w:tcPr>
            <w:tcW w:w="1287" w:type="dxa"/>
            <w:vAlign w:val="center"/>
          </w:tcPr>
          <w:p w:rsidR="00704449" w:rsidRDefault="0090383F">
            <w:pPr>
              <w:jc w:val="center"/>
              <w:rPr>
                <w:rFonts w:ascii="Arial" w:eastAsia="Arial" w:hAnsi="Arial" w:cs="Arial"/>
                <w:sz w:val="20"/>
                <w:szCs w:val="20"/>
              </w:rPr>
            </w:pPr>
            <w:r>
              <w:rPr>
                <w:rFonts w:ascii="Arial" w:eastAsia="Arial" w:hAnsi="Arial" w:cs="Arial"/>
                <w:sz w:val="20"/>
                <w:szCs w:val="20"/>
              </w:rPr>
              <w:t>79.55</w:t>
            </w:r>
          </w:p>
        </w:tc>
        <w:tc>
          <w:tcPr>
            <w:tcW w:w="1442" w:type="dxa"/>
            <w:vAlign w:val="center"/>
          </w:tcPr>
          <w:p w:rsidR="00704449" w:rsidRDefault="00704449">
            <w:pPr>
              <w:jc w:val="center"/>
              <w:rPr>
                <w:rFonts w:ascii="Arial" w:eastAsia="Arial" w:hAnsi="Arial" w:cs="Arial"/>
                <w:sz w:val="20"/>
                <w:szCs w:val="20"/>
              </w:rPr>
            </w:pPr>
          </w:p>
        </w:tc>
        <w:tc>
          <w:tcPr>
            <w:tcW w:w="538" w:type="dxa"/>
            <w:vAlign w:val="center"/>
          </w:tcPr>
          <w:p w:rsidR="00704449" w:rsidRDefault="00704449">
            <w:pPr>
              <w:jc w:val="center"/>
              <w:rPr>
                <w:rFonts w:ascii="Arial" w:eastAsia="Arial" w:hAnsi="Arial" w:cs="Arial"/>
                <w:sz w:val="20"/>
                <w:szCs w:val="20"/>
              </w:rPr>
            </w:pPr>
          </w:p>
        </w:tc>
        <w:tc>
          <w:tcPr>
            <w:tcW w:w="1617" w:type="dxa"/>
            <w:vAlign w:val="center"/>
          </w:tcPr>
          <w:p w:rsidR="00704449" w:rsidRDefault="00704449">
            <w:pPr>
              <w:jc w:val="center"/>
              <w:rPr>
                <w:rFonts w:ascii="Arial" w:eastAsia="Arial" w:hAnsi="Arial" w:cs="Arial"/>
                <w:sz w:val="20"/>
                <w:szCs w:val="20"/>
              </w:rPr>
            </w:pPr>
          </w:p>
        </w:tc>
      </w:tr>
      <w:tr w:rsidR="00704449">
        <w:tc>
          <w:tcPr>
            <w:tcW w:w="1712" w:type="dxa"/>
            <w:vMerge/>
            <w:tcBorders>
              <w:top w:val="single" w:sz="4" w:space="0" w:color="000000"/>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2341" w:type="dxa"/>
            <w:tcBorders>
              <w:bottom w:val="single" w:sz="4" w:space="0" w:color="000000"/>
            </w:tcBorders>
            <w:vAlign w:val="center"/>
          </w:tcPr>
          <w:p w:rsidR="00704449" w:rsidRDefault="0090383F">
            <w:pPr>
              <w:rPr>
                <w:rFonts w:ascii="Arial" w:eastAsia="Arial" w:hAnsi="Arial" w:cs="Arial"/>
                <w:sz w:val="20"/>
                <w:szCs w:val="20"/>
              </w:rPr>
            </w:pPr>
            <w:r>
              <w:rPr>
                <w:rFonts w:ascii="Arial" w:eastAsia="Arial" w:hAnsi="Arial" w:cs="Arial"/>
                <w:sz w:val="20"/>
                <w:szCs w:val="20"/>
              </w:rPr>
              <w:t>Total</w:t>
            </w:r>
          </w:p>
        </w:tc>
        <w:tc>
          <w:tcPr>
            <w:tcW w:w="783" w:type="dxa"/>
            <w:tcBorders>
              <w:bottom w:val="single" w:sz="4" w:space="0" w:color="000000"/>
            </w:tcBorders>
            <w:vAlign w:val="center"/>
          </w:tcPr>
          <w:p w:rsidR="00704449" w:rsidRDefault="0090383F">
            <w:pPr>
              <w:jc w:val="center"/>
              <w:rPr>
                <w:rFonts w:ascii="Arial" w:eastAsia="Arial" w:hAnsi="Arial" w:cs="Arial"/>
                <w:sz w:val="20"/>
                <w:szCs w:val="20"/>
              </w:rPr>
            </w:pPr>
            <w:r>
              <w:rPr>
                <w:rFonts w:ascii="Arial" w:eastAsia="Arial" w:hAnsi="Arial" w:cs="Arial"/>
                <w:sz w:val="20"/>
                <w:szCs w:val="20"/>
              </w:rPr>
              <w:t>150</w:t>
            </w:r>
          </w:p>
        </w:tc>
        <w:tc>
          <w:tcPr>
            <w:tcW w:w="1287" w:type="dxa"/>
            <w:tcBorders>
              <w:bottom w:val="single" w:sz="4" w:space="0" w:color="000000"/>
            </w:tcBorders>
            <w:vAlign w:val="center"/>
          </w:tcPr>
          <w:p w:rsidR="00704449" w:rsidRDefault="00704449">
            <w:pPr>
              <w:jc w:val="center"/>
              <w:rPr>
                <w:rFonts w:ascii="Arial" w:eastAsia="Arial" w:hAnsi="Arial" w:cs="Arial"/>
                <w:sz w:val="20"/>
                <w:szCs w:val="20"/>
              </w:rPr>
            </w:pPr>
          </w:p>
        </w:tc>
        <w:tc>
          <w:tcPr>
            <w:tcW w:w="1442" w:type="dxa"/>
            <w:tcBorders>
              <w:bottom w:val="single" w:sz="4" w:space="0" w:color="000000"/>
            </w:tcBorders>
            <w:vAlign w:val="center"/>
          </w:tcPr>
          <w:p w:rsidR="00704449" w:rsidRDefault="00704449">
            <w:pPr>
              <w:jc w:val="center"/>
              <w:rPr>
                <w:rFonts w:ascii="Arial" w:eastAsia="Arial" w:hAnsi="Arial" w:cs="Arial"/>
                <w:sz w:val="20"/>
                <w:szCs w:val="20"/>
              </w:rPr>
            </w:pPr>
          </w:p>
        </w:tc>
        <w:tc>
          <w:tcPr>
            <w:tcW w:w="538" w:type="dxa"/>
            <w:tcBorders>
              <w:bottom w:val="single" w:sz="4" w:space="0" w:color="000000"/>
            </w:tcBorders>
            <w:vAlign w:val="center"/>
          </w:tcPr>
          <w:p w:rsidR="00704449" w:rsidRDefault="00704449">
            <w:pPr>
              <w:jc w:val="center"/>
              <w:rPr>
                <w:rFonts w:ascii="Arial" w:eastAsia="Arial" w:hAnsi="Arial" w:cs="Arial"/>
                <w:sz w:val="20"/>
                <w:szCs w:val="20"/>
              </w:rPr>
            </w:pPr>
          </w:p>
        </w:tc>
        <w:tc>
          <w:tcPr>
            <w:tcW w:w="1617" w:type="dxa"/>
            <w:tcBorders>
              <w:bottom w:val="single" w:sz="4" w:space="0" w:color="000000"/>
            </w:tcBorders>
            <w:vAlign w:val="center"/>
          </w:tcPr>
          <w:p w:rsidR="00704449" w:rsidRDefault="00704449">
            <w:pPr>
              <w:jc w:val="center"/>
              <w:rPr>
                <w:rFonts w:ascii="Arial" w:eastAsia="Arial" w:hAnsi="Arial" w:cs="Arial"/>
                <w:sz w:val="20"/>
                <w:szCs w:val="20"/>
              </w:rPr>
            </w:pPr>
          </w:p>
        </w:tc>
      </w:tr>
      <w:tr w:rsidR="00704449">
        <w:tc>
          <w:tcPr>
            <w:tcW w:w="1712" w:type="dxa"/>
            <w:vMerge w:val="restart"/>
            <w:tcBorders>
              <w:top w:val="single" w:sz="4" w:space="0" w:color="000000"/>
            </w:tcBorders>
            <w:vAlign w:val="center"/>
          </w:tcPr>
          <w:p w:rsidR="00704449" w:rsidRDefault="00704449">
            <w:pPr>
              <w:jc w:val="center"/>
              <w:rPr>
                <w:rFonts w:ascii="Arial" w:eastAsia="Arial" w:hAnsi="Arial" w:cs="Arial"/>
                <w:b/>
                <w:sz w:val="20"/>
                <w:szCs w:val="20"/>
              </w:rPr>
            </w:pPr>
          </w:p>
          <w:p w:rsidR="00704449" w:rsidRDefault="0090383F">
            <w:pPr>
              <w:jc w:val="center"/>
              <w:rPr>
                <w:rFonts w:ascii="Arial" w:eastAsia="Arial" w:hAnsi="Arial" w:cs="Arial"/>
                <w:b/>
                <w:sz w:val="20"/>
                <w:szCs w:val="20"/>
              </w:rPr>
            </w:pPr>
            <w:r>
              <w:rPr>
                <w:rFonts w:ascii="Arial" w:eastAsia="Arial" w:hAnsi="Arial" w:cs="Arial"/>
                <w:b/>
                <w:sz w:val="20"/>
                <w:szCs w:val="20"/>
              </w:rPr>
              <w:t>Overall</w:t>
            </w:r>
          </w:p>
        </w:tc>
        <w:tc>
          <w:tcPr>
            <w:tcW w:w="2341" w:type="dxa"/>
            <w:tcBorders>
              <w:top w:val="single" w:sz="4" w:space="0" w:color="000000"/>
            </w:tcBorders>
            <w:vAlign w:val="center"/>
          </w:tcPr>
          <w:p w:rsidR="00704449" w:rsidRDefault="0090383F">
            <w:pPr>
              <w:rPr>
                <w:rFonts w:ascii="Arial" w:eastAsia="Arial" w:hAnsi="Arial" w:cs="Arial"/>
                <w:sz w:val="20"/>
                <w:szCs w:val="20"/>
              </w:rPr>
            </w:pPr>
            <w:r>
              <w:rPr>
                <w:rFonts w:ascii="Arial" w:eastAsia="Arial" w:hAnsi="Arial" w:cs="Arial"/>
                <w:sz w:val="20"/>
                <w:szCs w:val="20"/>
              </w:rPr>
              <w:t>3-5 years</w:t>
            </w:r>
          </w:p>
        </w:tc>
        <w:tc>
          <w:tcPr>
            <w:tcW w:w="783" w:type="dxa"/>
            <w:tcBorders>
              <w:top w:val="single" w:sz="4" w:space="0" w:color="000000"/>
            </w:tcBorders>
            <w:vAlign w:val="center"/>
          </w:tcPr>
          <w:p w:rsidR="00704449" w:rsidRDefault="0090383F">
            <w:pPr>
              <w:jc w:val="center"/>
              <w:rPr>
                <w:rFonts w:ascii="Arial" w:eastAsia="Arial" w:hAnsi="Arial" w:cs="Arial"/>
                <w:sz w:val="20"/>
                <w:szCs w:val="20"/>
              </w:rPr>
            </w:pPr>
            <w:r>
              <w:rPr>
                <w:rFonts w:ascii="Arial" w:eastAsia="Arial" w:hAnsi="Arial" w:cs="Arial"/>
                <w:sz w:val="20"/>
                <w:szCs w:val="20"/>
              </w:rPr>
              <w:t>37</w:t>
            </w:r>
          </w:p>
        </w:tc>
        <w:tc>
          <w:tcPr>
            <w:tcW w:w="1287" w:type="dxa"/>
            <w:tcBorders>
              <w:top w:val="single" w:sz="4" w:space="0" w:color="000000"/>
            </w:tcBorders>
            <w:vAlign w:val="center"/>
          </w:tcPr>
          <w:p w:rsidR="00704449" w:rsidRDefault="0090383F">
            <w:pPr>
              <w:jc w:val="center"/>
              <w:rPr>
                <w:rFonts w:ascii="Arial" w:eastAsia="Arial" w:hAnsi="Arial" w:cs="Arial"/>
                <w:sz w:val="20"/>
                <w:szCs w:val="20"/>
              </w:rPr>
            </w:pPr>
            <w:r>
              <w:rPr>
                <w:rFonts w:ascii="Arial" w:eastAsia="Arial" w:hAnsi="Arial" w:cs="Arial"/>
                <w:sz w:val="20"/>
                <w:szCs w:val="20"/>
              </w:rPr>
              <w:t>70.41</w:t>
            </w:r>
          </w:p>
        </w:tc>
        <w:tc>
          <w:tcPr>
            <w:tcW w:w="1442" w:type="dxa"/>
            <w:tcBorders>
              <w:top w:val="single" w:sz="4" w:space="0" w:color="000000"/>
            </w:tcBorders>
            <w:vAlign w:val="center"/>
          </w:tcPr>
          <w:p w:rsidR="00704449" w:rsidRDefault="0090383F">
            <w:pPr>
              <w:jc w:val="center"/>
              <w:rPr>
                <w:rFonts w:ascii="Arial" w:eastAsia="Arial" w:hAnsi="Arial" w:cs="Arial"/>
                <w:sz w:val="20"/>
                <w:szCs w:val="20"/>
              </w:rPr>
            </w:pPr>
            <w:r>
              <w:rPr>
                <w:rFonts w:ascii="Arial" w:eastAsia="Arial" w:hAnsi="Arial" w:cs="Arial"/>
                <w:sz w:val="20"/>
                <w:szCs w:val="20"/>
              </w:rPr>
              <w:t>1.552</w:t>
            </w:r>
          </w:p>
        </w:tc>
        <w:tc>
          <w:tcPr>
            <w:tcW w:w="538" w:type="dxa"/>
            <w:tcBorders>
              <w:top w:val="single" w:sz="4" w:space="0" w:color="000000"/>
            </w:tcBorders>
            <w:vAlign w:val="center"/>
          </w:tcPr>
          <w:p w:rsidR="00704449" w:rsidRDefault="0090383F">
            <w:pPr>
              <w:jc w:val="center"/>
              <w:rPr>
                <w:rFonts w:ascii="Arial" w:eastAsia="Arial" w:hAnsi="Arial" w:cs="Arial"/>
                <w:sz w:val="20"/>
                <w:szCs w:val="20"/>
              </w:rPr>
            </w:pPr>
            <w:r>
              <w:rPr>
                <w:rFonts w:ascii="Arial" w:eastAsia="Arial" w:hAnsi="Arial" w:cs="Arial"/>
                <w:sz w:val="20"/>
                <w:szCs w:val="20"/>
              </w:rPr>
              <w:t>2</w:t>
            </w:r>
          </w:p>
        </w:tc>
        <w:tc>
          <w:tcPr>
            <w:tcW w:w="1617" w:type="dxa"/>
            <w:tcBorders>
              <w:top w:val="single" w:sz="4" w:space="0" w:color="000000"/>
            </w:tcBorders>
            <w:vAlign w:val="center"/>
          </w:tcPr>
          <w:p w:rsidR="00704449" w:rsidRDefault="0090383F">
            <w:pPr>
              <w:jc w:val="center"/>
              <w:rPr>
                <w:rFonts w:ascii="Arial" w:eastAsia="Arial" w:hAnsi="Arial" w:cs="Arial"/>
                <w:sz w:val="20"/>
                <w:szCs w:val="20"/>
              </w:rPr>
            </w:pPr>
            <w:r>
              <w:rPr>
                <w:rFonts w:ascii="Arial" w:eastAsia="Arial" w:hAnsi="Arial" w:cs="Arial"/>
                <w:sz w:val="20"/>
                <w:szCs w:val="20"/>
              </w:rPr>
              <w:t>0.46</w:t>
            </w:r>
          </w:p>
        </w:tc>
      </w:tr>
      <w:tr w:rsidR="00704449">
        <w:tc>
          <w:tcPr>
            <w:tcW w:w="1712" w:type="dxa"/>
            <w:vMerge/>
            <w:tcBorders>
              <w:top w:val="single" w:sz="4" w:space="0" w:color="000000"/>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2341" w:type="dxa"/>
            <w:vAlign w:val="center"/>
          </w:tcPr>
          <w:p w:rsidR="00704449" w:rsidRDefault="0090383F">
            <w:pPr>
              <w:rPr>
                <w:rFonts w:ascii="Arial" w:eastAsia="Arial" w:hAnsi="Arial" w:cs="Arial"/>
                <w:sz w:val="20"/>
                <w:szCs w:val="20"/>
              </w:rPr>
            </w:pPr>
            <w:r>
              <w:rPr>
                <w:rFonts w:ascii="Arial" w:eastAsia="Arial" w:hAnsi="Arial" w:cs="Arial"/>
                <w:sz w:val="20"/>
                <w:szCs w:val="20"/>
              </w:rPr>
              <w:t>6-10 years</w:t>
            </w:r>
          </w:p>
        </w:tc>
        <w:tc>
          <w:tcPr>
            <w:tcW w:w="783" w:type="dxa"/>
            <w:vAlign w:val="center"/>
          </w:tcPr>
          <w:p w:rsidR="00704449" w:rsidRDefault="0090383F">
            <w:pPr>
              <w:jc w:val="center"/>
              <w:rPr>
                <w:rFonts w:ascii="Arial" w:eastAsia="Arial" w:hAnsi="Arial" w:cs="Arial"/>
                <w:sz w:val="20"/>
                <w:szCs w:val="20"/>
              </w:rPr>
            </w:pPr>
            <w:r>
              <w:rPr>
                <w:rFonts w:ascii="Arial" w:eastAsia="Arial" w:hAnsi="Arial" w:cs="Arial"/>
                <w:sz w:val="20"/>
                <w:szCs w:val="20"/>
              </w:rPr>
              <w:t>47</w:t>
            </w:r>
          </w:p>
        </w:tc>
        <w:tc>
          <w:tcPr>
            <w:tcW w:w="1287" w:type="dxa"/>
            <w:vAlign w:val="center"/>
          </w:tcPr>
          <w:p w:rsidR="00704449" w:rsidRDefault="0090383F">
            <w:pPr>
              <w:jc w:val="center"/>
              <w:rPr>
                <w:rFonts w:ascii="Arial" w:eastAsia="Arial" w:hAnsi="Arial" w:cs="Arial"/>
                <w:sz w:val="20"/>
                <w:szCs w:val="20"/>
              </w:rPr>
            </w:pPr>
            <w:r>
              <w:rPr>
                <w:rFonts w:ascii="Arial" w:eastAsia="Arial" w:hAnsi="Arial" w:cs="Arial"/>
                <w:sz w:val="20"/>
                <w:szCs w:val="20"/>
              </w:rPr>
              <w:t>72.64</w:t>
            </w:r>
          </w:p>
        </w:tc>
        <w:tc>
          <w:tcPr>
            <w:tcW w:w="1442" w:type="dxa"/>
            <w:vAlign w:val="center"/>
          </w:tcPr>
          <w:p w:rsidR="00704449" w:rsidRDefault="00704449">
            <w:pPr>
              <w:jc w:val="center"/>
              <w:rPr>
                <w:rFonts w:ascii="Arial" w:eastAsia="Arial" w:hAnsi="Arial" w:cs="Arial"/>
                <w:sz w:val="20"/>
                <w:szCs w:val="20"/>
              </w:rPr>
            </w:pPr>
          </w:p>
        </w:tc>
        <w:tc>
          <w:tcPr>
            <w:tcW w:w="538" w:type="dxa"/>
            <w:vAlign w:val="center"/>
          </w:tcPr>
          <w:p w:rsidR="00704449" w:rsidRDefault="00704449">
            <w:pPr>
              <w:jc w:val="center"/>
              <w:rPr>
                <w:rFonts w:ascii="Arial" w:eastAsia="Arial" w:hAnsi="Arial" w:cs="Arial"/>
                <w:sz w:val="20"/>
                <w:szCs w:val="20"/>
              </w:rPr>
            </w:pPr>
          </w:p>
        </w:tc>
        <w:tc>
          <w:tcPr>
            <w:tcW w:w="1617" w:type="dxa"/>
            <w:vAlign w:val="center"/>
          </w:tcPr>
          <w:p w:rsidR="00704449" w:rsidRDefault="00704449">
            <w:pPr>
              <w:jc w:val="center"/>
              <w:rPr>
                <w:rFonts w:ascii="Arial" w:eastAsia="Arial" w:hAnsi="Arial" w:cs="Arial"/>
                <w:sz w:val="20"/>
                <w:szCs w:val="20"/>
              </w:rPr>
            </w:pPr>
          </w:p>
        </w:tc>
      </w:tr>
      <w:tr w:rsidR="00704449">
        <w:tc>
          <w:tcPr>
            <w:tcW w:w="1712" w:type="dxa"/>
            <w:vMerge/>
            <w:tcBorders>
              <w:top w:val="single" w:sz="4" w:space="0" w:color="000000"/>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2341" w:type="dxa"/>
            <w:vAlign w:val="center"/>
          </w:tcPr>
          <w:p w:rsidR="00704449" w:rsidRDefault="0090383F">
            <w:pPr>
              <w:rPr>
                <w:rFonts w:ascii="Arial" w:eastAsia="Arial" w:hAnsi="Arial" w:cs="Arial"/>
                <w:sz w:val="20"/>
                <w:szCs w:val="20"/>
              </w:rPr>
            </w:pPr>
            <w:r>
              <w:rPr>
                <w:rFonts w:ascii="Arial" w:eastAsia="Arial" w:hAnsi="Arial" w:cs="Arial"/>
                <w:sz w:val="20"/>
                <w:szCs w:val="20"/>
              </w:rPr>
              <w:t>More than 12 years</w:t>
            </w:r>
          </w:p>
        </w:tc>
        <w:tc>
          <w:tcPr>
            <w:tcW w:w="783" w:type="dxa"/>
            <w:vAlign w:val="center"/>
          </w:tcPr>
          <w:p w:rsidR="00704449" w:rsidRDefault="0090383F">
            <w:pPr>
              <w:jc w:val="center"/>
              <w:rPr>
                <w:rFonts w:ascii="Arial" w:eastAsia="Arial" w:hAnsi="Arial" w:cs="Arial"/>
                <w:sz w:val="20"/>
                <w:szCs w:val="20"/>
              </w:rPr>
            </w:pPr>
            <w:r>
              <w:rPr>
                <w:rFonts w:ascii="Arial" w:eastAsia="Arial" w:hAnsi="Arial" w:cs="Arial"/>
                <w:sz w:val="20"/>
                <w:szCs w:val="20"/>
              </w:rPr>
              <w:t>66</w:t>
            </w:r>
          </w:p>
        </w:tc>
        <w:tc>
          <w:tcPr>
            <w:tcW w:w="1287" w:type="dxa"/>
            <w:vAlign w:val="center"/>
          </w:tcPr>
          <w:p w:rsidR="00704449" w:rsidRDefault="0090383F">
            <w:pPr>
              <w:jc w:val="center"/>
              <w:rPr>
                <w:rFonts w:ascii="Arial" w:eastAsia="Arial" w:hAnsi="Arial" w:cs="Arial"/>
                <w:sz w:val="20"/>
                <w:szCs w:val="20"/>
              </w:rPr>
            </w:pPr>
            <w:r>
              <w:rPr>
                <w:rFonts w:ascii="Arial" w:eastAsia="Arial" w:hAnsi="Arial" w:cs="Arial"/>
                <w:sz w:val="20"/>
                <w:szCs w:val="20"/>
              </w:rPr>
              <w:t>80.39</w:t>
            </w:r>
          </w:p>
        </w:tc>
        <w:tc>
          <w:tcPr>
            <w:tcW w:w="1442" w:type="dxa"/>
            <w:vAlign w:val="center"/>
          </w:tcPr>
          <w:p w:rsidR="00704449" w:rsidRDefault="00704449">
            <w:pPr>
              <w:jc w:val="center"/>
              <w:rPr>
                <w:rFonts w:ascii="Arial" w:eastAsia="Arial" w:hAnsi="Arial" w:cs="Arial"/>
                <w:sz w:val="20"/>
                <w:szCs w:val="20"/>
              </w:rPr>
            </w:pPr>
          </w:p>
        </w:tc>
        <w:tc>
          <w:tcPr>
            <w:tcW w:w="538" w:type="dxa"/>
            <w:vAlign w:val="center"/>
          </w:tcPr>
          <w:p w:rsidR="00704449" w:rsidRDefault="00704449">
            <w:pPr>
              <w:jc w:val="center"/>
              <w:rPr>
                <w:rFonts w:ascii="Arial" w:eastAsia="Arial" w:hAnsi="Arial" w:cs="Arial"/>
                <w:sz w:val="20"/>
                <w:szCs w:val="20"/>
              </w:rPr>
            </w:pPr>
          </w:p>
        </w:tc>
        <w:tc>
          <w:tcPr>
            <w:tcW w:w="1617" w:type="dxa"/>
            <w:vAlign w:val="center"/>
          </w:tcPr>
          <w:p w:rsidR="00704449" w:rsidRDefault="00704449">
            <w:pPr>
              <w:jc w:val="center"/>
              <w:rPr>
                <w:rFonts w:ascii="Arial" w:eastAsia="Arial" w:hAnsi="Arial" w:cs="Arial"/>
                <w:sz w:val="20"/>
                <w:szCs w:val="20"/>
              </w:rPr>
            </w:pPr>
          </w:p>
        </w:tc>
      </w:tr>
      <w:tr w:rsidR="00704449">
        <w:trPr>
          <w:trHeight w:val="65"/>
        </w:trPr>
        <w:tc>
          <w:tcPr>
            <w:tcW w:w="1712" w:type="dxa"/>
            <w:vMerge/>
            <w:tcBorders>
              <w:top w:val="single" w:sz="4" w:space="0" w:color="000000"/>
            </w:tcBorders>
            <w:vAlign w:val="center"/>
          </w:tcPr>
          <w:p w:rsidR="00704449" w:rsidRDefault="00704449">
            <w:pPr>
              <w:widowControl w:val="0"/>
              <w:pBdr>
                <w:top w:val="nil"/>
                <w:left w:val="nil"/>
                <w:bottom w:val="nil"/>
                <w:right w:val="nil"/>
                <w:between w:val="nil"/>
              </w:pBdr>
              <w:spacing w:line="276" w:lineRule="auto"/>
              <w:rPr>
                <w:rFonts w:ascii="Arial" w:eastAsia="Arial" w:hAnsi="Arial" w:cs="Arial"/>
                <w:sz w:val="20"/>
                <w:szCs w:val="20"/>
              </w:rPr>
            </w:pPr>
          </w:p>
        </w:tc>
        <w:tc>
          <w:tcPr>
            <w:tcW w:w="2341" w:type="dxa"/>
            <w:tcBorders>
              <w:bottom w:val="single" w:sz="4" w:space="0" w:color="000000"/>
            </w:tcBorders>
            <w:vAlign w:val="center"/>
          </w:tcPr>
          <w:p w:rsidR="00704449" w:rsidRDefault="0090383F">
            <w:pPr>
              <w:rPr>
                <w:rFonts w:ascii="Arial" w:eastAsia="Arial" w:hAnsi="Arial" w:cs="Arial"/>
                <w:sz w:val="20"/>
                <w:szCs w:val="20"/>
              </w:rPr>
            </w:pPr>
            <w:r>
              <w:rPr>
                <w:rFonts w:ascii="Arial" w:eastAsia="Arial" w:hAnsi="Arial" w:cs="Arial"/>
                <w:sz w:val="20"/>
                <w:szCs w:val="20"/>
              </w:rPr>
              <w:t>Total</w:t>
            </w:r>
          </w:p>
        </w:tc>
        <w:tc>
          <w:tcPr>
            <w:tcW w:w="783" w:type="dxa"/>
            <w:tcBorders>
              <w:bottom w:val="single" w:sz="4" w:space="0" w:color="000000"/>
            </w:tcBorders>
            <w:vAlign w:val="center"/>
          </w:tcPr>
          <w:p w:rsidR="00704449" w:rsidRDefault="0090383F">
            <w:pPr>
              <w:jc w:val="center"/>
              <w:rPr>
                <w:rFonts w:ascii="Arial" w:eastAsia="Arial" w:hAnsi="Arial" w:cs="Arial"/>
                <w:sz w:val="20"/>
                <w:szCs w:val="20"/>
              </w:rPr>
            </w:pPr>
            <w:r>
              <w:rPr>
                <w:rFonts w:ascii="Arial" w:eastAsia="Arial" w:hAnsi="Arial" w:cs="Arial"/>
                <w:sz w:val="20"/>
                <w:szCs w:val="20"/>
              </w:rPr>
              <w:t>150</w:t>
            </w:r>
          </w:p>
        </w:tc>
        <w:tc>
          <w:tcPr>
            <w:tcW w:w="1287" w:type="dxa"/>
            <w:tcBorders>
              <w:bottom w:val="single" w:sz="4" w:space="0" w:color="000000"/>
            </w:tcBorders>
            <w:vAlign w:val="center"/>
          </w:tcPr>
          <w:p w:rsidR="00704449" w:rsidRDefault="00704449">
            <w:pPr>
              <w:jc w:val="center"/>
              <w:rPr>
                <w:rFonts w:ascii="Arial" w:eastAsia="Arial" w:hAnsi="Arial" w:cs="Arial"/>
                <w:sz w:val="20"/>
                <w:szCs w:val="20"/>
              </w:rPr>
            </w:pPr>
          </w:p>
        </w:tc>
        <w:tc>
          <w:tcPr>
            <w:tcW w:w="1442" w:type="dxa"/>
            <w:tcBorders>
              <w:bottom w:val="single" w:sz="4" w:space="0" w:color="000000"/>
            </w:tcBorders>
            <w:vAlign w:val="center"/>
          </w:tcPr>
          <w:p w:rsidR="00704449" w:rsidRDefault="00704449">
            <w:pPr>
              <w:jc w:val="center"/>
              <w:rPr>
                <w:rFonts w:ascii="Arial" w:eastAsia="Arial" w:hAnsi="Arial" w:cs="Arial"/>
                <w:sz w:val="20"/>
                <w:szCs w:val="20"/>
              </w:rPr>
            </w:pPr>
          </w:p>
        </w:tc>
        <w:tc>
          <w:tcPr>
            <w:tcW w:w="538" w:type="dxa"/>
            <w:tcBorders>
              <w:bottom w:val="single" w:sz="4" w:space="0" w:color="000000"/>
            </w:tcBorders>
            <w:vAlign w:val="center"/>
          </w:tcPr>
          <w:p w:rsidR="00704449" w:rsidRDefault="00704449">
            <w:pPr>
              <w:jc w:val="center"/>
              <w:rPr>
                <w:rFonts w:ascii="Arial" w:eastAsia="Arial" w:hAnsi="Arial" w:cs="Arial"/>
                <w:sz w:val="20"/>
                <w:szCs w:val="20"/>
              </w:rPr>
            </w:pPr>
          </w:p>
        </w:tc>
        <w:tc>
          <w:tcPr>
            <w:tcW w:w="1617" w:type="dxa"/>
            <w:tcBorders>
              <w:bottom w:val="single" w:sz="4" w:space="0" w:color="000000"/>
            </w:tcBorders>
            <w:vAlign w:val="center"/>
          </w:tcPr>
          <w:p w:rsidR="00704449" w:rsidRDefault="00704449">
            <w:pPr>
              <w:jc w:val="center"/>
              <w:rPr>
                <w:rFonts w:ascii="Arial" w:eastAsia="Arial" w:hAnsi="Arial" w:cs="Arial"/>
                <w:sz w:val="20"/>
                <w:szCs w:val="20"/>
              </w:rPr>
            </w:pPr>
          </w:p>
        </w:tc>
      </w:tr>
    </w:tbl>
    <w:p w:rsidR="00704449" w:rsidRDefault="0090383F">
      <w:pPr>
        <w:spacing w:after="0" w:line="240" w:lineRule="auto"/>
        <w:ind w:left="-540"/>
        <w:jc w:val="both"/>
        <w:rPr>
          <w:rFonts w:ascii="Arial" w:eastAsia="Arial" w:hAnsi="Arial" w:cs="Arial"/>
          <w:sz w:val="20"/>
          <w:szCs w:val="20"/>
        </w:rPr>
        <w:sectPr w:rsidR="00704449">
          <w:type w:val="continuous"/>
          <w:pgSz w:w="12240" w:h="15840"/>
          <w:pgMar w:top="1440" w:right="2016" w:bottom="2016" w:left="2016" w:header="706" w:footer="706" w:gutter="0"/>
          <w:cols w:space="720"/>
        </w:sectPr>
      </w:pPr>
      <w:r>
        <w:rPr>
          <w:rFonts w:ascii="Arial" w:eastAsia="Arial" w:hAnsi="Arial" w:cs="Arial"/>
          <w:sz w:val="20"/>
          <w:szCs w:val="20"/>
        </w:rPr>
        <w:t>*p&lt;0.05</w:t>
      </w:r>
    </w:p>
    <w:p w:rsidR="00704449" w:rsidRDefault="00704449">
      <w:pPr>
        <w:spacing w:after="0" w:line="240" w:lineRule="auto"/>
        <w:jc w:val="both"/>
        <w:rPr>
          <w:rFonts w:ascii="Arial" w:eastAsia="Arial" w:hAnsi="Arial" w:cs="Arial"/>
          <w:sz w:val="20"/>
          <w:szCs w:val="20"/>
        </w:rPr>
        <w:sectPr w:rsidR="00704449">
          <w:type w:val="continuous"/>
          <w:pgSz w:w="12240" w:h="15840"/>
          <w:pgMar w:top="1440" w:right="2016" w:bottom="2016" w:left="2016" w:header="706" w:footer="706" w:gutter="0"/>
          <w:cols w:num="2" w:space="720" w:equalWidth="0">
            <w:col w:w="3750" w:space="708"/>
            <w:col w:w="3750"/>
          </w:cols>
        </w:sectPr>
      </w:pPr>
    </w:p>
    <w:p w:rsidR="00704449" w:rsidRDefault="0090383F">
      <w:pPr>
        <w:spacing w:after="0" w:line="240" w:lineRule="auto"/>
        <w:jc w:val="both"/>
        <w:rPr>
          <w:rFonts w:ascii="Arial" w:eastAsia="Arial" w:hAnsi="Arial" w:cs="Arial"/>
          <w:sz w:val="20"/>
          <w:szCs w:val="20"/>
        </w:rPr>
      </w:pPr>
      <w:r>
        <w:rPr>
          <w:rFonts w:ascii="Arial" w:eastAsia="Arial" w:hAnsi="Arial" w:cs="Arial"/>
          <w:sz w:val="20"/>
          <w:szCs w:val="20"/>
        </w:rPr>
        <w:t>Implementation support from external change agents was described as instrumentals in mainstreaming programmed contents beyond the classrooms and offices by addressing gender policies, providing gender training and seminars to teac</w:t>
      </w:r>
      <w:r>
        <w:rPr>
          <w:rFonts w:ascii="Arial" w:eastAsia="Arial" w:hAnsi="Arial" w:cs="Arial"/>
          <w:sz w:val="20"/>
          <w:szCs w:val="20"/>
        </w:rPr>
        <w:t>hers, and undertaking a gender focus Joyce et al. [62]; Kearney et al. [63]; Robertson-James et al. [64]. The letters were feedback to schools as part of the interventions in one study, thus serving as a feedback loop that enhances an overall change proces</w:t>
      </w:r>
      <w:r>
        <w:rPr>
          <w:rFonts w:ascii="Arial" w:eastAsia="Arial" w:hAnsi="Arial" w:cs="Arial"/>
          <w:sz w:val="20"/>
          <w:szCs w:val="20"/>
        </w:rPr>
        <w:t xml:space="preserve">s, Kearney et al. [63]. Hence, this study shows no significant difference in gender and racial grouping perceptions of the new information teaching sex education. Furthermore, Ruane-McAteer et al. [65] suggest that in terms of acceptance level analyzed by </w:t>
      </w:r>
      <w:r>
        <w:rPr>
          <w:rFonts w:ascii="Arial" w:eastAsia="Arial" w:hAnsi="Arial" w:cs="Arial"/>
          <w:sz w:val="20"/>
          <w:szCs w:val="20"/>
        </w:rPr>
        <w:t>gender, there is no significant difference in the potential of gender transformative approaches across the educational programming seeking to improve and the guidance of the school head, administrator, and division heads.</w:t>
      </w:r>
    </w:p>
    <w:p w:rsidR="00704449" w:rsidRDefault="00704449">
      <w:pPr>
        <w:spacing w:after="0" w:line="240" w:lineRule="auto"/>
        <w:jc w:val="both"/>
        <w:rPr>
          <w:rFonts w:ascii="Arial" w:eastAsia="Arial" w:hAnsi="Arial" w:cs="Arial"/>
          <w:b/>
          <w:sz w:val="22"/>
          <w:szCs w:val="22"/>
        </w:rPr>
      </w:pPr>
    </w:p>
    <w:p w:rsidR="00704449" w:rsidRDefault="0090383F">
      <w:pPr>
        <w:spacing w:after="0" w:line="240" w:lineRule="auto"/>
        <w:jc w:val="both"/>
        <w:rPr>
          <w:rFonts w:ascii="Arial" w:eastAsia="Arial" w:hAnsi="Arial" w:cs="Arial"/>
          <w:b/>
          <w:sz w:val="22"/>
          <w:szCs w:val="22"/>
        </w:rPr>
      </w:pPr>
      <w:r>
        <w:rPr>
          <w:rFonts w:ascii="Arial" w:eastAsia="Arial" w:hAnsi="Arial" w:cs="Arial"/>
          <w:b/>
          <w:sz w:val="22"/>
          <w:szCs w:val="22"/>
        </w:rPr>
        <w:t>4.4 SIGNIFICANT DIFFERENCE IN THE</w:t>
      </w:r>
      <w:r>
        <w:rPr>
          <w:rFonts w:ascii="Arial" w:eastAsia="Arial" w:hAnsi="Arial" w:cs="Arial"/>
          <w:b/>
          <w:sz w:val="22"/>
          <w:szCs w:val="22"/>
        </w:rPr>
        <w:t xml:space="preserve"> LEVEL OF ACCEPTANCE OF SCHOOL TEACHERS IN TEACHING SEX EDUCATION AS ANALYZED BY YEARS IN TEACHING</w:t>
      </w:r>
    </w:p>
    <w:p w:rsidR="00704449" w:rsidRDefault="00704449">
      <w:pPr>
        <w:spacing w:after="0" w:line="240" w:lineRule="auto"/>
        <w:jc w:val="both"/>
        <w:rPr>
          <w:rFonts w:ascii="Arial" w:eastAsia="Arial" w:hAnsi="Arial" w:cs="Arial"/>
          <w:b/>
          <w:sz w:val="22"/>
          <w:szCs w:val="22"/>
        </w:rPr>
      </w:pPr>
    </w:p>
    <w:p w:rsidR="00704449" w:rsidRDefault="0090383F">
      <w:pPr>
        <w:spacing w:after="0" w:line="240" w:lineRule="auto"/>
        <w:jc w:val="both"/>
        <w:rPr>
          <w:rFonts w:ascii="Arial" w:eastAsia="Arial" w:hAnsi="Arial" w:cs="Arial"/>
          <w:bCs/>
          <w:sz w:val="20"/>
          <w:szCs w:val="20"/>
        </w:rPr>
      </w:pPr>
      <w:r>
        <w:rPr>
          <w:rFonts w:ascii="Arial" w:eastAsia="Arial" w:hAnsi="Arial" w:cs="Arial"/>
          <w:bCs/>
          <w:sz w:val="20"/>
          <w:szCs w:val="20"/>
        </w:rPr>
        <w:t xml:space="preserve">Table 7 investigates the relationship between years of teaching experience and </w:t>
      </w:r>
      <w:r>
        <w:rPr>
          <w:rFonts w:ascii="Arial" w:eastAsia="Arial" w:hAnsi="Arial" w:cs="Arial"/>
          <w:bCs/>
          <w:sz w:val="20"/>
          <w:szCs w:val="20"/>
        </w:rPr>
        <w:t>the acceptance of sex education using a Kruskal-Wallis test. The results show</w:t>
      </w:r>
      <w:r>
        <w:rPr>
          <w:rFonts w:ascii="Arial" w:eastAsia="Arial" w:hAnsi="Arial" w:cs="Arial"/>
          <w:bCs/>
          <w:sz w:val="20"/>
          <w:szCs w:val="20"/>
        </w:rPr>
        <w:t xml:space="preserve"> no statistically significant differences across the three experience levels (3-5 years, 6-10 years, more than 12 years) for any of the measured aspects: Approval (p = 0.409), Job Effectiveness (p = 0.341), Confidence (p = 0.24), or Overall acceptance (p =</w:t>
      </w:r>
      <w:r>
        <w:rPr>
          <w:rFonts w:ascii="Arial" w:eastAsia="Arial" w:hAnsi="Arial" w:cs="Arial"/>
          <w:bCs/>
          <w:sz w:val="20"/>
          <w:szCs w:val="20"/>
        </w:rPr>
        <w:t xml:space="preserve"> 0.46). Although there are variations in mean ranks across the experience groups, these variations are not substantial enough to be considered statistically significant at a conventional alpha level. Therefore, the data suggests that years of teaching expe</w:t>
      </w:r>
      <w:r>
        <w:rPr>
          <w:rFonts w:ascii="Arial" w:eastAsia="Arial" w:hAnsi="Arial" w:cs="Arial"/>
          <w:bCs/>
          <w:sz w:val="20"/>
          <w:szCs w:val="20"/>
        </w:rPr>
        <w:t>rience do not significantly influence teachers' approval, perceived effectiveness, confidence, or overall acceptance of sex education. Other factors beyond teaching experience may be more influential in shaping teachers' attitudes and beliefs regarding sex</w:t>
      </w:r>
      <w:r>
        <w:rPr>
          <w:rFonts w:ascii="Arial" w:eastAsia="Arial" w:hAnsi="Arial" w:cs="Arial"/>
          <w:bCs/>
          <w:sz w:val="20"/>
          <w:szCs w:val="20"/>
        </w:rPr>
        <w:t xml:space="preserve"> education.</w:t>
      </w:r>
    </w:p>
    <w:p w:rsidR="00704449" w:rsidRDefault="00704449">
      <w:pPr>
        <w:spacing w:after="0" w:line="240" w:lineRule="auto"/>
        <w:jc w:val="both"/>
        <w:rPr>
          <w:rFonts w:ascii="Arial" w:eastAsia="Arial" w:hAnsi="Arial" w:cs="Arial"/>
          <w:b/>
          <w:sz w:val="22"/>
          <w:szCs w:val="22"/>
        </w:rPr>
      </w:pPr>
    </w:p>
    <w:p w:rsidR="00704449" w:rsidRDefault="0090383F">
      <w:pPr>
        <w:spacing w:after="0" w:line="240" w:lineRule="auto"/>
        <w:jc w:val="both"/>
        <w:rPr>
          <w:rFonts w:ascii="Arial" w:eastAsia="Arial" w:hAnsi="Arial" w:cs="Arial"/>
          <w:sz w:val="20"/>
          <w:szCs w:val="20"/>
        </w:rPr>
      </w:pPr>
      <w:r>
        <w:rPr>
          <w:rFonts w:ascii="Arial" w:eastAsia="Arial" w:hAnsi="Arial" w:cs="Arial"/>
          <w:sz w:val="20"/>
          <w:szCs w:val="20"/>
        </w:rPr>
        <w:t>Table 7 shows the differences between the level of acceptance of elementary school teachers in teaching sex education in terms of years of teaching. The results show that there are no significant differences when analyzed</w:t>
      </w:r>
      <w:r>
        <w:rPr>
          <w:rFonts w:ascii="Arial" w:eastAsia="Arial" w:hAnsi="Arial" w:cs="Arial"/>
          <w:sz w:val="20"/>
          <w:szCs w:val="20"/>
        </w:rPr>
        <w:t xml:space="preserve"> by years of teaching (</w:t>
      </w:r>
      <m:oMath>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x</m:t>
            </m:r>
          </m:e>
          <m:sup>
            <m:r>
              <w:rPr>
                <w:rFonts w:ascii="Cambria Math" w:eastAsia="Cambria Math" w:hAnsi="Cambria Math" w:cs="Cambria Math"/>
                <w:sz w:val="20"/>
                <w:szCs w:val="20"/>
              </w:rPr>
              <m:t>2</m:t>
            </m:r>
          </m:sup>
        </m:sSup>
        <m:r>
          <w:rPr>
            <w:rFonts w:ascii="Cambria Math" w:eastAsia="Cambria Math" w:hAnsi="Cambria Math" w:cs="Cambria Math"/>
            <w:sz w:val="20"/>
            <w:szCs w:val="20"/>
          </w:rPr>
          <m:t xml:space="preserve"> </m:t>
        </m:r>
        <m:d>
          <m:dPr>
            <m:ctrlPr>
              <w:rPr>
                <w:rFonts w:ascii="Cambria Math" w:eastAsia="Cambria Math" w:hAnsi="Cambria Math" w:cs="Cambria Math"/>
                <w:sz w:val="20"/>
                <w:szCs w:val="20"/>
              </w:rPr>
            </m:ctrlPr>
          </m:dPr>
          <m:e>
            <m:r>
              <w:rPr>
                <w:rFonts w:ascii="Cambria Math" w:eastAsia="Cambria Math" w:hAnsi="Cambria Math" w:cs="Cambria Math"/>
                <w:sz w:val="20"/>
                <w:szCs w:val="20"/>
              </w:rPr>
              <m:t>2</m:t>
            </m:r>
          </m:e>
        </m:d>
        <m:r>
          <w:rPr>
            <w:rFonts w:ascii="Cambria Math" w:eastAsia="Cambria Math" w:hAnsi="Cambria Math" w:cs="Cambria Math"/>
            <w:sz w:val="20"/>
            <w:szCs w:val="20"/>
          </w:rPr>
          <m:t xml:space="preserve">=1.552, </m:t>
        </m:r>
        <m:r>
          <w:rPr>
            <w:rFonts w:ascii="Cambria Math" w:eastAsia="Cambria Math" w:hAnsi="Cambria Math" w:cs="Cambria Math"/>
            <w:sz w:val="20"/>
            <w:szCs w:val="20"/>
          </w:rPr>
          <m:t>p</m:t>
        </m:r>
        <m:r>
          <w:rPr>
            <w:rFonts w:ascii="Cambria Math" w:eastAsia="Cambria Math" w:hAnsi="Cambria Math" w:cs="Cambria Math"/>
            <w:sz w:val="20"/>
            <w:szCs w:val="20"/>
          </w:rPr>
          <m:t>=0.26)</m:t>
        </m:r>
      </m:oMath>
      <w:r>
        <w:rPr>
          <w:rFonts w:ascii="Arial" w:eastAsia="Arial" w:hAnsi="Arial" w:cs="Arial"/>
          <w:sz w:val="20"/>
          <w:szCs w:val="20"/>
        </w:rPr>
        <w:t xml:space="preserve">, with a mean rank of 70.41 for 3-5 years, 71.64 for 6-10 years, and 80.39 for more than 12 years. This means that whether the respondents have years of teaching </w:t>
      </w:r>
      <w:r>
        <w:rPr>
          <w:rFonts w:ascii="Arial" w:eastAsia="Arial" w:hAnsi="Arial" w:cs="Arial"/>
          <w:sz w:val="20"/>
          <w:szCs w:val="20"/>
        </w:rPr>
        <w:lastRenderedPageBreak/>
        <w:t>experience, they have similar perceptions about th</w:t>
      </w:r>
      <w:r>
        <w:rPr>
          <w:rFonts w:ascii="Arial" w:eastAsia="Arial" w:hAnsi="Arial" w:cs="Arial"/>
          <w:sz w:val="20"/>
          <w:szCs w:val="20"/>
        </w:rPr>
        <w:t>e acceptance level.</w:t>
      </w:r>
    </w:p>
    <w:p w:rsidR="00704449" w:rsidRDefault="00704449">
      <w:pPr>
        <w:spacing w:after="0" w:line="240" w:lineRule="auto"/>
        <w:jc w:val="both"/>
        <w:rPr>
          <w:rFonts w:ascii="Arial" w:eastAsia="Arial" w:hAnsi="Arial" w:cs="Arial"/>
          <w:sz w:val="20"/>
          <w:szCs w:val="20"/>
        </w:rPr>
      </w:pPr>
    </w:p>
    <w:p w:rsidR="00704449" w:rsidRDefault="0090383F">
      <w:pPr>
        <w:spacing w:after="0" w:line="240" w:lineRule="auto"/>
        <w:jc w:val="both"/>
        <w:rPr>
          <w:rFonts w:ascii="Arial" w:eastAsia="Arial" w:hAnsi="Arial" w:cs="Arial"/>
          <w:sz w:val="20"/>
          <w:szCs w:val="20"/>
        </w:rPr>
      </w:pPr>
      <w:r>
        <w:rPr>
          <w:rFonts w:ascii="Arial" w:eastAsia="Arial" w:hAnsi="Arial" w:cs="Arial"/>
          <w:sz w:val="20"/>
          <w:szCs w:val="20"/>
        </w:rPr>
        <w:t xml:space="preserve">Teachers generally regard sex education favourably Achora et al. [66]. They demonstrate commitment and a willingness to participate in seminars and training to obtain comprehensive and precise knowledge of sex education Adogu &amp; </w:t>
      </w:r>
      <w:r>
        <w:rPr>
          <w:rFonts w:ascii="Arial" w:eastAsia="Arial" w:hAnsi="Arial" w:cs="Arial"/>
          <w:sz w:val="20"/>
          <w:szCs w:val="20"/>
        </w:rPr>
        <w:t>Nwafulume [67]. Consequently, they are competent and dependable in delivering sex education to students effectively. However, teachers dedicate inadequate time to sex education due to a lack of qualified personnel and limited expertise La Bella, [68]; Chai</w:t>
      </w:r>
      <w:r>
        <w:rPr>
          <w:rFonts w:ascii="Arial" w:eastAsia="Arial" w:hAnsi="Arial" w:cs="Arial"/>
          <w:sz w:val="20"/>
          <w:szCs w:val="20"/>
        </w:rPr>
        <w:t>wongroi et al. [69].</w:t>
      </w:r>
    </w:p>
    <w:p w:rsidR="00704449" w:rsidRDefault="00704449">
      <w:pPr>
        <w:spacing w:after="0" w:line="240" w:lineRule="auto"/>
        <w:jc w:val="both"/>
        <w:rPr>
          <w:rFonts w:ascii="Arial" w:eastAsia="Arial" w:hAnsi="Arial" w:cs="Arial"/>
          <w:sz w:val="20"/>
          <w:szCs w:val="20"/>
        </w:rPr>
      </w:pPr>
    </w:p>
    <w:p w:rsidR="00704449" w:rsidRDefault="0090383F">
      <w:pPr>
        <w:spacing w:after="0" w:line="240" w:lineRule="auto"/>
        <w:jc w:val="both"/>
        <w:rPr>
          <w:rFonts w:ascii="Arial" w:eastAsia="Arial" w:hAnsi="Arial" w:cs="Arial"/>
          <w:sz w:val="20"/>
          <w:szCs w:val="20"/>
        </w:rPr>
      </w:pPr>
      <w:r>
        <w:rPr>
          <w:rFonts w:ascii="Arial" w:eastAsia="Arial" w:hAnsi="Arial" w:cs="Arial"/>
          <w:sz w:val="20"/>
          <w:szCs w:val="20"/>
        </w:rPr>
        <w:t>In addition, Ameh [70] states that teachers must be highly competent in teaching sex education because students believe they are the best people to discuss the matter. Goldman [71] emphasized that teachers may be sufficient in teachin</w:t>
      </w:r>
      <w:r>
        <w:rPr>
          <w:rFonts w:ascii="Arial" w:eastAsia="Arial" w:hAnsi="Arial" w:cs="Arial"/>
          <w:sz w:val="20"/>
          <w:szCs w:val="20"/>
        </w:rPr>
        <w:t>g if they use, develop, and apply accurate teaching strategies in sex education to assess the learning of the various cognitive levels of the students. Students find it awkward to discuss topics about sex education and the reproductive health of their pare</w:t>
      </w:r>
      <w:r>
        <w:rPr>
          <w:rFonts w:ascii="Arial" w:eastAsia="Arial" w:hAnsi="Arial" w:cs="Arial"/>
          <w:sz w:val="20"/>
          <w:szCs w:val="20"/>
        </w:rPr>
        <w:t xml:space="preserve">nts Bikila et al. [72]. To produce educated and competent sex educators, teachers must also have enough teaching experience through seminars and workshops funded by the institution and the school division. </w:t>
      </w:r>
    </w:p>
    <w:p w:rsidR="00704449" w:rsidRDefault="00704449">
      <w:pPr>
        <w:spacing w:after="0" w:line="240" w:lineRule="auto"/>
        <w:jc w:val="both"/>
        <w:rPr>
          <w:rFonts w:ascii="Arial" w:eastAsia="Arial" w:hAnsi="Arial" w:cs="Arial"/>
          <w:sz w:val="20"/>
          <w:szCs w:val="20"/>
        </w:rPr>
      </w:pPr>
    </w:p>
    <w:p w:rsidR="00704449" w:rsidRDefault="0090383F">
      <w:pPr>
        <w:spacing w:after="0" w:line="240" w:lineRule="auto"/>
        <w:jc w:val="both"/>
        <w:rPr>
          <w:rFonts w:ascii="Arial" w:eastAsia="Arial" w:hAnsi="Arial" w:cs="Arial"/>
          <w:b/>
          <w:sz w:val="22"/>
          <w:szCs w:val="22"/>
        </w:rPr>
      </w:pPr>
      <w:r>
        <w:rPr>
          <w:rFonts w:ascii="Arial" w:eastAsia="Arial" w:hAnsi="Arial" w:cs="Arial"/>
          <w:b/>
          <w:sz w:val="22"/>
          <w:szCs w:val="22"/>
        </w:rPr>
        <w:t>5. CONCLUSION</w:t>
      </w:r>
    </w:p>
    <w:p w:rsidR="00704449" w:rsidRDefault="00704449">
      <w:pPr>
        <w:spacing w:after="0" w:line="240" w:lineRule="auto"/>
        <w:jc w:val="both"/>
        <w:rPr>
          <w:rFonts w:ascii="Arial" w:eastAsia="Arial" w:hAnsi="Arial" w:cs="Arial"/>
          <w:b/>
          <w:sz w:val="22"/>
          <w:szCs w:val="22"/>
        </w:rPr>
      </w:pPr>
    </w:p>
    <w:p w:rsidR="00704449" w:rsidRDefault="0090383F">
      <w:pPr>
        <w:spacing w:after="0" w:line="240" w:lineRule="auto"/>
        <w:jc w:val="both"/>
        <w:rPr>
          <w:rFonts w:ascii="Arial" w:eastAsia="Arial" w:hAnsi="Arial" w:cs="Arial"/>
          <w:sz w:val="20"/>
          <w:szCs w:val="20"/>
        </w:rPr>
      </w:pPr>
      <w:r>
        <w:rPr>
          <w:rFonts w:ascii="Arial" w:eastAsia="Arial" w:hAnsi="Arial" w:cs="Arial"/>
          <w:sz w:val="20"/>
          <w:szCs w:val="20"/>
        </w:rPr>
        <w:t>The findings of this study reveal</w:t>
      </w:r>
      <w:r>
        <w:rPr>
          <w:rFonts w:ascii="Arial" w:eastAsia="Arial" w:hAnsi="Arial" w:cs="Arial"/>
          <w:sz w:val="20"/>
          <w:szCs w:val="20"/>
        </w:rPr>
        <w:t xml:space="preserve"> a very high level of acceptance among elementary school teachers in Davao del Sur regarding the implementation of sex education. The respondents demonstrated strong approval, job effectiveness, and confidence, indicating that they are not only supportive </w:t>
      </w:r>
      <w:r>
        <w:rPr>
          <w:rFonts w:ascii="Arial" w:eastAsia="Arial" w:hAnsi="Arial" w:cs="Arial"/>
          <w:sz w:val="20"/>
          <w:szCs w:val="20"/>
        </w:rPr>
        <w:t xml:space="preserve">of the integration of sex education into the curriculum but also prepared to teach it responsibly and effectively. The balanced gender representation, predominantly experienced teaching force, and wide range of civil statuses among the respondents provide </w:t>
      </w:r>
      <w:r>
        <w:rPr>
          <w:rFonts w:ascii="Arial" w:eastAsia="Arial" w:hAnsi="Arial" w:cs="Arial"/>
          <w:sz w:val="20"/>
          <w:szCs w:val="20"/>
        </w:rPr>
        <w:t xml:space="preserve">a stable and diverse foundation for the successful </w:t>
      </w:r>
      <w:r>
        <w:rPr>
          <w:rFonts w:ascii="Arial" w:eastAsia="Arial" w:hAnsi="Arial" w:cs="Arial"/>
          <w:sz w:val="20"/>
          <w:szCs w:val="20"/>
        </w:rPr>
        <w:t>implementation of Comprehensive Sexuality Education (CSE).</w:t>
      </w:r>
    </w:p>
    <w:p w:rsidR="00704449" w:rsidRDefault="00704449">
      <w:pPr>
        <w:spacing w:after="0" w:line="240" w:lineRule="auto"/>
        <w:jc w:val="both"/>
        <w:rPr>
          <w:rFonts w:ascii="Arial" w:eastAsia="Arial" w:hAnsi="Arial" w:cs="Arial"/>
          <w:sz w:val="20"/>
          <w:szCs w:val="20"/>
        </w:rPr>
      </w:pPr>
    </w:p>
    <w:p w:rsidR="00704449" w:rsidRDefault="0090383F">
      <w:pPr>
        <w:spacing w:after="0" w:line="240" w:lineRule="auto"/>
        <w:jc w:val="both"/>
        <w:rPr>
          <w:rFonts w:ascii="Arial" w:eastAsia="Arial" w:hAnsi="Arial" w:cs="Arial"/>
          <w:sz w:val="20"/>
          <w:szCs w:val="20"/>
        </w:rPr>
      </w:pPr>
      <w:r>
        <w:rPr>
          <w:rFonts w:ascii="Arial" w:eastAsia="Arial" w:hAnsi="Arial" w:cs="Arial"/>
          <w:sz w:val="20"/>
          <w:szCs w:val="20"/>
        </w:rPr>
        <w:t>However, despite the generally high acceptance level, it is important to address several barriers that may hinder the consistent and effective de</w:t>
      </w:r>
      <w:r>
        <w:rPr>
          <w:rFonts w:ascii="Arial" w:eastAsia="Arial" w:hAnsi="Arial" w:cs="Arial"/>
          <w:sz w:val="20"/>
          <w:szCs w:val="20"/>
        </w:rPr>
        <w:t>livery of sex education. Cultural and religious beliefs, lack of formal training, and limited instructional time were cited as significant challenges that may compromise teacher confidence and performance. Teachers’ readiness to implement sex education var</w:t>
      </w:r>
      <w:r>
        <w:rPr>
          <w:rFonts w:ascii="Arial" w:eastAsia="Arial" w:hAnsi="Arial" w:cs="Arial"/>
          <w:sz w:val="20"/>
          <w:szCs w:val="20"/>
        </w:rPr>
        <w:t xml:space="preserve">ies based on their personal background and experience, and while age does not significantly influence acceptance, external factors like community norms and available support systems play a critical role. These must be taken into account to ensure that all </w:t>
      </w:r>
      <w:r>
        <w:rPr>
          <w:rFonts w:ascii="Arial" w:eastAsia="Arial" w:hAnsi="Arial" w:cs="Arial"/>
          <w:sz w:val="20"/>
          <w:szCs w:val="20"/>
        </w:rPr>
        <w:t>educators are equally equipped to handle the subject matter sensitively and confidently.</w:t>
      </w:r>
    </w:p>
    <w:p w:rsidR="00704449" w:rsidRDefault="0090383F">
      <w:pPr>
        <w:spacing w:before="240" w:after="0" w:line="276" w:lineRule="auto"/>
        <w:jc w:val="both"/>
        <w:rPr>
          <w:rFonts w:ascii="Arial" w:eastAsia="Arial" w:hAnsi="Arial" w:cs="Arial"/>
          <w:sz w:val="20"/>
          <w:szCs w:val="20"/>
          <w:highlight w:val="white"/>
        </w:rPr>
      </w:pPr>
      <w:r>
        <w:rPr>
          <w:rFonts w:ascii="Arial" w:eastAsia="Arial" w:hAnsi="Arial" w:cs="Arial"/>
          <w:b/>
          <w:sz w:val="22"/>
          <w:szCs w:val="22"/>
          <w:highlight w:val="white"/>
        </w:rPr>
        <w:t>6. RECOMMENDATION</w:t>
      </w:r>
      <w:r>
        <w:rPr>
          <w:rFonts w:ascii="Arial" w:eastAsia="Arial" w:hAnsi="Arial" w:cs="Arial"/>
          <w:sz w:val="20"/>
          <w:szCs w:val="20"/>
          <w:highlight w:val="white"/>
        </w:rPr>
        <w:t xml:space="preserve"> </w:t>
      </w:r>
    </w:p>
    <w:p w:rsidR="00704449" w:rsidRDefault="00704449">
      <w:pPr>
        <w:jc w:val="both"/>
        <w:rPr>
          <w:rFonts w:ascii="Arial" w:eastAsia="Arial" w:hAnsi="Arial" w:cs="Arial"/>
          <w:b/>
          <w:sz w:val="20"/>
          <w:szCs w:val="20"/>
          <w:highlight w:val="white"/>
        </w:rPr>
      </w:pPr>
      <w:bookmarkStart w:id="3" w:name="_heading=h.hmcnrmovl6r4" w:colFirst="0" w:colLast="0"/>
      <w:bookmarkEnd w:id="3"/>
    </w:p>
    <w:p w:rsidR="00704449" w:rsidRDefault="0090383F">
      <w:pPr>
        <w:jc w:val="both"/>
        <w:rPr>
          <w:rFonts w:ascii="Arial" w:eastAsia="Arial" w:hAnsi="Arial" w:cs="Arial"/>
          <w:sz w:val="20"/>
          <w:szCs w:val="20"/>
          <w:highlight w:val="white"/>
        </w:rPr>
      </w:pPr>
      <w:r>
        <w:rPr>
          <w:rFonts w:ascii="Arial" w:eastAsia="Arial" w:hAnsi="Arial" w:cs="Arial"/>
          <w:sz w:val="20"/>
          <w:szCs w:val="20"/>
          <w:highlight w:val="white"/>
        </w:rPr>
        <w:t xml:space="preserve">School administrators and the Department of Education should conduct mandatory training programs on Comprehensive Sexuality Education for both new </w:t>
      </w:r>
      <w:r>
        <w:rPr>
          <w:rFonts w:ascii="Arial" w:eastAsia="Arial" w:hAnsi="Arial" w:cs="Arial"/>
          <w:sz w:val="20"/>
          <w:szCs w:val="20"/>
          <w:highlight w:val="white"/>
        </w:rPr>
        <w:t>and veteran teachers. This training should address not only the technical knowledge of CSE but also strategies to overcome cultural taboos and personal discomfort, enhancing both content mastery and pedagogical confidence.</w:t>
      </w:r>
    </w:p>
    <w:p w:rsidR="00704449" w:rsidRDefault="0090383F">
      <w:pPr>
        <w:jc w:val="both"/>
        <w:rPr>
          <w:rFonts w:ascii="Arial" w:eastAsia="Arial" w:hAnsi="Arial" w:cs="Arial"/>
          <w:sz w:val="20"/>
          <w:szCs w:val="20"/>
          <w:highlight w:val="white"/>
        </w:rPr>
      </w:pPr>
      <w:bookmarkStart w:id="4" w:name="_heading=h.6icp6oy67lfz" w:colFirst="0" w:colLast="0"/>
      <w:bookmarkEnd w:id="4"/>
      <w:r>
        <w:rPr>
          <w:rFonts w:ascii="Arial" w:eastAsia="Arial" w:hAnsi="Arial" w:cs="Arial"/>
          <w:sz w:val="20"/>
          <w:szCs w:val="20"/>
          <w:highlight w:val="white"/>
        </w:rPr>
        <w:t>Support teachers in overcoming cu</w:t>
      </w:r>
      <w:r>
        <w:rPr>
          <w:rFonts w:ascii="Arial" w:eastAsia="Arial" w:hAnsi="Arial" w:cs="Arial"/>
          <w:sz w:val="20"/>
          <w:szCs w:val="20"/>
          <w:highlight w:val="white"/>
        </w:rPr>
        <w:t>ltural and religious barriers, sex education materials should be designed to be age-appropriate, culturally sensitive, and inclusive. These materials should align with national education policies while being adaptable to local contexts. Involving community</w:t>
      </w:r>
      <w:r>
        <w:rPr>
          <w:rFonts w:ascii="Arial" w:eastAsia="Arial" w:hAnsi="Arial" w:cs="Arial"/>
          <w:sz w:val="20"/>
          <w:szCs w:val="20"/>
          <w:highlight w:val="white"/>
        </w:rPr>
        <w:t xml:space="preserve"> stakeholders such as parents and religious leaders may also foster acceptance and reduce resistance.</w:t>
      </w:r>
    </w:p>
    <w:p w:rsidR="00704449" w:rsidRDefault="0090383F">
      <w:pPr>
        <w:jc w:val="both"/>
        <w:rPr>
          <w:rFonts w:ascii="Arial" w:eastAsia="Arial" w:hAnsi="Arial" w:cs="Arial"/>
          <w:sz w:val="20"/>
          <w:szCs w:val="20"/>
          <w:highlight w:val="white"/>
        </w:rPr>
      </w:pPr>
      <w:bookmarkStart w:id="5" w:name="_heading=h.1bt4w3jdnknd" w:colFirst="0" w:colLast="0"/>
      <w:bookmarkEnd w:id="5"/>
      <w:r>
        <w:rPr>
          <w:rFonts w:ascii="Arial" w:eastAsia="Arial" w:hAnsi="Arial" w:cs="Arial"/>
          <w:sz w:val="20"/>
          <w:szCs w:val="20"/>
          <w:highlight w:val="white"/>
        </w:rPr>
        <w:t xml:space="preserve">Educational institutions should strengthen their support systems by ensuring that </w:t>
      </w:r>
      <w:r>
        <w:rPr>
          <w:rFonts w:ascii="Arial" w:eastAsia="Arial" w:hAnsi="Arial" w:cs="Arial"/>
          <w:sz w:val="20"/>
          <w:szCs w:val="20"/>
          <w:highlight w:val="white"/>
        </w:rPr>
        <w:lastRenderedPageBreak/>
        <w:t>teaching loads allow time for sex education delivery, providing access t</w:t>
      </w:r>
      <w:r>
        <w:rPr>
          <w:rFonts w:ascii="Arial" w:eastAsia="Arial" w:hAnsi="Arial" w:cs="Arial"/>
          <w:sz w:val="20"/>
          <w:szCs w:val="20"/>
          <w:highlight w:val="white"/>
        </w:rPr>
        <w:t>o guidance counselors, and reinforcing policies that uphold CSE as a vital component of health and personal development education. Regular monitoring and evaluation should also be in place to assess implementation progress and identify areas needing improv</w:t>
      </w:r>
      <w:r>
        <w:rPr>
          <w:rFonts w:ascii="Arial" w:eastAsia="Arial" w:hAnsi="Arial" w:cs="Arial"/>
          <w:sz w:val="20"/>
          <w:szCs w:val="20"/>
          <w:highlight w:val="white"/>
        </w:rPr>
        <w:t>ement.</w:t>
      </w:r>
      <w:bookmarkStart w:id="6" w:name="_heading=h.dgjz6p33g4qa" w:colFirst="0" w:colLast="0"/>
      <w:bookmarkEnd w:id="6"/>
    </w:p>
    <w:p w:rsidR="00220C1F" w:rsidRPr="00220C1F" w:rsidRDefault="00220C1F" w:rsidP="00220C1F">
      <w:pPr>
        <w:rPr>
          <w:rFonts w:ascii="Arial" w:eastAsia="Arial" w:hAnsi="Arial" w:cs="Arial"/>
          <w:b/>
          <w:sz w:val="22"/>
          <w:szCs w:val="22"/>
        </w:rPr>
      </w:pPr>
      <w:bookmarkStart w:id="7" w:name="_heading=h.ricyld4k7vlj" w:colFirst="0" w:colLast="0"/>
      <w:bookmarkEnd w:id="7"/>
      <w:r w:rsidRPr="00220C1F">
        <w:rPr>
          <w:rFonts w:ascii="Arial" w:eastAsia="Arial" w:hAnsi="Arial" w:cs="Arial"/>
          <w:b/>
          <w:sz w:val="22"/>
          <w:szCs w:val="22"/>
        </w:rPr>
        <w:t>Ethical Approval:</w:t>
      </w:r>
    </w:p>
    <w:p w:rsidR="00220C1F" w:rsidRPr="00220C1F" w:rsidRDefault="00220C1F" w:rsidP="00220C1F">
      <w:pPr>
        <w:rPr>
          <w:rFonts w:ascii="Arial" w:eastAsia="Arial" w:hAnsi="Arial" w:cs="Arial"/>
          <w:b/>
          <w:sz w:val="22"/>
          <w:szCs w:val="22"/>
        </w:rPr>
      </w:pPr>
    </w:p>
    <w:p w:rsidR="00220C1F" w:rsidRDefault="00220C1F" w:rsidP="00220C1F">
      <w:pPr>
        <w:rPr>
          <w:rFonts w:ascii="Arial" w:eastAsia="Arial" w:hAnsi="Arial" w:cs="Arial"/>
          <w:sz w:val="22"/>
          <w:szCs w:val="22"/>
        </w:rPr>
      </w:pPr>
      <w:r w:rsidRPr="00220C1F">
        <w:rPr>
          <w:rFonts w:ascii="Arial" w:eastAsia="Arial" w:hAnsi="Arial" w:cs="Arial"/>
          <w:sz w:val="22"/>
          <w:szCs w:val="22"/>
        </w:rPr>
        <w:t>As per international standards or university standards written ethical approval has been collected and preserved by the author(s).</w:t>
      </w:r>
    </w:p>
    <w:p w:rsidR="00220C1F" w:rsidRDefault="00220C1F" w:rsidP="00220C1F">
      <w:pPr>
        <w:rPr>
          <w:rFonts w:ascii="Arial" w:eastAsia="Arial" w:hAnsi="Arial" w:cs="Arial"/>
          <w:sz w:val="22"/>
          <w:szCs w:val="22"/>
          <w:highlight w:val="white"/>
        </w:rPr>
      </w:pPr>
    </w:p>
    <w:p w:rsidR="00220C1F" w:rsidRPr="00220C1F" w:rsidRDefault="00220C1F" w:rsidP="00220C1F">
      <w:pPr>
        <w:rPr>
          <w:rFonts w:ascii="Arial" w:eastAsia="Arial" w:hAnsi="Arial" w:cs="Arial"/>
          <w:b/>
          <w:sz w:val="22"/>
          <w:szCs w:val="22"/>
        </w:rPr>
      </w:pPr>
      <w:r w:rsidRPr="00220C1F">
        <w:rPr>
          <w:rFonts w:ascii="Arial" w:eastAsia="Arial" w:hAnsi="Arial" w:cs="Arial"/>
          <w:b/>
          <w:sz w:val="22"/>
          <w:szCs w:val="22"/>
        </w:rPr>
        <w:t xml:space="preserve">Consent </w:t>
      </w:r>
    </w:p>
    <w:p w:rsidR="00220C1F" w:rsidRPr="00220C1F" w:rsidRDefault="00220C1F" w:rsidP="00220C1F">
      <w:pPr>
        <w:rPr>
          <w:rFonts w:ascii="Arial" w:eastAsia="Arial" w:hAnsi="Arial" w:cs="Arial"/>
          <w:sz w:val="22"/>
          <w:szCs w:val="22"/>
          <w:highlight w:val="white"/>
        </w:rPr>
      </w:pPr>
      <w:r w:rsidRPr="00220C1F">
        <w:rPr>
          <w:rFonts w:ascii="Arial" w:eastAsia="Arial" w:hAnsi="Arial" w:cs="Arial"/>
          <w:sz w:val="22"/>
          <w:szCs w:val="22"/>
        </w:rPr>
        <w:t>As per international standards or university standards, Participants’ written consent has been collected and preserved by the author(s).</w:t>
      </w:r>
    </w:p>
    <w:p w:rsidR="00220C1F" w:rsidRDefault="00220C1F">
      <w:pPr>
        <w:rPr>
          <w:rFonts w:ascii="Arial" w:eastAsia="Arial" w:hAnsi="Arial" w:cs="Arial"/>
          <w:b/>
          <w:sz w:val="22"/>
          <w:szCs w:val="22"/>
          <w:highlight w:val="white"/>
        </w:rPr>
      </w:pPr>
    </w:p>
    <w:p w:rsidR="00704449" w:rsidRDefault="0090383F">
      <w:pPr>
        <w:rPr>
          <w:rFonts w:ascii="Arial" w:eastAsia="Arial" w:hAnsi="Arial" w:cs="Arial"/>
          <w:b/>
          <w:sz w:val="22"/>
          <w:szCs w:val="22"/>
          <w:highlight w:val="white"/>
        </w:rPr>
      </w:pPr>
      <w:r>
        <w:rPr>
          <w:rFonts w:ascii="Arial" w:eastAsia="Arial" w:hAnsi="Arial" w:cs="Arial"/>
          <w:b/>
          <w:sz w:val="22"/>
          <w:szCs w:val="22"/>
          <w:highlight w:val="white"/>
        </w:rPr>
        <w:t>D</w:t>
      </w:r>
      <w:r>
        <w:rPr>
          <w:rFonts w:ascii="Arial" w:eastAsia="Arial" w:hAnsi="Arial" w:cs="Arial"/>
          <w:b/>
          <w:sz w:val="22"/>
          <w:szCs w:val="22"/>
          <w:highlight w:val="white"/>
        </w:rPr>
        <w:t>isclaimer (Artificial intelligence)</w:t>
      </w:r>
    </w:p>
    <w:p w:rsidR="00704449" w:rsidRDefault="0090383F">
      <w:pPr>
        <w:jc w:val="both"/>
        <w:rPr>
          <w:rFonts w:ascii="Arial" w:eastAsia="Arial" w:hAnsi="Arial" w:cs="Arial"/>
          <w:sz w:val="20"/>
          <w:szCs w:val="20"/>
          <w:highlight w:val="white"/>
        </w:rPr>
      </w:pPr>
      <w:r>
        <w:rPr>
          <w:rFonts w:ascii="Arial" w:eastAsia="Arial" w:hAnsi="Arial" w:cs="Arial"/>
          <w:sz w:val="20"/>
          <w:szCs w:val="20"/>
          <w:highlight w:val="white"/>
        </w:rPr>
        <w:t xml:space="preserve">Author(s) hereby declare that NO generative AI technologies such as Large Language Models (ChatGPT, COPILOT, etc.) and text-to-image generators have been used during the writing or editing of this manuscript. </w:t>
      </w:r>
    </w:p>
    <w:p w:rsidR="00704449" w:rsidRDefault="0090383F">
      <w:pPr>
        <w:spacing w:after="0" w:line="240" w:lineRule="auto"/>
        <w:jc w:val="both"/>
        <w:rPr>
          <w:rFonts w:ascii="Arial" w:eastAsia="Arial" w:hAnsi="Arial" w:cs="Arial"/>
          <w:b/>
          <w:sz w:val="22"/>
          <w:szCs w:val="22"/>
        </w:rPr>
      </w:pPr>
      <w:r>
        <w:rPr>
          <w:rFonts w:ascii="Arial" w:eastAsia="Arial" w:hAnsi="Arial" w:cs="Arial"/>
          <w:b/>
          <w:sz w:val="22"/>
          <w:szCs w:val="22"/>
        </w:rPr>
        <w:t>REFERENCES</w:t>
      </w:r>
    </w:p>
    <w:p w:rsidR="00704449" w:rsidRDefault="00704449">
      <w:pPr>
        <w:spacing w:after="0" w:line="240" w:lineRule="auto"/>
        <w:jc w:val="both"/>
        <w:rPr>
          <w:rFonts w:ascii="Arial" w:eastAsia="Arial" w:hAnsi="Arial" w:cs="Arial"/>
          <w:b/>
          <w:sz w:val="22"/>
          <w:szCs w:val="22"/>
        </w:rPr>
      </w:pPr>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000000"/>
          <w:sz w:val="20"/>
          <w:szCs w:val="20"/>
        </w:rPr>
        <w:t xml:space="preserve">Shibuya, F., Estrada, C. A., Sari, D. P., Takeuchi, R., Sasaki, H., Warnaini, C., Kawamitsu, S., Kadriyan, H., &amp; </w:t>
      </w:r>
      <w:r>
        <w:rPr>
          <w:rFonts w:ascii="Arial" w:eastAsia="Arial" w:hAnsi="Arial" w:cs="Arial"/>
          <w:color w:val="000000"/>
          <w:sz w:val="20"/>
          <w:szCs w:val="20"/>
          <w:u w:val="single"/>
        </w:rPr>
        <w:t>Kobayashi</w:t>
      </w:r>
      <w:r>
        <w:rPr>
          <w:rFonts w:ascii="Arial" w:eastAsia="Arial" w:hAnsi="Arial" w:cs="Arial"/>
          <w:color w:val="000000"/>
          <w:sz w:val="20"/>
          <w:szCs w:val="20"/>
        </w:rPr>
        <w:t xml:space="preserve">, J. (2023). Teachers' conflicts in implementing comprehensive sexuality education: A qualitative systematic review and </w:t>
      </w:r>
      <w:r>
        <w:rPr>
          <w:rFonts w:ascii="Arial" w:eastAsia="Arial" w:hAnsi="Arial" w:cs="Arial"/>
          <w:color w:val="000000"/>
          <w:sz w:val="20"/>
          <w:szCs w:val="20"/>
        </w:rPr>
        <w:t>meta-synthesis</w:t>
      </w:r>
      <w:r>
        <w:rPr>
          <w:rFonts w:ascii="Arial" w:eastAsia="Arial" w:hAnsi="Arial" w:cs="Arial"/>
          <w:i/>
          <w:color w:val="000000"/>
          <w:sz w:val="20"/>
          <w:szCs w:val="20"/>
        </w:rPr>
        <w:t>. Trop Med Health, 51(1), 18</w:t>
      </w:r>
      <w:r>
        <w:rPr>
          <w:rFonts w:ascii="Arial" w:eastAsia="Arial" w:hAnsi="Arial" w:cs="Arial"/>
          <w:color w:val="000000"/>
          <w:sz w:val="20"/>
          <w:szCs w:val="20"/>
        </w:rPr>
        <w:t xml:space="preserve">. </w:t>
      </w:r>
      <w:hyperlink r:id="rId14" w:history="1">
        <w:r>
          <w:rPr>
            <w:rFonts w:ascii="Arial" w:eastAsia="Arial" w:hAnsi="Arial" w:cs="Arial"/>
            <w:color w:val="467886"/>
            <w:sz w:val="20"/>
            <w:szCs w:val="20"/>
            <w:u w:val="single"/>
          </w:rPr>
          <w:t>https://doi.org/10.1186/s41182-023-00508-w</w:t>
        </w:r>
      </w:hyperlink>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000000"/>
          <w:sz w:val="20"/>
          <w:szCs w:val="20"/>
        </w:rPr>
        <w:t xml:space="preserve">Zulu, J, M., Blystad, A., Ha land, M, E, S., Michelo, C., Haukanes, H., &amp;amp; Moland, K, M. (2019). Why teach </w:t>
      </w:r>
      <w:r>
        <w:rPr>
          <w:rFonts w:ascii="Arial" w:eastAsia="Arial" w:hAnsi="Arial" w:cs="Arial"/>
          <w:color w:val="000000"/>
          <w:sz w:val="20"/>
          <w:szCs w:val="20"/>
        </w:rPr>
        <w:t>sex education in school? Teacher discretion is required when implementing comprehensive sex education in rural Zambia.</w:t>
      </w:r>
      <w:r>
        <w:rPr>
          <w:rFonts w:ascii="Arial" w:eastAsia="Arial" w:hAnsi="Arial" w:cs="Arial"/>
          <w:i/>
          <w:color w:val="000000"/>
          <w:sz w:val="20"/>
          <w:szCs w:val="20"/>
        </w:rPr>
        <w:t xml:space="preserve"> Int J Equity Health.18(1):116. </w:t>
      </w:r>
      <w:hyperlink r:id="rId15" w:history="1">
        <w:r>
          <w:rPr>
            <w:rFonts w:ascii="Arial" w:eastAsia="Arial" w:hAnsi="Arial" w:cs="Arial"/>
            <w:color w:val="467886"/>
            <w:sz w:val="20"/>
            <w:szCs w:val="20"/>
            <w:u w:val="single"/>
          </w:rPr>
          <w:t>https://doi.org/10.1186/s12939-019-1023-1</w:t>
        </w:r>
      </w:hyperlink>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222222"/>
          <w:sz w:val="20"/>
          <w:szCs w:val="20"/>
          <w:highlight w:val="white"/>
        </w:rPr>
        <w:t>Plaza,</w:t>
      </w:r>
      <w:r>
        <w:rPr>
          <w:rFonts w:ascii="Arial" w:eastAsia="Arial" w:hAnsi="Arial" w:cs="Arial"/>
          <w:color w:val="222222"/>
          <w:sz w:val="20"/>
          <w:szCs w:val="20"/>
          <w:highlight w:val="white"/>
        </w:rPr>
        <w:t xml:space="preserve"> F. J., Soliani, I., Fernandez-Sola, C., Molina-Garcia, J. J., Miranda, M. J., Pomar s-Callejon, M. A., &amp; Ruiz-Fernandez, M. D. (2021). Primary school teachers’ of sexual education in Spain. A qualitative study. </w:t>
      </w:r>
      <w:r>
        <w:rPr>
          <w:rFonts w:ascii="Arial" w:eastAsia="Arial" w:hAnsi="Arial" w:cs="Arial"/>
          <w:i/>
          <w:color w:val="222222"/>
          <w:sz w:val="20"/>
          <w:szCs w:val="20"/>
          <w:highlight w:val="white"/>
        </w:rPr>
        <w:t xml:space="preserve">In Healthcare (Vol. 9, No. 3, p. 287) </w:t>
      </w:r>
      <w:r>
        <w:rPr>
          <w:rFonts w:ascii="Arial" w:eastAsia="Arial" w:hAnsi="Arial" w:cs="Arial"/>
          <w:color w:val="222222"/>
          <w:sz w:val="20"/>
          <w:szCs w:val="20"/>
          <w:highlight w:val="white"/>
        </w:rPr>
        <w:t xml:space="preserve">MDPI. </w:t>
      </w:r>
      <w:hyperlink r:id="rId16" w:history="1">
        <w:r>
          <w:rPr>
            <w:rFonts w:ascii="Arial" w:eastAsia="Arial" w:hAnsi="Arial" w:cs="Arial"/>
            <w:color w:val="467886"/>
            <w:sz w:val="20"/>
            <w:szCs w:val="20"/>
            <w:highlight w:val="white"/>
            <w:u w:val="single"/>
          </w:rPr>
          <w:t>https://doi.org/10.3390/healthcare9030287</w:t>
        </w:r>
      </w:hyperlink>
      <w:r>
        <w:rPr>
          <w:rFonts w:ascii="Arial" w:eastAsia="Arial" w:hAnsi="Arial" w:cs="Arial"/>
          <w:color w:val="222222"/>
          <w:sz w:val="20"/>
          <w:szCs w:val="20"/>
          <w:highlight w:val="white"/>
        </w:rPr>
        <w:t xml:space="preserve"> </w:t>
      </w:r>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222222"/>
          <w:sz w:val="20"/>
          <w:szCs w:val="20"/>
          <w:highlight w:val="white"/>
        </w:rPr>
        <w:t>Zhuravleva, O., &amp; Helmer, J. (2024). Teachers’ perceptions and attitudes around the possible implementation of sex education in schools: views from teacher</w:t>
      </w:r>
      <w:r>
        <w:rPr>
          <w:rFonts w:ascii="Arial" w:eastAsia="Arial" w:hAnsi="Arial" w:cs="Arial"/>
          <w:color w:val="222222"/>
          <w:sz w:val="20"/>
          <w:szCs w:val="20"/>
          <w:highlight w:val="white"/>
        </w:rPr>
        <w:t xml:space="preserve">s in Kazakhstan’s Karaganda Region. </w:t>
      </w:r>
      <w:r>
        <w:rPr>
          <w:rFonts w:ascii="Arial" w:eastAsia="Arial" w:hAnsi="Arial" w:cs="Arial"/>
          <w:i/>
          <w:color w:val="222222"/>
          <w:sz w:val="20"/>
          <w:szCs w:val="20"/>
          <w:highlight w:val="white"/>
        </w:rPr>
        <w:t>Sex Education</w:t>
      </w:r>
      <w:r>
        <w:rPr>
          <w:rFonts w:ascii="Arial" w:eastAsia="Arial" w:hAnsi="Arial" w:cs="Arial"/>
          <w:color w:val="222222"/>
          <w:sz w:val="20"/>
          <w:szCs w:val="20"/>
          <w:highlight w:val="white"/>
        </w:rPr>
        <w:t xml:space="preserve">, </w:t>
      </w:r>
      <w:r>
        <w:rPr>
          <w:rFonts w:ascii="Arial" w:eastAsia="Arial" w:hAnsi="Arial" w:cs="Arial"/>
          <w:i/>
          <w:color w:val="222222"/>
          <w:sz w:val="20"/>
          <w:szCs w:val="20"/>
          <w:highlight w:val="white"/>
        </w:rPr>
        <w:t>24</w:t>
      </w:r>
      <w:r>
        <w:rPr>
          <w:rFonts w:ascii="Arial" w:eastAsia="Arial" w:hAnsi="Arial" w:cs="Arial"/>
          <w:color w:val="222222"/>
          <w:sz w:val="20"/>
          <w:szCs w:val="20"/>
          <w:highlight w:val="white"/>
        </w:rPr>
        <w:t xml:space="preserve">(2), 154-171. </w:t>
      </w:r>
      <w:hyperlink r:id="rId17" w:history="1">
        <w:r>
          <w:rPr>
            <w:rFonts w:ascii="Arial" w:eastAsia="Arial" w:hAnsi="Arial" w:cs="Arial"/>
            <w:color w:val="006DB4"/>
            <w:sz w:val="20"/>
            <w:szCs w:val="20"/>
            <w:highlight w:val="white"/>
          </w:rPr>
          <w:t>https://doi.org/10.1080/14681811.2022.2164760</w:t>
        </w:r>
      </w:hyperlink>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000000"/>
          <w:sz w:val="20"/>
          <w:szCs w:val="20"/>
        </w:rPr>
        <w:t>Castillo, J., Derluyn, I., Valcke, M. (2019). Student teachers’ cognitions to pra</w:t>
      </w:r>
      <w:r>
        <w:rPr>
          <w:rFonts w:ascii="Arial" w:eastAsia="Arial" w:hAnsi="Arial" w:cs="Arial"/>
          <w:color w:val="000000"/>
          <w:sz w:val="20"/>
          <w:szCs w:val="20"/>
        </w:rPr>
        <w:t xml:space="preserve">ctices in Ecuador. </w:t>
      </w:r>
      <w:r>
        <w:rPr>
          <w:rFonts w:ascii="Arial" w:eastAsia="Arial" w:hAnsi="Arial" w:cs="Arial"/>
          <w:i/>
          <w:color w:val="000000"/>
          <w:sz w:val="20"/>
          <w:szCs w:val="20"/>
        </w:rPr>
        <w:t>Teaching and Teacher Education,9,39-4.</w:t>
      </w:r>
      <w:r>
        <w:rPr>
          <w:rFonts w:ascii="Arial" w:eastAsia="Arial" w:hAnsi="Arial" w:cs="Arial"/>
          <w:color w:val="000000"/>
          <w:sz w:val="20"/>
          <w:szCs w:val="20"/>
        </w:rPr>
        <w:t xml:space="preserve"> </w:t>
      </w:r>
      <w:hyperlink r:id="rId18" w:history="1">
        <w:r>
          <w:rPr>
            <w:rFonts w:ascii="Arial" w:eastAsia="Arial" w:hAnsi="Arial" w:cs="Arial"/>
            <w:color w:val="467886"/>
            <w:sz w:val="20"/>
            <w:szCs w:val="20"/>
            <w:u w:val="single"/>
          </w:rPr>
          <w:t>https://doi.10.1016/j.tate.2019.12.007</w:t>
        </w:r>
      </w:hyperlink>
      <w:r>
        <w:rPr>
          <w:rFonts w:ascii="Arial" w:eastAsia="Arial" w:hAnsi="Arial" w:cs="Arial"/>
          <w:color w:val="000000"/>
          <w:sz w:val="20"/>
          <w:szCs w:val="20"/>
        </w:rPr>
        <w:t xml:space="preserve"> </w:t>
      </w:r>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000000"/>
          <w:sz w:val="20"/>
          <w:szCs w:val="20"/>
          <w:highlight w:val="white"/>
        </w:rPr>
        <w:t>Ali, M. I. (2023). Need for Implementation of Sex Education Curriculum in Primary Schools to Protect Children from Sexual Abuse in</w:t>
      </w:r>
      <w:r>
        <w:rPr>
          <w:rFonts w:ascii="Arial" w:eastAsia="Arial" w:hAnsi="Arial" w:cs="Arial"/>
          <w:color w:val="000000"/>
          <w:sz w:val="20"/>
          <w:szCs w:val="20"/>
          <w:highlight w:val="white"/>
        </w:rPr>
        <w:t xml:space="preserve"> Pakistan. </w:t>
      </w:r>
      <w:r>
        <w:rPr>
          <w:rFonts w:ascii="Arial" w:eastAsia="Arial" w:hAnsi="Arial" w:cs="Arial"/>
          <w:i/>
          <w:color w:val="000000"/>
          <w:sz w:val="20"/>
          <w:szCs w:val="20"/>
          <w:highlight w:val="white"/>
        </w:rPr>
        <w:t>Journal of Legal Studies “Vasile Goldiş”</w:t>
      </w:r>
      <w:r>
        <w:rPr>
          <w:rFonts w:ascii="Arial" w:eastAsia="Arial" w:hAnsi="Arial" w:cs="Arial"/>
          <w:color w:val="000000"/>
          <w:sz w:val="20"/>
          <w:szCs w:val="20"/>
          <w:highlight w:val="white"/>
        </w:rPr>
        <w:t>, </w:t>
      </w:r>
      <w:r>
        <w:rPr>
          <w:rFonts w:ascii="Arial" w:eastAsia="Arial" w:hAnsi="Arial" w:cs="Arial"/>
          <w:i/>
          <w:color w:val="000000"/>
          <w:sz w:val="20"/>
          <w:szCs w:val="20"/>
          <w:highlight w:val="white"/>
        </w:rPr>
        <w:t>31</w:t>
      </w:r>
      <w:r>
        <w:rPr>
          <w:rFonts w:ascii="Arial" w:eastAsia="Arial" w:hAnsi="Arial" w:cs="Arial"/>
          <w:color w:val="000000"/>
          <w:sz w:val="20"/>
          <w:szCs w:val="20"/>
          <w:highlight w:val="white"/>
        </w:rPr>
        <w:t>(45), 51–65.</w:t>
      </w:r>
      <w:hyperlink r:id="rId19" w:history="1">
        <w:r>
          <w:rPr>
            <w:rFonts w:ascii="Arial" w:eastAsia="Arial" w:hAnsi="Arial" w:cs="Arial"/>
            <w:color w:val="467886"/>
            <w:sz w:val="20"/>
            <w:szCs w:val="20"/>
            <w:u w:val="single"/>
          </w:rPr>
          <w:t>https://doi.org/10.2478/jles-2023-0004</w:t>
        </w:r>
      </w:hyperlink>
      <w:r>
        <w:rPr>
          <w:rFonts w:ascii="Arial" w:eastAsia="Arial" w:hAnsi="Arial" w:cs="Arial"/>
          <w:color w:val="467886"/>
          <w:sz w:val="20"/>
          <w:szCs w:val="20"/>
          <w:u w:val="single"/>
        </w:rPr>
        <w:t xml:space="preserve"> </w:t>
      </w:r>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000000"/>
          <w:sz w:val="20"/>
          <w:szCs w:val="20"/>
        </w:rPr>
        <w:t>Rotondano</w:t>
      </w:r>
      <w:r>
        <w:rPr>
          <w:rFonts w:ascii="Arial" w:eastAsia="Arial" w:hAnsi="Arial" w:cs="Arial"/>
          <w:color w:val="000000"/>
          <w:sz w:val="20"/>
          <w:szCs w:val="20"/>
        </w:rPr>
        <w:t xml:space="preserve">, É. V. (2023). “LITTLE BY LITTLE”: IN-SERVICE TEACHER EDUCATION ON SEXUALITY IN THE MANAUS MUNICIPAL EDUCATION SYSTEM. </w:t>
      </w:r>
      <w:r>
        <w:rPr>
          <w:rFonts w:ascii="Arial" w:eastAsia="Arial" w:hAnsi="Arial" w:cs="Arial"/>
          <w:i/>
          <w:color w:val="000000"/>
          <w:sz w:val="20"/>
          <w:szCs w:val="20"/>
        </w:rPr>
        <w:t xml:space="preserve">Educação em Revista, 39, e20723. </w:t>
      </w:r>
      <w:hyperlink r:id="rId20" w:history="1">
        <w:r>
          <w:rPr>
            <w:rFonts w:ascii="Arial" w:eastAsia="Arial" w:hAnsi="Arial" w:cs="Arial"/>
            <w:color w:val="467886"/>
            <w:sz w:val="20"/>
            <w:szCs w:val="20"/>
            <w:u w:val="single"/>
          </w:rPr>
          <w:t>https://doi.org/10.1590/0102-469820723T</w:t>
        </w:r>
      </w:hyperlink>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222222"/>
          <w:sz w:val="20"/>
          <w:szCs w:val="20"/>
          <w:highlight w:val="white"/>
        </w:rPr>
        <w:lastRenderedPageBreak/>
        <w:t>Republi</w:t>
      </w:r>
      <w:r>
        <w:rPr>
          <w:rFonts w:ascii="Arial" w:eastAsia="Arial" w:hAnsi="Arial" w:cs="Arial"/>
          <w:color w:val="222222"/>
          <w:sz w:val="20"/>
          <w:szCs w:val="20"/>
          <w:highlight w:val="white"/>
        </w:rPr>
        <w:t>c of Uganda (2018). </w:t>
      </w:r>
      <w:r>
        <w:rPr>
          <w:rFonts w:ascii="Arial" w:eastAsia="Arial" w:hAnsi="Arial" w:cs="Arial"/>
          <w:i/>
          <w:color w:val="222222"/>
          <w:sz w:val="20"/>
          <w:szCs w:val="20"/>
          <w:highlight w:val="white"/>
        </w:rPr>
        <w:t>National Sexuality Education Framework</w:t>
      </w:r>
      <w:r>
        <w:rPr>
          <w:rFonts w:ascii="Arial" w:eastAsia="Arial" w:hAnsi="Arial" w:cs="Arial"/>
          <w:color w:val="222222"/>
          <w:sz w:val="20"/>
          <w:szCs w:val="20"/>
          <w:highlight w:val="white"/>
        </w:rPr>
        <w:t>. Kampala, Uganda: Ministry of Education and Sports, 2018, 1–68.</w:t>
      </w:r>
      <w:r>
        <w:rPr>
          <w:rFonts w:ascii="Arial" w:eastAsia="Arial" w:hAnsi="Arial" w:cs="Arial"/>
          <w:color w:val="000000"/>
          <w:sz w:val="20"/>
          <w:szCs w:val="20"/>
        </w:rPr>
        <w:t xml:space="preserve"> </w:t>
      </w:r>
      <w:hyperlink r:id="rId21" w:history="1">
        <w:r>
          <w:rPr>
            <w:rFonts w:ascii="Arial" w:eastAsia="Arial" w:hAnsi="Arial" w:cs="Arial"/>
            <w:color w:val="467886"/>
            <w:sz w:val="20"/>
            <w:szCs w:val="20"/>
            <w:highlight w:val="white"/>
            <w:u w:val="single"/>
          </w:rPr>
          <w:t>https://doi.org/10.59298/inosrah/2024/101.9160</w:t>
        </w:r>
      </w:hyperlink>
      <w:r>
        <w:rPr>
          <w:rFonts w:ascii="Arial" w:eastAsia="Arial" w:hAnsi="Arial" w:cs="Arial"/>
          <w:color w:val="0070C0"/>
          <w:sz w:val="20"/>
          <w:szCs w:val="20"/>
          <w:highlight w:val="white"/>
          <w:u w:val="single"/>
        </w:rPr>
        <w:t xml:space="preserve"> </w:t>
      </w:r>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000000"/>
          <w:sz w:val="20"/>
          <w:szCs w:val="20"/>
        </w:rPr>
        <w:t xml:space="preserve">Darabi, L., Bankole, A., &amp; Serumaga, K. (2019). Protecting the Next Generation in Uganda: New Evidence on Adolescent Sexual and Reproductive Health Needs. New York: </w:t>
      </w:r>
      <w:r>
        <w:rPr>
          <w:rFonts w:ascii="Arial" w:eastAsia="Arial" w:hAnsi="Arial" w:cs="Arial"/>
          <w:i/>
          <w:color w:val="000000"/>
          <w:sz w:val="20"/>
          <w:szCs w:val="20"/>
        </w:rPr>
        <w:t xml:space="preserve">Guttmacher Institute, 1–52. </w:t>
      </w:r>
      <w:hyperlink r:id="rId22" w:history="1">
        <w:r>
          <w:rPr>
            <w:rFonts w:ascii="Arial" w:eastAsia="Arial" w:hAnsi="Arial" w:cs="Arial"/>
            <w:color w:val="467886"/>
            <w:sz w:val="20"/>
            <w:szCs w:val="20"/>
            <w:u w:val="single"/>
          </w:rPr>
          <w:t>https://do</w:t>
        </w:r>
        <w:r>
          <w:rPr>
            <w:rFonts w:ascii="Arial" w:eastAsia="Arial" w:hAnsi="Arial" w:cs="Arial"/>
            <w:color w:val="467886"/>
            <w:sz w:val="20"/>
            <w:szCs w:val="20"/>
            <w:u w:val="single"/>
          </w:rPr>
          <w:t>i.org/10.26481/dis.20190314jn</w:t>
        </w:r>
      </w:hyperlink>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222222"/>
          <w:sz w:val="20"/>
          <w:szCs w:val="20"/>
          <w:highlight w:val="white"/>
        </w:rPr>
        <w:t xml:space="preserve">UNESCO. (2019a). International Technical Guidance on sexuality education, revised version. France. </w:t>
      </w:r>
      <w:r>
        <w:rPr>
          <w:rFonts w:ascii="Arial" w:eastAsia="Arial" w:hAnsi="Arial" w:cs="Arial"/>
          <w:i/>
          <w:color w:val="222222"/>
          <w:sz w:val="20"/>
          <w:szCs w:val="20"/>
          <w:highlight w:val="white"/>
        </w:rPr>
        <w:t xml:space="preserve">UNESCO Digital Library. </w:t>
      </w:r>
      <w:r>
        <w:rPr>
          <w:rFonts w:ascii="Arial" w:eastAsia="Arial" w:hAnsi="Arial" w:cs="Arial"/>
          <w:color w:val="222222"/>
          <w:sz w:val="20"/>
          <w:szCs w:val="20"/>
          <w:highlight w:val="white"/>
        </w:rPr>
        <w:t xml:space="preserve"> </w:t>
      </w:r>
      <w:r>
        <w:rPr>
          <w:rFonts w:ascii="Arial" w:eastAsia="Arial" w:hAnsi="Arial" w:cs="Arial"/>
          <w:color w:val="0070C0"/>
          <w:sz w:val="20"/>
          <w:szCs w:val="20"/>
          <w:highlight w:val="white"/>
          <w:u w:val="single"/>
        </w:rPr>
        <w:t>https://doi.org/10.1186 s12978-019-0675-z</w:t>
      </w:r>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222222"/>
          <w:sz w:val="20"/>
          <w:szCs w:val="20"/>
          <w:highlight w:val="white"/>
        </w:rPr>
        <w:t>Herat, J., Plesons, M., Castle, C., Babb, J., &amp; Chandra-M</w:t>
      </w:r>
      <w:r>
        <w:rPr>
          <w:rFonts w:ascii="Arial" w:eastAsia="Arial" w:hAnsi="Arial" w:cs="Arial"/>
          <w:color w:val="222222"/>
          <w:sz w:val="20"/>
          <w:szCs w:val="20"/>
          <w:highlight w:val="white"/>
        </w:rPr>
        <w:t xml:space="preserve">ouli, V. (2018). The revised international technical guidance on sex education is a powerful tool at an important crossroads for sex education. </w:t>
      </w:r>
      <w:r>
        <w:rPr>
          <w:rFonts w:ascii="Arial" w:eastAsia="Arial" w:hAnsi="Arial" w:cs="Arial"/>
          <w:i/>
          <w:color w:val="222222"/>
          <w:sz w:val="20"/>
          <w:szCs w:val="20"/>
          <w:highlight w:val="white"/>
        </w:rPr>
        <w:t>Reproductive health, p. 15, 1</w:t>
      </w:r>
      <w:r>
        <w:rPr>
          <w:rFonts w:ascii="Arial" w:eastAsia="Arial" w:hAnsi="Arial" w:cs="Arial"/>
          <w:color w:val="0070C0"/>
          <w:sz w:val="20"/>
          <w:szCs w:val="20"/>
          <w:highlight w:val="white"/>
          <w:u w:val="single"/>
        </w:rPr>
        <w:t>–4. ttps://doi.org/10.1186/s12978-018-0629-x</w:t>
      </w:r>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222222"/>
          <w:sz w:val="20"/>
          <w:szCs w:val="20"/>
          <w:highlight w:val="white"/>
        </w:rPr>
        <w:t xml:space="preserve">Salas, M. J. S. (2019). </w:t>
      </w:r>
      <w:r>
        <w:rPr>
          <w:rFonts w:ascii="Arial" w:eastAsia="Arial" w:hAnsi="Arial" w:cs="Arial"/>
          <w:color w:val="000000"/>
          <w:sz w:val="20"/>
          <w:szCs w:val="20"/>
        </w:rPr>
        <w:t xml:space="preserve">Comprehensive </w:t>
      </w:r>
      <w:r>
        <w:rPr>
          <w:rFonts w:ascii="Arial" w:eastAsia="Arial" w:hAnsi="Arial" w:cs="Arial"/>
          <w:color w:val="000000"/>
          <w:sz w:val="20"/>
          <w:szCs w:val="20"/>
        </w:rPr>
        <w:t xml:space="preserve">sexuality education. </w:t>
      </w:r>
      <w:r>
        <w:rPr>
          <w:rFonts w:ascii="Arial" w:eastAsia="Arial" w:hAnsi="Arial" w:cs="Arial"/>
          <w:i/>
          <w:color w:val="000000"/>
          <w:sz w:val="20"/>
          <w:szCs w:val="20"/>
        </w:rPr>
        <w:t xml:space="preserve">Oxford Research Encyclopedia of Global Public Health. </w:t>
      </w:r>
      <w:hyperlink r:id="rId23" w:history="1">
        <w:r>
          <w:rPr>
            <w:rFonts w:ascii="Arial" w:eastAsia="Arial" w:hAnsi="Arial" w:cs="Arial"/>
            <w:color w:val="467886"/>
            <w:sz w:val="20"/>
            <w:szCs w:val="20"/>
            <w:u w:val="single"/>
          </w:rPr>
          <w:t>https://doi.org/10.1093/acrefore/9780190632366.013.205</w:t>
        </w:r>
      </w:hyperlink>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000000"/>
          <w:sz w:val="20"/>
          <w:szCs w:val="20"/>
        </w:rPr>
        <w:t>Ballecer, J. R. (2023). Sex Education Not Enough, Bette</w:t>
      </w:r>
      <w:r>
        <w:rPr>
          <w:rFonts w:ascii="Arial" w:eastAsia="Arial" w:hAnsi="Arial" w:cs="Arial"/>
          <w:color w:val="000000"/>
          <w:sz w:val="20"/>
          <w:szCs w:val="20"/>
        </w:rPr>
        <w:t xml:space="preserve">r Collaborative Efforts To Combat Teen Pregnancy Pushed. </w:t>
      </w:r>
      <w:r>
        <w:rPr>
          <w:rFonts w:ascii="Arial" w:eastAsia="Arial" w:hAnsi="Arial" w:cs="Arial"/>
          <w:i/>
          <w:color w:val="000000"/>
          <w:sz w:val="20"/>
          <w:szCs w:val="20"/>
        </w:rPr>
        <w:t xml:space="preserve">One News. </w:t>
      </w:r>
      <w:hyperlink r:id="rId24" w:history="1">
        <w:r>
          <w:rPr>
            <w:rFonts w:ascii="Arial" w:eastAsia="Arial" w:hAnsi="Arial" w:cs="Arial"/>
            <w:color w:val="467886"/>
            <w:sz w:val="20"/>
            <w:szCs w:val="20"/>
            <w:u w:val="single"/>
          </w:rPr>
          <w:t>https://doi.org/10.1371/journal.pone.0024658</w:t>
        </w:r>
      </w:hyperlink>
      <w:r>
        <w:rPr>
          <w:rFonts w:ascii="Arial" w:eastAsia="Arial" w:hAnsi="Arial" w:cs="Arial"/>
          <w:color w:val="000000"/>
          <w:sz w:val="20"/>
          <w:szCs w:val="20"/>
        </w:rPr>
        <w:t xml:space="preserve"> </w:t>
      </w:r>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000000"/>
          <w:sz w:val="20"/>
          <w:szCs w:val="20"/>
        </w:rPr>
        <w:t>Wheeler, L. A. (2020). '"What is Happening to Sexual Privacy?": Easing Access to S</w:t>
      </w:r>
      <w:r>
        <w:rPr>
          <w:rFonts w:ascii="Arial" w:eastAsia="Arial" w:hAnsi="Arial" w:cs="Arial"/>
          <w:color w:val="000000"/>
          <w:sz w:val="20"/>
          <w:szCs w:val="20"/>
        </w:rPr>
        <w:t xml:space="preserve">exual Expression, 1960s–1970s', </w:t>
      </w:r>
      <w:r>
        <w:rPr>
          <w:rFonts w:ascii="Arial" w:eastAsia="Arial" w:hAnsi="Arial" w:cs="Arial"/>
          <w:i/>
          <w:color w:val="000000"/>
          <w:sz w:val="20"/>
          <w:szCs w:val="20"/>
        </w:rPr>
        <w:t>How Sex Became a Civil Liberty</w:t>
      </w:r>
      <w:r>
        <w:rPr>
          <w:rFonts w:ascii="Arial" w:eastAsia="Arial" w:hAnsi="Arial" w:cs="Arial"/>
          <w:color w:val="000000"/>
          <w:sz w:val="20"/>
          <w:szCs w:val="20"/>
        </w:rPr>
        <w:t> (</w:t>
      </w:r>
      <w:r>
        <w:rPr>
          <w:rFonts w:ascii="Arial" w:eastAsia="Arial" w:hAnsi="Arial" w:cs="Arial"/>
          <w:i/>
          <w:color w:val="000000"/>
          <w:sz w:val="20"/>
          <w:szCs w:val="20"/>
        </w:rPr>
        <w:t>New York, 2013, Oxford Academic</w:t>
      </w:r>
      <w:r>
        <w:rPr>
          <w:rFonts w:ascii="Arial" w:eastAsia="Arial" w:hAnsi="Arial" w:cs="Arial"/>
          <w:color w:val="000000"/>
          <w:sz w:val="20"/>
          <w:szCs w:val="20"/>
        </w:rPr>
        <w:t>), </w:t>
      </w:r>
      <w:hyperlink r:id="rId25" w:history="1">
        <w:r>
          <w:rPr>
            <w:rFonts w:ascii="Arial" w:eastAsia="Arial" w:hAnsi="Arial" w:cs="Arial"/>
            <w:color w:val="467886"/>
            <w:sz w:val="20"/>
            <w:szCs w:val="20"/>
            <w:u w:val="single"/>
          </w:rPr>
          <w:t>https://doi.org/10.1093/acprof:osobl/9780199754236.003.0007</w:t>
        </w:r>
      </w:hyperlink>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000000"/>
          <w:sz w:val="20"/>
          <w:szCs w:val="20"/>
        </w:rPr>
        <w:t>Perez, G. (2023). Lack</w:t>
      </w:r>
      <w:r>
        <w:rPr>
          <w:rFonts w:ascii="Arial" w:eastAsia="Arial" w:hAnsi="Arial" w:cs="Arial"/>
          <w:color w:val="000000"/>
          <w:sz w:val="20"/>
          <w:szCs w:val="20"/>
        </w:rPr>
        <w:t xml:space="preserve"> of Sex Education</w:t>
      </w:r>
      <w:r>
        <w:rPr>
          <w:rFonts w:ascii="Arial" w:eastAsia="Arial" w:hAnsi="Arial" w:cs="Arial"/>
          <w:i/>
          <w:color w:val="000000"/>
          <w:sz w:val="20"/>
          <w:szCs w:val="20"/>
        </w:rPr>
        <w:t xml:space="preserve">. American National Biography. Retrieved 7 Jan. 2025, from </w:t>
      </w:r>
      <w:hyperlink r:id="rId26" w:history="1">
        <w:r>
          <w:rPr>
            <w:rFonts w:ascii="Arial" w:eastAsia="Arial" w:hAnsi="Arial" w:cs="Arial"/>
            <w:color w:val="467886"/>
            <w:sz w:val="20"/>
            <w:szCs w:val="20"/>
            <w:u w:val="single"/>
          </w:rPr>
          <w:t>https://doi.org/10.1093/anb/9780198606697.article.1501392</w:t>
        </w:r>
      </w:hyperlink>
      <w:r>
        <w:rPr>
          <w:rFonts w:ascii="Arial" w:eastAsia="Arial" w:hAnsi="Arial" w:cs="Arial"/>
          <w:color w:val="000000"/>
          <w:sz w:val="20"/>
          <w:szCs w:val="20"/>
        </w:rPr>
        <w:t xml:space="preserve"> </w:t>
      </w:r>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000000"/>
          <w:sz w:val="20"/>
          <w:szCs w:val="20"/>
        </w:rPr>
        <w:t>Pinandari, A. W., Kågesten</w:t>
      </w:r>
      <w:r>
        <w:rPr>
          <w:rFonts w:ascii="Arial" w:eastAsia="Arial" w:hAnsi="Arial" w:cs="Arial"/>
          <w:color w:val="000000"/>
          <w:sz w:val="20"/>
          <w:szCs w:val="20"/>
        </w:rPr>
        <w:t xml:space="preserve">, A. E., Li, M., Moreau, C., van Reeuwijk, M., &amp; Wilopo, S. A. (2023). Short-Term Effects of a School-Based Comprehensive Sexuality Education Intervention Among Very Young Adolescents in Three Urban Indo Asian Settings: A Quasi-Experimental Study. </w:t>
      </w:r>
      <w:r>
        <w:rPr>
          <w:rFonts w:ascii="Arial" w:eastAsia="Arial" w:hAnsi="Arial" w:cs="Arial"/>
          <w:i/>
          <w:color w:val="000000"/>
          <w:sz w:val="20"/>
          <w:szCs w:val="20"/>
        </w:rPr>
        <w:t xml:space="preserve">Journal </w:t>
      </w:r>
      <w:r>
        <w:rPr>
          <w:rFonts w:ascii="Arial" w:eastAsia="Arial" w:hAnsi="Arial" w:cs="Arial"/>
          <w:i/>
          <w:color w:val="000000"/>
          <w:sz w:val="20"/>
          <w:szCs w:val="20"/>
        </w:rPr>
        <w:t xml:space="preserve">of Adolescent Health, </w:t>
      </w:r>
      <w:r>
        <w:rPr>
          <w:rFonts w:ascii="Arial" w:eastAsia="Arial" w:hAnsi="Arial" w:cs="Arial"/>
          <w:color w:val="000000"/>
          <w:sz w:val="20"/>
          <w:szCs w:val="20"/>
        </w:rPr>
        <w:t xml:space="preserve"> Vo ume 73, Issue 1, S21 – S32. </w:t>
      </w:r>
      <w:hyperlink r:id="rId27" w:history="1">
        <w:r>
          <w:rPr>
            <w:rFonts w:ascii="Arial" w:eastAsia="Arial" w:hAnsi="Arial" w:cs="Arial"/>
            <w:color w:val="467886"/>
            <w:sz w:val="20"/>
            <w:szCs w:val="20"/>
            <w:u w:val="single"/>
          </w:rPr>
          <w:t>https://doi.org/ 0.1016/j.jadohealth.2023.01.030</w:t>
        </w:r>
      </w:hyperlink>
      <w:r>
        <w:rPr>
          <w:rFonts w:ascii="Arial" w:eastAsia="Arial" w:hAnsi="Arial" w:cs="Arial"/>
          <w:color w:val="467886"/>
          <w:sz w:val="20"/>
          <w:szCs w:val="20"/>
          <w:u w:val="single"/>
        </w:rPr>
        <w:t xml:space="preserve"> </w:t>
      </w:r>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000000"/>
          <w:sz w:val="20"/>
          <w:szCs w:val="20"/>
        </w:rPr>
        <w:t xml:space="preserve">Kyaddondo, B., &amp; Sempanyi, J. N. (2020). Sexual and Reproductive Health of adolescents </w:t>
      </w:r>
      <w:r>
        <w:rPr>
          <w:rFonts w:ascii="Arial" w:eastAsia="Arial" w:hAnsi="Arial" w:cs="Arial"/>
          <w:color w:val="000000"/>
          <w:sz w:val="20"/>
          <w:szCs w:val="20"/>
        </w:rPr>
        <w:t xml:space="preserve">and young people in Madagascar. </w:t>
      </w:r>
      <w:r>
        <w:rPr>
          <w:rFonts w:ascii="Arial" w:eastAsia="Arial" w:hAnsi="Arial" w:cs="Arial"/>
          <w:i/>
          <w:color w:val="000000"/>
          <w:sz w:val="20"/>
          <w:szCs w:val="20"/>
        </w:rPr>
        <w:t>Primary sources Brill Online</w:t>
      </w:r>
      <w:r>
        <w:rPr>
          <w:rFonts w:ascii="Arial" w:eastAsia="Arial" w:hAnsi="Arial" w:cs="Arial"/>
          <w:color w:val="000000"/>
          <w:sz w:val="20"/>
          <w:szCs w:val="20"/>
        </w:rPr>
        <w:t xml:space="preserve">. </w:t>
      </w:r>
      <w:hyperlink r:id="rId28" w:history="1">
        <w:r>
          <w:rPr>
            <w:rFonts w:ascii="Arial" w:eastAsia="Arial" w:hAnsi="Arial" w:cs="Arial"/>
            <w:color w:val="467886"/>
            <w:sz w:val="20"/>
            <w:szCs w:val="20"/>
            <w:u w:val="single"/>
          </w:rPr>
          <w:t>https://doi.org/10.1163/2210-7975_hrd-5548-20180004</w:t>
        </w:r>
      </w:hyperlink>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000000"/>
          <w:sz w:val="20"/>
          <w:szCs w:val="20"/>
        </w:rPr>
        <w:t>Amanio, Y. K. V. Legaspino, C. O., Mondido, J. R. C., Somosot, I. S., &amp; Bo</w:t>
      </w:r>
      <w:r>
        <w:rPr>
          <w:rFonts w:ascii="Arial" w:eastAsia="Arial" w:hAnsi="Arial" w:cs="Arial"/>
          <w:color w:val="000000"/>
          <w:sz w:val="20"/>
          <w:szCs w:val="20"/>
        </w:rPr>
        <w:t xml:space="preserve">rlio, J. G. (2022). Investigating the academic experience of science education students with virtual laboratory classes: A convergent parallel approach. </w:t>
      </w:r>
      <w:r>
        <w:rPr>
          <w:rFonts w:ascii="Arial" w:eastAsia="Arial" w:hAnsi="Arial" w:cs="Arial"/>
          <w:i/>
          <w:color w:val="000000"/>
          <w:sz w:val="20"/>
          <w:szCs w:val="20"/>
        </w:rPr>
        <w:t>Asia Pacific Journal of Educators and Education</w:t>
      </w:r>
      <w:r>
        <w:rPr>
          <w:rFonts w:ascii="Arial" w:eastAsia="Arial" w:hAnsi="Arial" w:cs="Arial"/>
          <w:color w:val="000000"/>
          <w:sz w:val="20"/>
          <w:szCs w:val="20"/>
        </w:rPr>
        <w:t xml:space="preserve">, 37(2), 281–299. </w:t>
      </w:r>
      <w:hyperlink r:id="rId29" w:history="1">
        <w:r>
          <w:rPr>
            <w:rFonts w:ascii="Arial" w:eastAsia="Arial" w:hAnsi="Arial" w:cs="Arial"/>
            <w:color w:val="467886"/>
            <w:sz w:val="20"/>
            <w:szCs w:val="20"/>
            <w:u w:val="single"/>
          </w:rPr>
          <w:t>https://doi.org/10.21315/apjee2022.37.2.14</w:t>
        </w:r>
      </w:hyperlink>
      <w:r>
        <w:rPr>
          <w:rFonts w:ascii="Arial" w:eastAsia="Arial" w:hAnsi="Arial" w:cs="Arial"/>
          <w:color w:val="000000"/>
          <w:sz w:val="20"/>
          <w:szCs w:val="20"/>
        </w:rPr>
        <w:t xml:space="preserve"> </w:t>
      </w:r>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000000"/>
          <w:sz w:val="20"/>
          <w:szCs w:val="20"/>
        </w:rPr>
        <w:t xml:space="preserve">Giacquinta, J. B. (2019). A Study of the Responses of Four Groups of Educators to the Proposed Introduction of Sex Education in Elementa y School. </w:t>
      </w:r>
      <w:r>
        <w:rPr>
          <w:rFonts w:ascii="Arial" w:eastAsia="Arial" w:hAnsi="Arial" w:cs="Arial"/>
          <w:i/>
          <w:color w:val="000000"/>
          <w:sz w:val="20"/>
          <w:szCs w:val="20"/>
        </w:rPr>
        <w:t>Sociology of Education, 48(1), 38–58.</w:t>
      </w:r>
      <w:hyperlink r:id="rId30" w:history="1">
        <w:r>
          <w:rPr>
            <w:rFonts w:ascii="Arial" w:eastAsia="Arial" w:hAnsi="Arial" w:cs="Arial"/>
            <w:color w:val="467886"/>
            <w:sz w:val="20"/>
            <w:szCs w:val="20"/>
            <w:u w:val="single"/>
          </w:rPr>
          <w:t>https://doi.org/10.2307/2112049</w:t>
        </w:r>
      </w:hyperlink>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222222"/>
          <w:sz w:val="20"/>
          <w:szCs w:val="20"/>
          <w:highlight w:val="white"/>
        </w:rPr>
        <w:t>Fishbein, M. (2008). Reasoned action, theory of. </w:t>
      </w:r>
      <w:r>
        <w:rPr>
          <w:rFonts w:ascii="Arial" w:eastAsia="Arial" w:hAnsi="Arial" w:cs="Arial"/>
          <w:i/>
          <w:color w:val="222222"/>
          <w:sz w:val="20"/>
          <w:szCs w:val="20"/>
          <w:highlight w:val="white"/>
        </w:rPr>
        <w:t>The International Encyclopedia of Communication</w:t>
      </w:r>
      <w:r>
        <w:rPr>
          <w:rFonts w:ascii="Arial" w:eastAsia="Arial" w:hAnsi="Arial" w:cs="Arial"/>
          <w:color w:val="222222"/>
          <w:sz w:val="20"/>
          <w:szCs w:val="20"/>
          <w:highlight w:val="white"/>
        </w:rPr>
        <w:t xml:space="preserve">. </w:t>
      </w:r>
      <w:hyperlink r:id="rId31" w:history="1">
        <w:r>
          <w:rPr>
            <w:rFonts w:ascii="Arial" w:eastAsia="Arial" w:hAnsi="Arial" w:cs="Arial"/>
            <w:color w:val="467886"/>
            <w:sz w:val="20"/>
            <w:szCs w:val="20"/>
            <w:highlight w:val="white"/>
            <w:u w:val="single"/>
          </w:rPr>
          <w:t>https://doi.org/10.1002/</w:t>
        </w:r>
        <w:r>
          <w:rPr>
            <w:rFonts w:ascii="Arial" w:eastAsia="Arial" w:hAnsi="Arial" w:cs="Arial"/>
            <w:color w:val="467886"/>
            <w:sz w:val="20"/>
            <w:szCs w:val="20"/>
            <w:highlight w:val="white"/>
            <w:u w:val="single"/>
          </w:rPr>
          <w:t>9781405186407.wbiecr017</w:t>
        </w:r>
      </w:hyperlink>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222222"/>
          <w:sz w:val="20"/>
          <w:szCs w:val="20"/>
          <w:highlight w:val="white"/>
        </w:rPr>
        <w:t xml:space="preserve">Grigoropoulos, I. (2024). Applying the Theory of Planned Behavior in Sexuality Education: Educators Behavioral Intentions Toward Sexuality Issues. </w:t>
      </w:r>
      <w:r>
        <w:rPr>
          <w:rFonts w:ascii="Arial" w:eastAsia="Arial" w:hAnsi="Arial" w:cs="Arial"/>
          <w:i/>
          <w:color w:val="222222"/>
          <w:sz w:val="20"/>
          <w:szCs w:val="20"/>
          <w:highlight w:val="white"/>
        </w:rPr>
        <w:t>American Journal of Sexuality Education, pp. 1–33.</w:t>
      </w:r>
      <w:r>
        <w:rPr>
          <w:rFonts w:ascii="Arial" w:eastAsia="Arial" w:hAnsi="Arial" w:cs="Arial"/>
          <w:color w:val="222222"/>
          <w:sz w:val="20"/>
          <w:szCs w:val="20"/>
          <w:highlight w:val="white"/>
        </w:rPr>
        <w:t xml:space="preserve"> </w:t>
      </w:r>
      <w:hyperlink r:id="rId32" w:history="1">
        <w:r>
          <w:rPr>
            <w:rFonts w:ascii="Arial" w:eastAsia="Arial" w:hAnsi="Arial" w:cs="Arial"/>
            <w:color w:val="467886"/>
            <w:sz w:val="20"/>
            <w:szCs w:val="20"/>
            <w:highlight w:val="white"/>
            <w:u w:val="single"/>
          </w:rPr>
          <w:t>https://doi.org/10.32388/ksacnt</w:t>
        </w:r>
      </w:hyperlink>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222222"/>
          <w:sz w:val="20"/>
          <w:szCs w:val="20"/>
          <w:highlight w:val="white"/>
        </w:rPr>
        <w:t xml:space="preserve">Creswell, J. W. (2012). Research design: Qualitative, quantitative, and </w:t>
      </w:r>
      <w:r>
        <w:rPr>
          <w:rFonts w:ascii="Arial" w:eastAsia="Arial" w:hAnsi="Arial" w:cs="Arial"/>
          <w:color w:val="222222"/>
          <w:sz w:val="20"/>
          <w:szCs w:val="20"/>
          <w:highlight w:val="white"/>
        </w:rPr>
        <w:lastRenderedPageBreak/>
        <w:t>mixed methods approaches. </w:t>
      </w:r>
      <w:r>
        <w:rPr>
          <w:rFonts w:ascii="Arial" w:eastAsia="Arial" w:hAnsi="Arial" w:cs="Arial"/>
          <w:i/>
          <w:color w:val="222222"/>
          <w:sz w:val="20"/>
          <w:szCs w:val="20"/>
          <w:highlight w:val="white"/>
        </w:rPr>
        <w:t>Journal of Social and Administrative Sciences</w:t>
      </w:r>
      <w:r>
        <w:rPr>
          <w:rFonts w:ascii="Arial" w:eastAsia="Arial" w:hAnsi="Arial" w:cs="Arial"/>
          <w:color w:val="222222"/>
          <w:sz w:val="20"/>
          <w:szCs w:val="20"/>
          <w:highlight w:val="white"/>
        </w:rPr>
        <w:t>, </w:t>
      </w:r>
      <w:r>
        <w:rPr>
          <w:rFonts w:ascii="Arial" w:eastAsia="Arial" w:hAnsi="Arial" w:cs="Arial"/>
          <w:i/>
          <w:color w:val="222222"/>
          <w:sz w:val="20"/>
          <w:szCs w:val="20"/>
          <w:highlight w:val="white"/>
        </w:rPr>
        <w:t>4</w:t>
      </w:r>
      <w:r>
        <w:rPr>
          <w:rFonts w:ascii="Arial" w:eastAsia="Arial" w:hAnsi="Arial" w:cs="Arial"/>
          <w:color w:val="222222"/>
          <w:sz w:val="20"/>
          <w:szCs w:val="20"/>
          <w:highlight w:val="white"/>
        </w:rPr>
        <w:t>(2), 205-207.</w:t>
      </w:r>
      <w:r>
        <w:rPr>
          <w:rFonts w:ascii="Arial" w:eastAsia="Arial" w:hAnsi="Arial" w:cs="Arial"/>
          <w:color w:val="000000"/>
          <w:sz w:val="20"/>
          <w:szCs w:val="20"/>
        </w:rPr>
        <w:t xml:space="preserve"> </w:t>
      </w:r>
      <w:hyperlink r:id="rId33" w:history="1">
        <w:r>
          <w:rPr>
            <w:rFonts w:ascii="Arial" w:eastAsia="Arial" w:hAnsi="Arial" w:cs="Arial"/>
            <w:color w:val="467886"/>
            <w:sz w:val="20"/>
            <w:szCs w:val="20"/>
            <w:highlight w:val="white"/>
            <w:u w:val="single"/>
          </w:rPr>
          <w:t>https://doi.org/10.3316/qrj0602205</w:t>
        </w:r>
      </w:hyperlink>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000000"/>
          <w:sz w:val="20"/>
          <w:szCs w:val="20"/>
        </w:rPr>
        <w:t xml:space="preserve">Thomas, L. (2020). An introduction to simple random sampling. </w:t>
      </w:r>
      <w:r>
        <w:rPr>
          <w:rFonts w:ascii="Arial" w:eastAsia="Arial" w:hAnsi="Arial" w:cs="Arial"/>
          <w:i/>
          <w:color w:val="000000"/>
          <w:sz w:val="20"/>
          <w:szCs w:val="20"/>
        </w:rPr>
        <w:t xml:space="preserve">Quantitative methods for Social Science. Retrieved 19 Jan. 2022. </w:t>
      </w:r>
      <w:hyperlink r:id="rId34" w:history="1">
        <w:r>
          <w:rPr>
            <w:rFonts w:ascii="Arial" w:eastAsia="Arial" w:hAnsi="Arial" w:cs="Arial"/>
            <w:color w:val="467886"/>
            <w:sz w:val="20"/>
            <w:szCs w:val="20"/>
            <w:u w:val="single"/>
          </w:rPr>
          <w:t>https://doi.org/10.4135/9781412984683.n2</w:t>
        </w:r>
      </w:hyperlink>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000000"/>
          <w:sz w:val="20"/>
          <w:szCs w:val="20"/>
          <w:highlight w:val="white"/>
        </w:rPr>
        <w:t xml:space="preserve">Mchunu, N. J.  (2007). </w:t>
      </w:r>
      <w:r>
        <w:rPr>
          <w:rFonts w:ascii="Arial" w:eastAsia="Arial" w:hAnsi="Arial" w:cs="Arial"/>
          <w:color w:val="000000"/>
          <w:sz w:val="20"/>
          <w:szCs w:val="20"/>
        </w:rPr>
        <w:t xml:space="preserve">Teachers' perceptions of the teaching of sexuality Education in Pinetown district. </w:t>
      </w:r>
      <w:hyperlink r:id="rId35" w:history="1">
        <w:r>
          <w:rPr>
            <w:rFonts w:ascii="Arial" w:eastAsia="Arial" w:hAnsi="Arial" w:cs="Arial"/>
            <w:color w:val="467886"/>
            <w:sz w:val="20"/>
            <w:szCs w:val="20"/>
            <w:u w:val="single"/>
          </w:rPr>
          <w:t>https://doi.org/10.15604/ejbm.2021.09.01.005</w:t>
        </w:r>
      </w:hyperlink>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222222"/>
          <w:sz w:val="20"/>
          <w:szCs w:val="20"/>
          <w:highlight w:val="white"/>
        </w:rPr>
        <w:t>Kaur, P., Stoltzfus, J., &amp; Yellapu, V. (2018). Descriptive statistics. </w:t>
      </w:r>
      <w:r>
        <w:rPr>
          <w:rFonts w:ascii="Arial" w:eastAsia="Arial" w:hAnsi="Arial" w:cs="Arial"/>
          <w:i/>
          <w:color w:val="222222"/>
          <w:sz w:val="20"/>
          <w:szCs w:val="20"/>
          <w:highlight w:val="white"/>
        </w:rPr>
        <w:t>International Journal of Academic Medicine</w:t>
      </w:r>
      <w:r>
        <w:rPr>
          <w:rFonts w:ascii="Arial" w:eastAsia="Arial" w:hAnsi="Arial" w:cs="Arial"/>
          <w:color w:val="222222"/>
          <w:sz w:val="20"/>
          <w:szCs w:val="20"/>
          <w:highlight w:val="white"/>
        </w:rPr>
        <w:t>, </w:t>
      </w:r>
      <w:r>
        <w:rPr>
          <w:rFonts w:ascii="Arial" w:eastAsia="Arial" w:hAnsi="Arial" w:cs="Arial"/>
          <w:i/>
          <w:color w:val="222222"/>
          <w:sz w:val="20"/>
          <w:szCs w:val="20"/>
          <w:highlight w:val="white"/>
        </w:rPr>
        <w:t>4</w:t>
      </w:r>
      <w:r>
        <w:rPr>
          <w:rFonts w:ascii="Arial" w:eastAsia="Arial" w:hAnsi="Arial" w:cs="Arial"/>
          <w:color w:val="222222"/>
          <w:sz w:val="20"/>
          <w:szCs w:val="20"/>
          <w:highlight w:val="white"/>
        </w:rPr>
        <w:t xml:space="preserve">(1), 60-63. </w:t>
      </w:r>
      <w:r>
        <w:rPr>
          <w:rFonts w:ascii="Arial" w:eastAsia="Arial" w:hAnsi="Arial" w:cs="Arial"/>
          <w:color w:val="00B0F0"/>
          <w:sz w:val="20"/>
          <w:szCs w:val="20"/>
          <w:highlight w:val="white"/>
          <w:u w:val="single"/>
        </w:rPr>
        <w:t>https://doi.org/10.4103/ijam.ijam_7_18</w:t>
      </w:r>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222222"/>
          <w:sz w:val="20"/>
          <w:szCs w:val="20"/>
          <w:highlight w:val="white"/>
        </w:rPr>
        <w:t>Turney, S. (2022). Frequency Distri</w:t>
      </w:r>
      <w:r>
        <w:rPr>
          <w:rFonts w:ascii="Arial" w:eastAsia="Arial" w:hAnsi="Arial" w:cs="Arial"/>
          <w:color w:val="222222"/>
          <w:sz w:val="20"/>
          <w:szCs w:val="20"/>
          <w:highlight w:val="white"/>
        </w:rPr>
        <w:t xml:space="preserve">bution| Tables, Types &amp; Example. </w:t>
      </w:r>
      <w:r>
        <w:rPr>
          <w:rFonts w:ascii="Arial" w:eastAsia="Arial" w:hAnsi="Arial" w:cs="Arial"/>
          <w:i/>
          <w:color w:val="222222"/>
          <w:sz w:val="20"/>
          <w:szCs w:val="20"/>
          <w:highlight w:val="white"/>
        </w:rPr>
        <w:t xml:space="preserve">Scientific Research An Academic Publisher. </w:t>
      </w:r>
      <w:hyperlink r:id="rId36" w:history="1">
        <w:r>
          <w:rPr>
            <w:rFonts w:ascii="Arial" w:eastAsia="Arial" w:hAnsi="Arial" w:cs="Arial"/>
            <w:color w:val="467886"/>
            <w:sz w:val="20"/>
            <w:szCs w:val="20"/>
            <w:highlight w:val="white"/>
            <w:u w:val="single"/>
          </w:rPr>
          <w:t>https://doi.org/10.7717/peer .15263/ able-2</w:t>
        </w:r>
      </w:hyperlink>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000000"/>
          <w:sz w:val="20"/>
          <w:szCs w:val="20"/>
          <w:highlight w:val="white"/>
        </w:rPr>
        <w:t>Dollera, G. D. (2019). Percentage,</w:t>
      </w:r>
      <w:r>
        <w:rPr>
          <w:rFonts w:ascii="Arial" w:eastAsia="Arial" w:hAnsi="Arial" w:cs="Arial"/>
          <w:b/>
          <w:color w:val="000000"/>
          <w:sz w:val="20"/>
          <w:szCs w:val="20"/>
          <w:highlight w:val="white"/>
        </w:rPr>
        <w:t xml:space="preserve"> </w:t>
      </w:r>
      <w:r>
        <w:rPr>
          <w:rFonts w:ascii="Arial" w:eastAsia="Arial" w:hAnsi="Arial" w:cs="Arial"/>
          <w:color w:val="000000"/>
          <w:sz w:val="20"/>
          <w:szCs w:val="20"/>
          <w:highlight w:val="white"/>
        </w:rPr>
        <w:t xml:space="preserve">in general, is a display of data that indicates the percentage of observations for each data point or grouping of data points. </w:t>
      </w:r>
      <w:r>
        <w:rPr>
          <w:rFonts w:ascii="Arial" w:eastAsia="Arial" w:hAnsi="Arial" w:cs="Arial"/>
          <w:i/>
          <w:color w:val="000000"/>
          <w:sz w:val="20"/>
          <w:szCs w:val="20"/>
          <w:highlight w:val="white"/>
        </w:rPr>
        <w:t>SAGE Encyclopedia of Social Science Research Methods</w:t>
      </w:r>
      <w:r>
        <w:rPr>
          <w:rFonts w:ascii="Arial" w:eastAsia="Arial" w:hAnsi="Arial" w:cs="Arial"/>
          <w:color w:val="000000"/>
          <w:sz w:val="20"/>
          <w:szCs w:val="20"/>
          <w:highlight w:val="white"/>
        </w:rPr>
        <w:t xml:space="preserve"> </w:t>
      </w:r>
      <w:hyperlink r:id="rId37" w:history="1">
        <w:r>
          <w:rPr>
            <w:rFonts w:ascii="Arial" w:eastAsia="Arial" w:hAnsi="Arial" w:cs="Arial"/>
            <w:color w:val="467886"/>
            <w:sz w:val="20"/>
            <w:szCs w:val="20"/>
            <w:u w:val="single"/>
          </w:rPr>
          <w:t>https://doi.org/10.4</w:t>
        </w:r>
        <w:r>
          <w:rPr>
            <w:rFonts w:ascii="Arial" w:eastAsia="Arial" w:hAnsi="Arial" w:cs="Arial"/>
            <w:color w:val="467886"/>
            <w:sz w:val="20"/>
            <w:szCs w:val="20"/>
            <w:u w:val="single"/>
          </w:rPr>
          <w:t>135/9781412950589.n702</w:t>
        </w:r>
      </w:hyperlink>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000000"/>
          <w:sz w:val="20"/>
          <w:szCs w:val="20"/>
        </w:rPr>
        <w:t xml:space="preserve">Hurley, M., &amp; Tenny, S. (2023). Mean in: </w:t>
      </w:r>
      <w:r>
        <w:rPr>
          <w:rFonts w:ascii="Arial" w:eastAsia="Arial" w:hAnsi="Arial" w:cs="Arial"/>
          <w:i/>
          <w:color w:val="000000"/>
          <w:sz w:val="20"/>
          <w:szCs w:val="20"/>
        </w:rPr>
        <w:t>StatPearls [Internet].</w:t>
      </w:r>
      <w:r>
        <w:rPr>
          <w:rFonts w:ascii="Arial" w:eastAsia="Arial" w:hAnsi="Arial" w:cs="Arial"/>
          <w:color w:val="000000"/>
          <w:sz w:val="20"/>
          <w:szCs w:val="20"/>
        </w:rPr>
        <w:t xml:space="preserve"> Treasure Island (FL): Stat Pearls Publishing; 2024 Jan–. PMID: 31536308 </w:t>
      </w:r>
      <w:hyperlink r:id="rId38" w:history="1">
        <w:r>
          <w:rPr>
            <w:rFonts w:ascii="Arial" w:eastAsia="Arial" w:hAnsi="Arial" w:cs="Arial"/>
            <w:color w:val="467886"/>
            <w:sz w:val="20"/>
            <w:szCs w:val="20"/>
            <w:u w:val="single"/>
          </w:rPr>
          <w:t>https://doi.org/10.1080/15424065.20</w:t>
        </w:r>
        <w:r>
          <w:rPr>
            <w:rFonts w:ascii="Arial" w:eastAsia="Arial" w:hAnsi="Arial" w:cs="Arial"/>
            <w:color w:val="467886"/>
            <w:sz w:val="20"/>
            <w:szCs w:val="20"/>
            <w:u w:val="single"/>
          </w:rPr>
          <w:t>24.2389325</w:t>
        </w:r>
      </w:hyperlink>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000000"/>
          <w:sz w:val="20"/>
          <w:szCs w:val="20"/>
        </w:rPr>
        <w:t xml:space="preserve">Omda, S., &amp; Sergent, S., R. (20 3). Standard De iation In: </w:t>
      </w:r>
      <w:r>
        <w:rPr>
          <w:rFonts w:ascii="Arial" w:eastAsia="Arial" w:hAnsi="Arial" w:cs="Arial"/>
          <w:i/>
          <w:color w:val="000000"/>
          <w:sz w:val="20"/>
          <w:szCs w:val="20"/>
        </w:rPr>
        <w:t>StatPearls [Internet].</w:t>
      </w:r>
      <w:r>
        <w:rPr>
          <w:rFonts w:ascii="Arial" w:eastAsia="Arial" w:hAnsi="Arial" w:cs="Arial"/>
          <w:color w:val="000000"/>
          <w:sz w:val="20"/>
          <w:szCs w:val="20"/>
        </w:rPr>
        <w:t xml:space="preserve"> Treasure Island (FL): StatPear s Publishing; 2024 Jan . PMID: 34662088. </w:t>
      </w:r>
      <w:r>
        <w:rPr>
          <w:rFonts w:ascii="Arial" w:eastAsia="Arial" w:hAnsi="Arial" w:cs="Arial"/>
          <w:color w:val="0070C0"/>
          <w:sz w:val="20"/>
          <w:szCs w:val="20"/>
          <w:u w:val="single"/>
        </w:rPr>
        <w:t>https://do .org/10.1080/15424065.2024.2389325</w:t>
      </w:r>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000000"/>
          <w:sz w:val="20"/>
          <w:szCs w:val="20"/>
        </w:rPr>
        <w:t xml:space="preserve">Arifin, S., R. (2018).  Ethical Considerations in Qualitative Study. </w:t>
      </w:r>
      <w:r>
        <w:rPr>
          <w:rFonts w:ascii="Arial" w:eastAsia="Arial" w:hAnsi="Arial" w:cs="Arial"/>
          <w:i/>
          <w:color w:val="000000"/>
          <w:sz w:val="20"/>
          <w:szCs w:val="20"/>
        </w:rPr>
        <w:t xml:space="preserve">International Journal of Care </w:t>
      </w:r>
      <w:r>
        <w:rPr>
          <w:rFonts w:ascii="Arial" w:eastAsia="Arial" w:hAnsi="Arial" w:cs="Arial"/>
          <w:i/>
          <w:color w:val="000000"/>
          <w:sz w:val="20"/>
          <w:szCs w:val="20"/>
        </w:rPr>
        <w:t xml:space="preserve">Scholars 1(2). </w:t>
      </w:r>
      <w:hyperlink r:id="rId39" w:history="1">
        <w:r>
          <w:rPr>
            <w:rFonts w:ascii="Arial" w:eastAsia="Arial" w:hAnsi="Arial" w:cs="Arial"/>
            <w:color w:val="467886"/>
            <w:sz w:val="20"/>
            <w:szCs w:val="20"/>
            <w:u w:val="single"/>
          </w:rPr>
          <w:t>https://doi:10.31436/ijcs.v1i2.82</w:t>
        </w:r>
      </w:hyperlink>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000000"/>
          <w:sz w:val="20"/>
          <w:szCs w:val="20"/>
          <w:highlight w:val="white"/>
        </w:rPr>
        <w:t>Leung, H., Shek, D. T., Leung, E., &amp; Shek, E. Y. (2019). Development of contextu</w:t>
      </w:r>
      <w:r>
        <w:rPr>
          <w:rFonts w:ascii="Arial" w:eastAsia="Arial" w:hAnsi="Arial" w:cs="Arial"/>
          <w:color w:val="000000"/>
          <w:sz w:val="20"/>
          <w:szCs w:val="20"/>
          <w:highlight w:val="white"/>
        </w:rPr>
        <w:t xml:space="preserve">ally-relevant quality education: Lessons from a comprehensive review of adolescent sexuality education across cultures. </w:t>
      </w:r>
      <w:r>
        <w:rPr>
          <w:rFonts w:ascii="Arial" w:eastAsia="Arial" w:hAnsi="Arial" w:cs="Arial"/>
          <w:i/>
          <w:color w:val="000000"/>
          <w:sz w:val="20"/>
          <w:szCs w:val="20"/>
          <w:highlight w:val="white"/>
        </w:rPr>
        <w:t>International Journal of Environmental Research and Public Health</w:t>
      </w:r>
      <w:r>
        <w:rPr>
          <w:rFonts w:ascii="Arial" w:eastAsia="Arial" w:hAnsi="Arial" w:cs="Arial"/>
          <w:color w:val="000000"/>
          <w:sz w:val="20"/>
          <w:szCs w:val="20"/>
          <w:highlight w:val="white"/>
        </w:rPr>
        <w:t>, </w:t>
      </w:r>
      <w:r>
        <w:rPr>
          <w:rFonts w:ascii="Arial" w:eastAsia="Arial" w:hAnsi="Arial" w:cs="Arial"/>
          <w:i/>
          <w:color w:val="000000"/>
          <w:sz w:val="20"/>
          <w:szCs w:val="20"/>
          <w:highlight w:val="white"/>
        </w:rPr>
        <w:t>16</w:t>
      </w:r>
      <w:r>
        <w:rPr>
          <w:rFonts w:ascii="Arial" w:eastAsia="Arial" w:hAnsi="Arial" w:cs="Arial"/>
          <w:color w:val="000000"/>
          <w:sz w:val="20"/>
          <w:szCs w:val="20"/>
          <w:highlight w:val="white"/>
        </w:rPr>
        <w:t xml:space="preserve">(4), 621. </w:t>
      </w:r>
      <w:hyperlink r:id="rId40" w:history="1">
        <w:r>
          <w:rPr>
            <w:rFonts w:ascii="Arial" w:eastAsia="Arial" w:hAnsi="Arial" w:cs="Arial"/>
            <w:color w:val="467886"/>
            <w:sz w:val="20"/>
            <w:szCs w:val="20"/>
            <w:highlight w:val="white"/>
            <w:u w:val="single"/>
          </w:rPr>
          <w:t>https</w:t>
        </w:r>
        <w:r>
          <w:rPr>
            <w:rFonts w:ascii="Arial" w:eastAsia="Arial" w:hAnsi="Arial" w:cs="Arial"/>
            <w:color w:val="467886"/>
            <w:sz w:val="20"/>
            <w:szCs w:val="20"/>
            <w:highlight w:val="white"/>
            <w:u w:val="single"/>
          </w:rPr>
          <w:t>://doi.org/10.3390/ijerph16040621</w:t>
        </w:r>
      </w:hyperlink>
      <w:r>
        <w:rPr>
          <w:rFonts w:ascii="Arial" w:eastAsia="Arial" w:hAnsi="Arial" w:cs="Arial"/>
          <w:color w:val="000000"/>
          <w:sz w:val="20"/>
          <w:szCs w:val="20"/>
          <w:highlight w:val="white"/>
          <w:u w:val="single"/>
        </w:rPr>
        <w:t xml:space="preserve"> </w:t>
      </w:r>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000000"/>
          <w:sz w:val="20"/>
          <w:szCs w:val="20"/>
          <w:highlight w:val="white"/>
        </w:rPr>
        <w:t>Shin, H., Lee, J. M., &amp; Min, J. Y. (2019). Sexual knowledge, sexual attitudes, and perceptions and actualities of sex education among elementary school parents. </w:t>
      </w:r>
      <w:r>
        <w:rPr>
          <w:rFonts w:ascii="Arial" w:eastAsia="Arial" w:hAnsi="Arial" w:cs="Arial"/>
          <w:i/>
          <w:color w:val="000000"/>
          <w:sz w:val="20"/>
          <w:szCs w:val="20"/>
          <w:highlight w:val="white"/>
        </w:rPr>
        <w:t>Child Health Nursing Research</w:t>
      </w:r>
      <w:r>
        <w:rPr>
          <w:rFonts w:ascii="Arial" w:eastAsia="Arial" w:hAnsi="Arial" w:cs="Arial"/>
          <w:color w:val="000000"/>
          <w:sz w:val="20"/>
          <w:szCs w:val="20"/>
          <w:highlight w:val="white"/>
        </w:rPr>
        <w:t>, </w:t>
      </w:r>
      <w:r>
        <w:rPr>
          <w:rFonts w:ascii="Arial" w:eastAsia="Arial" w:hAnsi="Arial" w:cs="Arial"/>
          <w:i/>
          <w:color w:val="000000"/>
          <w:sz w:val="20"/>
          <w:szCs w:val="20"/>
          <w:highlight w:val="white"/>
        </w:rPr>
        <w:t>25</w:t>
      </w:r>
      <w:r>
        <w:rPr>
          <w:rFonts w:ascii="Arial" w:eastAsia="Arial" w:hAnsi="Arial" w:cs="Arial"/>
          <w:color w:val="000000"/>
          <w:sz w:val="20"/>
          <w:szCs w:val="20"/>
          <w:highlight w:val="white"/>
        </w:rPr>
        <w:t xml:space="preserve">(3), 312. </w:t>
      </w:r>
      <w:hyperlink r:id="rId41" w:history="1">
        <w:r>
          <w:rPr>
            <w:rFonts w:ascii="Arial" w:eastAsia="Arial" w:hAnsi="Arial" w:cs="Arial"/>
            <w:color w:val="467886"/>
            <w:sz w:val="20"/>
            <w:szCs w:val="20"/>
            <w:highlight w:val="white"/>
            <w:u w:val="single"/>
          </w:rPr>
          <w:t>https://doi.org/10.4094/chnr.2019.25.3. 12</w:t>
        </w:r>
      </w:hyperlink>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000000"/>
          <w:sz w:val="20"/>
          <w:szCs w:val="20"/>
        </w:rPr>
        <w:t>Ngabaza, S., &amp; Shefer, T (2020). "Girls need to behave like girls; you know: the complexities of applying gender justice goals within sexuality education in South Afric</w:t>
      </w:r>
      <w:r>
        <w:rPr>
          <w:rFonts w:ascii="Arial" w:eastAsia="Arial" w:hAnsi="Arial" w:cs="Arial"/>
          <w:color w:val="000000"/>
          <w:sz w:val="20"/>
          <w:szCs w:val="20"/>
        </w:rPr>
        <w:t xml:space="preserve">an schools. </w:t>
      </w:r>
      <w:r>
        <w:rPr>
          <w:rFonts w:ascii="Arial" w:eastAsia="Arial" w:hAnsi="Arial" w:cs="Arial"/>
          <w:i/>
          <w:color w:val="000000"/>
          <w:sz w:val="20"/>
          <w:szCs w:val="20"/>
        </w:rPr>
        <w:t>Reprod Health Matters. 24:71–8.</w:t>
      </w:r>
      <w:r>
        <w:rPr>
          <w:rFonts w:ascii="Arial" w:eastAsia="Arial" w:hAnsi="Arial" w:cs="Arial"/>
          <w:color w:val="000000"/>
          <w:sz w:val="20"/>
          <w:szCs w:val="20"/>
        </w:rPr>
        <w:t xml:space="preserve"> </w:t>
      </w:r>
      <w:hyperlink r:id="rId42" w:history="1">
        <w:r>
          <w:rPr>
            <w:rFonts w:ascii="Arial" w:eastAsia="Arial" w:hAnsi="Arial" w:cs="Arial"/>
            <w:color w:val="467886"/>
            <w:sz w:val="20"/>
            <w:szCs w:val="20"/>
            <w:u w:val="single"/>
          </w:rPr>
          <w:t>https://doi.org/10 1016/j.rhm.2020.11.007</w:t>
        </w:r>
      </w:hyperlink>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000000"/>
          <w:sz w:val="20"/>
          <w:szCs w:val="20"/>
        </w:rPr>
        <w:t>Adonis, B., &amp; Baxen J. (2022). School culture, teacher identity, and HIV/ AIDS. In: J Bax n, A Breidlid</w:t>
      </w:r>
      <w:r>
        <w:rPr>
          <w:rFonts w:ascii="Arial" w:eastAsia="Arial" w:hAnsi="Arial" w:cs="Arial"/>
          <w:color w:val="000000"/>
          <w:sz w:val="20"/>
          <w:szCs w:val="20"/>
        </w:rPr>
        <w:t xml:space="preserve"> (eds). HIV/AIDS in Sub-Saharan Africa: Understanding the Implications of Culture &amp; Context. Claremont: </w:t>
      </w:r>
      <w:r>
        <w:rPr>
          <w:rFonts w:ascii="Arial" w:eastAsia="Arial" w:hAnsi="Arial" w:cs="Arial"/>
          <w:i/>
          <w:color w:val="000000"/>
          <w:sz w:val="20"/>
          <w:szCs w:val="20"/>
        </w:rPr>
        <w:t>University of Cape Town Press, 35. 18.</w:t>
      </w:r>
      <w:hyperlink r:id="rId43" w:history="1">
        <w:r>
          <w:rPr>
            <w:rFonts w:ascii="Arial" w:eastAsia="Arial" w:hAnsi="Arial" w:cs="Arial"/>
            <w:color w:val="467886"/>
            <w:sz w:val="20"/>
            <w:szCs w:val="20"/>
            <w:u w:val="single"/>
          </w:rPr>
          <w:t>https://doi.org/10.1163/9789087904722_013</w:t>
        </w:r>
      </w:hyperlink>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000000"/>
          <w:sz w:val="20"/>
          <w:szCs w:val="20"/>
        </w:rPr>
        <w:t>Buston, K., Wi</w:t>
      </w:r>
      <w:r>
        <w:rPr>
          <w:rFonts w:ascii="Arial" w:eastAsia="Arial" w:hAnsi="Arial" w:cs="Arial"/>
          <w:color w:val="000000"/>
          <w:sz w:val="20"/>
          <w:szCs w:val="20"/>
        </w:rPr>
        <w:t xml:space="preserve">ght, D., Hart, G., &amp; Scott, S (2020). Implementation of a teacher-del vered sex education program: Obstacles and facilitating factors. </w:t>
      </w:r>
      <w:r>
        <w:rPr>
          <w:rFonts w:ascii="Arial" w:eastAsia="Arial" w:hAnsi="Arial" w:cs="Arial"/>
          <w:i/>
          <w:color w:val="000000"/>
          <w:sz w:val="20"/>
          <w:szCs w:val="20"/>
        </w:rPr>
        <w:t xml:space="preserve">Health Education Research, 17(1), 59–72. </w:t>
      </w:r>
      <w:hyperlink r:id="rId44" w:history="1">
        <w:r>
          <w:rPr>
            <w:rFonts w:ascii="Arial" w:eastAsia="Arial" w:hAnsi="Arial" w:cs="Arial"/>
            <w:color w:val="467886"/>
            <w:sz w:val="20"/>
            <w:szCs w:val="20"/>
            <w:u w:val="single"/>
          </w:rPr>
          <w:t>https://doi.org/10.1093/her/1</w:t>
        </w:r>
        <w:r>
          <w:rPr>
            <w:rFonts w:ascii="Arial" w:eastAsia="Arial" w:hAnsi="Arial" w:cs="Arial"/>
            <w:color w:val="467886"/>
            <w:sz w:val="20"/>
            <w:szCs w:val="20"/>
            <w:u w:val="single"/>
          </w:rPr>
          <w:t>7 1.59</w:t>
        </w:r>
      </w:hyperlink>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000000"/>
          <w:sz w:val="20"/>
          <w:szCs w:val="20"/>
        </w:rPr>
        <w:t xml:space="preserve">Mkumbo, K. A. (2019). Teachers’ attitudes towards and comfort about teaching school-based sexuality education in urban and rural Tanzania. </w:t>
      </w:r>
      <w:r>
        <w:rPr>
          <w:rFonts w:ascii="Arial" w:eastAsia="Arial" w:hAnsi="Arial" w:cs="Arial"/>
          <w:i/>
          <w:color w:val="000000"/>
          <w:sz w:val="20"/>
          <w:szCs w:val="20"/>
        </w:rPr>
        <w:t xml:space="preserve">Global Journal of Health Science, 4(4), 149–158. </w:t>
      </w:r>
      <w:r>
        <w:rPr>
          <w:rFonts w:ascii="Arial" w:eastAsia="Arial" w:hAnsi="Arial" w:cs="Arial"/>
          <w:color w:val="0070C0"/>
          <w:sz w:val="20"/>
          <w:szCs w:val="20"/>
          <w:u w:val="single"/>
        </w:rPr>
        <w:t>https://doi.org 10.5539/gjhs.v4n4p149</w:t>
      </w:r>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000000"/>
          <w:sz w:val="20"/>
          <w:szCs w:val="20"/>
        </w:rPr>
        <w:lastRenderedPageBreak/>
        <w:t>Helleve, A., Flisher</w:t>
      </w:r>
      <w:r>
        <w:rPr>
          <w:rFonts w:ascii="Arial" w:eastAsia="Arial" w:hAnsi="Arial" w:cs="Arial"/>
          <w:color w:val="000000"/>
          <w:sz w:val="20"/>
          <w:szCs w:val="20"/>
        </w:rPr>
        <w:t xml:space="preserve">, A. J., Onya, H., Kaaya, S., Mukoma, W., Swai, C., &amp; Klepp, K. (2020). Teachers' confidence in teaching HIV/AIDS and sex ability in South African and Tanzanian schools. </w:t>
      </w:r>
      <w:r>
        <w:rPr>
          <w:rFonts w:ascii="Arial" w:eastAsia="Arial" w:hAnsi="Arial" w:cs="Arial"/>
          <w:i/>
          <w:color w:val="000000"/>
          <w:sz w:val="20"/>
          <w:szCs w:val="20"/>
        </w:rPr>
        <w:t xml:space="preserve">Scandinavian Journal of Public Health, 37(SUPPL. 2), 55–64. </w:t>
      </w:r>
      <w:hyperlink r:id="rId45" w:history="1">
        <w:r>
          <w:rPr>
            <w:rFonts w:ascii="Arial" w:eastAsia="Arial" w:hAnsi="Arial" w:cs="Arial"/>
            <w:color w:val="467886"/>
            <w:sz w:val="20"/>
            <w:szCs w:val="20"/>
            <w:u w:val="single"/>
          </w:rPr>
          <w:t>https://doi.org/10.1080/13691050802562613</w:t>
        </w:r>
      </w:hyperlink>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000000"/>
          <w:sz w:val="20"/>
          <w:szCs w:val="20"/>
        </w:rPr>
        <w:t xml:space="preserve">Haignere, C. S., Culhane, J. F., Balsley, C. M., &amp; Legos, P. (2019). Teach rs' receptiveness and comfort teaching se quality education and using non-traditional teaching strategies. </w:t>
      </w:r>
      <w:r>
        <w:rPr>
          <w:rFonts w:ascii="Arial" w:eastAsia="Arial" w:hAnsi="Arial" w:cs="Arial"/>
          <w:i/>
          <w:color w:val="000000"/>
          <w:sz w:val="20"/>
          <w:szCs w:val="20"/>
        </w:rPr>
        <w:t xml:space="preserve">Journal of School Health, 66(4), 140–144. </w:t>
      </w:r>
      <w:hyperlink r:id="rId46" w:history="1">
        <w:r>
          <w:rPr>
            <w:rFonts w:ascii="Arial" w:eastAsia="Arial" w:hAnsi="Arial" w:cs="Arial"/>
            <w:color w:val="467886"/>
            <w:sz w:val="20"/>
            <w:szCs w:val="20"/>
            <w:u w:val="single"/>
          </w:rPr>
          <w:t>https://doi.org/10.1080/15546128.2023.2225790</w:t>
        </w:r>
      </w:hyperlink>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000000"/>
          <w:sz w:val="20"/>
          <w:szCs w:val="20"/>
        </w:rPr>
        <w:t>Ahmed, N., Flisher, A. J., &amp; Mathews, C. (2022). HIV education in South African schools: the dilemma and c</w:t>
      </w:r>
      <w:r>
        <w:rPr>
          <w:rFonts w:ascii="Arial" w:eastAsia="Arial" w:hAnsi="Arial" w:cs="Arial"/>
          <w:color w:val="000000"/>
          <w:sz w:val="20"/>
          <w:szCs w:val="20"/>
        </w:rPr>
        <w:t xml:space="preserve">onflicts of edu actors. </w:t>
      </w:r>
      <w:r>
        <w:rPr>
          <w:rFonts w:ascii="Arial" w:eastAsia="Arial" w:hAnsi="Arial" w:cs="Arial"/>
          <w:i/>
          <w:color w:val="000000"/>
          <w:sz w:val="20"/>
          <w:szCs w:val="20"/>
        </w:rPr>
        <w:t xml:space="preserve">Scand J Public Health; 37: pp. 48–54. </w:t>
      </w:r>
      <w:hyperlink r:id="rId47" w:history="1">
        <w:r>
          <w:rPr>
            <w:rFonts w:ascii="Arial" w:eastAsia="Arial" w:hAnsi="Arial" w:cs="Arial"/>
            <w:color w:val="467886"/>
            <w:sz w:val="20"/>
            <w:szCs w:val="20"/>
            <w:u w:val="single"/>
          </w:rPr>
          <w:t>https://doi.org/10.1177/1403494808097190</w:t>
        </w:r>
      </w:hyperlink>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000000"/>
          <w:sz w:val="20"/>
          <w:szCs w:val="20"/>
        </w:rPr>
        <w:t>Natividad, J. (2019). Teenage Pregnancy in the Philippines: Trends, correlates, and data sources</w:t>
      </w:r>
      <w:r>
        <w:rPr>
          <w:rFonts w:ascii="Arial" w:eastAsia="Arial" w:hAnsi="Arial" w:cs="Arial"/>
          <w:color w:val="000000"/>
          <w:sz w:val="20"/>
          <w:szCs w:val="20"/>
        </w:rPr>
        <w:t xml:space="preserve">. </w:t>
      </w:r>
      <w:r>
        <w:rPr>
          <w:rFonts w:ascii="Arial" w:eastAsia="Arial" w:hAnsi="Arial" w:cs="Arial"/>
          <w:i/>
          <w:color w:val="000000"/>
          <w:sz w:val="20"/>
          <w:szCs w:val="20"/>
        </w:rPr>
        <w:t>Journal of the ASEAN Federation of Endocrine Societies, 28(1), 30-30</w:t>
      </w:r>
      <w:r>
        <w:rPr>
          <w:rFonts w:ascii="Arial" w:eastAsia="Arial" w:hAnsi="Arial" w:cs="Arial"/>
          <w:color w:val="000000"/>
          <w:sz w:val="20"/>
          <w:szCs w:val="20"/>
        </w:rPr>
        <w:t xml:space="preserve">. </w:t>
      </w:r>
      <w:hyperlink r:id="rId48" w:history="1">
        <w:r>
          <w:rPr>
            <w:rFonts w:ascii="Arial" w:eastAsia="Arial" w:hAnsi="Arial" w:cs="Arial"/>
            <w:color w:val="467886"/>
            <w:sz w:val="20"/>
            <w:szCs w:val="20"/>
            <w:u w:val="single"/>
          </w:rPr>
          <w:t>https://doi.org/10.15605/jafes.028.01.07</w:t>
        </w:r>
      </w:hyperlink>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000000"/>
          <w:sz w:val="20"/>
          <w:szCs w:val="20"/>
        </w:rPr>
        <w:t>Iwu, R. U., Onoja, A. I., Ijioma, B. C., Ngumah, M. O. &amp; Egerouh, A. S. (2020). The in</w:t>
      </w:r>
      <w:r>
        <w:rPr>
          <w:rFonts w:ascii="Arial" w:eastAsia="Arial" w:hAnsi="Arial" w:cs="Arial"/>
          <w:color w:val="000000"/>
          <w:sz w:val="20"/>
          <w:szCs w:val="20"/>
        </w:rPr>
        <w:t xml:space="preserve">tegration of sexuality education in secondary school biology curriculum for sustainable development: Teachers perception. </w:t>
      </w:r>
      <w:r>
        <w:rPr>
          <w:rFonts w:ascii="Arial" w:eastAsia="Arial" w:hAnsi="Arial" w:cs="Arial"/>
          <w:i/>
          <w:color w:val="000000"/>
          <w:sz w:val="20"/>
          <w:szCs w:val="20"/>
        </w:rPr>
        <w:t xml:space="preserve">International Journal of Science and Technology Education Research, 2(4), 62-66. </w:t>
      </w:r>
      <w:hyperlink r:id="rId49" w:history="1">
        <w:r>
          <w:rPr>
            <w:rFonts w:ascii="Arial" w:eastAsia="Arial" w:hAnsi="Arial" w:cs="Arial"/>
            <w:color w:val="467886"/>
            <w:sz w:val="20"/>
            <w:szCs w:val="20"/>
            <w:u w:val="single"/>
          </w:rPr>
          <w:t>https://doi.org/10.7763/ijiet.2015.v5.622</w:t>
        </w:r>
      </w:hyperlink>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000000"/>
          <w:sz w:val="20"/>
          <w:szCs w:val="20"/>
          <w:highlight w:val="white"/>
        </w:rPr>
        <w:t xml:space="preserve">Mukambika, G. S. (2023). Teachers’ perception of sex education in primary schools. Rajagiri </w:t>
      </w:r>
      <w:r>
        <w:rPr>
          <w:rFonts w:ascii="Arial" w:eastAsia="Arial" w:hAnsi="Arial" w:cs="Arial"/>
          <w:i/>
          <w:color w:val="000000"/>
          <w:sz w:val="20"/>
          <w:szCs w:val="20"/>
          <w:highlight w:val="white"/>
        </w:rPr>
        <w:t>Journal of Social Development, 15(1), 7-12</w:t>
      </w:r>
      <w:r>
        <w:rPr>
          <w:rFonts w:ascii="Arial" w:eastAsia="Arial" w:hAnsi="Arial" w:cs="Arial"/>
          <w:color w:val="000000"/>
          <w:sz w:val="20"/>
          <w:szCs w:val="20"/>
          <w:highlight w:val="white"/>
          <w:u w:val="single"/>
        </w:rPr>
        <w:t>.</w:t>
      </w:r>
      <w:hyperlink r:id="rId50" w:history="1">
        <w:r>
          <w:rPr>
            <w:rFonts w:ascii="Arial" w:eastAsia="Arial" w:hAnsi="Arial" w:cs="Arial"/>
            <w:color w:val="467886"/>
            <w:sz w:val="20"/>
            <w:szCs w:val="20"/>
            <w:highlight w:val="white"/>
            <w:u w:val="single"/>
          </w:rPr>
          <w:t>https://doi.org/10.5958/2583-7087.2023.0 002.0</w:t>
        </w:r>
      </w:hyperlink>
      <w:r>
        <w:rPr>
          <w:rFonts w:ascii="Arial" w:eastAsia="Arial" w:hAnsi="Arial" w:cs="Arial"/>
          <w:color w:val="000000"/>
          <w:sz w:val="20"/>
          <w:szCs w:val="20"/>
          <w:highlight w:val="white"/>
          <w:u w:val="single"/>
        </w:rPr>
        <w:t xml:space="preserve"> </w:t>
      </w:r>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000000"/>
          <w:sz w:val="20"/>
          <w:szCs w:val="20"/>
        </w:rPr>
        <w:t xml:space="preserve">Bola, O. O., Olufemi, A., &amp; Seun, J. O. (2019). High School Teachers Perception on Content and Timing of </w:t>
      </w:r>
      <w:r>
        <w:rPr>
          <w:rFonts w:ascii="Arial" w:eastAsia="Arial" w:hAnsi="Arial" w:cs="Arial"/>
          <w:color w:val="000000"/>
          <w:sz w:val="20"/>
          <w:szCs w:val="20"/>
        </w:rPr>
        <w:t xml:space="preserve">Sec Education in Life Central Local Government, Osun, Nigeria. </w:t>
      </w:r>
      <w:r>
        <w:rPr>
          <w:rFonts w:ascii="Arial" w:eastAsia="Arial" w:hAnsi="Arial" w:cs="Arial"/>
          <w:i/>
          <w:color w:val="000000"/>
          <w:sz w:val="20"/>
          <w:szCs w:val="20"/>
        </w:rPr>
        <w:t>Teacher Education and Curriculum Stud</w:t>
      </w:r>
      <w:r>
        <w:rPr>
          <w:rFonts w:ascii="Arial" w:eastAsia="Arial" w:hAnsi="Arial" w:cs="Arial"/>
          <w:i/>
          <w:color w:val="000000"/>
          <w:sz w:val="20"/>
          <w:szCs w:val="20"/>
        </w:rPr>
        <w:t xml:space="preserve">ies, Science Publishing Group. </w:t>
      </w:r>
      <w:hyperlink r:id="rId51" w:history="1">
        <w:r>
          <w:rPr>
            <w:rFonts w:ascii="Arial" w:eastAsia="Arial" w:hAnsi="Arial" w:cs="Arial"/>
            <w:color w:val="467886"/>
            <w:sz w:val="20"/>
            <w:szCs w:val="20"/>
            <w:u w:val="single"/>
          </w:rPr>
          <w:t>https://doi.org/10.11648/j.tecs.20170206.15</w:t>
        </w:r>
      </w:hyperlink>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000000"/>
          <w:sz w:val="20"/>
          <w:szCs w:val="20"/>
          <w:highlight w:val="white"/>
        </w:rPr>
        <w:t>Kasonde, M. (2018). </w:t>
      </w:r>
      <w:r>
        <w:rPr>
          <w:rFonts w:ascii="Arial" w:eastAsia="Arial" w:hAnsi="Arial" w:cs="Arial"/>
          <w:i/>
          <w:color w:val="000000"/>
          <w:sz w:val="20"/>
          <w:szCs w:val="20"/>
          <w:highlight w:val="white"/>
        </w:rPr>
        <w:t>Perception of teachers to sexuality education in secondary schools in Gaborone, Botswana</w:t>
      </w:r>
      <w:r>
        <w:rPr>
          <w:rFonts w:ascii="Arial" w:eastAsia="Arial" w:hAnsi="Arial" w:cs="Arial"/>
          <w:color w:val="000000"/>
          <w:sz w:val="20"/>
          <w:szCs w:val="20"/>
          <w:highlight w:val="white"/>
        </w:rPr>
        <w:t> (Doctoral di</w:t>
      </w:r>
      <w:r>
        <w:rPr>
          <w:rFonts w:ascii="Arial" w:eastAsia="Arial" w:hAnsi="Arial" w:cs="Arial"/>
          <w:color w:val="000000"/>
          <w:sz w:val="20"/>
          <w:szCs w:val="20"/>
          <w:highlight w:val="white"/>
        </w:rPr>
        <w:t>ssertation, Stellenbosch: Stellenbosch University).</w:t>
      </w:r>
      <w:hyperlink r:id="rId52" w:history="1">
        <w:r>
          <w:rPr>
            <w:rFonts w:ascii="Arial" w:eastAsia="Arial" w:hAnsi="Arial" w:cs="Arial"/>
            <w:color w:val="467886"/>
            <w:sz w:val="20"/>
            <w:szCs w:val="20"/>
            <w:highlight w:val="white"/>
            <w:u w:val="single"/>
          </w:rPr>
          <w:t>h tps://doi.org/10.4102/aosis.2022.bk357</w:t>
        </w:r>
      </w:hyperlink>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000000"/>
          <w:sz w:val="20"/>
          <w:szCs w:val="20"/>
        </w:rPr>
        <w:t>Javadnoori, M., Zangeneh, S., Tadayon, M., &amp; Akhoond</w:t>
      </w:r>
      <w:r>
        <w:rPr>
          <w:rFonts w:ascii="Arial" w:eastAsia="Arial" w:hAnsi="Arial" w:cs="Arial"/>
          <w:color w:val="000000"/>
          <w:sz w:val="20"/>
          <w:szCs w:val="20"/>
        </w:rPr>
        <w:t xml:space="preserve">, M. (2016). Competence of Healthcare Workers in Sexual Health Education for female adolescents at schools. </w:t>
      </w:r>
      <w:r>
        <w:rPr>
          <w:rFonts w:ascii="Arial" w:eastAsia="Arial" w:hAnsi="Arial" w:cs="Arial"/>
          <w:i/>
          <w:color w:val="000000"/>
          <w:sz w:val="20"/>
          <w:szCs w:val="20"/>
        </w:rPr>
        <w:t>Journal of Midwifery and Reproductive Health, 4(2), 605-612.</w:t>
      </w:r>
      <w:r>
        <w:rPr>
          <w:rFonts w:ascii="Arial" w:eastAsia="Arial" w:hAnsi="Arial" w:cs="Arial"/>
          <w:color w:val="000000"/>
          <w:sz w:val="20"/>
          <w:szCs w:val="20"/>
        </w:rPr>
        <w:t> </w:t>
      </w:r>
      <w:hyperlink r:id="rId53" w:history="1">
        <w:r>
          <w:rPr>
            <w:rFonts w:ascii="Arial" w:eastAsia="Arial" w:hAnsi="Arial" w:cs="Arial"/>
            <w:color w:val="467886"/>
            <w:sz w:val="20"/>
            <w:szCs w:val="20"/>
            <w:u w:val="single"/>
          </w:rPr>
          <w:t>https //doi.org/10.22038/jmrh.2016</w:t>
        </w:r>
        <w:r>
          <w:rPr>
            <w:rFonts w:ascii="Arial" w:eastAsia="Arial" w:hAnsi="Arial" w:cs="Arial"/>
            <w:color w:val="467886"/>
            <w:sz w:val="20"/>
            <w:szCs w:val="20"/>
            <w:u w:val="single"/>
          </w:rPr>
          <w:t>.6627</w:t>
        </w:r>
      </w:hyperlink>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000000"/>
          <w:sz w:val="20"/>
          <w:szCs w:val="20"/>
        </w:rPr>
        <w:t xml:space="preserve">Martin, J., Riazi, H., Firoozi,  A., &amp; Nasiri, K. (2020). A sex education program for teachers of preschool children: a quasi-experimental study in Iran. </w:t>
      </w:r>
      <w:r>
        <w:rPr>
          <w:rFonts w:ascii="Arial" w:eastAsia="Arial" w:hAnsi="Arial" w:cs="Arial"/>
          <w:i/>
          <w:color w:val="000000"/>
          <w:sz w:val="20"/>
          <w:szCs w:val="20"/>
        </w:rPr>
        <w:t>BMC Public Health, 20, 1- 9.</w:t>
      </w:r>
      <w:r>
        <w:rPr>
          <w:rFonts w:ascii="Arial" w:eastAsia="Arial" w:hAnsi="Arial" w:cs="Arial"/>
          <w:color w:val="000000"/>
          <w:sz w:val="20"/>
          <w:szCs w:val="20"/>
        </w:rPr>
        <w:t> </w:t>
      </w:r>
      <w:hyperlink r:id="rId54" w:history="1">
        <w:r>
          <w:rPr>
            <w:rFonts w:ascii="Arial" w:eastAsia="Arial" w:hAnsi="Arial" w:cs="Arial"/>
            <w:color w:val="467886"/>
            <w:sz w:val="20"/>
            <w:szCs w:val="20"/>
            <w:u w:val="single"/>
          </w:rPr>
          <w:t>https://</w:t>
        </w:r>
        <w:r>
          <w:rPr>
            <w:rFonts w:ascii="Arial" w:eastAsia="Arial" w:hAnsi="Arial" w:cs="Arial"/>
            <w:color w:val="467886"/>
            <w:sz w:val="20"/>
            <w:szCs w:val="20"/>
            <w:u w:val="single"/>
          </w:rPr>
          <w:t>doi.org/10 1186/s12889-020-08826-y</w:t>
        </w:r>
      </w:hyperlink>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000000"/>
          <w:sz w:val="20"/>
          <w:szCs w:val="20"/>
        </w:rPr>
        <w:t xml:space="preserve">Pokhrel, S.,   Chhetri, R. (2021). A literature review on the impact of the COVID-19 pandemic on teaching and learning. </w:t>
      </w:r>
      <w:r>
        <w:rPr>
          <w:rFonts w:ascii="Arial" w:eastAsia="Arial" w:hAnsi="Arial" w:cs="Arial"/>
          <w:i/>
          <w:color w:val="000000"/>
          <w:sz w:val="20"/>
          <w:szCs w:val="20"/>
        </w:rPr>
        <w:t>Higher E-education for the Future, 8(1),133-141.</w:t>
      </w:r>
      <w:r>
        <w:rPr>
          <w:rFonts w:ascii="Arial" w:eastAsia="Arial" w:hAnsi="Arial" w:cs="Arial"/>
          <w:color w:val="0070C0"/>
          <w:sz w:val="20"/>
          <w:szCs w:val="20"/>
          <w:u w:val="single"/>
        </w:rPr>
        <w:t>ht ps://doi.org/10.1177/2347631120983481</w:t>
      </w:r>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000000"/>
          <w:sz w:val="20"/>
          <w:szCs w:val="20"/>
        </w:rPr>
        <w:t xml:space="preserve">Aventin, Á., Gough, A., McShane, T., Gillespie, K., O'Hare, L., Young, H., Lewis, R., Warren, E., Buckley, K., &amp; Lohan, M. ( 020). Engaging parents in digital sexual and reproductive health education: evidence from the JACK trial. </w:t>
      </w:r>
      <w:r>
        <w:rPr>
          <w:rFonts w:ascii="Arial" w:eastAsia="Arial" w:hAnsi="Arial" w:cs="Arial"/>
          <w:i/>
          <w:color w:val="000000"/>
          <w:sz w:val="20"/>
          <w:szCs w:val="20"/>
        </w:rPr>
        <w:t>Reproductive Health, 17(1</w:t>
      </w:r>
      <w:r>
        <w:rPr>
          <w:rFonts w:ascii="Arial" w:eastAsia="Arial" w:hAnsi="Arial" w:cs="Arial"/>
          <w:i/>
          <w:color w:val="000000"/>
          <w:sz w:val="20"/>
          <w:szCs w:val="20"/>
        </w:rPr>
        <w:t>), 1–18.</w:t>
      </w:r>
      <w:r>
        <w:rPr>
          <w:rFonts w:ascii="Arial" w:eastAsia="Arial" w:hAnsi="Arial" w:cs="Arial"/>
          <w:color w:val="000000"/>
          <w:sz w:val="20"/>
          <w:szCs w:val="20"/>
        </w:rPr>
        <w:t> </w:t>
      </w:r>
      <w:hyperlink r:id="rId55" w:history="1">
        <w:r>
          <w:rPr>
            <w:rFonts w:ascii="Arial" w:eastAsia="Arial" w:hAnsi="Arial" w:cs="Arial"/>
            <w:color w:val="467886"/>
            <w:sz w:val="20"/>
            <w:szCs w:val="20"/>
            <w:u w:val="single"/>
          </w:rPr>
          <w:t>https://doi.org/10.1186/s12978-020-00975-y</w:t>
        </w:r>
      </w:hyperlink>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000000"/>
          <w:sz w:val="20"/>
          <w:szCs w:val="20"/>
        </w:rPr>
        <w:t xml:space="preserve">Cruz, R. J. P., &amp; Chua, E. N. (2022). Level of Knowledge and Attitude on Comprehensive Sexuality Education: </w:t>
      </w:r>
      <w:r>
        <w:rPr>
          <w:rFonts w:ascii="Arial" w:eastAsia="Arial" w:hAnsi="Arial" w:cs="Arial"/>
          <w:i/>
          <w:color w:val="000000"/>
          <w:sz w:val="20"/>
          <w:szCs w:val="20"/>
        </w:rPr>
        <w:t>Basis for Designing Areer and Life Sk</w:t>
      </w:r>
      <w:r>
        <w:rPr>
          <w:rFonts w:ascii="Arial" w:eastAsia="Arial" w:hAnsi="Arial" w:cs="Arial"/>
          <w:i/>
          <w:color w:val="000000"/>
          <w:sz w:val="20"/>
          <w:szCs w:val="20"/>
        </w:rPr>
        <w:t>ills Based Instructional Materials for Senior High School. Volume 11 Issue 7, July 2022. ISSN: 2319–7064</w:t>
      </w:r>
      <w:r>
        <w:rPr>
          <w:rFonts w:ascii="Arial" w:eastAsia="Arial" w:hAnsi="Arial" w:cs="Arial"/>
          <w:color w:val="000000"/>
          <w:sz w:val="20"/>
          <w:szCs w:val="20"/>
        </w:rPr>
        <w:t xml:space="preserve">. </w:t>
      </w:r>
      <w:hyperlink r:id="rId56" w:history="1">
        <w:r>
          <w:rPr>
            <w:rFonts w:ascii="Arial" w:eastAsia="Arial" w:hAnsi="Arial" w:cs="Arial"/>
            <w:color w:val="467886"/>
            <w:sz w:val="20"/>
            <w:szCs w:val="20"/>
            <w:u w:val="single"/>
          </w:rPr>
          <w:t>https://doi.10.21275/SR22723103048</w:t>
        </w:r>
      </w:hyperlink>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000000"/>
          <w:sz w:val="20"/>
          <w:szCs w:val="20"/>
        </w:rPr>
        <w:t>Miedema, E., &amp; Oduro, G, Y. (2020). Sexuality education in Ghana and Mozambique: Examin</w:t>
      </w:r>
      <w:r>
        <w:rPr>
          <w:rFonts w:ascii="Arial" w:eastAsia="Arial" w:hAnsi="Arial" w:cs="Arial"/>
          <w:color w:val="000000"/>
          <w:sz w:val="20"/>
          <w:szCs w:val="20"/>
        </w:rPr>
        <w:t xml:space="preserve">ing colonizing assemblages informing school-based sexuality education initiatives. In: 9Allen, L, Rasmussen, ML (eds) Handbook of Sexual Education. London: Palgrave, pp.69–93. </w:t>
      </w:r>
      <w:hyperlink r:id="rId57" w:history="1">
        <w:r>
          <w:rPr>
            <w:rFonts w:ascii="Arial" w:eastAsia="Arial" w:hAnsi="Arial" w:cs="Arial"/>
            <w:color w:val="467886"/>
            <w:sz w:val="20"/>
            <w:szCs w:val="20"/>
            <w:u w:val="single"/>
          </w:rPr>
          <w:t>https://doi.org/10.10</w:t>
        </w:r>
        <w:r>
          <w:rPr>
            <w:rFonts w:ascii="Arial" w:eastAsia="Arial" w:hAnsi="Arial" w:cs="Arial"/>
            <w:color w:val="467886"/>
            <w:sz w:val="20"/>
            <w:szCs w:val="20"/>
            <w:u w:val="single"/>
          </w:rPr>
          <w:t>57/978-1-1 7-40033-8_4</w:t>
        </w:r>
      </w:hyperlink>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000000"/>
          <w:sz w:val="20"/>
          <w:szCs w:val="20"/>
        </w:rPr>
        <w:t xml:space="preserve">Gacoin, A, E. (2021). Encountering Ge der: Resisting a neo-liberal policy called rationality for sexuality education as an HIV prevention strategy. </w:t>
      </w:r>
      <w:r>
        <w:rPr>
          <w:rFonts w:ascii="Arial" w:eastAsia="Arial" w:hAnsi="Arial" w:cs="Arial"/>
          <w:i/>
          <w:color w:val="000000"/>
          <w:sz w:val="20"/>
          <w:szCs w:val="20"/>
        </w:rPr>
        <w:t xml:space="preserve">Gender and Education 29(1): 66–83. </w:t>
      </w:r>
      <w:hyperlink r:id="rId58" w:history="1">
        <w:r>
          <w:rPr>
            <w:rFonts w:ascii="Arial" w:eastAsia="Arial" w:hAnsi="Arial" w:cs="Arial"/>
            <w:color w:val="467886"/>
            <w:sz w:val="20"/>
            <w:szCs w:val="20"/>
            <w:u w:val="single"/>
          </w:rPr>
          <w:t>https://doi.org/10.4324/9781351207874-4</w:t>
        </w:r>
      </w:hyperlink>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000000"/>
          <w:sz w:val="20"/>
          <w:szCs w:val="20"/>
        </w:rPr>
        <w:t xml:space="preserve">McCormack, D. (2019). Queer Postcolonial Narratives and the Ethics of Listening. London: Bloomsbury Press. </w:t>
      </w:r>
      <w:hyperlink r:id="rId59" w:history="1">
        <w:r>
          <w:rPr>
            <w:rFonts w:ascii="Arial" w:eastAsia="Arial" w:hAnsi="Arial" w:cs="Arial"/>
            <w:color w:val="467886"/>
            <w:sz w:val="20"/>
            <w:szCs w:val="20"/>
            <w:u w:val="single"/>
          </w:rPr>
          <w:t>https://doi.org/10.5040/9781472543790</w:t>
        </w:r>
      </w:hyperlink>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000000"/>
          <w:sz w:val="20"/>
          <w:szCs w:val="20"/>
        </w:rPr>
        <w:t xml:space="preserve">UNESCO, </w:t>
      </w:r>
      <w:r>
        <w:rPr>
          <w:rFonts w:ascii="Arial" w:eastAsia="Arial" w:hAnsi="Arial" w:cs="Arial"/>
          <w:color w:val="000000"/>
          <w:sz w:val="20"/>
          <w:szCs w:val="20"/>
        </w:rPr>
        <w:t>U., UNFPA (2019). International Technical Guidance on Sexuality Education. An Evidence-Informed Approach for Schools, Teachers, and Health Educators. Volume I, the Rationale for Sexuality Education. Paris, Fra ce: UNESCO, 2019, ED-2099/WS/36 REV3-CLD.10, 1</w:t>
      </w:r>
      <w:r>
        <w:rPr>
          <w:rFonts w:ascii="Arial" w:eastAsia="Arial" w:hAnsi="Arial" w:cs="Arial"/>
          <w:color w:val="000000"/>
          <w:sz w:val="20"/>
          <w:szCs w:val="20"/>
        </w:rPr>
        <w:t xml:space="preserve">–123. </w:t>
      </w:r>
      <w:r>
        <w:rPr>
          <w:rFonts w:ascii="Arial" w:eastAsia="Arial" w:hAnsi="Arial" w:cs="Arial"/>
          <w:i/>
          <w:color w:val="000000"/>
          <w:sz w:val="20"/>
          <w:szCs w:val="20"/>
        </w:rPr>
        <w:t xml:space="preserve">Professional Development in Education, 44(1), 33–46. </w:t>
      </w:r>
      <w:hyperlink r:id="rId60" w:history="1">
        <w:r>
          <w:rPr>
            <w:rFonts w:ascii="Arial" w:eastAsia="Arial" w:hAnsi="Arial" w:cs="Arial"/>
            <w:color w:val="467886"/>
            <w:sz w:val="20"/>
            <w:szCs w:val="20"/>
            <w:u w:val="single"/>
          </w:rPr>
          <w:t>https://doi.org/10.1080/19415257.2017.1299028</w:t>
        </w:r>
      </w:hyperlink>
      <w:r>
        <w:rPr>
          <w:rFonts w:ascii="Arial" w:eastAsia="Arial" w:hAnsi="Arial" w:cs="Arial"/>
          <w:color w:val="000000"/>
          <w:sz w:val="20"/>
          <w:szCs w:val="20"/>
          <w:u w:val="single"/>
        </w:rPr>
        <w:t xml:space="preserve"> </w:t>
      </w:r>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000000"/>
          <w:sz w:val="20"/>
          <w:szCs w:val="20"/>
        </w:rPr>
        <w:t>Eko, J. E., Abeshi, S. E., Osanwa, K. O., Advanide, C. C., &amp; Effiong, D. A. (2020). Perc</w:t>
      </w:r>
      <w:r>
        <w:rPr>
          <w:rFonts w:ascii="Arial" w:eastAsia="Arial" w:hAnsi="Arial" w:cs="Arial"/>
          <w:color w:val="000000"/>
          <w:sz w:val="20"/>
          <w:szCs w:val="20"/>
        </w:rPr>
        <w:t xml:space="preserve">eption of students, teachers, and parents towards sexuality education in Calabar South Local Government Area Cross River State, Nigeria. </w:t>
      </w:r>
      <w:r>
        <w:rPr>
          <w:rFonts w:ascii="Arial" w:eastAsia="Arial" w:hAnsi="Arial" w:cs="Arial"/>
          <w:i/>
          <w:color w:val="000000"/>
          <w:sz w:val="20"/>
          <w:szCs w:val="20"/>
        </w:rPr>
        <w:t>Journal of Sociological Research, 4(2).</w:t>
      </w:r>
      <w:hyperlink r:id="rId61" w:history="1">
        <w:r>
          <w:rPr>
            <w:rFonts w:ascii="Arial" w:eastAsia="Arial" w:hAnsi="Arial" w:cs="Arial"/>
            <w:color w:val="467886"/>
            <w:sz w:val="20"/>
            <w:szCs w:val="20"/>
            <w:u w:val="single"/>
          </w:rPr>
          <w:t>https://doi.org/10.5296/jsr.v</w:t>
        </w:r>
        <w:r>
          <w:rPr>
            <w:rFonts w:ascii="Arial" w:eastAsia="Arial" w:hAnsi="Arial" w:cs="Arial"/>
            <w:color w:val="467886"/>
            <w:sz w:val="20"/>
            <w:szCs w:val="20"/>
            <w:u w:val="single"/>
          </w:rPr>
          <w:t>4i2.3836</w:t>
        </w:r>
      </w:hyperlink>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000000"/>
          <w:sz w:val="20"/>
          <w:szCs w:val="20"/>
        </w:rPr>
        <w:t xml:space="preserve">Tomol, R. H., &amp; Narida, N. E. (2018). Life satisfaction and gender discrimination among lesbian and gay students. </w:t>
      </w:r>
      <w:r>
        <w:rPr>
          <w:rFonts w:ascii="Arial" w:eastAsia="Arial" w:hAnsi="Arial" w:cs="Arial"/>
          <w:i/>
          <w:color w:val="000000"/>
          <w:sz w:val="20"/>
          <w:szCs w:val="20"/>
        </w:rPr>
        <w:t xml:space="preserve">Countryside Development </w:t>
      </w:r>
      <w:r>
        <w:rPr>
          <w:rFonts w:ascii="Arial" w:eastAsia="Arial" w:hAnsi="Arial" w:cs="Arial"/>
          <w:i/>
          <w:color w:val="000000"/>
          <w:sz w:val="20"/>
          <w:szCs w:val="20"/>
        </w:rPr>
        <w:t xml:space="preserve">Research Journal, 6(01), 9-14. </w:t>
      </w:r>
      <w:r>
        <w:rPr>
          <w:rFonts w:ascii="Arial" w:eastAsia="Arial" w:hAnsi="Arial" w:cs="Arial"/>
          <w:color w:val="000000"/>
          <w:sz w:val="20"/>
          <w:szCs w:val="20"/>
        </w:rPr>
        <w:t>https:// oi.org/10.4337/9780857930958.00026</w:t>
      </w:r>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000000"/>
          <w:sz w:val="20"/>
          <w:szCs w:val="20"/>
        </w:rPr>
        <w:t>Unis, B. D, &amp; Sällström, C. (20</w:t>
      </w:r>
      <w:r>
        <w:rPr>
          <w:rFonts w:ascii="Arial" w:eastAsia="Arial" w:hAnsi="Arial" w:cs="Arial"/>
          <w:color w:val="000000"/>
          <w:sz w:val="20"/>
          <w:szCs w:val="20"/>
        </w:rPr>
        <w:t xml:space="preserve">20). Adolescents' conceptions of earning and education about sex and relationships. </w:t>
      </w:r>
      <w:r>
        <w:rPr>
          <w:rFonts w:ascii="Arial" w:eastAsia="Arial" w:hAnsi="Arial" w:cs="Arial"/>
          <w:i/>
          <w:color w:val="000000"/>
          <w:sz w:val="20"/>
          <w:szCs w:val="20"/>
        </w:rPr>
        <w:t>American Journal of Sexuality Education, 15(1), 25-52.</w:t>
      </w:r>
      <w:r>
        <w:rPr>
          <w:rFonts w:ascii="Arial" w:eastAsia="Arial" w:hAnsi="Arial" w:cs="Arial"/>
          <w:color w:val="000000"/>
          <w:sz w:val="20"/>
          <w:szCs w:val="20"/>
        </w:rPr>
        <w:t xml:space="preserve"> </w:t>
      </w:r>
      <w:hyperlink r:id="rId62" w:history="1">
        <w:r>
          <w:rPr>
            <w:rFonts w:ascii="Arial" w:eastAsia="Arial" w:hAnsi="Arial" w:cs="Arial"/>
            <w:color w:val="467886"/>
            <w:sz w:val="20"/>
            <w:szCs w:val="20"/>
            <w:u w:val="single"/>
          </w:rPr>
          <w:t>https://doi.org/10.1080/15546128.2019.1617816</w:t>
        </w:r>
      </w:hyperlink>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222222"/>
          <w:sz w:val="20"/>
          <w:szCs w:val="20"/>
          <w:highlight w:val="white"/>
        </w:rPr>
        <w:t>Macabago</w:t>
      </w:r>
      <w:r>
        <w:rPr>
          <w:rFonts w:ascii="Arial" w:eastAsia="Arial" w:hAnsi="Arial" w:cs="Arial"/>
          <w:color w:val="222222"/>
          <w:sz w:val="20"/>
          <w:szCs w:val="20"/>
          <w:highlight w:val="white"/>
        </w:rPr>
        <w:t>, J. M. (2023). Exploratory Analysis of the Self-Harming Behaviors Among University Students.</w:t>
      </w:r>
      <w:r>
        <w:rPr>
          <w:rFonts w:ascii="Arial" w:eastAsia="Arial" w:hAnsi="Arial" w:cs="Arial"/>
          <w:color w:val="000000"/>
          <w:sz w:val="20"/>
          <w:szCs w:val="20"/>
        </w:rPr>
        <w:t xml:space="preserve"> </w:t>
      </w:r>
      <w:r>
        <w:rPr>
          <w:rFonts w:ascii="Arial" w:eastAsia="Arial" w:hAnsi="Arial" w:cs="Arial"/>
          <w:color w:val="45B0E1"/>
          <w:sz w:val="20"/>
          <w:szCs w:val="20"/>
          <w:highlight w:val="white"/>
          <w:u w:val="single"/>
        </w:rPr>
        <w:t>https://doi.org/10.47760/cognizance.2023.v03i11.022</w:t>
      </w:r>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222222"/>
          <w:sz w:val="20"/>
          <w:szCs w:val="20"/>
          <w:highlight w:val="white"/>
        </w:rPr>
        <w:t xml:space="preserve">Miller, E. (2020). Reclaiming gender and power in sexual violence prevention in adolescence. </w:t>
      </w:r>
      <w:r>
        <w:rPr>
          <w:rFonts w:ascii="Arial" w:eastAsia="Arial" w:hAnsi="Arial" w:cs="Arial"/>
          <w:i/>
          <w:color w:val="222222"/>
          <w:sz w:val="20"/>
          <w:szCs w:val="20"/>
          <w:highlight w:val="white"/>
        </w:rPr>
        <w:t xml:space="preserve">Violence against </w:t>
      </w:r>
      <w:r>
        <w:rPr>
          <w:rFonts w:ascii="Arial" w:eastAsia="Arial" w:hAnsi="Arial" w:cs="Arial"/>
          <w:i/>
          <w:color w:val="222222"/>
          <w:sz w:val="20"/>
          <w:szCs w:val="20"/>
          <w:highlight w:val="white"/>
        </w:rPr>
        <w:t>Women, 24(15)</w:t>
      </w:r>
      <w:r>
        <w:rPr>
          <w:rFonts w:ascii="Arial" w:eastAsia="Arial" w:hAnsi="Arial" w:cs="Arial"/>
          <w:color w:val="222222"/>
          <w:sz w:val="20"/>
          <w:szCs w:val="20"/>
          <w:highlight w:val="white"/>
        </w:rPr>
        <w:t>.</w:t>
      </w:r>
      <w:hyperlink r:id="rId63" w:history="1">
        <w:r>
          <w:rPr>
            <w:rFonts w:ascii="Arial" w:eastAsia="Arial" w:hAnsi="Arial" w:cs="Arial"/>
            <w:color w:val="467886"/>
            <w:sz w:val="20"/>
            <w:szCs w:val="20"/>
            <w:highlight w:val="white"/>
            <w:u w:val="single"/>
          </w:rPr>
          <w:t>https://doi.org/10.1177/1077801217753323</w:t>
        </w:r>
      </w:hyperlink>
      <w:r>
        <w:rPr>
          <w:rFonts w:ascii="Arial" w:eastAsia="Arial" w:hAnsi="Arial" w:cs="Arial"/>
          <w:color w:val="222222"/>
          <w:sz w:val="20"/>
          <w:szCs w:val="20"/>
          <w:highlight w:val="white"/>
        </w:rPr>
        <w:t xml:space="preserve"> </w:t>
      </w:r>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222222"/>
          <w:sz w:val="20"/>
          <w:szCs w:val="20"/>
          <w:highlight w:val="white"/>
        </w:rPr>
        <w:t>Kantor, L. M., Lindberg, L. D., Tashkandi, Y , Hirsch, J. S., &amp; Santelli, J. S. (2020). Sex education: Broadening the definition of relevant ou</w:t>
      </w:r>
      <w:r>
        <w:rPr>
          <w:rFonts w:ascii="Arial" w:eastAsia="Arial" w:hAnsi="Arial" w:cs="Arial"/>
          <w:color w:val="222222"/>
          <w:sz w:val="20"/>
          <w:szCs w:val="20"/>
          <w:highlight w:val="white"/>
        </w:rPr>
        <w:t xml:space="preserve">tcomes. </w:t>
      </w:r>
      <w:r>
        <w:rPr>
          <w:rFonts w:ascii="Arial" w:eastAsia="Arial" w:hAnsi="Arial" w:cs="Arial"/>
          <w:i/>
          <w:color w:val="222222"/>
          <w:sz w:val="20"/>
          <w:szCs w:val="20"/>
          <w:highlight w:val="white"/>
        </w:rPr>
        <w:t>Journ l of Adolescent Health, 68(1), 7–8.</w:t>
      </w:r>
      <w:hyperlink r:id="rId64" w:history="1">
        <w:r>
          <w:rPr>
            <w:rFonts w:ascii="Arial" w:eastAsia="Arial" w:hAnsi="Arial" w:cs="Arial"/>
            <w:color w:val="467886"/>
            <w:sz w:val="20"/>
            <w:szCs w:val="20"/>
            <w:highlight w:val="white"/>
            <w:u w:val="single"/>
          </w:rPr>
          <w:t>https://doi.org/10.1016/J.JADOHEALTH.2020.09.031</w:t>
        </w:r>
      </w:hyperlink>
      <w:r>
        <w:rPr>
          <w:rFonts w:ascii="Arial" w:eastAsia="Arial" w:hAnsi="Arial" w:cs="Arial"/>
          <w:color w:val="222222"/>
          <w:sz w:val="20"/>
          <w:szCs w:val="20"/>
          <w:highlight w:val="white"/>
        </w:rPr>
        <w:t xml:space="preserve"> </w:t>
      </w:r>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222222"/>
          <w:sz w:val="20"/>
          <w:szCs w:val="20"/>
          <w:highlight w:val="white"/>
        </w:rPr>
        <w:t>Kantor &amp; Makleff, (2020). Comprehensive sex education addressing gender and power: A systema</w:t>
      </w:r>
      <w:r>
        <w:rPr>
          <w:rFonts w:ascii="Arial" w:eastAsia="Arial" w:hAnsi="Arial" w:cs="Arial"/>
          <w:color w:val="222222"/>
          <w:sz w:val="20"/>
          <w:szCs w:val="20"/>
          <w:highlight w:val="white"/>
        </w:rPr>
        <w:t>tic review to investigate implementation and mechanisms of impact. </w:t>
      </w:r>
      <w:r>
        <w:rPr>
          <w:rFonts w:ascii="Arial" w:eastAsia="Arial" w:hAnsi="Arial" w:cs="Arial"/>
          <w:i/>
          <w:color w:val="222222"/>
          <w:sz w:val="20"/>
          <w:szCs w:val="20"/>
          <w:highlight w:val="white"/>
        </w:rPr>
        <w:t>Sexuality Research and Social Policy</w:t>
      </w:r>
      <w:r>
        <w:rPr>
          <w:rFonts w:ascii="Arial" w:eastAsia="Arial" w:hAnsi="Arial" w:cs="Arial"/>
          <w:color w:val="222222"/>
          <w:sz w:val="20"/>
          <w:szCs w:val="20"/>
          <w:highlight w:val="white"/>
        </w:rPr>
        <w:t xml:space="preserve">, 1-17. </w:t>
      </w:r>
      <w:r>
        <w:rPr>
          <w:rFonts w:ascii="Arial" w:eastAsia="Arial" w:hAnsi="Arial" w:cs="Arial"/>
          <w:color w:val="45B0E1"/>
          <w:sz w:val="20"/>
          <w:szCs w:val="20"/>
          <w:highlight w:val="white"/>
          <w:u w:val="single"/>
        </w:rPr>
        <w:t>https://doi.org/10.1007/s13178-021-00674-8</w:t>
      </w:r>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222222"/>
          <w:sz w:val="20"/>
          <w:szCs w:val="20"/>
          <w:highlight w:val="white"/>
        </w:rPr>
        <w:t xml:space="preserve">Starrs, A. M., Ezeh, A. C., Barker, G., Basu, A., Bertrand, J. T., Blum, R., &amp; Ashford, L. S. (2020). </w:t>
      </w:r>
      <w:r>
        <w:rPr>
          <w:rFonts w:ascii="Arial" w:eastAsia="Arial" w:hAnsi="Arial" w:cs="Arial"/>
          <w:color w:val="222222"/>
          <w:sz w:val="20"/>
          <w:szCs w:val="20"/>
          <w:highlight w:val="white"/>
        </w:rPr>
        <w:t xml:space="preserve">Accelerated e progress—Sexual and reproductive health and rights for all: </w:t>
      </w:r>
      <w:r>
        <w:rPr>
          <w:rFonts w:ascii="Arial" w:eastAsia="Arial" w:hAnsi="Arial" w:cs="Arial"/>
          <w:i/>
          <w:color w:val="222222"/>
          <w:sz w:val="20"/>
          <w:szCs w:val="20"/>
          <w:highlight w:val="white"/>
        </w:rPr>
        <w:t>Report of the Guttmacher–Lancet Commission. The L net, 391(10140), pp. 2642–2692.</w:t>
      </w:r>
      <w:r>
        <w:rPr>
          <w:rFonts w:ascii="Arial" w:eastAsia="Arial" w:hAnsi="Arial" w:cs="Arial"/>
          <w:color w:val="222222"/>
          <w:sz w:val="20"/>
          <w:szCs w:val="20"/>
          <w:highlight w:val="white"/>
        </w:rPr>
        <w:t xml:space="preserve"> </w:t>
      </w:r>
      <w:hyperlink r:id="rId65" w:history="1">
        <w:r>
          <w:rPr>
            <w:rFonts w:ascii="Arial" w:eastAsia="Arial" w:hAnsi="Arial" w:cs="Arial"/>
            <w:color w:val="467886"/>
            <w:sz w:val="20"/>
            <w:szCs w:val="20"/>
            <w:highlight w:val="white"/>
            <w:u w:val="single"/>
          </w:rPr>
          <w:t>https://d i.org/10.1016/S0140-6736(18)302</w:t>
        </w:r>
        <w:r>
          <w:rPr>
            <w:rFonts w:ascii="Arial" w:eastAsia="Arial" w:hAnsi="Arial" w:cs="Arial"/>
            <w:color w:val="467886"/>
            <w:sz w:val="20"/>
            <w:szCs w:val="20"/>
            <w:highlight w:val="white"/>
            <w:u w:val="single"/>
          </w:rPr>
          <w:t>93-9</w:t>
        </w:r>
      </w:hyperlink>
      <w:r>
        <w:rPr>
          <w:rFonts w:ascii="Arial" w:eastAsia="Arial" w:hAnsi="Arial" w:cs="Arial"/>
          <w:color w:val="222222"/>
          <w:sz w:val="20"/>
          <w:szCs w:val="20"/>
          <w:highlight w:val="white"/>
        </w:rPr>
        <w:t xml:space="preserve"> </w:t>
      </w:r>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222222"/>
          <w:sz w:val="20"/>
          <w:szCs w:val="20"/>
          <w:highlight w:val="white"/>
        </w:rPr>
        <w:t xml:space="preserve">Joyce, A., Ollis, D., Kearney, S., Leung, L., &amp; Foenander, E. (2019). The influence of context al factors on implementation fidelity in a whole </w:t>
      </w:r>
      <w:r>
        <w:rPr>
          <w:rFonts w:ascii="Arial" w:eastAsia="Arial" w:hAnsi="Arial" w:cs="Arial"/>
          <w:color w:val="222222"/>
          <w:sz w:val="20"/>
          <w:szCs w:val="20"/>
          <w:highlight w:val="white"/>
        </w:rPr>
        <w:lastRenderedPageBreak/>
        <w:t xml:space="preserve">school approach to prevention of violence against women. Health Promotion </w:t>
      </w:r>
      <w:r>
        <w:rPr>
          <w:rFonts w:ascii="Arial" w:eastAsia="Arial" w:hAnsi="Arial" w:cs="Arial"/>
          <w:i/>
          <w:color w:val="222222"/>
          <w:sz w:val="20"/>
          <w:szCs w:val="20"/>
          <w:highlight w:val="white"/>
        </w:rPr>
        <w:t xml:space="preserve">Journal of Australia, 30(2), </w:t>
      </w:r>
      <w:r>
        <w:rPr>
          <w:rFonts w:ascii="Arial" w:eastAsia="Arial" w:hAnsi="Arial" w:cs="Arial"/>
          <w:i/>
          <w:color w:val="222222"/>
          <w:sz w:val="20"/>
          <w:szCs w:val="20"/>
          <w:highlight w:val="white"/>
        </w:rPr>
        <w:t>238–245</w:t>
      </w:r>
      <w:r>
        <w:rPr>
          <w:rFonts w:ascii="Arial" w:eastAsia="Arial" w:hAnsi="Arial" w:cs="Arial"/>
          <w:color w:val="222222"/>
          <w:sz w:val="20"/>
          <w:szCs w:val="20"/>
          <w:highlight w:val="white"/>
        </w:rPr>
        <w:t>.</w:t>
      </w:r>
      <w:hyperlink r:id="rId66" w:history="1">
        <w:r>
          <w:rPr>
            <w:rFonts w:ascii="Arial" w:eastAsia="Arial" w:hAnsi="Arial" w:cs="Arial"/>
            <w:color w:val="467886"/>
            <w:sz w:val="20"/>
            <w:szCs w:val="20"/>
            <w:highlight w:val="white"/>
            <w:u w:val="single"/>
          </w:rPr>
          <w:t>https://doi.org/10.1002/hpja.198</w:t>
        </w:r>
      </w:hyperlink>
      <w:r>
        <w:rPr>
          <w:rFonts w:ascii="Arial" w:eastAsia="Arial" w:hAnsi="Arial" w:cs="Arial"/>
          <w:color w:val="222222"/>
          <w:sz w:val="20"/>
          <w:szCs w:val="20"/>
          <w:highlight w:val="white"/>
        </w:rPr>
        <w:t xml:space="preserve"> </w:t>
      </w:r>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222222"/>
          <w:sz w:val="20"/>
          <w:szCs w:val="20"/>
          <w:highlight w:val="white"/>
        </w:rPr>
        <w:t xml:space="preserve">Kearney, S., Leung, L., Joyce, A., Ollis, D., &amp; Green, C. (2021). Applying systems theory to evaluate a whole school approach to violence prevention. </w:t>
      </w:r>
      <w:r>
        <w:rPr>
          <w:rFonts w:ascii="Arial" w:eastAsia="Arial" w:hAnsi="Arial" w:cs="Arial"/>
          <w:i/>
          <w:color w:val="222222"/>
          <w:sz w:val="20"/>
          <w:szCs w:val="20"/>
          <w:highlight w:val="white"/>
        </w:rPr>
        <w:t>Health Promotio</w:t>
      </w:r>
      <w:r>
        <w:rPr>
          <w:rFonts w:ascii="Arial" w:eastAsia="Arial" w:hAnsi="Arial" w:cs="Arial"/>
          <w:i/>
          <w:color w:val="222222"/>
          <w:sz w:val="20"/>
          <w:szCs w:val="20"/>
          <w:highlight w:val="white"/>
        </w:rPr>
        <w:t>n Journal of Australia: Official Journal of Australian Association of Health Promotion professionals, 27(3), 230–235.</w:t>
      </w:r>
      <w:r>
        <w:rPr>
          <w:rFonts w:ascii="Arial" w:eastAsia="Arial" w:hAnsi="Arial" w:cs="Arial"/>
          <w:color w:val="222222"/>
          <w:sz w:val="20"/>
          <w:szCs w:val="20"/>
          <w:highlight w:val="white"/>
        </w:rPr>
        <w:t xml:space="preserve"> </w:t>
      </w:r>
      <w:hyperlink r:id="rId67" w:history="1">
        <w:r>
          <w:rPr>
            <w:rFonts w:ascii="Arial" w:eastAsia="Arial" w:hAnsi="Arial" w:cs="Arial"/>
            <w:color w:val="467886"/>
            <w:sz w:val="20"/>
            <w:szCs w:val="20"/>
            <w:highlight w:val="white"/>
            <w:u w:val="single"/>
          </w:rPr>
          <w:t>https://doi.org/10.1071/HE16046</w:t>
        </w:r>
      </w:hyperlink>
      <w:r>
        <w:rPr>
          <w:rFonts w:ascii="Arial" w:eastAsia="Arial" w:hAnsi="Arial" w:cs="Arial"/>
          <w:color w:val="222222"/>
          <w:sz w:val="20"/>
          <w:szCs w:val="20"/>
          <w:highlight w:val="white"/>
        </w:rPr>
        <w:t xml:space="preserve"> </w:t>
      </w:r>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222222"/>
          <w:sz w:val="20"/>
          <w:szCs w:val="20"/>
          <w:highlight w:val="white"/>
        </w:rPr>
        <w:t>Robert-James, C., Sawyer, L., Nunez, A., Campoli, B., Rob</w:t>
      </w:r>
      <w:r>
        <w:rPr>
          <w:rFonts w:ascii="Arial" w:eastAsia="Arial" w:hAnsi="Arial" w:cs="Arial"/>
          <w:color w:val="222222"/>
          <w:sz w:val="20"/>
          <w:szCs w:val="20"/>
          <w:highlight w:val="white"/>
        </w:rPr>
        <w:t xml:space="preserve">ertson, D., Amanda, D., &amp; Alexander, S. (2022). Promoting policy development through community participatory approaches to health promotion: The Philadelphia Ujima experience. </w:t>
      </w:r>
      <w:r>
        <w:rPr>
          <w:rFonts w:ascii="Arial" w:eastAsia="Arial" w:hAnsi="Arial" w:cs="Arial"/>
          <w:i/>
          <w:color w:val="222222"/>
          <w:sz w:val="20"/>
          <w:szCs w:val="20"/>
          <w:highlight w:val="white"/>
        </w:rPr>
        <w:t>Women's Health Issues: Official Publication of the Jacobs Institute of Women's H</w:t>
      </w:r>
      <w:r>
        <w:rPr>
          <w:rFonts w:ascii="Arial" w:eastAsia="Arial" w:hAnsi="Arial" w:cs="Arial"/>
          <w:i/>
          <w:color w:val="222222"/>
          <w:sz w:val="20"/>
          <w:szCs w:val="20"/>
          <w:highlight w:val="white"/>
        </w:rPr>
        <w:t>ealth, p. 27 Suppl 1, S29–S37.</w:t>
      </w:r>
      <w:r>
        <w:rPr>
          <w:rFonts w:ascii="Arial" w:eastAsia="Arial" w:hAnsi="Arial" w:cs="Arial"/>
          <w:color w:val="222222"/>
          <w:sz w:val="20"/>
          <w:szCs w:val="20"/>
          <w:highlight w:val="white"/>
        </w:rPr>
        <w:t xml:space="preserve"> </w:t>
      </w:r>
      <w:hyperlink r:id="rId68" w:history="1">
        <w:r>
          <w:rPr>
            <w:rFonts w:ascii="Arial" w:eastAsia="Arial" w:hAnsi="Arial" w:cs="Arial"/>
            <w:color w:val="467886"/>
            <w:sz w:val="20"/>
            <w:szCs w:val="20"/>
            <w:highlight w:val="white"/>
            <w:u w:val="single"/>
          </w:rPr>
          <w:t>https://doi.org/10.1016/j.whi.2022.09.001</w:t>
        </w:r>
      </w:hyperlink>
      <w:r>
        <w:rPr>
          <w:rFonts w:ascii="Arial" w:eastAsia="Arial" w:hAnsi="Arial" w:cs="Arial"/>
          <w:color w:val="222222"/>
          <w:sz w:val="20"/>
          <w:szCs w:val="20"/>
          <w:highlight w:val="white"/>
        </w:rPr>
        <w:t xml:space="preserve"> </w:t>
      </w:r>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222222"/>
          <w:sz w:val="20"/>
          <w:szCs w:val="20"/>
          <w:highlight w:val="white"/>
        </w:rPr>
        <w:t xml:space="preserve">Ruane-McAteer, E., Amin, A., Hanratty, J., Lynn, F., Willenswaard, K., Reid, E., &amp; Lohan, M. (2019). Interventions </w:t>
      </w:r>
      <w:r>
        <w:rPr>
          <w:rFonts w:ascii="Arial" w:eastAsia="Arial" w:hAnsi="Arial" w:cs="Arial"/>
          <w:color w:val="222222"/>
          <w:sz w:val="20"/>
          <w:szCs w:val="20"/>
          <w:highlight w:val="white"/>
        </w:rPr>
        <w:t>addressing men, masculinities and gender equality in sexual and reproductive health and rights: An evidence and gap map and systematic review of reviews</w:t>
      </w:r>
      <w:r>
        <w:rPr>
          <w:rFonts w:ascii="Arial" w:eastAsia="Arial" w:hAnsi="Arial" w:cs="Arial"/>
          <w:i/>
          <w:color w:val="222222"/>
          <w:sz w:val="20"/>
          <w:szCs w:val="20"/>
          <w:highlight w:val="white"/>
        </w:rPr>
        <w:t xml:space="preserve">. BMJ Global Health, 4(5), e0016 4. </w:t>
      </w:r>
      <w:hyperlink r:id="rId69" w:history="1">
        <w:r>
          <w:rPr>
            <w:rFonts w:ascii="Arial" w:eastAsia="Arial" w:hAnsi="Arial" w:cs="Arial"/>
            <w:color w:val="467886"/>
            <w:sz w:val="20"/>
            <w:szCs w:val="20"/>
            <w:highlight w:val="white"/>
            <w:u w:val="single"/>
          </w:rPr>
          <w:t>https://doi.o</w:t>
        </w:r>
        <w:r>
          <w:rPr>
            <w:rFonts w:ascii="Arial" w:eastAsia="Arial" w:hAnsi="Arial" w:cs="Arial"/>
            <w:color w:val="467886"/>
            <w:sz w:val="20"/>
            <w:szCs w:val="20"/>
            <w:highlight w:val="white"/>
            <w:u w:val="single"/>
          </w:rPr>
          <w:t>rg/10.1136/bmjgh-2019-001634</w:t>
        </w:r>
      </w:hyperlink>
      <w:r>
        <w:rPr>
          <w:rFonts w:ascii="Arial" w:eastAsia="Arial" w:hAnsi="Arial" w:cs="Arial"/>
          <w:color w:val="222222"/>
          <w:sz w:val="20"/>
          <w:szCs w:val="20"/>
          <w:highlight w:val="white"/>
        </w:rPr>
        <w:t xml:space="preserve"> </w:t>
      </w:r>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000000"/>
          <w:sz w:val="20"/>
          <w:szCs w:val="20"/>
        </w:rPr>
        <w:t xml:space="preserve">Achora S, Thupayagale-Tshweneagae G, Akpor OA, Mashalla YJS. (2020). Perceptions of adolescents and teachers on school-based sexuality education in rural primary schools in Uganda. </w:t>
      </w:r>
      <w:r>
        <w:rPr>
          <w:rFonts w:ascii="Arial" w:eastAsia="Arial" w:hAnsi="Arial" w:cs="Arial"/>
          <w:i/>
          <w:color w:val="000000"/>
          <w:sz w:val="20"/>
          <w:szCs w:val="20"/>
        </w:rPr>
        <w:t>Sex Reprod Healthc;17:12–8</w:t>
      </w:r>
      <w:r>
        <w:rPr>
          <w:rFonts w:ascii="Arial" w:eastAsia="Arial" w:hAnsi="Arial" w:cs="Arial"/>
          <w:color w:val="000000"/>
          <w:sz w:val="20"/>
          <w:szCs w:val="20"/>
        </w:rPr>
        <w:t xml:space="preserve">. </w:t>
      </w:r>
      <w:hyperlink r:id="rId70" w:history="1">
        <w:r>
          <w:rPr>
            <w:rFonts w:ascii="Arial" w:eastAsia="Arial" w:hAnsi="Arial" w:cs="Arial"/>
            <w:color w:val="467886"/>
            <w:sz w:val="20"/>
            <w:szCs w:val="20"/>
            <w:u w:val="single"/>
          </w:rPr>
          <w:t>https://doi.org/10.1016/j.srhc.2020.05.002.24</w:t>
        </w:r>
      </w:hyperlink>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000000"/>
          <w:sz w:val="20"/>
          <w:szCs w:val="20"/>
        </w:rPr>
        <w:t xml:space="preserve">Adogu, P. O., &amp; Nwafulume, O. S. (2022). Knowledge, attitude, and willingness to teach sexuality education among secondary school teachers in Nnewi, Nigeria. </w:t>
      </w:r>
      <w:r>
        <w:rPr>
          <w:rFonts w:ascii="Arial" w:eastAsia="Arial" w:hAnsi="Arial" w:cs="Arial"/>
          <w:i/>
          <w:color w:val="000000"/>
          <w:sz w:val="20"/>
          <w:szCs w:val="20"/>
        </w:rPr>
        <w:t xml:space="preserve">Journal of </w:t>
      </w:r>
      <w:r>
        <w:rPr>
          <w:rFonts w:ascii="Arial" w:eastAsia="Arial" w:hAnsi="Arial" w:cs="Arial"/>
          <w:i/>
          <w:color w:val="000000"/>
          <w:sz w:val="20"/>
          <w:szCs w:val="20"/>
        </w:rPr>
        <w:t xml:space="preserve">Education, Society, and Behavioural Science, 184-193. </w:t>
      </w:r>
      <w:hyperlink r:id="rId71" w:history="1">
        <w:r>
          <w:rPr>
            <w:rFonts w:ascii="Arial" w:eastAsia="Arial" w:hAnsi="Arial" w:cs="Arial"/>
            <w:color w:val="467886"/>
            <w:sz w:val="20"/>
            <w:szCs w:val="20"/>
            <w:u w:val="single"/>
          </w:rPr>
          <w:t>https://doi.org/10.9734/bjesbs/2015/15352</w:t>
        </w:r>
      </w:hyperlink>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000000"/>
          <w:sz w:val="20"/>
          <w:szCs w:val="20"/>
        </w:rPr>
        <w:t xml:space="preserve">La Bella, V. (2021). </w:t>
      </w:r>
      <w:r>
        <w:rPr>
          <w:rFonts w:ascii="Arial" w:eastAsia="Arial" w:hAnsi="Arial" w:cs="Arial"/>
          <w:i/>
          <w:color w:val="000000"/>
          <w:sz w:val="20"/>
          <w:szCs w:val="20"/>
        </w:rPr>
        <w:t>Incorporating Sexuality Education in the Public School System: Percept</w:t>
      </w:r>
      <w:r>
        <w:rPr>
          <w:rFonts w:ascii="Arial" w:eastAsia="Arial" w:hAnsi="Arial" w:cs="Arial"/>
          <w:i/>
          <w:color w:val="000000"/>
          <w:sz w:val="20"/>
          <w:szCs w:val="20"/>
        </w:rPr>
        <w:t>ions from the Philippines</w:t>
      </w:r>
      <w:r>
        <w:rPr>
          <w:rFonts w:ascii="Arial" w:eastAsia="Arial" w:hAnsi="Arial" w:cs="Arial"/>
          <w:color w:val="000000"/>
          <w:sz w:val="20"/>
          <w:szCs w:val="20"/>
        </w:rPr>
        <w:t xml:space="preserve"> (Doctoral dissertation, MSc thesis, University of Amsterdam. </w:t>
      </w:r>
      <w:hyperlink r:id="rId72" w:history="1">
        <w:r>
          <w:rPr>
            <w:rFonts w:ascii="Arial" w:eastAsia="Arial" w:hAnsi="Arial" w:cs="Arial"/>
            <w:color w:val="467886"/>
            <w:sz w:val="20"/>
            <w:szCs w:val="20"/>
            <w:u w:val="single"/>
          </w:rPr>
          <w:t>https://doi.org/10.4135/9781506374727.n1</w:t>
        </w:r>
      </w:hyperlink>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000000"/>
          <w:sz w:val="20"/>
          <w:szCs w:val="20"/>
        </w:rPr>
        <w:t>Chaiwongroi, C., Buaraphan, K. &amp; Supasetsiri, P. (2020). Teachers', stu</w:t>
      </w:r>
      <w:r>
        <w:rPr>
          <w:rFonts w:ascii="Arial" w:eastAsia="Arial" w:hAnsi="Arial" w:cs="Arial"/>
          <w:color w:val="000000"/>
          <w:sz w:val="20"/>
          <w:szCs w:val="20"/>
        </w:rPr>
        <w:t xml:space="preserve">dents', and parents' perspectives on sex education integrated curriculum for sixth-grade students. </w:t>
      </w:r>
      <w:r>
        <w:rPr>
          <w:rFonts w:ascii="Arial" w:eastAsia="Arial" w:hAnsi="Arial" w:cs="Arial"/>
          <w:i/>
          <w:color w:val="000000"/>
          <w:sz w:val="20"/>
          <w:szCs w:val="20"/>
        </w:rPr>
        <w:t xml:space="preserve">International Conference on Multidisciplinary Trends in Academic Research, 1(1), 276–284. </w:t>
      </w:r>
      <w:hyperlink r:id="rId73" w:history="1">
        <w:r>
          <w:rPr>
            <w:rFonts w:ascii="Arial" w:eastAsia="Arial" w:hAnsi="Arial" w:cs="Arial"/>
            <w:color w:val="467886"/>
            <w:sz w:val="20"/>
            <w:szCs w:val="20"/>
            <w:u w:val="single"/>
          </w:rPr>
          <w:t>https://doi.o</w:t>
        </w:r>
        <w:r>
          <w:rPr>
            <w:rFonts w:ascii="Arial" w:eastAsia="Arial" w:hAnsi="Arial" w:cs="Arial"/>
            <w:color w:val="467886"/>
            <w:sz w:val="20"/>
            <w:szCs w:val="20"/>
            <w:u w:val="single"/>
          </w:rPr>
          <w:t>rg/10.1108/jhr-02-20 9-0039</w:t>
        </w:r>
      </w:hyperlink>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000000"/>
          <w:sz w:val="20"/>
          <w:szCs w:val="20"/>
        </w:rPr>
        <w:t xml:space="preserve">Ameh, O. (2020). A survey of students per option of sex education in secondary school social studies in the Dekina local government area of Kogi state. </w:t>
      </w:r>
      <w:r>
        <w:rPr>
          <w:rFonts w:ascii="Arial" w:eastAsia="Arial" w:hAnsi="Arial" w:cs="Arial"/>
          <w:i/>
          <w:color w:val="000000"/>
          <w:sz w:val="20"/>
          <w:szCs w:val="20"/>
        </w:rPr>
        <w:t>International Journal of Education Learning and Development, 3(1), 67–74.</w:t>
      </w:r>
      <w:r>
        <w:rPr>
          <w:rFonts w:ascii="Arial" w:eastAsia="Arial" w:hAnsi="Arial" w:cs="Arial"/>
          <w:color w:val="000000"/>
          <w:sz w:val="20"/>
          <w:szCs w:val="20"/>
        </w:rPr>
        <w:t xml:space="preserve"> </w:t>
      </w:r>
      <w:hyperlink r:id="rId74" w:history="1">
        <w:r>
          <w:rPr>
            <w:rFonts w:ascii="Arial" w:eastAsia="Arial" w:hAnsi="Arial" w:cs="Arial"/>
            <w:color w:val="467886"/>
            <w:sz w:val="20"/>
            <w:szCs w:val="20"/>
            <w:u w:val="single"/>
          </w:rPr>
          <w:t>https://doi.org/10.4314/jasem.v23i11.12</w:t>
        </w:r>
      </w:hyperlink>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000000"/>
          <w:sz w:val="20"/>
          <w:szCs w:val="20"/>
        </w:rPr>
        <w:t xml:space="preserve">Goldman, J. D. (2019). Sexuality education for young people: A theoretically integrated approach from </w:t>
      </w:r>
      <w:r>
        <w:rPr>
          <w:rFonts w:ascii="Arial" w:eastAsia="Arial" w:hAnsi="Arial" w:cs="Arial"/>
          <w:i/>
          <w:color w:val="000000"/>
          <w:sz w:val="20"/>
          <w:szCs w:val="20"/>
        </w:rPr>
        <w:t xml:space="preserve">Australia. Educational Research, 52(1), 81–99. </w:t>
      </w:r>
      <w:hyperlink r:id="rId75" w:history="1">
        <w:r>
          <w:rPr>
            <w:rFonts w:ascii="Arial" w:eastAsia="Arial" w:hAnsi="Arial" w:cs="Arial"/>
            <w:color w:val="467886"/>
            <w:sz w:val="20"/>
            <w:szCs w:val="20"/>
            <w:u w:val="single"/>
          </w:rPr>
          <w:t>https://doi.10.1080/00131881003588287</w:t>
        </w:r>
      </w:hyperlink>
      <w:r>
        <w:rPr>
          <w:rFonts w:ascii="Arial" w:eastAsia="Arial" w:hAnsi="Arial" w:cs="Arial"/>
          <w:color w:val="000000"/>
          <w:sz w:val="20"/>
          <w:szCs w:val="20"/>
        </w:rPr>
        <w:t xml:space="preserve"> </w:t>
      </w:r>
    </w:p>
    <w:p w:rsidR="00704449" w:rsidRDefault="0090383F">
      <w:pPr>
        <w:numPr>
          <w:ilvl w:val="0"/>
          <w:numId w:val="2"/>
        </w:numPr>
        <w:pBdr>
          <w:top w:val="nil"/>
          <w:left w:val="nil"/>
          <w:bottom w:val="nil"/>
          <w:right w:val="nil"/>
          <w:between w:val="nil"/>
        </w:pBdr>
        <w:spacing w:after="0" w:line="240" w:lineRule="auto"/>
        <w:ind w:left="450" w:hanging="450"/>
        <w:jc w:val="both"/>
        <w:rPr>
          <w:rFonts w:ascii="Arial" w:eastAsia="Arial" w:hAnsi="Arial" w:cs="Arial"/>
          <w:color w:val="000000"/>
          <w:sz w:val="20"/>
          <w:szCs w:val="20"/>
        </w:rPr>
      </w:pPr>
      <w:r>
        <w:rPr>
          <w:rFonts w:ascii="Arial" w:eastAsia="Arial" w:hAnsi="Arial" w:cs="Arial"/>
          <w:color w:val="000000"/>
          <w:sz w:val="20"/>
          <w:szCs w:val="20"/>
        </w:rPr>
        <w:t>Bikila, T. S., Dida, N., Bulto, G. A., Debelo, B. T., &amp; Temesgen, K. (2021). Adolescents' communication on sexual and reproductive health matters with their parents and associated factors a</w:t>
      </w:r>
      <w:r>
        <w:rPr>
          <w:rFonts w:ascii="Arial" w:eastAsia="Arial" w:hAnsi="Arial" w:cs="Arial"/>
          <w:color w:val="000000"/>
          <w:sz w:val="20"/>
          <w:szCs w:val="20"/>
        </w:rPr>
        <w:t xml:space="preserve">mong secondary and preparatory school students in Ambo town, Oromia, Ethiopia. </w:t>
      </w:r>
      <w:r>
        <w:rPr>
          <w:rFonts w:ascii="Arial" w:eastAsia="Arial" w:hAnsi="Arial" w:cs="Arial"/>
          <w:i/>
          <w:color w:val="000000"/>
          <w:sz w:val="20"/>
          <w:szCs w:val="20"/>
        </w:rPr>
        <w:t xml:space="preserve">International Journal of Reproductive Medicine. </w:t>
      </w:r>
      <w:hyperlink r:id="rId76" w:history="1">
        <w:r>
          <w:rPr>
            <w:rFonts w:ascii="Arial" w:eastAsia="Arial" w:hAnsi="Arial" w:cs="Arial"/>
            <w:color w:val="467886"/>
            <w:sz w:val="20"/>
            <w:szCs w:val="20"/>
            <w:u w:val="single"/>
          </w:rPr>
          <w:t>https://doi.org/10.1155/2021/6697837</w:t>
        </w:r>
      </w:hyperlink>
    </w:p>
    <w:p w:rsidR="00704449" w:rsidRDefault="00704449">
      <w:pPr>
        <w:pBdr>
          <w:top w:val="nil"/>
          <w:left w:val="nil"/>
          <w:bottom w:val="nil"/>
          <w:right w:val="nil"/>
          <w:between w:val="nil"/>
        </w:pBdr>
        <w:spacing w:after="0" w:line="240" w:lineRule="auto"/>
        <w:ind w:left="450"/>
        <w:jc w:val="both"/>
        <w:rPr>
          <w:rFonts w:ascii="Arial" w:eastAsia="Arial" w:hAnsi="Arial" w:cs="Arial"/>
          <w:sz w:val="22"/>
          <w:szCs w:val="22"/>
        </w:rPr>
      </w:pPr>
    </w:p>
    <w:p w:rsidR="00704449" w:rsidRDefault="0090383F">
      <w:pPr>
        <w:pBdr>
          <w:top w:val="nil"/>
          <w:left w:val="nil"/>
          <w:bottom w:val="nil"/>
          <w:right w:val="nil"/>
          <w:between w:val="nil"/>
        </w:pBdr>
        <w:spacing w:after="0" w:line="240" w:lineRule="auto"/>
        <w:ind w:left="450"/>
        <w:jc w:val="both"/>
        <w:rPr>
          <w:rFonts w:ascii="Arial" w:eastAsia="Arial" w:hAnsi="Arial" w:cs="Arial"/>
          <w:color w:val="222222"/>
          <w:sz w:val="20"/>
          <w:szCs w:val="20"/>
        </w:rPr>
      </w:pPr>
      <w:r>
        <w:rPr>
          <w:rFonts w:ascii="Arial" w:eastAsia="Arial" w:hAnsi="Arial" w:cs="Arial"/>
          <w:color w:val="222222"/>
          <w:sz w:val="20"/>
          <w:szCs w:val="20"/>
          <w:highlight w:val="white"/>
        </w:rPr>
        <w:t>Malasarte, B. D., Molde, M. M., Son, J</w:t>
      </w:r>
      <w:r>
        <w:rPr>
          <w:rFonts w:ascii="Arial" w:eastAsia="Arial" w:hAnsi="Arial" w:cs="Arial"/>
          <w:color w:val="222222"/>
          <w:sz w:val="20"/>
          <w:szCs w:val="20"/>
          <w:highlight w:val="white"/>
        </w:rPr>
        <w:t xml:space="preserve">. S., &amp; Quezada, R. J. C. (2024). Awareness and Preparedness of </w:t>
      </w:r>
      <w:r>
        <w:rPr>
          <w:rFonts w:ascii="Arial" w:eastAsia="Arial" w:hAnsi="Arial" w:cs="Arial"/>
          <w:color w:val="222222"/>
          <w:sz w:val="20"/>
          <w:szCs w:val="20"/>
          <w:highlight w:val="white"/>
        </w:rPr>
        <w:lastRenderedPageBreak/>
        <w:t xml:space="preserve">Pupils Towards Disaster Risk Reduction Management: Basis for Intervention Program. </w:t>
      </w:r>
      <w:r>
        <w:rPr>
          <w:rFonts w:ascii="Arial" w:eastAsia="Arial" w:hAnsi="Arial" w:cs="Arial"/>
          <w:i/>
          <w:color w:val="222222"/>
          <w:sz w:val="20"/>
          <w:szCs w:val="20"/>
          <w:highlight w:val="white"/>
        </w:rPr>
        <w:t>Asian J Educ Soc Stud</w:t>
      </w:r>
      <w:r>
        <w:rPr>
          <w:rFonts w:ascii="Arial" w:eastAsia="Arial" w:hAnsi="Arial" w:cs="Arial"/>
          <w:color w:val="222222"/>
          <w:sz w:val="20"/>
          <w:szCs w:val="20"/>
          <w:highlight w:val="white"/>
        </w:rPr>
        <w:t xml:space="preserve">, </w:t>
      </w:r>
      <w:r>
        <w:rPr>
          <w:rFonts w:ascii="Arial" w:eastAsia="Arial" w:hAnsi="Arial" w:cs="Arial"/>
          <w:i/>
          <w:color w:val="222222"/>
          <w:sz w:val="20"/>
          <w:szCs w:val="20"/>
          <w:highlight w:val="white"/>
        </w:rPr>
        <w:t>50</w:t>
      </w:r>
      <w:r>
        <w:rPr>
          <w:rFonts w:ascii="Arial" w:eastAsia="Arial" w:hAnsi="Arial" w:cs="Arial"/>
          <w:color w:val="222222"/>
          <w:sz w:val="20"/>
          <w:szCs w:val="20"/>
          <w:highlight w:val="white"/>
        </w:rPr>
        <w:t xml:space="preserve">(9), 200-12. </w:t>
      </w:r>
      <w:hyperlink r:id="rId77" w:history="1">
        <w:r>
          <w:rPr>
            <w:rFonts w:ascii="Arial" w:eastAsia="Arial" w:hAnsi="Arial" w:cs="Arial"/>
            <w:color w:val="1155CC"/>
            <w:sz w:val="20"/>
            <w:szCs w:val="20"/>
            <w:highlight w:val="white"/>
            <w:u w:val="single"/>
          </w:rPr>
          <w:t>https://doi.o</w:t>
        </w:r>
        <w:r>
          <w:rPr>
            <w:rFonts w:ascii="Arial" w:eastAsia="Arial" w:hAnsi="Arial" w:cs="Arial"/>
            <w:color w:val="1155CC"/>
            <w:sz w:val="20"/>
            <w:szCs w:val="20"/>
            <w:highlight w:val="white"/>
            <w:u w:val="single"/>
          </w:rPr>
          <w:t>rg/10.9734/ajess/2024/v50i91580</w:t>
        </w:r>
      </w:hyperlink>
      <w:r>
        <w:rPr>
          <w:rFonts w:ascii="Arial" w:eastAsia="Arial" w:hAnsi="Arial" w:cs="Arial"/>
          <w:color w:val="222222"/>
          <w:sz w:val="20"/>
          <w:szCs w:val="20"/>
          <w:highlight w:val="white"/>
        </w:rPr>
        <w:t xml:space="preserve">   </w:t>
      </w:r>
    </w:p>
    <w:p w:rsidR="00704449" w:rsidRDefault="00704449">
      <w:pPr>
        <w:pBdr>
          <w:top w:val="nil"/>
          <w:left w:val="nil"/>
          <w:bottom w:val="nil"/>
          <w:right w:val="nil"/>
          <w:between w:val="nil"/>
        </w:pBdr>
        <w:spacing w:after="0" w:line="240" w:lineRule="auto"/>
        <w:ind w:left="450"/>
        <w:jc w:val="both"/>
        <w:rPr>
          <w:rFonts w:ascii="Arial" w:eastAsia="Arial" w:hAnsi="Arial" w:cs="Arial"/>
          <w:sz w:val="22"/>
          <w:szCs w:val="22"/>
        </w:rPr>
      </w:pPr>
    </w:p>
    <w:p w:rsidR="00704449" w:rsidRDefault="0090383F">
      <w:pPr>
        <w:pBdr>
          <w:top w:val="nil"/>
          <w:left w:val="nil"/>
          <w:bottom w:val="nil"/>
          <w:right w:val="nil"/>
          <w:between w:val="nil"/>
        </w:pBdr>
        <w:spacing w:after="0" w:line="240" w:lineRule="auto"/>
        <w:ind w:left="45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Fadhilah, N., Mulawarman, M., &amp; Mulyani, P. K. (2024) COMPREHENSIVE SEXUALITY EDUCATION PROGRAM FOR ELEMENTARY SCHOOL CHILDREN. </w:t>
      </w:r>
      <w:r>
        <w:rPr>
          <w:rFonts w:ascii="Arial" w:hAnsi="Arial" w:cs="Arial"/>
          <w:i/>
          <w:iCs/>
          <w:color w:val="222222"/>
          <w:sz w:val="20"/>
          <w:szCs w:val="20"/>
          <w:shd w:val="clear" w:color="auto" w:fill="FFFFFF"/>
        </w:rPr>
        <w:t>Marwah: Jurnal Perempuan, Agama dan Jender</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23</w:t>
      </w:r>
      <w:r>
        <w:rPr>
          <w:rFonts w:ascii="Arial" w:hAnsi="Arial" w:cs="Arial"/>
          <w:color w:val="222222"/>
          <w:sz w:val="20"/>
          <w:szCs w:val="20"/>
          <w:shd w:val="clear" w:color="auto" w:fill="FFFFFF"/>
        </w:rPr>
        <w:t xml:space="preserve">(2), 188-208. </w:t>
      </w:r>
    </w:p>
    <w:p w:rsidR="00704449" w:rsidRDefault="0090383F">
      <w:pPr>
        <w:pBdr>
          <w:top w:val="nil"/>
          <w:left w:val="nil"/>
          <w:bottom w:val="nil"/>
          <w:right w:val="nil"/>
          <w:between w:val="nil"/>
        </w:pBdr>
        <w:spacing w:after="0" w:line="240" w:lineRule="auto"/>
        <w:ind w:left="450"/>
        <w:jc w:val="both"/>
        <w:rPr>
          <w:rFonts w:ascii="Arial" w:hAnsi="Arial" w:cs="Arial"/>
          <w:color w:val="0070C0"/>
          <w:sz w:val="20"/>
          <w:szCs w:val="20"/>
          <w:u w:val="single"/>
          <w:shd w:val="clear" w:color="auto" w:fill="FFFFFF"/>
        </w:rPr>
      </w:pPr>
      <w:hyperlink r:id="rId78" w:history="1">
        <w:r>
          <w:rPr>
            <w:rStyle w:val="Hyperlink"/>
            <w:rFonts w:ascii="Arial" w:hAnsi="Arial" w:cs="Arial"/>
            <w:sz w:val="20"/>
            <w:szCs w:val="20"/>
            <w:shd w:val="clear" w:color="auto" w:fill="FFFFFF"/>
          </w:rPr>
          <w:t>https://doi.org/10.24014/marwah.v23i2.34281</w:t>
        </w:r>
      </w:hyperlink>
    </w:p>
    <w:p w:rsidR="00704449" w:rsidRDefault="00704449">
      <w:pPr>
        <w:pBdr>
          <w:top w:val="nil"/>
          <w:left w:val="nil"/>
          <w:bottom w:val="nil"/>
          <w:right w:val="nil"/>
          <w:between w:val="nil"/>
        </w:pBdr>
        <w:spacing w:after="0" w:line="240" w:lineRule="auto"/>
        <w:ind w:left="450"/>
        <w:jc w:val="both"/>
        <w:rPr>
          <w:rFonts w:ascii="Arial" w:hAnsi="Arial" w:cs="Arial"/>
          <w:color w:val="0070C0"/>
          <w:sz w:val="20"/>
          <w:szCs w:val="20"/>
          <w:u w:val="single"/>
          <w:shd w:val="clear" w:color="auto" w:fill="FFFFFF"/>
        </w:rPr>
      </w:pPr>
    </w:p>
    <w:p w:rsidR="00704449" w:rsidRDefault="0090383F">
      <w:pPr>
        <w:pBdr>
          <w:top w:val="nil"/>
          <w:left w:val="nil"/>
          <w:bottom w:val="nil"/>
          <w:right w:val="nil"/>
          <w:between w:val="nil"/>
        </w:pBdr>
        <w:spacing w:after="0" w:line="240" w:lineRule="auto"/>
        <w:ind w:left="45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Venketsamy, R. (2023). Exploring the Challenges: Teacher Reluctance in Implementing Comprehensive Sexuality Education in South Africa's Foundation Phas</w:t>
      </w:r>
      <w:r>
        <w:rPr>
          <w:rFonts w:ascii="Arial" w:hAnsi="Arial" w:cs="Arial"/>
          <w:color w:val="222222"/>
          <w:sz w:val="20"/>
          <w:szCs w:val="20"/>
          <w:shd w:val="clear" w:color="auto" w:fill="FFFFFF"/>
        </w:rPr>
        <w:t>e. </w:t>
      </w:r>
      <w:r>
        <w:rPr>
          <w:rFonts w:ascii="Arial" w:hAnsi="Arial" w:cs="Arial"/>
          <w:i/>
          <w:iCs/>
          <w:color w:val="222222"/>
          <w:sz w:val="20"/>
          <w:szCs w:val="20"/>
          <w:shd w:val="clear" w:color="auto" w:fill="FFFFFF"/>
        </w:rPr>
        <w:t>Al-Athfal: Jurnal Pendidikan Anak</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9</w:t>
      </w:r>
      <w:r>
        <w:rPr>
          <w:rFonts w:ascii="Arial" w:hAnsi="Arial" w:cs="Arial"/>
          <w:color w:val="222222"/>
          <w:sz w:val="20"/>
          <w:szCs w:val="20"/>
          <w:shd w:val="clear" w:color="auto" w:fill="FFFFFF"/>
        </w:rPr>
        <w:t>(2), 81-92.</w:t>
      </w:r>
    </w:p>
    <w:p w:rsidR="00704449" w:rsidRDefault="0090383F">
      <w:pPr>
        <w:pBdr>
          <w:top w:val="nil"/>
          <w:left w:val="nil"/>
          <w:bottom w:val="nil"/>
          <w:right w:val="nil"/>
          <w:between w:val="nil"/>
        </w:pBdr>
        <w:spacing w:after="0" w:line="240" w:lineRule="auto"/>
        <w:ind w:left="450"/>
        <w:jc w:val="both"/>
        <w:rPr>
          <w:rFonts w:ascii="Arial" w:eastAsia="Arial" w:hAnsi="Arial" w:cs="Arial"/>
          <w:color w:val="0070C0"/>
          <w:sz w:val="20"/>
          <w:szCs w:val="20"/>
          <w:u w:val="single"/>
        </w:rPr>
      </w:pPr>
      <w:r>
        <w:rPr>
          <w:rFonts w:ascii="Arial" w:eastAsia="Arial" w:hAnsi="Arial" w:cs="Arial"/>
          <w:color w:val="0070C0"/>
          <w:sz w:val="20"/>
          <w:szCs w:val="20"/>
          <w:u w:val="single"/>
        </w:rPr>
        <w:t>https://doi.org/10.14421/al-athfal.2023.92-01</w:t>
      </w:r>
    </w:p>
    <w:sectPr w:rsidR="00704449">
      <w:type w:val="continuous"/>
      <w:pgSz w:w="12240" w:h="15840"/>
      <w:pgMar w:top="1440" w:right="2016" w:bottom="2016" w:left="2016" w:header="706" w:footer="706" w:gutter="0"/>
      <w:cols w:num="2" w:space="720" w:equalWidth="0">
        <w:col w:w="3750" w:space="708"/>
        <w:col w:w="375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383F" w:rsidRDefault="0090383F">
      <w:pPr>
        <w:spacing w:after="0" w:line="240" w:lineRule="auto"/>
      </w:pPr>
      <w:r>
        <w:separator/>
      </w:r>
    </w:p>
  </w:endnote>
  <w:endnote w:type="continuationSeparator" w:id="0">
    <w:p w:rsidR="0090383F" w:rsidRDefault="009038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FA821C6C-1063-46BD-9666-D3F89DAC4DE0}"/>
    <w:embedBold r:id="rId2" w:fontKey="{B9AFF2BB-ADEB-40EF-9C42-73628D712D1E}"/>
  </w:font>
  <w:font w:name="Microsoft Sans Serif">
    <w:panose1 w:val="020B0604020202020204"/>
    <w:charset w:val="00"/>
    <w:family w:val="swiss"/>
    <w:pitch w:val="variable"/>
    <w:sig w:usb0="E5002EFF" w:usb1="C000605B" w:usb2="00000029" w:usb3="00000000" w:csb0="000101FF" w:csb1="00000000"/>
    <w:embedRegular r:id="rId3" w:fontKey="{4169062C-57D1-43C1-AAA5-9A4A7EF38B5F}"/>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4" w:fontKey="{CCBFDC04-8A01-4D8C-9F51-108643C7F089}"/>
    <w:embedItalic r:id="rId5" w:fontKey="{C54F2755-2E25-4CED-A951-BEFBAF7CEEF3}"/>
  </w:font>
  <w:font w:name="Cambria">
    <w:panose1 w:val="02040503050406030204"/>
    <w:charset w:val="00"/>
    <w:family w:val="roman"/>
    <w:pitch w:val="variable"/>
    <w:sig w:usb0="E00006FF" w:usb1="420024FF" w:usb2="02000000" w:usb3="00000000" w:csb0="0000019F" w:csb1="00000000"/>
    <w:embedRegular r:id="rId6" w:fontKey="{A2295286-80BF-40E6-A713-E03DCBA58629}"/>
  </w:font>
  <w:font w:name="Calibri">
    <w:panose1 w:val="020F0502020204030204"/>
    <w:charset w:val="00"/>
    <w:family w:val="swiss"/>
    <w:pitch w:val="variable"/>
    <w:sig w:usb0="E4002EFF" w:usb1="C200247B" w:usb2="00000009" w:usb3="00000000" w:csb0="000001FF" w:csb1="00000000"/>
    <w:embedRegular r:id="rId7" w:fontKey="{4A30DCE5-7F9D-4214-9FC7-6B378053E1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449" w:rsidRDefault="00704449">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449" w:rsidRDefault="0070444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383F" w:rsidRDefault="0090383F">
      <w:pPr>
        <w:spacing w:after="0" w:line="240" w:lineRule="auto"/>
      </w:pPr>
      <w:r>
        <w:separator/>
      </w:r>
    </w:p>
  </w:footnote>
  <w:footnote w:type="continuationSeparator" w:id="0">
    <w:p w:rsidR="0090383F" w:rsidRDefault="009038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449" w:rsidRDefault="0090383F">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8" o:spid="_x0000_s2051" type="#_x0000_t136" style="position:absolute;margin-left:0;margin-top:0;width:520.65pt;height:57.85pt;rotation:-45;z-index:-251657728;visibility:visible;mso-wrap-distance-left:0;mso-wrap-distance-right:0;mso-position-horizontal:center;mso-position-horizontal-relative:margin;mso-position-vertical:center;mso-position-vertical-relative:margin;mso-width-relative:page;mso-height-relative:page"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449" w:rsidRDefault="0090383F">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9" o:spid="_x0000_s2050" type="#_x0000_t136" style="position:absolute;margin-left:0;margin-top:0;width:520.65pt;height:57.85pt;rotation:-45;z-index:-251659776;visibility:visible;mso-wrap-distance-left:0;mso-wrap-distance-right:0;mso-position-horizontal:center;mso-position-horizontal-relative:margin;mso-position-vertical:center;mso-position-vertical-relative:margin;mso-width-relative:page;mso-height-relative:page"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449" w:rsidRDefault="0090383F">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0" o:spid="_x0000_s2049" type="#_x0000_t136" style="position:absolute;margin-left:0;margin-top:0;width:520.65pt;height:57.85pt;rotation:-45;z-index:-251658752;visibility:visible;mso-wrap-distance-left:0;mso-wrap-distance-right:0;mso-position-horizontal:center;mso-position-horizontal-relative:margin;mso-position-vertical:center;mso-position-vertical-relative:margin;mso-width-relative:page;mso-height-relative:page"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multiLevelType w:val="multilevel"/>
    <w:tmpl w:val="8E942A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000001"/>
    <w:multiLevelType w:val="multilevel"/>
    <w:tmpl w:val="2D905614"/>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449"/>
    <w:rsid w:val="00220C1F"/>
    <w:rsid w:val="00704449"/>
    <w:rsid w:val="0090383F"/>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BA969C"/>
  <w15:docId w15:val="{C53559A4-2AE1-469C-82FC-F79B6A317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n-GB" w:eastAsia="en-PH"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Aptos Display" w:eastAsia="SimSun" w:hAnsi="Aptos Display" w:cs="SimSun"/>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Aptos Display" w:eastAsia="SimSun" w:hAnsi="Aptos Display" w:cs="SimSun"/>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SimSun" w:cs="SimSun"/>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SimSun" w:cs="SimSun"/>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SimSun" w:cs="SimSun"/>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SimSun" w:cs="SimSun"/>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SimSun" w:cs="SimSun"/>
      <w:color w:val="595959"/>
    </w:rPr>
  </w:style>
  <w:style w:type="paragraph" w:styleId="Heading8">
    <w:name w:val="heading 8"/>
    <w:basedOn w:val="Normal"/>
    <w:next w:val="Normal"/>
    <w:link w:val="Heading8Char"/>
    <w:uiPriority w:val="9"/>
    <w:qFormat/>
    <w:pPr>
      <w:keepNext/>
      <w:keepLines/>
      <w:spacing w:after="0"/>
      <w:outlineLvl w:val="7"/>
    </w:pPr>
    <w:rPr>
      <w:rFonts w:eastAsia="SimSun" w:cs="SimSun"/>
      <w:i/>
      <w:iCs/>
      <w:color w:val="272727"/>
    </w:rPr>
  </w:style>
  <w:style w:type="paragraph" w:styleId="Heading9">
    <w:name w:val="heading 9"/>
    <w:basedOn w:val="Normal"/>
    <w:next w:val="Normal"/>
    <w:link w:val="Heading9Char"/>
    <w:uiPriority w:val="9"/>
    <w:qFormat/>
    <w:pPr>
      <w:keepNext/>
      <w:keepLines/>
      <w:spacing w:after="0"/>
      <w:outlineLvl w:val="8"/>
    </w:pPr>
    <w:rPr>
      <w:rFonts w:eastAsia="SimSun" w:cs="SimSu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contextualSpacing/>
    </w:pPr>
    <w:rPr>
      <w:rFonts w:ascii="Aptos Display" w:eastAsia="SimSun" w:hAnsi="Aptos Display" w:cs="SimSun"/>
      <w:spacing w:val="-10"/>
      <w:kern w:val="28"/>
      <w:sz w:val="56"/>
      <w:szCs w:val="56"/>
    </w:rPr>
  </w:style>
  <w:style w:type="character" w:customStyle="1" w:styleId="Heading1Char">
    <w:name w:val="Heading 1 Char"/>
    <w:basedOn w:val="DefaultParagraphFont"/>
    <w:link w:val="Heading1"/>
    <w:uiPriority w:val="9"/>
    <w:rPr>
      <w:rFonts w:ascii="Aptos Display" w:eastAsia="SimSun" w:hAnsi="Aptos Display" w:cs="SimSun"/>
      <w:color w:val="0F4761"/>
      <w:sz w:val="40"/>
      <w:szCs w:val="40"/>
    </w:rPr>
  </w:style>
  <w:style w:type="character" w:customStyle="1" w:styleId="Heading2Char">
    <w:name w:val="Heading 2 Char"/>
    <w:basedOn w:val="DefaultParagraphFont"/>
    <w:link w:val="Heading2"/>
    <w:uiPriority w:val="9"/>
    <w:rPr>
      <w:rFonts w:ascii="Aptos Display" w:eastAsia="SimSun" w:hAnsi="Aptos Display" w:cs="SimSun"/>
      <w:color w:val="0F4761"/>
      <w:sz w:val="32"/>
      <w:szCs w:val="32"/>
    </w:rPr>
  </w:style>
  <w:style w:type="character" w:customStyle="1" w:styleId="Heading3Char">
    <w:name w:val="Heading 3 Char"/>
    <w:basedOn w:val="DefaultParagraphFont"/>
    <w:link w:val="Heading3"/>
    <w:uiPriority w:val="9"/>
    <w:rPr>
      <w:rFonts w:eastAsia="SimSun" w:cs="SimSun"/>
      <w:color w:val="0F4761"/>
      <w:sz w:val="28"/>
      <w:szCs w:val="28"/>
    </w:rPr>
  </w:style>
  <w:style w:type="character" w:customStyle="1" w:styleId="Heading4Char">
    <w:name w:val="Heading 4 Char"/>
    <w:basedOn w:val="DefaultParagraphFont"/>
    <w:link w:val="Heading4"/>
    <w:uiPriority w:val="9"/>
    <w:rPr>
      <w:rFonts w:eastAsia="SimSun" w:cs="SimSun"/>
      <w:i/>
      <w:iCs/>
      <w:color w:val="0F4761"/>
    </w:rPr>
  </w:style>
  <w:style w:type="character" w:customStyle="1" w:styleId="Heading5Char">
    <w:name w:val="Heading 5 Char"/>
    <w:basedOn w:val="DefaultParagraphFont"/>
    <w:link w:val="Heading5"/>
    <w:uiPriority w:val="9"/>
    <w:rPr>
      <w:rFonts w:eastAsia="SimSun" w:cs="SimSun"/>
      <w:color w:val="0F4761"/>
    </w:rPr>
  </w:style>
  <w:style w:type="character" w:customStyle="1" w:styleId="Heading6Char">
    <w:name w:val="Heading 6 Char"/>
    <w:basedOn w:val="DefaultParagraphFont"/>
    <w:link w:val="Heading6"/>
    <w:uiPriority w:val="9"/>
    <w:rPr>
      <w:rFonts w:eastAsia="SimSun" w:cs="SimSun"/>
      <w:i/>
      <w:iCs/>
      <w:color w:val="595959"/>
    </w:rPr>
  </w:style>
  <w:style w:type="character" w:customStyle="1" w:styleId="Heading7Char">
    <w:name w:val="Heading 7 Char"/>
    <w:basedOn w:val="DefaultParagraphFont"/>
    <w:link w:val="Heading7"/>
    <w:uiPriority w:val="9"/>
    <w:rPr>
      <w:rFonts w:eastAsia="SimSun" w:cs="SimSun"/>
      <w:color w:val="595959"/>
    </w:rPr>
  </w:style>
  <w:style w:type="character" w:customStyle="1" w:styleId="Heading8Char">
    <w:name w:val="Heading 8 Char"/>
    <w:basedOn w:val="DefaultParagraphFont"/>
    <w:link w:val="Heading8"/>
    <w:uiPriority w:val="9"/>
    <w:rPr>
      <w:rFonts w:eastAsia="SimSun" w:cs="SimSun"/>
      <w:i/>
      <w:iCs/>
      <w:color w:val="272727"/>
    </w:rPr>
  </w:style>
  <w:style w:type="character" w:customStyle="1" w:styleId="Heading9Char">
    <w:name w:val="Heading 9 Char"/>
    <w:basedOn w:val="DefaultParagraphFont"/>
    <w:link w:val="Heading9"/>
    <w:uiPriority w:val="9"/>
    <w:rPr>
      <w:rFonts w:eastAsia="SimSun" w:cs="SimSun"/>
      <w:color w:val="272727"/>
    </w:rPr>
  </w:style>
  <w:style w:type="character" w:customStyle="1" w:styleId="TitleChar">
    <w:name w:val="Title Char"/>
    <w:basedOn w:val="DefaultParagraphFont"/>
    <w:link w:val="Title"/>
    <w:uiPriority w:val="10"/>
    <w:rPr>
      <w:rFonts w:ascii="Aptos Display" w:eastAsia="SimSun" w:hAnsi="Aptos Display" w:cs="SimSun"/>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Pr>
      <w:rFonts w:eastAsia="SimSun" w:cs="SimSu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0F4761"/>
    </w:rPr>
  </w:style>
  <w:style w:type="paragraph" w:styleId="IntenseQuote">
    <w:name w:val="Intense Quote"/>
    <w:basedOn w:val="Normal"/>
    <w:next w:val="Normal"/>
    <w:link w:val="IntenseQuoteChar"/>
    <w:uiPriority w:val="30"/>
    <w:qFormat/>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link w:val="IntenseQuote"/>
    <w:uiPriority w:val="30"/>
    <w:rPr>
      <w:i/>
      <w:iCs/>
      <w:color w:val="0F4761"/>
    </w:rPr>
  </w:style>
  <w:style w:type="character" w:styleId="IntenseReference">
    <w:name w:val="Intense Reference"/>
    <w:basedOn w:val="DefaultParagraphFont"/>
    <w:uiPriority w:val="32"/>
    <w:qFormat/>
    <w:rPr>
      <w:b/>
      <w:bCs/>
      <w:smallCaps/>
      <w:color w:val="0F4761"/>
      <w:spacing w:val="5"/>
    </w:rPr>
  </w:style>
  <w:style w:type="paragraph" w:customStyle="1" w:styleId="Author">
    <w:name w:val="Author"/>
    <w:basedOn w:val="Normal"/>
    <w:pPr>
      <w:spacing w:after="0" w:line="280" w:lineRule="exact"/>
      <w:jc w:val="right"/>
    </w:pPr>
    <w:rPr>
      <w:rFonts w:ascii="Helvetica" w:eastAsia="Times New Roman" w:hAnsi="Helvetica" w:cs="Times New Roman"/>
      <w:b/>
      <w:szCs w:val="20"/>
      <w:lang w:val="en-US"/>
    </w:rPr>
  </w:style>
  <w:style w:type="paragraph" w:customStyle="1" w:styleId="Affiliation">
    <w:name w:val="Affiliation"/>
    <w:basedOn w:val="Normal"/>
    <w:pPr>
      <w:spacing w:after="240" w:line="240" w:lineRule="exact"/>
      <w:jc w:val="right"/>
    </w:pPr>
    <w:rPr>
      <w:rFonts w:ascii="Helvetica" w:eastAsia="Times New Roman" w:hAnsi="Helvetica" w:cs="Times New Roman"/>
      <w:sz w:val="20"/>
      <w:szCs w:val="20"/>
      <w:lang w:val="en-US"/>
    </w:rPr>
  </w:style>
  <w:style w:type="paragraph" w:styleId="BodyText">
    <w:name w:val="Body Text"/>
    <w:basedOn w:val="Normal"/>
    <w:link w:val="BodyTextChar"/>
    <w:uiPriority w:val="1"/>
    <w:qFormat/>
    <w:pPr>
      <w:widowControl w:val="0"/>
      <w:autoSpaceDE w:val="0"/>
      <w:autoSpaceDN w:val="0"/>
      <w:spacing w:after="0" w:line="240" w:lineRule="auto"/>
    </w:pPr>
    <w:rPr>
      <w:rFonts w:ascii="Microsoft Sans Serif" w:eastAsia="Microsoft Sans Serif" w:hAnsi="Microsoft Sans Serif" w:cs="Microsoft Sans Serif"/>
      <w:lang w:val="en-US"/>
    </w:rPr>
  </w:style>
  <w:style w:type="character" w:customStyle="1" w:styleId="BodyTextChar">
    <w:name w:val="Body Text Char"/>
    <w:basedOn w:val="DefaultParagraphFont"/>
    <w:link w:val="BodyText"/>
    <w:uiPriority w:val="1"/>
    <w:rPr>
      <w:rFonts w:ascii="Microsoft Sans Serif" w:eastAsia="Microsoft Sans Serif" w:hAnsi="Microsoft Sans Serif" w:cs="Microsoft Sans Serif"/>
      <w:kern w:val="0"/>
      <w:lang w:val="en-US"/>
    </w:rPr>
  </w:style>
  <w:style w:type="paragraph" w:customStyle="1" w:styleId="Body">
    <w:name w:val="Body"/>
    <w:basedOn w:val="Normal"/>
    <w:pPr>
      <w:spacing w:after="240" w:line="240" w:lineRule="auto"/>
      <w:jc w:val="both"/>
    </w:pPr>
    <w:rPr>
      <w:rFonts w:ascii="Helvetica" w:eastAsia="Times New Roman" w:hAnsi="Helvetica" w:cs="Times New Roman"/>
      <w:sz w:val="20"/>
      <w:szCs w:val="20"/>
      <w:lang w:val="en-US"/>
    </w:rPr>
  </w:style>
  <w:style w:type="paragraph" w:customStyle="1" w:styleId="TableParagraph">
    <w:name w:val="Table Paragraph"/>
    <w:basedOn w:val="Normal"/>
    <w:uiPriority w:val="1"/>
    <w:qFormat/>
    <w:pPr>
      <w:widowControl w:val="0"/>
      <w:autoSpaceDE w:val="0"/>
      <w:autoSpaceDN w:val="0"/>
      <w:spacing w:after="0" w:line="240" w:lineRule="auto"/>
    </w:pPr>
    <w:rPr>
      <w:rFonts w:ascii="Microsoft Sans Serif" w:eastAsia="Microsoft Sans Serif" w:hAnsi="Microsoft Sans Serif" w:cs="Microsoft Sans Serif"/>
      <w:sz w:val="22"/>
      <w:szCs w:val="22"/>
      <w:lang w:val="en-US"/>
    </w:rPr>
  </w:style>
  <w:style w:type="character" w:styleId="Hyperlink">
    <w:name w:val="Hyperlink"/>
    <w:basedOn w:val="DefaultParagraphFont"/>
    <w:uiPriority w:val="99"/>
    <w:rPr>
      <w:color w:val="467886"/>
      <w:u w:val="single"/>
    </w:rPr>
  </w:style>
  <w:style w:type="character" w:customStyle="1" w:styleId="UnresolvedMention1">
    <w:name w:val="Unresolved Mention1"/>
    <w:basedOn w:val="DefaultParagraphFont"/>
    <w:uiPriority w:val="99"/>
    <w:rPr>
      <w:color w:val="605E5C"/>
      <w:shd w:val="clear" w:color="auto" w:fill="E1DFDD"/>
    </w:rPr>
  </w:style>
  <w:style w:type="character" w:styleId="FollowedHyperlink">
    <w:name w:val="FollowedHyperlink"/>
    <w:basedOn w:val="DefaultParagraphFont"/>
    <w:uiPriority w:val="99"/>
    <w:rPr>
      <w:color w:val="96607D"/>
      <w:u w:val="single"/>
    </w:rPr>
  </w:style>
  <w:style w:type="table" w:styleId="TableGrid">
    <w:name w:val="Table Grid"/>
    <w:basedOn w:val="TableNormal"/>
    <w:uiPriority w:val="59"/>
    <w:pPr>
      <w:spacing w:after="0" w:line="240" w:lineRule="auto"/>
    </w:pPr>
    <w:rPr>
      <w:sz w:val="22"/>
      <w:szCs w:val="22"/>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pPr>
      <w:spacing w:after="0" w:line="240" w:lineRule="auto"/>
    </w:pPr>
    <w:rPr>
      <w:sz w:val="22"/>
      <w:szCs w:val="22"/>
    </w:rPr>
    <w:tblPr>
      <w:tblStyleRowBandSize w:val="1"/>
      <w:tblStyleColBandSize w:val="1"/>
    </w:tblPr>
  </w:style>
  <w:style w:type="table" w:customStyle="1" w:styleId="a1">
    <w:basedOn w:val="TableNormal"/>
    <w:pPr>
      <w:spacing w:after="0" w:line="240" w:lineRule="auto"/>
    </w:pPr>
    <w:rPr>
      <w:sz w:val="22"/>
      <w:szCs w:val="22"/>
    </w:rPr>
    <w:tblPr>
      <w:tblStyleRowBandSize w:val="1"/>
      <w:tblStyleColBandSize w:val="1"/>
    </w:tblPr>
  </w:style>
  <w:style w:type="table" w:customStyle="1" w:styleId="a2">
    <w:basedOn w:val="TableNormal"/>
    <w:pPr>
      <w:spacing w:after="0" w:line="240" w:lineRule="auto"/>
    </w:pPr>
    <w:rPr>
      <w:sz w:val="22"/>
      <w:szCs w:val="22"/>
    </w:rPr>
    <w:tblPr>
      <w:tblStyleRowBandSize w:val="1"/>
      <w:tblStyleColBandSize w:val="1"/>
    </w:tblPr>
  </w:style>
  <w:style w:type="table" w:customStyle="1" w:styleId="a3">
    <w:basedOn w:val="TableNormal"/>
    <w:pPr>
      <w:spacing w:after="0" w:line="240" w:lineRule="auto"/>
    </w:pPr>
    <w:rPr>
      <w:sz w:val="22"/>
      <w:szCs w:val="22"/>
    </w:rPr>
    <w:tblPr>
      <w:tblStyleRowBandSize w:val="1"/>
      <w:tblStyleColBandSize w:val="1"/>
    </w:tblPr>
  </w:style>
  <w:style w:type="table" w:customStyle="1" w:styleId="a4">
    <w:basedOn w:val="TableNormal"/>
    <w:pPr>
      <w:spacing w:after="0" w:line="240" w:lineRule="auto"/>
    </w:pPr>
    <w:rPr>
      <w:sz w:val="22"/>
      <w:szCs w:val="22"/>
    </w:rPr>
    <w:tblPr>
      <w:tblStyleRowBandSize w:val="1"/>
      <w:tblStyleColBandSize w:val="1"/>
    </w:tblPr>
  </w:style>
  <w:style w:type="table" w:customStyle="1" w:styleId="a5">
    <w:basedOn w:val="TableNormal"/>
    <w:pPr>
      <w:spacing w:after="0" w:line="240" w:lineRule="auto"/>
    </w:pPr>
    <w:rPr>
      <w:sz w:val="22"/>
      <w:szCs w:val="22"/>
    </w:rPr>
    <w:tblPr>
      <w:tblStyleRowBandSize w:val="1"/>
      <w:tblStyleColBandSize w:val="1"/>
    </w:tblPr>
  </w:style>
  <w:style w:type="character" w:styleId="Emphasis">
    <w:name w:val="Emphasis"/>
    <w:basedOn w:val="DefaultParagraphFont"/>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oi.org/10.1093/anb/9780198606697.article.1501392" TargetMode="External"/><Relationship Id="rId21" Type="http://schemas.openxmlformats.org/officeDocument/2006/relationships/hyperlink" Target="https://doi.org/10.59298/inosrah/2024/101.9160" TargetMode="External"/><Relationship Id="rId42" Type="http://schemas.openxmlformats.org/officeDocument/2006/relationships/hyperlink" Target="https://doi.org/10.1016/j.rhm.2020.11.007" TargetMode="External"/><Relationship Id="rId47" Type="http://schemas.openxmlformats.org/officeDocument/2006/relationships/hyperlink" Target="https://doi.org/10.1177/1403494808097190" TargetMode="External"/><Relationship Id="rId63" Type="http://schemas.openxmlformats.org/officeDocument/2006/relationships/hyperlink" Target="https://doi.org/10.1177/1077801217753323" TargetMode="External"/><Relationship Id="rId68" Type="http://schemas.openxmlformats.org/officeDocument/2006/relationships/hyperlink" Target="https://doi.org/10.1016/j.whi.2022.09.001" TargetMode="External"/><Relationship Id="rId16" Type="http://schemas.openxmlformats.org/officeDocument/2006/relationships/hyperlink" Target="https://doi.org/10.3390/healthcare9030287" TargetMode="External"/><Relationship Id="rId11" Type="http://schemas.openxmlformats.org/officeDocument/2006/relationships/footer" Target="footer2.xml"/><Relationship Id="rId24" Type="http://schemas.openxmlformats.org/officeDocument/2006/relationships/hyperlink" Target="https://doi.org/10.1371/journal.pone.0024658" TargetMode="External"/><Relationship Id="rId32" Type="http://schemas.openxmlformats.org/officeDocument/2006/relationships/hyperlink" Target="https://doi.org/10.32388/ksacnt" TargetMode="External"/><Relationship Id="rId37" Type="http://schemas.openxmlformats.org/officeDocument/2006/relationships/hyperlink" Target="https://doi.org/10.4135/9781412950589.n702" TargetMode="External"/><Relationship Id="rId40" Type="http://schemas.openxmlformats.org/officeDocument/2006/relationships/hyperlink" Target="https://doi.org/10.3390/ijerph16040621" TargetMode="External"/><Relationship Id="rId45" Type="http://schemas.openxmlformats.org/officeDocument/2006/relationships/hyperlink" Target="https://doi.org/10.1080/13691050802562613" TargetMode="External"/><Relationship Id="rId53" Type="http://schemas.openxmlformats.org/officeDocument/2006/relationships/hyperlink" Target="https://doi.org/10.22038/jmrh.2016.6627" TargetMode="External"/><Relationship Id="rId58" Type="http://schemas.openxmlformats.org/officeDocument/2006/relationships/hyperlink" Target="https://doi.org/10.4324/9781351207874-4" TargetMode="External"/><Relationship Id="rId66" Type="http://schemas.openxmlformats.org/officeDocument/2006/relationships/hyperlink" Target="https://doi.org/10.1002/hpja.198" TargetMode="External"/><Relationship Id="rId74" Type="http://schemas.openxmlformats.org/officeDocument/2006/relationships/hyperlink" Target="https://doi.org/10.4314/jasem.v23i11.12"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oi.org/10.5296/jsr.v4i2.3836" TargetMode="External"/><Relationship Id="rId19" Type="http://schemas.openxmlformats.org/officeDocument/2006/relationships/hyperlink" Target="https://doi.org/10.2478/jles-2023-0004" TargetMode="External"/><Relationship Id="rId14" Type="http://schemas.openxmlformats.org/officeDocument/2006/relationships/hyperlink" Target="https://doi.org/10.1186/s41182-023-00508-w" TargetMode="External"/><Relationship Id="rId22" Type="http://schemas.openxmlformats.org/officeDocument/2006/relationships/hyperlink" Target="https://doi.org/10.26481/dis.20190314jn" TargetMode="External"/><Relationship Id="rId27" Type="http://schemas.openxmlformats.org/officeDocument/2006/relationships/hyperlink" Target="https://doi.org/10.1016/j.jadohealth.2023.01.030" TargetMode="External"/><Relationship Id="rId30" Type="http://schemas.openxmlformats.org/officeDocument/2006/relationships/hyperlink" Target="https://doi.org/10.2307/2112049" TargetMode="External"/><Relationship Id="rId35" Type="http://schemas.openxmlformats.org/officeDocument/2006/relationships/hyperlink" Target="https://doi.org/10.15604/ejbm.2021.09.01.005" TargetMode="External"/><Relationship Id="rId43" Type="http://schemas.openxmlformats.org/officeDocument/2006/relationships/hyperlink" Target="https://doi.org/10.1163/9789087904722_013" TargetMode="External"/><Relationship Id="rId48" Type="http://schemas.openxmlformats.org/officeDocument/2006/relationships/hyperlink" Target="https://doi.org/10.15605/jafes.028.01.07" TargetMode="External"/><Relationship Id="rId56" Type="http://schemas.openxmlformats.org/officeDocument/2006/relationships/hyperlink" Target="about:blank" TargetMode="External"/><Relationship Id="rId64" Type="http://schemas.openxmlformats.org/officeDocument/2006/relationships/hyperlink" Target="https://doi.org/10.1016/J.JADOHEALTH.2020.09.031" TargetMode="External"/><Relationship Id="rId69" Type="http://schemas.openxmlformats.org/officeDocument/2006/relationships/hyperlink" Target="https://doi.org/10.1136/bmjgh-2019-001634" TargetMode="External"/><Relationship Id="rId77" Type="http://schemas.openxmlformats.org/officeDocument/2006/relationships/hyperlink" Target="https://doi.org/10.9734/ajess/2024/v50i91580" TargetMode="External"/><Relationship Id="rId8" Type="http://schemas.openxmlformats.org/officeDocument/2006/relationships/header" Target="header1.xml"/><Relationship Id="rId51" Type="http://schemas.openxmlformats.org/officeDocument/2006/relationships/hyperlink" Target="https://doi.org/10.11648/j.tecs.20170206.15" TargetMode="External"/><Relationship Id="rId72" Type="http://schemas.openxmlformats.org/officeDocument/2006/relationships/hyperlink" Target="https://doi.org/10.4135/9781506374727.n1"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doi.org/10.1080/14681811.2022.2164760" TargetMode="External"/><Relationship Id="rId25" Type="http://schemas.openxmlformats.org/officeDocument/2006/relationships/hyperlink" Target="https://doi.org/10.1093/acprof:osobl/9780199754236.003.0007" TargetMode="External"/><Relationship Id="rId33" Type="http://schemas.openxmlformats.org/officeDocument/2006/relationships/hyperlink" Target="https://doi.org/10.3316/qrj0602205" TargetMode="External"/><Relationship Id="rId38" Type="http://schemas.openxmlformats.org/officeDocument/2006/relationships/hyperlink" Target="https://doi.org/10.1080/15424065.2024.2389325" TargetMode="External"/><Relationship Id="rId46" Type="http://schemas.openxmlformats.org/officeDocument/2006/relationships/hyperlink" Target="https://doi.org/10.1080/15546128.2023.2225790" TargetMode="External"/><Relationship Id="rId59" Type="http://schemas.openxmlformats.org/officeDocument/2006/relationships/hyperlink" Target="https://doi.org/10.5040/9781472543790" TargetMode="External"/><Relationship Id="rId67" Type="http://schemas.openxmlformats.org/officeDocument/2006/relationships/hyperlink" Target="https://doi.org/10.1071/HE16046" TargetMode="External"/><Relationship Id="rId20" Type="http://schemas.openxmlformats.org/officeDocument/2006/relationships/hyperlink" Target="https://doi.org/10.1590/0102-469820723T" TargetMode="External"/><Relationship Id="rId41" Type="http://schemas.openxmlformats.org/officeDocument/2006/relationships/hyperlink" Target="https://doi.org/10.4094/chnr.2019.25.3.312" TargetMode="External"/><Relationship Id="rId54" Type="http://schemas.openxmlformats.org/officeDocument/2006/relationships/hyperlink" Target="https://doi.org/10.1186/s12889-020-08826-y" TargetMode="External"/><Relationship Id="rId62" Type="http://schemas.openxmlformats.org/officeDocument/2006/relationships/hyperlink" Target="https://doi.org/10.1080/15546128.2019.1617816" TargetMode="External"/><Relationship Id="rId70" Type="http://schemas.openxmlformats.org/officeDocument/2006/relationships/hyperlink" Target="https://doi.org/10.1016/j.srhc.2020.05.002.24" TargetMode="External"/><Relationship Id="rId75"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186/s12939-019-1023-1" TargetMode="External"/><Relationship Id="rId23" Type="http://schemas.openxmlformats.org/officeDocument/2006/relationships/hyperlink" Target="https://doi.org/10.1093/acrefore/9780190632366.013.205" TargetMode="External"/><Relationship Id="rId28" Type="http://schemas.openxmlformats.org/officeDocument/2006/relationships/hyperlink" Target="https://doi.org/10.1163/2210-7975_hrd-5548-20180004" TargetMode="External"/><Relationship Id="rId36" Type="http://schemas.openxmlformats.org/officeDocument/2006/relationships/hyperlink" Target="https://doi.org/10.7717/peer%20.15263/%20able-2" TargetMode="External"/><Relationship Id="rId49" Type="http://schemas.openxmlformats.org/officeDocument/2006/relationships/hyperlink" Target="https://doi.org/10.7763/ijiet.2015.v5.622" TargetMode="External"/><Relationship Id="rId57" Type="http://schemas.openxmlformats.org/officeDocument/2006/relationships/hyperlink" Target="https://doi.org/10.1057/978-1-1%207-40033-8_4" TargetMode="External"/><Relationship Id="rId10" Type="http://schemas.openxmlformats.org/officeDocument/2006/relationships/footer" Target="footer1.xml"/><Relationship Id="rId31" Type="http://schemas.openxmlformats.org/officeDocument/2006/relationships/hyperlink" Target="https://doi.org/10.1002/9781405186407.wbiecr017" TargetMode="External"/><Relationship Id="rId44" Type="http://schemas.openxmlformats.org/officeDocument/2006/relationships/hyperlink" Target="https://doi.org/10.1093/her/17%201.59" TargetMode="External"/><Relationship Id="rId52" Type="http://schemas.openxmlformats.org/officeDocument/2006/relationships/hyperlink" Target="https://doi.org/10.4102/aosis.2022.bk357" TargetMode="External"/><Relationship Id="rId60" Type="http://schemas.openxmlformats.org/officeDocument/2006/relationships/hyperlink" Target="https://doi.org/10.1080/19415257.2017.1299028" TargetMode="External"/><Relationship Id="rId65" Type="http://schemas.openxmlformats.org/officeDocument/2006/relationships/hyperlink" Target="https://doi.org/10.1016/S0140-6736(18)30293-9" TargetMode="External"/><Relationship Id="rId73" Type="http://schemas.openxmlformats.org/officeDocument/2006/relationships/hyperlink" Target="https://doi.org/10.1108/jhr-02-2019-0039" TargetMode="External"/><Relationship Id="rId78" Type="http://schemas.openxmlformats.org/officeDocument/2006/relationships/hyperlink" Target="https://doi.org/10.24014/marwah.v23i2.34281"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s://www.qeios.com/profile/59166" TargetMode="External"/><Relationship Id="rId18" Type="http://schemas.openxmlformats.org/officeDocument/2006/relationships/hyperlink" Target="about:blank" TargetMode="External"/><Relationship Id="rId39" Type="http://schemas.openxmlformats.org/officeDocument/2006/relationships/hyperlink" Target="about:blank" TargetMode="External"/><Relationship Id="rId34" Type="http://schemas.openxmlformats.org/officeDocument/2006/relationships/hyperlink" Target="https://doi.org/10.4135/9781412984683.n2" TargetMode="External"/><Relationship Id="rId50" Type="http://schemas.openxmlformats.org/officeDocument/2006/relationships/hyperlink" Target="https://doi.org/10.5958/2583-7087.2023.00002.0" TargetMode="External"/><Relationship Id="rId55" Type="http://schemas.openxmlformats.org/officeDocument/2006/relationships/hyperlink" Target="https://doi.org/10.1186/s12978-020-00975-y" TargetMode="External"/><Relationship Id="rId76" Type="http://schemas.openxmlformats.org/officeDocument/2006/relationships/hyperlink" Target="https://doi.org/10.1155/2021/6697837" TargetMode="External"/><Relationship Id="rId7" Type="http://schemas.openxmlformats.org/officeDocument/2006/relationships/endnotes" Target="endnotes.xml"/><Relationship Id="rId71" Type="http://schemas.openxmlformats.org/officeDocument/2006/relationships/hyperlink" Target="https://doi.org/10.9734/bjesbs/2015/15352" TargetMode="External"/><Relationship Id="rId2" Type="http://schemas.openxmlformats.org/officeDocument/2006/relationships/numbering" Target="numbering.xml"/><Relationship Id="rId29" Type="http://schemas.openxmlformats.org/officeDocument/2006/relationships/hyperlink" Target="https://doi.org/10.21315/apjee2022.37.2.1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e5jq4eg6rR5P279If3GxdhB8dg==">CgMxLjAyD2lkLjJuYTR0Yjg0MjJ0OTIOaC5xNHp6dWR5Z2xzOGMyDmguZGdqejZwMzNnNHFhMg5oLmhtY25ybW92bDZyNDIOaC5kZ2p6NnAzM2c0cWEyDmguNmljcDZveTY3bGZ6Mg5oLjFidDR3M2pkbmtuZDIOaC5kZ2p6NnAzM2c0cWEyDmgucmljeWxkNGs3dmxqOAByITFvTG52NmRTUExQaWNQVVBST3ZHM2tBaVJfNVU5ZnBMYg==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1575</TotalTime>
  <Pages>22</Pages>
  <Words>10347</Words>
  <Characters>58978</Characters>
  <Application>Microsoft Office Word</Application>
  <DocSecurity>0</DocSecurity>
  <Lines>491</Lines>
  <Paragraphs>138</Paragraphs>
  <ScaleCrop>false</ScaleCrop>
  <Company/>
  <LinksUpToDate>false</LinksUpToDate>
  <CharactersWithSpaces>69187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SDI 1183</cp:lastModifiedBy>
  <cp:revision>37</cp:revision>
  <dcterms:created xsi:type="dcterms:W3CDTF">2025-05-08T07:31:00Z</dcterms:created>
  <dcterms:modified xsi:type="dcterms:W3CDTF">2025-06-24T06:03:00Z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9d8c6fd3fb7d41d68dacc36f5005b8e9</vt:lpwstr>
  </property>
</Properties>
</file>