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C0815" w14:textId="77777777" w:rsidR="00D6251D" w:rsidRDefault="00D6251D" w:rsidP="00602390">
      <w:pPr>
        <w:jc w:val="center"/>
        <w:rPr>
          <w:rFonts w:ascii="Times New Roman" w:hAnsi="Times New Roman" w:cs="Times New Roman"/>
          <w:b/>
          <w:bCs/>
          <w:sz w:val="24"/>
          <w:szCs w:val="24"/>
        </w:rPr>
      </w:pPr>
      <w:r w:rsidRPr="00D6251D">
        <w:rPr>
          <w:rFonts w:ascii="Times New Roman" w:hAnsi="Times New Roman" w:cs="Times New Roman"/>
          <w:b/>
          <w:bCs/>
          <w:sz w:val="24"/>
          <w:szCs w:val="24"/>
        </w:rPr>
        <w:t>Efficacy of Center-Based Learning on Students’ Science Performance</w:t>
      </w:r>
    </w:p>
    <w:p w14:paraId="33C9F034" w14:textId="77777777" w:rsidR="00D6251D" w:rsidRPr="00D6251D" w:rsidRDefault="00D6251D" w:rsidP="00D6251D">
      <w:pPr>
        <w:spacing w:after="0"/>
        <w:jc w:val="center"/>
        <w:rPr>
          <w:rFonts w:ascii="Times New Roman" w:hAnsi="Times New Roman" w:cs="Times New Roman"/>
          <w:i/>
          <w:iCs/>
          <w:sz w:val="18"/>
          <w:szCs w:val="18"/>
        </w:rPr>
      </w:pPr>
    </w:p>
    <w:p w14:paraId="61938C9B" w14:textId="68385354" w:rsidR="0082362D" w:rsidRDefault="004A487F" w:rsidP="0082362D">
      <w:pPr>
        <w:spacing w:after="0"/>
        <w:jc w:val="both"/>
        <w:rPr>
          <w:rFonts w:ascii="Times New Roman" w:hAnsi="Times New Roman" w:cs="Times New Roman"/>
          <w:sz w:val="18"/>
          <w:szCs w:val="18"/>
        </w:rPr>
      </w:pPr>
      <w:r w:rsidRPr="00D6251D">
        <w:rPr>
          <w:rFonts w:ascii="Times New Roman" w:hAnsi="Times New Roman" w:cs="Times New Roman"/>
          <w:b/>
          <w:bCs/>
          <w:sz w:val="18"/>
          <w:szCs w:val="18"/>
        </w:rPr>
        <w:t xml:space="preserve">Abstract. </w:t>
      </w:r>
      <w:r w:rsidR="0082362D" w:rsidRPr="0082362D">
        <w:rPr>
          <w:rFonts w:ascii="Times New Roman" w:hAnsi="Times New Roman" w:cs="Times New Roman"/>
          <w:sz w:val="18"/>
          <w:szCs w:val="18"/>
        </w:rPr>
        <w:t>Traditional classroom settings generally favor direct, teacher-centered instruction, in which students are expected to absorb a fixed body of knowledge. This study aimed to evaluate the efficacy of the center-based learning approach (CBLA) in teaching science subjects and its impact on students' academic performance compared to the conventional teaching approach. Additionally, the study explored junior high school science teachers’ perceptions of CBLA’s effectiveness in enhancing students' learning capabilities, based on the Proven Effectiveness Framework (PEF).</w:t>
      </w:r>
      <w:r w:rsidR="0082362D">
        <w:rPr>
          <w:rFonts w:ascii="Times New Roman" w:hAnsi="Times New Roman" w:cs="Times New Roman"/>
          <w:sz w:val="18"/>
          <w:szCs w:val="18"/>
        </w:rPr>
        <w:t xml:space="preserve"> </w:t>
      </w:r>
      <w:r w:rsidR="0082362D" w:rsidRPr="0082362D">
        <w:rPr>
          <w:rFonts w:ascii="Times New Roman" w:hAnsi="Times New Roman" w:cs="Times New Roman"/>
          <w:sz w:val="18"/>
          <w:szCs w:val="18"/>
        </w:rPr>
        <w:t xml:space="preserve">This study is quantitative in nature and employed a quasi-experimental research design to evaluate the efficacy of the center-based learning approach on students’ academic performance. </w:t>
      </w:r>
      <w:r w:rsidR="009A0C72" w:rsidRPr="009A0C72">
        <w:rPr>
          <w:rFonts w:ascii="Times New Roman" w:hAnsi="Times New Roman" w:cs="Times New Roman"/>
          <w:sz w:val="18"/>
          <w:szCs w:val="18"/>
        </w:rPr>
        <w:t>A total of 60 Grade 10 students from two sections of Prosperidad National High School participated in the study during the school year 2024–2025.</w:t>
      </w:r>
      <w:r w:rsidR="009A0C72">
        <w:rPr>
          <w:rFonts w:ascii="Times New Roman" w:hAnsi="Times New Roman" w:cs="Times New Roman"/>
          <w:sz w:val="18"/>
          <w:szCs w:val="18"/>
        </w:rPr>
        <w:t xml:space="preserve"> </w:t>
      </w:r>
      <w:r w:rsidR="0082362D" w:rsidRPr="0082362D">
        <w:rPr>
          <w:rFonts w:ascii="Times New Roman" w:hAnsi="Times New Roman" w:cs="Times New Roman"/>
          <w:sz w:val="18"/>
          <w:szCs w:val="18"/>
        </w:rPr>
        <w:t>The assessment focused on the Grade 10 Science curriculum based on the Most Essential Learning Competencies (MELCs), specifically covering topics such as volcanoes, earthquakes, epicenters, and mountain ranges. A 50-item multiple-choice test was used as the main instrument to measure students’ learning outcomes.</w:t>
      </w:r>
      <w:r w:rsidR="0082362D">
        <w:rPr>
          <w:rFonts w:ascii="Times New Roman" w:hAnsi="Times New Roman" w:cs="Times New Roman"/>
          <w:sz w:val="18"/>
          <w:szCs w:val="18"/>
        </w:rPr>
        <w:t xml:space="preserve"> </w:t>
      </w:r>
      <w:r w:rsidR="0082362D" w:rsidRPr="0082362D">
        <w:rPr>
          <w:rFonts w:ascii="Times New Roman" w:hAnsi="Times New Roman" w:cs="Times New Roman"/>
          <w:sz w:val="18"/>
          <w:szCs w:val="18"/>
        </w:rPr>
        <w:t xml:space="preserve">Findings revealed a significant difference in performance between the experimental and control groups. The experimental group, which was exposed to the center-based learning approach, achieved a mean score of 47.10 with a standard deviation of 4.87 and a p-value of 0.000, indicating a statistically significant improvement. </w:t>
      </w:r>
      <w:r w:rsidR="009A0C72">
        <w:rPr>
          <w:rFonts w:ascii="Times New Roman" w:hAnsi="Times New Roman" w:cs="Times New Roman"/>
          <w:sz w:val="18"/>
          <w:szCs w:val="18"/>
        </w:rPr>
        <w:t>The</w:t>
      </w:r>
      <w:r w:rsidR="0082362D" w:rsidRPr="0082362D">
        <w:rPr>
          <w:rFonts w:ascii="Times New Roman" w:hAnsi="Times New Roman" w:cs="Times New Roman"/>
          <w:sz w:val="18"/>
          <w:szCs w:val="18"/>
        </w:rPr>
        <w:t xml:space="preserve"> control group recorded a mean score of 30.05 in the posttest, with an overall mastery level of 60.23. The data also showed that science teachers’ perceptions aligned with the effectiveness of CBLA based on the established criteria.</w:t>
      </w:r>
      <w:r w:rsidR="0082362D">
        <w:rPr>
          <w:rFonts w:ascii="Times New Roman" w:hAnsi="Times New Roman" w:cs="Times New Roman"/>
          <w:sz w:val="18"/>
          <w:szCs w:val="18"/>
        </w:rPr>
        <w:t xml:space="preserve"> </w:t>
      </w:r>
      <w:r w:rsidR="0082362D" w:rsidRPr="0082362D">
        <w:rPr>
          <w:rFonts w:ascii="Times New Roman" w:hAnsi="Times New Roman" w:cs="Times New Roman"/>
          <w:sz w:val="18"/>
          <w:szCs w:val="18"/>
        </w:rPr>
        <w:t>Overall, the center-based learning approach proved more effective than the conventional method in improving students’ academic performance in junior high school science, particularly among Grade 10 students.</w:t>
      </w:r>
    </w:p>
    <w:p w14:paraId="0ADE2539" w14:textId="77777777" w:rsidR="0082362D" w:rsidRPr="0082362D" w:rsidRDefault="0082362D" w:rsidP="0082362D">
      <w:pPr>
        <w:spacing w:after="0"/>
        <w:jc w:val="both"/>
        <w:rPr>
          <w:rFonts w:ascii="Times New Roman" w:hAnsi="Times New Roman" w:cs="Times New Roman"/>
          <w:sz w:val="10"/>
          <w:szCs w:val="10"/>
        </w:rPr>
      </w:pPr>
    </w:p>
    <w:p w14:paraId="4DC61C32" w14:textId="34EDB846" w:rsidR="004A0E42" w:rsidRPr="0082362D" w:rsidRDefault="004A0E42" w:rsidP="004A487F">
      <w:pPr>
        <w:jc w:val="both"/>
        <w:rPr>
          <w:rFonts w:ascii="Times New Roman" w:hAnsi="Times New Roman" w:cs="Times New Roman"/>
          <w:i/>
          <w:iCs/>
          <w:sz w:val="18"/>
          <w:szCs w:val="18"/>
        </w:rPr>
      </w:pPr>
      <w:r w:rsidRPr="0082362D">
        <w:rPr>
          <w:rFonts w:ascii="Times New Roman" w:hAnsi="Times New Roman" w:cs="Times New Roman"/>
          <w:b/>
          <w:bCs/>
          <w:i/>
          <w:iCs/>
          <w:sz w:val="18"/>
          <w:szCs w:val="18"/>
        </w:rPr>
        <w:t>Keywords:</w:t>
      </w:r>
      <w:r w:rsidRPr="0082362D">
        <w:rPr>
          <w:rFonts w:ascii="Times New Roman" w:hAnsi="Times New Roman" w:cs="Times New Roman"/>
          <w:i/>
          <w:iCs/>
          <w:sz w:val="18"/>
          <w:szCs w:val="18"/>
        </w:rPr>
        <w:t xml:space="preserve"> Science</w:t>
      </w:r>
      <w:r w:rsidR="008654C7">
        <w:rPr>
          <w:rFonts w:ascii="Times New Roman" w:hAnsi="Times New Roman" w:cs="Times New Roman"/>
          <w:i/>
          <w:iCs/>
          <w:sz w:val="18"/>
          <w:szCs w:val="18"/>
        </w:rPr>
        <w:t xml:space="preserve"> Curriculum</w:t>
      </w:r>
      <w:r w:rsidRPr="0082362D">
        <w:rPr>
          <w:rFonts w:ascii="Times New Roman" w:hAnsi="Times New Roman" w:cs="Times New Roman"/>
          <w:i/>
          <w:iCs/>
          <w:sz w:val="18"/>
          <w:szCs w:val="18"/>
        </w:rPr>
        <w:t xml:space="preserve">, </w:t>
      </w:r>
      <w:r w:rsidR="0082362D">
        <w:rPr>
          <w:rFonts w:ascii="Times New Roman" w:hAnsi="Times New Roman" w:cs="Times New Roman"/>
          <w:i/>
          <w:iCs/>
          <w:sz w:val="18"/>
          <w:szCs w:val="18"/>
        </w:rPr>
        <w:t>MELCs</w:t>
      </w:r>
      <w:r w:rsidRPr="0082362D">
        <w:rPr>
          <w:rFonts w:ascii="Times New Roman" w:hAnsi="Times New Roman" w:cs="Times New Roman"/>
          <w:i/>
          <w:iCs/>
          <w:sz w:val="18"/>
          <w:szCs w:val="18"/>
        </w:rPr>
        <w:t xml:space="preserve">, Efficacy, Perception, CBLA, Conventional Learning Approach, PEF </w:t>
      </w:r>
    </w:p>
    <w:p w14:paraId="44348C18" w14:textId="77777777" w:rsidR="004A0E42" w:rsidRPr="00D6251D" w:rsidRDefault="004A0E42" w:rsidP="000C3D97">
      <w:pPr>
        <w:spacing w:after="0"/>
        <w:jc w:val="both"/>
        <w:rPr>
          <w:rFonts w:ascii="Cambria" w:hAnsi="Cambria"/>
          <w:sz w:val="6"/>
          <w:szCs w:val="6"/>
        </w:rPr>
      </w:pPr>
    </w:p>
    <w:p w14:paraId="67AB8409" w14:textId="521595CD" w:rsidR="001228CA" w:rsidRDefault="00384B87" w:rsidP="001228CA">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1228CA" w:rsidRPr="001228CA">
        <w:rPr>
          <w:rFonts w:ascii="Times New Roman" w:hAnsi="Times New Roman" w:cs="Times New Roman"/>
          <w:b/>
          <w:bCs/>
          <w:sz w:val="20"/>
          <w:szCs w:val="20"/>
        </w:rPr>
        <w:t xml:space="preserve">INTRODUCTION </w:t>
      </w:r>
    </w:p>
    <w:p w14:paraId="0D7FA81F" w14:textId="77777777" w:rsidR="001228CA" w:rsidRPr="001228CA" w:rsidRDefault="001228CA" w:rsidP="001228CA">
      <w:pPr>
        <w:spacing w:after="0"/>
        <w:jc w:val="both"/>
        <w:rPr>
          <w:rFonts w:ascii="Times New Roman" w:hAnsi="Times New Roman" w:cs="Times New Roman"/>
          <w:b/>
          <w:bCs/>
          <w:sz w:val="10"/>
          <w:szCs w:val="10"/>
        </w:rPr>
      </w:pPr>
    </w:p>
    <w:p w14:paraId="5FD095C6" w14:textId="40145F7C" w:rsidR="00BA3C00" w:rsidRDefault="00DC6EB8" w:rsidP="00BA3C00">
      <w:pPr>
        <w:spacing w:after="0"/>
        <w:ind w:firstLine="720"/>
        <w:jc w:val="both"/>
        <w:rPr>
          <w:rFonts w:ascii="Times New Roman" w:hAnsi="Times New Roman" w:cs="Times New Roman"/>
          <w:b/>
          <w:bCs/>
          <w:sz w:val="20"/>
          <w:szCs w:val="20"/>
        </w:rPr>
      </w:pPr>
      <w:r>
        <w:rPr>
          <w:rFonts w:ascii="Times New Roman" w:hAnsi="Times New Roman" w:cs="Times New Roman"/>
          <w:sz w:val="20"/>
          <w:szCs w:val="20"/>
        </w:rPr>
        <w:t>S</w:t>
      </w:r>
      <w:r w:rsidR="001228CA" w:rsidRPr="001228CA">
        <w:rPr>
          <w:rFonts w:ascii="Times New Roman" w:hAnsi="Times New Roman" w:cs="Times New Roman"/>
          <w:sz w:val="20"/>
          <w:szCs w:val="20"/>
        </w:rPr>
        <w:t>cientific knowledge and technological innovations were growing exponentially, profoundly influencing various sectors, including education</w:t>
      </w:r>
      <w:r w:rsidR="009346A8">
        <w:rPr>
          <w:rFonts w:ascii="Times New Roman" w:hAnsi="Times New Roman" w:cs="Times New Roman"/>
          <w:sz w:val="20"/>
          <w:szCs w:val="20"/>
        </w:rPr>
        <w:t xml:space="preserve"> (Baring &amp; Berame, 2022)</w:t>
      </w:r>
      <w:r w:rsidR="001228CA" w:rsidRPr="001228CA">
        <w:rPr>
          <w:rFonts w:ascii="Times New Roman" w:hAnsi="Times New Roman" w:cs="Times New Roman"/>
          <w:sz w:val="20"/>
          <w:szCs w:val="20"/>
        </w:rPr>
        <w:t>. Technology played a crucial role in shaping the future, particularly in science education, which held national importance due to its complexity and essential role in societal development</w:t>
      </w:r>
      <w:r>
        <w:rPr>
          <w:rFonts w:ascii="Times New Roman" w:hAnsi="Times New Roman" w:cs="Times New Roman"/>
          <w:sz w:val="20"/>
          <w:szCs w:val="20"/>
        </w:rPr>
        <w:t xml:space="preserve"> (Saro et al., 2025)</w:t>
      </w:r>
      <w:r w:rsidR="001228CA" w:rsidRPr="001228CA">
        <w:rPr>
          <w:rFonts w:ascii="Times New Roman" w:hAnsi="Times New Roman" w:cs="Times New Roman"/>
          <w:sz w:val="20"/>
          <w:szCs w:val="20"/>
        </w:rPr>
        <w:t>. Science was taught from elementary through higher education levels and was fundamental for developing scientific literacy</w:t>
      </w:r>
      <w:r w:rsidR="00EB0D45">
        <w:rPr>
          <w:rFonts w:ascii="Times New Roman" w:hAnsi="Times New Roman" w:cs="Times New Roman"/>
          <w:sz w:val="20"/>
          <w:szCs w:val="20"/>
        </w:rPr>
        <w:t xml:space="preserve">, </w:t>
      </w:r>
      <w:r w:rsidR="001228CA" w:rsidRPr="001228CA">
        <w:rPr>
          <w:rFonts w:ascii="Times New Roman" w:hAnsi="Times New Roman" w:cs="Times New Roman"/>
          <w:sz w:val="20"/>
          <w:szCs w:val="20"/>
        </w:rPr>
        <w:t>a necessary skill for individuals to actively participate in modern society. This emphasis on science education was reflected in recent curriculum reforms aimed at equipping students with essential scientific understanding (</w:t>
      </w:r>
      <w:r>
        <w:rPr>
          <w:rFonts w:ascii="Times New Roman" w:hAnsi="Times New Roman" w:cs="Times New Roman"/>
          <w:sz w:val="20"/>
          <w:szCs w:val="20"/>
        </w:rPr>
        <w:t xml:space="preserve">Apat, 2022; </w:t>
      </w:r>
      <w:r w:rsidR="001228CA" w:rsidRPr="001228CA">
        <w:rPr>
          <w:rFonts w:ascii="Times New Roman" w:hAnsi="Times New Roman" w:cs="Times New Roman"/>
          <w:sz w:val="20"/>
          <w:szCs w:val="20"/>
        </w:rPr>
        <w:t>Dagasaan, 2022).</w:t>
      </w:r>
    </w:p>
    <w:p w14:paraId="32258B6E" w14:textId="77777777" w:rsidR="00BA3C00" w:rsidRPr="00BA3C00" w:rsidRDefault="00BA3C00" w:rsidP="00BA3C00">
      <w:pPr>
        <w:spacing w:after="0"/>
        <w:ind w:firstLine="720"/>
        <w:jc w:val="both"/>
        <w:rPr>
          <w:rFonts w:ascii="Times New Roman" w:hAnsi="Times New Roman" w:cs="Times New Roman"/>
          <w:b/>
          <w:bCs/>
          <w:sz w:val="10"/>
          <w:szCs w:val="10"/>
        </w:rPr>
      </w:pPr>
    </w:p>
    <w:p w14:paraId="30891030" w14:textId="760623D0" w:rsidR="00E0347B" w:rsidRDefault="00F7076F" w:rsidP="00E0347B">
      <w:pPr>
        <w:spacing w:after="0"/>
        <w:ind w:firstLine="720"/>
        <w:jc w:val="both"/>
        <w:rPr>
          <w:rFonts w:ascii="Times New Roman" w:hAnsi="Times New Roman" w:cs="Times New Roman"/>
          <w:b/>
          <w:bCs/>
          <w:sz w:val="20"/>
          <w:szCs w:val="20"/>
        </w:rPr>
      </w:pPr>
      <w:r>
        <w:rPr>
          <w:rFonts w:ascii="Times New Roman" w:hAnsi="Times New Roman" w:cs="Times New Roman"/>
          <w:sz w:val="20"/>
          <w:szCs w:val="20"/>
        </w:rPr>
        <w:t>M</w:t>
      </w:r>
      <w:r w:rsidR="001228CA" w:rsidRPr="001228CA">
        <w:rPr>
          <w:rFonts w:ascii="Times New Roman" w:hAnsi="Times New Roman" w:cs="Times New Roman"/>
          <w:sz w:val="20"/>
          <w:szCs w:val="20"/>
        </w:rPr>
        <w:t>any Filipino students continued to struggle with science literacy. National Achievement Tests (NAT) revealed that students consistently found science challenging, performing below 50% in science and mathematics assessments (Bulbul, 2010</w:t>
      </w:r>
      <w:r w:rsidR="00BA3C00">
        <w:rPr>
          <w:rFonts w:ascii="Times New Roman" w:hAnsi="Times New Roman" w:cs="Times New Roman"/>
          <w:sz w:val="20"/>
          <w:szCs w:val="20"/>
        </w:rPr>
        <w:t>; Saro et al., 202</w:t>
      </w:r>
      <w:r w:rsidR="00A52202">
        <w:rPr>
          <w:rFonts w:ascii="Times New Roman" w:hAnsi="Times New Roman" w:cs="Times New Roman"/>
          <w:sz w:val="20"/>
          <w:szCs w:val="20"/>
        </w:rPr>
        <w:t>2</w:t>
      </w:r>
      <w:r w:rsidR="001228CA" w:rsidRPr="001228CA">
        <w:rPr>
          <w:rFonts w:ascii="Times New Roman" w:hAnsi="Times New Roman" w:cs="Times New Roman"/>
          <w:sz w:val="20"/>
          <w:szCs w:val="20"/>
        </w:rPr>
        <w:t xml:space="preserve">). International assessments such as TIMSS also showed the Philippines ranking low compared to other countries, </w:t>
      </w:r>
      <w:r w:rsidR="00E0347B">
        <w:rPr>
          <w:rFonts w:ascii="Times New Roman" w:hAnsi="Times New Roman" w:cs="Times New Roman"/>
          <w:sz w:val="20"/>
          <w:szCs w:val="20"/>
        </w:rPr>
        <w:t>highlighting</w:t>
      </w:r>
      <w:r w:rsidR="001228CA" w:rsidRPr="001228CA">
        <w:rPr>
          <w:rFonts w:ascii="Times New Roman" w:hAnsi="Times New Roman" w:cs="Times New Roman"/>
          <w:sz w:val="20"/>
          <w:szCs w:val="20"/>
        </w:rPr>
        <w:t xml:space="preserve"> systemic issues in science education and the urgent need for innovative teaching methods to improve learning outcomes (Dela Cruz, 2012</w:t>
      </w:r>
      <w:r w:rsidR="0077552C">
        <w:rPr>
          <w:rFonts w:ascii="Times New Roman" w:hAnsi="Times New Roman" w:cs="Times New Roman"/>
          <w:sz w:val="20"/>
          <w:szCs w:val="20"/>
        </w:rPr>
        <w:t>; National Academies of Sciences</w:t>
      </w:r>
      <w:r w:rsidR="001047AF">
        <w:rPr>
          <w:rFonts w:ascii="Times New Roman" w:hAnsi="Times New Roman" w:cs="Times New Roman"/>
          <w:sz w:val="20"/>
          <w:szCs w:val="20"/>
        </w:rPr>
        <w:t>, Engineering, and Medicine, 2012</w:t>
      </w:r>
      <w:r w:rsidR="001304AE">
        <w:rPr>
          <w:rFonts w:ascii="Times New Roman" w:hAnsi="Times New Roman" w:cs="Times New Roman"/>
          <w:sz w:val="20"/>
          <w:szCs w:val="20"/>
        </w:rPr>
        <w:t xml:space="preserve">; </w:t>
      </w:r>
      <w:r w:rsidR="001304AE" w:rsidRPr="001304AE">
        <w:rPr>
          <w:rFonts w:ascii="Times New Roman" w:hAnsi="Times New Roman" w:cs="Times New Roman"/>
          <w:sz w:val="20"/>
          <w:szCs w:val="20"/>
        </w:rPr>
        <w:t>Mullis</w:t>
      </w:r>
      <w:r w:rsidR="001304AE">
        <w:rPr>
          <w:rFonts w:ascii="Times New Roman" w:hAnsi="Times New Roman" w:cs="Times New Roman"/>
          <w:sz w:val="20"/>
          <w:szCs w:val="20"/>
        </w:rPr>
        <w:t xml:space="preserve"> et al., 20</w:t>
      </w:r>
      <w:r w:rsidR="00A50BBB">
        <w:rPr>
          <w:rFonts w:ascii="Times New Roman" w:hAnsi="Times New Roman" w:cs="Times New Roman"/>
          <w:sz w:val="20"/>
          <w:szCs w:val="20"/>
        </w:rPr>
        <w:t>19</w:t>
      </w:r>
      <w:r w:rsidR="001228CA" w:rsidRPr="001228CA">
        <w:rPr>
          <w:rFonts w:ascii="Times New Roman" w:hAnsi="Times New Roman" w:cs="Times New Roman"/>
          <w:sz w:val="20"/>
          <w:szCs w:val="20"/>
        </w:rPr>
        <w:t>).</w:t>
      </w:r>
    </w:p>
    <w:p w14:paraId="2355D3AC" w14:textId="77777777" w:rsidR="00E0347B" w:rsidRPr="00E0347B" w:rsidRDefault="00E0347B" w:rsidP="00E0347B">
      <w:pPr>
        <w:spacing w:after="0"/>
        <w:ind w:firstLine="720"/>
        <w:jc w:val="both"/>
        <w:rPr>
          <w:rFonts w:ascii="Times New Roman" w:hAnsi="Times New Roman" w:cs="Times New Roman"/>
          <w:b/>
          <w:bCs/>
          <w:sz w:val="10"/>
          <w:szCs w:val="10"/>
        </w:rPr>
      </w:pPr>
    </w:p>
    <w:p w14:paraId="151B4918" w14:textId="4DF67B39" w:rsidR="00E0347B" w:rsidRDefault="00E0347B" w:rsidP="00E0347B">
      <w:pPr>
        <w:spacing w:after="0"/>
        <w:ind w:firstLine="720"/>
        <w:jc w:val="both"/>
        <w:rPr>
          <w:rFonts w:ascii="Times New Roman" w:hAnsi="Times New Roman" w:cs="Times New Roman"/>
          <w:sz w:val="20"/>
          <w:szCs w:val="20"/>
        </w:rPr>
      </w:pPr>
      <w:r w:rsidRPr="00E0347B">
        <w:rPr>
          <w:rFonts w:ascii="Times New Roman" w:hAnsi="Times New Roman" w:cs="Times New Roman"/>
          <w:sz w:val="20"/>
          <w:szCs w:val="20"/>
        </w:rPr>
        <w:t>Moreover,</w:t>
      </w:r>
      <w:r>
        <w:rPr>
          <w:rFonts w:ascii="Times New Roman" w:hAnsi="Times New Roman" w:cs="Times New Roman"/>
          <w:b/>
          <w:bCs/>
          <w:sz w:val="20"/>
          <w:szCs w:val="20"/>
        </w:rPr>
        <w:t xml:space="preserve"> </w:t>
      </w:r>
      <w:r>
        <w:rPr>
          <w:rFonts w:ascii="Times New Roman" w:hAnsi="Times New Roman" w:cs="Times New Roman"/>
          <w:sz w:val="20"/>
          <w:szCs w:val="20"/>
        </w:rPr>
        <w:t xml:space="preserve">the </w:t>
      </w:r>
      <w:r w:rsidR="001228CA" w:rsidRPr="001228CA">
        <w:rPr>
          <w:rFonts w:ascii="Times New Roman" w:hAnsi="Times New Roman" w:cs="Times New Roman"/>
          <w:sz w:val="20"/>
          <w:szCs w:val="20"/>
        </w:rPr>
        <w:t>center-based learning approach (CBLA) was introduced as a student-centered instructional method that fostered active engagement and deeper understanding</w:t>
      </w:r>
      <w:r w:rsidR="001047AF">
        <w:rPr>
          <w:rFonts w:ascii="Times New Roman" w:hAnsi="Times New Roman" w:cs="Times New Roman"/>
          <w:sz w:val="20"/>
          <w:szCs w:val="20"/>
        </w:rPr>
        <w:t xml:space="preserve"> (Bulbul, 2010</w:t>
      </w:r>
      <w:r w:rsidR="003E403A">
        <w:rPr>
          <w:rFonts w:ascii="Times New Roman" w:hAnsi="Times New Roman" w:cs="Times New Roman"/>
          <w:sz w:val="20"/>
          <w:szCs w:val="20"/>
        </w:rPr>
        <w:t xml:space="preserve">; </w:t>
      </w:r>
      <w:r w:rsidR="003E403A" w:rsidRPr="003E403A">
        <w:rPr>
          <w:rFonts w:ascii="Times New Roman" w:hAnsi="Times New Roman" w:cs="Times New Roman"/>
          <w:sz w:val="20"/>
          <w:szCs w:val="20"/>
        </w:rPr>
        <w:t>Siregar</w:t>
      </w:r>
      <w:r w:rsidR="003E403A">
        <w:rPr>
          <w:rFonts w:ascii="Times New Roman" w:hAnsi="Times New Roman" w:cs="Times New Roman"/>
          <w:sz w:val="20"/>
          <w:szCs w:val="20"/>
        </w:rPr>
        <w:t xml:space="preserve"> et al., 2024</w:t>
      </w:r>
      <w:r w:rsidR="001047AF">
        <w:rPr>
          <w:rFonts w:ascii="Times New Roman" w:hAnsi="Times New Roman" w:cs="Times New Roman"/>
          <w:sz w:val="20"/>
          <w:szCs w:val="20"/>
        </w:rPr>
        <w:t>)</w:t>
      </w:r>
      <w:r w:rsidR="001228CA" w:rsidRPr="001228CA">
        <w:rPr>
          <w:rFonts w:ascii="Times New Roman" w:hAnsi="Times New Roman" w:cs="Times New Roman"/>
          <w:sz w:val="20"/>
          <w:szCs w:val="20"/>
        </w:rPr>
        <w:t>. Unlike traditional teacher-centered methods</w:t>
      </w:r>
      <w:r>
        <w:rPr>
          <w:rFonts w:ascii="Times New Roman" w:hAnsi="Times New Roman" w:cs="Times New Roman"/>
          <w:sz w:val="20"/>
          <w:szCs w:val="20"/>
        </w:rPr>
        <w:t xml:space="preserve"> </w:t>
      </w:r>
      <w:r w:rsidR="001228CA" w:rsidRPr="001228CA">
        <w:rPr>
          <w:rFonts w:ascii="Times New Roman" w:hAnsi="Times New Roman" w:cs="Times New Roman"/>
          <w:sz w:val="20"/>
          <w:szCs w:val="20"/>
        </w:rPr>
        <w:t>which often involved passive reception of knowledge</w:t>
      </w:r>
      <w:r>
        <w:rPr>
          <w:rFonts w:ascii="Times New Roman" w:hAnsi="Times New Roman" w:cs="Times New Roman"/>
          <w:sz w:val="20"/>
          <w:szCs w:val="20"/>
        </w:rPr>
        <w:t xml:space="preserve">, </w:t>
      </w:r>
      <w:r w:rsidR="001228CA" w:rsidRPr="001228CA">
        <w:rPr>
          <w:rFonts w:ascii="Times New Roman" w:hAnsi="Times New Roman" w:cs="Times New Roman"/>
          <w:sz w:val="20"/>
          <w:szCs w:val="20"/>
        </w:rPr>
        <w:t>CBLA encouraged students to participate actively in their learning through multiple learning centers, such as computer, art, reading, and manipulative centers</w:t>
      </w:r>
      <w:r w:rsidR="001047AF">
        <w:rPr>
          <w:rFonts w:ascii="Times New Roman" w:hAnsi="Times New Roman" w:cs="Times New Roman"/>
          <w:sz w:val="20"/>
          <w:szCs w:val="20"/>
        </w:rPr>
        <w:t xml:space="preserve"> (Bello et al., 2023)</w:t>
      </w:r>
      <w:r w:rsidR="001228CA" w:rsidRPr="001228CA">
        <w:rPr>
          <w:rFonts w:ascii="Times New Roman" w:hAnsi="Times New Roman" w:cs="Times New Roman"/>
          <w:sz w:val="20"/>
          <w:szCs w:val="20"/>
        </w:rPr>
        <w:t>. This approach aligned with constructivist theories, promoting problem-solving, critical thinking, and individualized learning styles, all of which were vital for developing scientific literacy (</w:t>
      </w:r>
      <w:r w:rsidR="001047AF">
        <w:rPr>
          <w:rFonts w:ascii="Times New Roman" w:hAnsi="Times New Roman" w:cs="Times New Roman"/>
          <w:sz w:val="20"/>
          <w:szCs w:val="20"/>
        </w:rPr>
        <w:t>Stofflett, 2018</w:t>
      </w:r>
      <w:r w:rsidR="001228CA" w:rsidRPr="001228CA">
        <w:rPr>
          <w:rFonts w:ascii="Times New Roman" w:hAnsi="Times New Roman" w:cs="Times New Roman"/>
          <w:sz w:val="20"/>
          <w:szCs w:val="20"/>
        </w:rPr>
        <w:t>)</w:t>
      </w:r>
      <w:r>
        <w:rPr>
          <w:rFonts w:ascii="Times New Roman" w:hAnsi="Times New Roman" w:cs="Times New Roman"/>
          <w:sz w:val="20"/>
          <w:szCs w:val="20"/>
        </w:rPr>
        <w:t xml:space="preserve">. </w:t>
      </w:r>
    </w:p>
    <w:p w14:paraId="0CB29925" w14:textId="77777777" w:rsidR="00E0347B" w:rsidRPr="00E0347B" w:rsidRDefault="00E0347B" w:rsidP="00E0347B">
      <w:pPr>
        <w:spacing w:after="0"/>
        <w:ind w:firstLine="720"/>
        <w:jc w:val="both"/>
        <w:rPr>
          <w:rFonts w:ascii="Times New Roman" w:hAnsi="Times New Roman" w:cs="Times New Roman"/>
          <w:sz w:val="10"/>
          <w:szCs w:val="10"/>
        </w:rPr>
      </w:pPr>
    </w:p>
    <w:p w14:paraId="19D4334C" w14:textId="33785AA8" w:rsidR="001228CA" w:rsidRDefault="00E0347B" w:rsidP="00E0347B">
      <w:pPr>
        <w:spacing w:after="0"/>
        <w:ind w:firstLine="720"/>
        <w:jc w:val="both"/>
        <w:rPr>
          <w:rFonts w:ascii="Times New Roman" w:hAnsi="Times New Roman" w:cs="Times New Roman"/>
          <w:sz w:val="20"/>
          <w:szCs w:val="20"/>
        </w:rPr>
      </w:pPr>
      <w:r>
        <w:rPr>
          <w:rFonts w:ascii="Times New Roman" w:hAnsi="Times New Roman" w:cs="Times New Roman"/>
          <w:sz w:val="20"/>
          <w:szCs w:val="20"/>
        </w:rPr>
        <w:t>The e</w:t>
      </w:r>
      <w:r w:rsidR="001228CA" w:rsidRPr="001228CA">
        <w:rPr>
          <w:rFonts w:ascii="Times New Roman" w:hAnsi="Times New Roman" w:cs="Times New Roman"/>
          <w:sz w:val="20"/>
          <w:szCs w:val="20"/>
        </w:rPr>
        <w:t xml:space="preserve">ffective teaching and learning required ongoing professional development for educators to keep pace with scientific advancements and best pedagogical practices. The CBLA relied heavily on well-trained teachers who could facilitate learning through interactive and diverse centers. This study aimed to evaluate the effectiveness of the CBLA in junior high school science education, specifically in improving student performance and understanding. </w:t>
      </w:r>
      <w:r>
        <w:rPr>
          <w:rFonts w:ascii="Times New Roman" w:hAnsi="Times New Roman" w:cs="Times New Roman"/>
          <w:sz w:val="20"/>
          <w:szCs w:val="20"/>
        </w:rPr>
        <w:t>Thus, by</w:t>
      </w:r>
      <w:r w:rsidR="001228CA" w:rsidRPr="001228CA">
        <w:rPr>
          <w:rFonts w:ascii="Times New Roman" w:hAnsi="Times New Roman" w:cs="Times New Roman"/>
          <w:sz w:val="20"/>
          <w:szCs w:val="20"/>
        </w:rPr>
        <w:t xml:space="preserve"> exploring this approach’s potential, the study hoped to support teachers in adopting strategies that enhanced learning experiences and outcomes for students.</w:t>
      </w:r>
    </w:p>
    <w:p w14:paraId="1F4681A2" w14:textId="77777777" w:rsidR="00551DC4" w:rsidRPr="00384B87" w:rsidRDefault="00551DC4" w:rsidP="00D550E2">
      <w:pPr>
        <w:spacing w:after="0"/>
        <w:jc w:val="both"/>
        <w:rPr>
          <w:rFonts w:ascii="Times New Roman" w:hAnsi="Times New Roman" w:cs="Times New Roman"/>
          <w:b/>
          <w:bCs/>
          <w:sz w:val="10"/>
          <w:szCs w:val="10"/>
        </w:rPr>
      </w:pPr>
    </w:p>
    <w:p w14:paraId="4AE857BA" w14:textId="79BA3764" w:rsidR="00D550E2" w:rsidRPr="00D550E2" w:rsidRDefault="00384B87" w:rsidP="00D550E2">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1.1 </w:t>
      </w:r>
      <w:r w:rsidR="00D550E2" w:rsidRPr="00D550E2">
        <w:rPr>
          <w:rFonts w:ascii="Times New Roman" w:hAnsi="Times New Roman" w:cs="Times New Roman"/>
          <w:b/>
          <w:bCs/>
          <w:sz w:val="20"/>
          <w:szCs w:val="20"/>
        </w:rPr>
        <w:t>Research Objectives</w:t>
      </w:r>
    </w:p>
    <w:p w14:paraId="6CBF4409" w14:textId="77777777" w:rsidR="00D550E2" w:rsidRPr="00D550E2" w:rsidRDefault="00D550E2" w:rsidP="00D550E2">
      <w:pPr>
        <w:spacing w:after="0"/>
        <w:ind w:firstLine="720"/>
        <w:jc w:val="both"/>
        <w:rPr>
          <w:rFonts w:ascii="Times New Roman" w:hAnsi="Times New Roman" w:cs="Times New Roman"/>
          <w:sz w:val="10"/>
          <w:szCs w:val="10"/>
        </w:rPr>
      </w:pPr>
    </w:p>
    <w:p w14:paraId="3AF7E7E0" w14:textId="103DA640" w:rsidR="00641277" w:rsidRDefault="00D550E2" w:rsidP="00D550E2">
      <w:pPr>
        <w:spacing w:after="0"/>
        <w:ind w:firstLine="720"/>
        <w:jc w:val="both"/>
        <w:rPr>
          <w:rFonts w:ascii="Times New Roman" w:hAnsi="Times New Roman" w:cs="Times New Roman"/>
          <w:sz w:val="20"/>
          <w:szCs w:val="20"/>
        </w:rPr>
      </w:pPr>
      <w:r w:rsidRPr="00D550E2">
        <w:rPr>
          <w:rFonts w:ascii="Times New Roman" w:hAnsi="Times New Roman" w:cs="Times New Roman"/>
          <w:sz w:val="20"/>
          <w:szCs w:val="20"/>
        </w:rPr>
        <w:t>This study assessed the value and impact of the center-based learning approach on students’ academic performance in science, comparing it with the traditional teaching method. Additionally, it examined junior high school science teachers’ views on how effective the center-based learning approach was in enhancing students’ learning abilities, using the Proven Effectiveness Framework (PEF) as a guide.</w:t>
      </w:r>
    </w:p>
    <w:p w14:paraId="5F8EE51A" w14:textId="77777777" w:rsidR="00543C6E" w:rsidRPr="00800696" w:rsidRDefault="00543C6E" w:rsidP="00543C6E">
      <w:pPr>
        <w:spacing w:after="0"/>
        <w:jc w:val="both"/>
        <w:rPr>
          <w:rFonts w:ascii="Times New Roman" w:hAnsi="Times New Roman" w:cs="Times New Roman"/>
          <w:sz w:val="16"/>
          <w:szCs w:val="16"/>
        </w:rPr>
      </w:pPr>
    </w:p>
    <w:p w14:paraId="50F48DB9" w14:textId="16B66FD8" w:rsidR="00543C6E" w:rsidRPr="00543C6E" w:rsidRDefault="00384B87" w:rsidP="00543C6E">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00543C6E" w:rsidRPr="00543C6E">
        <w:rPr>
          <w:rFonts w:ascii="Times New Roman" w:hAnsi="Times New Roman" w:cs="Times New Roman"/>
          <w:b/>
          <w:bCs/>
          <w:sz w:val="20"/>
          <w:szCs w:val="20"/>
        </w:rPr>
        <w:t>MATERIALS AND METHODS</w:t>
      </w:r>
    </w:p>
    <w:p w14:paraId="32332B68" w14:textId="77777777" w:rsidR="00543C6E" w:rsidRPr="00543C6E" w:rsidRDefault="00543C6E" w:rsidP="00543C6E">
      <w:pPr>
        <w:spacing w:after="0"/>
        <w:ind w:firstLine="720"/>
        <w:jc w:val="both"/>
        <w:rPr>
          <w:rFonts w:ascii="Cambria" w:hAnsi="Cambria"/>
          <w:sz w:val="10"/>
          <w:szCs w:val="10"/>
        </w:rPr>
      </w:pPr>
    </w:p>
    <w:p w14:paraId="12939A5A" w14:textId="77777777" w:rsidR="0048458E" w:rsidRDefault="0048458E" w:rsidP="0048458E">
      <w:pPr>
        <w:ind w:firstLine="720"/>
        <w:jc w:val="both"/>
        <w:rPr>
          <w:rFonts w:ascii="Times New Roman" w:hAnsi="Times New Roman" w:cs="Times New Roman"/>
          <w:sz w:val="20"/>
          <w:szCs w:val="20"/>
        </w:rPr>
      </w:pPr>
      <w:r w:rsidRPr="0048458E">
        <w:rPr>
          <w:rFonts w:ascii="Times New Roman" w:hAnsi="Times New Roman" w:cs="Times New Roman"/>
          <w:sz w:val="20"/>
          <w:szCs w:val="20"/>
        </w:rPr>
        <w:lastRenderedPageBreak/>
        <w:t>The study employed quantitative methods using a quasi-experimental research design to compare the academic performance of 60 Grade 10 students divided equally into two groups: 30 students in the experimental group exposed to the center-based learning approach (CBLA) and 30 students in the control group using the conventional learning approach. The objective was to evaluate the usefulness and effectiveness of each method. A 50-item knowledge assessment test, validated by three experts from the Division of Agusan del Sur specializing in research, science, and language, was administered as both pretest and posttest during the first grading period of the 2024–2025 Department of Education calendar year. The test showed excellent reliability with a Cronbach’s alpha of 0.90, confirming its consistency and dependability.</w:t>
      </w:r>
    </w:p>
    <w:p w14:paraId="74ED266D" w14:textId="77777777" w:rsidR="0048458E" w:rsidRDefault="0048458E" w:rsidP="0048458E">
      <w:pPr>
        <w:ind w:firstLine="720"/>
        <w:jc w:val="both"/>
        <w:rPr>
          <w:rFonts w:ascii="Times New Roman" w:hAnsi="Times New Roman" w:cs="Times New Roman"/>
          <w:sz w:val="20"/>
          <w:szCs w:val="20"/>
        </w:rPr>
      </w:pPr>
      <w:r w:rsidRPr="0048458E">
        <w:rPr>
          <w:rFonts w:ascii="Times New Roman" w:hAnsi="Times New Roman" w:cs="Times New Roman"/>
          <w:sz w:val="20"/>
          <w:szCs w:val="20"/>
        </w:rPr>
        <w:t>The assessment focused on Grade 10 science competencies outlined in the Most Essential Learning Competencies (MELCs), covering topics such as volcanoes, earthquakes, epicenters, and mountain ranges. The 50 multiple-choice items were carefully reviewed to ensure appropriateness for the students’ level. Prior to testing, permission was secured from the school principal, and the study procedures were explained thoroughly to all participants to obtain informed consent.</w:t>
      </w:r>
    </w:p>
    <w:p w14:paraId="467A2847" w14:textId="3755E2DE" w:rsidR="0048458E" w:rsidRPr="0048458E" w:rsidRDefault="0048458E" w:rsidP="0048458E">
      <w:pPr>
        <w:ind w:firstLine="720"/>
        <w:jc w:val="both"/>
        <w:rPr>
          <w:rFonts w:ascii="Times New Roman" w:hAnsi="Times New Roman" w:cs="Times New Roman"/>
          <w:sz w:val="20"/>
          <w:szCs w:val="20"/>
        </w:rPr>
      </w:pPr>
      <w:r w:rsidRPr="0048458E">
        <w:rPr>
          <w:rFonts w:ascii="Times New Roman" w:hAnsi="Times New Roman" w:cs="Times New Roman"/>
          <w:sz w:val="20"/>
          <w:szCs w:val="20"/>
        </w:rPr>
        <w:t>Additionally, the perceptions of 10 junior high school science teachers were gathered to evaluate the usefulness and effectiveness of the center-based learning approach using the Proven Effectiveness Framework (PEF). The researchers personally administered the tests and analyzed the academic performance differences between groups using ANCOVA. The study was conducted ethically, with proper citations and confidentiality maintained by deleting all collected data upon research completion.</w:t>
      </w:r>
    </w:p>
    <w:p w14:paraId="5845599B" w14:textId="0385B201" w:rsidR="00800696" w:rsidRDefault="00384B87" w:rsidP="00800696">
      <w:pPr>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00800696" w:rsidRPr="00800696">
        <w:rPr>
          <w:rFonts w:ascii="Times New Roman" w:hAnsi="Times New Roman" w:cs="Times New Roman"/>
          <w:b/>
          <w:bCs/>
          <w:sz w:val="20"/>
          <w:szCs w:val="20"/>
        </w:rPr>
        <w:t>RESULTS AND DISCUSSION</w:t>
      </w:r>
    </w:p>
    <w:p w14:paraId="36151709" w14:textId="22B6A814" w:rsidR="00600526" w:rsidRPr="00800696" w:rsidRDefault="00800696" w:rsidP="00800696">
      <w:pPr>
        <w:spacing w:after="0"/>
        <w:ind w:firstLine="720"/>
        <w:jc w:val="both"/>
        <w:rPr>
          <w:rFonts w:ascii="Times New Roman" w:hAnsi="Times New Roman" w:cs="Times New Roman"/>
          <w:sz w:val="20"/>
          <w:szCs w:val="20"/>
        </w:rPr>
      </w:pPr>
      <w:r w:rsidRPr="00800696">
        <w:rPr>
          <w:rFonts w:ascii="Times New Roman" w:hAnsi="Times New Roman" w:cs="Times New Roman"/>
          <w:sz w:val="20"/>
          <w:szCs w:val="20"/>
        </w:rPr>
        <w:t>The study analyzed the effectiveness of the center-based learning approach (CBLA) on the academic performance of Grade 10 science students during the first grading period, focusing on the modified MELCs. Results from the pretest showed the control group (30 students) had a mean score of 8.27 (p = 0.000) with a low mastery level of 17.58%, while the experimental group</w:t>
      </w:r>
      <w:r>
        <w:rPr>
          <w:rFonts w:ascii="Times New Roman" w:hAnsi="Times New Roman" w:cs="Times New Roman"/>
          <w:sz w:val="20"/>
          <w:szCs w:val="20"/>
        </w:rPr>
        <w:t xml:space="preserve"> (30 students)</w:t>
      </w:r>
      <w:r w:rsidRPr="00800696">
        <w:rPr>
          <w:rFonts w:ascii="Times New Roman" w:hAnsi="Times New Roman" w:cs="Times New Roman"/>
          <w:sz w:val="20"/>
          <w:szCs w:val="20"/>
        </w:rPr>
        <w:t xml:space="preserve"> scored a higher mean of 10.12 (p = 0.000) with a mastery level of 22.49%. Although the experimental group performed better, overall mastery levels in both groups were low, indicating that students faced challenges in learning science under both the CBLA and conventional approaches.</w:t>
      </w:r>
    </w:p>
    <w:p w14:paraId="6176A03C" w14:textId="77777777" w:rsidR="00800696" w:rsidRPr="00A86B78" w:rsidRDefault="00800696" w:rsidP="0082056E">
      <w:pPr>
        <w:spacing w:after="0"/>
        <w:jc w:val="both"/>
        <w:rPr>
          <w:rFonts w:ascii="Cambria" w:hAnsi="Cambria"/>
          <w:sz w:val="10"/>
          <w:szCs w:val="10"/>
        </w:rPr>
      </w:pPr>
    </w:p>
    <w:p w14:paraId="62218258" w14:textId="0B844D75" w:rsidR="00A677A9" w:rsidRPr="00800696" w:rsidRDefault="00A677A9" w:rsidP="00800696">
      <w:pPr>
        <w:spacing w:after="0"/>
        <w:rPr>
          <w:rFonts w:ascii="Times New Roman" w:hAnsi="Times New Roman" w:cs="Times New Roman"/>
          <w:b/>
          <w:bCs/>
          <w:sz w:val="20"/>
          <w:szCs w:val="20"/>
        </w:rPr>
      </w:pPr>
      <w:r w:rsidRPr="00800696">
        <w:rPr>
          <w:rFonts w:ascii="Times New Roman" w:hAnsi="Times New Roman" w:cs="Times New Roman"/>
          <w:b/>
          <w:bCs/>
          <w:sz w:val="20"/>
          <w:szCs w:val="20"/>
        </w:rPr>
        <w:t xml:space="preserve">Table 1. </w:t>
      </w:r>
      <w:r w:rsidR="00800696" w:rsidRPr="00800696">
        <w:rPr>
          <w:rFonts w:ascii="Times New Roman" w:hAnsi="Times New Roman" w:cs="Times New Roman"/>
          <w:b/>
          <w:bCs/>
          <w:sz w:val="20"/>
          <w:szCs w:val="20"/>
        </w:rPr>
        <w:t>Pretest and Posttest Results of Students’ Science Performance Under Different Learning Approaches</w:t>
      </w:r>
    </w:p>
    <w:p w14:paraId="3A924E26" w14:textId="77777777" w:rsidR="00F27C77" w:rsidRPr="00800696" w:rsidRDefault="00F27C77" w:rsidP="00A677A9">
      <w:pPr>
        <w:spacing w:after="0"/>
        <w:jc w:val="center"/>
        <w:rPr>
          <w:rFonts w:ascii="Times New Roman" w:hAnsi="Times New Roman" w:cs="Times New Roman"/>
          <w:sz w:val="10"/>
          <w:szCs w:val="1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846"/>
        <w:gridCol w:w="992"/>
        <w:gridCol w:w="851"/>
        <w:gridCol w:w="992"/>
        <w:gridCol w:w="1559"/>
        <w:gridCol w:w="1887"/>
      </w:tblGrid>
      <w:tr w:rsidR="0077648C" w:rsidRPr="00800696" w14:paraId="16949297" w14:textId="77777777" w:rsidTr="00800696">
        <w:tc>
          <w:tcPr>
            <w:tcW w:w="1985" w:type="dxa"/>
            <w:tcBorders>
              <w:top w:val="single" w:sz="4" w:space="0" w:color="auto"/>
              <w:bottom w:val="single" w:sz="4" w:space="0" w:color="auto"/>
            </w:tcBorders>
          </w:tcPr>
          <w:p w14:paraId="19CCDC07" w14:textId="128B3F11" w:rsidR="0077648C" w:rsidRPr="00800696" w:rsidRDefault="00800696" w:rsidP="009D0011">
            <w:pPr>
              <w:jc w:val="center"/>
              <w:rPr>
                <w:rFonts w:ascii="Times New Roman" w:hAnsi="Times New Roman" w:cs="Times New Roman"/>
                <w:b/>
                <w:bCs/>
                <w:sz w:val="20"/>
                <w:szCs w:val="20"/>
              </w:rPr>
            </w:pPr>
            <w:r>
              <w:rPr>
                <w:rFonts w:ascii="Times New Roman" w:hAnsi="Times New Roman" w:cs="Times New Roman"/>
                <w:b/>
                <w:bCs/>
                <w:sz w:val="20"/>
                <w:szCs w:val="20"/>
              </w:rPr>
              <w:t>Construct</w:t>
            </w:r>
          </w:p>
        </w:tc>
        <w:tc>
          <w:tcPr>
            <w:tcW w:w="850" w:type="dxa"/>
            <w:tcBorders>
              <w:top w:val="single" w:sz="4" w:space="0" w:color="auto"/>
              <w:bottom w:val="single" w:sz="4" w:space="0" w:color="auto"/>
            </w:tcBorders>
          </w:tcPr>
          <w:p w14:paraId="6321B250" w14:textId="5329BE72" w:rsidR="0077648C" w:rsidRPr="00800696" w:rsidRDefault="00800696" w:rsidP="009D0011">
            <w:pPr>
              <w:jc w:val="center"/>
              <w:rPr>
                <w:rFonts w:ascii="Times New Roman" w:hAnsi="Times New Roman" w:cs="Times New Roman"/>
                <w:b/>
                <w:bCs/>
                <w:i/>
                <w:iCs/>
                <w:sz w:val="20"/>
                <w:szCs w:val="20"/>
              </w:rPr>
            </w:pPr>
            <w:r w:rsidRPr="00800696">
              <w:rPr>
                <w:rFonts w:ascii="Times New Roman" w:hAnsi="Times New Roman" w:cs="Times New Roman"/>
                <w:b/>
                <w:bCs/>
                <w:i/>
                <w:iCs/>
                <w:sz w:val="20"/>
                <w:szCs w:val="20"/>
              </w:rPr>
              <w:t>n</w:t>
            </w:r>
          </w:p>
        </w:tc>
        <w:tc>
          <w:tcPr>
            <w:tcW w:w="846" w:type="dxa"/>
            <w:tcBorders>
              <w:top w:val="single" w:sz="4" w:space="0" w:color="auto"/>
              <w:bottom w:val="single" w:sz="4" w:space="0" w:color="auto"/>
            </w:tcBorders>
          </w:tcPr>
          <w:p w14:paraId="1EC282A1" w14:textId="45659152" w:rsidR="0077648C" w:rsidRPr="00800696" w:rsidRDefault="00800696" w:rsidP="009D0011">
            <w:pPr>
              <w:jc w:val="center"/>
              <w:rPr>
                <w:rFonts w:ascii="Times New Roman" w:hAnsi="Times New Roman" w:cs="Times New Roman"/>
                <w:b/>
                <w:bCs/>
                <w:i/>
                <w:iCs/>
                <w:sz w:val="20"/>
                <w:szCs w:val="20"/>
              </w:rPr>
            </w:pPr>
            <w:r w:rsidRPr="00800696">
              <w:rPr>
                <w:rFonts w:ascii="Times New Roman" w:hAnsi="Times New Roman" w:cs="Times New Roman"/>
                <w:b/>
                <w:bCs/>
                <w:i/>
                <w:iCs/>
                <w:sz w:val="20"/>
                <w:szCs w:val="20"/>
              </w:rPr>
              <w:t>%</w:t>
            </w:r>
          </w:p>
        </w:tc>
        <w:tc>
          <w:tcPr>
            <w:tcW w:w="992" w:type="dxa"/>
            <w:tcBorders>
              <w:top w:val="single" w:sz="4" w:space="0" w:color="auto"/>
              <w:bottom w:val="single" w:sz="4" w:space="0" w:color="auto"/>
            </w:tcBorders>
          </w:tcPr>
          <w:p w14:paraId="271A0C9E"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Mean</w:t>
            </w:r>
          </w:p>
          <w:p w14:paraId="2D62D0BB"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 xml:space="preserve">Score </w:t>
            </w:r>
          </w:p>
        </w:tc>
        <w:tc>
          <w:tcPr>
            <w:tcW w:w="851" w:type="dxa"/>
            <w:tcBorders>
              <w:top w:val="single" w:sz="4" w:space="0" w:color="auto"/>
              <w:bottom w:val="single" w:sz="4" w:space="0" w:color="auto"/>
            </w:tcBorders>
          </w:tcPr>
          <w:p w14:paraId="42EE6CC7"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SD</w:t>
            </w:r>
          </w:p>
        </w:tc>
        <w:tc>
          <w:tcPr>
            <w:tcW w:w="992" w:type="dxa"/>
            <w:tcBorders>
              <w:top w:val="single" w:sz="4" w:space="0" w:color="auto"/>
              <w:bottom w:val="single" w:sz="4" w:space="0" w:color="auto"/>
            </w:tcBorders>
          </w:tcPr>
          <w:p w14:paraId="4FCFD5C6" w14:textId="38BB24F8"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p-</w:t>
            </w:r>
            <w:r w:rsidR="00430510">
              <w:rPr>
                <w:rFonts w:ascii="Times New Roman" w:hAnsi="Times New Roman" w:cs="Times New Roman"/>
                <w:b/>
                <w:bCs/>
                <w:sz w:val="20"/>
                <w:szCs w:val="20"/>
              </w:rPr>
              <w:t>v</w:t>
            </w:r>
            <w:r w:rsidRPr="00800696">
              <w:rPr>
                <w:rFonts w:ascii="Times New Roman" w:hAnsi="Times New Roman" w:cs="Times New Roman"/>
                <w:b/>
                <w:bCs/>
                <w:sz w:val="20"/>
                <w:szCs w:val="20"/>
              </w:rPr>
              <w:t>alue</w:t>
            </w:r>
          </w:p>
        </w:tc>
        <w:tc>
          <w:tcPr>
            <w:tcW w:w="1559" w:type="dxa"/>
            <w:tcBorders>
              <w:top w:val="single" w:sz="4" w:space="0" w:color="auto"/>
              <w:bottom w:val="single" w:sz="4" w:space="0" w:color="auto"/>
            </w:tcBorders>
          </w:tcPr>
          <w:p w14:paraId="7348F1B5"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Mastery Level</w:t>
            </w:r>
          </w:p>
        </w:tc>
        <w:tc>
          <w:tcPr>
            <w:tcW w:w="1887" w:type="dxa"/>
            <w:tcBorders>
              <w:top w:val="single" w:sz="4" w:space="0" w:color="auto"/>
              <w:bottom w:val="single" w:sz="4" w:space="0" w:color="auto"/>
            </w:tcBorders>
          </w:tcPr>
          <w:p w14:paraId="506D925B"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Remarks</w:t>
            </w:r>
          </w:p>
        </w:tc>
      </w:tr>
      <w:tr w:rsidR="0077648C" w:rsidRPr="00800696" w14:paraId="263C09CD" w14:textId="77777777" w:rsidTr="00800696">
        <w:tc>
          <w:tcPr>
            <w:tcW w:w="1985" w:type="dxa"/>
            <w:tcBorders>
              <w:top w:val="single" w:sz="4" w:space="0" w:color="auto"/>
            </w:tcBorders>
          </w:tcPr>
          <w:p w14:paraId="0E8CCC68" w14:textId="65A8A0A2" w:rsidR="0077648C" w:rsidRPr="00800696" w:rsidRDefault="0077648C" w:rsidP="009D0011">
            <w:pPr>
              <w:rPr>
                <w:rFonts w:ascii="Times New Roman" w:hAnsi="Times New Roman" w:cs="Times New Roman"/>
                <w:b/>
                <w:bCs/>
                <w:sz w:val="20"/>
                <w:szCs w:val="20"/>
              </w:rPr>
            </w:pPr>
            <w:r w:rsidRPr="00800696">
              <w:rPr>
                <w:rFonts w:ascii="Times New Roman" w:hAnsi="Times New Roman" w:cs="Times New Roman"/>
                <w:b/>
                <w:bCs/>
                <w:sz w:val="20"/>
                <w:szCs w:val="20"/>
              </w:rPr>
              <w:t>Pre</w:t>
            </w:r>
            <w:r w:rsidR="00924F28">
              <w:rPr>
                <w:rFonts w:ascii="Times New Roman" w:hAnsi="Times New Roman" w:cs="Times New Roman"/>
                <w:b/>
                <w:bCs/>
                <w:sz w:val="20"/>
                <w:szCs w:val="20"/>
              </w:rPr>
              <w:t>t</w:t>
            </w:r>
            <w:r w:rsidRPr="00800696">
              <w:rPr>
                <w:rFonts w:ascii="Times New Roman" w:hAnsi="Times New Roman" w:cs="Times New Roman"/>
                <w:b/>
                <w:bCs/>
                <w:sz w:val="20"/>
                <w:szCs w:val="20"/>
              </w:rPr>
              <w:t xml:space="preserve">est </w:t>
            </w:r>
          </w:p>
          <w:p w14:paraId="4A8A6DB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Control Group</w:t>
            </w:r>
          </w:p>
          <w:p w14:paraId="3BA0380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Experimental Group</w:t>
            </w:r>
          </w:p>
          <w:p w14:paraId="0C928558" w14:textId="77777777" w:rsidR="0077648C" w:rsidRPr="00800696" w:rsidRDefault="0077648C" w:rsidP="009D0011">
            <w:pPr>
              <w:jc w:val="center"/>
              <w:rPr>
                <w:rFonts w:ascii="Times New Roman" w:hAnsi="Times New Roman" w:cs="Times New Roman"/>
                <w:sz w:val="20"/>
                <w:szCs w:val="20"/>
              </w:rPr>
            </w:pPr>
          </w:p>
        </w:tc>
        <w:tc>
          <w:tcPr>
            <w:tcW w:w="850" w:type="dxa"/>
            <w:tcBorders>
              <w:top w:val="single" w:sz="4" w:space="0" w:color="auto"/>
            </w:tcBorders>
          </w:tcPr>
          <w:p w14:paraId="104D9848" w14:textId="77777777" w:rsidR="0077648C" w:rsidRPr="00800696" w:rsidRDefault="0077648C" w:rsidP="00800696">
            <w:pPr>
              <w:rPr>
                <w:rFonts w:ascii="Times New Roman" w:hAnsi="Times New Roman" w:cs="Times New Roman"/>
                <w:sz w:val="20"/>
                <w:szCs w:val="20"/>
              </w:rPr>
            </w:pPr>
          </w:p>
          <w:p w14:paraId="0BD7B38A"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p w14:paraId="6D0F5D24"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tc>
        <w:tc>
          <w:tcPr>
            <w:tcW w:w="846" w:type="dxa"/>
            <w:tcBorders>
              <w:top w:val="single" w:sz="4" w:space="0" w:color="auto"/>
            </w:tcBorders>
          </w:tcPr>
          <w:p w14:paraId="0777922A" w14:textId="77777777" w:rsidR="0077648C" w:rsidRPr="00800696" w:rsidRDefault="0077648C" w:rsidP="00800696">
            <w:pPr>
              <w:rPr>
                <w:rFonts w:ascii="Times New Roman" w:hAnsi="Times New Roman" w:cs="Times New Roman"/>
                <w:sz w:val="20"/>
                <w:szCs w:val="20"/>
              </w:rPr>
            </w:pPr>
          </w:p>
          <w:p w14:paraId="112F1780"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27.56</w:t>
            </w:r>
          </w:p>
          <w:p w14:paraId="56A537FE"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33.73</w:t>
            </w:r>
          </w:p>
        </w:tc>
        <w:tc>
          <w:tcPr>
            <w:tcW w:w="992" w:type="dxa"/>
            <w:tcBorders>
              <w:top w:val="single" w:sz="4" w:space="0" w:color="auto"/>
            </w:tcBorders>
          </w:tcPr>
          <w:p w14:paraId="16D17D66" w14:textId="77777777" w:rsidR="0077648C" w:rsidRPr="00800696" w:rsidRDefault="0077648C" w:rsidP="00800696">
            <w:pPr>
              <w:rPr>
                <w:rFonts w:ascii="Times New Roman" w:hAnsi="Times New Roman" w:cs="Times New Roman"/>
                <w:sz w:val="20"/>
                <w:szCs w:val="20"/>
              </w:rPr>
            </w:pPr>
          </w:p>
          <w:p w14:paraId="7DC4770F"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8.27</w:t>
            </w:r>
          </w:p>
          <w:p w14:paraId="751885D0"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10.12</w:t>
            </w:r>
          </w:p>
        </w:tc>
        <w:tc>
          <w:tcPr>
            <w:tcW w:w="851" w:type="dxa"/>
            <w:tcBorders>
              <w:top w:val="single" w:sz="4" w:space="0" w:color="auto"/>
            </w:tcBorders>
          </w:tcPr>
          <w:p w14:paraId="4D2EC6C7" w14:textId="77777777" w:rsidR="0077648C" w:rsidRPr="00800696" w:rsidRDefault="0077648C" w:rsidP="00800696">
            <w:pPr>
              <w:rPr>
                <w:rFonts w:ascii="Times New Roman" w:hAnsi="Times New Roman" w:cs="Times New Roman"/>
                <w:sz w:val="20"/>
                <w:szCs w:val="20"/>
              </w:rPr>
            </w:pPr>
          </w:p>
          <w:p w14:paraId="168CA6F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1.27</w:t>
            </w:r>
          </w:p>
          <w:p w14:paraId="2CED65E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1.02</w:t>
            </w:r>
          </w:p>
        </w:tc>
        <w:tc>
          <w:tcPr>
            <w:tcW w:w="992" w:type="dxa"/>
            <w:tcBorders>
              <w:top w:val="single" w:sz="4" w:space="0" w:color="auto"/>
            </w:tcBorders>
          </w:tcPr>
          <w:p w14:paraId="755660EF" w14:textId="77777777" w:rsidR="0077648C" w:rsidRPr="00800696" w:rsidRDefault="0077648C" w:rsidP="00800696">
            <w:pPr>
              <w:rPr>
                <w:rFonts w:ascii="Times New Roman" w:hAnsi="Times New Roman" w:cs="Times New Roman"/>
                <w:sz w:val="20"/>
                <w:szCs w:val="20"/>
              </w:rPr>
            </w:pPr>
          </w:p>
          <w:p w14:paraId="2A9FDC62" w14:textId="77777777" w:rsidR="00800696" w:rsidRPr="00800696" w:rsidRDefault="00800696" w:rsidP="009D0011">
            <w:pPr>
              <w:jc w:val="center"/>
              <w:rPr>
                <w:rFonts w:ascii="Times New Roman" w:hAnsi="Times New Roman" w:cs="Times New Roman"/>
                <w:sz w:val="10"/>
                <w:szCs w:val="10"/>
              </w:rPr>
            </w:pPr>
          </w:p>
          <w:p w14:paraId="0DD1AE8F" w14:textId="4B417E8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0.000</w:t>
            </w:r>
          </w:p>
          <w:p w14:paraId="40224FA2" w14:textId="77777777" w:rsidR="0077648C" w:rsidRPr="00800696" w:rsidRDefault="0077648C" w:rsidP="009D0011">
            <w:pPr>
              <w:jc w:val="center"/>
              <w:rPr>
                <w:rFonts w:ascii="Times New Roman" w:hAnsi="Times New Roman" w:cs="Times New Roman"/>
                <w:sz w:val="20"/>
                <w:szCs w:val="20"/>
              </w:rPr>
            </w:pPr>
          </w:p>
        </w:tc>
        <w:tc>
          <w:tcPr>
            <w:tcW w:w="1559" w:type="dxa"/>
            <w:tcBorders>
              <w:top w:val="single" w:sz="4" w:space="0" w:color="auto"/>
            </w:tcBorders>
          </w:tcPr>
          <w:p w14:paraId="1A0EA5D4" w14:textId="77777777" w:rsidR="0077648C" w:rsidRPr="00800696" w:rsidRDefault="0077648C" w:rsidP="00800696">
            <w:pPr>
              <w:rPr>
                <w:rFonts w:ascii="Times New Roman" w:hAnsi="Times New Roman" w:cs="Times New Roman"/>
                <w:sz w:val="20"/>
                <w:szCs w:val="20"/>
              </w:rPr>
            </w:pPr>
          </w:p>
          <w:p w14:paraId="3EFC83B7"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17.58</w:t>
            </w:r>
          </w:p>
          <w:p w14:paraId="7855EB2E"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22.49</w:t>
            </w:r>
          </w:p>
        </w:tc>
        <w:tc>
          <w:tcPr>
            <w:tcW w:w="1887" w:type="dxa"/>
            <w:tcBorders>
              <w:top w:val="single" w:sz="4" w:space="0" w:color="auto"/>
            </w:tcBorders>
          </w:tcPr>
          <w:p w14:paraId="20B5621B" w14:textId="77777777" w:rsidR="0077648C" w:rsidRDefault="0077648C" w:rsidP="00800696">
            <w:pPr>
              <w:rPr>
                <w:rFonts w:ascii="Times New Roman" w:hAnsi="Times New Roman" w:cs="Times New Roman"/>
                <w:sz w:val="20"/>
                <w:szCs w:val="20"/>
              </w:rPr>
            </w:pPr>
          </w:p>
          <w:p w14:paraId="280E8822" w14:textId="77777777" w:rsidR="00800696" w:rsidRPr="00800696" w:rsidRDefault="00800696" w:rsidP="00800696">
            <w:pPr>
              <w:rPr>
                <w:rFonts w:ascii="Times New Roman" w:hAnsi="Times New Roman" w:cs="Times New Roman"/>
                <w:sz w:val="10"/>
                <w:szCs w:val="10"/>
              </w:rPr>
            </w:pPr>
          </w:p>
          <w:p w14:paraId="69817395"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Highly Significant</w:t>
            </w:r>
          </w:p>
        </w:tc>
      </w:tr>
      <w:tr w:rsidR="0077648C" w:rsidRPr="00800696" w14:paraId="3EC448F3" w14:textId="77777777" w:rsidTr="00800696">
        <w:tc>
          <w:tcPr>
            <w:tcW w:w="1985" w:type="dxa"/>
            <w:tcBorders>
              <w:bottom w:val="single" w:sz="4" w:space="0" w:color="auto"/>
            </w:tcBorders>
          </w:tcPr>
          <w:p w14:paraId="7C41F932" w14:textId="20439D31" w:rsidR="0077648C" w:rsidRPr="00800696" w:rsidRDefault="0077648C" w:rsidP="009D0011">
            <w:pPr>
              <w:rPr>
                <w:rFonts w:ascii="Times New Roman" w:hAnsi="Times New Roman" w:cs="Times New Roman"/>
                <w:b/>
                <w:bCs/>
                <w:sz w:val="20"/>
                <w:szCs w:val="20"/>
              </w:rPr>
            </w:pPr>
            <w:r w:rsidRPr="00800696">
              <w:rPr>
                <w:rFonts w:ascii="Times New Roman" w:hAnsi="Times New Roman" w:cs="Times New Roman"/>
                <w:b/>
                <w:bCs/>
                <w:sz w:val="20"/>
                <w:szCs w:val="20"/>
              </w:rPr>
              <w:t>Post</w:t>
            </w:r>
            <w:r w:rsidR="00924F28">
              <w:rPr>
                <w:rFonts w:ascii="Times New Roman" w:hAnsi="Times New Roman" w:cs="Times New Roman"/>
                <w:b/>
                <w:bCs/>
                <w:sz w:val="20"/>
                <w:szCs w:val="20"/>
              </w:rPr>
              <w:t>t</w:t>
            </w:r>
            <w:r w:rsidRPr="00800696">
              <w:rPr>
                <w:rFonts w:ascii="Times New Roman" w:hAnsi="Times New Roman" w:cs="Times New Roman"/>
                <w:b/>
                <w:bCs/>
                <w:sz w:val="20"/>
                <w:szCs w:val="20"/>
              </w:rPr>
              <w:t xml:space="preserve">est </w:t>
            </w:r>
          </w:p>
          <w:p w14:paraId="0A01DCD1"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Control Group</w:t>
            </w:r>
          </w:p>
          <w:p w14:paraId="0480F5E7"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Experimental Group</w:t>
            </w:r>
          </w:p>
          <w:p w14:paraId="62664654" w14:textId="77777777" w:rsidR="0077648C" w:rsidRPr="00800696" w:rsidRDefault="0077648C" w:rsidP="009D0011">
            <w:pPr>
              <w:jc w:val="center"/>
              <w:rPr>
                <w:rFonts w:ascii="Times New Roman" w:hAnsi="Times New Roman" w:cs="Times New Roman"/>
                <w:sz w:val="20"/>
                <w:szCs w:val="20"/>
              </w:rPr>
            </w:pPr>
          </w:p>
        </w:tc>
        <w:tc>
          <w:tcPr>
            <w:tcW w:w="850" w:type="dxa"/>
            <w:tcBorders>
              <w:bottom w:val="single" w:sz="4" w:space="0" w:color="auto"/>
            </w:tcBorders>
          </w:tcPr>
          <w:p w14:paraId="3B1236C7" w14:textId="77777777" w:rsidR="0077648C" w:rsidRPr="00800696" w:rsidRDefault="0077648C" w:rsidP="009F24EB">
            <w:pPr>
              <w:rPr>
                <w:rFonts w:ascii="Times New Roman" w:hAnsi="Times New Roman" w:cs="Times New Roman"/>
                <w:sz w:val="20"/>
                <w:szCs w:val="20"/>
              </w:rPr>
            </w:pPr>
          </w:p>
          <w:p w14:paraId="44CC4EED"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p w14:paraId="6CFCC3BE"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tc>
        <w:tc>
          <w:tcPr>
            <w:tcW w:w="846" w:type="dxa"/>
            <w:tcBorders>
              <w:bottom w:val="single" w:sz="4" w:space="0" w:color="auto"/>
            </w:tcBorders>
          </w:tcPr>
          <w:p w14:paraId="4D2F4B51" w14:textId="77777777" w:rsidR="0077648C" w:rsidRPr="00800696" w:rsidRDefault="0077648C" w:rsidP="009F24EB">
            <w:pPr>
              <w:rPr>
                <w:rFonts w:ascii="Times New Roman" w:hAnsi="Times New Roman" w:cs="Times New Roman"/>
                <w:sz w:val="20"/>
                <w:szCs w:val="20"/>
              </w:rPr>
            </w:pPr>
          </w:p>
          <w:p w14:paraId="2A6939F2"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50.08</w:t>
            </w:r>
          </w:p>
          <w:p w14:paraId="21E0B26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78.50</w:t>
            </w:r>
          </w:p>
        </w:tc>
        <w:tc>
          <w:tcPr>
            <w:tcW w:w="992" w:type="dxa"/>
            <w:tcBorders>
              <w:bottom w:val="single" w:sz="4" w:space="0" w:color="auto"/>
            </w:tcBorders>
          </w:tcPr>
          <w:p w14:paraId="571ED2A4" w14:textId="77777777" w:rsidR="0077648C" w:rsidRPr="00800696" w:rsidRDefault="0077648C" w:rsidP="009F24EB">
            <w:pPr>
              <w:rPr>
                <w:rFonts w:ascii="Times New Roman" w:hAnsi="Times New Roman" w:cs="Times New Roman"/>
                <w:sz w:val="20"/>
                <w:szCs w:val="20"/>
              </w:rPr>
            </w:pPr>
          </w:p>
          <w:p w14:paraId="5483C9C6"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30.05</w:t>
            </w:r>
          </w:p>
          <w:p w14:paraId="5EE095DB"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47.10</w:t>
            </w:r>
          </w:p>
        </w:tc>
        <w:tc>
          <w:tcPr>
            <w:tcW w:w="851" w:type="dxa"/>
            <w:tcBorders>
              <w:bottom w:val="single" w:sz="4" w:space="0" w:color="auto"/>
            </w:tcBorders>
          </w:tcPr>
          <w:p w14:paraId="3D452A5E" w14:textId="77777777" w:rsidR="0077648C" w:rsidRPr="00800696" w:rsidRDefault="0077648C" w:rsidP="009F24EB">
            <w:pPr>
              <w:rPr>
                <w:rFonts w:ascii="Times New Roman" w:hAnsi="Times New Roman" w:cs="Times New Roman"/>
                <w:sz w:val="20"/>
                <w:szCs w:val="20"/>
              </w:rPr>
            </w:pPr>
          </w:p>
          <w:p w14:paraId="21773776"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4.25</w:t>
            </w:r>
          </w:p>
          <w:p w14:paraId="75975F2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4.87</w:t>
            </w:r>
          </w:p>
        </w:tc>
        <w:tc>
          <w:tcPr>
            <w:tcW w:w="992" w:type="dxa"/>
            <w:tcBorders>
              <w:bottom w:val="single" w:sz="4" w:space="0" w:color="auto"/>
            </w:tcBorders>
          </w:tcPr>
          <w:p w14:paraId="4B29C789" w14:textId="77777777" w:rsidR="0077648C" w:rsidRPr="00800696" w:rsidRDefault="0077648C" w:rsidP="009D0011">
            <w:pPr>
              <w:jc w:val="center"/>
              <w:rPr>
                <w:rFonts w:ascii="Times New Roman" w:hAnsi="Times New Roman" w:cs="Times New Roman"/>
                <w:sz w:val="20"/>
                <w:szCs w:val="20"/>
              </w:rPr>
            </w:pPr>
          </w:p>
          <w:p w14:paraId="1CD8BC7F" w14:textId="77777777" w:rsidR="0077648C" w:rsidRPr="009F24EB" w:rsidRDefault="0077648C" w:rsidP="009D0011">
            <w:pPr>
              <w:jc w:val="center"/>
              <w:rPr>
                <w:rFonts w:ascii="Times New Roman" w:hAnsi="Times New Roman" w:cs="Times New Roman"/>
                <w:sz w:val="10"/>
                <w:szCs w:val="10"/>
              </w:rPr>
            </w:pPr>
          </w:p>
          <w:p w14:paraId="41C412ED"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0.000</w:t>
            </w:r>
          </w:p>
        </w:tc>
        <w:tc>
          <w:tcPr>
            <w:tcW w:w="1559" w:type="dxa"/>
            <w:tcBorders>
              <w:bottom w:val="single" w:sz="4" w:space="0" w:color="auto"/>
            </w:tcBorders>
          </w:tcPr>
          <w:p w14:paraId="7D08E5A1" w14:textId="77777777" w:rsidR="0077648C" w:rsidRPr="00800696" w:rsidRDefault="0077648C" w:rsidP="009F24EB">
            <w:pPr>
              <w:rPr>
                <w:rFonts w:ascii="Times New Roman" w:hAnsi="Times New Roman" w:cs="Times New Roman"/>
                <w:sz w:val="20"/>
                <w:szCs w:val="20"/>
              </w:rPr>
            </w:pPr>
          </w:p>
          <w:p w14:paraId="595E5848"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60.23</w:t>
            </w:r>
          </w:p>
          <w:p w14:paraId="136DB9AB"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81.22</w:t>
            </w:r>
          </w:p>
        </w:tc>
        <w:tc>
          <w:tcPr>
            <w:tcW w:w="1887" w:type="dxa"/>
            <w:tcBorders>
              <w:bottom w:val="single" w:sz="4" w:space="0" w:color="auto"/>
            </w:tcBorders>
          </w:tcPr>
          <w:p w14:paraId="7378A418" w14:textId="77777777" w:rsidR="0077648C" w:rsidRPr="00800696" w:rsidRDefault="0077648C" w:rsidP="009D0011">
            <w:pPr>
              <w:jc w:val="center"/>
              <w:rPr>
                <w:rFonts w:ascii="Times New Roman" w:hAnsi="Times New Roman" w:cs="Times New Roman"/>
                <w:sz w:val="20"/>
                <w:szCs w:val="20"/>
              </w:rPr>
            </w:pPr>
          </w:p>
          <w:p w14:paraId="763C17CA" w14:textId="77777777" w:rsidR="0077648C" w:rsidRPr="009F24EB" w:rsidRDefault="0077648C" w:rsidP="009D0011">
            <w:pPr>
              <w:jc w:val="center"/>
              <w:rPr>
                <w:rFonts w:ascii="Times New Roman" w:hAnsi="Times New Roman" w:cs="Times New Roman"/>
                <w:sz w:val="10"/>
                <w:szCs w:val="10"/>
              </w:rPr>
            </w:pPr>
          </w:p>
          <w:p w14:paraId="7A698FF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Highly Significant</w:t>
            </w:r>
          </w:p>
        </w:tc>
      </w:tr>
      <w:tr w:rsidR="00800696" w:rsidRPr="00800696" w14:paraId="2628ED24" w14:textId="77777777" w:rsidTr="00800696">
        <w:tc>
          <w:tcPr>
            <w:tcW w:w="1985" w:type="dxa"/>
            <w:tcBorders>
              <w:top w:val="single" w:sz="4" w:space="0" w:color="auto"/>
              <w:bottom w:val="single" w:sz="4" w:space="0" w:color="auto"/>
            </w:tcBorders>
          </w:tcPr>
          <w:p w14:paraId="0B2F6CDF" w14:textId="77777777" w:rsidR="0077648C" w:rsidRPr="00800696" w:rsidRDefault="0077648C"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OVERALL</w:t>
            </w:r>
          </w:p>
        </w:tc>
        <w:tc>
          <w:tcPr>
            <w:tcW w:w="850" w:type="dxa"/>
            <w:tcBorders>
              <w:top w:val="single" w:sz="4" w:space="0" w:color="auto"/>
              <w:bottom w:val="single" w:sz="4" w:space="0" w:color="auto"/>
            </w:tcBorders>
          </w:tcPr>
          <w:p w14:paraId="35704B47" w14:textId="77777777" w:rsidR="0077648C" w:rsidRPr="00800696" w:rsidRDefault="0077648C"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60</w:t>
            </w:r>
          </w:p>
        </w:tc>
        <w:tc>
          <w:tcPr>
            <w:tcW w:w="846" w:type="dxa"/>
            <w:tcBorders>
              <w:top w:val="single" w:sz="4" w:space="0" w:color="auto"/>
              <w:bottom w:val="single" w:sz="4" w:space="0" w:color="auto"/>
            </w:tcBorders>
          </w:tcPr>
          <w:p w14:paraId="3004B956"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100</w:t>
            </w:r>
          </w:p>
        </w:tc>
        <w:tc>
          <w:tcPr>
            <w:tcW w:w="992" w:type="dxa"/>
            <w:tcBorders>
              <w:top w:val="single" w:sz="4" w:space="0" w:color="auto"/>
              <w:bottom w:val="single" w:sz="4" w:space="0" w:color="auto"/>
            </w:tcBorders>
          </w:tcPr>
          <w:p w14:paraId="4046EA37"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23.89</w:t>
            </w:r>
          </w:p>
        </w:tc>
        <w:tc>
          <w:tcPr>
            <w:tcW w:w="851" w:type="dxa"/>
            <w:tcBorders>
              <w:top w:val="single" w:sz="4" w:space="0" w:color="auto"/>
              <w:bottom w:val="single" w:sz="4" w:space="0" w:color="auto"/>
            </w:tcBorders>
          </w:tcPr>
          <w:p w14:paraId="7B940EE0"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2.85</w:t>
            </w:r>
          </w:p>
        </w:tc>
        <w:tc>
          <w:tcPr>
            <w:tcW w:w="992" w:type="dxa"/>
            <w:tcBorders>
              <w:top w:val="single" w:sz="4" w:space="0" w:color="auto"/>
              <w:bottom w:val="single" w:sz="4" w:space="0" w:color="auto"/>
            </w:tcBorders>
          </w:tcPr>
          <w:p w14:paraId="7A0BB1D7"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0.000</w:t>
            </w:r>
          </w:p>
        </w:tc>
        <w:tc>
          <w:tcPr>
            <w:tcW w:w="1559" w:type="dxa"/>
            <w:tcBorders>
              <w:top w:val="single" w:sz="4" w:space="0" w:color="auto"/>
              <w:bottom w:val="single" w:sz="4" w:space="0" w:color="auto"/>
            </w:tcBorders>
          </w:tcPr>
          <w:p w14:paraId="2DB278B9"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45.38</w:t>
            </w:r>
          </w:p>
        </w:tc>
        <w:tc>
          <w:tcPr>
            <w:tcW w:w="1887" w:type="dxa"/>
            <w:tcBorders>
              <w:top w:val="single" w:sz="4" w:space="0" w:color="auto"/>
              <w:bottom w:val="single" w:sz="4" w:space="0" w:color="auto"/>
            </w:tcBorders>
          </w:tcPr>
          <w:p w14:paraId="32CE0F2D"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 xml:space="preserve">Highly Significant </w:t>
            </w:r>
          </w:p>
        </w:tc>
      </w:tr>
    </w:tbl>
    <w:p w14:paraId="0B1E55F9" w14:textId="118BF67F" w:rsidR="00243E81" w:rsidRPr="001C5BA5" w:rsidRDefault="00243E81" w:rsidP="00583FD6">
      <w:pPr>
        <w:spacing w:after="0"/>
        <w:jc w:val="both"/>
        <w:rPr>
          <w:rFonts w:ascii="Times New Roman" w:hAnsi="Times New Roman" w:cs="Times New Roman"/>
          <w:i/>
          <w:iCs/>
          <w:sz w:val="10"/>
          <w:szCs w:val="10"/>
        </w:rPr>
      </w:pPr>
    </w:p>
    <w:p w14:paraId="127B7B48" w14:textId="77777777" w:rsidR="009F24EB" w:rsidRPr="009F24EB" w:rsidRDefault="009F24EB" w:rsidP="009F24EB">
      <w:pPr>
        <w:spacing w:after="0"/>
        <w:jc w:val="both"/>
        <w:rPr>
          <w:rFonts w:ascii="Times New Roman" w:hAnsi="Times New Roman" w:cs="Times New Roman"/>
          <w:i/>
          <w:iCs/>
          <w:sz w:val="6"/>
          <w:szCs w:val="6"/>
        </w:rPr>
      </w:pPr>
    </w:p>
    <w:p w14:paraId="4D91FC27" w14:textId="5C31AC09" w:rsidR="00430510" w:rsidRDefault="009F24EB" w:rsidP="00430510">
      <w:pPr>
        <w:spacing w:after="0"/>
        <w:ind w:firstLine="720"/>
        <w:jc w:val="both"/>
        <w:rPr>
          <w:rFonts w:ascii="Times New Roman" w:hAnsi="Times New Roman" w:cs="Times New Roman"/>
          <w:sz w:val="20"/>
          <w:szCs w:val="20"/>
        </w:rPr>
      </w:pPr>
      <w:r w:rsidRPr="009F24EB">
        <w:rPr>
          <w:rFonts w:ascii="Times New Roman" w:hAnsi="Times New Roman" w:cs="Times New Roman"/>
          <w:sz w:val="20"/>
          <w:szCs w:val="20"/>
        </w:rPr>
        <w:t xml:space="preserve">After the posttest assessment, the control group achieved a mean score of 30.05 (SD = 4.25) with a highly significant p-value of 0.000 and a mastery level of 60.23%. In contrast, the experimental group exposed to the center-based learning approach (CBLA) showed a much higher mean score of 47.10 (SD = 4.87) with the same level of significance (p = 0.000). These results indicate a substantial improvement in academic performance and comprehension for students using the CBLA. </w:t>
      </w:r>
      <w:r>
        <w:rPr>
          <w:rFonts w:ascii="Times New Roman" w:hAnsi="Times New Roman" w:cs="Times New Roman"/>
          <w:sz w:val="20"/>
          <w:szCs w:val="20"/>
        </w:rPr>
        <w:t xml:space="preserve">Saro et al. (2023) </w:t>
      </w:r>
      <w:r w:rsidRPr="009F24EB">
        <w:rPr>
          <w:rFonts w:ascii="Times New Roman" w:hAnsi="Times New Roman" w:cs="Times New Roman"/>
          <w:sz w:val="20"/>
          <w:szCs w:val="20"/>
        </w:rPr>
        <w:t xml:space="preserve">noted that low pretest scores reflect students’ initial unfamiliarity with the subject matter, likely due to limited prior exposure or forgotten content. This aligns with findings by </w:t>
      </w:r>
      <w:r w:rsidR="00E82DC1">
        <w:rPr>
          <w:rFonts w:ascii="Times New Roman" w:hAnsi="Times New Roman" w:cs="Times New Roman"/>
          <w:sz w:val="20"/>
          <w:szCs w:val="20"/>
        </w:rPr>
        <w:t xml:space="preserve">Bello et al., </w:t>
      </w:r>
      <w:r w:rsidRPr="009F24EB">
        <w:rPr>
          <w:rFonts w:ascii="Times New Roman" w:hAnsi="Times New Roman" w:cs="Times New Roman"/>
          <w:sz w:val="20"/>
          <w:szCs w:val="20"/>
        </w:rPr>
        <w:t xml:space="preserve"> (20</w:t>
      </w:r>
      <w:r w:rsidR="00E82DC1">
        <w:rPr>
          <w:rFonts w:ascii="Times New Roman" w:hAnsi="Times New Roman" w:cs="Times New Roman"/>
          <w:sz w:val="20"/>
          <w:szCs w:val="20"/>
        </w:rPr>
        <w:t>23</w:t>
      </w:r>
      <w:r w:rsidRPr="009F24EB">
        <w:rPr>
          <w:rFonts w:ascii="Times New Roman" w:hAnsi="Times New Roman" w:cs="Times New Roman"/>
          <w:sz w:val="20"/>
          <w:szCs w:val="20"/>
        </w:rPr>
        <w:t>)</w:t>
      </w:r>
      <w:r w:rsidR="00E83FB8">
        <w:rPr>
          <w:rFonts w:ascii="Times New Roman" w:hAnsi="Times New Roman" w:cs="Times New Roman"/>
          <w:sz w:val="20"/>
          <w:szCs w:val="20"/>
        </w:rPr>
        <w:t xml:space="preserve"> and </w:t>
      </w:r>
      <w:r w:rsidR="00E83FB8" w:rsidRPr="003E403A">
        <w:rPr>
          <w:rFonts w:ascii="Times New Roman" w:hAnsi="Times New Roman" w:cs="Times New Roman"/>
          <w:sz w:val="20"/>
          <w:szCs w:val="20"/>
        </w:rPr>
        <w:t>Siregar</w:t>
      </w:r>
      <w:r w:rsidR="00E83FB8">
        <w:rPr>
          <w:rFonts w:ascii="Times New Roman" w:hAnsi="Times New Roman" w:cs="Times New Roman"/>
          <w:sz w:val="20"/>
          <w:szCs w:val="20"/>
        </w:rPr>
        <w:t xml:space="preserve"> et al. (2024)</w:t>
      </w:r>
      <w:r w:rsidRPr="009F24EB">
        <w:rPr>
          <w:rFonts w:ascii="Times New Roman" w:hAnsi="Times New Roman" w:cs="Times New Roman"/>
          <w:sz w:val="20"/>
          <w:szCs w:val="20"/>
        </w:rPr>
        <w:t>, who emphasized that students’ learning outcomes are influenced by the teaching methods and the relevance of learning materials, which are often enhanced in conventional approaches but significantly improved with more engaging, student-centered strategies like CBLA.</w:t>
      </w:r>
    </w:p>
    <w:p w14:paraId="4894341F" w14:textId="77777777" w:rsidR="00430510" w:rsidRPr="00430510" w:rsidRDefault="00430510" w:rsidP="00430510">
      <w:pPr>
        <w:spacing w:after="0"/>
        <w:ind w:firstLine="720"/>
        <w:jc w:val="both"/>
        <w:rPr>
          <w:rFonts w:ascii="Times New Roman" w:hAnsi="Times New Roman" w:cs="Times New Roman"/>
          <w:sz w:val="18"/>
          <w:szCs w:val="18"/>
        </w:rPr>
      </w:pPr>
    </w:p>
    <w:p w14:paraId="3803C31C" w14:textId="514E1DA6" w:rsidR="009F0B68" w:rsidRPr="00430510" w:rsidRDefault="005C3D6B" w:rsidP="00430510">
      <w:pPr>
        <w:rPr>
          <w:rFonts w:ascii="Times New Roman" w:hAnsi="Times New Roman" w:cs="Times New Roman"/>
          <w:b/>
          <w:bCs/>
          <w:sz w:val="20"/>
          <w:szCs w:val="20"/>
        </w:rPr>
      </w:pPr>
      <w:r w:rsidRPr="00430510">
        <w:rPr>
          <w:rFonts w:ascii="Times New Roman" w:hAnsi="Times New Roman" w:cs="Times New Roman"/>
          <w:b/>
          <w:bCs/>
          <w:sz w:val="20"/>
          <w:szCs w:val="20"/>
        </w:rPr>
        <w:t xml:space="preserve">Table 2. </w:t>
      </w:r>
      <w:r w:rsidR="00430510" w:rsidRPr="00430510">
        <w:rPr>
          <w:rFonts w:ascii="Times New Roman" w:hAnsi="Times New Roman" w:cs="Times New Roman"/>
          <w:b/>
          <w:bCs/>
          <w:sz w:val="20"/>
          <w:szCs w:val="20"/>
        </w:rPr>
        <w:t>Analysis of Covariance (ANCOVA) Results on Academic Performance</w:t>
      </w:r>
    </w:p>
    <w:tbl>
      <w:tblPr>
        <w:tblStyle w:val="TableGrid"/>
        <w:tblW w:w="100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278"/>
        <w:gridCol w:w="695"/>
        <w:gridCol w:w="1783"/>
        <w:gridCol w:w="1402"/>
        <w:gridCol w:w="1412"/>
      </w:tblGrid>
      <w:tr w:rsidR="005C3D6B" w:rsidRPr="00430510" w14:paraId="60E9E0E9" w14:textId="77777777" w:rsidTr="005C3D6B">
        <w:trPr>
          <w:trHeight w:val="361"/>
        </w:trPr>
        <w:tc>
          <w:tcPr>
            <w:tcW w:w="3489" w:type="dxa"/>
            <w:tcBorders>
              <w:top w:val="single" w:sz="4" w:space="0" w:color="auto"/>
              <w:bottom w:val="single" w:sz="4" w:space="0" w:color="auto"/>
            </w:tcBorders>
          </w:tcPr>
          <w:p w14:paraId="0360E1BE"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Variations</w:t>
            </w:r>
          </w:p>
        </w:tc>
        <w:tc>
          <w:tcPr>
            <w:tcW w:w="1278" w:type="dxa"/>
            <w:tcBorders>
              <w:top w:val="single" w:sz="4" w:space="0" w:color="auto"/>
              <w:bottom w:val="single" w:sz="4" w:space="0" w:color="auto"/>
            </w:tcBorders>
          </w:tcPr>
          <w:p w14:paraId="36C0DDF6"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SS</w:t>
            </w:r>
          </w:p>
        </w:tc>
        <w:tc>
          <w:tcPr>
            <w:tcW w:w="695" w:type="dxa"/>
            <w:tcBorders>
              <w:top w:val="single" w:sz="4" w:space="0" w:color="auto"/>
              <w:bottom w:val="single" w:sz="4" w:space="0" w:color="auto"/>
            </w:tcBorders>
          </w:tcPr>
          <w:p w14:paraId="200FF917"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df</w:t>
            </w:r>
          </w:p>
        </w:tc>
        <w:tc>
          <w:tcPr>
            <w:tcW w:w="1783" w:type="dxa"/>
            <w:tcBorders>
              <w:top w:val="single" w:sz="4" w:space="0" w:color="auto"/>
              <w:bottom w:val="single" w:sz="4" w:space="0" w:color="auto"/>
            </w:tcBorders>
          </w:tcPr>
          <w:p w14:paraId="1FD3AF37"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Mean Square</w:t>
            </w:r>
          </w:p>
        </w:tc>
        <w:tc>
          <w:tcPr>
            <w:tcW w:w="1402" w:type="dxa"/>
            <w:tcBorders>
              <w:top w:val="single" w:sz="4" w:space="0" w:color="auto"/>
              <w:bottom w:val="single" w:sz="4" w:space="0" w:color="auto"/>
            </w:tcBorders>
          </w:tcPr>
          <w:p w14:paraId="16F58BE0"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f-value</w:t>
            </w:r>
          </w:p>
        </w:tc>
        <w:tc>
          <w:tcPr>
            <w:tcW w:w="1412" w:type="dxa"/>
            <w:tcBorders>
              <w:top w:val="single" w:sz="4" w:space="0" w:color="auto"/>
              <w:bottom w:val="single" w:sz="4" w:space="0" w:color="auto"/>
            </w:tcBorders>
          </w:tcPr>
          <w:p w14:paraId="6503E15F"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p-value</w:t>
            </w:r>
          </w:p>
        </w:tc>
      </w:tr>
      <w:tr w:rsidR="005C3D6B" w:rsidRPr="00430510" w14:paraId="21B8DD26" w14:textId="77777777" w:rsidTr="005C3D6B">
        <w:trPr>
          <w:trHeight w:val="381"/>
        </w:trPr>
        <w:tc>
          <w:tcPr>
            <w:tcW w:w="3489" w:type="dxa"/>
            <w:tcBorders>
              <w:top w:val="single" w:sz="4" w:space="0" w:color="auto"/>
            </w:tcBorders>
          </w:tcPr>
          <w:p w14:paraId="07663DF7" w14:textId="77777777" w:rsidR="009F0B68" w:rsidRPr="00430510" w:rsidRDefault="005C3D6B" w:rsidP="00243E81">
            <w:pPr>
              <w:jc w:val="both"/>
              <w:rPr>
                <w:rFonts w:ascii="Times New Roman" w:hAnsi="Times New Roman" w:cs="Times New Roman"/>
                <w:sz w:val="20"/>
                <w:szCs w:val="20"/>
              </w:rPr>
            </w:pPr>
            <w:r w:rsidRPr="00430510">
              <w:rPr>
                <w:rFonts w:ascii="Times New Roman" w:hAnsi="Times New Roman" w:cs="Times New Roman"/>
                <w:sz w:val="20"/>
                <w:szCs w:val="20"/>
              </w:rPr>
              <w:t>Pretest and Posttest (Covariate)</w:t>
            </w:r>
          </w:p>
        </w:tc>
        <w:tc>
          <w:tcPr>
            <w:tcW w:w="1278" w:type="dxa"/>
            <w:tcBorders>
              <w:top w:val="single" w:sz="4" w:space="0" w:color="auto"/>
            </w:tcBorders>
          </w:tcPr>
          <w:p w14:paraId="7863CEBF"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11.258</w:t>
            </w:r>
          </w:p>
        </w:tc>
        <w:tc>
          <w:tcPr>
            <w:tcW w:w="695" w:type="dxa"/>
            <w:tcBorders>
              <w:top w:val="single" w:sz="4" w:space="0" w:color="auto"/>
            </w:tcBorders>
          </w:tcPr>
          <w:p w14:paraId="27FF610F"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w:t>
            </w:r>
          </w:p>
        </w:tc>
        <w:tc>
          <w:tcPr>
            <w:tcW w:w="1783" w:type="dxa"/>
            <w:tcBorders>
              <w:top w:val="single" w:sz="4" w:space="0" w:color="auto"/>
            </w:tcBorders>
          </w:tcPr>
          <w:p w14:paraId="0B3B570B"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111.285</w:t>
            </w:r>
          </w:p>
        </w:tc>
        <w:tc>
          <w:tcPr>
            <w:tcW w:w="1402" w:type="dxa"/>
            <w:tcBorders>
              <w:top w:val="single" w:sz="4" w:space="0" w:color="auto"/>
            </w:tcBorders>
          </w:tcPr>
          <w:p w14:paraId="7E86E542"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50.729**</w:t>
            </w:r>
          </w:p>
        </w:tc>
        <w:tc>
          <w:tcPr>
            <w:tcW w:w="1412" w:type="dxa"/>
            <w:tcBorders>
              <w:top w:val="single" w:sz="4" w:space="0" w:color="auto"/>
            </w:tcBorders>
          </w:tcPr>
          <w:p w14:paraId="181611E3"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0.000</w:t>
            </w:r>
          </w:p>
        </w:tc>
      </w:tr>
      <w:tr w:rsidR="005C3D6B" w:rsidRPr="00430510" w14:paraId="3FE3142C" w14:textId="77777777" w:rsidTr="005C3D6B">
        <w:trPr>
          <w:trHeight w:val="381"/>
        </w:trPr>
        <w:tc>
          <w:tcPr>
            <w:tcW w:w="3489" w:type="dxa"/>
            <w:tcBorders>
              <w:bottom w:val="single" w:sz="4" w:space="0" w:color="auto"/>
            </w:tcBorders>
          </w:tcPr>
          <w:p w14:paraId="4C08D0AC" w14:textId="77777777" w:rsidR="005C3D6B" w:rsidRPr="00430510" w:rsidRDefault="005C3D6B" w:rsidP="00243E81">
            <w:pPr>
              <w:jc w:val="both"/>
              <w:rPr>
                <w:rFonts w:ascii="Times New Roman" w:hAnsi="Times New Roman" w:cs="Times New Roman"/>
                <w:sz w:val="20"/>
                <w:szCs w:val="20"/>
              </w:rPr>
            </w:pPr>
            <w:r w:rsidRPr="00430510">
              <w:rPr>
                <w:rFonts w:ascii="Times New Roman" w:hAnsi="Times New Roman" w:cs="Times New Roman"/>
                <w:sz w:val="20"/>
                <w:szCs w:val="20"/>
              </w:rPr>
              <w:lastRenderedPageBreak/>
              <w:t xml:space="preserve">Error </w:t>
            </w:r>
          </w:p>
        </w:tc>
        <w:tc>
          <w:tcPr>
            <w:tcW w:w="1278" w:type="dxa"/>
            <w:tcBorders>
              <w:bottom w:val="single" w:sz="4" w:space="0" w:color="auto"/>
            </w:tcBorders>
          </w:tcPr>
          <w:p w14:paraId="093A3679"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1877.523</w:t>
            </w:r>
          </w:p>
        </w:tc>
        <w:tc>
          <w:tcPr>
            <w:tcW w:w="695" w:type="dxa"/>
            <w:tcBorders>
              <w:bottom w:val="single" w:sz="4" w:space="0" w:color="auto"/>
            </w:tcBorders>
          </w:tcPr>
          <w:p w14:paraId="19486739"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59</w:t>
            </w:r>
          </w:p>
        </w:tc>
        <w:tc>
          <w:tcPr>
            <w:tcW w:w="1783" w:type="dxa"/>
            <w:tcBorders>
              <w:bottom w:val="single" w:sz="4" w:space="0" w:color="auto"/>
            </w:tcBorders>
          </w:tcPr>
          <w:p w14:paraId="09ACB014"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37.112</w:t>
            </w:r>
          </w:p>
        </w:tc>
        <w:tc>
          <w:tcPr>
            <w:tcW w:w="1402" w:type="dxa"/>
            <w:tcBorders>
              <w:bottom w:val="single" w:sz="4" w:space="0" w:color="auto"/>
            </w:tcBorders>
          </w:tcPr>
          <w:p w14:paraId="40EBB5D9" w14:textId="77777777" w:rsidR="005C3D6B" w:rsidRPr="00430510" w:rsidRDefault="005C3D6B" w:rsidP="005C3D6B">
            <w:pPr>
              <w:jc w:val="center"/>
              <w:rPr>
                <w:rFonts w:ascii="Times New Roman" w:hAnsi="Times New Roman" w:cs="Times New Roman"/>
                <w:sz w:val="20"/>
                <w:szCs w:val="20"/>
              </w:rPr>
            </w:pPr>
          </w:p>
        </w:tc>
        <w:tc>
          <w:tcPr>
            <w:tcW w:w="1412" w:type="dxa"/>
            <w:tcBorders>
              <w:bottom w:val="single" w:sz="4" w:space="0" w:color="auto"/>
            </w:tcBorders>
          </w:tcPr>
          <w:p w14:paraId="2DAC23B8" w14:textId="77777777" w:rsidR="005C3D6B" w:rsidRPr="00430510" w:rsidRDefault="005C3D6B" w:rsidP="005C3D6B">
            <w:pPr>
              <w:jc w:val="center"/>
              <w:rPr>
                <w:rFonts w:ascii="Times New Roman" w:hAnsi="Times New Roman" w:cs="Times New Roman"/>
                <w:sz w:val="20"/>
                <w:szCs w:val="20"/>
              </w:rPr>
            </w:pPr>
          </w:p>
        </w:tc>
      </w:tr>
      <w:tr w:rsidR="005C3D6B" w:rsidRPr="00430510" w14:paraId="5C6848D4" w14:textId="77777777" w:rsidTr="005C3D6B">
        <w:trPr>
          <w:trHeight w:val="361"/>
        </w:trPr>
        <w:tc>
          <w:tcPr>
            <w:tcW w:w="3489" w:type="dxa"/>
            <w:tcBorders>
              <w:top w:val="single" w:sz="4" w:space="0" w:color="auto"/>
              <w:bottom w:val="single" w:sz="4" w:space="0" w:color="auto"/>
            </w:tcBorders>
          </w:tcPr>
          <w:p w14:paraId="0589BD05"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OVERALL</w:t>
            </w:r>
          </w:p>
        </w:tc>
        <w:tc>
          <w:tcPr>
            <w:tcW w:w="1278" w:type="dxa"/>
            <w:tcBorders>
              <w:top w:val="single" w:sz="4" w:space="0" w:color="auto"/>
              <w:bottom w:val="single" w:sz="4" w:space="0" w:color="auto"/>
            </w:tcBorders>
          </w:tcPr>
          <w:p w14:paraId="102524EA"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1888.871</w:t>
            </w:r>
          </w:p>
        </w:tc>
        <w:tc>
          <w:tcPr>
            <w:tcW w:w="695" w:type="dxa"/>
            <w:tcBorders>
              <w:top w:val="single" w:sz="4" w:space="0" w:color="auto"/>
              <w:bottom w:val="single" w:sz="4" w:space="0" w:color="auto"/>
            </w:tcBorders>
          </w:tcPr>
          <w:p w14:paraId="7C05CC0B"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60</w:t>
            </w:r>
          </w:p>
        </w:tc>
        <w:tc>
          <w:tcPr>
            <w:tcW w:w="1783" w:type="dxa"/>
            <w:tcBorders>
              <w:top w:val="single" w:sz="4" w:space="0" w:color="auto"/>
              <w:bottom w:val="single" w:sz="4" w:space="0" w:color="auto"/>
            </w:tcBorders>
          </w:tcPr>
          <w:p w14:paraId="0571B431" w14:textId="77777777" w:rsidR="005C3D6B" w:rsidRPr="00430510" w:rsidRDefault="005C3D6B" w:rsidP="005C3D6B">
            <w:pPr>
              <w:jc w:val="center"/>
              <w:rPr>
                <w:rFonts w:ascii="Times New Roman" w:hAnsi="Times New Roman" w:cs="Times New Roman"/>
                <w:b/>
                <w:bCs/>
                <w:sz w:val="20"/>
                <w:szCs w:val="20"/>
              </w:rPr>
            </w:pPr>
          </w:p>
        </w:tc>
        <w:tc>
          <w:tcPr>
            <w:tcW w:w="1402" w:type="dxa"/>
            <w:tcBorders>
              <w:top w:val="single" w:sz="4" w:space="0" w:color="auto"/>
              <w:bottom w:val="single" w:sz="4" w:space="0" w:color="auto"/>
            </w:tcBorders>
          </w:tcPr>
          <w:p w14:paraId="761A6861" w14:textId="77777777" w:rsidR="005C3D6B" w:rsidRPr="00430510" w:rsidRDefault="005C3D6B" w:rsidP="005C3D6B">
            <w:pPr>
              <w:jc w:val="center"/>
              <w:rPr>
                <w:rFonts w:ascii="Times New Roman" w:hAnsi="Times New Roman" w:cs="Times New Roman"/>
                <w:b/>
                <w:bCs/>
                <w:sz w:val="20"/>
                <w:szCs w:val="20"/>
              </w:rPr>
            </w:pPr>
          </w:p>
        </w:tc>
        <w:tc>
          <w:tcPr>
            <w:tcW w:w="1412" w:type="dxa"/>
            <w:tcBorders>
              <w:top w:val="single" w:sz="4" w:space="0" w:color="auto"/>
              <w:bottom w:val="single" w:sz="4" w:space="0" w:color="auto"/>
            </w:tcBorders>
          </w:tcPr>
          <w:p w14:paraId="6E23545C" w14:textId="77777777" w:rsidR="005C3D6B" w:rsidRPr="00430510" w:rsidRDefault="005C3D6B" w:rsidP="005C3D6B">
            <w:pPr>
              <w:jc w:val="center"/>
              <w:rPr>
                <w:rFonts w:ascii="Times New Roman" w:hAnsi="Times New Roman" w:cs="Times New Roman"/>
                <w:b/>
                <w:bCs/>
                <w:sz w:val="20"/>
                <w:szCs w:val="20"/>
              </w:rPr>
            </w:pPr>
          </w:p>
        </w:tc>
      </w:tr>
    </w:tbl>
    <w:p w14:paraId="27BECD27" w14:textId="54CED08D" w:rsidR="006E2434" w:rsidRPr="00430510" w:rsidRDefault="00430510" w:rsidP="00243E81">
      <w:pPr>
        <w:jc w:val="both"/>
        <w:rPr>
          <w:rFonts w:ascii="Times New Roman" w:hAnsi="Times New Roman" w:cs="Times New Roman"/>
          <w:i/>
          <w:iCs/>
          <w:sz w:val="18"/>
          <w:szCs w:val="18"/>
        </w:rPr>
      </w:pPr>
      <w:r w:rsidRPr="00430510">
        <w:rPr>
          <w:rFonts w:ascii="Times New Roman" w:hAnsi="Times New Roman" w:cs="Times New Roman"/>
          <w:i/>
          <w:iCs/>
          <w:sz w:val="18"/>
          <w:szCs w:val="18"/>
        </w:rPr>
        <w:t>Note</w:t>
      </w:r>
      <w:r w:rsidR="005C3D6B" w:rsidRPr="00430510">
        <w:rPr>
          <w:rFonts w:ascii="Times New Roman" w:hAnsi="Times New Roman" w:cs="Times New Roman"/>
          <w:i/>
          <w:iCs/>
          <w:sz w:val="18"/>
          <w:szCs w:val="18"/>
        </w:rPr>
        <w:t>: SS; Sum of Squares, df; Degree of Freedom; ***significant level ά = 0.000, TPS (60)</w:t>
      </w:r>
    </w:p>
    <w:p w14:paraId="3F83CAB2" w14:textId="3F3D1AE8" w:rsidR="004429D0" w:rsidRDefault="00451A98" w:rsidP="004429D0">
      <w:pPr>
        <w:spacing w:after="0"/>
        <w:ind w:firstLine="720"/>
        <w:jc w:val="both"/>
        <w:rPr>
          <w:rFonts w:ascii="Times New Roman" w:hAnsi="Times New Roman" w:cs="Times New Roman"/>
          <w:sz w:val="20"/>
          <w:szCs w:val="20"/>
        </w:rPr>
      </w:pPr>
      <w:r w:rsidRPr="00451A98">
        <w:rPr>
          <w:rFonts w:ascii="Times New Roman" w:hAnsi="Times New Roman" w:cs="Times New Roman"/>
          <w:sz w:val="20"/>
          <w:szCs w:val="20"/>
        </w:rPr>
        <w:t>Table 2 presents the analysis of covariance results based on the assessment scores. The results revealed a highly significant difference between the pretest and posttest, with a p-value of 0.000. The sum of squares for the treatment effect was 11.258 with 1 degree of freedom, while the error sum of squares was 1877.523 with 59 degrees of freedom. These results indicate that the learning approaches had a statistically significant impact on students’ academic performance.</w:t>
      </w:r>
      <w:r>
        <w:rPr>
          <w:rFonts w:ascii="Times New Roman" w:hAnsi="Times New Roman" w:cs="Times New Roman"/>
          <w:sz w:val="20"/>
          <w:szCs w:val="20"/>
        </w:rPr>
        <w:t xml:space="preserve"> </w:t>
      </w:r>
      <w:r w:rsidRPr="00451A98">
        <w:rPr>
          <w:rFonts w:ascii="Times New Roman" w:hAnsi="Times New Roman" w:cs="Times New Roman"/>
          <w:sz w:val="20"/>
          <w:szCs w:val="20"/>
        </w:rPr>
        <w:t>Supporting this, Campbell (2011)</w:t>
      </w:r>
      <w:r w:rsidR="00384B87">
        <w:rPr>
          <w:rFonts w:ascii="Times New Roman" w:hAnsi="Times New Roman" w:cs="Times New Roman"/>
          <w:sz w:val="20"/>
          <w:szCs w:val="20"/>
        </w:rPr>
        <w:t xml:space="preserve"> and </w:t>
      </w:r>
      <w:r w:rsidR="00384B87" w:rsidRPr="00384B87">
        <w:rPr>
          <w:rFonts w:ascii="Times New Roman" w:hAnsi="Times New Roman" w:cs="Times New Roman"/>
          <w:sz w:val="20"/>
          <w:szCs w:val="20"/>
        </w:rPr>
        <w:t>Helzi</w:t>
      </w:r>
      <w:r w:rsidR="00384B87">
        <w:rPr>
          <w:rFonts w:ascii="Times New Roman" w:hAnsi="Times New Roman" w:cs="Times New Roman"/>
          <w:sz w:val="20"/>
          <w:szCs w:val="20"/>
        </w:rPr>
        <w:t xml:space="preserve"> et al. (2024)</w:t>
      </w:r>
      <w:r w:rsidRPr="00451A98">
        <w:rPr>
          <w:rFonts w:ascii="Times New Roman" w:hAnsi="Times New Roman" w:cs="Times New Roman"/>
          <w:sz w:val="20"/>
          <w:szCs w:val="20"/>
        </w:rPr>
        <w:t xml:space="preserve"> emphasizes that teachers can effectively integrate both conventional and modern media to design lessons that address contemporary educational needs such as multiculturalism, diverse perspectives, respect for individual learners, and critical thinking. This approach encourages intellectual curiosity, creativity, social transformation, and peaceful coexistence. Teacher respondents in the study noted firsthand the positive and distinctive impact the center-based learning approach had on students’ engagement and learning outcomes.</w:t>
      </w:r>
      <w:r>
        <w:rPr>
          <w:rFonts w:ascii="Times New Roman" w:hAnsi="Times New Roman" w:cs="Times New Roman"/>
          <w:sz w:val="20"/>
          <w:szCs w:val="20"/>
        </w:rPr>
        <w:t xml:space="preserve"> </w:t>
      </w:r>
      <w:r w:rsidRPr="00451A98">
        <w:rPr>
          <w:rFonts w:ascii="Times New Roman" w:hAnsi="Times New Roman" w:cs="Times New Roman"/>
          <w:sz w:val="20"/>
          <w:szCs w:val="20"/>
        </w:rPr>
        <w:t>Moreover, students were motivated to explore the subject matter more deeply, as lessons at the processing level allowed them to pursue diverse learning pathways tailored to their interests and abilities</w:t>
      </w:r>
      <w:r>
        <w:rPr>
          <w:rFonts w:ascii="Times New Roman" w:hAnsi="Times New Roman" w:cs="Times New Roman"/>
          <w:sz w:val="20"/>
          <w:szCs w:val="20"/>
        </w:rPr>
        <w:t xml:space="preserve"> (Bello et al., 2023)</w:t>
      </w:r>
      <w:r w:rsidRPr="00451A98">
        <w:rPr>
          <w:rFonts w:ascii="Times New Roman" w:hAnsi="Times New Roman" w:cs="Times New Roman"/>
          <w:sz w:val="20"/>
          <w:szCs w:val="20"/>
        </w:rPr>
        <w:t xml:space="preserve">. The </w:t>
      </w:r>
      <w:r>
        <w:rPr>
          <w:rFonts w:ascii="Times New Roman" w:hAnsi="Times New Roman" w:cs="Times New Roman"/>
          <w:sz w:val="20"/>
          <w:szCs w:val="20"/>
        </w:rPr>
        <w:t>students</w:t>
      </w:r>
      <w:r w:rsidRPr="00451A98">
        <w:rPr>
          <w:rFonts w:ascii="Times New Roman" w:hAnsi="Times New Roman" w:cs="Times New Roman"/>
          <w:sz w:val="20"/>
          <w:szCs w:val="20"/>
        </w:rPr>
        <w:t xml:space="preserve"> invested considerable effort to satisfy their curiosity and found the assignments both engaging and personally relevant (</w:t>
      </w:r>
      <w:r w:rsidR="001964A1">
        <w:rPr>
          <w:rFonts w:ascii="Times New Roman" w:hAnsi="Times New Roman" w:cs="Times New Roman"/>
          <w:sz w:val="20"/>
          <w:szCs w:val="20"/>
        </w:rPr>
        <w:t>Apat, 2022</w:t>
      </w:r>
      <w:r w:rsidRPr="00451A98">
        <w:rPr>
          <w:rFonts w:ascii="Times New Roman" w:hAnsi="Times New Roman" w:cs="Times New Roman"/>
          <w:sz w:val="20"/>
          <w:szCs w:val="20"/>
        </w:rPr>
        <w:t>). These findings imply that the center-based learning approach fosters student motivation, individualized learning, and deeper comprehension in science education.</w:t>
      </w:r>
    </w:p>
    <w:p w14:paraId="36C1F11F" w14:textId="77777777" w:rsidR="004429D0" w:rsidRPr="004429D0" w:rsidRDefault="004429D0" w:rsidP="004429D0">
      <w:pPr>
        <w:spacing w:after="0"/>
        <w:ind w:firstLine="720"/>
        <w:jc w:val="both"/>
        <w:rPr>
          <w:rFonts w:ascii="Times New Roman" w:hAnsi="Times New Roman" w:cs="Times New Roman"/>
          <w:sz w:val="10"/>
          <w:szCs w:val="10"/>
        </w:rPr>
      </w:pPr>
    </w:p>
    <w:p w14:paraId="486AD5E4" w14:textId="19FE9797" w:rsidR="006B454A" w:rsidRDefault="00CD1CA7" w:rsidP="004429D0">
      <w:pPr>
        <w:jc w:val="both"/>
        <w:rPr>
          <w:rFonts w:ascii="Times New Roman" w:hAnsi="Times New Roman" w:cs="Times New Roman"/>
          <w:b/>
          <w:bCs/>
          <w:sz w:val="20"/>
          <w:szCs w:val="20"/>
        </w:rPr>
      </w:pPr>
      <w:r w:rsidRPr="004429D0">
        <w:rPr>
          <w:rFonts w:ascii="Times New Roman" w:hAnsi="Times New Roman" w:cs="Times New Roman"/>
          <w:b/>
          <w:bCs/>
          <w:sz w:val="20"/>
          <w:szCs w:val="20"/>
        </w:rPr>
        <w:t xml:space="preserve">Table 3. </w:t>
      </w:r>
      <w:bookmarkStart w:id="0" w:name="_Hlk120741949"/>
      <w:r w:rsidR="004429D0" w:rsidRPr="004429D0">
        <w:rPr>
          <w:rFonts w:ascii="Times New Roman" w:hAnsi="Times New Roman" w:cs="Times New Roman"/>
          <w:b/>
          <w:bCs/>
          <w:sz w:val="20"/>
          <w:szCs w:val="20"/>
        </w:rPr>
        <w:t>Science Teachers’ Perceptions of the Center-Based Learning Approach Using PEF</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60"/>
        <w:gridCol w:w="1701"/>
        <w:gridCol w:w="1311"/>
        <w:gridCol w:w="1993"/>
      </w:tblGrid>
      <w:tr w:rsidR="004429D0" w14:paraId="7D2BD6D6" w14:textId="77777777" w:rsidTr="000772D5">
        <w:tc>
          <w:tcPr>
            <w:tcW w:w="3397" w:type="dxa"/>
            <w:tcBorders>
              <w:top w:val="single" w:sz="4" w:space="0" w:color="auto"/>
              <w:bottom w:val="single" w:sz="4" w:space="0" w:color="auto"/>
            </w:tcBorders>
          </w:tcPr>
          <w:p w14:paraId="72138606" w14:textId="7437CFAE" w:rsidR="004429D0" w:rsidRDefault="004429D0" w:rsidP="004429D0">
            <w:pPr>
              <w:jc w:val="center"/>
              <w:rPr>
                <w:rFonts w:ascii="Times New Roman" w:hAnsi="Times New Roman" w:cs="Times New Roman"/>
                <w:b/>
                <w:bCs/>
                <w:sz w:val="20"/>
                <w:szCs w:val="20"/>
              </w:rPr>
            </w:pPr>
            <w:r>
              <w:rPr>
                <w:rFonts w:ascii="Times New Roman" w:hAnsi="Times New Roman" w:cs="Times New Roman"/>
                <w:b/>
                <w:bCs/>
                <w:sz w:val="20"/>
                <w:szCs w:val="20"/>
              </w:rPr>
              <w:t>Parameters</w:t>
            </w:r>
          </w:p>
        </w:tc>
        <w:tc>
          <w:tcPr>
            <w:tcW w:w="1560" w:type="dxa"/>
            <w:tcBorders>
              <w:top w:val="single" w:sz="4" w:space="0" w:color="auto"/>
              <w:bottom w:val="single" w:sz="4" w:space="0" w:color="auto"/>
            </w:tcBorders>
          </w:tcPr>
          <w:p w14:paraId="7209901C" w14:textId="58A54D56" w:rsidR="004429D0" w:rsidRDefault="004429D0" w:rsidP="004429D0">
            <w:pPr>
              <w:jc w:val="center"/>
              <w:rPr>
                <w:rFonts w:ascii="Times New Roman" w:hAnsi="Times New Roman" w:cs="Times New Roman"/>
                <w:b/>
                <w:bCs/>
                <w:sz w:val="20"/>
                <w:szCs w:val="20"/>
              </w:rPr>
            </w:pPr>
            <w:r>
              <w:rPr>
                <w:rFonts w:ascii="Times New Roman" w:hAnsi="Times New Roman" w:cs="Times New Roman"/>
                <w:b/>
                <w:bCs/>
                <w:sz w:val="20"/>
                <w:szCs w:val="20"/>
              </w:rPr>
              <w:t>Computer Center</w:t>
            </w:r>
          </w:p>
        </w:tc>
        <w:tc>
          <w:tcPr>
            <w:tcW w:w="1701" w:type="dxa"/>
            <w:tcBorders>
              <w:top w:val="single" w:sz="4" w:space="0" w:color="auto"/>
              <w:bottom w:val="single" w:sz="4" w:space="0" w:color="auto"/>
            </w:tcBorders>
          </w:tcPr>
          <w:p w14:paraId="73EA6CCB" w14:textId="0C1F68D9"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Journal Writing Center</w:t>
            </w:r>
          </w:p>
        </w:tc>
        <w:tc>
          <w:tcPr>
            <w:tcW w:w="1311" w:type="dxa"/>
            <w:tcBorders>
              <w:top w:val="single" w:sz="4" w:space="0" w:color="auto"/>
              <w:bottom w:val="single" w:sz="4" w:space="0" w:color="auto"/>
            </w:tcBorders>
          </w:tcPr>
          <w:p w14:paraId="035C93DF" w14:textId="03BB2322"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Reading Center</w:t>
            </w:r>
          </w:p>
        </w:tc>
        <w:tc>
          <w:tcPr>
            <w:tcW w:w="1993" w:type="dxa"/>
            <w:tcBorders>
              <w:top w:val="single" w:sz="4" w:space="0" w:color="auto"/>
              <w:bottom w:val="single" w:sz="4" w:space="0" w:color="auto"/>
            </w:tcBorders>
          </w:tcPr>
          <w:p w14:paraId="11A189B0" w14:textId="61C06D73"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Manipulative Center</w:t>
            </w:r>
          </w:p>
        </w:tc>
      </w:tr>
      <w:tr w:rsidR="004429D0" w14:paraId="59F05EB9" w14:textId="77777777" w:rsidTr="000772D5">
        <w:tc>
          <w:tcPr>
            <w:tcW w:w="3397" w:type="dxa"/>
            <w:tcBorders>
              <w:top w:val="single" w:sz="4" w:space="0" w:color="auto"/>
            </w:tcBorders>
          </w:tcPr>
          <w:p w14:paraId="15DDCEE6" w14:textId="4FDBFA68"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Highly-Intellectual Tasks and Activities</w:t>
            </w:r>
          </w:p>
        </w:tc>
        <w:tc>
          <w:tcPr>
            <w:tcW w:w="1560" w:type="dxa"/>
            <w:tcBorders>
              <w:top w:val="single" w:sz="4" w:space="0" w:color="auto"/>
            </w:tcBorders>
          </w:tcPr>
          <w:p w14:paraId="79570A78" w14:textId="61AE8E0F"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Borders>
              <w:top w:val="single" w:sz="4" w:space="0" w:color="auto"/>
            </w:tcBorders>
          </w:tcPr>
          <w:p w14:paraId="1B399149" w14:textId="33AE5335"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9.0</w:t>
            </w:r>
          </w:p>
        </w:tc>
        <w:tc>
          <w:tcPr>
            <w:tcW w:w="1311" w:type="dxa"/>
            <w:tcBorders>
              <w:top w:val="single" w:sz="4" w:space="0" w:color="auto"/>
            </w:tcBorders>
          </w:tcPr>
          <w:p w14:paraId="0A876262" w14:textId="7CF57381"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993" w:type="dxa"/>
            <w:tcBorders>
              <w:top w:val="single" w:sz="4" w:space="0" w:color="auto"/>
            </w:tcBorders>
          </w:tcPr>
          <w:p w14:paraId="06D5FA4F" w14:textId="41B5E75A"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9.3</w:t>
            </w:r>
          </w:p>
        </w:tc>
      </w:tr>
      <w:tr w:rsidR="004429D0" w14:paraId="5A9F6E2B" w14:textId="77777777" w:rsidTr="000772D5">
        <w:tc>
          <w:tcPr>
            <w:tcW w:w="3397" w:type="dxa"/>
          </w:tcPr>
          <w:p w14:paraId="756EB79F" w14:textId="2D3D5AD6"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Supportive Learning Environment and Learner Diversity</w:t>
            </w:r>
          </w:p>
        </w:tc>
        <w:tc>
          <w:tcPr>
            <w:tcW w:w="1560" w:type="dxa"/>
          </w:tcPr>
          <w:p w14:paraId="3387357D" w14:textId="3A95E4C8"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Pr>
          <w:p w14:paraId="651BD772" w14:textId="6EC43CC6"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311" w:type="dxa"/>
          </w:tcPr>
          <w:p w14:paraId="782524D9" w14:textId="2F5EDC8A"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993" w:type="dxa"/>
          </w:tcPr>
          <w:p w14:paraId="4403A360" w14:textId="3CD5DB7E"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9.3</w:t>
            </w:r>
          </w:p>
        </w:tc>
      </w:tr>
      <w:tr w:rsidR="004429D0" w14:paraId="717D79AF" w14:textId="77777777" w:rsidTr="000772D5">
        <w:tc>
          <w:tcPr>
            <w:tcW w:w="3397" w:type="dxa"/>
            <w:tcBorders>
              <w:bottom w:val="single" w:sz="4" w:space="0" w:color="auto"/>
            </w:tcBorders>
          </w:tcPr>
          <w:p w14:paraId="31524EB9" w14:textId="1D8BD428"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Connection To A Social Educational Context And Learning Experiences</w:t>
            </w:r>
          </w:p>
        </w:tc>
        <w:tc>
          <w:tcPr>
            <w:tcW w:w="1560" w:type="dxa"/>
            <w:tcBorders>
              <w:bottom w:val="single" w:sz="4" w:space="0" w:color="auto"/>
            </w:tcBorders>
          </w:tcPr>
          <w:p w14:paraId="3DA2E6A6" w14:textId="5D283DB0"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Borders>
              <w:bottom w:val="single" w:sz="4" w:space="0" w:color="auto"/>
            </w:tcBorders>
          </w:tcPr>
          <w:p w14:paraId="2D77472C" w14:textId="78699B27"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311" w:type="dxa"/>
            <w:tcBorders>
              <w:bottom w:val="single" w:sz="4" w:space="0" w:color="auto"/>
            </w:tcBorders>
          </w:tcPr>
          <w:p w14:paraId="53F226CB" w14:textId="7F050680"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993" w:type="dxa"/>
            <w:tcBorders>
              <w:bottom w:val="single" w:sz="4" w:space="0" w:color="auto"/>
            </w:tcBorders>
          </w:tcPr>
          <w:p w14:paraId="0BC72259" w14:textId="44E618C2"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r>
      <w:tr w:rsidR="000772D5" w14:paraId="1FB78066" w14:textId="77777777" w:rsidTr="000772D5">
        <w:tc>
          <w:tcPr>
            <w:tcW w:w="3397" w:type="dxa"/>
            <w:tcBorders>
              <w:top w:val="single" w:sz="4" w:space="0" w:color="auto"/>
              <w:bottom w:val="single" w:sz="4" w:space="0" w:color="auto"/>
            </w:tcBorders>
          </w:tcPr>
          <w:p w14:paraId="53AB5C56" w14:textId="46292E2A" w:rsidR="000772D5" w:rsidRPr="000772D5" w:rsidRDefault="000772D5" w:rsidP="000772D5">
            <w:pPr>
              <w:spacing w:line="276" w:lineRule="auto"/>
              <w:rPr>
                <w:rFonts w:ascii="Times New Roman" w:hAnsi="Times New Roman" w:cs="Times New Roman"/>
                <w:b/>
                <w:bCs/>
                <w:sz w:val="20"/>
                <w:szCs w:val="20"/>
              </w:rPr>
            </w:pPr>
            <w:r w:rsidRPr="000772D5">
              <w:rPr>
                <w:rFonts w:ascii="Times New Roman" w:hAnsi="Times New Roman" w:cs="Times New Roman"/>
                <w:b/>
                <w:bCs/>
                <w:sz w:val="20"/>
                <w:szCs w:val="20"/>
              </w:rPr>
              <w:t>Mean Score</w:t>
            </w:r>
          </w:p>
        </w:tc>
        <w:tc>
          <w:tcPr>
            <w:tcW w:w="1560" w:type="dxa"/>
            <w:tcBorders>
              <w:top w:val="single" w:sz="4" w:space="0" w:color="auto"/>
              <w:bottom w:val="single" w:sz="4" w:space="0" w:color="auto"/>
            </w:tcBorders>
          </w:tcPr>
          <w:p w14:paraId="70021F43" w14:textId="201EAAAB"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10.0</w:t>
            </w:r>
          </w:p>
        </w:tc>
        <w:tc>
          <w:tcPr>
            <w:tcW w:w="1701" w:type="dxa"/>
            <w:tcBorders>
              <w:top w:val="single" w:sz="4" w:space="0" w:color="auto"/>
              <w:bottom w:val="single" w:sz="4" w:space="0" w:color="auto"/>
            </w:tcBorders>
          </w:tcPr>
          <w:p w14:paraId="1C764D3F" w14:textId="09BAC8E5"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9.4</w:t>
            </w:r>
          </w:p>
        </w:tc>
        <w:tc>
          <w:tcPr>
            <w:tcW w:w="1311" w:type="dxa"/>
            <w:tcBorders>
              <w:top w:val="single" w:sz="4" w:space="0" w:color="auto"/>
              <w:bottom w:val="single" w:sz="4" w:space="0" w:color="auto"/>
            </w:tcBorders>
          </w:tcPr>
          <w:p w14:paraId="017E1FC4" w14:textId="704E7B30"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9.7</w:t>
            </w:r>
          </w:p>
        </w:tc>
        <w:tc>
          <w:tcPr>
            <w:tcW w:w="1993" w:type="dxa"/>
            <w:tcBorders>
              <w:top w:val="single" w:sz="4" w:space="0" w:color="auto"/>
              <w:bottom w:val="single" w:sz="4" w:space="0" w:color="auto"/>
            </w:tcBorders>
          </w:tcPr>
          <w:p w14:paraId="5E954651" w14:textId="1A35C5AF"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9.5</w:t>
            </w:r>
          </w:p>
        </w:tc>
      </w:tr>
      <w:tr w:rsidR="000772D5" w14:paraId="6DE76165" w14:textId="77777777" w:rsidTr="000772D5">
        <w:tc>
          <w:tcPr>
            <w:tcW w:w="3397" w:type="dxa"/>
            <w:tcBorders>
              <w:top w:val="single" w:sz="4" w:space="0" w:color="auto"/>
              <w:bottom w:val="single" w:sz="4" w:space="0" w:color="auto"/>
            </w:tcBorders>
          </w:tcPr>
          <w:p w14:paraId="6E73722A" w14:textId="5741BA64" w:rsidR="000772D5" w:rsidRPr="000772D5" w:rsidRDefault="000772D5" w:rsidP="000772D5">
            <w:pPr>
              <w:spacing w:line="276" w:lineRule="auto"/>
              <w:rPr>
                <w:rFonts w:ascii="Times New Roman" w:hAnsi="Times New Roman" w:cs="Times New Roman"/>
                <w:b/>
                <w:bCs/>
                <w:sz w:val="20"/>
                <w:szCs w:val="20"/>
              </w:rPr>
            </w:pPr>
            <w:r w:rsidRPr="000772D5">
              <w:rPr>
                <w:rFonts w:ascii="Times New Roman" w:hAnsi="Times New Roman" w:cs="Times New Roman"/>
                <w:b/>
                <w:bCs/>
                <w:sz w:val="20"/>
                <w:szCs w:val="20"/>
              </w:rPr>
              <w:t>Percentage (%)</w:t>
            </w:r>
          </w:p>
        </w:tc>
        <w:tc>
          <w:tcPr>
            <w:tcW w:w="1560" w:type="dxa"/>
            <w:tcBorders>
              <w:top w:val="single" w:sz="4" w:space="0" w:color="auto"/>
              <w:bottom w:val="single" w:sz="4" w:space="0" w:color="auto"/>
            </w:tcBorders>
          </w:tcPr>
          <w:p w14:paraId="5DEF9A7C" w14:textId="457EE705"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100</w:t>
            </w:r>
          </w:p>
        </w:tc>
        <w:tc>
          <w:tcPr>
            <w:tcW w:w="1701" w:type="dxa"/>
            <w:tcBorders>
              <w:top w:val="single" w:sz="4" w:space="0" w:color="auto"/>
              <w:bottom w:val="single" w:sz="4" w:space="0" w:color="auto"/>
            </w:tcBorders>
          </w:tcPr>
          <w:p w14:paraId="4C06702C" w14:textId="07614FB2"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94</w:t>
            </w:r>
          </w:p>
        </w:tc>
        <w:tc>
          <w:tcPr>
            <w:tcW w:w="1311" w:type="dxa"/>
            <w:tcBorders>
              <w:top w:val="single" w:sz="4" w:space="0" w:color="auto"/>
              <w:bottom w:val="single" w:sz="4" w:space="0" w:color="auto"/>
            </w:tcBorders>
          </w:tcPr>
          <w:p w14:paraId="2E0A1BC1" w14:textId="6656E6DB"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97</w:t>
            </w:r>
          </w:p>
        </w:tc>
        <w:tc>
          <w:tcPr>
            <w:tcW w:w="1993" w:type="dxa"/>
            <w:tcBorders>
              <w:top w:val="single" w:sz="4" w:space="0" w:color="auto"/>
              <w:bottom w:val="single" w:sz="4" w:space="0" w:color="auto"/>
            </w:tcBorders>
          </w:tcPr>
          <w:p w14:paraId="54D797CC" w14:textId="63B82F31"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95</w:t>
            </w:r>
          </w:p>
        </w:tc>
      </w:tr>
      <w:bookmarkEnd w:id="0"/>
    </w:tbl>
    <w:p w14:paraId="759F686F" w14:textId="77777777" w:rsidR="0095372B" w:rsidRPr="0095372B" w:rsidRDefault="0095372B" w:rsidP="0095372B">
      <w:pPr>
        <w:ind w:firstLine="720"/>
        <w:jc w:val="both"/>
        <w:rPr>
          <w:rFonts w:ascii="Times New Roman" w:hAnsi="Times New Roman" w:cs="Times New Roman"/>
          <w:sz w:val="6"/>
          <w:szCs w:val="6"/>
        </w:rPr>
      </w:pPr>
    </w:p>
    <w:p w14:paraId="12327A29" w14:textId="13926FF5" w:rsidR="004429D0" w:rsidRDefault="0095372B" w:rsidP="0095372B">
      <w:pPr>
        <w:ind w:firstLine="720"/>
        <w:jc w:val="both"/>
        <w:rPr>
          <w:rFonts w:ascii="Times New Roman" w:hAnsi="Times New Roman" w:cs="Times New Roman"/>
          <w:sz w:val="20"/>
          <w:szCs w:val="20"/>
        </w:rPr>
      </w:pPr>
      <w:r w:rsidRPr="0095372B">
        <w:rPr>
          <w:rFonts w:ascii="Times New Roman" w:hAnsi="Times New Roman" w:cs="Times New Roman"/>
          <w:sz w:val="20"/>
          <w:szCs w:val="20"/>
        </w:rPr>
        <w:t xml:space="preserve">Table 3 presents the perceptions of science teachers on the Center-Based Learning Approach (CBLA) using the Proven Effectiveness Framework (PEF). Results showed high mean scores across key </w:t>
      </w:r>
      <w:r>
        <w:rPr>
          <w:rFonts w:ascii="Times New Roman" w:hAnsi="Times New Roman" w:cs="Times New Roman"/>
          <w:sz w:val="20"/>
          <w:szCs w:val="20"/>
        </w:rPr>
        <w:t>parameter</w:t>
      </w:r>
      <w:r w:rsidRPr="0095372B">
        <w:rPr>
          <w:rFonts w:ascii="Times New Roman" w:hAnsi="Times New Roman" w:cs="Times New Roman"/>
          <w:sz w:val="20"/>
          <w:szCs w:val="20"/>
        </w:rPr>
        <w:t>s: computer center (10</w:t>
      </w:r>
      <w:r>
        <w:rPr>
          <w:rFonts w:ascii="Times New Roman" w:hAnsi="Times New Roman" w:cs="Times New Roman"/>
          <w:sz w:val="20"/>
          <w:szCs w:val="20"/>
        </w:rPr>
        <w:t>.0</w:t>
      </w:r>
      <w:r w:rsidRPr="0095372B">
        <w:rPr>
          <w:rFonts w:ascii="Times New Roman" w:hAnsi="Times New Roman" w:cs="Times New Roman"/>
          <w:sz w:val="20"/>
          <w:szCs w:val="20"/>
        </w:rPr>
        <w:t xml:space="preserve">), reading center (9.7), manipulative center (9.5), and journal writing center (9.4). These findings indicate that teachers viewed each center as effectively aligned with the characteristics of quality pedagogy. CBLA supports diverse learning styles, fosters student engagement, and encourages independent thinking. As noted by </w:t>
      </w:r>
      <w:r w:rsidR="00C53372">
        <w:rPr>
          <w:rFonts w:ascii="Times New Roman" w:hAnsi="Times New Roman" w:cs="Times New Roman"/>
          <w:sz w:val="20"/>
          <w:szCs w:val="20"/>
        </w:rPr>
        <w:t>Fang and Kim</w:t>
      </w:r>
      <w:r w:rsidRPr="0095372B">
        <w:rPr>
          <w:rFonts w:ascii="Times New Roman" w:hAnsi="Times New Roman" w:cs="Times New Roman"/>
          <w:sz w:val="20"/>
          <w:szCs w:val="20"/>
        </w:rPr>
        <w:t xml:space="preserve"> (20</w:t>
      </w:r>
      <w:r w:rsidR="00C53372">
        <w:rPr>
          <w:rFonts w:ascii="Times New Roman" w:hAnsi="Times New Roman" w:cs="Times New Roman"/>
          <w:sz w:val="20"/>
          <w:szCs w:val="20"/>
        </w:rPr>
        <w:t>24</w:t>
      </w:r>
      <w:r w:rsidRPr="0095372B">
        <w:rPr>
          <w:rFonts w:ascii="Times New Roman" w:hAnsi="Times New Roman" w:cs="Times New Roman"/>
          <w:sz w:val="20"/>
          <w:szCs w:val="20"/>
        </w:rPr>
        <w:t xml:space="preserve">), this approach creates a classroom environment that promotes collaboration, conversation, and critical reflection. Saro et al. (2022) further emphasized that </w:t>
      </w:r>
      <w:r w:rsidR="00C53372">
        <w:rPr>
          <w:rFonts w:ascii="Times New Roman" w:hAnsi="Times New Roman" w:cs="Times New Roman"/>
          <w:sz w:val="20"/>
          <w:szCs w:val="20"/>
        </w:rPr>
        <w:t>different learning approaches</w:t>
      </w:r>
      <w:r w:rsidRPr="0095372B">
        <w:rPr>
          <w:rFonts w:ascii="Times New Roman" w:hAnsi="Times New Roman" w:cs="Times New Roman"/>
          <w:sz w:val="20"/>
          <w:szCs w:val="20"/>
        </w:rPr>
        <w:t xml:space="preserve"> helps students develop essential life skills such as time management, teamwork, and adaptability in a supportive learning setting.</w:t>
      </w:r>
    </w:p>
    <w:p w14:paraId="4D83590E" w14:textId="71165028" w:rsidR="00BC296B" w:rsidRDefault="00551DC4" w:rsidP="0022507D">
      <w:pPr>
        <w:ind w:firstLine="720"/>
        <w:jc w:val="both"/>
        <w:rPr>
          <w:rFonts w:ascii="Times New Roman" w:hAnsi="Times New Roman" w:cs="Times New Roman"/>
          <w:sz w:val="20"/>
          <w:szCs w:val="20"/>
        </w:rPr>
      </w:pPr>
      <w:r w:rsidRPr="00551DC4">
        <w:rPr>
          <w:rFonts w:ascii="Times New Roman" w:hAnsi="Times New Roman" w:cs="Times New Roman"/>
          <w:sz w:val="20"/>
          <w:szCs w:val="20"/>
        </w:rPr>
        <w:t xml:space="preserve">Based on the summary in Table 4, the overall mean of the three </w:t>
      </w:r>
      <w:r>
        <w:rPr>
          <w:rFonts w:ascii="Times New Roman" w:hAnsi="Times New Roman" w:cs="Times New Roman"/>
          <w:sz w:val="20"/>
          <w:szCs w:val="20"/>
        </w:rPr>
        <w:t>parameters</w:t>
      </w:r>
      <w:r w:rsidRPr="00551DC4">
        <w:rPr>
          <w:rFonts w:ascii="Times New Roman" w:hAnsi="Times New Roman" w:cs="Times New Roman"/>
          <w:sz w:val="20"/>
          <w:szCs w:val="20"/>
        </w:rPr>
        <w:t xml:space="preserve"> reflecting science teachers’ perceptions was 4.63 with a standard deviation of 0.92, indicating a descriptive equivalent of "strongly agree." This suggests that the respondents found the center-based learning approach (CBLA) highly effective and that the assessment items were relevant and valuable to the study. The CBLA was perceived to be more effective than the conventional method in enhancing student learning outcomes in junior high school science, particularly in Grade 10. </w:t>
      </w:r>
    </w:p>
    <w:p w14:paraId="74BE26B1" w14:textId="450E37E6" w:rsidR="00BC296B" w:rsidRPr="006F2095" w:rsidRDefault="00BC296B" w:rsidP="00BC296B">
      <w:pPr>
        <w:rPr>
          <w:rFonts w:ascii="Times New Roman" w:hAnsi="Times New Roman" w:cs="Times New Roman"/>
          <w:b/>
          <w:bCs/>
          <w:sz w:val="20"/>
          <w:szCs w:val="20"/>
        </w:rPr>
      </w:pPr>
      <w:r w:rsidRPr="006F2095">
        <w:rPr>
          <w:rFonts w:ascii="Times New Roman" w:hAnsi="Times New Roman" w:cs="Times New Roman"/>
          <w:b/>
          <w:bCs/>
          <w:sz w:val="20"/>
          <w:szCs w:val="20"/>
        </w:rPr>
        <w:t>Table 4. Summary of the Key Findings Using the Proven Effectiveness Framework (PEF)</w:t>
      </w:r>
    </w:p>
    <w:tbl>
      <w:tblPr>
        <w:tblStyle w:val="TableGrid"/>
        <w:tblW w:w="10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1039"/>
        <w:gridCol w:w="850"/>
        <w:gridCol w:w="1418"/>
        <w:gridCol w:w="1701"/>
      </w:tblGrid>
      <w:tr w:rsidR="00BC296B" w:rsidRPr="00BC296B" w14:paraId="12D25457" w14:textId="77777777" w:rsidTr="00BC296B">
        <w:tc>
          <w:tcPr>
            <w:tcW w:w="5057" w:type="dxa"/>
            <w:tcBorders>
              <w:top w:val="single" w:sz="4" w:space="0" w:color="auto"/>
              <w:bottom w:val="single" w:sz="4" w:space="0" w:color="auto"/>
            </w:tcBorders>
          </w:tcPr>
          <w:p w14:paraId="3B2FB0D1" w14:textId="404E46AD" w:rsidR="00BC296B" w:rsidRPr="00BC296B" w:rsidRDefault="00BC296B" w:rsidP="00914842">
            <w:pPr>
              <w:jc w:val="center"/>
              <w:rPr>
                <w:rFonts w:ascii="Times New Roman" w:hAnsi="Times New Roman" w:cs="Times New Roman"/>
                <w:b/>
                <w:bCs/>
                <w:sz w:val="20"/>
                <w:szCs w:val="20"/>
              </w:rPr>
            </w:pPr>
            <w:r>
              <w:rPr>
                <w:rFonts w:ascii="Times New Roman" w:hAnsi="Times New Roman" w:cs="Times New Roman"/>
                <w:b/>
                <w:bCs/>
                <w:sz w:val="20"/>
                <w:szCs w:val="20"/>
              </w:rPr>
              <w:t>Parameters</w:t>
            </w:r>
          </w:p>
        </w:tc>
        <w:tc>
          <w:tcPr>
            <w:tcW w:w="1039" w:type="dxa"/>
            <w:tcBorders>
              <w:top w:val="single" w:sz="4" w:space="0" w:color="auto"/>
              <w:bottom w:val="single" w:sz="4" w:space="0" w:color="auto"/>
            </w:tcBorders>
          </w:tcPr>
          <w:p w14:paraId="2F9F2847"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Weighted Mean</w:t>
            </w:r>
          </w:p>
        </w:tc>
        <w:tc>
          <w:tcPr>
            <w:tcW w:w="850" w:type="dxa"/>
            <w:tcBorders>
              <w:top w:val="single" w:sz="4" w:space="0" w:color="auto"/>
              <w:bottom w:val="single" w:sz="4" w:space="0" w:color="auto"/>
            </w:tcBorders>
          </w:tcPr>
          <w:p w14:paraId="07D90A48"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SD</w:t>
            </w:r>
          </w:p>
        </w:tc>
        <w:tc>
          <w:tcPr>
            <w:tcW w:w="1418" w:type="dxa"/>
            <w:tcBorders>
              <w:top w:val="single" w:sz="4" w:space="0" w:color="auto"/>
              <w:bottom w:val="single" w:sz="4" w:space="0" w:color="auto"/>
            </w:tcBorders>
          </w:tcPr>
          <w:p w14:paraId="2C6C2182"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Descriptive Equivalent</w:t>
            </w:r>
          </w:p>
        </w:tc>
        <w:tc>
          <w:tcPr>
            <w:tcW w:w="1701" w:type="dxa"/>
            <w:tcBorders>
              <w:top w:val="single" w:sz="4" w:space="0" w:color="auto"/>
              <w:bottom w:val="single" w:sz="4" w:space="0" w:color="auto"/>
            </w:tcBorders>
          </w:tcPr>
          <w:p w14:paraId="4B4E384A"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Qualitative Interpretation</w:t>
            </w:r>
          </w:p>
        </w:tc>
      </w:tr>
      <w:tr w:rsidR="00BC296B" w:rsidRPr="00BC296B" w14:paraId="52DD773D" w14:textId="77777777" w:rsidTr="00BC296B">
        <w:tc>
          <w:tcPr>
            <w:tcW w:w="5057" w:type="dxa"/>
            <w:tcBorders>
              <w:top w:val="single" w:sz="4" w:space="0" w:color="auto"/>
            </w:tcBorders>
          </w:tcPr>
          <w:p w14:paraId="0049582F"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t>Highly-Intellectual Tasks and Activities</w:t>
            </w:r>
          </w:p>
        </w:tc>
        <w:tc>
          <w:tcPr>
            <w:tcW w:w="1039" w:type="dxa"/>
            <w:tcBorders>
              <w:top w:val="single" w:sz="4" w:space="0" w:color="auto"/>
            </w:tcBorders>
          </w:tcPr>
          <w:p w14:paraId="18C8BEA5"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4.65</w:t>
            </w:r>
          </w:p>
        </w:tc>
        <w:tc>
          <w:tcPr>
            <w:tcW w:w="850" w:type="dxa"/>
            <w:tcBorders>
              <w:top w:val="single" w:sz="4" w:space="0" w:color="auto"/>
            </w:tcBorders>
          </w:tcPr>
          <w:p w14:paraId="684682ED"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0.96</w:t>
            </w:r>
          </w:p>
        </w:tc>
        <w:tc>
          <w:tcPr>
            <w:tcW w:w="1418" w:type="dxa"/>
            <w:tcBorders>
              <w:top w:val="single" w:sz="4" w:space="0" w:color="auto"/>
            </w:tcBorders>
          </w:tcPr>
          <w:p w14:paraId="7419B523"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Borders>
              <w:top w:val="single" w:sz="4" w:space="0" w:color="auto"/>
            </w:tcBorders>
          </w:tcPr>
          <w:p w14:paraId="1946F97A" w14:textId="74500406"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7C9EE734" w14:textId="77777777" w:rsidTr="00BC296B">
        <w:tc>
          <w:tcPr>
            <w:tcW w:w="5057" w:type="dxa"/>
          </w:tcPr>
          <w:p w14:paraId="11D44BA5"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t>Supportive Learning Environment and Learner Diversity</w:t>
            </w:r>
          </w:p>
        </w:tc>
        <w:tc>
          <w:tcPr>
            <w:tcW w:w="1039" w:type="dxa"/>
          </w:tcPr>
          <w:p w14:paraId="1866C106"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4.42</w:t>
            </w:r>
          </w:p>
          <w:p w14:paraId="3907D2FB" w14:textId="77777777" w:rsidR="00BC296B" w:rsidRPr="00BC296B" w:rsidRDefault="00BC296B" w:rsidP="00914842">
            <w:pPr>
              <w:rPr>
                <w:rFonts w:ascii="Times New Roman" w:hAnsi="Times New Roman" w:cs="Times New Roman"/>
                <w:sz w:val="20"/>
                <w:szCs w:val="20"/>
              </w:rPr>
            </w:pPr>
          </w:p>
        </w:tc>
        <w:tc>
          <w:tcPr>
            <w:tcW w:w="850" w:type="dxa"/>
          </w:tcPr>
          <w:p w14:paraId="7C35ABD1"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0.92</w:t>
            </w:r>
          </w:p>
        </w:tc>
        <w:tc>
          <w:tcPr>
            <w:tcW w:w="1418" w:type="dxa"/>
          </w:tcPr>
          <w:p w14:paraId="320D5974"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Pr>
          <w:p w14:paraId="452D799A" w14:textId="2E89E175"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4DD08FD8" w14:textId="77777777" w:rsidTr="00BC296B">
        <w:tc>
          <w:tcPr>
            <w:tcW w:w="5057" w:type="dxa"/>
            <w:tcBorders>
              <w:bottom w:val="single" w:sz="4" w:space="0" w:color="auto"/>
            </w:tcBorders>
          </w:tcPr>
          <w:p w14:paraId="07346951"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t>Connection To A Social Educational Context And Learning Experiences</w:t>
            </w:r>
          </w:p>
        </w:tc>
        <w:tc>
          <w:tcPr>
            <w:tcW w:w="1039" w:type="dxa"/>
            <w:tcBorders>
              <w:bottom w:val="single" w:sz="4" w:space="0" w:color="auto"/>
            </w:tcBorders>
          </w:tcPr>
          <w:p w14:paraId="00B90D70"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4.81</w:t>
            </w:r>
          </w:p>
        </w:tc>
        <w:tc>
          <w:tcPr>
            <w:tcW w:w="850" w:type="dxa"/>
            <w:tcBorders>
              <w:bottom w:val="single" w:sz="4" w:space="0" w:color="auto"/>
            </w:tcBorders>
          </w:tcPr>
          <w:p w14:paraId="56454054"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0.87</w:t>
            </w:r>
          </w:p>
        </w:tc>
        <w:tc>
          <w:tcPr>
            <w:tcW w:w="1418" w:type="dxa"/>
            <w:tcBorders>
              <w:bottom w:val="single" w:sz="4" w:space="0" w:color="auto"/>
            </w:tcBorders>
          </w:tcPr>
          <w:p w14:paraId="39C1AAA9"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Borders>
              <w:bottom w:val="single" w:sz="4" w:space="0" w:color="auto"/>
            </w:tcBorders>
          </w:tcPr>
          <w:p w14:paraId="55BCFA06" w14:textId="39E1A7AA"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120878D0" w14:textId="77777777" w:rsidTr="00BC296B">
        <w:trPr>
          <w:trHeight w:val="134"/>
        </w:trPr>
        <w:tc>
          <w:tcPr>
            <w:tcW w:w="5057" w:type="dxa"/>
            <w:tcBorders>
              <w:top w:val="single" w:sz="4" w:space="0" w:color="auto"/>
              <w:bottom w:val="single" w:sz="4" w:space="0" w:color="auto"/>
            </w:tcBorders>
          </w:tcPr>
          <w:p w14:paraId="7725E4F8" w14:textId="77777777" w:rsidR="00BC296B" w:rsidRPr="00BC296B" w:rsidRDefault="00BC296B" w:rsidP="00914842">
            <w:pPr>
              <w:jc w:val="center"/>
              <w:rPr>
                <w:rFonts w:ascii="Times New Roman" w:hAnsi="Times New Roman" w:cs="Times New Roman"/>
                <w:b/>
                <w:bCs/>
                <w:sz w:val="10"/>
                <w:szCs w:val="10"/>
              </w:rPr>
            </w:pPr>
          </w:p>
          <w:p w14:paraId="03CDE7D2"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OVERALL</w:t>
            </w:r>
          </w:p>
        </w:tc>
        <w:tc>
          <w:tcPr>
            <w:tcW w:w="1039" w:type="dxa"/>
            <w:tcBorders>
              <w:top w:val="single" w:sz="4" w:space="0" w:color="auto"/>
              <w:bottom w:val="single" w:sz="4" w:space="0" w:color="auto"/>
            </w:tcBorders>
          </w:tcPr>
          <w:p w14:paraId="0D432228" w14:textId="77777777" w:rsidR="00BC296B" w:rsidRPr="00BC296B" w:rsidRDefault="00BC296B" w:rsidP="00914842">
            <w:pPr>
              <w:jc w:val="center"/>
              <w:rPr>
                <w:rFonts w:ascii="Times New Roman" w:hAnsi="Times New Roman" w:cs="Times New Roman"/>
                <w:b/>
                <w:bCs/>
                <w:sz w:val="8"/>
                <w:szCs w:val="8"/>
              </w:rPr>
            </w:pPr>
          </w:p>
          <w:p w14:paraId="63821B37"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4.63</w:t>
            </w:r>
          </w:p>
        </w:tc>
        <w:tc>
          <w:tcPr>
            <w:tcW w:w="850" w:type="dxa"/>
            <w:tcBorders>
              <w:top w:val="single" w:sz="4" w:space="0" w:color="auto"/>
              <w:bottom w:val="single" w:sz="4" w:space="0" w:color="auto"/>
            </w:tcBorders>
          </w:tcPr>
          <w:p w14:paraId="115B0026" w14:textId="77777777" w:rsidR="00BC296B" w:rsidRPr="00BC296B" w:rsidRDefault="00BC296B" w:rsidP="00914842">
            <w:pPr>
              <w:jc w:val="center"/>
              <w:rPr>
                <w:rFonts w:ascii="Times New Roman" w:hAnsi="Times New Roman" w:cs="Times New Roman"/>
                <w:b/>
                <w:bCs/>
                <w:sz w:val="8"/>
                <w:szCs w:val="8"/>
              </w:rPr>
            </w:pPr>
          </w:p>
          <w:p w14:paraId="6B216C3F"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0.92</w:t>
            </w:r>
          </w:p>
        </w:tc>
        <w:tc>
          <w:tcPr>
            <w:tcW w:w="1418" w:type="dxa"/>
            <w:tcBorders>
              <w:top w:val="single" w:sz="4" w:space="0" w:color="auto"/>
              <w:bottom w:val="single" w:sz="4" w:space="0" w:color="auto"/>
            </w:tcBorders>
          </w:tcPr>
          <w:p w14:paraId="7C42A0CC"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Strongly Agree</w:t>
            </w:r>
          </w:p>
        </w:tc>
        <w:tc>
          <w:tcPr>
            <w:tcW w:w="1701" w:type="dxa"/>
            <w:tcBorders>
              <w:top w:val="single" w:sz="4" w:space="0" w:color="auto"/>
              <w:bottom w:val="single" w:sz="4" w:space="0" w:color="auto"/>
            </w:tcBorders>
          </w:tcPr>
          <w:p w14:paraId="231FB250" w14:textId="615E2A15" w:rsidR="00BC296B" w:rsidRPr="00BC296B" w:rsidRDefault="00BC296B" w:rsidP="00914842">
            <w:pPr>
              <w:jc w:val="center"/>
              <w:rPr>
                <w:rFonts w:ascii="Times New Roman" w:hAnsi="Times New Roman" w:cs="Times New Roman"/>
                <w:b/>
                <w:bCs/>
                <w:sz w:val="20"/>
                <w:szCs w:val="20"/>
              </w:rPr>
            </w:pPr>
            <w:r>
              <w:rPr>
                <w:rFonts w:ascii="Times New Roman" w:hAnsi="Times New Roman" w:cs="Times New Roman"/>
                <w:b/>
                <w:bCs/>
                <w:sz w:val="20"/>
                <w:szCs w:val="20"/>
              </w:rPr>
              <w:t>Very High</w:t>
            </w:r>
          </w:p>
        </w:tc>
      </w:tr>
    </w:tbl>
    <w:p w14:paraId="1A489B77" w14:textId="77777777" w:rsidR="00D20853" w:rsidRPr="00D20853" w:rsidRDefault="00D20853" w:rsidP="00C53372">
      <w:pPr>
        <w:ind w:firstLine="720"/>
        <w:jc w:val="both"/>
        <w:rPr>
          <w:rFonts w:ascii="Times New Roman" w:hAnsi="Times New Roman" w:cs="Times New Roman"/>
          <w:sz w:val="2"/>
          <w:szCs w:val="2"/>
        </w:rPr>
      </w:pPr>
    </w:p>
    <w:p w14:paraId="3352D6E9" w14:textId="122E6E42" w:rsidR="00C53372" w:rsidRPr="00C53372" w:rsidRDefault="00C53372" w:rsidP="00C53372">
      <w:pPr>
        <w:ind w:firstLine="720"/>
        <w:jc w:val="both"/>
        <w:rPr>
          <w:rFonts w:ascii="Times New Roman" w:hAnsi="Times New Roman" w:cs="Times New Roman"/>
          <w:sz w:val="20"/>
          <w:szCs w:val="20"/>
        </w:rPr>
      </w:pPr>
      <w:r w:rsidRPr="00551DC4">
        <w:rPr>
          <w:rFonts w:ascii="Times New Roman" w:hAnsi="Times New Roman" w:cs="Times New Roman"/>
          <w:sz w:val="20"/>
          <w:szCs w:val="20"/>
        </w:rPr>
        <w:t>Teachers agreed that CBLA supports effective teaching practices and promotes improved academic performance, confirming its value as an instructional strategy for science education.</w:t>
      </w:r>
      <w:r>
        <w:rPr>
          <w:rFonts w:ascii="Times New Roman" w:hAnsi="Times New Roman" w:cs="Times New Roman"/>
          <w:sz w:val="20"/>
          <w:szCs w:val="20"/>
        </w:rPr>
        <w:t xml:space="preserve"> </w:t>
      </w:r>
      <w:r w:rsidRPr="00551DC4">
        <w:rPr>
          <w:rFonts w:ascii="Times New Roman" w:hAnsi="Times New Roman" w:cs="Times New Roman"/>
          <w:sz w:val="20"/>
          <w:szCs w:val="20"/>
        </w:rPr>
        <w:t>Science teachers perceived the Center-Based Learning Approach (CBLA) as a highly effective method for enhancing student engagement and academic performance in science, demonstrating its potential to surpass traditional approaches in fostering meaningful learning experiences (Saro et al., 2022</w:t>
      </w:r>
      <w:r>
        <w:rPr>
          <w:rFonts w:ascii="Times New Roman" w:hAnsi="Times New Roman" w:cs="Times New Roman"/>
          <w:sz w:val="20"/>
          <w:szCs w:val="20"/>
        </w:rPr>
        <w:t xml:space="preserve">; Bello et al., 2023; </w:t>
      </w:r>
      <w:r w:rsidRPr="00384B87">
        <w:rPr>
          <w:rFonts w:ascii="Times New Roman" w:hAnsi="Times New Roman" w:cs="Times New Roman"/>
          <w:sz w:val="20"/>
          <w:szCs w:val="20"/>
        </w:rPr>
        <w:t>Helzi</w:t>
      </w:r>
      <w:r>
        <w:rPr>
          <w:rFonts w:ascii="Times New Roman" w:hAnsi="Times New Roman" w:cs="Times New Roman"/>
          <w:sz w:val="20"/>
          <w:szCs w:val="20"/>
        </w:rPr>
        <w:t xml:space="preserve"> et al., 2024</w:t>
      </w:r>
      <w:r w:rsidRPr="00551DC4">
        <w:rPr>
          <w:rFonts w:ascii="Times New Roman" w:hAnsi="Times New Roman" w:cs="Times New Roman"/>
          <w:sz w:val="20"/>
          <w:szCs w:val="20"/>
        </w:rPr>
        <w:t>).</w:t>
      </w:r>
    </w:p>
    <w:p w14:paraId="2B846F56" w14:textId="000DFA95" w:rsidR="0022507D" w:rsidRDefault="00F44A10" w:rsidP="0022507D">
      <w:pPr>
        <w:spacing w:after="0"/>
        <w:jc w:val="both"/>
        <w:rPr>
          <w:rFonts w:ascii="Times New Roman" w:hAnsi="Times New Roman" w:cs="Times New Roman"/>
          <w:b/>
          <w:bCs/>
          <w:sz w:val="20"/>
          <w:szCs w:val="20"/>
        </w:rPr>
      </w:pPr>
      <w:r w:rsidRPr="0022507D">
        <w:rPr>
          <w:rFonts w:ascii="Times New Roman" w:hAnsi="Times New Roman" w:cs="Times New Roman"/>
          <w:b/>
          <w:bCs/>
          <w:sz w:val="20"/>
          <w:szCs w:val="20"/>
        </w:rPr>
        <w:t>Conclusion</w:t>
      </w:r>
    </w:p>
    <w:p w14:paraId="17A39ABF" w14:textId="77777777" w:rsidR="0022507D" w:rsidRPr="0022507D" w:rsidRDefault="0022507D" w:rsidP="0022507D">
      <w:pPr>
        <w:spacing w:after="0"/>
        <w:jc w:val="both"/>
        <w:rPr>
          <w:rFonts w:ascii="Times New Roman" w:hAnsi="Times New Roman" w:cs="Times New Roman"/>
          <w:b/>
          <w:bCs/>
          <w:sz w:val="10"/>
          <w:szCs w:val="10"/>
        </w:rPr>
      </w:pPr>
    </w:p>
    <w:p w14:paraId="0664202C" w14:textId="3765BD1A" w:rsidR="00C32A95" w:rsidRDefault="001C5BA5" w:rsidP="00C32A95">
      <w:pPr>
        <w:spacing w:after="0"/>
        <w:ind w:firstLine="720"/>
        <w:jc w:val="both"/>
        <w:rPr>
          <w:rFonts w:ascii="Times New Roman" w:hAnsi="Times New Roman" w:cs="Times New Roman"/>
          <w:sz w:val="20"/>
          <w:szCs w:val="20"/>
        </w:rPr>
      </w:pPr>
      <w:r>
        <w:rPr>
          <w:rFonts w:ascii="Times New Roman" w:hAnsi="Times New Roman" w:cs="Times New Roman"/>
          <w:sz w:val="20"/>
          <w:szCs w:val="20"/>
        </w:rPr>
        <w:t>The</w:t>
      </w:r>
      <w:r w:rsidR="00F10F0B" w:rsidRPr="00F10F0B">
        <w:rPr>
          <w:rFonts w:ascii="Times New Roman" w:hAnsi="Times New Roman" w:cs="Times New Roman"/>
          <w:sz w:val="20"/>
          <w:szCs w:val="20"/>
        </w:rPr>
        <w:t xml:space="preserve"> findings of this study affirm that the Center-Based Learning Approach (CBLA) is a highly effective instructional method for enhancing student learning in science education. It provides varied opportunities for students to engage with content through multiple learning centers </w:t>
      </w:r>
      <w:r w:rsidR="00F10F0B">
        <w:rPr>
          <w:rFonts w:ascii="Times New Roman" w:hAnsi="Times New Roman" w:cs="Times New Roman"/>
          <w:sz w:val="20"/>
          <w:szCs w:val="20"/>
        </w:rPr>
        <w:t>designed</w:t>
      </w:r>
      <w:r w:rsidR="00F10F0B" w:rsidRPr="00F10F0B">
        <w:rPr>
          <w:rFonts w:ascii="Times New Roman" w:hAnsi="Times New Roman" w:cs="Times New Roman"/>
          <w:sz w:val="20"/>
          <w:szCs w:val="20"/>
        </w:rPr>
        <w:t xml:space="preserve"> to their interests and abilities, which encourages deeper understanding and sustained curiosity. Science teachers strongly perceived CBLA as a superior alternative to conventional methods, noting its ability to foster active participation, independent thinking, and improved academic performance. </w:t>
      </w:r>
      <w:r w:rsidR="00F10F0B">
        <w:rPr>
          <w:rFonts w:ascii="Times New Roman" w:hAnsi="Times New Roman" w:cs="Times New Roman"/>
          <w:sz w:val="20"/>
          <w:szCs w:val="20"/>
        </w:rPr>
        <w:t>Thus</w:t>
      </w:r>
      <w:r w:rsidR="00F10F0B" w:rsidRPr="00F10F0B">
        <w:rPr>
          <w:rFonts w:ascii="Times New Roman" w:hAnsi="Times New Roman" w:cs="Times New Roman"/>
          <w:sz w:val="20"/>
          <w:szCs w:val="20"/>
        </w:rPr>
        <w:t xml:space="preserve">, the study </w:t>
      </w:r>
      <w:r w:rsidR="00F10F0B">
        <w:rPr>
          <w:rFonts w:ascii="Times New Roman" w:hAnsi="Times New Roman" w:cs="Times New Roman"/>
          <w:sz w:val="20"/>
          <w:szCs w:val="20"/>
        </w:rPr>
        <w:t>emphasizes</w:t>
      </w:r>
      <w:r w:rsidR="00F10F0B" w:rsidRPr="00F10F0B">
        <w:rPr>
          <w:rFonts w:ascii="Times New Roman" w:hAnsi="Times New Roman" w:cs="Times New Roman"/>
          <w:sz w:val="20"/>
          <w:szCs w:val="20"/>
        </w:rPr>
        <w:t xml:space="preserve"> the importance of adopting innovative and learner-centered teaching strategies to meet the evolving demands of science education and to support both teaching and learning as interdependent, dynamic processes.</w:t>
      </w:r>
    </w:p>
    <w:p w14:paraId="1F7CD429" w14:textId="77777777" w:rsidR="00C32A95" w:rsidRPr="00C32A95" w:rsidRDefault="00C32A95" w:rsidP="00C32A95">
      <w:pPr>
        <w:spacing w:after="0"/>
        <w:jc w:val="both"/>
        <w:rPr>
          <w:rFonts w:ascii="Times New Roman" w:hAnsi="Times New Roman" w:cs="Times New Roman"/>
          <w:sz w:val="10"/>
          <w:szCs w:val="10"/>
        </w:rPr>
      </w:pPr>
    </w:p>
    <w:p w14:paraId="479EA503" w14:textId="4A32F20E" w:rsidR="00D66118" w:rsidRPr="00C32A95" w:rsidRDefault="00D66118" w:rsidP="00C32A95">
      <w:pPr>
        <w:spacing w:after="0"/>
        <w:jc w:val="both"/>
        <w:rPr>
          <w:rFonts w:ascii="Times New Roman" w:hAnsi="Times New Roman" w:cs="Times New Roman"/>
          <w:sz w:val="20"/>
          <w:szCs w:val="20"/>
        </w:rPr>
      </w:pPr>
      <w:r w:rsidRPr="00D66118">
        <w:rPr>
          <w:rFonts w:ascii="Times New Roman" w:hAnsi="Times New Roman" w:cs="Times New Roman"/>
          <w:b/>
          <w:bCs/>
          <w:sz w:val="20"/>
          <w:szCs w:val="20"/>
        </w:rPr>
        <w:t>Recommendations</w:t>
      </w:r>
    </w:p>
    <w:p w14:paraId="4D9D96BF" w14:textId="77777777" w:rsidR="00C32A95" w:rsidRPr="00C32A95" w:rsidRDefault="00C32A95" w:rsidP="00C32A95">
      <w:pPr>
        <w:spacing w:after="0"/>
        <w:ind w:firstLine="720"/>
        <w:jc w:val="both"/>
        <w:rPr>
          <w:rFonts w:ascii="Times New Roman" w:hAnsi="Times New Roman" w:cs="Times New Roman"/>
          <w:sz w:val="10"/>
          <w:szCs w:val="10"/>
        </w:rPr>
      </w:pPr>
    </w:p>
    <w:p w14:paraId="5995250A" w14:textId="77777777" w:rsidR="001C5BA5" w:rsidRDefault="00C32A95" w:rsidP="001C5BA5">
      <w:pPr>
        <w:spacing w:after="0"/>
        <w:ind w:firstLine="720"/>
        <w:jc w:val="both"/>
        <w:rPr>
          <w:rFonts w:ascii="Times New Roman" w:hAnsi="Times New Roman" w:cs="Times New Roman"/>
          <w:sz w:val="20"/>
          <w:szCs w:val="20"/>
        </w:rPr>
      </w:pPr>
      <w:r w:rsidRPr="00C32A95">
        <w:rPr>
          <w:rFonts w:ascii="Times New Roman" w:hAnsi="Times New Roman" w:cs="Times New Roman"/>
          <w:sz w:val="20"/>
          <w:szCs w:val="20"/>
        </w:rPr>
        <w:t>Based on the findings and conclusion of the study, the following recommendations are proposed to enhance teaching effectiveness and improve student academic performance through the integration of the Center-Based Learning Approach (CBLA) in science education.</w:t>
      </w:r>
    </w:p>
    <w:p w14:paraId="1E8BCEE8" w14:textId="77777777" w:rsidR="001C5BA5" w:rsidRPr="001C5BA5" w:rsidRDefault="001C5BA5" w:rsidP="001C5BA5">
      <w:pPr>
        <w:spacing w:after="0"/>
        <w:ind w:firstLine="720"/>
        <w:jc w:val="both"/>
        <w:rPr>
          <w:rFonts w:ascii="Times New Roman" w:hAnsi="Times New Roman" w:cs="Times New Roman"/>
          <w:sz w:val="10"/>
          <w:szCs w:val="10"/>
        </w:rPr>
      </w:pPr>
    </w:p>
    <w:p w14:paraId="66742AAF" w14:textId="77777777" w:rsidR="001C5BA5" w:rsidRDefault="001C5BA5" w:rsidP="001C5BA5">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1. </w:t>
      </w:r>
      <w:r w:rsidRPr="001C5BA5">
        <w:rPr>
          <w:rFonts w:ascii="Times New Roman" w:hAnsi="Times New Roman" w:cs="Times New Roman"/>
          <w:sz w:val="20"/>
          <w:szCs w:val="20"/>
        </w:rPr>
        <w:t>Teachers should undergo training focused on the productive pedagogy reflection criteria developed by the researcher to guide their instructional planning and enhance their ability to select effective, student-centered teaching strategies. In addition, they should consistently utilize Concept-Based Learning Approach (CBLA) in their classroom practices to foster deeper understanding, promote independent learning, and support diverse learning styles among students.</w:t>
      </w:r>
    </w:p>
    <w:p w14:paraId="045F409E" w14:textId="77777777" w:rsidR="001C5BA5" w:rsidRPr="001C5BA5" w:rsidRDefault="001C5BA5" w:rsidP="001C5BA5">
      <w:pPr>
        <w:spacing w:after="0"/>
        <w:ind w:firstLine="720"/>
        <w:jc w:val="both"/>
        <w:rPr>
          <w:rFonts w:ascii="Times New Roman" w:hAnsi="Times New Roman" w:cs="Times New Roman"/>
          <w:sz w:val="10"/>
          <w:szCs w:val="10"/>
        </w:rPr>
      </w:pPr>
    </w:p>
    <w:p w14:paraId="4A738BDF" w14:textId="1D728C18" w:rsidR="00C32A95" w:rsidRPr="001C5BA5" w:rsidRDefault="001C5BA5" w:rsidP="001C5BA5">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2. </w:t>
      </w:r>
      <w:r w:rsidR="00C32A95" w:rsidRPr="001C5BA5">
        <w:rPr>
          <w:rFonts w:ascii="Times New Roman" w:hAnsi="Times New Roman" w:cs="Times New Roman"/>
          <w:sz w:val="20"/>
          <w:szCs w:val="20"/>
        </w:rPr>
        <w:t xml:space="preserve">Future researchers may apply the Center-Based Learning Approach in other subjects and grade levels to see if it is also effective. They can also conduct longer studies to check the impact over time. </w:t>
      </w:r>
      <w:r>
        <w:rPr>
          <w:rFonts w:ascii="Times New Roman" w:hAnsi="Times New Roman" w:cs="Times New Roman"/>
          <w:sz w:val="20"/>
          <w:szCs w:val="20"/>
        </w:rPr>
        <w:t>They</w:t>
      </w:r>
      <w:r w:rsidR="00C32A95" w:rsidRPr="001C5BA5">
        <w:rPr>
          <w:rFonts w:ascii="Times New Roman" w:hAnsi="Times New Roman" w:cs="Times New Roman"/>
          <w:sz w:val="20"/>
          <w:szCs w:val="20"/>
        </w:rPr>
        <w:t xml:space="preserve"> may gather more feedback from students and teachers to understand their experiences with the approach.</w:t>
      </w:r>
    </w:p>
    <w:p w14:paraId="64429F60" w14:textId="77777777" w:rsidR="00C32A95" w:rsidRPr="006333A6" w:rsidRDefault="00C32A95" w:rsidP="006333A6">
      <w:pPr>
        <w:spacing w:after="0"/>
        <w:jc w:val="both"/>
        <w:rPr>
          <w:rFonts w:ascii="Times New Roman" w:hAnsi="Times New Roman" w:cs="Times New Roman"/>
          <w:sz w:val="14"/>
          <w:szCs w:val="14"/>
        </w:rPr>
      </w:pPr>
    </w:p>
    <w:p w14:paraId="7A393021" w14:textId="77777777" w:rsidR="00A50BBB" w:rsidRDefault="00A50BBB" w:rsidP="006333A6">
      <w:pPr>
        <w:spacing w:after="0"/>
        <w:jc w:val="both"/>
        <w:rPr>
          <w:rFonts w:ascii="Times New Roman" w:hAnsi="Times New Roman" w:cs="Times New Roman"/>
          <w:b/>
          <w:bCs/>
          <w:sz w:val="20"/>
          <w:szCs w:val="20"/>
        </w:rPr>
      </w:pPr>
    </w:p>
    <w:p w14:paraId="168EA992" w14:textId="0F1324BE" w:rsidR="00A50BBB" w:rsidRDefault="00A50BBB" w:rsidP="006333A6">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Ethical approval and consent: </w:t>
      </w:r>
    </w:p>
    <w:p w14:paraId="6C755301" w14:textId="66FFC021" w:rsidR="00A50BBB" w:rsidRDefault="00A50BBB" w:rsidP="006333A6">
      <w:pPr>
        <w:spacing w:after="0"/>
        <w:jc w:val="both"/>
        <w:rPr>
          <w:rFonts w:ascii="Times New Roman" w:hAnsi="Times New Roman" w:cs="Times New Roman"/>
          <w:b/>
          <w:bCs/>
          <w:sz w:val="20"/>
          <w:szCs w:val="20"/>
        </w:rPr>
      </w:pPr>
    </w:p>
    <w:p w14:paraId="7C7A8D19" w14:textId="64898907" w:rsidR="00A50BBB" w:rsidRPr="00A50BBB" w:rsidRDefault="00A50BBB" w:rsidP="006333A6">
      <w:pPr>
        <w:spacing w:after="0"/>
        <w:jc w:val="both"/>
        <w:rPr>
          <w:rFonts w:ascii="Times New Roman" w:hAnsi="Times New Roman" w:cs="Times New Roman"/>
          <w:bCs/>
          <w:sz w:val="20"/>
          <w:szCs w:val="20"/>
        </w:rPr>
      </w:pPr>
      <w:r w:rsidRPr="00A50BBB">
        <w:rPr>
          <w:rFonts w:ascii="Times New Roman" w:hAnsi="Times New Roman" w:cs="Times New Roman"/>
          <w:bCs/>
          <w:sz w:val="20"/>
          <w:szCs w:val="20"/>
        </w:rPr>
        <w:t>Prior to testing, permission was secured from the school principal, and the study procedures were explained thoroughly to all participants to obtain informed consent</w:t>
      </w:r>
    </w:p>
    <w:p w14:paraId="3CC59CB5" w14:textId="77777777" w:rsidR="00A50BBB" w:rsidRDefault="00A50BBB" w:rsidP="006333A6">
      <w:pPr>
        <w:spacing w:after="0"/>
        <w:jc w:val="both"/>
        <w:rPr>
          <w:rFonts w:ascii="Times New Roman" w:hAnsi="Times New Roman" w:cs="Times New Roman"/>
          <w:b/>
          <w:bCs/>
          <w:sz w:val="20"/>
          <w:szCs w:val="20"/>
        </w:rPr>
      </w:pPr>
    </w:p>
    <w:p w14:paraId="64352972" w14:textId="77777777" w:rsidR="00A50BBB" w:rsidRDefault="00A50BBB" w:rsidP="006333A6">
      <w:pPr>
        <w:spacing w:after="0"/>
        <w:jc w:val="both"/>
        <w:rPr>
          <w:rFonts w:ascii="Times New Roman" w:hAnsi="Times New Roman" w:cs="Times New Roman"/>
          <w:b/>
          <w:bCs/>
          <w:sz w:val="20"/>
          <w:szCs w:val="20"/>
        </w:rPr>
      </w:pPr>
    </w:p>
    <w:p w14:paraId="7717CDF7" w14:textId="04199350" w:rsidR="006333A6" w:rsidRDefault="006333A6" w:rsidP="006333A6">
      <w:pPr>
        <w:spacing w:after="0"/>
        <w:jc w:val="both"/>
        <w:rPr>
          <w:rFonts w:ascii="Times New Roman" w:hAnsi="Times New Roman" w:cs="Times New Roman"/>
          <w:b/>
          <w:bCs/>
          <w:sz w:val="20"/>
          <w:szCs w:val="20"/>
        </w:rPr>
      </w:pPr>
      <w:r w:rsidRPr="006333A6">
        <w:rPr>
          <w:rFonts w:ascii="Times New Roman" w:hAnsi="Times New Roman" w:cs="Times New Roman"/>
          <w:b/>
          <w:bCs/>
          <w:sz w:val="20"/>
          <w:szCs w:val="20"/>
        </w:rPr>
        <w:t xml:space="preserve">Acknowledgment </w:t>
      </w:r>
    </w:p>
    <w:p w14:paraId="6DB48724" w14:textId="77777777" w:rsidR="006333A6" w:rsidRPr="006333A6" w:rsidRDefault="006333A6" w:rsidP="006333A6">
      <w:pPr>
        <w:spacing w:after="0"/>
        <w:ind w:firstLine="720"/>
        <w:jc w:val="both"/>
        <w:rPr>
          <w:rFonts w:ascii="Times New Roman" w:hAnsi="Times New Roman" w:cs="Times New Roman"/>
          <w:b/>
          <w:bCs/>
          <w:sz w:val="10"/>
          <w:szCs w:val="10"/>
        </w:rPr>
      </w:pPr>
    </w:p>
    <w:p w14:paraId="3EB561B6" w14:textId="43034FE1" w:rsidR="0048458E" w:rsidRDefault="004349F5" w:rsidP="004349F5">
      <w:pPr>
        <w:spacing w:after="0"/>
        <w:ind w:firstLine="720"/>
        <w:jc w:val="both"/>
        <w:rPr>
          <w:rFonts w:ascii="Times New Roman" w:hAnsi="Times New Roman" w:cs="Times New Roman"/>
          <w:sz w:val="20"/>
          <w:szCs w:val="20"/>
        </w:rPr>
      </w:pPr>
      <w:r w:rsidRPr="004349F5">
        <w:rPr>
          <w:rFonts w:ascii="Times New Roman" w:hAnsi="Times New Roman" w:cs="Times New Roman"/>
          <w:sz w:val="20"/>
          <w:szCs w:val="20"/>
        </w:rPr>
        <w:t>The authors express their gratitude to the Schools Division Superintendent of the Division of Agusan del Sur for granting permission to conduct the study, as well as to the very supportive Division Research Coordinator for the encouragement to pursue the research. Special thanks are also extended to the School Principal of Prosperidad National High School for their support and for allowing the conduct of the study. The authors likewise express their sincere appreciation to the validators who reviewed and evaluated the research instrument prior to its implementation.</w:t>
      </w:r>
    </w:p>
    <w:p w14:paraId="5A3C3766" w14:textId="77777777" w:rsidR="004349F5" w:rsidRPr="004349F5" w:rsidRDefault="004349F5" w:rsidP="004349F5">
      <w:pPr>
        <w:spacing w:after="0"/>
        <w:ind w:firstLine="720"/>
        <w:jc w:val="both"/>
        <w:rPr>
          <w:rFonts w:ascii="Times New Roman" w:hAnsi="Times New Roman" w:cs="Times New Roman"/>
          <w:b/>
          <w:bCs/>
          <w:sz w:val="10"/>
          <w:szCs w:val="10"/>
        </w:rPr>
      </w:pPr>
    </w:p>
    <w:p w14:paraId="7C4F3E14" w14:textId="77777777" w:rsidR="004349F5" w:rsidRDefault="004349F5" w:rsidP="006E0B1C">
      <w:pPr>
        <w:spacing w:after="0"/>
        <w:ind w:firstLine="720"/>
        <w:jc w:val="both"/>
        <w:rPr>
          <w:rFonts w:ascii="Times New Roman" w:hAnsi="Times New Roman" w:cs="Times New Roman"/>
          <w:sz w:val="20"/>
          <w:szCs w:val="20"/>
        </w:rPr>
      </w:pPr>
    </w:p>
    <w:p w14:paraId="5B091909" w14:textId="77777777" w:rsidR="006E0B1C" w:rsidRPr="004349F5" w:rsidRDefault="006E0B1C" w:rsidP="006E0B1C">
      <w:pPr>
        <w:spacing w:after="0"/>
        <w:jc w:val="both"/>
        <w:rPr>
          <w:rFonts w:ascii="Times New Roman" w:hAnsi="Times New Roman" w:cs="Times New Roman"/>
          <w:b/>
          <w:bCs/>
          <w:sz w:val="10"/>
          <w:szCs w:val="10"/>
        </w:rPr>
      </w:pPr>
    </w:p>
    <w:p w14:paraId="4CC347A2" w14:textId="77777777" w:rsidR="006333A6" w:rsidRDefault="006333A6" w:rsidP="006333A6">
      <w:pPr>
        <w:spacing w:after="0"/>
        <w:jc w:val="both"/>
        <w:rPr>
          <w:rFonts w:ascii="Times New Roman" w:hAnsi="Times New Roman" w:cs="Times New Roman"/>
          <w:sz w:val="20"/>
          <w:szCs w:val="20"/>
        </w:rPr>
      </w:pPr>
    </w:p>
    <w:p w14:paraId="649D5169" w14:textId="021AEBCF" w:rsidR="006333A6" w:rsidRPr="00F24E24" w:rsidRDefault="00F24E24" w:rsidP="006333A6">
      <w:pPr>
        <w:spacing w:after="0"/>
        <w:jc w:val="both"/>
        <w:rPr>
          <w:rFonts w:ascii="Times New Roman" w:hAnsi="Times New Roman" w:cs="Times New Roman"/>
          <w:b/>
          <w:bCs/>
          <w:sz w:val="20"/>
          <w:szCs w:val="20"/>
        </w:rPr>
      </w:pPr>
      <w:r w:rsidRPr="00F24E24">
        <w:rPr>
          <w:rFonts w:ascii="Times New Roman" w:hAnsi="Times New Roman" w:cs="Times New Roman"/>
          <w:b/>
          <w:bCs/>
          <w:sz w:val="20"/>
          <w:szCs w:val="20"/>
        </w:rPr>
        <w:t>Author</w:t>
      </w:r>
      <w:r w:rsidR="00453C3D">
        <w:rPr>
          <w:rFonts w:ascii="Times New Roman" w:hAnsi="Times New Roman" w:cs="Times New Roman"/>
          <w:b/>
          <w:bCs/>
          <w:sz w:val="20"/>
          <w:szCs w:val="20"/>
        </w:rPr>
        <w:t>s’</w:t>
      </w:r>
      <w:r w:rsidRPr="00F24E24">
        <w:rPr>
          <w:rFonts w:ascii="Times New Roman" w:hAnsi="Times New Roman" w:cs="Times New Roman"/>
          <w:b/>
          <w:bCs/>
          <w:sz w:val="20"/>
          <w:szCs w:val="20"/>
        </w:rPr>
        <w:t xml:space="preserve"> Contributions </w:t>
      </w:r>
    </w:p>
    <w:p w14:paraId="6001AB7C" w14:textId="77777777" w:rsidR="00F24E24" w:rsidRPr="00F24E24" w:rsidRDefault="00F24E24" w:rsidP="006333A6">
      <w:pPr>
        <w:spacing w:after="0"/>
        <w:jc w:val="both"/>
        <w:rPr>
          <w:rFonts w:ascii="Times New Roman" w:hAnsi="Times New Roman" w:cs="Times New Roman"/>
          <w:sz w:val="10"/>
          <w:szCs w:val="10"/>
        </w:rPr>
      </w:pPr>
    </w:p>
    <w:p w14:paraId="55058666" w14:textId="3E0A7CBF" w:rsidR="00F24E24" w:rsidRPr="00F24E24" w:rsidRDefault="00F24E24" w:rsidP="00F24E24">
      <w:pPr>
        <w:spacing w:after="0"/>
        <w:ind w:firstLine="720"/>
        <w:jc w:val="both"/>
        <w:rPr>
          <w:rFonts w:ascii="Times New Roman" w:hAnsi="Times New Roman" w:cs="Times New Roman"/>
          <w:sz w:val="20"/>
          <w:szCs w:val="20"/>
        </w:rPr>
      </w:pPr>
      <w:r>
        <w:rPr>
          <w:rFonts w:ascii="Times New Roman" w:hAnsi="Times New Roman" w:cs="Times New Roman"/>
          <w:sz w:val="20"/>
          <w:szCs w:val="20"/>
        </w:rPr>
        <w:t>J</w:t>
      </w:r>
      <w:r w:rsidRPr="00F24E24">
        <w:rPr>
          <w:rFonts w:ascii="Times New Roman" w:hAnsi="Times New Roman" w:cs="Times New Roman"/>
          <w:sz w:val="20"/>
          <w:szCs w:val="20"/>
        </w:rPr>
        <w:t xml:space="preserve">. M. Saro: Conceptualization of the study, methodology, data analysis and interpretation, original draft preparation, review, </w:t>
      </w:r>
      <w:r>
        <w:rPr>
          <w:rFonts w:ascii="Times New Roman" w:hAnsi="Times New Roman" w:cs="Times New Roman"/>
          <w:sz w:val="20"/>
          <w:szCs w:val="20"/>
        </w:rPr>
        <w:t xml:space="preserve">grammar checking, language formatting, </w:t>
      </w:r>
      <w:r w:rsidRPr="00F24E24">
        <w:rPr>
          <w:rFonts w:ascii="Times New Roman" w:hAnsi="Times New Roman" w:cs="Times New Roman"/>
          <w:sz w:val="20"/>
          <w:szCs w:val="20"/>
        </w:rPr>
        <w:t>and editing.</w:t>
      </w:r>
      <w:r>
        <w:rPr>
          <w:rFonts w:ascii="Times New Roman" w:hAnsi="Times New Roman" w:cs="Times New Roman"/>
          <w:sz w:val="20"/>
          <w:szCs w:val="20"/>
        </w:rPr>
        <w:t xml:space="preserve"> E. N. Pelesco</w:t>
      </w:r>
      <w:r w:rsidRPr="00F24E24">
        <w:rPr>
          <w:rFonts w:ascii="Times New Roman" w:hAnsi="Times New Roman" w:cs="Times New Roman"/>
          <w:sz w:val="20"/>
          <w:szCs w:val="20"/>
        </w:rPr>
        <w:t>:</w:t>
      </w:r>
      <w:r>
        <w:rPr>
          <w:rFonts w:ascii="Times New Roman" w:hAnsi="Times New Roman" w:cs="Times New Roman"/>
          <w:sz w:val="20"/>
          <w:szCs w:val="20"/>
        </w:rPr>
        <w:t xml:space="preserve"> </w:t>
      </w:r>
      <w:r w:rsidRPr="00F24E24">
        <w:rPr>
          <w:rFonts w:ascii="Times New Roman" w:hAnsi="Times New Roman" w:cs="Times New Roman"/>
          <w:sz w:val="20"/>
          <w:szCs w:val="20"/>
        </w:rPr>
        <w:t>Review, editing, and lecture contributions.</w:t>
      </w:r>
    </w:p>
    <w:p w14:paraId="466D4A2A" w14:textId="77777777" w:rsidR="00F62110" w:rsidRDefault="00F62110" w:rsidP="00F62110">
      <w:pPr>
        <w:spacing w:after="0"/>
        <w:jc w:val="both"/>
        <w:rPr>
          <w:rFonts w:ascii="Times New Roman" w:hAnsi="Times New Roman" w:cs="Times New Roman"/>
          <w:b/>
          <w:bCs/>
          <w:sz w:val="20"/>
          <w:szCs w:val="20"/>
        </w:rPr>
      </w:pPr>
    </w:p>
    <w:p w14:paraId="7C3301E3" w14:textId="77777777" w:rsidR="00F62110" w:rsidRDefault="00F62110" w:rsidP="00F62110">
      <w:pPr>
        <w:spacing w:after="0"/>
        <w:jc w:val="both"/>
        <w:rPr>
          <w:rFonts w:ascii="Times New Roman" w:hAnsi="Times New Roman" w:cs="Times New Roman"/>
          <w:b/>
          <w:bCs/>
          <w:sz w:val="20"/>
          <w:szCs w:val="20"/>
        </w:rPr>
      </w:pPr>
    </w:p>
    <w:p w14:paraId="5DC18FB7" w14:textId="77777777" w:rsidR="00F62110" w:rsidRDefault="00F62110" w:rsidP="00F62110">
      <w:pPr>
        <w:spacing w:after="0"/>
        <w:jc w:val="both"/>
        <w:rPr>
          <w:rFonts w:ascii="Times New Roman" w:hAnsi="Times New Roman" w:cs="Times New Roman"/>
          <w:b/>
          <w:bCs/>
          <w:sz w:val="20"/>
          <w:szCs w:val="20"/>
        </w:rPr>
      </w:pPr>
    </w:p>
    <w:p w14:paraId="2A489254" w14:textId="77777777" w:rsidR="00F62110" w:rsidRDefault="00F62110" w:rsidP="00F62110">
      <w:pPr>
        <w:spacing w:after="0"/>
        <w:jc w:val="both"/>
        <w:rPr>
          <w:rFonts w:ascii="Times New Roman" w:hAnsi="Times New Roman" w:cs="Times New Roman"/>
          <w:b/>
          <w:bCs/>
          <w:sz w:val="20"/>
          <w:szCs w:val="20"/>
        </w:rPr>
      </w:pPr>
    </w:p>
    <w:p w14:paraId="4900C754" w14:textId="65B34AC7" w:rsidR="00F62110" w:rsidRPr="00F62110" w:rsidRDefault="00F62110" w:rsidP="00F62110">
      <w:pPr>
        <w:spacing w:after="0"/>
        <w:jc w:val="both"/>
        <w:rPr>
          <w:rFonts w:ascii="Times New Roman" w:hAnsi="Times New Roman" w:cs="Times New Roman"/>
          <w:b/>
          <w:bCs/>
          <w:sz w:val="20"/>
          <w:szCs w:val="20"/>
          <w:highlight w:val="yellow"/>
        </w:rPr>
      </w:pPr>
      <w:r w:rsidRPr="00F62110">
        <w:rPr>
          <w:rFonts w:ascii="Times New Roman" w:hAnsi="Times New Roman" w:cs="Times New Roman"/>
          <w:b/>
          <w:bCs/>
          <w:sz w:val="20"/>
          <w:szCs w:val="20"/>
          <w:highlight w:val="yellow"/>
        </w:rPr>
        <w:lastRenderedPageBreak/>
        <w:t>Disclaimer (Artificial intelligence)</w:t>
      </w:r>
    </w:p>
    <w:p w14:paraId="3DEBC073" w14:textId="77777777" w:rsidR="00F62110" w:rsidRPr="00F62110" w:rsidRDefault="00F62110" w:rsidP="00F62110">
      <w:pPr>
        <w:spacing w:after="0"/>
        <w:jc w:val="both"/>
        <w:rPr>
          <w:rFonts w:ascii="Times New Roman" w:hAnsi="Times New Roman" w:cs="Times New Roman"/>
          <w:b/>
          <w:bCs/>
          <w:sz w:val="10"/>
          <w:szCs w:val="10"/>
          <w:highlight w:val="yellow"/>
        </w:rPr>
      </w:pPr>
    </w:p>
    <w:p w14:paraId="1842DAF0" w14:textId="77777777" w:rsidR="00F62110" w:rsidRPr="006E0E93" w:rsidRDefault="00F62110" w:rsidP="00F62110">
      <w:pPr>
        <w:spacing w:after="0"/>
        <w:jc w:val="both"/>
        <w:rPr>
          <w:rFonts w:ascii="Times New Roman" w:hAnsi="Times New Roman" w:cs="Times New Roman"/>
          <w:sz w:val="20"/>
          <w:szCs w:val="20"/>
        </w:rPr>
      </w:pPr>
      <w:r w:rsidRPr="00F62110">
        <w:rPr>
          <w:rFonts w:ascii="Times New Roman" w:hAnsi="Times New Roman" w:cs="Times New Roman"/>
          <w:b/>
          <w:bCs/>
          <w:sz w:val="20"/>
          <w:szCs w:val="20"/>
          <w:highlight w:val="yellow"/>
        </w:rPr>
        <w:tab/>
      </w:r>
      <w:r w:rsidRPr="00F62110">
        <w:rPr>
          <w:rFonts w:ascii="Times New Roman" w:hAnsi="Times New Roman" w:cs="Times New Roman"/>
          <w:sz w:val="20"/>
          <w:szCs w:val="20"/>
          <w:highlight w:val="yellow"/>
        </w:rPr>
        <w:t>The authors hereby declare that NO generative AI technologies such as Large Language Models (ChatGPT, COPILOT, etc.) and text-to-image generators have been used during the writing or editing of this manuscript.</w:t>
      </w:r>
    </w:p>
    <w:p w14:paraId="09A14D3D" w14:textId="77777777" w:rsidR="00F24E24" w:rsidRPr="004349F5" w:rsidRDefault="00F24E24" w:rsidP="002C00FE">
      <w:pPr>
        <w:jc w:val="both"/>
        <w:rPr>
          <w:rFonts w:ascii="Times New Roman" w:hAnsi="Times New Roman" w:cs="Times New Roman"/>
          <w:sz w:val="10"/>
          <w:szCs w:val="10"/>
        </w:rPr>
      </w:pPr>
    </w:p>
    <w:p w14:paraId="73EDF992" w14:textId="358D5276" w:rsidR="00F44A10" w:rsidRPr="00F24E24" w:rsidRDefault="00A71388" w:rsidP="002C00FE">
      <w:pPr>
        <w:jc w:val="both"/>
        <w:rPr>
          <w:rFonts w:ascii="Times New Roman" w:hAnsi="Times New Roman" w:cs="Times New Roman"/>
          <w:b/>
          <w:bCs/>
          <w:sz w:val="20"/>
          <w:szCs w:val="20"/>
        </w:rPr>
      </w:pPr>
      <w:r w:rsidRPr="00F24E24">
        <w:rPr>
          <w:rFonts w:ascii="Times New Roman" w:hAnsi="Times New Roman" w:cs="Times New Roman"/>
          <w:b/>
          <w:bCs/>
          <w:sz w:val="20"/>
          <w:szCs w:val="20"/>
        </w:rPr>
        <w:t>References</w:t>
      </w:r>
    </w:p>
    <w:p w14:paraId="05D096C3" w14:textId="7E27BA0B" w:rsidR="00753AC4" w:rsidRDefault="00753AC4" w:rsidP="00255F14">
      <w:pPr>
        <w:spacing w:line="240" w:lineRule="auto"/>
        <w:ind w:left="720" w:hanging="720"/>
        <w:jc w:val="both"/>
        <w:rPr>
          <w:rFonts w:ascii="Times New Roman" w:hAnsi="Times New Roman" w:cs="Times New Roman"/>
          <w:sz w:val="20"/>
          <w:szCs w:val="20"/>
        </w:rPr>
      </w:pPr>
      <w:r w:rsidRPr="00A50BBB">
        <w:rPr>
          <w:rFonts w:ascii="Times New Roman" w:hAnsi="Times New Roman" w:cs="Times New Roman"/>
          <w:sz w:val="20"/>
          <w:szCs w:val="20"/>
        </w:rPr>
        <w:t xml:space="preserve">Apat, M. Q. (2022). Public School Science Teachers' Perceptions on the Effectiveness of Center-Based Learning Approach: A Content Knowledge-Based Method. </w:t>
      </w:r>
      <w:r w:rsidRPr="00A50BBB">
        <w:rPr>
          <w:rFonts w:ascii="Times New Roman" w:hAnsi="Times New Roman" w:cs="Times New Roman"/>
          <w:i/>
          <w:iCs/>
          <w:sz w:val="20"/>
          <w:szCs w:val="20"/>
        </w:rPr>
        <w:t>Special Education, 2</w:t>
      </w:r>
      <w:r w:rsidRPr="00A50BBB">
        <w:rPr>
          <w:rFonts w:ascii="Times New Roman" w:hAnsi="Times New Roman" w:cs="Times New Roman"/>
          <w:sz w:val="20"/>
          <w:szCs w:val="20"/>
        </w:rPr>
        <w:t>(43).</w:t>
      </w:r>
      <w:r w:rsidR="00A672C9" w:rsidRPr="00A50BBB">
        <w:rPr>
          <w:rFonts w:ascii="Times New Roman" w:hAnsi="Times New Roman" w:cs="Times New Roman"/>
          <w:sz w:val="20"/>
          <w:szCs w:val="20"/>
        </w:rPr>
        <w:t xml:space="preserve"> http://sumc.lt/index.php/se/article/view/1373/1053</w:t>
      </w:r>
    </w:p>
    <w:p w14:paraId="4E975A89" w14:textId="4B043454" w:rsidR="004A16E2" w:rsidRPr="00753AC4" w:rsidRDefault="004A16E2" w:rsidP="00255F14">
      <w:pPr>
        <w:spacing w:line="240" w:lineRule="auto"/>
        <w:ind w:left="720" w:hanging="720"/>
        <w:jc w:val="both"/>
        <w:rPr>
          <w:rFonts w:ascii="Times New Roman" w:hAnsi="Times New Roman" w:cs="Times New Roman"/>
          <w:sz w:val="20"/>
          <w:szCs w:val="20"/>
        </w:rPr>
      </w:pPr>
      <w:r w:rsidRPr="004A16E2">
        <w:rPr>
          <w:rFonts w:ascii="Times New Roman" w:hAnsi="Times New Roman" w:cs="Times New Roman"/>
          <w:sz w:val="20"/>
          <w:szCs w:val="20"/>
        </w:rPr>
        <w:t>Baring, J. J. A., &amp; Berame, J. S. (2022). Supporting Conceptual Comprehension of Newton</w:t>
      </w:r>
      <w:r w:rsidR="00A50BBB">
        <w:rPr>
          <w:rFonts w:ascii="Times New Roman" w:hAnsi="Times New Roman" w:cs="Times New Roman"/>
          <w:sz w:val="20"/>
          <w:szCs w:val="20"/>
        </w:rPr>
        <w:t>’</w:t>
      </w:r>
      <w:r w:rsidRPr="004A16E2">
        <w:rPr>
          <w:rFonts w:ascii="Times New Roman" w:hAnsi="Times New Roman" w:cs="Times New Roman"/>
          <w:sz w:val="20"/>
          <w:szCs w:val="20"/>
        </w:rPr>
        <w:t xml:space="preserve">s Laws of Motion of Grade 8 Students through Kotobee Interactive E-Module. </w:t>
      </w:r>
      <w:r w:rsidRPr="004A16E2">
        <w:rPr>
          <w:rFonts w:ascii="Times New Roman" w:hAnsi="Times New Roman" w:cs="Times New Roman"/>
          <w:i/>
          <w:iCs/>
          <w:sz w:val="20"/>
          <w:szCs w:val="20"/>
        </w:rPr>
        <w:t>Indonesian Journal on Learning and Advanced Education (IJOLAE), 4</w:t>
      </w:r>
      <w:r w:rsidRPr="004A16E2">
        <w:rPr>
          <w:rFonts w:ascii="Times New Roman" w:hAnsi="Times New Roman" w:cs="Times New Roman"/>
          <w:sz w:val="20"/>
          <w:szCs w:val="20"/>
        </w:rPr>
        <w:t>(3), 209-232.</w:t>
      </w:r>
      <w:r>
        <w:rPr>
          <w:rFonts w:ascii="Times New Roman" w:hAnsi="Times New Roman" w:cs="Times New Roman"/>
          <w:sz w:val="20"/>
          <w:szCs w:val="20"/>
        </w:rPr>
        <w:t xml:space="preserve"> </w:t>
      </w:r>
      <w:r w:rsidRPr="004A16E2">
        <w:rPr>
          <w:rFonts w:ascii="Times New Roman" w:hAnsi="Times New Roman" w:cs="Times New Roman"/>
          <w:sz w:val="20"/>
          <w:szCs w:val="20"/>
        </w:rPr>
        <w:t>https://journals.ums.ac.id/ijolae/article/view/18790</w:t>
      </w:r>
    </w:p>
    <w:p w14:paraId="22F454DF" w14:textId="77777777" w:rsidR="00A672C9" w:rsidRDefault="006E0B1C" w:rsidP="00255F14">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Bello, J., Saro, J., Concon, L., Polache, M. C. C., Ayaton, M. J., Manlicayan, R., &amp; Campomanes, J. (2023). Contextualized and localized science teaching and learning materials and its characteristics to improve Students' learning performance. </w:t>
      </w:r>
      <w:r w:rsidRPr="006E0B1C">
        <w:rPr>
          <w:rFonts w:ascii="Times New Roman" w:hAnsi="Times New Roman" w:cs="Times New Roman"/>
          <w:i/>
          <w:iCs/>
          <w:sz w:val="20"/>
          <w:szCs w:val="20"/>
        </w:rPr>
        <w:t>Psychology and Education: A Multidisciplinary Journal, 7</w:t>
      </w:r>
      <w:r w:rsidRPr="006E0B1C">
        <w:rPr>
          <w:rFonts w:ascii="Times New Roman" w:hAnsi="Times New Roman" w:cs="Times New Roman"/>
          <w:sz w:val="20"/>
          <w:szCs w:val="20"/>
        </w:rPr>
        <w:t xml:space="preserve">(1), 1-1. </w:t>
      </w:r>
      <w:r w:rsidR="00A672C9" w:rsidRPr="00A672C9">
        <w:rPr>
          <w:rFonts w:ascii="Times New Roman" w:hAnsi="Times New Roman" w:cs="Times New Roman"/>
          <w:sz w:val="20"/>
          <w:szCs w:val="20"/>
        </w:rPr>
        <w:t xml:space="preserve">, </w:t>
      </w:r>
      <w:r w:rsidR="00A672C9">
        <w:rPr>
          <w:rFonts w:ascii="Times New Roman" w:hAnsi="Times New Roman" w:cs="Times New Roman"/>
          <w:sz w:val="20"/>
          <w:szCs w:val="20"/>
        </w:rPr>
        <w:t>DOI</w:t>
      </w:r>
      <w:r w:rsidR="00A672C9" w:rsidRPr="00A672C9">
        <w:rPr>
          <w:rFonts w:ascii="Times New Roman" w:hAnsi="Times New Roman" w:cs="Times New Roman"/>
          <w:sz w:val="20"/>
          <w:szCs w:val="20"/>
        </w:rPr>
        <w:t>:10.5281/zenodo.7607686</w:t>
      </w:r>
    </w:p>
    <w:p w14:paraId="52810D1E" w14:textId="1577E2F4" w:rsidR="00612A65" w:rsidRPr="00F24E24" w:rsidRDefault="00612A65" w:rsidP="00255F14">
      <w:pPr>
        <w:spacing w:line="240" w:lineRule="auto"/>
        <w:ind w:left="720" w:hanging="720"/>
        <w:jc w:val="both"/>
        <w:rPr>
          <w:rFonts w:ascii="Times New Roman" w:hAnsi="Times New Roman" w:cs="Times New Roman"/>
          <w:sz w:val="20"/>
          <w:szCs w:val="20"/>
        </w:rPr>
      </w:pPr>
      <w:proofErr w:type="spellStart"/>
      <w:r w:rsidRPr="00A50BBB">
        <w:rPr>
          <w:rFonts w:ascii="Times New Roman" w:hAnsi="Times New Roman" w:cs="Times New Roman"/>
          <w:sz w:val="20"/>
          <w:szCs w:val="20"/>
        </w:rPr>
        <w:t>Bevevino</w:t>
      </w:r>
      <w:proofErr w:type="spellEnd"/>
      <w:r w:rsidRPr="00A50BBB">
        <w:rPr>
          <w:rFonts w:ascii="Times New Roman" w:hAnsi="Times New Roman" w:cs="Times New Roman"/>
          <w:sz w:val="20"/>
          <w:szCs w:val="20"/>
        </w:rPr>
        <w:t>, M., Dengel, J.</w:t>
      </w:r>
      <w:r w:rsidR="009A27CC" w:rsidRPr="00A50BBB">
        <w:rPr>
          <w:rFonts w:ascii="Times New Roman" w:hAnsi="Times New Roman" w:cs="Times New Roman"/>
          <w:sz w:val="20"/>
          <w:szCs w:val="20"/>
        </w:rPr>
        <w:t>, &amp;</w:t>
      </w:r>
      <w:r w:rsidRPr="00A50BBB">
        <w:rPr>
          <w:rFonts w:ascii="Times New Roman" w:hAnsi="Times New Roman" w:cs="Times New Roman"/>
          <w:sz w:val="20"/>
          <w:szCs w:val="20"/>
        </w:rPr>
        <w:t xml:space="preserve"> Adams, K. (</w:t>
      </w:r>
      <w:r w:rsidR="009A27CC" w:rsidRPr="00A50BBB">
        <w:rPr>
          <w:rFonts w:ascii="Times New Roman" w:hAnsi="Times New Roman" w:cs="Times New Roman"/>
          <w:sz w:val="20"/>
          <w:szCs w:val="20"/>
        </w:rPr>
        <w:t>1999</w:t>
      </w:r>
      <w:r w:rsidRPr="00A50BBB">
        <w:rPr>
          <w:rFonts w:ascii="Times New Roman" w:hAnsi="Times New Roman" w:cs="Times New Roman"/>
          <w:sz w:val="20"/>
          <w:szCs w:val="20"/>
        </w:rPr>
        <w:t>)</w:t>
      </w:r>
      <w:r w:rsidR="009A27CC" w:rsidRPr="00A50BBB">
        <w:rPr>
          <w:rFonts w:ascii="Times New Roman" w:hAnsi="Times New Roman" w:cs="Times New Roman"/>
          <w:sz w:val="20"/>
          <w:szCs w:val="20"/>
        </w:rPr>
        <w:t xml:space="preserve">. Constructivist Theory in the Classroom: Internalizing Concepts through Inquiry Learning. </w:t>
      </w:r>
      <w:r w:rsidR="009A27CC" w:rsidRPr="00A50BBB">
        <w:rPr>
          <w:rFonts w:ascii="Times New Roman" w:hAnsi="Times New Roman" w:cs="Times New Roman"/>
          <w:i/>
          <w:iCs/>
          <w:sz w:val="20"/>
          <w:szCs w:val="20"/>
        </w:rPr>
        <w:t>Clearing House, v72</w:t>
      </w:r>
      <w:r w:rsidR="009A27CC" w:rsidRPr="00A50BBB">
        <w:rPr>
          <w:rFonts w:ascii="Times New Roman" w:hAnsi="Times New Roman" w:cs="Times New Roman"/>
          <w:sz w:val="20"/>
          <w:szCs w:val="20"/>
        </w:rPr>
        <w:t xml:space="preserve"> n5 p75-78. https://eric.ed.gov/?id=EJ583457</w:t>
      </w:r>
    </w:p>
    <w:p w14:paraId="3BE12C90" w14:textId="66A45BCB" w:rsidR="00880D9D" w:rsidRPr="00EE7418" w:rsidRDefault="00880D9D" w:rsidP="00EE7418">
      <w:pPr>
        <w:spacing w:line="240" w:lineRule="auto"/>
        <w:ind w:left="720" w:hanging="720"/>
        <w:jc w:val="both"/>
        <w:rPr>
          <w:rFonts w:ascii="Times New Roman" w:hAnsi="Times New Roman" w:cs="Times New Roman"/>
          <w:sz w:val="24"/>
          <w:szCs w:val="24"/>
        </w:rPr>
      </w:pPr>
      <w:r w:rsidRPr="00F24E24">
        <w:rPr>
          <w:rFonts w:ascii="Times New Roman" w:hAnsi="Times New Roman" w:cs="Times New Roman"/>
          <w:sz w:val="20"/>
          <w:szCs w:val="20"/>
        </w:rPr>
        <w:t xml:space="preserve">Bulbul, y. (2010). Effects of 7E learning cycle model accompanied with computer animations on Understanding of diffusion and osmosis concepts. </w:t>
      </w:r>
      <w:r w:rsidRPr="006E0B1C">
        <w:rPr>
          <w:rFonts w:ascii="Times New Roman" w:hAnsi="Times New Roman" w:cs="Times New Roman"/>
          <w:i/>
          <w:iCs/>
          <w:sz w:val="20"/>
          <w:szCs w:val="20"/>
        </w:rPr>
        <w:t>Middle East Technical University.</w:t>
      </w:r>
      <w:r w:rsidR="00EE7418">
        <w:rPr>
          <w:rFonts w:ascii="Times New Roman" w:hAnsi="Times New Roman" w:cs="Times New Roman"/>
          <w:sz w:val="20"/>
          <w:szCs w:val="20"/>
        </w:rPr>
        <w:t xml:space="preserve"> </w:t>
      </w:r>
      <w:r w:rsidR="00EE7418" w:rsidRPr="00EE7418">
        <w:rPr>
          <w:rFonts w:ascii="Times New Roman" w:hAnsi="Times New Roman" w:cs="Times New Roman"/>
          <w:sz w:val="20"/>
          <w:szCs w:val="20"/>
        </w:rPr>
        <w:t>http://etd.lib.metu.edu.tr/upload/12612299/index.pdf</w:t>
      </w:r>
    </w:p>
    <w:p w14:paraId="48776308" w14:textId="77777777" w:rsidR="00255F14" w:rsidRPr="00F24E24" w:rsidRDefault="00255F14"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Campbell, Laurel H. (2011). Holistic Art Education: A Transformative Approach to Teaching Art. </w:t>
      </w:r>
      <w:r w:rsidRPr="006E0B1C">
        <w:rPr>
          <w:rFonts w:ascii="Times New Roman" w:hAnsi="Times New Roman" w:cs="Times New Roman"/>
          <w:i/>
          <w:iCs/>
          <w:sz w:val="20"/>
          <w:szCs w:val="20"/>
        </w:rPr>
        <w:t>Art Education 64.</w:t>
      </w:r>
      <w:r w:rsidRPr="00F24E24">
        <w:rPr>
          <w:rFonts w:ascii="Times New Roman" w:hAnsi="Times New Roman" w:cs="Times New Roman"/>
          <w:sz w:val="20"/>
          <w:szCs w:val="20"/>
        </w:rPr>
        <w:t xml:space="preserve"> 2 (Mar 2011): 18-24. http://opus.ipfw.edu/fineart_facpubs/4/</w:t>
      </w:r>
    </w:p>
    <w:p w14:paraId="271F1821" w14:textId="77777777" w:rsidR="00AE54A8" w:rsidRPr="00AB3FFA" w:rsidRDefault="00AE54A8" w:rsidP="00AE54A8">
      <w:pPr>
        <w:spacing w:line="240" w:lineRule="auto"/>
        <w:ind w:left="720" w:hanging="720"/>
        <w:jc w:val="both"/>
        <w:rPr>
          <w:rFonts w:ascii="Times New Roman" w:hAnsi="Times New Roman" w:cs="Times New Roman"/>
          <w:sz w:val="20"/>
          <w:szCs w:val="20"/>
          <w:lang w:val="nl-BE"/>
        </w:rPr>
      </w:pPr>
      <w:r w:rsidRPr="00F24E24">
        <w:rPr>
          <w:rFonts w:ascii="Times New Roman" w:hAnsi="Times New Roman" w:cs="Times New Roman"/>
          <w:sz w:val="20"/>
          <w:szCs w:val="20"/>
        </w:rPr>
        <w:t xml:space="preserve">Dagasaan, J. M. Y., (2022). Science Spiral Progression Curriculum: The Factors Affecting Secondary Students’ Learning Progress. </w:t>
      </w:r>
      <w:r w:rsidRPr="00AB3FFA">
        <w:rPr>
          <w:rFonts w:ascii="Times New Roman" w:hAnsi="Times New Roman" w:cs="Times New Roman"/>
          <w:i/>
          <w:iCs/>
          <w:sz w:val="20"/>
          <w:szCs w:val="20"/>
          <w:lang w:val="nl-BE"/>
        </w:rPr>
        <w:t xml:space="preserve">Psych Educ, </w:t>
      </w:r>
      <w:r w:rsidRPr="00AB3FFA">
        <w:rPr>
          <w:rFonts w:ascii="Times New Roman" w:hAnsi="Times New Roman" w:cs="Times New Roman"/>
          <w:sz w:val="20"/>
          <w:szCs w:val="20"/>
          <w:lang w:val="nl-BE"/>
        </w:rPr>
        <w:t>Document ID: 2022PEMJ0, doi: 10.5281/zenodo.7150765, ISSN 2822-4353</w:t>
      </w:r>
    </w:p>
    <w:p w14:paraId="6EED64E1" w14:textId="77777777" w:rsidR="00255F14" w:rsidRDefault="00722FE6" w:rsidP="00255F14">
      <w:pPr>
        <w:spacing w:line="240" w:lineRule="auto"/>
        <w:ind w:left="720" w:hanging="720"/>
        <w:jc w:val="both"/>
        <w:rPr>
          <w:rFonts w:ascii="Times New Roman" w:hAnsi="Times New Roman" w:cs="Times New Roman"/>
          <w:sz w:val="20"/>
          <w:szCs w:val="20"/>
        </w:rPr>
      </w:pPr>
      <w:r w:rsidRPr="00AB3FFA">
        <w:rPr>
          <w:rFonts w:ascii="Times New Roman" w:hAnsi="Times New Roman" w:cs="Times New Roman"/>
          <w:sz w:val="20"/>
          <w:szCs w:val="20"/>
          <w:lang w:val="nl-BE"/>
        </w:rPr>
        <w:t xml:space="preserve">Dela Cruz, Rolando S. (2012). </w:t>
      </w:r>
      <w:r w:rsidRPr="00F24E24">
        <w:rPr>
          <w:rFonts w:ascii="Times New Roman" w:hAnsi="Times New Roman" w:cs="Times New Roman"/>
          <w:sz w:val="20"/>
          <w:szCs w:val="20"/>
        </w:rPr>
        <w:t>The Science Dilemma in Philippine schools. 2p http://www.science.ph/full_story.php?type=News&amp;key=6602:the-science-dilemma-in- Philippine-schools</w:t>
      </w:r>
    </w:p>
    <w:p w14:paraId="43D5E3FC" w14:textId="522583CA" w:rsidR="00751347" w:rsidRDefault="00751347" w:rsidP="00751347">
      <w:pPr>
        <w:spacing w:line="240" w:lineRule="auto"/>
        <w:ind w:left="720" w:hanging="720"/>
        <w:jc w:val="both"/>
        <w:rPr>
          <w:rFonts w:ascii="Times New Roman" w:hAnsi="Times New Roman" w:cs="Times New Roman"/>
          <w:sz w:val="20"/>
          <w:szCs w:val="20"/>
        </w:rPr>
      </w:pPr>
      <w:r w:rsidRPr="00AB3FFA">
        <w:rPr>
          <w:rFonts w:ascii="Times New Roman" w:hAnsi="Times New Roman" w:cs="Times New Roman"/>
          <w:sz w:val="20"/>
          <w:szCs w:val="20"/>
          <w:lang w:val="nl-BE"/>
        </w:rPr>
        <w:t xml:space="preserve">Fang, X., &amp; Kim, J. E. (2024). </w:t>
      </w:r>
      <w:r w:rsidRPr="00751347">
        <w:rPr>
          <w:rFonts w:ascii="Times New Roman" w:hAnsi="Times New Roman" w:cs="Times New Roman"/>
          <w:sz w:val="20"/>
          <w:szCs w:val="20"/>
        </w:rPr>
        <w:t xml:space="preserve">Center-based relaxed learning against membership inference attacks. </w:t>
      </w:r>
      <w:r w:rsidRPr="00751347">
        <w:rPr>
          <w:rFonts w:ascii="Times New Roman" w:hAnsi="Times New Roman" w:cs="Times New Roman"/>
          <w:i/>
          <w:iCs/>
          <w:sz w:val="20"/>
          <w:szCs w:val="20"/>
        </w:rPr>
        <w:t>arXiv preprint arXiv:2404.17674</w:t>
      </w:r>
      <w:r w:rsidRPr="00751347">
        <w:rPr>
          <w:rFonts w:ascii="Times New Roman" w:hAnsi="Times New Roman" w:cs="Times New Roman"/>
          <w:sz w:val="20"/>
          <w:szCs w:val="20"/>
        </w:rPr>
        <w:t>.</w:t>
      </w:r>
      <w:r>
        <w:rPr>
          <w:rFonts w:ascii="Times New Roman" w:hAnsi="Times New Roman" w:cs="Times New Roman"/>
          <w:sz w:val="20"/>
          <w:szCs w:val="20"/>
        </w:rPr>
        <w:t xml:space="preserve"> </w:t>
      </w:r>
      <w:r w:rsidRPr="00751347">
        <w:rPr>
          <w:rFonts w:ascii="Times New Roman" w:hAnsi="Times New Roman" w:cs="Times New Roman"/>
          <w:sz w:val="20"/>
          <w:szCs w:val="20"/>
        </w:rPr>
        <w:t>https://doi.org/10.48550/arXiv.2404.17674</w:t>
      </w:r>
    </w:p>
    <w:p w14:paraId="4C811D28" w14:textId="6D5E4E9A" w:rsidR="00384B87" w:rsidRPr="00AB3FFA" w:rsidRDefault="00384B87" w:rsidP="00255F14">
      <w:pPr>
        <w:spacing w:line="240" w:lineRule="auto"/>
        <w:ind w:left="720" w:hanging="720"/>
        <w:jc w:val="both"/>
        <w:rPr>
          <w:rFonts w:ascii="Times New Roman" w:hAnsi="Times New Roman" w:cs="Times New Roman"/>
          <w:sz w:val="20"/>
          <w:szCs w:val="20"/>
          <w:lang w:val="nl-BE"/>
        </w:rPr>
      </w:pPr>
      <w:r w:rsidRPr="00384B87">
        <w:rPr>
          <w:rFonts w:ascii="Times New Roman" w:hAnsi="Times New Roman" w:cs="Times New Roman"/>
          <w:sz w:val="20"/>
          <w:szCs w:val="20"/>
        </w:rPr>
        <w:t xml:space="preserve">Helzi, H., Minsih, M., Desstya, A., &amp; Muhammad, M. (2024). Innovative Approaches to Science and Social Studies-Centered Learning with a Focus on Student Wellbeing in Elementary Education. </w:t>
      </w:r>
      <w:r w:rsidRPr="00AB3FFA">
        <w:rPr>
          <w:rFonts w:ascii="Times New Roman" w:hAnsi="Times New Roman" w:cs="Times New Roman"/>
          <w:i/>
          <w:iCs/>
          <w:sz w:val="20"/>
          <w:szCs w:val="20"/>
          <w:lang w:val="nl-BE"/>
        </w:rPr>
        <w:t>Profesi Pendidikan Dasar,</w:t>
      </w:r>
      <w:r w:rsidRPr="00AB3FFA">
        <w:rPr>
          <w:rFonts w:ascii="Times New Roman" w:hAnsi="Times New Roman" w:cs="Times New Roman"/>
          <w:sz w:val="20"/>
          <w:szCs w:val="20"/>
          <w:lang w:val="nl-BE"/>
        </w:rPr>
        <w:t xml:space="preserve"> 64-79. https://doi.org/10.23917/ppd.v11i1.6173</w:t>
      </w:r>
    </w:p>
    <w:p w14:paraId="41923146" w14:textId="77777777" w:rsidR="00612A65" w:rsidRPr="00F24E24" w:rsidRDefault="00612A65" w:rsidP="00255F14">
      <w:pPr>
        <w:spacing w:line="240" w:lineRule="auto"/>
        <w:ind w:left="720" w:hanging="720"/>
        <w:jc w:val="both"/>
        <w:rPr>
          <w:rFonts w:ascii="Times New Roman" w:hAnsi="Times New Roman" w:cs="Times New Roman"/>
        </w:rPr>
      </w:pPr>
      <w:r w:rsidRPr="00AB3FFA">
        <w:rPr>
          <w:rFonts w:ascii="Times New Roman" w:hAnsi="Times New Roman" w:cs="Times New Roman"/>
          <w:sz w:val="20"/>
          <w:szCs w:val="20"/>
          <w:lang w:val="nl-BE"/>
        </w:rPr>
        <w:t xml:space="preserve">Hurd, P.D.H. (2015). </w:t>
      </w:r>
      <w:r w:rsidRPr="00F24E24">
        <w:rPr>
          <w:rFonts w:ascii="Times New Roman" w:hAnsi="Times New Roman" w:cs="Times New Roman"/>
          <w:sz w:val="20"/>
          <w:szCs w:val="20"/>
        </w:rPr>
        <w:t xml:space="preserve">Scientific enlightenment for an age of science. </w:t>
      </w:r>
      <w:r w:rsidRPr="006E0B1C">
        <w:rPr>
          <w:rFonts w:ascii="Times New Roman" w:hAnsi="Times New Roman" w:cs="Times New Roman"/>
          <w:i/>
          <w:iCs/>
          <w:sz w:val="20"/>
          <w:szCs w:val="20"/>
        </w:rPr>
        <w:t>The Science Teacher,</w:t>
      </w:r>
      <w:r w:rsidRPr="00F24E24">
        <w:rPr>
          <w:rFonts w:ascii="Times New Roman" w:hAnsi="Times New Roman" w:cs="Times New Roman"/>
          <w:sz w:val="20"/>
          <w:szCs w:val="20"/>
        </w:rPr>
        <w:t xml:space="preserve"> January, 13-15,</w:t>
      </w:r>
    </w:p>
    <w:p w14:paraId="2079101E" w14:textId="77777777" w:rsidR="00722FE6" w:rsidRDefault="00722FE6"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ICSU 2011 Report of the ICSU As-hoc Review Panel on Science Education. </w:t>
      </w:r>
      <w:r w:rsidRPr="006E0B1C">
        <w:rPr>
          <w:rFonts w:ascii="Times New Roman" w:hAnsi="Times New Roman" w:cs="Times New Roman"/>
          <w:i/>
          <w:iCs/>
          <w:sz w:val="20"/>
          <w:szCs w:val="20"/>
        </w:rPr>
        <w:t>International Council for Science, Paris.</w:t>
      </w:r>
      <w:r w:rsidRPr="00F24E24">
        <w:rPr>
          <w:rFonts w:ascii="Times New Roman" w:hAnsi="Times New Roman" w:cs="Times New Roman"/>
          <w:sz w:val="20"/>
          <w:szCs w:val="20"/>
        </w:rPr>
        <w:t xml:space="preserve"> ISBN: 978-0-930357-83-2, © ICSU 2011. 2p.</w:t>
      </w:r>
    </w:p>
    <w:p w14:paraId="20B4F1DC" w14:textId="3C0FF802" w:rsidR="001304AE" w:rsidRPr="00F24E24" w:rsidRDefault="001304AE" w:rsidP="001304AE">
      <w:pPr>
        <w:spacing w:line="240" w:lineRule="auto"/>
        <w:ind w:left="720" w:hanging="720"/>
        <w:jc w:val="both"/>
        <w:rPr>
          <w:rFonts w:ascii="Times New Roman" w:hAnsi="Times New Roman" w:cs="Times New Roman"/>
          <w:sz w:val="20"/>
          <w:szCs w:val="20"/>
        </w:rPr>
      </w:pPr>
      <w:r w:rsidRPr="001304AE">
        <w:rPr>
          <w:rFonts w:ascii="Times New Roman" w:hAnsi="Times New Roman" w:cs="Times New Roman"/>
          <w:sz w:val="20"/>
          <w:szCs w:val="20"/>
        </w:rPr>
        <w:t>Mullis, I. V., Martin, M. O., Foy, P., Kelly, D. L., &amp; Fishbein, B. (20</w:t>
      </w:r>
      <w:r w:rsidR="00A50BBB">
        <w:rPr>
          <w:rFonts w:ascii="Times New Roman" w:hAnsi="Times New Roman" w:cs="Times New Roman"/>
          <w:sz w:val="20"/>
          <w:szCs w:val="20"/>
        </w:rPr>
        <w:t>19</w:t>
      </w:r>
      <w:r w:rsidRPr="001304AE">
        <w:rPr>
          <w:rFonts w:ascii="Times New Roman" w:hAnsi="Times New Roman" w:cs="Times New Roman"/>
          <w:sz w:val="20"/>
          <w:szCs w:val="20"/>
        </w:rPr>
        <w:t>). TIMSS 2019 international results in mathematics and science.</w:t>
      </w:r>
      <w:r>
        <w:rPr>
          <w:rFonts w:ascii="Times New Roman" w:hAnsi="Times New Roman" w:cs="Times New Roman"/>
          <w:sz w:val="20"/>
          <w:szCs w:val="20"/>
        </w:rPr>
        <w:t xml:space="preserve"> </w:t>
      </w:r>
      <w:r w:rsidRPr="001304AE">
        <w:rPr>
          <w:rFonts w:ascii="Times New Roman" w:hAnsi="Times New Roman" w:cs="Times New Roman"/>
          <w:sz w:val="20"/>
          <w:szCs w:val="20"/>
        </w:rPr>
        <w:t>https://www.skolporten.se/app/uploads/2020/12/timss-2019-highlights-1.pdf</w:t>
      </w:r>
    </w:p>
    <w:p w14:paraId="78768247" w14:textId="04C7FF8F" w:rsidR="00981A70" w:rsidRPr="00F24E24" w:rsidRDefault="00981A70" w:rsidP="00981A70">
      <w:pPr>
        <w:spacing w:line="240" w:lineRule="auto"/>
        <w:ind w:left="720" w:hanging="720"/>
        <w:jc w:val="both"/>
        <w:rPr>
          <w:rFonts w:ascii="Times New Roman" w:hAnsi="Times New Roman" w:cs="Times New Roman"/>
          <w:sz w:val="20"/>
          <w:szCs w:val="20"/>
        </w:rPr>
      </w:pPr>
      <w:r w:rsidRPr="00981A70">
        <w:rPr>
          <w:rFonts w:ascii="Times New Roman" w:hAnsi="Times New Roman" w:cs="Times New Roman"/>
          <w:sz w:val="20"/>
          <w:szCs w:val="20"/>
        </w:rPr>
        <w:t>National Academies of Sciences, Engineering, and Medicine</w:t>
      </w:r>
      <w:r>
        <w:rPr>
          <w:rFonts w:ascii="Times New Roman" w:hAnsi="Times New Roman" w:cs="Times New Roman"/>
          <w:sz w:val="20"/>
          <w:szCs w:val="20"/>
        </w:rPr>
        <w:t xml:space="preserve"> (</w:t>
      </w:r>
      <w:r w:rsidRPr="00981A70">
        <w:rPr>
          <w:rFonts w:ascii="Times New Roman" w:hAnsi="Times New Roman" w:cs="Times New Roman"/>
          <w:sz w:val="20"/>
          <w:szCs w:val="20"/>
        </w:rPr>
        <w:t>2012</w:t>
      </w:r>
      <w:r>
        <w:rPr>
          <w:rFonts w:ascii="Times New Roman" w:hAnsi="Times New Roman" w:cs="Times New Roman"/>
          <w:sz w:val="20"/>
          <w:szCs w:val="20"/>
        </w:rPr>
        <w:t>)</w:t>
      </w:r>
      <w:r w:rsidRPr="00981A70">
        <w:rPr>
          <w:rFonts w:ascii="Times New Roman" w:hAnsi="Times New Roman" w:cs="Times New Roman"/>
          <w:sz w:val="20"/>
          <w:szCs w:val="20"/>
        </w:rPr>
        <w:t xml:space="preserve">. A Framework for K-12 Science Education: Practices, Crosscutting Concepts, and Core Ideas. Washington, DC: </w:t>
      </w:r>
      <w:r w:rsidRPr="00981A70">
        <w:rPr>
          <w:rFonts w:ascii="Times New Roman" w:hAnsi="Times New Roman" w:cs="Times New Roman"/>
          <w:i/>
          <w:iCs/>
          <w:sz w:val="20"/>
          <w:szCs w:val="20"/>
        </w:rPr>
        <w:t>The National Academies Press.</w:t>
      </w:r>
      <w:r w:rsidRPr="00981A70">
        <w:rPr>
          <w:rFonts w:ascii="Times New Roman" w:hAnsi="Times New Roman" w:cs="Times New Roman"/>
          <w:sz w:val="20"/>
          <w:szCs w:val="20"/>
        </w:rPr>
        <w:t xml:space="preserve"> https://doi.org/10.17226/13165.</w:t>
      </w:r>
    </w:p>
    <w:p w14:paraId="3FA6359D" w14:textId="6BD1D4FE" w:rsidR="006E0B1C" w:rsidRDefault="006E0B1C" w:rsidP="00255F14">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Cuasito, R., Doliguez, Z., Maglinte, F., &amp; Pableo, R. (2022). Teaching Competencies and Coping Mechanisms among the Selected Public Primary and Secondary Schools in Agusan del Sur Division: Teachers in the New Normal Education. </w:t>
      </w:r>
      <w:r w:rsidRPr="006E0B1C">
        <w:rPr>
          <w:rFonts w:ascii="Times New Roman" w:hAnsi="Times New Roman" w:cs="Times New Roman"/>
          <w:i/>
          <w:iCs/>
          <w:sz w:val="20"/>
          <w:szCs w:val="20"/>
        </w:rPr>
        <w:t>Psychology and Education: A Multidisciplinary Journal, 3</w:t>
      </w:r>
      <w:r w:rsidRPr="006E0B1C">
        <w:rPr>
          <w:rFonts w:ascii="Times New Roman" w:hAnsi="Times New Roman" w:cs="Times New Roman"/>
          <w:sz w:val="20"/>
          <w:szCs w:val="20"/>
        </w:rPr>
        <w:t>(10), 969-974. DOI: 10.5281/zenodo.7023992</w:t>
      </w:r>
    </w:p>
    <w:p w14:paraId="7D7DE6CB" w14:textId="77777777" w:rsidR="006E0B1C" w:rsidRPr="006E0B1C" w:rsidRDefault="006E0B1C" w:rsidP="006E0B1C">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M., Guzman, M. T., Ochavez, E. E., &amp; Dano, C. O. (2023). Ethno-learning resources in teaching biology for promoting sustainability education: A district-wide science problem. </w:t>
      </w:r>
      <w:r w:rsidRPr="006E0B1C">
        <w:rPr>
          <w:rFonts w:ascii="Times New Roman" w:hAnsi="Times New Roman" w:cs="Times New Roman"/>
          <w:i/>
          <w:iCs/>
          <w:sz w:val="20"/>
          <w:szCs w:val="20"/>
        </w:rPr>
        <w:t>American Journal of Education and Technology, 2</w:t>
      </w:r>
      <w:r w:rsidRPr="006E0B1C">
        <w:rPr>
          <w:rFonts w:ascii="Times New Roman" w:hAnsi="Times New Roman" w:cs="Times New Roman"/>
          <w:sz w:val="20"/>
          <w:szCs w:val="20"/>
        </w:rPr>
        <w:t>(2), 1-9. DOI: https://doi.org/10.54536/ajet.v2i2.1322</w:t>
      </w:r>
    </w:p>
    <w:p w14:paraId="378ABDD2" w14:textId="77777777" w:rsidR="006E0B1C" w:rsidRDefault="006E0B1C" w:rsidP="006E0B1C">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M., Taray, J. D., Cinso, J. S., Ingaling, B. S., Enguio, M. J. A., &amp; Hayon, C. P. B. (2025). Level of attitude, behavior, and awareness of senior high school students toward environmental conservation. </w:t>
      </w:r>
      <w:r w:rsidRPr="006E0B1C">
        <w:rPr>
          <w:rFonts w:ascii="Times New Roman" w:hAnsi="Times New Roman" w:cs="Times New Roman"/>
          <w:i/>
          <w:iCs/>
          <w:sz w:val="20"/>
          <w:szCs w:val="20"/>
        </w:rPr>
        <w:t>JPBI (Jurnal Pendidikan Biologi Indonesia), 11</w:t>
      </w:r>
      <w:r w:rsidRPr="006E0B1C">
        <w:rPr>
          <w:rFonts w:ascii="Times New Roman" w:hAnsi="Times New Roman" w:cs="Times New Roman"/>
          <w:sz w:val="20"/>
          <w:szCs w:val="20"/>
        </w:rPr>
        <w:t>(1), 111-124. DOI: https://doi.org/10.22219/jpbi.v11i1.37861</w:t>
      </w:r>
    </w:p>
    <w:p w14:paraId="01B34D26" w14:textId="77777777" w:rsidR="003E403A" w:rsidRDefault="003E403A" w:rsidP="006E0B1C">
      <w:pPr>
        <w:spacing w:line="240" w:lineRule="auto"/>
        <w:ind w:left="720" w:hanging="720"/>
        <w:jc w:val="both"/>
        <w:rPr>
          <w:rFonts w:ascii="Times New Roman" w:hAnsi="Times New Roman" w:cs="Times New Roman"/>
          <w:sz w:val="20"/>
          <w:szCs w:val="20"/>
        </w:rPr>
      </w:pPr>
      <w:r w:rsidRPr="003E403A">
        <w:rPr>
          <w:rFonts w:ascii="Times New Roman" w:hAnsi="Times New Roman" w:cs="Times New Roman"/>
          <w:sz w:val="20"/>
          <w:szCs w:val="20"/>
        </w:rPr>
        <w:lastRenderedPageBreak/>
        <w:t xml:space="preserve">Siregar, S. M., Asmoro, W., Maqah, G. N., Syabila, T., &amp; Ginting, Z. S. A. (2024). Implementation of the Centra Learning Based Contextual Learning Model at RA Nurjannah, Tanjung Mulia Village. </w:t>
      </w:r>
      <w:r w:rsidRPr="003E403A">
        <w:rPr>
          <w:rFonts w:ascii="Times New Roman" w:hAnsi="Times New Roman" w:cs="Times New Roman"/>
          <w:i/>
          <w:iCs/>
          <w:sz w:val="20"/>
          <w:szCs w:val="20"/>
        </w:rPr>
        <w:t>Holistic Science, 4</w:t>
      </w:r>
      <w:r w:rsidRPr="003E403A">
        <w:rPr>
          <w:rFonts w:ascii="Times New Roman" w:hAnsi="Times New Roman" w:cs="Times New Roman"/>
          <w:sz w:val="20"/>
          <w:szCs w:val="20"/>
        </w:rPr>
        <w:t xml:space="preserve">(2), 272–282. https://doi.org/10.56495/hs.v4i2.635 </w:t>
      </w:r>
    </w:p>
    <w:p w14:paraId="468F9267" w14:textId="4E5082B6" w:rsidR="005A701D" w:rsidRPr="006E0B1C" w:rsidRDefault="005A701D" w:rsidP="006E0B1C">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Stofflett, Rene T. (2018). Putting Constructivist Teaching into Practice in Undergraduate Introductory Science. </w:t>
      </w:r>
      <w:r w:rsidRPr="006E0B1C">
        <w:rPr>
          <w:rFonts w:ascii="Times New Roman" w:hAnsi="Times New Roman" w:cs="Times New Roman"/>
          <w:i/>
          <w:iCs/>
          <w:sz w:val="20"/>
          <w:szCs w:val="20"/>
        </w:rPr>
        <w:t>Electronic Journal of Science Education, Vol. 3,</w:t>
      </w:r>
      <w:r w:rsidRPr="00F24E24">
        <w:rPr>
          <w:rFonts w:ascii="Times New Roman" w:hAnsi="Times New Roman" w:cs="Times New Roman"/>
          <w:sz w:val="20"/>
          <w:szCs w:val="20"/>
        </w:rPr>
        <w:t xml:space="preserve"> No. 2.</w:t>
      </w:r>
    </w:p>
    <w:p w14:paraId="0CF05FC6" w14:textId="77777777" w:rsidR="00786EBE" w:rsidRDefault="00786EBE" w:rsidP="00255F14">
      <w:pPr>
        <w:spacing w:line="240" w:lineRule="auto"/>
        <w:ind w:left="720" w:hanging="720"/>
        <w:jc w:val="both"/>
        <w:rPr>
          <w:rFonts w:ascii="Times New Roman" w:hAnsi="Times New Roman" w:cs="Times New Roman"/>
          <w:i/>
          <w:iCs/>
          <w:sz w:val="20"/>
          <w:szCs w:val="20"/>
        </w:rPr>
      </w:pPr>
      <w:r w:rsidRPr="00F24E24">
        <w:rPr>
          <w:rFonts w:ascii="Times New Roman" w:hAnsi="Times New Roman" w:cs="Times New Roman"/>
          <w:sz w:val="20"/>
          <w:szCs w:val="20"/>
        </w:rPr>
        <w:t xml:space="preserve">TIMSS. 2012. Assessment. Copyright © 2012 International Association for the Evaluation of Educational Achievement (IEA). </w:t>
      </w:r>
      <w:r w:rsidRPr="006E0B1C">
        <w:rPr>
          <w:rFonts w:ascii="Times New Roman" w:hAnsi="Times New Roman" w:cs="Times New Roman"/>
          <w:i/>
          <w:iCs/>
          <w:sz w:val="20"/>
          <w:szCs w:val="20"/>
        </w:rPr>
        <w:t xml:space="preserve">Publisher: TIMSS &amp; PIRLS International Study Center, Lynch School of Education, Boston College, Chestnut Hill, MA, and International Association for the Evaluation of </w:t>
      </w:r>
      <w:bookmarkStart w:id="1" w:name="_GoBack"/>
      <w:bookmarkEnd w:id="1"/>
      <w:r w:rsidRPr="006E0B1C">
        <w:rPr>
          <w:rFonts w:ascii="Times New Roman" w:hAnsi="Times New Roman" w:cs="Times New Roman"/>
          <w:i/>
          <w:iCs/>
          <w:sz w:val="20"/>
          <w:szCs w:val="20"/>
        </w:rPr>
        <w:t>Educational Achievement (IEA), IEA Secretariat, Amsterdam, the Netherlands.</w:t>
      </w:r>
    </w:p>
    <w:p w14:paraId="7C96E70C" w14:textId="77777777" w:rsidR="00786EBE" w:rsidRPr="00F24E24" w:rsidRDefault="00786EBE"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University School of Jackson.http://www.usjbruins.org/academics/lower-school/center-teachinghttps://www.google.com/search?q=University+School+of+Jackson+.http%3A%2F%2Fwww.usjbruins. org%2Facademics%2Flower-school%2Fcenter-teaching&amp;</w:t>
      </w:r>
      <w:r w:rsidR="0030743B" w:rsidRPr="00F24E24">
        <w:rPr>
          <w:rFonts w:ascii="Times New Roman" w:hAnsi="Times New Roman" w:cs="Times New Roman"/>
          <w:sz w:val="20"/>
          <w:szCs w:val="20"/>
        </w:rPr>
        <w:t>i.e.,=</w:t>
      </w:r>
      <w:r w:rsidRPr="00F24E24">
        <w:rPr>
          <w:rFonts w:ascii="Times New Roman" w:hAnsi="Times New Roman" w:cs="Times New Roman"/>
          <w:sz w:val="20"/>
          <w:szCs w:val="20"/>
        </w:rPr>
        <w:t>utf-8&amp;oe=utf-8</w:t>
      </w:r>
    </w:p>
    <w:p w14:paraId="442AB96F" w14:textId="77777777" w:rsidR="00612A65" w:rsidRPr="00F24E24" w:rsidRDefault="00612A65" w:rsidP="00255F14">
      <w:pPr>
        <w:spacing w:line="240" w:lineRule="auto"/>
        <w:ind w:left="720" w:hanging="720"/>
        <w:jc w:val="both"/>
        <w:rPr>
          <w:rFonts w:ascii="Times New Roman" w:hAnsi="Times New Roman" w:cs="Times New Roman"/>
        </w:rPr>
      </w:pPr>
      <w:r w:rsidRPr="00F24E24">
        <w:rPr>
          <w:rFonts w:ascii="Times New Roman" w:hAnsi="Times New Roman" w:cs="Times New Roman"/>
          <w:sz w:val="20"/>
          <w:szCs w:val="20"/>
        </w:rPr>
        <w:t xml:space="preserve">Yore, Larry D. 2001. What is Meant by Constructivist Science Teaching and Will the Science Education Community Stay the Course for Meaningful Reform? </w:t>
      </w:r>
      <w:r w:rsidRPr="006E0B1C">
        <w:rPr>
          <w:rFonts w:ascii="Times New Roman" w:hAnsi="Times New Roman" w:cs="Times New Roman"/>
          <w:i/>
          <w:iCs/>
          <w:sz w:val="20"/>
          <w:szCs w:val="20"/>
        </w:rPr>
        <w:t>Electronic Journal of Science Education, Vol. 5,</w:t>
      </w:r>
      <w:r w:rsidRPr="00F24E24">
        <w:rPr>
          <w:rFonts w:ascii="Times New Roman" w:hAnsi="Times New Roman" w:cs="Times New Roman"/>
          <w:sz w:val="20"/>
          <w:szCs w:val="20"/>
        </w:rPr>
        <w:t xml:space="preserve"> No. 4.</w:t>
      </w:r>
    </w:p>
    <w:p w14:paraId="3618BDC1" w14:textId="77777777" w:rsidR="00786EBE" w:rsidRPr="00F24E24" w:rsidRDefault="00786EBE" w:rsidP="00255F14">
      <w:pPr>
        <w:spacing w:line="240" w:lineRule="auto"/>
        <w:ind w:left="720" w:hanging="720"/>
        <w:jc w:val="both"/>
        <w:rPr>
          <w:rFonts w:ascii="Times New Roman" w:hAnsi="Times New Roman" w:cs="Times New Roman"/>
        </w:rPr>
      </w:pPr>
    </w:p>
    <w:p w14:paraId="6E345433" w14:textId="77777777" w:rsidR="001012D0" w:rsidRPr="00F24E24" w:rsidRDefault="001012D0" w:rsidP="00255F14">
      <w:pPr>
        <w:spacing w:line="240" w:lineRule="auto"/>
        <w:ind w:left="720" w:hanging="720"/>
        <w:jc w:val="both"/>
        <w:rPr>
          <w:rFonts w:ascii="Times New Roman" w:hAnsi="Times New Roman" w:cs="Times New Roman"/>
        </w:rPr>
      </w:pPr>
    </w:p>
    <w:p w14:paraId="688F267B" w14:textId="77777777" w:rsidR="001012D0" w:rsidRPr="00F24E24" w:rsidRDefault="001012D0" w:rsidP="00255F14">
      <w:pPr>
        <w:spacing w:line="240" w:lineRule="auto"/>
        <w:ind w:left="720" w:hanging="720"/>
        <w:jc w:val="both"/>
        <w:rPr>
          <w:rFonts w:ascii="Times New Roman" w:hAnsi="Times New Roman" w:cs="Times New Roman"/>
        </w:rPr>
      </w:pPr>
    </w:p>
    <w:p w14:paraId="56C4238F" w14:textId="77777777" w:rsidR="001012D0" w:rsidRDefault="001012D0" w:rsidP="00255F14">
      <w:pPr>
        <w:spacing w:line="240" w:lineRule="auto"/>
        <w:ind w:left="720" w:hanging="720"/>
        <w:jc w:val="both"/>
        <w:rPr>
          <w:rFonts w:ascii="Cambria" w:hAnsi="Cambria"/>
          <w:sz w:val="28"/>
          <w:szCs w:val="28"/>
        </w:rPr>
      </w:pPr>
    </w:p>
    <w:p w14:paraId="3D950DD9" w14:textId="77777777" w:rsidR="001012D0" w:rsidRDefault="001012D0" w:rsidP="00255F14">
      <w:pPr>
        <w:spacing w:line="240" w:lineRule="auto"/>
        <w:ind w:left="720" w:hanging="720"/>
        <w:jc w:val="both"/>
        <w:rPr>
          <w:rFonts w:ascii="Cambria" w:hAnsi="Cambria"/>
          <w:sz w:val="28"/>
          <w:szCs w:val="28"/>
        </w:rPr>
      </w:pPr>
    </w:p>
    <w:p w14:paraId="1A412310" w14:textId="77777777" w:rsidR="001012D0" w:rsidRDefault="001012D0" w:rsidP="00255F14">
      <w:pPr>
        <w:spacing w:line="240" w:lineRule="auto"/>
        <w:ind w:left="720" w:hanging="720"/>
        <w:jc w:val="both"/>
        <w:rPr>
          <w:rFonts w:ascii="Cambria" w:hAnsi="Cambria"/>
          <w:sz w:val="28"/>
          <w:szCs w:val="28"/>
        </w:rPr>
      </w:pPr>
    </w:p>
    <w:p w14:paraId="7DD87127" w14:textId="47B994C6" w:rsidR="00FE7E97" w:rsidRPr="001012D0" w:rsidRDefault="00E15F63" w:rsidP="002C786B">
      <w:pPr>
        <w:spacing w:after="0" w:line="240" w:lineRule="auto"/>
        <w:ind w:left="2160"/>
        <w:jc w:val="both"/>
        <w:rPr>
          <w:rFonts w:ascii="Cambria" w:hAnsi="Cambria"/>
          <w:sz w:val="24"/>
          <w:szCs w:val="24"/>
        </w:rPr>
      </w:pPr>
      <w:r>
        <w:rPr>
          <w:rFonts w:ascii="Cambria" w:hAnsi="Cambria"/>
          <w:sz w:val="24"/>
          <w:szCs w:val="24"/>
        </w:rPr>
        <w:t xml:space="preserve"> </w:t>
      </w:r>
    </w:p>
    <w:sectPr w:rsidR="00FE7E97" w:rsidRPr="001012D0" w:rsidSect="00246306">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3614"/>
    <w:multiLevelType w:val="hybridMultilevel"/>
    <w:tmpl w:val="2D8EEE52"/>
    <w:lvl w:ilvl="0" w:tplc="881C0B7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2C3E11B3"/>
    <w:multiLevelType w:val="hybridMultilevel"/>
    <w:tmpl w:val="13DE883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55F042A"/>
    <w:multiLevelType w:val="hybridMultilevel"/>
    <w:tmpl w:val="16D4170E"/>
    <w:lvl w:ilvl="0" w:tplc="A22E43B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79686B38"/>
    <w:multiLevelType w:val="hybridMultilevel"/>
    <w:tmpl w:val="A620B6D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3B"/>
    <w:rsid w:val="00035F80"/>
    <w:rsid w:val="00045E97"/>
    <w:rsid w:val="00071D28"/>
    <w:rsid w:val="000763B4"/>
    <w:rsid w:val="000772D5"/>
    <w:rsid w:val="000A24EF"/>
    <w:rsid w:val="000B1826"/>
    <w:rsid w:val="000B5587"/>
    <w:rsid w:val="000B73CF"/>
    <w:rsid w:val="000C3D97"/>
    <w:rsid w:val="000C775D"/>
    <w:rsid w:val="001012D0"/>
    <w:rsid w:val="001047AF"/>
    <w:rsid w:val="001171FA"/>
    <w:rsid w:val="001228CA"/>
    <w:rsid w:val="001304AE"/>
    <w:rsid w:val="001651BD"/>
    <w:rsid w:val="00172231"/>
    <w:rsid w:val="00174016"/>
    <w:rsid w:val="0018234A"/>
    <w:rsid w:val="001964A1"/>
    <w:rsid w:val="00197DB9"/>
    <w:rsid w:val="001A0BF4"/>
    <w:rsid w:val="001C5BA5"/>
    <w:rsid w:val="001D5DF6"/>
    <w:rsid w:val="001E1871"/>
    <w:rsid w:val="001F6902"/>
    <w:rsid w:val="002071AB"/>
    <w:rsid w:val="0022507D"/>
    <w:rsid w:val="002250F6"/>
    <w:rsid w:val="002268A3"/>
    <w:rsid w:val="002339D9"/>
    <w:rsid w:val="00243E81"/>
    <w:rsid w:val="00246306"/>
    <w:rsid w:val="00255F14"/>
    <w:rsid w:val="0027359D"/>
    <w:rsid w:val="00291C4F"/>
    <w:rsid w:val="0029799B"/>
    <w:rsid w:val="002C00FE"/>
    <w:rsid w:val="002C67F2"/>
    <w:rsid w:val="002C786B"/>
    <w:rsid w:val="002F070D"/>
    <w:rsid w:val="002F1AA0"/>
    <w:rsid w:val="002F6E5A"/>
    <w:rsid w:val="003043FF"/>
    <w:rsid w:val="0030743B"/>
    <w:rsid w:val="0032360A"/>
    <w:rsid w:val="00323622"/>
    <w:rsid w:val="00332EA7"/>
    <w:rsid w:val="00333E8C"/>
    <w:rsid w:val="00356725"/>
    <w:rsid w:val="003579DA"/>
    <w:rsid w:val="00364F69"/>
    <w:rsid w:val="00384B87"/>
    <w:rsid w:val="003A5D76"/>
    <w:rsid w:val="003A6015"/>
    <w:rsid w:val="003A6922"/>
    <w:rsid w:val="003D1404"/>
    <w:rsid w:val="003E403A"/>
    <w:rsid w:val="003E6153"/>
    <w:rsid w:val="003F20DA"/>
    <w:rsid w:val="00401C3B"/>
    <w:rsid w:val="00426A21"/>
    <w:rsid w:val="00430510"/>
    <w:rsid w:val="004349F5"/>
    <w:rsid w:val="004352D1"/>
    <w:rsid w:val="004353DD"/>
    <w:rsid w:val="004429D0"/>
    <w:rsid w:val="00446D13"/>
    <w:rsid w:val="004503CB"/>
    <w:rsid w:val="00451A98"/>
    <w:rsid w:val="00453C3D"/>
    <w:rsid w:val="00481529"/>
    <w:rsid w:val="0048458E"/>
    <w:rsid w:val="00494060"/>
    <w:rsid w:val="00496B51"/>
    <w:rsid w:val="004A0E42"/>
    <w:rsid w:val="004A16E2"/>
    <w:rsid w:val="004A487F"/>
    <w:rsid w:val="004C2218"/>
    <w:rsid w:val="004C5515"/>
    <w:rsid w:val="00505C0C"/>
    <w:rsid w:val="00511B8C"/>
    <w:rsid w:val="00526546"/>
    <w:rsid w:val="00527731"/>
    <w:rsid w:val="00537FB1"/>
    <w:rsid w:val="00540D3E"/>
    <w:rsid w:val="00543C6E"/>
    <w:rsid w:val="00551DC4"/>
    <w:rsid w:val="005577D6"/>
    <w:rsid w:val="005776CB"/>
    <w:rsid w:val="00583FD6"/>
    <w:rsid w:val="005873E3"/>
    <w:rsid w:val="0059249C"/>
    <w:rsid w:val="005A701D"/>
    <w:rsid w:val="005B1DD5"/>
    <w:rsid w:val="005C3D6B"/>
    <w:rsid w:val="005E29F5"/>
    <w:rsid w:val="005F37C3"/>
    <w:rsid w:val="00600526"/>
    <w:rsid w:val="00602390"/>
    <w:rsid w:val="00612A65"/>
    <w:rsid w:val="00630BF5"/>
    <w:rsid w:val="006333A6"/>
    <w:rsid w:val="00641277"/>
    <w:rsid w:val="006466F1"/>
    <w:rsid w:val="006A2091"/>
    <w:rsid w:val="006A62B3"/>
    <w:rsid w:val="006B018D"/>
    <w:rsid w:val="006B454A"/>
    <w:rsid w:val="006E0B1C"/>
    <w:rsid w:val="006E0E93"/>
    <w:rsid w:val="006E2434"/>
    <w:rsid w:val="006F2095"/>
    <w:rsid w:val="00722FE6"/>
    <w:rsid w:val="00733B90"/>
    <w:rsid w:val="00736491"/>
    <w:rsid w:val="00751347"/>
    <w:rsid w:val="00751611"/>
    <w:rsid w:val="00753AC4"/>
    <w:rsid w:val="00771559"/>
    <w:rsid w:val="0077552C"/>
    <w:rsid w:val="0077648C"/>
    <w:rsid w:val="00786EBE"/>
    <w:rsid w:val="007C1C98"/>
    <w:rsid w:val="007D528D"/>
    <w:rsid w:val="007E77D5"/>
    <w:rsid w:val="007F01EE"/>
    <w:rsid w:val="00800696"/>
    <w:rsid w:val="008038EB"/>
    <w:rsid w:val="008113B2"/>
    <w:rsid w:val="0082056E"/>
    <w:rsid w:val="0082362D"/>
    <w:rsid w:val="008432B4"/>
    <w:rsid w:val="00857D1A"/>
    <w:rsid w:val="008654C7"/>
    <w:rsid w:val="00880D9D"/>
    <w:rsid w:val="008875E4"/>
    <w:rsid w:val="0088798F"/>
    <w:rsid w:val="008B6E27"/>
    <w:rsid w:val="0090002C"/>
    <w:rsid w:val="00924F28"/>
    <w:rsid w:val="009346A8"/>
    <w:rsid w:val="00936592"/>
    <w:rsid w:val="0094251F"/>
    <w:rsid w:val="00950BD9"/>
    <w:rsid w:val="0095372B"/>
    <w:rsid w:val="009665FE"/>
    <w:rsid w:val="00967075"/>
    <w:rsid w:val="00975C3F"/>
    <w:rsid w:val="00980C24"/>
    <w:rsid w:val="00981A70"/>
    <w:rsid w:val="009A0C72"/>
    <w:rsid w:val="009A2256"/>
    <w:rsid w:val="009A27CC"/>
    <w:rsid w:val="009C0353"/>
    <w:rsid w:val="009D0011"/>
    <w:rsid w:val="009E0BFF"/>
    <w:rsid w:val="009E3711"/>
    <w:rsid w:val="009F0B68"/>
    <w:rsid w:val="009F24EB"/>
    <w:rsid w:val="00A144B0"/>
    <w:rsid w:val="00A50BBB"/>
    <w:rsid w:val="00A52202"/>
    <w:rsid w:val="00A601B3"/>
    <w:rsid w:val="00A672C9"/>
    <w:rsid w:val="00A677A9"/>
    <w:rsid w:val="00A71388"/>
    <w:rsid w:val="00A86897"/>
    <w:rsid w:val="00A86B78"/>
    <w:rsid w:val="00AB3FFA"/>
    <w:rsid w:val="00AB66BE"/>
    <w:rsid w:val="00AB6BB3"/>
    <w:rsid w:val="00AC19BF"/>
    <w:rsid w:val="00AE54A8"/>
    <w:rsid w:val="00B201B6"/>
    <w:rsid w:val="00B26EBE"/>
    <w:rsid w:val="00B3746A"/>
    <w:rsid w:val="00B94DDA"/>
    <w:rsid w:val="00BA3C00"/>
    <w:rsid w:val="00BC296B"/>
    <w:rsid w:val="00BC7C63"/>
    <w:rsid w:val="00BD7A6C"/>
    <w:rsid w:val="00BF1F27"/>
    <w:rsid w:val="00C01896"/>
    <w:rsid w:val="00C150EB"/>
    <w:rsid w:val="00C22EC2"/>
    <w:rsid w:val="00C30FDC"/>
    <w:rsid w:val="00C32A95"/>
    <w:rsid w:val="00C50C32"/>
    <w:rsid w:val="00C53372"/>
    <w:rsid w:val="00C53E33"/>
    <w:rsid w:val="00C803EA"/>
    <w:rsid w:val="00C82D4F"/>
    <w:rsid w:val="00C87B46"/>
    <w:rsid w:val="00CA3370"/>
    <w:rsid w:val="00CA74B7"/>
    <w:rsid w:val="00CD1CA7"/>
    <w:rsid w:val="00CE127B"/>
    <w:rsid w:val="00D044CC"/>
    <w:rsid w:val="00D1187D"/>
    <w:rsid w:val="00D204D3"/>
    <w:rsid w:val="00D20853"/>
    <w:rsid w:val="00D334AF"/>
    <w:rsid w:val="00D35BE1"/>
    <w:rsid w:val="00D447C1"/>
    <w:rsid w:val="00D550E2"/>
    <w:rsid w:val="00D6251D"/>
    <w:rsid w:val="00D66118"/>
    <w:rsid w:val="00DC6EB8"/>
    <w:rsid w:val="00DE0505"/>
    <w:rsid w:val="00DE1D04"/>
    <w:rsid w:val="00DF05B5"/>
    <w:rsid w:val="00E0347B"/>
    <w:rsid w:val="00E15F63"/>
    <w:rsid w:val="00E344B0"/>
    <w:rsid w:val="00E4490B"/>
    <w:rsid w:val="00E55B75"/>
    <w:rsid w:val="00E61AF1"/>
    <w:rsid w:val="00E7206F"/>
    <w:rsid w:val="00E82DC1"/>
    <w:rsid w:val="00E83FB8"/>
    <w:rsid w:val="00EB0D45"/>
    <w:rsid w:val="00EB21A2"/>
    <w:rsid w:val="00EE224B"/>
    <w:rsid w:val="00EE7418"/>
    <w:rsid w:val="00F10F0B"/>
    <w:rsid w:val="00F14D46"/>
    <w:rsid w:val="00F24E24"/>
    <w:rsid w:val="00F2551E"/>
    <w:rsid w:val="00F27C77"/>
    <w:rsid w:val="00F44A10"/>
    <w:rsid w:val="00F4650B"/>
    <w:rsid w:val="00F51416"/>
    <w:rsid w:val="00F54113"/>
    <w:rsid w:val="00F62110"/>
    <w:rsid w:val="00F64467"/>
    <w:rsid w:val="00F6545C"/>
    <w:rsid w:val="00F7076F"/>
    <w:rsid w:val="00F90F71"/>
    <w:rsid w:val="00FA3E57"/>
    <w:rsid w:val="00FA547C"/>
    <w:rsid w:val="00FE7E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3549"/>
  <w15:chartTrackingRefBased/>
  <w15:docId w15:val="{FA734ABD-0ECD-4CFB-8D63-13DD6BCA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98"/>
    <w:pPr>
      <w:ind w:left="720"/>
      <w:contextualSpacing/>
    </w:pPr>
  </w:style>
  <w:style w:type="table" w:styleId="TableGrid">
    <w:name w:val="Table Grid"/>
    <w:basedOn w:val="TableNormal"/>
    <w:uiPriority w:val="39"/>
    <w:rsid w:val="00B2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F14"/>
    <w:rPr>
      <w:color w:val="0563C1" w:themeColor="hyperlink"/>
      <w:u w:val="single"/>
    </w:rPr>
  </w:style>
  <w:style w:type="character" w:styleId="UnresolvedMention">
    <w:name w:val="Unresolved Mention"/>
    <w:basedOn w:val="DefaultParagraphFont"/>
    <w:uiPriority w:val="99"/>
    <w:semiHidden/>
    <w:unhideWhenUsed/>
    <w:rsid w:val="00255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0452">
      <w:bodyDiv w:val="1"/>
      <w:marLeft w:val="0"/>
      <w:marRight w:val="0"/>
      <w:marTop w:val="0"/>
      <w:marBottom w:val="0"/>
      <w:divBdr>
        <w:top w:val="none" w:sz="0" w:space="0" w:color="auto"/>
        <w:left w:val="none" w:sz="0" w:space="0" w:color="auto"/>
        <w:bottom w:val="none" w:sz="0" w:space="0" w:color="auto"/>
        <w:right w:val="none" w:sz="0" w:space="0" w:color="auto"/>
      </w:divBdr>
    </w:div>
    <w:div w:id="347174121">
      <w:bodyDiv w:val="1"/>
      <w:marLeft w:val="0"/>
      <w:marRight w:val="0"/>
      <w:marTop w:val="0"/>
      <w:marBottom w:val="0"/>
      <w:divBdr>
        <w:top w:val="none" w:sz="0" w:space="0" w:color="auto"/>
        <w:left w:val="none" w:sz="0" w:space="0" w:color="auto"/>
        <w:bottom w:val="none" w:sz="0" w:space="0" w:color="auto"/>
        <w:right w:val="none" w:sz="0" w:space="0" w:color="auto"/>
      </w:divBdr>
    </w:div>
    <w:div w:id="376779601">
      <w:bodyDiv w:val="1"/>
      <w:marLeft w:val="0"/>
      <w:marRight w:val="0"/>
      <w:marTop w:val="0"/>
      <w:marBottom w:val="0"/>
      <w:divBdr>
        <w:top w:val="none" w:sz="0" w:space="0" w:color="auto"/>
        <w:left w:val="none" w:sz="0" w:space="0" w:color="auto"/>
        <w:bottom w:val="none" w:sz="0" w:space="0" w:color="auto"/>
        <w:right w:val="none" w:sz="0" w:space="0" w:color="auto"/>
      </w:divBdr>
      <w:divsChild>
        <w:div w:id="828717454">
          <w:marLeft w:val="0"/>
          <w:marRight w:val="0"/>
          <w:marTop w:val="0"/>
          <w:marBottom w:val="0"/>
          <w:divBdr>
            <w:top w:val="none" w:sz="0" w:space="0" w:color="auto"/>
            <w:left w:val="none" w:sz="0" w:space="0" w:color="auto"/>
            <w:bottom w:val="none" w:sz="0" w:space="0" w:color="auto"/>
            <w:right w:val="none" w:sz="0" w:space="0" w:color="auto"/>
          </w:divBdr>
          <w:divsChild>
            <w:div w:id="759450320">
              <w:marLeft w:val="0"/>
              <w:marRight w:val="0"/>
              <w:marTop w:val="0"/>
              <w:marBottom w:val="0"/>
              <w:divBdr>
                <w:top w:val="none" w:sz="0" w:space="0" w:color="auto"/>
                <w:left w:val="none" w:sz="0" w:space="0" w:color="auto"/>
                <w:bottom w:val="none" w:sz="0" w:space="0" w:color="auto"/>
                <w:right w:val="none" w:sz="0" w:space="0" w:color="auto"/>
              </w:divBdr>
              <w:divsChild>
                <w:div w:id="811680941">
                  <w:marLeft w:val="0"/>
                  <w:marRight w:val="0"/>
                  <w:marTop w:val="0"/>
                  <w:marBottom w:val="0"/>
                  <w:divBdr>
                    <w:top w:val="none" w:sz="0" w:space="0" w:color="auto"/>
                    <w:left w:val="none" w:sz="0" w:space="0" w:color="auto"/>
                    <w:bottom w:val="none" w:sz="0" w:space="0" w:color="auto"/>
                    <w:right w:val="none" w:sz="0" w:space="0" w:color="auto"/>
                  </w:divBdr>
                  <w:divsChild>
                    <w:div w:id="1639917872">
                      <w:marLeft w:val="0"/>
                      <w:marRight w:val="0"/>
                      <w:marTop w:val="0"/>
                      <w:marBottom w:val="0"/>
                      <w:divBdr>
                        <w:top w:val="none" w:sz="0" w:space="0" w:color="auto"/>
                        <w:left w:val="none" w:sz="0" w:space="0" w:color="auto"/>
                        <w:bottom w:val="none" w:sz="0" w:space="0" w:color="auto"/>
                        <w:right w:val="none" w:sz="0" w:space="0" w:color="auto"/>
                      </w:divBdr>
                      <w:divsChild>
                        <w:div w:id="1381246571">
                          <w:marLeft w:val="0"/>
                          <w:marRight w:val="0"/>
                          <w:marTop w:val="0"/>
                          <w:marBottom w:val="0"/>
                          <w:divBdr>
                            <w:top w:val="none" w:sz="0" w:space="0" w:color="auto"/>
                            <w:left w:val="none" w:sz="0" w:space="0" w:color="auto"/>
                            <w:bottom w:val="none" w:sz="0" w:space="0" w:color="auto"/>
                            <w:right w:val="none" w:sz="0" w:space="0" w:color="auto"/>
                          </w:divBdr>
                          <w:divsChild>
                            <w:div w:id="600190144">
                              <w:marLeft w:val="0"/>
                              <w:marRight w:val="0"/>
                              <w:marTop w:val="0"/>
                              <w:marBottom w:val="0"/>
                              <w:divBdr>
                                <w:top w:val="none" w:sz="0" w:space="0" w:color="auto"/>
                                <w:left w:val="none" w:sz="0" w:space="0" w:color="auto"/>
                                <w:bottom w:val="none" w:sz="0" w:space="0" w:color="auto"/>
                                <w:right w:val="none" w:sz="0" w:space="0" w:color="auto"/>
                              </w:divBdr>
                              <w:divsChild>
                                <w:div w:id="1616251862">
                                  <w:marLeft w:val="0"/>
                                  <w:marRight w:val="0"/>
                                  <w:marTop w:val="0"/>
                                  <w:marBottom w:val="0"/>
                                  <w:divBdr>
                                    <w:top w:val="none" w:sz="0" w:space="0" w:color="auto"/>
                                    <w:left w:val="none" w:sz="0" w:space="0" w:color="auto"/>
                                    <w:bottom w:val="none" w:sz="0" w:space="0" w:color="auto"/>
                                    <w:right w:val="none" w:sz="0" w:space="0" w:color="auto"/>
                                  </w:divBdr>
                                  <w:divsChild>
                                    <w:div w:id="1022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218044">
      <w:bodyDiv w:val="1"/>
      <w:marLeft w:val="0"/>
      <w:marRight w:val="0"/>
      <w:marTop w:val="0"/>
      <w:marBottom w:val="0"/>
      <w:divBdr>
        <w:top w:val="none" w:sz="0" w:space="0" w:color="auto"/>
        <w:left w:val="none" w:sz="0" w:space="0" w:color="auto"/>
        <w:bottom w:val="none" w:sz="0" w:space="0" w:color="auto"/>
        <w:right w:val="none" w:sz="0" w:space="0" w:color="auto"/>
      </w:divBdr>
      <w:divsChild>
        <w:div w:id="814032382">
          <w:marLeft w:val="0"/>
          <w:marRight w:val="0"/>
          <w:marTop w:val="0"/>
          <w:marBottom w:val="0"/>
          <w:divBdr>
            <w:top w:val="none" w:sz="0" w:space="0" w:color="auto"/>
            <w:left w:val="none" w:sz="0" w:space="0" w:color="auto"/>
            <w:bottom w:val="none" w:sz="0" w:space="0" w:color="auto"/>
            <w:right w:val="none" w:sz="0" w:space="0" w:color="auto"/>
          </w:divBdr>
          <w:divsChild>
            <w:div w:id="1066876116">
              <w:marLeft w:val="0"/>
              <w:marRight w:val="0"/>
              <w:marTop w:val="0"/>
              <w:marBottom w:val="0"/>
              <w:divBdr>
                <w:top w:val="none" w:sz="0" w:space="0" w:color="auto"/>
                <w:left w:val="none" w:sz="0" w:space="0" w:color="auto"/>
                <w:bottom w:val="none" w:sz="0" w:space="0" w:color="auto"/>
                <w:right w:val="none" w:sz="0" w:space="0" w:color="auto"/>
              </w:divBdr>
              <w:divsChild>
                <w:div w:id="1714383257">
                  <w:marLeft w:val="0"/>
                  <w:marRight w:val="0"/>
                  <w:marTop w:val="0"/>
                  <w:marBottom w:val="0"/>
                  <w:divBdr>
                    <w:top w:val="none" w:sz="0" w:space="0" w:color="auto"/>
                    <w:left w:val="none" w:sz="0" w:space="0" w:color="auto"/>
                    <w:bottom w:val="none" w:sz="0" w:space="0" w:color="auto"/>
                    <w:right w:val="none" w:sz="0" w:space="0" w:color="auto"/>
                  </w:divBdr>
                  <w:divsChild>
                    <w:div w:id="1607274503">
                      <w:marLeft w:val="0"/>
                      <w:marRight w:val="0"/>
                      <w:marTop w:val="0"/>
                      <w:marBottom w:val="0"/>
                      <w:divBdr>
                        <w:top w:val="none" w:sz="0" w:space="0" w:color="auto"/>
                        <w:left w:val="none" w:sz="0" w:space="0" w:color="auto"/>
                        <w:bottom w:val="none" w:sz="0" w:space="0" w:color="auto"/>
                        <w:right w:val="none" w:sz="0" w:space="0" w:color="auto"/>
                      </w:divBdr>
                      <w:divsChild>
                        <w:div w:id="493104841">
                          <w:marLeft w:val="0"/>
                          <w:marRight w:val="0"/>
                          <w:marTop w:val="0"/>
                          <w:marBottom w:val="0"/>
                          <w:divBdr>
                            <w:top w:val="none" w:sz="0" w:space="0" w:color="auto"/>
                            <w:left w:val="none" w:sz="0" w:space="0" w:color="auto"/>
                            <w:bottom w:val="none" w:sz="0" w:space="0" w:color="auto"/>
                            <w:right w:val="none" w:sz="0" w:space="0" w:color="auto"/>
                          </w:divBdr>
                          <w:divsChild>
                            <w:div w:id="859317848">
                              <w:marLeft w:val="0"/>
                              <w:marRight w:val="0"/>
                              <w:marTop w:val="0"/>
                              <w:marBottom w:val="0"/>
                              <w:divBdr>
                                <w:top w:val="none" w:sz="0" w:space="0" w:color="auto"/>
                                <w:left w:val="none" w:sz="0" w:space="0" w:color="auto"/>
                                <w:bottom w:val="none" w:sz="0" w:space="0" w:color="auto"/>
                                <w:right w:val="none" w:sz="0" w:space="0" w:color="auto"/>
                              </w:divBdr>
                              <w:divsChild>
                                <w:div w:id="1368990967">
                                  <w:marLeft w:val="0"/>
                                  <w:marRight w:val="0"/>
                                  <w:marTop w:val="0"/>
                                  <w:marBottom w:val="0"/>
                                  <w:divBdr>
                                    <w:top w:val="none" w:sz="0" w:space="0" w:color="auto"/>
                                    <w:left w:val="none" w:sz="0" w:space="0" w:color="auto"/>
                                    <w:bottom w:val="none" w:sz="0" w:space="0" w:color="auto"/>
                                    <w:right w:val="none" w:sz="0" w:space="0" w:color="auto"/>
                                  </w:divBdr>
                                  <w:divsChild>
                                    <w:div w:id="1872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408527">
      <w:bodyDiv w:val="1"/>
      <w:marLeft w:val="0"/>
      <w:marRight w:val="0"/>
      <w:marTop w:val="0"/>
      <w:marBottom w:val="0"/>
      <w:divBdr>
        <w:top w:val="none" w:sz="0" w:space="0" w:color="auto"/>
        <w:left w:val="none" w:sz="0" w:space="0" w:color="auto"/>
        <w:bottom w:val="none" w:sz="0" w:space="0" w:color="auto"/>
        <w:right w:val="none" w:sz="0" w:space="0" w:color="auto"/>
      </w:divBdr>
    </w:div>
    <w:div w:id="497113007">
      <w:bodyDiv w:val="1"/>
      <w:marLeft w:val="0"/>
      <w:marRight w:val="0"/>
      <w:marTop w:val="0"/>
      <w:marBottom w:val="0"/>
      <w:divBdr>
        <w:top w:val="none" w:sz="0" w:space="0" w:color="auto"/>
        <w:left w:val="none" w:sz="0" w:space="0" w:color="auto"/>
        <w:bottom w:val="none" w:sz="0" w:space="0" w:color="auto"/>
        <w:right w:val="none" w:sz="0" w:space="0" w:color="auto"/>
      </w:divBdr>
      <w:divsChild>
        <w:div w:id="943999225">
          <w:marLeft w:val="0"/>
          <w:marRight w:val="0"/>
          <w:marTop w:val="0"/>
          <w:marBottom w:val="0"/>
          <w:divBdr>
            <w:top w:val="none" w:sz="0" w:space="0" w:color="auto"/>
            <w:left w:val="none" w:sz="0" w:space="0" w:color="auto"/>
            <w:bottom w:val="none" w:sz="0" w:space="0" w:color="auto"/>
            <w:right w:val="none" w:sz="0" w:space="0" w:color="auto"/>
          </w:divBdr>
          <w:divsChild>
            <w:div w:id="141897426">
              <w:marLeft w:val="0"/>
              <w:marRight w:val="0"/>
              <w:marTop w:val="0"/>
              <w:marBottom w:val="0"/>
              <w:divBdr>
                <w:top w:val="none" w:sz="0" w:space="0" w:color="auto"/>
                <w:left w:val="none" w:sz="0" w:space="0" w:color="auto"/>
                <w:bottom w:val="none" w:sz="0" w:space="0" w:color="auto"/>
                <w:right w:val="none" w:sz="0" w:space="0" w:color="auto"/>
              </w:divBdr>
              <w:divsChild>
                <w:div w:id="1051731117">
                  <w:marLeft w:val="0"/>
                  <w:marRight w:val="0"/>
                  <w:marTop w:val="0"/>
                  <w:marBottom w:val="0"/>
                  <w:divBdr>
                    <w:top w:val="none" w:sz="0" w:space="0" w:color="auto"/>
                    <w:left w:val="none" w:sz="0" w:space="0" w:color="auto"/>
                    <w:bottom w:val="none" w:sz="0" w:space="0" w:color="auto"/>
                    <w:right w:val="none" w:sz="0" w:space="0" w:color="auto"/>
                  </w:divBdr>
                  <w:divsChild>
                    <w:div w:id="1199859367">
                      <w:marLeft w:val="0"/>
                      <w:marRight w:val="0"/>
                      <w:marTop w:val="0"/>
                      <w:marBottom w:val="0"/>
                      <w:divBdr>
                        <w:top w:val="none" w:sz="0" w:space="0" w:color="auto"/>
                        <w:left w:val="none" w:sz="0" w:space="0" w:color="auto"/>
                        <w:bottom w:val="none" w:sz="0" w:space="0" w:color="auto"/>
                        <w:right w:val="none" w:sz="0" w:space="0" w:color="auto"/>
                      </w:divBdr>
                      <w:divsChild>
                        <w:div w:id="1550602998">
                          <w:marLeft w:val="0"/>
                          <w:marRight w:val="0"/>
                          <w:marTop w:val="0"/>
                          <w:marBottom w:val="0"/>
                          <w:divBdr>
                            <w:top w:val="none" w:sz="0" w:space="0" w:color="auto"/>
                            <w:left w:val="none" w:sz="0" w:space="0" w:color="auto"/>
                            <w:bottom w:val="none" w:sz="0" w:space="0" w:color="auto"/>
                            <w:right w:val="none" w:sz="0" w:space="0" w:color="auto"/>
                          </w:divBdr>
                          <w:divsChild>
                            <w:div w:id="228467059">
                              <w:marLeft w:val="0"/>
                              <w:marRight w:val="0"/>
                              <w:marTop w:val="0"/>
                              <w:marBottom w:val="0"/>
                              <w:divBdr>
                                <w:top w:val="none" w:sz="0" w:space="0" w:color="auto"/>
                                <w:left w:val="none" w:sz="0" w:space="0" w:color="auto"/>
                                <w:bottom w:val="none" w:sz="0" w:space="0" w:color="auto"/>
                                <w:right w:val="none" w:sz="0" w:space="0" w:color="auto"/>
                              </w:divBdr>
                              <w:divsChild>
                                <w:div w:id="1583761657">
                                  <w:marLeft w:val="0"/>
                                  <w:marRight w:val="0"/>
                                  <w:marTop w:val="0"/>
                                  <w:marBottom w:val="0"/>
                                  <w:divBdr>
                                    <w:top w:val="none" w:sz="0" w:space="0" w:color="auto"/>
                                    <w:left w:val="none" w:sz="0" w:space="0" w:color="auto"/>
                                    <w:bottom w:val="none" w:sz="0" w:space="0" w:color="auto"/>
                                    <w:right w:val="none" w:sz="0" w:space="0" w:color="auto"/>
                                  </w:divBdr>
                                  <w:divsChild>
                                    <w:div w:id="20094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963692">
      <w:bodyDiv w:val="1"/>
      <w:marLeft w:val="0"/>
      <w:marRight w:val="0"/>
      <w:marTop w:val="0"/>
      <w:marBottom w:val="0"/>
      <w:divBdr>
        <w:top w:val="none" w:sz="0" w:space="0" w:color="auto"/>
        <w:left w:val="none" w:sz="0" w:space="0" w:color="auto"/>
        <w:bottom w:val="none" w:sz="0" w:space="0" w:color="auto"/>
        <w:right w:val="none" w:sz="0" w:space="0" w:color="auto"/>
      </w:divBdr>
    </w:div>
    <w:div w:id="570501216">
      <w:bodyDiv w:val="1"/>
      <w:marLeft w:val="0"/>
      <w:marRight w:val="0"/>
      <w:marTop w:val="0"/>
      <w:marBottom w:val="0"/>
      <w:divBdr>
        <w:top w:val="none" w:sz="0" w:space="0" w:color="auto"/>
        <w:left w:val="none" w:sz="0" w:space="0" w:color="auto"/>
        <w:bottom w:val="none" w:sz="0" w:space="0" w:color="auto"/>
        <w:right w:val="none" w:sz="0" w:space="0" w:color="auto"/>
      </w:divBdr>
    </w:div>
    <w:div w:id="799151237">
      <w:bodyDiv w:val="1"/>
      <w:marLeft w:val="0"/>
      <w:marRight w:val="0"/>
      <w:marTop w:val="0"/>
      <w:marBottom w:val="0"/>
      <w:divBdr>
        <w:top w:val="none" w:sz="0" w:space="0" w:color="auto"/>
        <w:left w:val="none" w:sz="0" w:space="0" w:color="auto"/>
        <w:bottom w:val="none" w:sz="0" w:space="0" w:color="auto"/>
        <w:right w:val="none" w:sz="0" w:space="0" w:color="auto"/>
      </w:divBdr>
    </w:div>
    <w:div w:id="1204171372">
      <w:bodyDiv w:val="1"/>
      <w:marLeft w:val="0"/>
      <w:marRight w:val="0"/>
      <w:marTop w:val="0"/>
      <w:marBottom w:val="0"/>
      <w:divBdr>
        <w:top w:val="none" w:sz="0" w:space="0" w:color="auto"/>
        <w:left w:val="none" w:sz="0" w:space="0" w:color="auto"/>
        <w:bottom w:val="none" w:sz="0" w:space="0" w:color="auto"/>
        <w:right w:val="none" w:sz="0" w:space="0" w:color="auto"/>
      </w:divBdr>
    </w:div>
    <w:div w:id="1228492167">
      <w:bodyDiv w:val="1"/>
      <w:marLeft w:val="0"/>
      <w:marRight w:val="0"/>
      <w:marTop w:val="0"/>
      <w:marBottom w:val="0"/>
      <w:divBdr>
        <w:top w:val="none" w:sz="0" w:space="0" w:color="auto"/>
        <w:left w:val="none" w:sz="0" w:space="0" w:color="auto"/>
        <w:bottom w:val="none" w:sz="0" w:space="0" w:color="auto"/>
        <w:right w:val="none" w:sz="0" w:space="0" w:color="auto"/>
      </w:divBdr>
      <w:divsChild>
        <w:div w:id="1145318912">
          <w:marLeft w:val="0"/>
          <w:marRight w:val="0"/>
          <w:marTop w:val="0"/>
          <w:marBottom w:val="0"/>
          <w:divBdr>
            <w:top w:val="none" w:sz="0" w:space="0" w:color="auto"/>
            <w:left w:val="none" w:sz="0" w:space="0" w:color="auto"/>
            <w:bottom w:val="none" w:sz="0" w:space="0" w:color="auto"/>
            <w:right w:val="none" w:sz="0" w:space="0" w:color="auto"/>
          </w:divBdr>
          <w:divsChild>
            <w:div w:id="965308482">
              <w:marLeft w:val="0"/>
              <w:marRight w:val="0"/>
              <w:marTop w:val="0"/>
              <w:marBottom w:val="0"/>
              <w:divBdr>
                <w:top w:val="none" w:sz="0" w:space="0" w:color="auto"/>
                <w:left w:val="none" w:sz="0" w:space="0" w:color="auto"/>
                <w:bottom w:val="none" w:sz="0" w:space="0" w:color="auto"/>
                <w:right w:val="none" w:sz="0" w:space="0" w:color="auto"/>
              </w:divBdr>
              <w:divsChild>
                <w:div w:id="2018271070">
                  <w:marLeft w:val="0"/>
                  <w:marRight w:val="0"/>
                  <w:marTop w:val="0"/>
                  <w:marBottom w:val="0"/>
                  <w:divBdr>
                    <w:top w:val="none" w:sz="0" w:space="0" w:color="auto"/>
                    <w:left w:val="none" w:sz="0" w:space="0" w:color="auto"/>
                    <w:bottom w:val="none" w:sz="0" w:space="0" w:color="auto"/>
                    <w:right w:val="none" w:sz="0" w:space="0" w:color="auto"/>
                  </w:divBdr>
                  <w:divsChild>
                    <w:div w:id="1994719802">
                      <w:marLeft w:val="0"/>
                      <w:marRight w:val="0"/>
                      <w:marTop w:val="0"/>
                      <w:marBottom w:val="0"/>
                      <w:divBdr>
                        <w:top w:val="none" w:sz="0" w:space="0" w:color="auto"/>
                        <w:left w:val="none" w:sz="0" w:space="0" w:color="auto"/>
                        <w:bottom w:val="none" w:sz="0" w:space="0" w:color="auto"/>
                        <w:right w:val="none" w:sz="0" w:space="0" w:color="auto"/>
                      </w:divBdr>
                      <w:divsChild>
                        <w:div w:id="196427813">
                          <w:marLeft w:val="0"/>
                          <w:marRight w:val="0"/>
                          <w:marTop w:val="0"/>
                          <w:marBottom w:val="0"/>
                          <w:divBdr>
                            <w:top w:val="none" w:sz="0" w:space="0" w:color="auto"/>
                            <w:left w:val="none" w:sz="0" w:space="0" w:color="auto"/>
                            <w:bottom w:val="none" w:sz="0" w:space="0" w:color="auto"/>
                            <w:right w:val="none" w:sz="0" w:space="0" w:color="auto"/>
                          </w:divBdr>
                          <w:divsChild>
                            <w:div w:id="1761484986">
                              <w:marLeft w:val="0"/>
                              <w:marRight w:val="0"/>
                              <w:marTop w:val="0"/>
                              <w:marBottom w:val="0"/>
                              <w:divBdr>
                                <w:top w:val="none" w:sz="0" w:space="0" w:color="auto"/>
                                <w:left w:val="none" w:sz="0" w:space="0" w:color="auto"/>
                                <w:bottom w:val="none" w:sz="0" w:space="0" w:color="auto"/>
                                <w:right w:val="none" w:sz="0" w:space="0" w:color="auto"/>
                              </w:divBdr>
                              <w:divsChild>
                                <w:div w:id="1316376291">
                                  <w:marLeft w:val="0"/>
                                  <w:marRight w:val="0"/>
                                  <w:marTop w:val="0"/>
                                  <w:marBottom w:val="0"/>
                                  <w:divBdr>
                                    <w:top w:val="none" w:sz="0" w:space="0" w:color="auto"/>
                                    <w:left w:val="none" w:sz="0" w:space="0" w:color="auto"/>
                                    <w:bottom w:val="none" w:sz="0" w:space="0" w:color="auto"/>
                                    <w:right w:val="none" w:sz="0" w:space="0" w:color="auto"/>
                                  </w:divBdr>
                                  <w:divsChild>
                                    <w:div w:id="9237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5849">
      <w:bodyDiv w:val="1"/>
      <w:marLeft w:val="0"/>
      <w:marRight w:val="0"/>
      <w:marTop w:val="0"/>
      <w:marBottom w:val="0"/>
      <w:divBdr>
        <w:top w:val="none" w:sz="0" w:space="0" w:color="auto"/>
        <w:left w:val="none" w:sz="0" w:space="0" w:color="auto"/>
        <w:bottom w:val="none" w:sz="0" w:space="0" w:color="auto"/>
        <w:right w:val="none" w:sz="0" w:space="0" w:color="auto"/>
      </w:divBdr>
    </w:div>
    <w:div w:id="1314409117">
      <w:bodyDiv w:val="1"/>
      <w:marLeft w:val="0"/>
      <w:marRight w:val="0"/>
      <w:marTop w:val="0"/>
      <w:marBottom w:val="0"/>
      <w:divBdr>
        <w:top w:val="none" w:sz="0" w:space="0" w:color="auto"/>
        <w:left w:val="none" w:sz="0" w:space="0" w:color="auto"/>
        <w:bottom w:val="none" w:sz="0" w:space="0" w:color="auto"/>
        <w:right w:val="none" w:sz="0" w:space="0" w:color="auto"/>
      </w:divBdr>
    </w:div>
    <w:div w:id="1331639674">
      <w:bodyDiv w:val="1"/>
      <w:marLeft w:val="0"/>
      <w:marRight w:val="0"/>
      <w:marTop w:val="0"/>
      <w:marBottom w:val="0"/>
      <w:divBdr>
        <w:top w:val="none" w:sz="0" w:space="0" w:color="auto"/>
        <w:left w:val="none" w:sz="0" w:space="0" w:color="auto"/>
        <w:bottom w:val="none" w:sz="0" w:space="0" w:color="auto"/>
        <w:right w:val="none" w:sz="0" w:space="0" w:color="auto"/>
      </w:divBdr>
    </w:div>
    <w:div w:id="1421221854">
      <w:bodyDiv w:val="1"/>
      <w:marLeft w:val="0"/>
      <w:marRight w:val="0"/>
      <w:marTop w:val="0"/>
      <w:marBottom w:val="0"/>
      <w:divBdr>
        <w:top w:val="none" w:sz="0" w:space="0" w:color="auto"/>
        <w:left w:val="none" w:sz="0" w:space="0" w:color="auto"/>
        <w:bottom w:val="none" w:sz="0" w:space="0" w:color="auto"/>
        <w:right w:val="none" w:sz="0" w:space="0" w:color="auto"/>
      </w:divBdr>
    </w:div>
    <w:div w:id="1524519023">
      <w:bodyDiv w:val="1"/>
      <w:marLeft w:val="0"/>
      <w:marRight w:val="0"/>
      <w:marTop w:val="0"/>
      <w:marBottom w:val="0"/>
      <w:divBdr>
        <w:top w:val="none" w:sz="0" w:space="0" w:color="auto"/>
        <w:left w:val="none" w:sz="0" w:space="0" w:color="auto"/>
        <w:bottom w:val="none" w:sz="0" w:space="0" w:color="auto"/>
        <w:right w:val="none" w:sz="0" w:space="0" w:color="auto"/>
      </w:divBdr>
    </w:div>
    <w:div w:id="1830439867">
      <w:bodyDiv w:val="1"/>
      <w:marLeft w:val="0"/>
      <w:marRight w:val="0"/>
      <w:marTop w:val="0"/>
      <w:marBottom w:val="0"/>
      <w:divBdr>
        <w:top w:val="none" w:sz="0" w:space="0" w:color="auto"/>
        <w:left w:val="none" w:sz="0" w:space="0" w:color="auto"/>
        <w:bottom w:val="none" w:sz="0" w:space="0" w:color="auto"/>
        <w:right w:val="none" w:sz="0" w:space="0" w:color="auto"/>
      </w:divBdr>
    </w:div>
    <w:div w:id="1994094129">
      <w:bodyDiv w:val="1"/>
      <w:marLeft w:val="0"/>
      <w:marRight w:val="0"/>
      <w:marTop w:val="0"/>
      <w:marBottom w:val="0"/>
      <w:divBdr>
        <w:top w:val="none" w:sz="0" w:space="0" w:color="auto"/>
        <w:left w:val="none" w:sz="0" w:space="0" w:color="auto"/>
        <w:bottom w:val="none" w:sz="0" w:space="0" w:color="auto"/>
        <w:right w:val="none" w:sz="0" w:space="0" w:color="auto"/>
      </w:divBdr>
    </w:div>
    <w:div w:id="2015565769">
      <w:bodyDiv w:val="1"/>
      <w:marLeft w:val="0"/>
      <w:marRight w:val="0"/>
      <w:marTop w:val="0"/>
      <w:marBottom w:val="0"/>
      <w:divBdr>
        <w:top w:val="none" w:sz="0" w:space="0" w:color="auto"/>
        <w:left w:val="none" w:sz="0" w:space="0" w:color="auto"/>
        <w:bottom w:val="none" w:sz="0" w:space="0" w:color="auto"/>
        <w:right w:val="none" w:sz="0" w:space="0" w:color="auto"/>
      </w:divBdr>
    </w:div>
    <w:div w:id="2062511950">
      <w:bodyDiv w:val="1"/>
      <w:marLeft w:val="0"/>
      <w:marRight w:val="0"/>
      <w:marTop w:val="0"/>
      <w:marBottom w:val="0"/>
      <w:divBdr>
        <w:top w:val="none" w:sz="0" w:space="0" w:color="auto"/>
        <w:left w:val="none" w:sz="0" w:space="0" w:color="auto"/>
        <w:bottom w:val="none" w:sz="0" w:space="0" w:color="auto"/>
        <w:right w:val="none" w:sz="0" w:space="0" w:color="auto"/>
      </w:divBdr>
    </w:div>
    <w:div w:id="20968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Jeffry Saro</dc:creator>
  <cp:keywords/>
  <dc:description/>
  <cp:lastModifiedBy>SDI 1183</cp:lastModifiedBy>
  <cp:revision>5</cp:revision>
  <cp:lastPrinted>2025-06-17T08:00:00Z</cp:lastPrinted>
  <dcterms:created xsi:type="dcterms:W3CDTF">2025-06-17T08:44:00Z</dcterms:created>
  <dcterms:modified xsi:type="dcterms:W3CDTF">2025-06-20T09:19:00Z</dcterms:modified>
</cp:coreProperties>
</file>