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BD643" w14:textId="77777777" w:rsidR="00754C9A" w:rsidRDefault="00754C9A" w:rsidP="00441B6F">
      <w:pPr>
        <w:pStyle w:val="Title"/>
        <w:spacing w:after="0"/>
        <w:jc w:val="both"/>
        <w:rPr>
          <w:rFonts w:ascii="Arial" w:hAnsi="Arial" w:cs="Arial"/>
        </w:rPr>
      </w:pPr>
    </w:p>
    <w:p w14:paraId="6947BA9A" w14:textId="18E6CCFF" w:rsidR="00AE1851" w:rsidRPr="00AE1851" w:rsidRDefault="00350941" w:rsidP="00AE1851">
      <w:pPr>
        <w:pStyle w:val="Author"/>
        <w:spacing w:line="240" w:lineRule="auto"/>
        <w:rPr>
          <w:rFonts w:ascii="Arial" w:hAnsi="Arial" w:cs="Arial"/>
          <w:bCs/>
          <w:iCs/>
          <w:kern w:val="28"/>
          <w:sz w:val="36"/>
        </w:rPr>
      </w:pPr>
      <w:r w:rsidRPr="009A50A7">
        <w:rPr>
          <w:rFonts w:ascii="Arial" w:hAnsi="Arial" w:cs="Arial"/>
          <w:bCs/>
          <w:iCs/>
          <w:kern w:val="28"/>
          <w:sz w:val="36"/>
        </w:rPr>
        <w:t xml:space="preserve">Effect of Lifestyle and Financial Literacy on </w:t>
      </w:r>
      <w:proofErr w:type="spellStart"/>
      <w:r w:rsidRPr="009A50A7">
        <w:rPr>
          <w:rFonts w:ascii="Arial" w:hAnsi="Arial" w:cs="Arial"/>
          <w:bCs/>
          <w:iCs/>
          <w:kern w:val="28"/>
          <w:sz w:val="36"/>
        </w:rPr>
        <w:t>Consumtive</w:t>
      </w:r>
      <w:proofErr w:type="spellEnd"/>
      <w:r w:rsidRPr="009A50A7">
        <w:rPr>
          <w:rFonts w:ascii="Arial" w:hAnsi="Arial" w:cs="Arial"/>
          <w:bCs/>
          <w:iCs/>
          <w:kern w:val="28"/>
          <w:sz w:val="36"/>
        </w:rPr>
        <w:t xml:space="preserve"> Behavior of Economic Students at Gorontalo State University</w:t>
      </w:r>
    </w:p>
    <w:p w14:paraId="7FCEA638" w14:textId="77777777" w:rsidR="00A258C3" w:rsidRPr="00790ADA" w:rsidRDefault="00A258C3" w:rsidP="00441B6F">
      <w:pPr>
        <w:pStyle w:val="Author"/>
        <w:spacing w:line="240" w:lineRule="auto"/>
        <w:jc w:val="both"/>
        <w:rPr>
          <w:rFonts w:ascii="Arial" w:hAnsi="Arial" w:cs="Arial"/>
          <w:sz w:val="36"/>
        </w:rPr>
      </w:pPr>
    </w:p>
    <w:p w14:paraId="5136414B" w14:textId="77777777" w:rsidR="002C57D2" w:rsidRPr="00FB3A86" w:rsidRDefault="002C57D2" w:rsidP="00441B6F">
      <w:pPr>
        <w:pStyle w:val="Affiliation"/>
        <w:spacing w:after="0" w:line="240" w:lineRule="auto"/>
        <w:jc w:val="both"/>
        <w:rPr>
          <w:rFonts w:ascii="Arial" w:hAnsi="Arial" w:cs="Arial"/>
        </w:rPr>
      </w:pPr>
    </w:p>
    <w:p w14:paraId="2973B97B" w14:textId="0192B71F" w:rsidR="00B01FCD" w:rsidRPr="00FB3A86" w:rsidRDefault="00982AED" w:rsidP="00441B6F">
      <w:pPr>
        <w:pStyle w:val="Copyright"/>
        <w:spacing w:after="0" w:line="240" w:lineRule="auto"/>
        <w:jc w:val="both"/>
        <w:rPr>
          <w:rFonts w:ascii="Arial" w:hAnsi="Arial" w:cs="Arial"/>
        </w:rPr>
        <w:sectPr w:rsidR="00B01FCD" w:rsidRPr="00FB3A86" w:rsidSect="0072484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D64F8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9F785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AE1851">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B97EA0" w14:textId="77777777" w:rsidTr="001E44FE">
        <w:tc>
          <w:tcPr>
            <w:tcW w:w="9576" w:type="dxa"/>
            <w:shd w:val="clear" w:color="auto" w:fill="F2F2F2"/>
          </w:tcPr>
          <w:p w14:paraId="1BD8F847" w14:textId="2A760835" w:rsidR="00505F06" w:rsidRPr="00BA1B01" w:rsidRDefault="008A6388" w:rsidP="008A6388">
            <w:pPr>
              <w:pStyle w:val="Body"/>
              <w:rPr>
                <w:rFonts w:ascii="Arial" w:eastAsia="Calibri" w:hAnsi="Arial" w:cs="Arial"/>
                <w:szCs w:val="22"/>
              </w:rPr>
            </w:pPr>
            <w:r w:rsidRPr="008A6388">
              <w:rPr>
                <w:rFonts w:ascii="Arial" w:eastAsia="Calibri" w:hAnsi="Arial" w:cs="Arial"/>
                <w:szCs w:val="22"/>
              </w:rPr>
              <w:t>Students are one of the groups that are vulnerable to consumptive behavior. Students belong to the late adolescent group in the age range of 18-21 years who are in an important transitional phase in life, where individuals begin to form self-identity. In this phase, individuals tend to look for an ideal self-image through appearance.  This study was conducted with the aim of analyzing the effect of lifestyle and financial literacy on the consumptive behavior of students of the Faculty of Economics, Gorontalo State University. This research was conducted in January-April 2025. located at the Faculty of Economics, Gorontal State University. The results showed that lifestyle variables and financial literacy variables had a positive and significant effect on the consumptive behavior of students of the Faculty of Economics, Gorontalo State University. Based on the results of the analysis, a significant comparison of student consumptive behavior between majors is obtained, where students majoring in management have the most significant difference in consumptive behavior compared to other majors (β = 8.006; sig = 0.001). Meanwhile, Economics students have a positive influence on consumptive behavior but not significant (β = 2.998; sig = 0.133). Compared to students majoring in accounting, it shows a negative and significant influence on consumptive behavior (β = -4.069; sig = 0.037).</w:t>
            </w:r>
          </w:p>
        </w:tc>
      </w:tr>
    </w:tbl>
    <w:p w14:paraId="003BC13B" w14:textId="77777777" w:rsidR="00636EB2" w:rsidRDefault="00636EB2" w:rsidP="00441B6F">
      <w:pPr>
        <w:pStyle w:val="Body"/>
        <w:spacing w:after="0"/>
        <w:rPr>
          <w:rFonts w:ascii="Arial" w:hAnsi="Arial" w:cs="Arial"/>
          <w:i/>
        </w:rPr>
      </w:pPr>
    </w:p>
    <w:p w14:paraId="0F70A6B7" w14:textId="59A75B46" w:rsidR="00AE1851" w:rsidRDefault="00A24E7E" w:rsidP="00441B6F">
      <w:pPr>
        <w:pStyle w:val="Body"/>
        <w:spacing w:after="0"/>
        <w:rPr>
          <w:rFonts w:ascii="Arial" w:hAnsi="Arial" w:cs="Arial"/>
          <w:i/>
        </w:rPr>
      </w:pPr>
      <w:r>
        <w:rPr>
          <w:rFonts w:ascii="Arial" w:hAnsi="Arial" w:cs="Arial"/>
          <w:i/>
        </w:rPr>
        <w:t xml:space="preserve">Keywords: </w:t>
      </w:r>
      <w:r w:rsidR="00AE1851" w:rsidRPr="00AE1851">
        <w:rPr>
          <w:rFonts w:ascii="Arial" w:hAnsi="Arial" w:cs="Arial"/>
          <w:i/>
        </w:rPr>
        <w:t>Lifestyle, Financial Literacy, Consumptive Behavior</w:t>
      </w:r>
      <w:r w:rsidR="00350941">
        <w:rPr>
          <w:rFonts w:ascii="Arial" w:hAnsi="Arial" w:cs="Arial"/>
          <w:i/>
        </w:rPr>
        <w:t xml:space="preserve">, </w:t>
      </w:r>
      <w:r w:rsidR="00350941" w:rsidRPr="00350941">
        <w:rPr>
          <w:rFonts w:ascii="Arial" w:hAnsi="Arial" w:cs="Arial"/>
          <w:i/>
        </w:rPr>
        <w:t>lifestyle variables</w:t>
      </w:r>
    </w:p>
    <w:p w14:paraId="6FB86962" w14:textId="77777777" w:rsidR="00AE1851" w:rsidRDefault="00AE1851" w:rsidP="00441B6F">
      <w:pPr>
        <w:pStyle w:val="Body"/>
        <w:spacing w:after="0"/>
        <w:rPr>
          <w:rFonts w:ascii="Arial" w:hAnsi="Arial" w:cs="Arial"/>
          <w:i/>
        </w:rPr>
      </w:pPr>
    </w:p>
    <w:p w14:paraId="1AEB0290" w14:textId="77777777" w:rsidR="0024282C" w:rsidRDefault="0024282C" w:rsidP="00441B6F">
      <w:pPr>
        <w:pStyle w:val="Body"/>
        <w:spacing w:after="0"/>
        <w:rPr>
          <w:rFonts w:ascii="Arial" w:hAnsi="Arial" w:cs="Arial"/>
          <w:i/>
          <w:sz w:val="18"/>
        </w:rPr>
      </w:pPr>
    </w:p>
    <w:p w14:paraId="44CE2095" w14:textId="77777777" w:rsidR="00505F06" w:rsidRPr="00A24E7E" w:rsidRDefault="00505F06" w:rsidP="00441B6F">
      <w:pPr>
        <w:pStyle w:val="Body"/>
        <w:spacing w:after="0"/>
        <w:rPr>
          <w:rFonts w:ascii="Arial" w:hAnsi="Arial" w:cs="Arial"/>
          <w:i/>
        </w:rPr>
      </w:pPr>
    </w:p>
    <w:p w14:paraId="32C4DEE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E1851">
        <w:rPr>
          <w:rFonts w:ascii="Arial" w:hAnsi="Arial" w:cs="Arial"/>
        </w:rPr>
        <w:t xml:space="preserve"> </w:t>
      </w:r>
    </w:p>
    <w:p w14:paraId="45A8178A" w14:textId="77777777" w:rsidR="00790ADA" w:rsidRPr="00FB3A86" w:rsidRDefault="00790ADA" w:rsidP="00441B6F">
      <w:pPr>
        <w:pStyle w:val="AbstHead"/>
        <w:spacing w:after="0"/>
        <w:jc w:val="both"/>
        <w:rPr>
          <w:rFonts w:ascii="Arial" w:hAnsi="Arial" w:cs="Arial"/>
        </w:rPr>
      </w:pPr>
    </w:p>
    <w:p w14:paraId="470A64D7" w14:textId="04655FE7" w:rsidR="0053679A" w:rsidRPr="0053679A" w:rsidRDefault="0053679A" w:rsidP="0053679A">
      <w:pPr>
        <w:pStyle w:val="Body"/>
        <w:rPr>
          <w:rFonts w:ascii="Arial" w:hAnsi="Arial" w:cs="Arial"/>
        </w:rPr>
      </w:pPr>
      <w:r w:rsidRPr="0053679A">
        <w:rPr>
          <w:rFonts w:ascii="Arial" w:hAnsi="Arial" w:cs="Arial"/>
        </w:rPr>
        <w:t>Each individual has different needs in life and tries to fulfill them in different ways. Some people are able to fulfill their needs in a balanced manner, while others tend to be excessive in their consumption. This condition can encourage individuals to be consumptive. According to Pramesti et al. (2023:35), consumptive behavior is defined as excessive consumption that lacks rational consideration, where individuals tend to purchase goods or services based on emotional impulses rather than actual needs. Such impulsive purchases have the potential to cause financial waste and inefficiency in personal budget management.</w:t>
      </w:r>
    </w:p>
    <w:p w14:paraId="74CB67BD" w14:textId="77777777" w:rsidR="0053679A" w:rsidRPr="0053679A" w:rsidRDefault="0053679A" w:rsidP="0053679A">
      <w:pPr>
        <w:pStyle w:val="Body"/>
        <w:rPr>
          <w:rFonts w:ascii="Arial" w:hAnsi="Arial" w:cs="Arial"/>
        </w:rPr>
      </w:pPr>
      <w:r w:rsidRPr="0053679A">
        <w:rPr>
          <w:rFonts w:ascii="Arial" w:hAnsi="Arial" w:cs="Arial"/>
        </w:rPr>
        <w:t>Technological advancements, particularly in the fields of communication and financial transactions, have made it easier to access various products and services. This ease further reinforces the urge to shop without considering priority needs. Additionally, consumerist behavior is influenced by psychological and social factors. According to Schiffman and Kanuk (2021), psychological factors such as motivation, perception, and attitude influence individual consumption decisions. On the other hand, social factors such as peer groups and social media also shape a person's consumptive habits (Kotler &amp; Keller, 2022).</w:t>
      </w:r>
    </w:p>
    <w:p w14:paraId="2D90FD40" w14:textId="77777777"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 xml:space="preserve">Students are one of the groups that are prone to consumerist behavior. According to Izzani et al. (2024:260), late adolescence, which spans the ages of 18–21, is an important transitional phase in life, during which individuals begin to form their identity. During this phase, individuals tend to seek an ideal self-image through their appearance and behavior, including their consumption activities. Technological developments, particularly through social media and online shopping </w:t>
      </w:r>
      <w:r w:rsidRPr="0053679A">
        <w:rPr>
          <w:rFonts w:ascii="Arial" w:eastAsia="Calibri" w:hAnsi="Arial" w:cs="Arial"/>
          <w:szCs w:val="22"/>
        </w:rPr>
        <w:lastRenderedPageBreak/>
        <w:t>platforms, have made it easier for students to access trending products. Students often purchase items to enhance their appearance and social status, rather than solely for essential needs.</w:t>
      </w:r>
    </w:p>
    <w:p w14:paraId="2E5047BC" w14:textId="77777777"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Massive and persuasive digital advertisements also encourage consumerist behavior. Promotions with attractive visuals, limited offers, and large discounts can influence students to buy items even if they are not truly needed. Emotionally designed advertisements can cloud rational considerations in consumption decision-making. This phenomenon is exacerbated by easy access to payment methods such as paylater and credit cards, which allow students to shop without considering their personal financial conditions.</w:t>
      </w:r>
    </w:p>
    <w:p w14:paraId="58DCB5B6" w14:textId="74B6A0BE"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Within the campus environment, peer influence is also very strong. Students often purchase a product to maintain their status or to remain accepted within their social circle. The fear of being seen as outdated or unable to keep up with trends plays a significant role. This lifestyle change is driven more by the desire to be accepted and valued by the surrounding environment than by actual needs. At this stage, peer influence tends to be more dominant than influence from family or parents.</w:t>
      </w:r>
    </w:p>
    <w:p w14:paraId="2633ECB9" w14:textId="2975E2FD"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Previous studies, such as those conducted by Hartiningsih et al. (2021), indicate that consumer behavior is influenced by lifestyle and financial literacy levels. Financial literacy is an individual's ability to understand and use financial information effectively, including budgeting, saving, and risk management. Individuals with good financial literacy tend to be able to manage their finances wisely and responsibly. Susetyo and Firmansyah (2023:262) add that financial literacy also helps people understand financial products and services, as well as recognize their benefits and risks.</w:t>
      </w:r>
    </w:p>
    <w:p w14:paraId="310D345F" w14:textId="77777777"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Financial literacy can be acquired through formal and informal education, including the role of the family in shaping financial mindsets and habits from an early age. Thus, financial literacy is an important foundation for rational consumption decisions.</w:t>
      </w:r>
    </w:p>
    <w:p w14:paraId="629EFF12" w14:textId="77777777" w:rsidR="0053679A" w:rsidRPr="0053679A" w:rsidRDefault="0053679A" w:rsidP="0053679A">
      <w:pPr>
        <w:pStyle w:val="Body"/>
        <w:rPr>
          <w:rFonts w:ascii="Arial" w:eastAsia="Calibri" w:hAnsi="Arial" w:cs="Arial"/>
          <w:szCs w:val="22"/>
        </w:rPr>
      </w:pPr>
      <w:r w:rsidRPr="0053679A">
        <w:rPr>
          <w:rFonts w:ascii="Arial" w:eastAsia="Calibri" w:hAnsi="Arial" w:cs="Arial"/>
          <w:szCs w:val="22"/>
        </w:rPr>
        <w:t>Based on initial observations conducted by researchers at Gorontalo State University, it was found that most students tend to buy items based on desire rather than need. This is reflected in survey results showing that 59.50% of students frequently shop online, and 57.10% of students do not have the habit of recording their personal finances. This data indicates a low level of awareness among students regarding the importance of personal financial management and financial literacy. The high intensity of social media use also serves as a driving factor for students' consumptive behavior. Many students are influenced to purchase products due to the influence of influencers, digital ads, or trends circulating on social media.</w:t>
      </w:r>
    </w:p>
    <w:p w14:paraId="42C30F7B" w14:textId="401CE1BB" w:rsidR="00B01FCD" w:rsidRPr="00AE1851" w:rsidRDefault="0053679A" w:rsidP="0053679A">
      <w:pPr>
        <w:pStyle w:val="Body"/>
        <w:spacing w:after="0"/>
        <w:rPr>
          <w:rFonts w:ascii="Arial" w:eastAsia="Calibri" w:hAnsi="Arial" w:cs="Arial"/>
          <w:szCs w:val="22"/>
        </w:rPr>
      </w:pPr>
      <w:r w:rsidRPr="0053679A">
        <w:rPr>
          <w:rFonts w:ascii="Arial" w:eastAsia="Calibri" w:hAnsi="Arial" w:cs="Arial"/>
          <w:szCs w:val="22"/>
        </w:rPr>
        <w:t>Based on the above, the study aims to analyze the influence of lifestyle on consumer behavior and financial literacy on the consumer behavior of economics faculty student</w:t>
      </w:r>
      <w:r>
        <w:rPr>
          <w:rFonts w:ascii="Arial" w:eastAsia="Calibri" w:hAnsi="Arial" w:cs="Arial"/>
          <w:szCs w:val="22"/>
        </w:rPr>
        <w:t>s at Gorontalo State University</w:t>
      </w:r>
      <w:r w:rsidR="00AE1851" w:rsidRPr="00AE1851">
        <w:rPr>
          <w:rFonts w:ascii="Arial" w:eastAsia="Calibri" w:hAnsi="Arial" w:cs="Arial"/>
          <w:szCs w:val="22"/>
        </w:rPr>
        <w:t>.</w:t>
      </w:r>
    </w:p>
    <w:p w14:paraId="5035BA79" w14:textId="77777777" w:rsidR="00790ADA" w:rsidRPr="00FB3A86" w:rsidRDefault="00790ADA" w:rsidP="00441B6F">
      <w:pPr>
        <w:pStyle w:val="Body"/>
        <w:spacing w:after="0"/>
        <w:rPr>
          <w:rFonts w:ascii="Arial" w:hAnsi="Arial" w:cs="Arial"/>
        </w:rPr>
      </w:pPr>
    </w:p>
    <w:p w14:paraId="383F972A"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A96EC9D" w14:textId="77777777" w:rsidR="00790ADA" w:rsidRPr="00FB3A86" w:rsidRDefault="00790ADA" w:rsidP="00441B6F">
      <w:pPr>
        <w:pStyle w:val="AbstHead"/>
        <w:spacing w:after="0"/>
        <w:jc w:val="both"/>
        <w:rPr>
          <w:rFonts w:ascii="Arial" w:hAnsi="Arial" w:cs="Arial"/>
        </w:rPr>
      </w:pPr>
    </w:p>
    <w:p w14:paraId="4666D8EE" w14:textId="23C3501E" w:rsidR="0053679A" w:rsidRPr="0053679A" w:rsidRDefault="006B57D0" w:rsidP="0053679A">
      <w:pPr>
        <w:pStyle w:val="Body"/>
        <w:rPr>
          <w:rFonts w:ascii="Arial" w:hAnsi="Arial" w:cs="Arial"/>
        </w:rPr>
      </w:pPr>
      <w:r>
        <w:rPr>
          <w:rFonts w:ascii="Arial" w:hAnsi="Arial" w:cs="Arial"/>
        </w:rPr>
        <w:t>[</w:t>
      </w:r>
      <w:r w:rsidR="0053679A" w:rsidRPr="0053679A">
        <w:rPr>
          <w:rFonts w:ascii="Arial" w:hAnsi="Arial" w:cs="Arial"/>
          <w:b/>
        </w:rPr>
        <w:t>2.1 Time and Place</w:t>
      </w:r>
    </w:p>
    <w:p w14:paraId="36EC7C11" w14:textId="77777777" w:rsidR="00F85D05" w:rsidRDefault="00F85D05" w:rsidP="0053679A">
      <w:pPr>
        <w:pStyle w:val="Body"/>
        <w:rPr>
          <w:rFonts w:ascii="Arial" w:hAnsi="Arial" w:cs="Arial"/>
        </w:rPr>
      </w:pPr>
      <w:r w:rsidRPr="00F85D05">
        <w:rPr>
          <w:rFonts w:ascii="Arial" w:hAnsi="Arial" w:cs="Arial"/>
        </w:rPr>
        <w:t>This research was conducted from January to April 2025 at the Faculty of Economics, State University of Gorontalo, located at Jl. Jendral Sudirman No. 6, Gorontalo City. The subjects of the study were students from the Faculty of Economics at the State University of Gorontalo.</w:t>
      </w:r>
    </w:p>
    <w:p w14:paraId="0920C353" w14:textId="2960589E" w:rsidR="0053679A" w:rsidRPr="0053679A" w:rsidRDefault="0053679A" w:rsidP="0053679A">
      <w:pPr>
        <w:pStyle w:val="Body"/>
        <w:rPr>
          <w:rFonts w:ascii="Arial" w:hAnsi="Arial" w:cs="Arial"/>
          <w:b/>
        </w:rPr>
      </w:pPr>
      <w:r w:rsidRPr="0053679A">
        <w:rPr>
          <w:rFonts w:ascii="Arial" w:hAnsi="Arial" w:cs="Arial"/>
          <w:b/>
        </w:rPr>
        <w:t>2.2. Research Design</w:t>
      </w:r>
    </w:p>
    <w:p w14:paraId="3D41ECBE" w14:textId="77777777" w:rsidR="00012A78" w:rsidRPr="00012A78" w:rsidRDefault="00012A78" w:rsidP="00012A78">
      <w:pPr>
        <w:pStyle w:val="Body"/>
        <w:rPr>
          <w:rFonts w:ascii="Arial" w:hAnsi="Arial" w:cs="Arial"/>
        </w:rPr>
      </w:pPr>
      <w:r w:rsidRPr="00012A78">
        <w:rPr>
          <w:rFonts w:ascii="Arial" w:hAnsi="Arial" w:cs="Arial"/>
        </w:rPr>
        <w:t>This study uses a quantitative approach to examine a specific population or sample and collect data using research instruments, and analyze data quantitatively or statistically. This study uses two types of independent data, namely lifestyle (X1) and financial literacy (X2), and adds the category of student majors as a dummy variable. According to Gujarati &amp; Porter (2009), dummy variables are techniques used to include non-metric or categorical variables in linear regression models, so that they can be analyzed along with other numerical variables. And consumptive behavior (Y) as the dependent variable. in general, the research design can be seen in Figure 1.</w:t>
      </w:r>
    </w:p>
    <w:p w14:paraId="32598E36" w14:textId="64C775B9" w:rsidR="0053679A" w:rsidRDefault="0053679A" w:rsidP="0053679A">
      <w:pPr>
        <w:pStyle w:val="Body"/>
        <w:jc w:val="center"/>
        <w:rPr>
          <w:rFonts w:ascii="Arial" w:hAnsi="Arial" w:cs="Arial"/>
        </w:rPr>
      </w:pPr>
      <w:r>
        <w:rPr>
          <w:rFonts w:ascii="Arial" w:hAnsi="Arial" w:cs="Arial"/>
          <w:noProof/>
          <w:lang w:val="en-IN" w:eastAsia="en-IN"/>
        </w:rPr>
        <w:lastRenderedPageBreak/>
        <w:drawing>
          <wp:inline distT="0" distB="0" distL="0" distR="0" wp14:anchorId="122330B7" wp14:editId="07611B1B">
            <wp:extent cx="5547995" cy="2859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995" cy="2859405"/>
                    </a:xfrm>
                    <a:prstGeom prst="rect">
                      <a:avLst/>
                    </a:prstGeom>
                    <a:noFill/>
                  </pic:spPr>
                </pic:pic>
              </a:graphicData>
            </a:graphic>
          </wp:inline>
        </w:drawing>
      </w:r>
    </w:p>
    <w:p w14:paraId="352BFF26" w14:textId="77777777" w:rsidR="0053679A" w:rsidRPr="0053679A" w:rsidRDefault="0053679A" w:rsidP="0053679A">
      <w:pPr>
        <w:pStyle w:val="Body"/>
        <w:jc w:val="center"/>
        <w:rPr>
          <w:rFonts w:ascii="Arial" w:hAnsi="Arial" w:cs="Arial"/>
        </w:rPr>
      </w:pPr>
      <w:r w:rsidRPr="0053679A">
        <w:rPr>
          <w:rFonts w:ascii="Arial" w:hAnsi="Arial" w:cs="Arial"/>
        </w:rPr>
        <w:t>Figure 1. Research Design</w:t>
      </w:r>
    </w:p>
    <w:p w14:paraId="73E81F81" w14:textId="77777777" w:rsidR="0053679A" w:rsidRPr="0053679A" w:rsidRDefault="0053679A" w:rsidP="0053679A">
      <w:pPr>
        <w:pStyle w:val="Body"/>
        <w:rPr>
          <w:rFonts w:ascii="Arial" w:hAnsi="Arial" w:cs="Arial"/>
        </w:rPr>
      </w:pPr>
    </w:p>
    <w:p w14:paraId="2B0D9BBD" w14:textId="77777777" w:rsidR="0053679A" w:rsidRPr="0053679A" w:rsidRDefault="0053679A" w:rsidP="0053679A">
      <w:pPr>
        <w:pStyle w:val="Body"/>
        <w:tabs>
          <w:tab w:val="left" w:pos="2268"/>
          <w:tab w:val="left" w:pos="2552"/>
        </w:tabs>
        <w:ind w:left="1134"/>
        <w:rPr>
          <w:rFonts w:ascii="Arial" w:hAnsi="Arial" w:cs="Arial"/>
        </w:rPr>
      </w:pPr>
      <w:r w:rsidRPr="0053679A">
        <w:rPr>
          <w:rFonts w:ascii="Arial" w:hAnsi="Arial" w:cs="Arial"/>
        </w:rPr>
        <w:t xml:space="preserve">Explanation: </w:t>
      </w:r>
    </w:p>
    <w:p w14:paraId="11EEC3DE" w14:textId="2E2DEE28" w:rsidR="0053679A" w:rsidRPr="0053679A" w:rsidRDefault="0053679A" w:rsidP="0053679A">
      <w:pPr>
        <w:pStyle w:val="Body"/>
        <w:tabs>
          <w:tab w:val="left" w:pos="2127"/>
          <w:tab w:val="left" w:pos="2410"/>
        </w:tabs>
        <w:ind w:left="1134"/>
        <w:rPr>
          <w:rFonts w:ascii="Arial" w:hAnsi="Arial" w:cs="Arial"/>
        </w:rPr>
      </w:pPr>
      <w:r w:rsidRPr="0053679A">
        <w:rPr>
          <w:rFonts w:ascii="Arial" w:hAnsi="Arial" w:cs="Arial"/>
        </w:rPr>
        <w:t xml:space="preserve">X1        </w:t>
      </w:r>
      <w:r>
        <w:rPr>
          <w:rFonts w:ascii="Arial" w:hAnsi="Arial" w:cs="Arial"/>
        </w:rPr>
        <w:tab/>
      </w:r>
      <w:r w:rsidRPr="0053679A">
        <w:rPr>
          <w:rFonts w:ascii="Arial" w:hAnsi="Arial" w:cs="Arial"/>
        </w:rPr>
        <w:t xml:space="preserve">: </w:t>
      </w:r>
      <w:r>
        <w:rPr>
          <w:rFonts w:ascii="Arial" w:hAnsi="Arial" w:cs="Arial"/>
        </w:rPr>
        <w:tab/>
      </w:r>
      <w:r w:rsidRPr="0053679A">
        <w:rPr>
          <w:rFonts w:ascii="Arial" w:hAnsi="Arial" w:cs="Arial"/>
        </w:rPr>
        <w:t>Lifestyle Influences Consumptive Behavior</w:t>
      </w:r>
    </w:p>
    <w:p w14:paraId="0FDCD5DF" w14:textId="7714A359" w:rsidR="0053679A" w:rsidRPr="0053679A" w:rsidRDefault="0053679A" w:rsidP="0053679A">
      <w:pPr>
        <w:pStyle w:val="Body"/>
        <w:tabs>
          <w:tab w:val="left" w:pos="2127"/>
          <w:tab w:val="left" w:pos="2410"/>
        </w:tabs>
        <w:ind w:left="1134"/>
        <w:rPr>
          <w:rFonts w:ascii="Arial" w:hAnsi="Arial" w:cs="Arial"/>
        </w:rPr>
      </w:pPr>
      <w:r w:rsidRPr="0053679A">
        <w:rPr>
          <w:rFonts w:ascii="Arial" w:hAnsi="Arial" w:cs="Arial"/>
        </w:rPr>
        <w:t xml:space="preserve">X2        </w:t>
      </w:r>
      <w:r>
        <w:rPr>
          <w:rFonts w:ascii="Arial" w:hAnsi="Arial" w:cs="Arial"/>
        </w:rPr>
        <w:tab/>
      </w:r>
      <w:r w:rsidRPr="0053679A">
        <w:rPr>
          <w:rFonts w:ascii="Arial" w:hAnsi="Arial" w:cs="Arial"/>
        </w:rPr>
        <w:t xml:space="preserve">: </w:t>
      </w:r>
      <w:r>
        <w:rPr>
          <w:rFonts w:ascii="Arial" w:hAnsi="Arial" w:cs="Arial"/>
        </w:rPr>
        <w:tab/>
      </w:r>
      <w:r w:rsidRPr="0053679A">
        <w:rPr>
          <w:rFonts w:ascii="Arial" w:hAnsi="Arial" w:cs="Arial"/>
        </w:rPr>
        <w:t>Financial Literacy Influences Consumptive Behavior</w:t>
      </w:r>
    </w:p>
    <w:p w14:paraId="260584A9" w14:textId="43C66431" w:rsidR="0053679A" w:rsidRPr="0053679A" w:rsidRDefault="0053679A" w:rsidP="0053679A">
      <w:pPr>
        <w:pStyle w:val="Body"/>
        <w:tabs>
          <w:tab w:val="left" w:pos="2127"/>
          <w:tab w:val="left" w:pos="2410"/>
        </w:tabs>
        <w:ind w:left="1134"/>
        <w:rPr>
          <w:rFonts w:ascii="Arial" w:hAnsi="Arial" w:cs="Arial"/>
        </w:rPr>
      </w:pPr>
      <w:r w:rsidRPr="0053679A">
        <w:rPr>
          <w:rFonts w:ascii="Arial" w:hAnsi="Arial" w:cs="Arial"/>
        </w:rPr>
        <w:t xml:space="preserve">Y        </w:t>
      </w:r>
      <w:r>
        <w:rPr>
          <w:rFonts w:ascii="Arial" w:hAnsi="Arial" w:cs="Arial"/>
        </w:rPr>
        <w:tab/>
      </w:r>
      <w:r w:rsidRPr="0053679A">
        <w:rPr>
          <w:rFonts w:ascii="Arial" w:hAnsi="Arial" w:cs="Arial"/>
        </w:rPr>
        <w:t>:</w:t>
      </w:r>
      <w:r>
        <w:rPr>
          <w:rFonts w:ascii="Arial" w:hAnsi="Arial" w:cs="Arial"/>
        </w:rPr>
        <w:tab/>
      </w:r>
      <w:r w:rsidRPr="0053679A">
        <w:rPr>
          <w:rFonts w:ascii="Arial" w:hAnsi="Arial" w:cs="Arial"/>
        </w:rPr>
        <w:t>Consumptive Behavior</w:t>
      </w:r>
    </w:p>
    <w:p w14:paraId="3CBF0729" w14:textId="45E02A5F" w:rsidR="0053679A" w:rsidRPr="0053679A" w:rsidRDefault="0053679A" w:rsidP="0053679A">
      <w:pPr>
        <w:pStyle w:val="Body"/>
        <w:tabs>
          <w:tab w:val="left" w:pos="2127"/>
          <w:tab w:val="left" w:pos="2410"/>
        </w:tabs>
        <w:ind w:left="1134"/>
        <w:rPr>
          <w:rFonts w:ascii="Arial" w:hAnsi="Arial" w:cs="Arial"/>
        </w:rPr>
      </w:pPr>
      <w:r w:rsidRPr="0053679A">
        <w:rPr>
          <w:rFonts w:ascii="Arial" w:hAnsi="Arial" w:cs="Arial"/>
        </w:rPr>
        <w:t xml:space="preserve">Dummy     </w:t>
      </w:r>
      <w:r>
        <w:rPr>
          <w:rFonts w:ascii="Arial" w:hAnsi="Arial" w:cs="Arial"/>
        </w:rPr>
        <w:tab/>
      </w:r>
      <w:r w:rsidRPr="0053679A">
        <w:rPr>
          <w:rFonts w:ascii="Arial" w:hAnsi="Arial" w:cs="Arial"/>
        </w:rPr>
        <w:t xml:space="preserve">: </w:t>
      </w:r>
      <w:r>
        <w:rPr>
          <w:rFonts w:ascii="Arial" w:hAnsi="Arial" w:cs="Arial"/>
        </w:rPr>
        <w:tab/>
      </w:r>
      <w:r w:rsidRPr="0053679A">
        <w:rPr>
          <w:rFonts w:ascii="Arial" w:hAnsi="Arial" w:cs="Arial"/>
        </w:rPr>
        <w:t>D1, D2,D3</w:t>
      </w:r>
    </w:p>
    <w:p w14:paraId="0782797A" w14:textId="77777777" w:rsidR="0053679A" w:rsidRPr="0053679A" w:rsidRDefault="0053679A" w:rsidP="0053679A">
      <w:pPr>
        <w:pStyle w:val="Body"/>
        <w:rPr>
          <w:rFonts w:ascii="Arial" w:hAnsi="Arial" w:cs="Arial"/>
        </w:rPr>
      </w:pPr>
    </w:p>
    <w:p w14:paraId="337AFF09" w14:textId="0202DCD6" w:rsidR="0053679A" w:rsidRPr="0053679A" w:rsidRDefault="0053679A" w:rsidP="0053679A">
      <w:pPr>
        <w:pStyle w:val="Body"/>
        <w:rPr>
          <w:rFonts w:ascii="Arial" w:hAnsi="Arial" w:cs="Arial"/>
          <w:b/>
        </w:rPr>
      </w:pPr>
      <w:r w:rsidRPr="0053679A">
        <w:rPr>
          <w:rFonts w:ascii="Arial" w:hAnsi="Arial" w:cs="Arial"/>
          <w:b/>
        </w:rPr>
        <w:t>2.3 Population and Sample</w:t>
      </w:r>
    </w:p>
    <w:p w14:paraId="1096BB36" w14:textId="77777777" w:rsidR="0053679A" w:rsidRPr="0053679A" w:rsidRDefault="0053679A" w:rsidP="0053679A">
      <w:pPr>
        <w:pStyle w:val="Body"/>
        <w:rPr>
          <w:rFonts w:ascii="Arial" w:hAnsi="Arial" w:cs="Arial"/>
        </w:rPr>
      </w:pPr>
      <w:r w:rsidRPr="0053679A">
        <w:rPr>
          <w:rFonts w:ascii="Arial" w:hAnsi="Arial" w:cs="Arial"/>
        </w:rPr>
        <w:t xml:space="preserve">The population used consists of students from the Faculty of Economics, academic year 2021-2022, comprising students from four departments: Economics Education, Accounting, Management, and Economics, with a total of 1,332 individuals.  To determine the number of respondents to be taken, the Proportional Random Sampling technique was used at 10%, resulting in a sample size/number of respondents of 133 people. </w:t>
      </w:r>
    </w:p>
    <w:p w14:paraId="0198D047" w14:textId="4FCBD54F" w:rsidR="0053679A" w:rsidRPr="0053679A" w:rsidRDefault="0053679A" w:rsidP="0053679A">
      <w:pPr>
        <w:pStyle w:val="Body"/>
        <w:rPr>
          <w:rFonts w:ascii="Arial" w:hAnsi="Arial" w:cs="Arial"/>
          <w:b/>
        </w:rPr>
      </w:pPr>
      <w:r w:rsidRPr="0053679A">
        <w:rPr>
          <w:rFonts w:ascii="Arial" w:hAnsi="Arial" w:cs="Arial"/>
          <w:b/>
        </w:rPr>
        <w:t>2.4 Data Collection Technique</w:t>
      </w:r>
    </w:p>
    <w:p w14:paraId="5E7AD61C" w14:textId="77777777" w:rsidR="0053679A" w:rsidRPr="0053679A" w:rsidRDefault="0053679A" w:rsidP="0053679A">
      <w:pPr>
        <w:pStyle w:val="Body"/>
        <w:rPr>
          <w:rFonts w:ascii="Arial" w:hAnsi="Arial" w:cs="Arial"/>
        </w:rPr>
      </w:pPr>
      <w:r w:rsidRPr="0053679A">
        <w:rPr>
          <w:rFonts w:ascii="Arial" w:hAnsi="Arial" w:cs="Arial"/>
        </w:rPr>
        <w:t>The data collection technique used in this study was with the help of a research instrument as a tool to collect the required data. The research instrument consists of a questionnaire in the form of written questions related to the research topic. The questionnaire was then administered to the group of individuals selected as the research sample, who then answered it in writing. In this study, the responses provided by the respondents were scored using the Likert scale. The Likert scale is a scale used to measure a person's attitude, opinion, and perception of a particular object or phenomenon (Siregar 2013:25).</w:t>
      </w:r>
    </w:p>
    <w:p w14:paraId="76F45A6A" w14:textId="2974D15B" w:rsidR="0053679A" w:rsidRDefault="0053679A" w:rsidP="0053679A">
      <w:pPr>
        <w:pStyle w:val="Body"/>
        <w:rPr>
          <w:rFonts w:ascii="Arial" w:hAnsi="Arial" w:cs="Arial"/>
        </w:rPr>
      </w:pPr>
      <w:r w:rsidRPr="0053679A">
        <w:rPr>
          <w:rFonts w:ascii="Arial" w:hAnsi="Arial" w:cs="Arial"/>
        </w:rPr>
        <w:t xml:space="preserve">    The researcher used a Likert scale in the form of a checklist where respondents marked (√) the column of the desired answer alternative. Then, each answer obtained was given a score:</w:t>
      </w:r>
    </w:p>
    <w:p w14:paraId="315AC565" w14:textId="0009C16C" w:rsidR="0053679A" w:rsidRDefault="0053679A" w:rsidP="0053679A">
      <w:pPr>
        <w:pStyle w:val="Body"/>
        <w:rPr>
          <w:rFonts w:ascii="Arial" w:hAnsi="Arial" w:cs="Arial"/>
          <w:b/>
        </w:rPr>
      </w:pPr>
      <w:r w:rsidRPr="0053679A">
        <w:rPr>
          <w:rFonts w:ascii="Arial" w:hAnsi="Arial" w:cs="Arial"/>
          <w:b/>
        </w:rPr>
        <w:t>Table 1. Likert Scale Scores</w:t>
      </w:r>
    </w:p>
    <w:p w14:paraId="7E8DC15C" w14:textId="77777777" w:rsidR="00383915" w:rsidRPr="0053679A" w:rsidRDefault="00383915" w:rsidP="0053679A">
      <w:pPr>
        <w:pStyle w:val="Body"/>
        <w:rPr>
          <w:rFonts w:ascii="Arial" w:hAnsi="Arial" w:cs="Arial"/>
          <w:b/>
        </w:rPr>
      </w:pPr>
    </w:p>
    <w:tbl>
      <w:tblPr>
        <w:tblW w:w="0" w:type="auto"/>
        <w:tblInd w:w="572"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67"/>
        <w:gridCol w:w="4322"/>
        <w:gridCol w:w="2066"/>
      </w:tblGrid>
      <w:tr w:rsidR="00383915" w:rsidRPr="00383915" w14:paraId="116F5B5A" w14:textId="77777777" w:rsidTr="00383915">
        <w:trPr>
          <w:trHeight w:val="412"/>
        </w:trPr>
        <w:tc>
          <w:tcPr>
            <w:tcW w:w="567" w:type="dxa"/>
            <w:tcBorders>
              <w:bottom w:val="single" w:sz="4" w:space="0" w:color="000000"/>
            </w:tcBorders>
            <w:vAlign w:val="center"/>
          </w:tcPr>
          <w:p w14:paraId="36F74DF6" w14:textId="77777777" w:rsidR="00383915" w:rsidRPr="00383915" w:rsidRDefault="00383915" w:rsidP="00383915">
            <w:pPr>
              <w:pStyle w:val="Body"/>
              <w:spacing w:after="0"/>
              <w:jc w:val="center"/>
              <w:rPr>
                <w:rFonts w:ascii="Arial" w:hAnsi="Arial" w:cs="Arial"/>
                <w:b/>
              </w:rPr>
            </w:pPr>
            <w:r w:rsidRPr="00383915">
              <w:rPr>
                <w:rFonts w:ascii="Arial" w:hAnsi="Arial" w:cs="Arial"/>
                <w:b/>
              </w:rPr>
              <w:lastRenderedPageBreak/>
              <w:t>No</w:t>
            </w:r>
          </w:p>
        </w:tc>
        <w:tc>
          <w:tcPr>
            <w:tcW w:w="4322" w:type="dxa"/>
            <w:tcBorders>
              <w:bottom w:val="single" w:sz="4" w:space="0" w:color="000000"/>
            </w:tcBorders>
            <w:vAlign w:val="center"/>
          </w:tcPr>
          <w:p w14:paraId="487697A1" w14:textId="3E348EE0" w:rsidR="00383915" w:rsidRPr="00383915" w:rsidRDefault="00383915" w:rsidP="00383915">
            <w:pPr>
              <w:pStyle w:val="Body"/>
              <w:spacing w:after="0"/>
              <w:jc w:val="center"/>
              <w:rPr>
                <w:rFonts w:ascii="Arial" w:hAnsi="Arial" w:cs="Arial"/>
                <w:b/>
              </w:rPr>
            </w:pPr>
            <w:r w:rsidRPr="00383915">
              <w:rPr>
                <w:rFonts w:ascii="Arial" w:hAnsi="Arial" w:cs="Arial"/>
                <w:b/>
              </w:rPr>
              <w:t>Category</w:t>
            </w:r>
          </w:p>
        </w:tc>
        <w:tc>
          <w:tcPr>
            <w:tcW w:w="2066" w:type="dxa"/>
            <w:tcBorders>
              <w:bottom w:val="single" w:sz="4" w:space="0" w:color="000000"/>
            </w:tcBorders>
            <w:vAlign w:val="center"/>
          </w:tcPr>
          <w:p w14:paraId="08A3DD59" w14:textId="0843C821" w:rsidR="00383915" w:rsidRPr="00383915" w:rsidRDefault="00383915" w:rsidP="00383915">
            <w:pPr>
              <w:pStyle w:val="Body"/>
              <w:spacing w:after="0"/>
              <w:jc w:val="center"/>
              <w:rPr>
                <w:rFonts w:ascii="Arial" w:hAnsi="Arial" w:cs="Arial"/>
                <w:b/>
              </w:rPr>
            </w:pPr>
            <w:r w:rsidRPr="00383915">
              <w:rPr>
                <w:rFonts w:ascii="Arial" w:hAnsi="Arial" w:cs="Arial"/>
                <w:b/>
              </w:rPr>
              <w:t>S</w:t>
            </w:r>
            <w:r>
              <w:rPr>
                <w:rFonts w:ascii="Arial" w:hAnsi="Arial" w:cs="Arial"/>
                <w:b/>
              </w:rPr>
              <w:t>cores</w:t>
            </w:r>
          </w:p>
        </w:tc>
      </w:tr>
      <w:tr w:rsidR="00383915" w:rsidRPr="00383915" w14:paraId="438AFAA1" w14:textId="77777777" w:rsidTr="00383915">
        <w:trPr>
          <w:trHeight w:val="417"/>
        </w:trPr>
        <w:tc>
          <w:tcPr>
            <w:tcW w:w="567" w:type="dxa"/>
            <w:tcBorders>
              <w:bottom w:val="nil"/>
            </w:tcBorders>
            <w:vAlign w:val="center"/>
          </w:tcPr>
          <w:p w14:paraId="78105220" w14:textId="77777777" w:rsidR="00383915" w:rsidRPr="00383915" w:rsidRDefault="00383915" w:rsidP="00383915">
            <w:pPr>
              <w:pStyle w:val="Body"/>
              <w:spacing w:after="0"/>
              <w:jc w:val="center"/>
              <w:rPr>
                <w:rFonts w:ascii="Arial" w:hAnsi="Arial" w:cs="Arial"/>
              </w:rPr>
            </w:pPr>
            <w:r w:rsidRPr="00383915">
              <w:rPr>
                <w:rFonts w:ascii="Arial" w:hAnsi="Arial" w:cs="Arial"/>
              </w:rPr>
              <w:t>1.</w:t>
            </w:r>
          </w:p>
        </w:tc>
        <w:tc>
          <w:tcPr>
            <w:tcW w:w="4322" w:type="dxa"/>
            <w:tcBorders>
              <w:bottom w:val="nil"/>
            </w:tcBorders>
            <w:vAlign w:val="center"/>
          </w:tcPr>
          <w:p w14:paraId="252B8BF0" w14:textId="59A6A694" w:rsidR="00383915" w:rsidRPr="00383915" w:rsidRDefault="00383915" w:rsidP="00383915">
            <w:pPr>
              <w:pStyle w:val="Body"/>
              <w:spacing w:after="0"/>
              <w:rPr>
                <w:rFonts w:ascii="Arial" w:hAnsi="Arial" w:cs="Arial"/>
              </w:rPr>
            </w:pPr>
            <w:r w:rsidRPr="00383915">
              <w:rPr>
                <w:rFonts w:ascii="Arial" w:hAnsi="Arial" w:cs="Arial"/>
              </w:rPr>
              <w:t>Strongly Agree (SS)</w:t>
            </w:r>
          </w:p>
        </w:tc>
        <w:tc>
          <w:tcPr>
            <w:tcW w:w="2066" w:type="dxa"/>
            <w:tcBorders>
              <w:bottom w:val="nil"/>
            </w:tcBorders>
            <w:vAlign w:val="center"/>
          </w:tcPr>
          <w:p w14:paraId="12A448D6" w14:textId="77777777" w:rsidR="00383915" w:rsidRPr="00383915" w:rsidRDefault="00383915" w:rsidP="00383915">
            <w:pPr>
              <w:pStyle w:val="Body"/>
              <w:spacing w:after="0"/>
              <w:jc w:val="center"/>
              <w:rPr>
                <w:rFonts w:ascii="Arial" w:hAnsi="Arial" w:cs="Arial"/>
              </w:rPr>
            </w:pPr>
            <w:r w:rsidRPr="00383915">
              <w:rPr>
                <w:rFonts w:ascii="Arial" w:hAnsi="Arial" w:cs="Arial"/>
              </w:rPr>
              <w:t>5</w:t>
            </w:r>
          </w:p>
        </w:tc>
      </w:tr>
      <w:tr w:rsidR="00383915" w:rsidRPr="00383915" w14:paraId="4FA81877" w14:textId="77777777" w:rsidTr="00383915">
        <w:trPr>
          <w:trHeight w:val="412"/>
        </w:trPr>
        <w:tc>
          <w:tcPr>
            <w:tcW w:w="567" w:type="dxa"/>
            <w:tcBorders>
              <w:top w:val="nil"/>
              <w:bottom w:val="nil"/>
            </w:tcBorders>
            <w:vAlign w:val="center"/>
          </w:tcPr>
          <w:p w14:paraId="45BDD7DE" w14:textId="77777777" w:rsidR="00383915" w:rsidRPr="00383915" w:rsidRDefault="00383915" w:rsidP="00383915">
            <w:pPr>
              <w:pStyle w:val="Body"/>
              <w:spacing w:after="0"/>
              <w:jc w:val="center"/>
              <w:rPr>
                <w:rFonts w:ascii="Arial" w:hAnsi="Arial" w:cs="Arial"/>
              </w:rPr>
            </w:pPr>
            <w:r w:rsidRPr="00383915">
              <w:rPr>
                <w:rFonts w:ascii="Arial" w:hAnsi="Arial" w:cs="Arial"/>
              </w:rPr>
              <w:t>2.</w:t>
            </w:r>
          </w:p>
        </w:tc>
        <w:tc>
          <w:tcPr>
            <w:tcW w:w="4322" w:type="dxa"/>
            <w:tcBorders>
              <w:top w:val="nil"/>
              <w:bottom w:val="nil"/>
            </w:tcBorders>
            <w:vAlign w:val="center"/>
          </w:tcPr>
          <w:p w14:paraId="1F0F3046" w14:textId="39C17ED6" w:rsidR="00383915" w:rsidRPr="00383915" w:rsidRDefault="00383915" w:rsidP="00383915">
            <w:pPr>
              <w:pStyle w:val="Body"/>
              <w:spacing w:after="0"/>
              <w:rPr>
                <w:rFonts w:ascii="Arial" w:hAnsi="Arial" w:cs="Arial"/>
              </w:rPr>
            </w:pPr>
            <w:r w:rsidRPr="00383915">
              <w:rPr>
                <w:rFonts w:ascii="Arial" w:hAnsi="Arial" w:cs="Arial"/>
              </w:rPr>
              <w:t>Agree  (S)</w:t>
            </w:r>
          </w:p>
        </w:tc>
        <w:tc>
          <w:tcPr>
            <w:tcW w:w="2066" w:type="dxa"/>
            <w:tcBorders>
              <w:top w:val="nil"/>
              <w:bottom w:val="nil"/>
            </w:tcBorders>
            <w:vAlign w:val="center"/>
          </w:tcPr>
          <w:p w14:paraId="24BBB1FE" w14:textId="77777777" w:rsidR="00383915" w:rsidRPr="00383915" w:rsidRDefault="00383915" w:rsidP="00383915">
            <w:pPr>
              <w:pStyle w:val="Body"/>
              <w:spacing w:after="0"/>
              <w:jc w:val="center"/>
              <w:rPr>
                <w:rFonts w:ascii="Arial" w:hAnsi="Arial" w:cs="Arial"/>
              </w:rPr>
            </w:pPr>
            <w:r w:rsidRPr="00383915">
              <w:rPr>
                <w:rFonts w:ascii="Arial" w:hAnsi="Arial" w:cs="Arial"/>
              </w:rPr>
              <w:t>4</w:t>
            </w:r>
          </w:p>
        </w:tc>
      </w:tr>
      <w:tr w:rsidR="00383915" w:rsidRPr="00383915" w14:paraId="69FDE274" w14:textId="77777777" w:rsidTr="00383915">
        <w:trPr>
          <w:trHeight w:val="417"/>
        </w:trPr>
        <w:tc>
          <w:tcPr>
            <w:tcW w:w="567" w:type="dxa"/>
            <w:tcBorders>
              <w:top w:val="nil"/>
              <w:bottom w:val="nil"/>
            </w:tcBorders>
            <w:vAlign w:val="center"/>
          </w:tcPr>
          <w:p w14:paraId="7EBF7A19" w14:textId="77777777" w:rsidR="00383915" w:rsidRPr="00383915" w:rsidRDefault="00383915" w:rsidP="00383915">
            <w:pPr>
              <w:pStyle w:val="Body"/>
              <w:spacing w:after="0"/>
              <w:jc w:val="center"/>
              <w:rPr>
                <w:rFonts w:ascii="Arial" w:hAnsi="Arial" w:cs="Arial"/>
              </w:rPr>
            </w:pPr>
            <w:r w:rsidRPr="00383915">
              <w:rPr>
                <w:rFonts w:ascii="Arial" w:hAnsi="Arial" w:cs="Arial"/>
              </w:rPr>
              <w:t>3.</w:t>
            </w:r>
          </w:p>
        </w:tc>
        <w:tc>
          <w:tcPr>
            <w:tcW w:w="4322" w:type="dxa"/>
            <w:tcBorders>
              <w:top w:val="nil"/>
              <w:bottom w:val="nil"/>
            </w:tcBorders>
            <w:vAlign w:val="center"/>
          </w:tcPr>
          <w:p w14:paraId="12BC0E5D" w14:textId="7E97169C" w:rsidR="00383915" w:rsidRPr="00383915" w:rsidRDefault="00383915" w:rsidP="00383915">
            <w:pPr>
              <w:pStyle w:val="Body"/>
              <w:spacing w:after="0"/>
              <w:rPr>
                <w:rFonts w:ascii="Arial" w:hAnsi="Arial" w:cs="Arial"/>
              </w:rPr>
            </w:pPr>
            <w:r w:rsidRPr="00383915">
              <w:rPr>
                <w:rFonts w:ascii="Arial" w:hAnsi="Arial" w:cs="Arial"/>
              </w:rPr>
              <w:t>Disagree (KS)</w:t>
            </w:r>
          </w:p>
        </w:tc>
        <w:tc>
          <w:tcPr>
            <w:tcW w:w="2066" w:type="dxa"/>
            <w:tcBorders>
              <w:top w:val="nil"/>
              <w:bottom w:val="nil"/>
            </w:tcBorders>
            <w:vAlign w:val="center"/>
          </w:tcPr>
          <w:p w14:paraId="537FD43C" w14:textId="77777777" w:rsidR="00383915" w:rsidRPr="00383915" w:rsidRDefault="00383915" w:rsidP="00383915">
            <w:pPr>
              <w:pStyle w:val="Body"/>
              <w:spacing w:after="0"/>
              <w:jc w:val="center"/>
              <w:rPr>
                <w:rFonts w:ascii="Arial" w:hAnsi="Arial" w:cs="Arial"/>
              </w:rPr>
            </w:pPr>
            <w:r w:rsidRPr="00383915">
              <w:rPr>
                <w:rFonts w:ascii="Arial" w:hAnsi="Arial" w:cs="Arial"/>
              </w:rPr>
              <w:t>3</w:t>
            </w:r>
          </w:p>
        </w:tc>
      </w:tr>
      <w:tr w:rsidR="00383915" w:rsidRPr="00383915" w14:paraId="34FFC25A" w14:textId="77777777" w:rsidTr="00383915">
        <w:trPr>
          <w:trHeight w:val="412"/>
        </w:trPr>
        <w:tc>
          <w:tcPr>
            <w:tcW w:w="567" w:type="dxa"/>
            <w:tcBorders>
              <w:top w:val="nil"/>
              <w:bottom w:val="nil"/>
            </w:tcBorders>
            <w:vAlign w:val="center"/>
          </w:tcPr>
          <w:p w14:paraId="4BE5621E" w14:textId="77777777" w:rsidR="00383915" w:rsidRPr="00383915" w:rsidRDefault="00383915" w:rsidP="00383915">
            <w:pPr>
              <w:pStyle w:val="Body"/>
              <w:spacing w:after="0"/>
              <w:jc w:val="center"/>
              <w:rPr>
                <w:rFonts w:ascii="Arial" w:hAnsi="Arial" w:cs="Arial"/>
              </w:rPr>
            </w:pPr>
            <w:r w:rsidRPr="00383915">
              <w:rPr>
                <w:rFonts w:ascii="Arial" w:hAnsi="Arial" w:cs="Arial"/>
              </w:rPr>
              <w:t>4.</w:t>
            </w:r>
          </w:p>
        </w:tc>
        <w:tc>
          <w:tcPr>
            <w:tcW w:w="4322" w:type="dxa"/>
            <w:tcBorders>
              <w:top w:val="nil"/>
              <w:bottom w:val="nil"/>
            </w:tcBorders>
            <w:vAlign w:val="center"/>
          </w:tcPr>
          <w:p w14:paraId="39F1FAE8" w14:textId="28EF766C" w:rsidR="00383915" w:rsidRPr="00383915" w:rsidRDefault="00383915" w:rsidP="00383915">
            <w:pPr>
              <w:pStyle w:val="Body"/>
              <w:spacing w:after="0"/>
              <w:ind w:left="-146" w:firstLine="146"/>
              <w:rPr>
                <w:rFonts w:ascii="Arial" w:hAnsi="Arial" w:cs="Arial"/>
              </w:rPr>
            </w:pPr>
            <w:r w:rsidRPr="00383915">
              <w:rPr>
                <w:rFonts w:ascii="Arial" w:hAnsi="Arial" w:cs="Arial"/>
              </w:rPr>
              <w:t>Strongly Disagree  (TS)</w:t>
            </w:r>
          </w:p>
        </w:tc>
        <w:tc>
          <w:tcPr>
            <w:tcW w:w="2066" w:type="dxa"/>
            <w:tcBorders>
              <w:top w:val="nil"/>
              <w:bottom w:val="nil"/>
            </w:tcBorders>
            <w:vAlign w:val="center"/>
          </w:tcPr>
          <w:p w14:paraId="1333603D" w14:textId="77777777" w:rsidR="00383915" w:rsidRPr="00383915" w:rsidRDefault="00383915" w:rsidP="00383915">
            <w:pPr>
              <w:pStyle w:val="Body"/>
              <w:spacing w:after="0"/>
              <w:jc w:val="center"/>
              <w:rPr>
                <w:rFonts w:ascii="Arial" w:hAnsi="Arial" w:cs="Arial"/>
              </w:rPr>
            </w:pPr>
            <w:r w:rsidRPr="00383915">
              <w:rPr>
                <w:rFonts w:ascii="Arial" w:hAnsi="Arial" w:cs="Arial"/>
              </w:rPr>
              <w:t>2</w:t>
            </w:r>
          </w:p>
        </w:tc>
      </w:tr>
      <w:tr w:rsidR="00383915" w:rsidRPr="00383915" w14:paraId="09B41D8B" w14:textId="77777777" w:rsidTr="00383915">
        <w:trPr>
          <w:trHeight w:val="412"/>
        </w:trPr>
        <w:tc>
          <w:tcPr>
            <w:tcW w:w="567" w:type="dxa"/>
            <w:tcBorders>
              <w:top w:val="nil"/>
            </w:tcBorders>
            <w:vAlign w:val="center"/>
          </w:tcPr>
          <w:p w14:paraId="52CFC764" w14:textId="77777777" w:rsidR="00383915" w:rsidRPr="00383915" w:rsidRDefault="00383915" w:rsidP="00383915">
            <w:pPr>
              <w:pStyle w:val="Body"/>
              <w:spacing w:after="0"/>
              <w:jc w:val="center"/>
              <w:rPr>
                <w:rFonts w:ascii="Arial" w:hAnsi="Arial" w:cs="Arial"/>
              </w:rPr>
            </w:pPr>
            <w:r w:rsidRPr="00383915">
              <w:rPr>
                <w:rFonts w:ascii="Arial" w:hAnsi="Arial" w:cs="Arial"/>
              </w:rPr>
              <w:t>5.</w:t>
            </w:r>
          </w:p>
        </w:tc>
        <w:tc>
          <w:tcPr>
            <w:tcW w:w="4322" w:type="dxa"/>
            <w:tcBorders>
              <w:top w:val="nil"/>
            </w:tcBorders>
            <w:vAlign w:val="center"/>
          </w:tcPr>
          <w:p w14:paraId="08213939" w14:textId="3589F2CA" w:rsidR="00383915" w:rsidRPr="00383915" w:rsidRDefault="00383915" w:rsidP="00383915">
            <w:pPr>
              <w:pStyle w:val="Body"/>
              <w:spacing w:after="0"/>
              <w:rPr>
                <w:rFonts w:ascii="Arial" w:hAnsi="Arial" w:cs="Arial"/>
              </w:rPr>
            </w:pPr>
            <w:r w:rsidRPr="00383915">
              <w:rPr>
                <w:rFonts w:ascii="Arial" w:hAnsi="Arial" w:cs="Arial"/>
              </w:rPr>
              <w:t>Very Strongly Disagree (STS)</w:t>
            </w:r>
          </w:p>
        </w:tc>
        <w:tc>
          <w:tcPr>
            <w:tcW w:w="2066" w:type="dxa"/>
            <w:tcBorders>
              <w:top w:val="nil"/>
            </w:tcBorders>
            <w:vAlign w:val="center"/>
          </w:tcPr>
          <w:p w14:paraId="7D9CF6C7" w14:textId="77777777" w:rsidR="00383915" w:rsidRPr="00383915" w:rsidRDefault="00383915" w:rsidP="00383915">
            <w:pPr>
              <w:pStyle w:val="Body"/>
              <w:spacing w:after="0"/>
              <w:jc w:val="center"/>
              <w:rPr>
                <w:rFonts w:ascii="Arial" w:hAnsi="Arial" w:cs="Arial"/>
              </w:rPr>
            </w:pPr>
            <w:r w:rsidRPr="00383915">
              <w:rPr>
                <w:rFonts w:ascii="Arial" w:hAnsi="Arial" w:cs="Arial"/>
              </w:rPr>
              <w:t>1</w:t>
            </w:r>
          </w:p>
        </w:tc>
      </w:tr>
    </w:tbl>
    <w:p w14:paraId="5DDE0A87" w14:textId="77777777" w:rsidR="00383915" w:rsidRPr="00383915" w:rsidRDefault="00383915" w:rsidP="00383915">
      <w:pPr>
        <w:pStyle w:val="Body"/>
        <w:rPr>
          <w:rFonts w:ascii="Arial" w:hAnsi="Arial" w:cs="Arial"/>
        </w:rPr>
      </w:pPr>
    </w:p>
    <w:p w14:paraId="65E4DED2" w14:textId="1452D836" w:rsidR="00383915" w:rsidRPr="00383915" w:rsidRDefault="00383915" w:rsidP="00383915">
      <w:pPr>
        <w:pStyle w:val="Body"/>
        <w:rPr>
          <w:rFonts w:ascii="Arial" w:hAnsi="Arial" w:cs="Arial"/>
          <w:b/>
        </w:rPr>
      </w:pPr>
      <w:r>
        <w:rPr>
          <w:rFonts w:ascii="Arial" w:hAnsi="Arial" w:cs="Arial"/>
          <w:b/>
        </w:rPr>
        <w:t>2.5 Data A</w:t>
      </w:r>
      <w:r w:rsidRPr="00383915">
        <w:rPr>
          <w:rFonts w:ascii="Arial" w:hAnsi="Arial" w:cs="Arial"/>
          <w:b/>
        </w:rPr>
        <w:t>nalysis</w:t>
      </w:r>
    </w:p>
    <w:p w14:paraId="18450BC3" w14:textId="77777777" w:rsidR="00383915" w:rsidRPr="00383915" w:rsidRDefault="00383915" w:rsidP="00383915">
      <w:pPr>
        <w:pStyle w:val="Body"/>
        <w:rPr>
          <w:rFonts w:ascii="Arial" w:hAnsi="Arial" w:cs="Arial"/>
        </w:rPr>
      </w:pPr>
      <w:r w:rsidRPr="00383915">
        <w:rPr>
          <w:rFonts w:ascii="Arial" w:hAnsi="Arial" w:cs="Arial"/>
        </w:rPr>
        <w:t>Instrument testing can be performed on a computer using SPSS (Statistical Product and Service Solution) software. An instrument is considered valid if the validity test results show that the calculated r &gt; table r for an error rate of a = 5%. Conversely, if the calculated r &lt; table r, the instrument is considered invalid.</w:t>
      </w:r>
    </w:p>
    <w:p w14:paraId="0253927B" w14:textId="2BE0F9C7" w:rsidR="0053679A" w:rsidRDefault="00383915" w:rsidP="00383915">
      <w:pPr>
        <w:pStyle w:val="Body"/>
        <w:rPr>
          <w:rFonts w:ascii="Arial" w:hAnsi="Arial" w:cs="Arial"/>
        </w:rPr>
      </w:pPr>
      <w:r w:rsidRPr="00383915">
        <w:rPr>
          <w:rFonts w:ascii="Arial" w:hAnsi="Arial" w:cs="Arial"/>
        </w:rPr>
        <w:t xml:space="preserve">    Reliability is tested  using Cronbach's Alpha coefficient:</w:t>
      </w:r>
    </w:p>
    <w:p w14:paraId="594C516F" w14:textId="77777777" w:rsidR="00383915" w:rsidRDefault="00520D89" w:rsidP="00AE1851">
      <w:pPr>
        <w:jc w:val="both"/>
        <w:rPr>
          <w:rFonts w:cs="Helvetica"/>
        </w:rPr>
      </w:pPr>
      <m:oMath>
        <m:r>
          <m:rPr>
            <m:sty m:val="p"/>
          </m:rPr>
          <w:rPr>
            <w:rFonts w:ascii="Cambria Math" w:hAnsi="Cambria Math" w:cs="Helvetica"/>
            <w:sz w:val="22"/>
          </w:rPr>
          <m:t xml:space="preserve">ri= </m:t>
        </m:r>
        <m:d>
          <m:dPr>
            <m:ctrlPr>
              <w:rPr>
                <w:rFonts w:ascii="Cambria Math" w:hAnsi="Cambria Math" w:cs="Helvetica"/>
                <w:sz w:val="22"/>
              </w:rPr>
            </m:ctrlPr>
          </m:dPr>
          <m:e>
            <m:f>
              <m:fPr>
                <m:ctrlPr>
                  <w:rPr>
                    <w:rFonts w:ascii="Cambria Math" w:hAnsi="Cambria Math" w:cs="Helvetica"/>
                    <w:i/>
                    <w:sz w:val="22"/>
                  </w:rPr>
                </m:ctrlPr>
              </m:fPr>
              <m:num>
                <m:r>
                  <w:rPr>
                    <w:rFonts w:ascii="Cambria Math" w:hAnsi="Cambria Math" w:cs="Helvetica"/>
                    <w:sz w:val="22"/>
                  </w:rPr>
                  <m:t>k</m:t>
                </m:r>
              </m:num>
              <m:den>
                <m:r>
                  <w:rPr>
                    <w:rFonts w:ascii="Cambria Math" w:hAnsi="Cambria Math" w:cs="Helvetica"/>
                    <w:sz w:val="22"/>
                  </w:rPr>
                  <m:t>k-1</m:t>
                </m:r>
              </m:den>
            </m:f>
          </m:e>
        </m:d>
        <m:d>
          <m:dPr>
            <m:ctrlPr>
              <w:rPr>
                <w:rFonts w:ascii="Cambria Math" w:hAnsi="Cambria Math" w:cs="Helvetica"/>
                <w:i/>
                <w:sz w:val="22"/>
              </w:rPr>
            </m:ctrlPr>
          </m:dPr>
          <m:e>
            <m:r>
              <w:rPr>
                <w:rFonts w:ascii="Cambria Math" w:hAnsi="Cambria Math" w:cs="Helvetica"/>
                <w:sz w:val="22"/>
              </w:rPr>
              <m:t xml:space="preserve">1- </m:t>
            </m:r>
            <m:f>
              <m:fPr>
                <m:ctrlPr>
                  <w:rPr>
                    <w:rFonts w:ascii="Cambria Math" w:hAnsi="Cambria Math" w:cs="Helvetica"/>
                    <w:i/>
                    <w:sz w:val="22"/>
                  </w:rPr>
                </m:ctrlPr>
              </m:fPr>
              <m:num>
                <m:r>
                  <w:rPr>
                    <w:rFonts w:ascii="Cambria Math" w:hAnsi="Cambria Math" w:cs="Helvetica"/>
                    <w:sz w:val="22"/>
                  </w:rPr>
                  <m:t>∑σ</m:t>
                </m:r>
                <m:sSup>
                  <m:sSupPr>
                    <m:ctrlPr>
                      <w:rPr>
                        <w:rFonts w:ascii="Cambria Math" w:hAnsi="Cambria Math" w:cs="Helvetica"/>
                        <w:i/>
                        <w:sz w:val="22"/>
                      </w:rPr>
                    </m:ctrlPr>
                  </m:sSupPr>
                  <m:e>
                    <m:r>
                      <w:rPr>
                        <w:rFonts w:ascii="Cambria Math" w:hAnsi="Cambria Math" w:cs="Helvetica"/>
                        <w:sz w:val="22"/>
                      </w:rPr>
                      <m:t>b</m:t>
                    </m:r>
                  </m:e>
                  <m:sup>
                    <m:r>
                      <w:rPr>
                        <w:rFonts w:ascii="Cambria Math" w:hAnsi="Cambria Math" w:cs="Helvetica"/>
                        <w:sz w:val="22"/>
                      </w:rPr>
                      <m:t>2</m:t>
                    </m:r>
                  </m:sup>
                </m:sSup>
              </m:num>
              <m:den>
                <m:r>
                  <w:rPr>
                    <w:rFonts w:ascii="Cambria Math" w:hAnsi="Cambria Math" w:cs="Helvetica"/>
                    <w:sz w:val="22"/>
                  </w:rPr>
                  <m:t>σ</m:t>
                </m:r>
                <m:sSup>
                  <m:sSupPr>
                    <m:ctrlPr>
                      <w:rPr>
                        <w:rFonts w:ascii="Cambria Math" w:hAnsi="Cambria Math" w:cs="Helvetica"/>
                        <w:i/>
                        <w:sz w:val="22"/>
                      </w:rPr>
                    </m:ctrlPr>
                  </m:sSupPr>
                  <m:e>
                    <m:r>
                      <w:rPr>
                        <w:rFonts w:ascii="Cambria Math" w:hAnsi="Cambria Math" w:cs="Helvetica"/>
                        <w:sz w:val="22"/>
                      </w:rPr>
                      <m:t>b</m:t>
                    </m:r>
                  </m:e>
                  <m:sup>
                    <m:r>
                      <w:rPr>
                        <w:rFonts w:ascii="Cambria Math" w:hAnsi="Cambria Math" w:cs="Helvetica"/>
                        <w:sz w:val="22"/>
                      </w:rPr>
                      <m:t>2</m:t>
                    </m:r>
                  </m:sup>
                </m:sSup>
              </m:den>
            </m:f>
          </m:e>
        </m:d>
      </m:oMath>
      <w:r w:rsidRPr="00520D89">
        <w:rPr>
          <w:rFonts w:cs="Helvetica"/>
        </w:rPr>
        <w:t xml:space="preserve"> </w:t>
      </w:r>
      <w:r w:rsidR="00383915" w:rsidRPr="00383915">
        <w:rPr>
          <w:rFonts w:cs="Helvetica"/>
        </w:rPr>
        <w:t xml:space="preserve">(Arikunto, 2013:239). In hypothesis testing, two types of approaches are used, namely simultaneous F-test and partial t-test. To test simultaneous F, use the following formula: </w:t>
      </w:r>
    </w:p>
    <w:p w14:paraId="0CE6B1E0" w14:textId="77777777" w:rsidR="00383915" w:rsidRDefault="00383915" w:rsidP="00AE1851">
      <w:pPr>
        <w:jc w:val="both"/>
      </w:pPr>
    </w:p>
    <w:p w14:paraId="59D1E144" w14:textId="77777777" w:rsidR="00AE1851" w:rsidRPr="00AE1851" w:rsidRDefault="00AE1851" w:rsidP="00383915">
      <w:pPr>
        <w:spacing w:after="240"/>
        <w:jc w:val="both"/>
      </w:pPr>
      <w:r w:rsidRPr="00AE1851">
        <w:t>H</w:t>
      </w:r>
      <w:r w:rsidRPr="00AE1851">
        <w:rPr>
          <w:rFonts w:ascii="Cambria Math" w:hAnsi="Cambria Math" w:cs="Cambria Math"/>
        </w:rPr>
        <w:t>₀</w:t>
      </w:r>
      <w:r w:rsidRPr="00AE1851">
        <w:t xml:space="preserve"> : </w:t>
      </w:r>
      <w:r w:rsidRPr="00AE1851">
        <w:rPr>
          <w:rFonts w:cs="Helvetica"/>
        </w:rPr>
        <w:t>β</w:t>
      </w:r>
      <w:r w:rsidRPr="00AE1851">
        <w:t>o,</w:t>
      </w:r>
      <w:r w:rsidRPr="00AE1851">
        <w:rPr>
          <w:rFonts w:cs="Helvetica"/>
        </w:rPr>
        <w:t>β</w:t>
      </w:r>
      <w:r w:rsidRPr="00AE1851">
        <w:rPr>
          <w:rFonts w:ascii="Cambria Math" w:hAnsi="Cambria Math" w:cs="Cambria Math"/>
        </w:rPr>
        <w:t>₁</w:t>
      </w:r>
      <w:r w:rsidRPr="00AE1851">
        <w:t>,</w:t>
      </w:r>
      <w:r w:rsidRPr="00AE1851">
        <w:rPr>
          <w:rFonts w:cs="Helvetica"/>
        </w:rPr>
        <w:t>β</w:t>
      </w:r>
      <w:r w:rsidRPr="00AE1851">
        <w:rPr>
          <w:rFonts w:ascii="Cambria Math" w:hAnsi="Cambria Math" w:cs="Cambria Math"/>
        </w:rPr>
        <w:t>₂</w:t>
      </w:r>
      <w:r w:rsidRPr="00AE1851">
        <w:t>,</w:t>
      </w:r>
      <w:r w:rsidRPr="00AE1851">
        <w:rPr>
          <w:rFonts w:cs="Helvetica"/>
        </w:rPr>
        <w:t>β</w:t>
      </w:r>
      <w:r w:rsidRPr="00AE1851">
        <w:rPr>
          <w:rFonts w:ascii="Cambria Math" w:hAnsi="Cambria Math" w:cs="Cambria Math"/>
        </w:rPr>
        <w:t>₃</w:t>
      </w:r>
      <w:r w:rsidRPr="00AE1851">
        <w:t>,</w:t>
      </w:r>
      <w:r w:rsidRPr="00AE1851">
        <w:rPr>
          <w:rFonts w:cs="Helvetica"/>
        </w:rPr>
        <w:t>β</w:t>
      </w:r>
      <w:r w:rsidRPr="00AE1851">
        <w:rPr>
          <w:rFonts w:ascii="Cambria Math" w:hAnsi="Cambria Math" w:cs="Cambria Math"/>
        </w:rPr>
        <w:t>₄</w:t>
      </w:r>
      <w:r w:rsidRPr="00AE1851">
        <w:t>,</w:t>
      </w:r>
      <w:r w:rsidRPr="00AE1851">
        <w:rPr>
          <w:rFonts w:cs="Helvetica"/>
        </w:rPr>
        <w:t>β</w:t>
      </w:r>
      <w:r w:rsidRPr="00AE1851">
        <w:rPr>
          <w:rFonts w:ascii="Cambria Math" w:hAnsi="Cambria Math" w:cs="Cambria Math"/>
        </w:rPr>
        <w:t>₅</w:t>
      </w:r>
      <w:r w:rsidRPr="00AE1851">
        <w:t xml:space="preserve"> = 0 </w:t>
      </w:r>
      <w:r w:rsidRPr="00AE1851">
        <w:rPr>
          <w:rFonts w:cs="Helvetica"/>
        </w:rPr>
        <w:t>→</w:t>
      </w:r>
      <w:r w:rsidRPr="00AE1851">
        <w:t xml:space="preserve"> There is no simultaneous effect</w:t>
      </w:r>
    </w:p>
    <w:p w14:paraId="63BBCC43" w14:textId="77777777" w:rsidR="00AE1851" w:rsidRPr="00AE1851" w:rsidRDefault="00AE1851" w:rsidP="00383915">
      <w:pPr>
        <w:spacing w:after="240"/>
        <w:jc w:val="both"/>
      </w:pPr>
      <w:r w:rsidRPr="00AE1851">
        <w:t>H</w:t>
      </w:r>
      <w:r w:rsidRPr="00AE1851">
        <w:rPr>
          <w:rFonts w:ascii="Cambria Math" w:hAnsi="Cambria Math" w:cs="Cambria Math"/>
        </w:rPr>
        <w:t>₁</w:t>
      </w:r>
      <w:r w:rsidRPr="00AE1851">
        <w:t xml:space="preserve">: At least one </w:t>
      </w:r>
      <w:r w:rsidRPr="00AE1851">
        <w:rPr>
          <w:rFonts w:cs="Helvetica"/>
        </w:rPr>
        <w:t>β</w:t>
      </w:r>
      <w:r w:rsidRPr="00AE1851">
        <w:t xml:space="preserve"> </w:t>
      </w:r>
      <w:r w:rsidRPr="00AE1851">
        <w:rPr>
          <w:rFonts w:cs="Helvetica"/>
        </w:rPr>
        <w:t>≠</w:t>
      </w:r>
      <w:r w:rsidRPr="00AE1851">
        <w:t xml:space="preserve"> 0 </w:t>
      </w:r>
      <w:r w:rsidRPr="00AE1851">
        <w:rPr>
          <w:rFonts w:cs="Helvetica"/>
        </w:rPr>
        <w:t>→</w:t>
      </w:r>
      <w:r w:rsidRPr="00AE1851">
        <w:t xml:space="preserve"> There is a simultaneous influence</w:t>
      </w:r>
    </w:p>
    <w:p w14:paraId="36980905" w14:textId="77777777" w:rsidR="00AE1851" w:rsidRDefault="00AE1851" w:rsidP="00AE1851">
      <w:pPr>
        <w:jc w:val="both"/>
      </w:pPr>
    </w:p>
    <w:p w14:paraId="019EE720" w14:textId="0C00124E" w:rsidR="00AE1851" w:rsidRPr="00AE1851" w:rsidRDefault="00383915" w:rsidP="00AE1851">
      <w:pPr>
        <w:jc w:val="both"/>
      </w:pPr>
      <w:r w:rsidRPr="00383915">
        <w:t>(Sugiyono, 2013) states that regression is a formula used to determine the extent of the influence of dependent variables on independent variables. This study uses multiple linear regression data analysis techniques, where α is used to determine the influence of lifestyle variables (X1), financial literacy (X2), and major categories (in the form of dummy variables: D</w:t>
      </w:r>
      <w:r w:rsidRPr="00383915">
        <w:rPr>
          <w:rFonts w:ascii="Cambria Math" w:hAnsi="Cambria Math" w:cs="Cambria Math"/>
        </w:rPr>
        <w:t>₁</w:t>
      </w:r>
      <w:r w:rsidRPr="00383915">
        <w:t>, D</w:t>
      </w:r>
      <w:r w:rsidRPr="00383915">
        <w:rPr>
          <w:rFonts w:ascii="Cambria Math" w:hAnsi="Cambria Math" w:cs="Cambria Math"/>
        </w:rPr>
        <w:t>₂</w:t>
      </w:r>
      <w:r w:rsidRPr="00383915">
        <w:t>, D</w:t>
      </w:r>
      <w:r w:rsidRPr="00383915">
        <w:rPr>
          <w:rFonts w:ascii="Cambria Math" w:hAnsi="Cambria Math" w:cs="Cambria Math"/>
        </w:rPr>
        <w:t>₃</w:t>
      </w:r>
      <w:r w:rsidRPr="00383915">
        <w:t>) on the consumptive behavior of students (Y). The regression model used is as follows:</w:t>
      </w:r>
    </w:p>
    <w:p w14:paraId="48157617" w14:textId="77777777" w:rsidR="00AE1851" w:rsidRDefault="00AE1851" w:rsidP="00AE1851">
      <w:pPr>
        <w:jc w:val="both"/>
      </w:pPr>
    </w:p>
    <w:p w14:paraId="7A60246C" w14:textId="77777777" w:rsidR="00AE1851" w:rsidRDefault="00AE1851" w:rsidP="00AE1851">
      <w:pPr>
        <w:jc w:val="center"/>
      </w:pPr>
      <w:r>
        <w:rPr>
          <w:noProof/>
          <w:lang w:val="en-IN" w:eastAsia="en-IN"/>
        </w:rPr>
        <w:drawing>
          <wp:inline distT="0" distB="0" distL="0" distR="0" wp14:anchorId="51B522AA" wp14:editId="2CFFB817">
            <wp:extent cx="303784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7840" cy="419100"/>
                    </a:xfrm>
                    <a:prstGeom prst="rect">
                      <a:avLst/>
                    </a:prstGeom>
                    <a:noFill/>
                  </pic:spPr>
                </pic:pic>
              </a:graphicData>
            </a:graphic>
          </wp:inline>
        </w:drawing>
      </w:r>
    </w:p>
    <w:p w14:paraId="55624742" w14:textId="77777777" w:rsidR="00AE1851" w:rsidRDefault="00AE1851" w:rsidP="00AE1851">
      <w:pPr>
        <w:jc w:val="both"/>
      </w:pPr>
    </w:p>
    <w:p w14:paraId="36548AEA" w14:textId="7ADEBF53" w:rsidR="00AA74E0" w:rsidRPr="00520D89" w:rsidRDefault="00383915" w:rsidP="00520D89">
      <w:pPr>
        <w:jc w:val="both"/>
      </w:pPr>
      <w:r w:rsidRPr="00383915">
        <w:t>The coefficient of determination (R²) is used to determine the relationship between exogenous variables (X) and endogenous variables (Y). The higher the R value, the stronger the correlation. The coefficient of determination (R²) aims to determine how well the exogenous variable explains the endogenous variable. An R² value is considered good if it is above 0.5, as R² values range from 0 to 1</w:t>
      </w:r>
      <w:r w:rsidR="00AA74E0">
        <w:rPr>
          <w:rFonts w:ascii="Arial" w:hAnsi="Arial" w:cs="Arial"/>
        </w:rPr>
        <w:t>]</w:t>
      </w:r>
      <w:r w:rsidR="00AA74E0" w:rsidRPr="00FB3A86">
        <w:rPr>
          <w:rFonts w:ascii="Arial" w:hAnsi="Arial" w:cs="Arial"/>
        </w:rPr>
        <w:t xml:space="preserve">  </w:t>
      </w:r>
    </w:p>
    <w:p w14:paraId="646207F9" w14:textId="77777777" w:rsidR="00790ADA" w:rsidRPr="00FB3A86" w:rsidRDefault="00790ADA" w:rsidP="00441B6F">
      <w:pPr>
        <w:pStyle w:val="Body"/>
        <w:spacing w:after="0"/>
        <w:rPr>
          <w:rFonts w:ascii="Arial" w:hAnsi="Arial" w:cs="Arial"/>
        </w:rPr>
      </w:pPr>
    </w:p>
    <w:p w14:paraId="1FD8DAE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52F55C" w14:textId="77777777" w:rsidR="00790ADA" w:rsidRPr="00FB3A86" w:rsidRDefault="00790ADA" w:rsidP="00441B6F">
      <w:pPr>
        <w:pStyle w:val="Head1"/>
        <w:spacing w:after="0"/>
        <w:jc w:val="both"/>
        <w:rPr>
          <w:rFonts w:ascii="Arial" w:hAnsi="Arial" w:cs="Arial"/>
        </w:rPr>
      </w:pPr>
    </w:p>
    <w:p w14:paraId="529BA6A8" w14:textId="77777777" w:rsidR="00520D89" w:rsidRDefault="00502516" w:rsidP="00383915">
      <w:pPr>
        <w:pStyle w:val="Body"/>
        <w:rPr>
          <w:rFonts w:ascii="Arial" w:hAnsi="Arial" w:cs="Arial"/>
          <w:b/>
          <w:sz w:val="22"/>
        </w:rPr>
      </w:pPr>
      <w:r>
        <w:rPr>
          <w:rFonts w:ascii="Arial" w:hAnsi="Arial" w:cs="Arial"/>
        </w:rPr>
        <w:t>[</w:t>
      </w:r>
      <w:r w:rsidR="00520D89">
        <w:rPr>
          <w:rFonts w:ascii="Arial" w:hAnsi="Arial" w:cs="Arial"/>
          <w:b/>
          <w:caps/>
          <w:sz w:val="22"/>
        </w:rPr>
        <w:t>3</w:t>
      </w:r>
      <w:r w:rsidR="00520D89" w:rsidRPr="00C30A0F">
        <w:rPr>
          <w:rFonts w:ascii="Arial" w:hAnsi="Arial" w:cs="Arial"/>
          <w:b/>
          <w:caps/>
          <w:sz w:val="22"/>
        </w:rPr>
        <w:t xml:space="preserve">.1 </w:t>
      </w:r>
      <w:r w:rsidR="00520D89">
        <w:rPr>
          <w:rFonts w:ascii="Arial" w:hAnsi="Arial" w:cs="Arial"/>
          <w:b/>
          <w:sz w:val="22"/>
        </w:rPr>
        <w:t>Results</w:t>
      </w:r>
    </w:p>
    <w:p w14:paraId="4115FC52" w14:textId="2C5ED32E" w:rsidR="00383915" w:rsidRDefault="00383915" w:rsidP="00383915">
      <w:pPr>
        <w:pStyle w:val="Body"/>
        <w:rPr>
          <w:rFonts w:ascii="Arial" w:hAnsi="Arial" w:cs="Arial"/>
        </w:rPr>
      </w:pPr>
      <w:r w:rsidRPr="00383915">
        <w:rPr>
          <w:rFonts w:ascii="Arial" w:hAnsi="Arial" w:cs="Arial"/>
        </w:rPr>
        <w:t>Based on the research conducted, the results are presented in Table 2.</w:t>
      </w:r>
    </w:p>
    <w:p w14:paraId="38556BE0" w14:textId="4FEFE44B" w:rsidR="00520D89" w:rsidRPr="00520D89" w:rsidRDefault="00383915" w:rsidP="00520D89">
      <w:pPr>
        <w:pStyle w:val="Body"/>
        <w:spacing w:after="0"/>
        <w:rPr>
          <w:rFonts w:ascii="Arial" w:hAnsi="Arial" w:cs="Arial"/>
          <w:b/>
        </w:rPr>
      </w:pPr>
      <w:r>
        <w:rPr>
          <w:rFonts w:ascii="Arial" w:hAnsi="Arial" w:cs="Arial"/>
          <w:b/>
        </w:rPr>
        <w:t>Table 2</w:t>
      </w:r>
      <w:r w:rsidR="00520D89" w:rsidRPr="00520D89">
        <w:rPr>
          <w:rFonts w:ascii="Arial" w:hAnsi="Arial" w:cs="Arial"/>
          <w:b/>
        </w:rPr>
        <w:t>. Results of Partial Analysis of Independent Variables on Dependent Variables</w:t>
      </w:r>
    </w:p>
    <w:tbl>
      <w:tblPr>
        <w:tblW w:w="8626" w:type="dxa"/>
        <w:jc w:val="center"/>
        <w:tblLayout w:type="fixed"/>
        <w:tblCellMar>
          <w:left w:w="0" w:type="dxa"/>
          <w:right w:w="0" w:type="dxa"/>
        </w:tblCellMar>
        <w:tblLook w:val="0000" w:firstRow="0" w:lastRow="0" w:firstColumn="0" w:lastColumn="0" w:noHBand="0" w:noVBand="0"/>
      </w:tblPr>
      <w:tblGrid>
        <w:gridCol w:w="727"/>
        <w:gridCol w:w="1805"/>
        <w:gridCol w:w="1319"/>
        <w:gridCol w:w="1319"/>
        <w:gridCol w:w="1456"/>
        <w:gridCol w:w="1000"/>
        <w:gridCol w:w="1000"/>
      </w:tblGrid>
      <w:tr w:rsidR="00520D89" w:rsidRPr="00520D89" w14:paraId="7C4ECF65" w14:textId="77777777" w:rsidTr="0093001D">
        <w:trPr>
          <w:cantSplit/>
          <w:jc w:val="center"/>
        </w:trPr>
        <w:tc>
          <w:tcPr>
            <w:tcW w:w="8626" w:type="dxa"/>
            <w:gridSpan w:val="7"/>
            <w:tcBorders>
              <w:bottom w:val="single" w:sz="4" w:space="0" w:color="auto"/>
            </w:tcBorders>
            <w:shd w:val="clear" w:color="auto" w:fill="FFFFFF"/>
          </w:tcPr>
          <w:p w14:paraId="401838FB" w14:textId="77777777" w:rsidR="00520D89" w:rsidRPr="00520D89" w:rsidRDefault="00520D89" w:rsidP="00520D89">
            <w:pPr>
              <w:pStyle w:val="Body"/>
              <w:spacing w:after="0"/>
              <w:rPr>
                <w:rFonts w:ascii="Arial" w:hAnsi="Arial" w:cs="Arial"/>
              </w:rPr>
            </w:pPr>
            <w:r w:rsidRPr="00520D89">
              <w:rPr>
                <w:rFonts w:ascii="Arial" w:hAnsi="Arial" w:cs="Arial"/>
                <w:bCs/>
              </w:rPr>
              <w:t>Coefficients</w:t>
            </w:r>
            <w:r w:rsidRPr="00520D89">
              <w:rPr>
                <w:rFonts w:ascii="Arial" w:hAnsi="Arial" w:cs="Arial"/>
                <w:bCs/>
                <w:vertAlign w:val="superscript"/>
              </w:rPr>
              <w:t>a</w:t>
            </w:r>
          </w:p>
        </w:tc>
      </w:tr>
      <w:tr w:rsidR="00520D89" w:rsidRPr="00520D89" w14:paraId="1F2D082E" w14:textId="77777777" w:rsidTr="0093001D">
        <w:trPr>
          <w:cantSplit/>
          <w:jc w:val="center"/>
        </w:trPr>
        <w:tc>
          <w:tcPr>
            <w:tcW w:w="2532" w:type="dxa"/>
            <w:gridSpan w:val="2"/>
            <w:vMerge w:val="restart"/>
            <w:tcBorders>
              <w:top w:val="single" w:sz="4" w:space="0" w:color="auto"/>
              <w:bottom w:val="single" w:sz="4" w:space="0" w:color="auto"/>
            </w:tcBorders>
            <w:shd w:val="clear" w:color="auto" w:fill="FFFFFF"/>
          </w:tcPr>
          <w:p w14:paraId="76774A34" w14:textId="77777777" w:rsidR="00520D89" w:rsidRPr="00520D89" w:rsidRDefault="00520D89" w:rsidP="00520D89">
            <w:pPr>
              <w:pStyle w:val="Body"/>
              <w:spacing w:after="0"/>
              <w:rPr>
                <w:rFonts w:ascii="Arial" w:hAnsi="Arial" w:cs="Arial"/>
              </w:rPr>
            </w:pPr>
            <w:r w:rsidRPr="00520D89">
              <w:rPr>
                <w:rFonts w:ascii="Arial" w:hAnsi="Arial" w:cs="Arial"/>
              </w:rPr>
              <w:t>Model</w:t>
            </w:r>
          </w:p>
        </w:tc>
        <w:tc>
          <w:tcPr>
            <w:tcW w:w="2638" w:type="dxa"/>
            <w:gridSpan w:val="2"/>
            <w:tcBorders>
              <w:top w:val="single" w:sz="4" w:space="0" w:color="auto"/>
              <w:bottom w:val="single" w:sz="4" w:space="0" w:color="auto"/>
            </w:tcBorders>
            <w:shd w:val="clear" w:color="auto" w:fill="FFFFFF"/>
          </w:tcPr>
          <w:p w14:paraId="5966981D" w14:textId="77777777" w:rsidR="00520D89" w:rsidRPr="00520D89" w:rsidRDefault="00520D89" w:rsidP="00520D89">
            <w:pPr>
              <w:pStyle w:val="Body"/>
              <w:spacing w:after="0"/>
              <w:rPr>
                <w:rFonts w:ascii="Arial" w:hAnsi="Arial" w:cs="Arial"/>
              </w:rPr>
            </w:pPr>
            <w:r w:rsidRPr="00520D89">
              <w:rPr>
                <w:rFonts w:ascii="Arial" w:hAnsi="Arial" w:cs="Arial"/>
              </w:rPr>
              <w:t>Unstandardized Coefficients</w:t>
            </w:r>
          </w:p>
        </w:tc>
        <w:tc>
          <w:tcPr>
            <w:tcW w:w="1456" w:type="dxa"/>
            <w:tcBorders>
              <w:top w:val="single" w:sz="4" w:space="0" w:color="auto"/>
              <w:bottom w:val="single" w:sz="4" w:space="0" w:color="auto"/>
            </w:tcBorders>
            <w:shd w:val="clear" w:color="auto" w:fill="FFFFFF"/>
          </w:tcPr>
          <w:p w14:paraId="4FE667AD" w14:textId="77777777" w:rsidR="00520D89" w:rsidRPr="00520D89" w:rsidRDefault="00520D89" w:rsidP="00520D89">
            <w:pPr>
              <w:pStyle w:val="Body"/>
              <w:spacing w:after="0"/>
              <w:rPr>
                <w:rFonts w:ascii="Arial" w:hAnsi="Arial" w:cs="Arial"/>
              </w:rPr>
            </w:pPr>
            <w:r w:rsidRPr="00520D89">
              <w:rPr>
                <w:rFonts w:ascii="Arial" w:hAnsi="Arial" w:cs="Arial"/>
              </w:rPr>
              <w:t>Standardized Coefficients</w:t>
            </w:r>
          </w:p>
        </w:tc>
        <w:tc>
          <w:tcPr>
            <w:tcW w:w="1000" w:type="dxa"/>
            <w:vMerge w:val="restart"/>
            <w:tcBorders>
              <w:top w:val="single" w:sz="4" w:space="0" w:color="auto"/>
              <w:bottom w:val="single" w:sz="4" w:space="0" w:color="auto"/>
            </w:tcBorders>
            <w:shd w:val="clear" w:color="auto" w:fill="FFFFFF"/>
          </w:tcPr>
          <w:p w14:paraId="55243B34" w14:textId="77777777" w:rsidR="00520D89" w:rsidRPr="00520D89" w:rsidRDefault="00520D89" w:rsidP="00752E33">
            <w:pPr>
              <w:pStyle w:val="Body"/>
              <w:spacing w:after="0"/>
              <w:jc w:val="center"/>
              <w:rPr>
                <w:rFonts w:ascii="Arial" w:hAnsi="Arial" w:cs="Arial"/>
              </w:rPr>
            </w:pPr>
            <w:r w:rsidRPr="00520D89">
              <w:rPr>
                <w:rFonts w:ascii="Arial" w:hAnsi="Arial" w:cs="Arial"/>
              </w:rPr>
              <w:t>t</w:t>
            </w:r>
          </w:p>
        </w:tc>
        <w:tc>
          <w:tcPr>
            <w:tcW w:w="1000" w:type="dxa"/>
            <w:vMerge w:val="restart"/>
            <w:tcBorders>
              <w:top w:val="single" w:sz="4" w:space="0" w:color="auto"/>
              <w:bottom w:val="single" w:sz="4" w:space="0" w:color="auto"/>
            </w:tcBorders>
            <w:shd w:val="clear" w:color="auto" w:fill="FFFFFF"/>
          </w:tcPr>
          <w:p w14:paraId="6A000E2F" w14:textId="77777777" w:rsidR="00520D89" w:rsidRPr="00520D89" w:rsidRDefault="00520D89" w:rsidP="00752E33">
            <w:pPr>
              <w:pStyle w:val="Body"/>
              <w:spacing w:after="0"/>
              <w:jc w:val="center"/>
              <w:rPr>
                <w:rFonts w:ascii="Arial" w:hAnsi="Arial" w:cs="Arial"/>
              </w:rPr>
            </w:pPr>
            <w:r w:rsidRPr="00520D89">
              <w:rPr>
                <w:rFonts w:ascii="Arial" w:hAnsi="Arial" w:cs="Arial"/>
              </w:rPr>
              <w:t>Sig.</w:t>
            </w:r>
          </w:p>
        </w:tc>
      </w:tr>
      <w:tr w:rsidR="00520D89" w:rsidRPr="00520D89" w14:paraId="1EE587FE" w14:textId="77777777" w:rsidTr="0093001D">
        <w:trPr>
          <w:cantSplit/>
          <w:jc w:val="center"/>
        </w:trPr>
        <w:tc>
          <w:tcPr>
            <w:tcW w:w="2532" w:type="dxa"/>
            <w:gridSpan w:val="2"/>
            <w:vMerge/>
            <w:tcBorders>
              <w:top w:val="single" w:sz="4" w:space="0" w:color="auto"/>
            </w:tcBorders>
            <w:shd w:val="clear" w:color="auto" w:fill="FFFFFF"/>
          </w:tcPr>
          <w:p w14:paraId="1D9F7DCB" w14:textId="77777777" w:rsidR="00520D89" w:rsidRPr="00520D89" w:rsidRDefault="00520D89" w:rsidP="00520D89">
            <w:pPr>
              <w:pStyle w:val="Body"/>
              <w:spacing w:after="0"/>
              <w:rPr>
                <w:rFonts w:ascii="Arial" w:hAnsi="Arial" w:cs="Arial"/>
              </w:rPr>
            </w:pPr>
          </w:p>
        </w:tc>
        <w:tc>
          <w:tcPr>
            <w:tcW w:w="1319" w:type="dxa"/>
            <w:tcBorders>
              <w:top w:val="single" w:sz="4" w:space="0" w:color="auto"/>
            </w:tcBorders>
            <w:shd w:val="clear" w:color="auto" w:fill="FFFFFF"/>
          </w:tcPr>
          <w:p w14:paraId="0AA98740" w14:textId="77777777" w:rsidR="00520D89" w:rsidRPr="00520D89" w:rsidRDefault="00520D89" w:rsidP="00520D89">
            <w:pPr>
              <w:pStyle w:val="Body"/>
              <w:spacing w:after="0"/>
              <w:rPr>
                <w:rFonts w:ascii="Arial" w:hAnsi="Arial" w:cs="Arial"/>
              </w:rPr>
            </w:pPr>
            <w:r w:rsidRPr="00520D89">
              <w:rPr>
                <w:rFonts w:ascii="Arial" w:hAnsi="Arial" w:cs="Arial"/>
              </w:rPr>
              <w:t>B</w:t>
            </w:r>
          </w:p>
        </w:tc>
        <w:tc>
          <w:tcPr>
            <w:tcW w:w="1319" w:type="dxa"/>
            <w:tcBorders>
              <w:top w:val="single" w:sz="4" w:space="0" w:color="auto"/>
            </w:tcBorders>
            <w:shd w:val="clear" w:color="auto" w:fill="FFFFFF"/>
          </w:tcPr>
          <w:p w14:paraId="24B66610" w14:textId="77777777" w:rsidR="00520D89" w:rsidRPr="00520D89" w:rsidRDefault="00520D89" w:rsidP="00520D89">
            <w:pPr>
              <w:pStyle w:val="Body"/>
              <w:spacing w:after="0"/>
              <w:rPr>
                <w:rFonts w:ascii="Arial" w:hAnsi="Arial" w:cs="Arial"/>
              </w:rPr>
            </w:pPr>
            <w:r w:rsidRPr="00520D89">
              <w:rPr>
                <w:rFonts w:ascii="Arial" w:hAnsi="Arial" w:cs="Arial"/>
              </w:rPr>
              <w:t>Std. Error</w:t>
            </w:r>
          </w:p>
        </w:tc>
        <w:tc>
          <w:tcPr>
            <w:tcW w:w="1456" w:type="dxa"/>
            <w:tcBorders>
              <w:top w:val="single" w:sz="4" w:space="0" w:color="auto"/>
            </w:tcBorders>
            <w:shd w:val="clear" w:color="auto" w:fill="FFFFFF"/>
          </w:tcPr>
          <w:p w14:paraId="0476360E" w14:textId="77777777" w:rsidR="00520D89" w:rsidRPr="00520D89" w:rsidRDefault="00520D89" w:rsidP="00520D89">
            <w:pPr>
              <w:pStyle w:val="Body"/>
              <w:spacing w:after="0"/>
              <w:rPr>
                <w:rFonts w:ascii="Arial" w:hAnsi="Arial" w:cs="Arial"/>
              </w:rPr>
            </w:pPr>
            <w:r w:rsidRPr="00520D89">
              <w:rPr>
                <w:rFonts w:ascii="Arial" w:hAnsi="Arial" w:cs="Arial"/>
              </w:rPr>
              <w:t>Beta</w:t>
            </w:r>
          </w:p>
        </w:tc>
        <w:tc>
          <w:tcPr>
            <w:tcW w:w="1000" w:type="dxa"/>
            <w:vMerge/>
            <w:tcBorders>
              <w:top w:val="single" w:sz="4" w:space="0" w:color="auto"/>
            </w:tcBorders>
            <w:shd w:val="clear" w:color="auto" w:fill="FFFFFF"/>
          </w:tcPr>
          <w:p w14:paraId="46045A14" w14:textId="77777777" w:rsidR="00520D89" w:rsidRPr="00520D89" w:rsidRDefault="00520D89" w:rsidP="00520D89">
            <w:pPr>
              <w:pStyle w:val="Body"/>
              <w:spacing w:after="0"/>
              <w:rPr>
                <w:rFonts w:ascii="Arial" w:hAnsi="Arial" w:cs="Arial"/>
              </w:rPr>
            </w:pPr>
          </w:p>
        </w:tc>
        <w:tc>
          <w:tcPr>
            <w:tcW w:w="1000" w:type="dxa"/>
            <w:vMerge/>
            <w:tcBorders>
              <w:top w:val="single" w:sz="4" w:space="0" w:color="auto"/>
            </w:tcBorders>
            <w:shd w:val="clear" w:color="auto" w:fill="FFFFFF"/>
          </w:tcPr>
          <w:p w14:paraId="30008470" w14:textId="77777777" w:rsidR="00520D89" w:rsidRPr="00520D89" w:rsidRDefault="00520D89" w:rsidP="00520D89">
            <w:pPr>
              <w:pStyle w:val="Body"/>
              <w:spacing w:after="0"/>
              <w:rPr>
                <w:rFonts w:ascii="Arial" w:hAnsi="Arial" w:cs="Arial"/>
              </w:rPr>
            </w:pPr>
          </w:p>
        </w:tc>
      </w:tr>
      <w:tr w:rsidR="00520D89" w:rsidRPr="00520D89" w14:paraId="34C7B511" w14:textId="77777777" w:rsidTr="0093001D">
        <w:trPr>
          <w:cantSplit/>
          <w:jc w:val="center"/>
        </w:trPr>
        <w:tc>
          <w:tcPr>
            <w:tcW w:w="727" w:type="dxa"/>
            <w:vMerge w:val="restart"/>
            <w:shd w:val="clear" w:color="auto" w:fill="FFFFFF"/>
            <w:vAlign w:val="center"/>
          </w:tcPr>
          <w:p w14:paraId="669EE3CD" w14:textId="77777777" w:rsidR="00520D89" w:rsidRPr="00520D89" w:rsidRDefault="00520D89" w:rsidP="00520D89">
            <w:pPr>
              <w:pStyle w:val="Body"/>
              <w:spacing w:after="0"/>
              <w:rPr>
                <w:rFonts w:ascii="Arial" w:hAnsi="Arial" w:cs="Arial"/>
              </w:rPr>
            </w:pPr>
            <w:r w:rsidRPr="00520D89">
              <w:rPr>
                <w:rFonts w:ascii="Arial" w:hAnsi="Arial" w:cs="Arial"/>
              </w:rPr>
              <w:t>1</w:t>
            </w:r>
          </w:p>
        </w:tc>
        <w:tc>
          <w:tcPr>
            <w:tcW w:w="1805" w:type="dxa"/>
            <w:shd w:val="clear" w:color="auto" w:fill="FFFFFF"/>
            <w:vAlign w:val="center"/>
          </w:tcPr>
          <w:p w14:paraId="78962914" w14:textId="77777777" w:rsidR="00520D89" w:rsidRPr="00520D89" w:rsidRDefault="00520D89" w:rsidP="00520D89">
            <w:pPr>
              <w:pStyle w:val="Body"/>
              <w:spacing w:after="0"/>
              <w:rPr>
                <w:rFonts w:ascii="Arial" w:hAnsi="Arial" w:cs="Arial"/>
              </w:rPr>
            </w:pPr>
            <w:r w:rsidRPr="00520D89">
              <w:rPr>
                <w:rFonts w:ascii="Arial" w:hAnsi="Arial" w:cs="Arial"/>
              </w:rPr>
              <w:t>(Constant)</w:t>
            </w:r>
          </w:p>
        </w:tc>
        <w:tc>
          <w:tcPr>
            <w:tcW w:w="1319" w:type="dxa"/>
            <w:shd w:val="clear" w:color="auto" w:fill="FFFFFF"/>
            <w:vAlign w:val="center"/>
          </w:tcPr>
          <w:p w14:paraId="33B2DCE7" w14:textId="77777777" w:rsidR="00520D89" w:rsidRPr="00520D89" w:rsidRDefault="00520D89" w:rsidP="00520D89">
            <w:pPr>
              <w:pStyle w:val="Body"/>
              <w:spacing w:after="0"/>
              <w:rPr>
                <w:rFonts w:ascii="Arial" w:hAnsi="Arial" w:cs="Arial"/>
              </w:rPr>
            </w:pPr>
            <w:r w:rsidRPr="00520D89">
              <w:rPr>
                <w:rFonts w:ascii="Arial" w:hAnsi="Arial" w:cs="Arial"/>
              </w:rPr>
              <w:t>119.475</w:t>
            </w:r>
          </w:p>
        </w:tc>
        <w:tc>
          <w:tcPr>
            <w:tcW w:w="1319" w:type="dxa"/>
            <w:shd w:val="clear" w:color="auto" w:fill="FFFFFF"/>
            <w:vAlign w:val="center"/>
          </w:tcPr>
          <w:p w14:paraId="6FD14E7A" w14:textId="77777777" w:rsidR="00520D89" w:rsidRPr="00520D89" w:rsidRDefault="00520D89" w:rsidP="00520D89">
            <w:pPr>
              <w:pStyle w:val="Body"/>
              <w:spacing w:after="0"/>
              <w:rPr>
                <w:rFonts w:ascii="Arial" w:hAnsi="Arial" w:cs="Arial"/>
              </w:rPr>
            </w:pPr>
            <w:r w:rsidRPr="00520D89">
              <w:rPr>
                <w:rFonts w:ascii="Arial" w:hAnsi="Arial" w:cs="Arial"/>
              </w:rPr>
              <w:t>3.255</w:t>
            </w:r>
          </w:p>
        </w:tc>
        <w:tc>
          <w:tcPr>
            <w:tcW w:w="1456" w:type="dxa"/>
            <w:shd w:val="clear" w:color="auto" w:fill="FFFFFF"/>
          </w:tcPr>
          <w:p w14:paraId="4BBC7FE0" w14:textId="77777777" w:rsidR="00520D89" w:rsidRPr="00520D89" w:rsidRDefault="00520D89" w:rsidP="00520D89">
            <w:pPr>
              <w:pStyle w:val="Body"/>
              <w:spacing w:after="0"/>
              <w:rPr>
                <w:rFonts w:ascii="Arial" w:hAnsi="Arial" w:cs="Arial"/>
              </w:rPr>
            </w:pPr>
          </w:p>
        </w:tc>
        <w:tc>
          <w:tcPr>
            <w:tcW w:w="1000" w:type="dxa"/>
            <w:shd w:val="clear" w:color="auto" w:fill="FFFFFF"/>
            <w:vAlign w:val="center"/>
          </w:tcPr>
          <w:p w14:paraId="1982A166" w14:textId="77777777" w:rsidR="00520D89" w:rsidRPr="00520D89" w:rsidRDefault="00520D89" w:rsidP="00520D89">
            <w:pPr>
              <w:pStyle w:val="Body"/>
              <w:spacing w:after="0"/>
              <w:rPr>
                <w:rFonts w:ascii="Arial" w:hAnsi="Arial" w:cs="Arial"/>
              </w:rPr>
            </w:pPr>
            <w:r w:rsidRPr="00520D89">
              <w:rPr>
                <w:rFonts w:ascii="Arial" w:hAnsi="Arial" w:cs="Arial"/>
              </w:rPr>
              <w:t>36.709</w:t>
            </w:r>
          </w:p>
        </w:tc>
        <w:tc>
          <w:tcPr>
            <w:tcW w:w="1000" w:type="dxa"/>
            <w:shd w:val="clear" w:color="auto" w:fill="FFFFFF"/>
            <w:vAlign w:val="center"/>
          </w:tcPr>
          <w:p w14:paraId="4376848C" w14:textId="77777777" w:rsidR="00520D89" w:rsidRPr="00520D89" w:rsidRDefault="00520D89" w:rsidP="00520D89">
            <w:pPr>
              <w:pStyle w:val="Body"/>
              <w:spacing w:after="0"/>
              <w:rPr>
                <w:rFonts w:ascii="Arial" w:hAnsi="Arial" w:cs="Arial"/>
              </w:rPr>
            </w:pPr>
            <w:r w:rsidRPr="00520D89">
              <w:rPr>
                <w:rFonts w:ascii="Arial" w:hAnsi="Arial" w:cs="Arial"/>
              </w:rPr>
              <w:t>.000</w:t>
            </w:r>
          </w:p>
        </w:tc>
      </w:tr>
      <w:tr w:rsidR="00520D89" w:rsidRPr="00520D89" w14:paraId="7D9518DF" w14:textId="77777777" w:rsidTr="0093001D">
        <w:trPr>
          <w:cantSplit/>
          <w:jc w:val="center"/>
        </w:trPr>
        <w:tc>
          <w:tcPr>
            <w:tcW w:w="727" w:type="dxa"/>
            <w:vMerge/>
            <w:shd w:val="clear" w:color="auto" w:fill="FFFFFF"/>
            <w:vAlign w:val="center"/>
          </w:tcPr>
          <w:p w14:paraId="6C7A2E95"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2659E911" w14:textId="77777777" w:rsidR="00520D89" w:rsidRPr="00520D89" w:rsidRDefault="00752E33" w:rsidP="00520D89">
            <w:pPr>
              <w:pStyle w:val="Body"/>
              <w:spacing w:after="0"/>
              <w:rPr>
                <w:rFonts w:ascii="Arial" w:hAnsi="Arial" w:cs="Arial"/>
              </w:rPr>
            </w:pPr>
            <w:r>
              <w:rPr>
                <w:rFonts w:ascii="Arial" w:hAnsi="Arial" w:cs="Arial"/>
              </w:rPr>
              <w:t>Live style</w:t>
            </w:r>
          </w:p>
        </w:tc>
        <w:tc>
          <w:tcPr>
            <w:tcW w:w="1319" w:type="dxa"/>
            <w:shd w:val="clear" w:color="auto" w:fill="FFFFFF"/>
            <w:vAlign w:val="center"/>
          </w:tcPr>
          <w:p w14:paraId="624EEA0B" w14:textId="77777777" w:rsidR="00520D89" w:rsidRPr="00520D89" w:rsidRDefault="00520D89" w:rsidP="00520D89">
            <w:pPr>
              <w:pStyle w:val="Body"/>
              <w:spacing w:after="0"/>
              <w:rPr>
                <w:rFonts w:ascii="Arial" w:hAnsi="Arial" w:cs="Arial"/>
              </w:rPr>
            </w:pPr>
            <w:r w:rsidRPr="00520D89">
              <w:rPr>
                <w:rFonts w:ascii="Arial" w:hAnsi="Arial" w:cs="Arial"/>
              </w:rPr>
              <w:t>.550</w:t>
            </w:r>
          </w:p>
        </w:tc>
        <w:tc>
          <w:tcPr>
            <w:tcW w:w="1319" w:type="dxa"/>
            <w:shd w:val="clear" w:color="auto" w:fill="FFFFFF"/>
            <w:vAlign w:val="center"/>
          </w:tcPr>
          <w:p w14:paraId="0875A308" w14:textId="77777777" w:rsidR="00520D89" w:rsidRPr="00520D89" w:rsidRDefault="00520D89" w:rsidP="00520D89">
            <w:pPr>
              <w:pStyle w:val="Body"/>
              <w:spacing w:after="0"/>
              <w:rPr>
                <w:rFonts w:ascii="Arial" w:hAnsi="Arial" w:cs="Arial"/>
              </w:rPr>
            </w:pPr>
            <w:r w:rsidRPr="00520D89">
              <w:rPr>
                <w:rFonts w:ascii="Arial" w:hAnsi="Arial" w:cs="Arial"/>
              </w:rPr>
              <w:t>.054</w:t>
            </w:r>
          </w:p>
        </w:tc>
        <w:tc>
          <w:tcPr>
            <w:tcW w:w="1456" w:type="dxa"/>
            <w:shd w:val="clear" w:color="auto" w:fill="FFFFFF"/>
            <w:vAlign w:val="center"/>
          </w:tcPr>
          <w:p w14:paraId="23FC2720" w14:textId="77777777" w:rsidR="00520D89" w:rsidRPr="00520D89" w:rsidRDefault="00520D89" w:rsidP="00520D89">
            <w:pPr>
              <w:pStyle w:val="Body"/>
              <w:spacing w:after="0"/>
              <w:rPr>
                <w:rFonts w:ascii="Arial" w:hAnsi="Arial" w:cs="Arial"/>
              </w:rPr>
            </w:pPr>
            <w:r w:rsidRPr="00520D89">
              <w:rPr>
                <w:rFonts w:ascii="Arial" w:hAnsi="Arial" w:cs="Arial"/>
              </w:rPr>
              <w:t>.485</w:t>
            </w:r>
          </w:p>
        </w:tc>
        <w:tc>
          <w:tcPr>
            <w:tcW w:w="1000" w:type="dxa"/>
            <w:shd w:val="clear" w:color="auto" w:fill="FFFFFF"/>
            <w:vAlign w:val="center"/>
          </w:tcPr>
          <w:p w14:paraId="1B75B977" w14:textId="77777777" w:rsidR="00520D89" w:rsidRPr="00520D89" w:rsidRDefault="00520D89" w:rsidP="00520D89">
            <w:pPr>
              <w:pStyle w:val="Body"/>
              <w:spacing w:after="0"/>
              <w:rPr>
                <w:rFonts w:ascii="Arial" w:hAnsi="Arial" w:cs="Arial"/>
              </w:rPr>
            </w:pPr>
            <w:r w:rsidRPr="00520D89">
              <w:rPr>
                <w:rFonts w:ascii="Arial" w:hAnsi="Arial" w:cs="Arial"/>
              </w:rPr>
              <w:t>5.854</w:t>
            </w:r>
          </w:p>
        </w:tc>
        <w:tc>
          <w:tcPr>
            <w:tcW w:w="1000" w:type="dxa"/>
            <w:shd w:val="clear" w:color="auto" w:fill="FFFFFF"/>
            <w:vAlign w:val="center"/>
          </w:tcPr>
          <w:p w14:paraId="0E58BE9C" w14:textId="77777777" w:rsidR="00520D89" w:rsidRPr="00520D89" w:rsidRDefault="00520D89" w:rsidP="00520D89">
            <w:pPr>
              <w:pStyle w:val="Body"/>
              <w:spacing w:after="0"/>
              <w:rPr>
                <w:rFonts w:ascii="Arial" w:hAnsi="Arial" w:cs="Arial"/>
              </w:rPr>
            </w:pPr>
            <w:r w:rsidRPr="00520D89">
              <w:rPr>
                <w:rFonts w:ascii="Arial" w:hAnsi="Arial" w:cs="Arial"/>
              </w:rPr>
              <w:t>.002</w:t>
            </w:r>
          </w:p>
        </w:tc>
      </w:tr>
      <w:tr w:rsidR="00520D89" w:rsidRPr="00520D89" w14:paraId="44FFC3EA" w14:textId="77777777" w:rsidTr="0093001D">
        <w:trPr>
          <w:cantSplit/>
          <w:jc w:val="center"/>
        </w:trPr>
        <w:tc>
          <w:tcPr>
            <w:tcW w:w="727" w:type="dxa"/>
            <w:vMerge/>
            <w:shd w:val="clear" w:color="auto" w:fill="FFFFFF"/>
            <w:vAlign w:val="center"/>
          </w:tcPr>
          <w:p w14:paraId="5BE817AC"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71E11AA4" w14:textId="77777777" w:rsidR="00520D89" w:rsidRPr="00520D89" w:rsidRDefault="00752E33" w:rsidP="00520D89">
            <w:pPr>
              <w:pStyle w:val="Body"/>
              <w:spacing w:after="0"/>
              <w:rPr>
                <w:rFonts w:ascii="Arial" w:hAnsi="Arial" w:cs="Arial"/>
              </w:rPr>
            </w:pPr>
            <w:r>
              <w:rPr>
                <w:rFonts w:ascii="Arial" w:hAnsi="Arial" w:cs="Arial"/>
              </w:rPr>
              <w:t>Financial Literacy</w:t>
            </w:r>
          </w:p>
        </w:tc>
        <w:tc>
          <w:tcPr>
            <w:tcW w:w="1319" w:type="dxa"/>
            <w:shd w:val="clear" w:color="auto" w:fill="FFFFFF"/>
            <w:vAlign w:val="center"/>
          </w:tcPr>
          <w:p w14:paraId="63C7FAC4" w14:textId="77777777" w:rsidR="00520D89" w:rsidRPr="00520D89" w:rsidRDefault="00520D89" w:rsidP="00520D89">
            <w:pPr>
              <w:pStyle w:val="Body"/>
              <w:spacing w:after="0"/>
              <w:rPr>
                <w:rFonts w:ascii="Arial" w:hAnsi="Arial" w:cs="Arial"/>
              </w:rPr>
            </w:pPr>
            <w:r w:rsidRPr="00520D89">
              <w:rPr>
                <w:rFonts w:ascii="Arial" w:hAnsi="Arial" w:cs="Arial"/>
              </w:rPr>
              <w:t>.359</w:t>
            </w:r>
          </w:p>
        </w:tc>
        <w:tc>
          <w:tcPr>
            <w:tcW w:w="1319" w:type="dxa"/>
            <w:shd w:val="clear" w:color="auto" w:fill="FFFFFF"/>
            <w:vAlign w:val="center"/>
          </w:tcPr>
          <w:p w14:paraId="09EC0E58" w14:textId="77777777" w:rsidR="00520D89" w:rsidRPr="00520D89" w:rsidRDefault="00520D89" w:rsidP="00520D89">
            <w:pPr>
              <w:pStyle w:val="Body"/>
              <w:spacing w:after="0"/>
              <w:rPr>
                <w:rFonts w:ascii="Arial" w:hAnsi="Arial" w:cs="Arial"/>
              </w:rPr>
            </w:pPr>
            <w:r w:rsidRPr="00520D89">
              <w:rPr>
                <w:rFonts w:ascii="Arial" w:hAnsi="Arial" w:cs="Arial"/>
              </w:rPr>
              <w:t>.053</w:t>
            </w:r>
          </w:p>
        </w:tc>
        <w:tc>
          <w:tcPr>
            <w:tcW w:w="1456" w:type="dxa"/>
            <w:shd w:val="clear" w:color="auto" w:fill="FFFFFF"/>
            <w:vAlign w:val="center"/>
          </w:tcPr>
          <w:p w14:paraId="3FEEF0FA" w14:textId="77777777" w:rsidR="00520D89" w:rsidRPr="00520D89" w:rsidRDefault="00520D89" w:rsidP="00520D89">
            <w:pPr>
              <w:pStyle w:val="Body"/>
              <w:spacing w:after="0"/>
              <w:rPr>
                <w:rFonts w:ascii="Arial" w:hAnsi="Arial" w:cs="Arial"/>
              </w:rPr>
            </w:pPr>
            <w:r w:rsidRPr="00520D89">
              <w:rPr>
                <w:rFonts w:ascii="Arial" w:hAnsi="Arial" w:cs="Arial"/>
              </w:rPr>
              <w:t>.400</w:t>
            </w:r>
          </w:p>
        </w:tc>
        <w:tc>
          <w:tcPr>
            <w:tcW w:w="1000" w:type="dxa"/>
            <w:shd w:val="clear" w:color="auto" w:fill="FFFFFF"/>
            <w:vAlign w:val="center"/>
          </w:tcPr>
          <w:p w14:paraId="4C9F8AB3" w14:textId="77777777" w:rsidR="00520D89" w:rsidRPr="00520D89" w:rsidRDefault="00520D89" w:rsidP="00520D89">
            <w:pPr>
              <w:pStyle w:val="Body"/>
              <w:spacing w:after="0"/>
              <w:rPr>
                <w:rFonts w:ascii="Arial" w:hAnsi="Arial" w:cs="Arial"/>
              </w:rPr>
            </w:pPr>
            <w:r w:rsidRPr="00520D89">
              <w:rPr>
                <w:rFonts w:ascii="Arial" w:hAnsi="Arial" w:cs="Arial"/>
              </w:rPr>
              <w:t>4.828</w:t>
            </w:r>
          </w:p>
        </w:tc>
        <w:tc>
          <w:tcPr>
            <w:tcW w:w="1000" w:type="dxa"/>
            <w:shd w:val="clear" w:color="auto" w:fill="FFFFFF"/>
            <w:vAlign w:val="center"/>
          </w:tcPr>
          <w:p w14:paraId="1F98D3BD" w14:textId="77777777" w:rsidR="00520D89" w:rsidRPr="00520D89" w:rsidRDefault="00520D89" w:rsidP="00520D89">
            <w:pPr>
              <w:pStyle w:val="Body"/>
              <w:spacing w:after="0"/>
              <w:rPr>
                <w:rFonts w:ascii="Arial" w:hAnsi="Arial" w:cs="Arial"/>
              </w:rPr>
            </w:pPr>
            <w:r w:rsidRPr="00520D89">
              <w:rPr>
                <w:rFonts w:ascii="Arial" w:hAnsi="Arial" w:cs="Arial"/>
              </w:rPr>
              <w:t>.000</w:t>
            </w:r>
          </w:p>
        </w:tc>
      </w:tr>
      <w:tr w:rsidR="00520D89" w:rsidRPr="00520D89" w14:paraId="696811F9" w14:textId="77777777" w:rsidTr="0093001D">
        <w:trPr>
          <w:cantSplit/>
          <w:jc w:val="center"/>
        </w:trPr>
        <w:tc>
          <w:tcPr>
            <w:tcW w:w="727" w:type="dxa"/>
            <w:vMerge/>
            <w:shd w:val="clear" w:color="auto" w:fill="FFFFFF"/>
            <w:vAlign w:val="center"/>
          </w:tcPr>
          <w:p w14:paraId="230BC213"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1521131E" w14:textId="77777777" w:rsidR="00520D89" w:rsidRPr="00520D89" w:rsidRDefault="00520D89" w:rsidP="00752E33">
            <w:pPr>
              <w:pStyle w:val="Body"/>
              <w:spacing w:after="0"/>
              <w:rPr>
                <w:rFonts w:ascii="Arial" w:hAnsi="Arial" w:cs="Arial"/>
              </w:rPr>
            </w:pPr>
            <w:r w:rsidRPr="00520D89">
              <w:rPr>
                <w:rFonts w:ascii="Arial" w:hAnsi="Arial" w:cs="Arial"/>
              </w:rPr>
              <w:t>D1_</w:t>
            </w:r>
            <w:r w:rsidR="00752E33">
              <w:rPr>
                <w:rFonts w:ascii="Arial" w:hAnsi="Arial" w:cs="Arial"/>
              </w:rPr>
              <w:t>in Accounting</w:t>
            </w:r>
          </w:p>
        </w:tc>
        <w:tc>
          <w:tcPr>
            <w:tcW w:w="1319" w:type="dxa"/>
            <w:shd w:val="clear" w:color="auto" w:fill="FFFFFF"/>
            <w:vAlign w:val="center"/>
          </w:tcPr>
          <w:p w14:paraId="30E732ED" w14:textId="77777777" w:rsidR="00520D89" w:rsidRPr="00520D89" w:rsidRDefault="00520D89" w:rsidP="00520D89">
            <w:pPr>
              <w:pStyle w:val="Body"/>
              <w:spacing w:after="0"/>
              <w:rPr>
                <w:rFonts w:ascii="Arial" w:hAnsi="Arial" w:cs="Arial"/>
              </w:rPr>
            </w:pPr>
            <w:r w:rsidRPr="00520D89">
              <w:rPr>
                <w:rFonts w:ascii="Arial" w:hAnsi="Arial" w:cs="Arial"/>
              </w:rPr>
              <w:t>-4.069</w:t>
            </w:r>
          </w:p>
        </w:tc>
        <w:tc>
          <w:tcPr>
            <w:tcW w:w="1319" w:type="dxa"/>
            <w:shd w:val="clear" w:color="auto" w:fill="FFFFFF"/>
            <w:vAlign w:val="center"/>
          </w:tcPr>
          <w:p w14:paraId="30997D73" w14:textId="77777777" w:rsidR="00520D89" w:rsidRPr="00520D89" w:rsidRDefault="00520D89" w:rsidP="00520D89">
            <w:pPr>
              <w:pStyle w:val="Body"/>
              <w:spacing w:after="0"/>
              <w:rPr>
                <w:rFonts w:ascii="Arial" w:hAnsi="Arial" w:cs="Arial"/>
              </w:rPr>
            </w:pPr>
            <w:r w:rsidRPr="00520D89">
              <w:rPr>
                <w:rFonts w:ascii="Arial" w:hAnsi="Arial" w:cs="Arial"/>
              </w:rPr>
              <w:t>1.986</w:t>
            </w:r>
          </w:p>
        </w:tc>
        <w:tc>
          <w:tcPr>
            <w:tcW w:w="1456" w:type="dxa"/>
            <w:shd w:val="clear" w:color="auto" w:fill="FFFFFF"/>
            <w:vAlign w:val="center"/>
          </w:tcPr>
          <w:p w14:paraId="0B6E65F8" w14:textId="77777777" w:rsidR="00520D89" w:rsidRPr="00520D89" w:rsidRDefault="00520D89" w:rsidP="00520D89">
            <w:pPr>
              <w:pStyle w:val="Body"/>
              <w:spacing w:after="0"/>
              <w:rPr>
                <w:rFonts w:ascii="Arial" w:hAnsi="Arial" w:cs="Arial"/>
              </w:rPr>
            </w:pPr>
            <w:r w:rsidRPr="00520D89">
              <w:rPr>
                <w:rFonts w:ascii="Arial" w:hAnsi="Arial" w:cs="Arial"/>
              </w:rPr>
              <w:t>-.726</w:t>
            </w:r>
          </w:p>
        </w:tc>
        <w:tc>
          <w:tcPr>
            <w:tcW w:w="1000" w:type="dxa"/>
            <w:shd w:val="clear" w:color="auto" w:fill="FFFFFF"/>
            <w:vAlign w:val="center"/>
          </w:tcPr>
          <w:p w14:paraId="254A8F9F" w14:textId="77777777" w:rsidR="00520D89" w:rsidRPr="00520D89" w:rsidRDefault="00520D89" w:rsidP="00520D89">
            <w:pPr>
              <w:pStyle w:val="Body"/>
              <w:spacing w:after="0"/>
              <w:rPr>
                <w:rFonts w:ascii="Arial" w:hAnsi="Arial" w:cs="Arial"/>
              </w:rPr>
            </w:pPr>
            <w:r w:rsidRPr="00520D89">
              <w:rPr>
                <w:rFonts w:ascii="Arial" w:hAnsi="Arial" w:cs="Arial"/>
              </w:rPr>
              <w:t>-2.111</w:t>
            </w:r>
          </w:p>
        </w:tc>
        <w:tc>
          <w:tcPr>
            <w:tcW w:w="1000" w:type="dxa"/>
            <w:shd w:val="clear" w:color="auto" w:fill="FFFFFF"/>
            <w:vAlign w:val="center"/>
          </w:tcPr>
          <w:p w14:paraId="387486E7" w14:textId="77777777" w:rsidR="00520D89" w:rsidRPr="00520D89" w:rsidRDefault="00520D89" w:rsidP="00520D89">
            <w:pPr>
              <w:pStyle w:val="Body"/>
              <w:spacing w:after="0"/>
              <w:rPr>
                <w:rFonts w:ascii="Arial" w:hAnsi="Arial" w:cs="Arial"/>
              </w:rPr>
            </w:pPr>
            <w:r w:rsidRPr="00520D89">
              <w:rPr>
                <w:rFonts w:ascii="Arial" w:hAnsi="Arial" w:cs="Arial"/>
              </w:rPr>
              <w:t>.037</w:t>
            </w:r>
          </w:p>
        </w:tc>
      </w:tr>
      <w:tr w:rsidR="00520D89" w:rsidRPr="00520D89" w14:paraId="170B38CF" w14:textId="77777777" w:rsidTr="0093001D">
        <w:trPr>
          <w:cantSplit/>
          <w:jc w:val="center"/>
        </w:trPr>
        <w:tc>
          <w:tcPr>
            <w:tcW w:w="727" w:type="dxa"/>
            <w:vMerge/>
            <w:shd w:val="clear" w:color="auto" w:fill="FFFFFF"/>
            <w:vAlign w:val="center"/>
          </w:tcPr>
          <w:p w14:paraId="5886774A"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399B390F" w14:textId="77777777" w:rsidR="00520D89" w:rsidRPr="00520D89" w:rsidRDefault="00520D89" w:rsidP="00752E33">
            <w:pPr>
              <w:pStyle w:val="Body"/>
              <w:spacing w:after="0"/>
              <w:rPr>
                <w:rFonts w:ascii="Arial" w:hAnsi="Arial" w:cs="Arial"/>
              </w:rPr>
            </w:pPr>
            <w:r w:rsidRPr="00520D89">
              <w:rPr>
                <w:rFonts w:ascii="Arial" w:hAnsi="Arial" w:cs="Arial"/>
              </w:rPr>
              <w:t>D2_</w:t>
            </w:r>
            <w:r w:rsidR="00752E33">
              <w:rPr>
                <w:rFonts w:ascii="Arial" w:hAnsi="Arial" w:cs="Arial"/>
              </w:rPr>
              <w:t>in Management</w:t>
            </w:r>
          </w:p>
        </w:tc>
        <w:tc>
          <w:tcPr>
            <w:tcW w:w="1319" w:type="dxa"/>
            <w:shd w:val="clear" w:color="auto" w:fill="FFFFFF"/>
            <w:vAlign w:val="center"/>
          </w:tcPr>
          <w:p w14:paraId="12E8D2DD" w14:textId="77777777" w:rsidR="00520D89" w:rsidRPr="00520D89" w:rsidRDefault="00520D89" w:rsidP="00520D89">
            <w:pPr>
              <w:pStyle w:val="Body"/>
              <w:spacing w:after="0"/>
              <w:rPr>
                <w:rFonts w:ascii="Arial" w:hAnsi="Arial" w:cs="Arial"/>
              </w:rPr>
            </w:pPr>
            <w:r w:rsidRPr="00520D89">
              <w:rPr>
                <w:rFonts w:ascii="Arial" w:hAnsi="Arial" w:cs="Arial"/>
              </w:rPr>
              <w:t>8.006</w:t>
            </w:r>
          </w:p>
        </w:tc>
        <w:tc>
          <w:tcPr>
            <w:tcW w:w="1319" w:type="dxa"/>
            <w:shd w:val="clear" w:color="auto" w:fill="FFFFFF"/>
            <w:vAlign w:val="center"/>
          </w:tcPr>
          <w:p w14:paraId="08EE16AB" w14:textId="77777777" w:rsidR="00520D89" w:rsidRPr="00520D89" w:rsidRDefault="00520D89" w:rsidP="00520D89">
            <w:pPr>
              <w:pStyle w:val="Body"/>
              <w:spacing w:after="0"/>
              <w:rPr>
                <w:rFonts w:ascii="Arial" w:hAnsi="Arial" w:cs="Arial"/>
              </w:rPr>
            </w:pPr>
            <w:r w:rsidRPr="00520D89">
              <w:rPr>
                <w:rFonts w:ascii="Arial" w:hAnsi="Arial" w:cs="Arial"/>
              </w:rPr>
              <w:t>1.950</w:t>
            </w:r>
          </w:p>
        </w:tc>
        <w:tc>
          <w:tcPr>
            <w:tcW w:w="1456" w:type="dxa"/>
            <w:shd w:val="clear" w:color="auto" w:fill="FFFFFF"/>
            <w:vAlign w:val="center"/>
          </w:tcPr>
          <w:p w14:paraId="30E8624F" w14:textId="77777777" w:rsidR="00520D89" w:rsidRPr="00520D89" w:rsidRDefault="00520D89" w:rsidP="00520D89">
            <w:pPr>
              <w:pStyle w:val="Body"/>
              <w:spacing w:after="0"/>
              <w:rPr>
                <w:rFonts w:ascii="Arial" w:hAnsi="Arial" w:cs="Arial"/>
              </w:rPr>
            </w:pPr>
            <w:r w:rsidRPr="00520D89">
              <w:rPr>
                <w:rFonts w:ascii="Arial" w:hAnsi="Arial" w:cs="Arial"/>
              </w:rPr>
              <w:t>.355</w:t>
            </w:r>
          </w:p>
        </w:tc>
        <w:tc>
          <w:tcPr>
            <w:tcW w:w="1000" w:type="dxa"/>
            <w:shd w:val="clear" w:color="auto" w:fill="FFFFFF"/>
            <w:vAlign w:val="center"/>
          </w:tcPr>
          <w:p w14:paraId="5E102F6A" w14:textId="77777777" w:rsidR="00520D89" w:rsidRPr="00520D89" w:rsidRDefault="00520D89" w:rsidP="00520D89">
            <w:pPr>
              <w:pStyle w:val="Body"/>
              <w:spacing w:after="0"/>
              <w:rPr>
                <w:rFonts w:ascii="Arial" w:hAnsi="Arial" w:cs="Arial"/>
              </w:rPr>
            </w:pPr>
            <w:r w:rsidRPr="00520D89">
              <w:rPr>
                <w:rFonts w:ascii="Arial" w:hAnsi="Arial" w:cs="Arial"/>
              </w:rPr>
              <w:t>4.106</w:t>
            </w:r>
          </w:p>
        </w:tc>
        <w:tc>
          <w:tcPr>
            <w:tcW w:w="1000" w:type="dxa"/>
            <w:shd w:val="clear" w:color="auto" w:fill="FFFFFF"/>
            <w:vAlign w:val="center"/>
          </w:tcPr>
          <w:p w14:paraId="2DF7D09F" w14:textId="77777777" w:rsidR="00520D89" w:rsidRPr="00520D89" w:rsidRDefault="00520D89" w:rsidP="00520D89">
            <w:pPr>
              <w:pStyle w:val="Body"/>
              <w:spacing w:after="0"/>
              <w:rPr>
                <w:rFonts w:ascii="Arial" w:hAnsi="Arial" w:cs="Arial"/>
              </w:rPr>
            </w:pPr>
            <w:r w:rsidRPr="00520D89">
              <w:rPr>
                <w:rFonts w:ascii="Arial" w:hAnsi="Arial" w:cs="Arial"/>
              </w:rPr>
              <w:t>.001</w:t>
            </w:r>
          </w:p>
        </w:tc>
      </w:tr>
      <w:tr w:rsidR="00520D89" w:rsidRPr="00520D89" w14:paraId="6166FF37" w14:textId="77777777" w:rsidTr="0093001D">
        <w:trPr>
          <w:cantSplit/>
          <w:jc w:val="center"/>
        </w:trPr>
        <w:tc>
          <w:tcPr>
            <w:tcW w:w="727" w:type="dxa"/>
            <w:vMerge/>
            <w:shd w:val="clear" w:color="auto" w:fill="FFFFFF"/>
            <w:vAlign w:val="center"/>
          </w:tcPr>
          <w:p w14:paraId="248F16E5"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206E23CA" w14:textId="77777777" w:rsidR="00520D89" w:rsidRPr="00520D89" w:rsidRDefault="00520D89" w:rsidP="00752E33">
            <w:pPr>
              <w:pStyle w:val="Body"/>
              <w:spacing w:after="0"/>
              <w:rPr>
                <w:rFonts w:ascii="Arial" w:hAnsi="Arial" w:cs="Arial"/>
              </w:rPr>
            </w:pPr>
            <w:r w:rsidRPr="00520D89">
              <w:rPr>
                <w:rFonts w:ascii="Arial" w:hAnsi="Arial" w:cs="Arial"/>
              </w:rPr>
              <w:t>D3_</w:t>
            </w:r>
            <w:r w:rsidR="00752E33">
              <w:rPr>
                <w:rFonts w:ascii="Arial" w:hAnsi="Arial" w:cs="Arial"/>
              </w:rPr>
              <w:t>in Economics</w:t>
            </w:r>
          </w:p>
        </w:tc>
        <w:tc>
          <w:tcPr>
            <w:tcW w:w="1319" w:type="dxa"/>
            <w:shd w:val="clear" w:color="auto" w:fill="FFFFFF"/>
            <w:vAlign w:val="center"/>
          </w:tcPr>
          <w:p w14:paraId="3C5FB2A2" w14:textId="77777777" w:rsidR="00520D89" w:rsidRPr="00520D89" w:rsidRDefault="00520D89" w:rsidP="00520D89">
            <w:pPr>
              <w:pStyle w:val="Body"/>
              <w:spacing w:after="0"/>
              <w:rPr>
                <w:rFonts w:ascii="Arial" w:hAnsi="Arial" w:cs="Arial"/>
              </w:rPr>
            </w:pPr>
            <w:r w:rsidRPr="00520D89">
              <w:rPr>
                <w:rFonts w:ascii="Arial" w:hAnsi="Arial" w:cs="Arial"/>
              </w:rPr>
              <w:t>2.998</w:t>
            </w:r>
          </w:p>
        </w:tc>
        <w:tc>
          <w:tcPr>
            <w:tcW w:w="1319" w:type="dxa"/>
            <w:shd w:val="clear" w:color="auto" w:fill="FFFFFF"/>
            <w:vAlign w:val="center"/>
          </w:tcPr>
          <w:p w14:paraId="3E54B7CF" w14:textId="77777777" w:rsidR="00520D89" w:rsidRPr="00520D89" w:rsidRDefault="00520D89" w:rsidP="00520D89">
            <w:pPr>
              <w:pStyle w:val="Body"/>
              <w:spacing w:after="0"/>
              <w:rPr>
                <w:rFonts w:ascii="Arial" w:hAnsi="Arial" w:cs="Arial"/>
              </w:rPr>
            </w:pPr>
            <w:r w:rsidRPr="00520D89">
              <w:rPr>
                <w:rFonts w:ascii="Arial" w:hAnsi="Arial" w:cs="Arial"/>
              </w:rPr>
              <w:t>1.981</w:t>
            </w:r>
          </w:p>
        </w:tc>
        <w:tc>
          <w:tcPr>
            <w:tcW w:w="1456" w:type="dxa"/>
            <w:shd w:val="clear" w:color="auto" w:fill="FFFFFF"/>
            <w:vAlign w:val="center"/>
          </w:tcPr>
          <w:p w14:paraId="531C5A90" w14:textId="77777777" w:rsidR="00520D89" w:rsidRPr="00520D89" w:rsidRDefault="00520D89" w:rsidP="00520D89">
            <w:pPr>
              <w:pStyle w:val="Body"/>
              <w:spacing w:after="0"/>
              <w:rPr>
                <w:rFonts w:ascii="Arial" w:hAnsi="Arial" w:cs="Arial"/>
              </w:rPr>
            </w:pPr>
            <w:r w:rsidRPr="00520D89">
              <w:rPr>
                <w:rFonts w:ascii="Arial" w:hAnsi="Arial" w:cs="Arial"/>
              </w:rPr>
              <w:t>.535</w:t>
            </w:r>
          </w:p>
        </w:tc>
        <w:tc>
          <w:tcPr>
            <w:tcW w:w="1000" w:type="dxa"/>
            <w:shd w:val="clear" w:color="auto" w:fill="FFFFFF"/>
            <w:vAlign w:val="center"/>
          </w:tcPr>
          <w:p w14:paraId="01CB2267" w14:textId="77777777" w:rsidR="00520D89" w:rsidRPr="00520D89" w:rsidRDefault="00520D89" w:rsidP="00520D89">
            <w:pPr>
              <w:pStyle w:val="Body"/>
              <w:spacing w:after="0"/>
              <w:rPr>
                <w:rFonts w:ascii="Arial" w:hAnsi="Arial" w:cs="Arial"/>
              </w:rPr>
            </w:pPr>
            <w:r w:rsidRPr="00520D89">
              <w:rPr>
                <w:rFonts w:ascii="Arial" w:hAnsi="Arial" w:cs="Arial"/>
              </w:rPr>
              <w:t>1.514</w:t>
            </w:r>
          </w:p>
        </w:tc>
        <w:tc>
          <w:tcPr>
            <w:tcW w:w="1000" w:type="dxa"/>
            <w:shd w:val="clear" w:color="auto" w:fill="FFFFFF"/>
            <w:vAlign w:val="center"/>
          </w:tcPr>
          <w:p w14:paraId="68F385F5" w14:textId="77777777" w:rsidR="00520D89" w:rsidRPr="00520D89" w:rsidRDefault="00520D89" w:rsidP="00520D89">
            <w:pPr>
              <w:pStyle w:val="Body"/>
              <w:spacing w:after="0"/>
              <w:rPr>
                <w:rFonts w:ascii="Arial" w:hAnsi="Arial" w:cs="Arial"/>
              </w:rPr>
            </w:pPr>
            <w:r w:rsidRPr="00520D89">
              <w:rPr>
                <w:rFonts w:ascii="Arial" w:hAnsi="Arial" w:cs="Arial"/>
              </w:rPr>
              <w:t>.133</w:t>
            </w:r>
          </w:p>
        </w:tc>
      </w:tr>
      <w:tr w:rsidR="00520D89" w:rsidRPr="00520D89" w14:paraId="5BC4F4E7" w14:textId="77777777" w:rsidTr="0093001D">
        <w:trPr>
          <w:cantSplit/>
          <w:jc w:val="center"/>
        </w:trPr>
        <w:tc>
          <w:tcPr>
            <w:tcW w:w="8626" w:type="dxa"/>
            <w:gridSpan w:val="7"/>
            <w:tcBorders>
              <w:bottom w:val="single" w:sz="4" w:space="0" w:color="auto"/>
            </w:tcBorders>
            <w:shd w:val="clear" w:color="auto" w:fill="FFFFFF"/>
          </w:tcPr>
          <w:p w14:paraId="4759D173" w14:textId="77777777" w:rsidR="00520D89" w:rsidRPr="00520D89" w:rsidRDefault="00520D89" w:rsidP="00520D89">
            <w:pPr>
              <w:pStyle w:val="Body"/>
              <w:spacing w:after="0"/>
              <w:rPr>
                <w:rFonts w:ascii="Arial" w:hAnsi="Arial" w:cs="Arial"/>
              </w:rPr>
            </w:pPr>
            <w:r w:rsidRPr="00520D89">
              <w:rPr>
                <w:rFonts w:ascii="Arial" w:hAnsi="Arial" w:cs="Arial"/>
              </w:rPr>
              <w:t>a. Dependent Variable: Consumptive Behavior</w:t>
            </w:r>
          </w:p>
        </w:tc>
      </w:tr>
    </w:tbl>
    <w:p w14:paraId="2DF430BD" w14:textId="77777777" w:rsidR="00520D89" w:rsidRDefault="00520D89" w:rsidP="00520D89">
      <w:pPr>
        <w:pStyle w:val="Body"/>
        <w:spacing w:after="0"/>
        <w:rPr>
          <w:rFonts w:ascii="Arial" w:hAnsi="Arial" w:cs="Arial"/>
        </w:rPr>
      </w:pPr>
      <w:r w:rsidRPr="00520D89">
        <w:rPr>
          <w:rFonts w:ascii="Arial" w:hAnsi="Arial" w:cs="Arial"/>
        </w:rPr>
        <w:t>Source: IBM SPSS 21 Output, 2023</w:t>
      </w:r>
    </w:p>
    <w:p w14:paraId="0BFE8EF1" w14:textId="77777777" w:rsidR="00520D89" w:rsidRDefault="00520D89" w:rsidP="00520D89">
      <w:pPr>
        <w:pStyle w:val="Body"/>
        <w:spacing w:after="0"/>
        <w:rPr>
          <w:rFonts w:ascii="Arial" w:hAnsi="Arial" w:cs="Arial"/>
        </w:rPr>
      </w:pPr>
    </w:p>
    <w:p w14:paraId="6F87224F" w14:textId="77777777" w:rsidR="00383915" w:rsidRPr="00383915" w:rsidRDefault="00383915" w:rsidP="00383915">
      <w:pPr>
        <w:pStyle w:val="Body"/>
        <w:rPr>
          <w:rFonts w:ascii="Arial" w:hAnsi="Arial" w:cs="Arial"/>
        </w:rPr>
      </w:pPr>
      <w:r w:rsidRPr="00383915">
        <w:rPr>
          <w:rFonts w:ascii="Arial" w:hAnsi="Arial" w:cs="Arial"/>
        </w:rPr>
        <w:t>Based on Table 2, the results of the partial analysis can be used to create a multiple linear equation for the variables of lifestyle, financial literacy, and dummy variables (students majoring in accounting, management, economics, and economic education) on consumptive behavior. The regression equation is as follows:</w:t>
      </w:r>
    </w:p>
    <w:p w14:paraId="2E3C1960" w14:textId="77777777" w:rsidR="00383915" w:rsidRPr="00383915" w:rsidRDefault="00383915" w:rsidP="00383915">
      <w:pPr>
        <w:pStyle w:val="Body"/>
        <w:rPr>
          <w:rFonts w:ascii="Arial" w:hAnsi="Arial" w:cs="Arial"/>
        </w:rPr>
      </w:pPr>
      <w:r w:rsidRPr="00383915">
        <w:rPr>
          <w:rFonts w:ascii="Arial" w:hAnsi="Arial" w:cs="Arial"/>
        </w:rPr>
        <w:t>Consumptive Behavior = 119.475 + 0.550X</w:t>
      </w:r>
      <w:r w:rsidRPr="00383915">
        <w:rPr>
          <w:rFonts w:ascii="Cambria Math" w:hAnsi="Cambria Math" w:cs="Cambria Math"/>
        </w:rPr>
        <w:t>₁</w:t>
      </w:r>
      <w:r w:rsidRPr="00383915">
        <w:rPr>
          <w:rFonts w:ascii="Arial" w:hAnsi="Arial" w:cs="Arial"/>
        </w:rPr>
        <w:t xml:space="preserve"> + 0.359X</w:t>
      </w:r>
      <w:r w:rsidRPr="00383915">
        <w:rPr>
          <w:rFonts w:ascii="Cambria Math" w:hAnsi="Cambria Math" w:cs="Cambria Math"/>
        </w:rPr>
        <w:t>₂</w:t>
      </w:r>
      <w:r w:rsidRPr="00383915">
        <w:rPr>
          <w:rFonts w:ascii="Arial" w:hAnsi="Arial" w:cs="Arial"/>
        </w:rPr>
        <w:t xml:space="preserve"> - 4.069D</w:t>
      </w:r>
      <w:r w:rsidRPr="00383915">
        <w:rPr>
          <w:rFonts w:ascii="Cambria Math" w:hAnsi="Cambria Math" w:cs="Cambria Math"/>
        </w:rPr>
        <w:t>₁</w:t>
      </w:r>
      <w:r w:rsidRPr="00383915">
        <w:rPr>
          <w:rFonts w:ascii="Arial" w:hAnsi="Arial" w:cs="Arial"/>
        </w:rPr>
        <w:t xml:space="preserve"> + 8.006D</w:t>
      </w:r>
      <w:r w:rsidRPr="00383915">
        <w:rPr>
          <w:rFonts w:ascii="Cambria Math" w:hAnsi="Cambria Math" w:cs="Cambria Math"/>
        </w:rPr>
        <w:t>₂</w:t>
      </w:r>
      <w:r w:rsidRPr="00383915">
        <w:rPr>
          <w:rFonts w:ascii="Arial" w:hAnsi="Arial" w:cs="Arial"/>
        </w:rPr>
        <w:t xml:space="preserve"> + 2.998D</w:t>
      </w:r>
      <w:r w:rsidRPr="00383915">
        <w:rPr>
          <w:rFonts w:ascii="Cambria Math" w:hAnsi="Cambria Math" w:cs="Cambria Math"/>
        </w:rPr>
        <w:t>₃</w:t>
      </w:r>
      <w:r w:rsidRPr="00383915">
        <w:rPr>
          <w:rFonts w:ascii="Arial" w:hAnsi="Arial" w:cs="Arial"/>
        </w:rPr>
        <w:t xml:space="preserve"> + ε</w:t>
      </w:r>
    </w:p>
    <w:p w14:paraId="52A64846" w14:textId="77777777" w:rsidR="00383915" w:rsidRPr="00383915" w:rsidRDefault="00383915" w:rsidP="00383915">
      <w:pPr>
        <w:pStyle w:val="Body"/>
        <w:rPr>
          <w:rFonts w:ascii="Arial" w:hAnsi="Arial" w:cs="Arial"/>
        </w:rPr>
      </w:pPr>
      <w:r w:rsidRPr="00383915">
        <w:rPr>
          <w:rFonts w:ascii="Arial" w:hAnsi="Arial" w:cs="Arial"/>
        </w:rPr>
        <w:t>The regression equation above shows a constant value of 119.475, indicating that the lifestyle and financial literacy variables are considered constant. This result also serves as the baseline value for students' consumer behavior when all independent variables are set to zero. Based on the analysis results, it is also known that lifestyle and financial literacy variables significantly influence consumer behavior, with significance levels of 0.002 and 0.000, respectively, both smaller than the significance level α=0.05.</w:t>
      </w:r>
    </w:p>
    <w:p w14:paraId="502F7B72" w14:textId="77777777" w:rsidR="00383915" w:rsidRPr="00383915" w:rsidRDefault="00383915" w:rsidP="00383915">
      <w:pPr>
        <w:pStyle w:val="Body"/>
        <w:rPr>
          <w:rFonts w:ascii="Arial" w:hAnsi="Arial" w:cs="Arial"/>
        </w:rPr>
      </w:pPr>
      <w:r w:rsidRPr="00383915">
        <w:rPr>
          <w:rFonts w:ascii="Arial" w:hAnsi="Arial" w:cs="Arial"/>
        </w:rPr>
        <w:t xml:space="preserve">Based on Table 2, it is known that the regression coefficient for the lifestyle variable is 0.550. This means that an increase of 1 unit in students' lifestyle will increase consumptive behavior by 0.550, assuming other variables remain constant. This effect is positive, meaning that the higher the students' lifestyle, the more likely they are to exhibit higher consumptive behavior. </w:t>
      </w:r>
    </w:p>
    <w:p w14:paraId="1917FEC6" w14:textId="77777777" w:rsidR="00E77EE6" w:rsidRDefault="00383915" w:rsidP="00383915">
      <w:pPr>
        <w:pStyle w:val="Body"/>
        <w:spacing w:after="0"/>
        <w:rPr>
          <w:rFonts w:ascii="Arial" w:hAnsi="Arial" w:cs="Arial"/>
        </w:rPr>
      </w:pPr>
      <w:r w:rsidRPr="00383915">
        <w:rPr>
          <w:rFonts w:ascii="Arial" w:hAnsi="Arial" w:cs="Arial"/>
        </w:rPr>
        <w:t xml:space="preserve">The regression coefficient analysis results for the financial literacy variable are 0.359. This indicates that for every 1-unit increase in financial literacy, consumer behavior will increase by 0.359. Thus, it can be interpreted that an increase in financial literacy will increase consumer behavior. This is because students with higher financial literacy feel more capable of meeting their financial needs and desires, although this does not necessarily reflect thrifty or efficient behavior. </w:t>
      </w:r>
    </w:p>
    <w:p w14:paraId="30AF502D" w14:textId="77777777" w:rsidR="00E77EE6" w:rsidRDefault="00E77EE6" w:rsidP="00383915">
      <w:pPr>
        <w:pStyle w:val="Body"/>
        <w:spacing w:after="0"/>
        <w:rPr>
          <w:rFonts w:ascii="Arial" w:hAnsi="Arial" w:cs="Arial"/>
        </w:rPr>
      </w:pPr>
    </w:p>
    <w:p w14:paraId="027386FB" w14:textId="77777777" w:rsidR="00E77EE6" w:rsidRPr="00E77EE6" w:rsidRDefault="00E77EE6" w:rsidP="00E77EE6">
      <w:pPr>
        <w:pStyle w:val="Body"/>
        <w:rPr>
          <w:rFonts w:ascii="Arial" w:hAnsi="Arial" w:cs="Arial"/>
        </w:rPr>
      </w:pPr>
      <w:r w:rsidRPr="00E77EE6">
        <w:rPr>
          <w:rFonts w:ascii="Arial" w:hAnsi="Arial" w:cs="Arial"/>
        </w:rPr>
        <w:t xml:space="preserve">The results of the analysis of the dummy variable D2_management students show a regression coefficient value of 8.006 and a significance value of 0.001.  This indicates that management students have a higher level of consumer behavior compared to students in other majors, with a consumer behavior level of 8.006 units higher than that of economics education students (reference category). This difference is highly significant. Thus, the total predicted value for management students is 119.475 + 8.006 = 127.481. </w:t>
      </w:r>
    </w:p>
    <w:p w14:paraId="250DEE1A" w14:textId="77777777" w:rsidR="00E77EE6" w:rsidRPr="00E77EE6" w:rsidRDefault="00E77EE6" w:rsidP="00E77EE6">
      <w:pPr>
        <w:pStyle w:val="Body"/>
        <w:rPr>
          <w:rFonts w:ascii="Arial" w:hAnsi="Arial" w:cs="Arial"/>
        </w:rPr>
      </w:pPr>
      <w:r w:rsidRPr="00E77EE6">
        <w:rPr>
          <w:rFonts w:ascii="Arial" w:hAnsi="Arial" w:cs="Arial"/>
        </w:rPr>
        <w:t xml:space="preserve">The analysis of the dummy variable D3_economics students shows a regression coefficient of 2.998 with a significance value of 0.133 (&gt; 0.05).  This means there is no significant difference between economics and education students in terms of consumption behavior. The predicted value for economics students is 119.475 + 2.998 = 122.473. </w:t>
      </w:r>
    </w:p>
    <w:p w14:paraId="7C714D68" w14:textId="7A437862" w:rsidR="001E7C49" w:rsidRPr="001E7C49" w:rsidRDefault="00E77EE6" w:rsidP="00E77EE6">
      <w:pPr>
        <w:pStyle w:val="Body"/>
        <w:rPr>
          <w:rFonts w:ascii="Arial" w:hAnsi="Arial" w:cs="Arial"/>
        </w:rPr>
      </w:pPr>
      <w:r w:rsidRPr="00E77EE6">
        <w:rPr>
          <w:rFonts w:ascii="Arial" w:hAnsi="Arial" w:cs="Arial"/>
        </w:rPr>
        <w:t>The analysis of the dummy variable D1_accounting students shows a coefficient of -4.069, with a significance level of 0.037. This means that accounting students have a lower level of consumer behavior. It can be said that the accounting department is equivalent/equal to the economics and economics education departments in the consumer behavior model. In this case, economics education students are used as the reference category (baseline category). Therefore, the baseline prediction value for economics education students is 119,475, and all interpretations of the dummy variable coefficients (D1, D2, D3) are compared to this value.</w:t>
      </w:r>
    </w:p>
    <w:p w14:paraId="21B38971" w14:textId="77777777" w:rsidR="001E7C49" w:rsidRPr="00520D89" w:rsidRDefault="001E7C49" w:rsidP="001E7C49">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7FAC74DC" w14:textId="77777777" w:rsidR="00520D89" w:rsidRPr="00520D89" w:rsidRDefault="00520D89" w:rsidP="00520D89">
      <w:pPr>
        <w:pStyle w:val="Body"/>
        <w:spacing w:after="0"/>
        <w:rPr>
          <w:rFonts w:ascii="Arial" w:hAnsi="Arial" w:cs="Arial"/>
        </w:rPr>
      </w:pPr>
    </w:p>
    <w:p w14:paraId="18222211" w14:textId="77777777" w:rsidR="00C34982" w:rsidRPr="00C34982" w:rsidRDefault="00C34982" w:rsidP="00C34982">
      <w:pPr>
        <w:pStyle w:val="Body"/>
        <w:rPr>
          <w:rFonts w:ascii="Arial" w:hAnsi="Arial" w:cs="Arial"/>
        </w:rPr>
      </w:pPr>
      <w:r w:rsidRPr="00C34982">
        <w:rPr>
          <w:rFonts w:ascii="Arial" w:hAnsi="Arial" w:cs="Arial"/>
        </w:rPr>
        <w:t>Lifestyle is one of the main factors influencing the consumptive behavior of college students. Based on the results of descriptive analysis, the lifestyle variable has an average score of 4.02, which falls into the “good” category. This variable consists of four indicators: activities, interests, views of oneself and others, and basic character. Among these four indicators, the activity indicator shows the highest score of 4.38, which falls into the “very good” category. This indicates that students are actively engaged in various activities such as online shopping, hanging out at cafes, following social media trends, and other consumer-oriented activities.</w:t>
      </w:r>
    </w:p>
    <w:p w14:paraId="7081A1F7" w14:textId="1D58BCE4" w:rsidR="00C34982" w:rsidRPr="00C34982" w:rsidRDefault="00C34982" w:rsidP="00C34982">
      <w:pPr>
        <w:pStyle w:val="Body"/>
        <w:rPr>
          <w:rFonts w:ascii="Arial" w:hAnsi="Arial" w:cs="Arial"/>
        </w:rPr>
      </w:pPr>
      <w:r w:rsidRPr="00C34982">
        <w:rPr>
          <w:rFonts w:ascii="Arial" w:hAnsi="Arial" w:cs="Arial"/>
        </w:rPr>
        <w:t>The interest indicator ranks second with an average score of 4.05. Students have a high interest in certain products such as fashion, gadgets, and trendy foods that are heavily promoted through social media. This interest is not always based on need but rather on the desire to appear fashionable and be accepted by their social circle. This reinforces the influence of social factors as a trigger for irrational consumption.</w:t>
      </w:r>
    </w:p>
    <w:p w14:paraId="382F7EFC" w14:textId="70532B6D" w:rsidR="00C34982" w:rsidRPr="00C34982" w:rsidRDefault="00C34982" w:rsidP="00C34982">
      <w:pPr>
        <w:pStyle w:val="Body"/>
        <w:rPr>
          <w:rFonts w:ascii="Arial" w:hAnsi="Arial" w:cs="Arial"/>
        </w:rPr>
      </w:pPr>
      <w:r w:rsidRPr="00C34982">
        <w:rPr>
          <w:rFonts w:ascii="Arial" w:hAnsi="Arial" w:cs="Arial"/>
        </w:rPr>
        <w:t xml:space="preserve">The indicator of self-perception and perception of others scored 3.96. Students tend to form their self-image through the consumption of certain goods, especially those related to appearance. They feel more confident and valued when using branded goods or following certain trends. This indicates that perceptions of self-identity also shape consumptive habits. </w:t>
      </w:r>
    </w:p>
    <w:p w14:paraId="112765F0" w14:textId="41B5E211" w:rsidR="00C34982" w:rsidRPr="00C34982" w:rsidRDefault="00C34982" w:rsidP="00C34982">
      <w:pPr>
        <w:pStyle w:val="Body"/>
        <w:rPr>
          <w:rFonts w:ascii="Arial" w:hAnsi="Arial" w:cs="Arial"/>
        </w:rPr>
      </w:pPr>
      <w:r w:rsidRPr="00C34982">
        <w:rPr>
          <w:rFonts w:ascii="Arial" w:hAnsi="Arial" w:cs="Arial"/>
        </w:rPr>
        <w:lastRenderedPageBreak/>
        <w:t>The final indicator, basic character, scored 4.11, which is also in the good category. This basic character reflects how family background, place of residence, and education shape students' consumptive tendencies. Students from upper-middle-class families tend to have a higher consumptive lifestyle compared to students from lower-income backgrounds.</w:t>
      </w:r>
    </w:p>
    <w:p w14:paraId="02EA806E" w14:textId="79AE8E8C" w:rsidR="00C34982" w:rsidRDefault="00C34982" w:rsidP="00C34982">
      <w:pPr>
        <w:pStyle w:val="Body"/>
        <w:rPr>
          <w:rFonts w:ascii="Arial" w:hAnsi="Arial" w:cs="Arial"/>
        </w:rPr>
      </w:pPr>
      <w:r w:rsidRPr="00C34982">
        <w:rPr>
          <w:rFonts w:ascii="Arial" w:hAnsi="Arial" w:cs="Arial"/>
        </w:rPr>
        <w:t>Of the four lifestyle indicators, the activity indicator dominates, showing that students' consumptive lifestyles are more influenced by daily consumptive habits. Activities such as online shopping, using food delivery services, and hanging out at popular places have become part of the routine that students consider normal. This reflects changes in lifestyle due to technological developments and digital culture.</w:t>
      </w:r>
    </w:p>
    <w:p w14:paraId="4F435FFD" w14:textId="77777777" w:rsidR="00C34982" w:rsidRPr="00C34982" w:rsidRDefault="00C34982" w:rsidP="00C34982">
      <w:pPr>
        <w:pStyle w:val="Body"/>
        <w:rPr>
          <w:rFonts w:ascii="Arial" w:hAnsi="Arial" w:cs="Arial"/>
        </w:rPr>
      </w:pPr>
      <w:r w:rsidRPr="00C34982">
        <w:rPr>
          <w:rFonts w:ascii="Arial" w:hAnsi="Arial" w:cs="Arial"/>
        </w:rPr>
        <w:t>Based on the category of students by major, the dummy regression results show that management majors have the highest influence on consumptive behavior with a coefficient value of 8.006. This indicates that management students tend to have a more consumptive lifestyle. Their academic and non-academic activities often require high social appearance and involvement, so consumption becomes a means of adjustment.</w:t>
      </w:r>
    </w:p>
    <w:p w14:paraId="66C646BF" w14:textId="6C302E56" w:rsidR="00C34982" w:rsidRPr="00C34982" w:rsidRDefault="00C34982" w:rsidP="00C34982">
      <w:pPr>
        <w:pStyle w:val="Body"/>
        <w:rPr>
          <w:rFonts w:ascii="Arial" w:hAnsi="Arial" w:cs="Arial"/>
        </w:rPr>
      </w:pPr>
      <w:r w:rsidRPr="00C34982">
        <w:rPr>
          <w:rFonts w:ascii="Arial" w:hAnsi="Arial" w:cs="Arial"/>
        </w:rPr>
        <w:t>Meanwhile, accounting students show a negative coefficient of (-4.069), meaning that they tend to have lower consumptive behavior or can be said to be equivalent to economics and economic education majors. This result is significant at the 5% level and indicates that accounting education, which emphasizes efficiency and financial record-keeping, fosters a more rational and frugal consumption attitude.</w:t>
      </w:r>
    </w:p>
    <w:p w14:paraId="5F95056C" w14:textId="6492BB81" w:rsidR="00C34982" w:rsidRPr="00C34982" w:rsidRDefault="00C34982" w:rsidP="00C34982">
      <w:pPr>
        <w:pStyle w:val="Body"/>
        <w:rPr>
          <w:rFonts w:ascii="Arial" w:hAnsi="Arial" w:cs="Arial"/>
        </w:rPr>
      </w:pPr>
      <w:r w:rsidRPr="00C34982">
        <w:rPr>
          <w:rFonts w:ascii="Arial" w:hAnsi="Arial" w:cs="Arial"/>
        </w:rPr>
        <w:t xml:space="preserve">Economics education students were used as the reference category in the regression model. Meanwhile, economics students had a positive but insignificant coefficient. This indicates that while there is a tendency toward consumption, its influence is not as strong as that of management students. This difference reflects that educational background and academic environment play a significant role in shaping students' lifestyles. Accounting students, for example, have the habit of recording expenses, comparing prices, and refraining from impulsive purchases. </w:t>
      </w:r>
    </w:p>
    <w:p w14:paraId="72FDD99F" w14:textId="5C953EB0" w:rsidR="00C34982" w:rsidRPr="00C34982" w:rsidRDefault="00C34982" w:rsidP="00C34982">
      <w:pPr>
        <w:pStyle w:val="Body"/>
        <w:rPr>
          <w:rFonts w:ascii="Arial" w:hAnsi="Arial" w:cs="Arial"/>
        </w:rPr>
      </w:pPr>
      <w:r w:rsidRPr="00C34982">
        <w:rPr>
          <w:rFonts w:ascii="Arial" w:hAnsi="Arial" w:cs="Arial"/>
        </w:rPr>
        <w:t>This fact is reinforced by the finding that activity indicators are the primary drivers of a consumptive lifestyle. Students who are active on social media, campus activities, and off-campus communities are more frequently exposed to a consumptive lifestyle. This underscores the importance of environmental influence in shaping consumption habits.</w:t>
      </w:r>
    </w:p>
    <w:p w14:paraId="0F929D5A" w14:textId="18093B3C" w:rsidR="00C34982" w:rsidRPr="00C34982" w:rsidRDefault="00C34982" w:rsidP="00C34982">
      <w:pPr>
        <w:pStyle w:val="Body"/>
        <w:rPr>
          <w:rFonts w:ascii="Arial" w:hAnsi="Arial" w:cs="Arial"/>
        </w:rPr>
      </w:pPr>
      <w:r w:rsidRPr="00C34982">
        <w:rPr>
          <w:rFonts w:ascii="Arial" w:hAnsi="Arial" w:cs="Arial"/>
        </w:rPr>
        <w:t>The results of this study align with the views of Mohi et al. (2025), who state that activities, interests, and opinions significantly influence an individual's consumption decisions. In practice, management students are generally more active in organizational activities, seminars, and entrepreneurial activities that require professional appearances, thereby encouraging them to pay attention to clothing styles, gadgets, and other status symbols. Pramesti et al. (2023) state that individuals exposed to a consumptive social environment and driven by a strong desire for recognition are more likely to engage in consumptive behavior, especially if such a lifestyle is supported by an environment that fosters that culture. Financial literacy is a crucial factor in determining how well students can manage their finances and avoid consumerist behavior. Based on the results of the descriptive analysis, students' financial literacy is categorized as good, with an average score of 3.97. Financial literacy is measured through five main indicators: knowledge of financial concepts, ability to communicate about finances, ability to manage personal finances, ability to make financial decisions, and confidence in future planning.</w:t>
      </w:r>
    </w:p>
    <w:p w14:paraId="7BF3DB03" w14:textId="51DBFD21" w:rsidR="00C30A0F" w:rsidRDefault="00C34982" w:rsidP="001E7C49">
      <w:pPr>
        <w:pStyle w:val="Body"/>
        <w:rPr>
          <w:rFonts w:ascii="Arial" w:hAnsi="Arial" w:cs="Arial"/>
        </w:rPr>
      </w:pPr>
      <w:r w:rsidRPr="00C34982">
        <w:rPr>
          <w:rFonts w:ascii="Arial" w:hAnsi="Arial" w:cs="Arial"/>
        </w:rPr>
        <w:t>Based on these five indicators, the indicator of ability to communicate about financial concepts recorded the highest score of 4.09. This shows that students feel comfortable and confident in discussing finances, whether with friends, family, or lecturers. However, this ability does not necessarily translate into wise financial behavior.</w:t>
      </w:r>
      <w:r w:rsidR="00C30A0F">
        <w:rPr>
          <w:rFonts w:ascii="Arial" w:hAnsi="Arial" w:cs="Arial"/>
        </w:rPr>
        <w:t>]</w:t>
      </w:r>
      <w:r w:rsidR="00C30A0F" w:rsidRPr="00FB3A86">
        <w:rPr>
          <w:rFonts w:ascii="Arial" w:hAnsi="Arial" w:cs="Arial"/>
        </w:rPr>
        <w:t xml:space="preserve">  </w:t>
      </w:r>
    </w:p>
    <w:p w14:paraId="5525ED50" w14:textId="77777777" w:rsidR="00790ADA" w:rsidRPr="00FB3A86" w:rsidRDefault="00790ADA" w:rsidP="00441B6F">
      <w:pPr>
        <w:pStyle w:val="Body"/>
        <w:spacing w:after="0"/>
        <w:rPr>
          <w:rFonts w:ascii="Arial" w:hAnsi="Arial" w:cs="Arial"/>
        </w:rPr>
      </w:pPr>
    </w:p>
    <w:p w14:paraId="2B0DED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051C73F" w14:textId="77777777" w:rsidR="00790ADA" w:rsidRPr="00FB3A86" w:rsidRDefault="00790ADA" w:rsidP="00441B6F">
      <w:pPr>
        <w:pStyle w:val="ConcHead"/>
        <w:spacing w:after="0"/>
        <w:jc w:val="both"/>
        <w:rPr>
          <w:rFonts w:ascii="Arial" w:hAnsi="Arial" w:cs="Arial"/>
        </w:rPr>
      </w:pPr>
    </w:p>
    <w:p w14:paraId="29891BD0" w14:textId="4A026586" w:rsidR="00B01FCD" w:rsidRDefault="00502516" w:rsidP="0053679A">
      <w:pPr>
        <w:pStyle w:val="Body"/>
        <w:rPr>
          <w:rFonts w:ascii="Arial" w:hAnsi="Arial" w:cs="Arial"/>
        </w:rPr>
      </w:pPr>
      <w:r>
        <w:rPr>
          <w:rFonts w:ascii="Arial" w:hAnsi="Arial" w:cs="Arial"/>
        </w:rPr>
        <w:t>[</w:t>
      </w:r>
      <w:r w:rsidR="0053679A" w:rsidRPr="0053679A">
        <w:rPr>
          <w:rFonts w:ascii="Arial" w:hAnsi="Arial" w:cs="Arial"/>
        </w:rPr>
        <w:t>Based on the research results, it can be concluded that lifestyle variables and financial literacy variables have a positive and significant effect on the consumptive behavior of students at the Faculty of Economics, Gorontalo State University. Based on the analysis results, it was found that the comparison of consumer behavior among students in each department showed significant differences, with management department students exhibiting the most significant difference in consumer behavior compared to other departments (β = 8.006; sig = 0.001). Meanwhile, students in the Economics department have a positive influence on consumer behavior but it is not significant (β = 2.998; sig = 0.133). On the other hand, students in the Accounting department show a negative and significant influence on consumer behavior (β = -4.069; sig = 0.037).</w:t>
      </w:r>
      <w:r>
        <w:rPr>
          <w:rFonts w:ascii="Arial" w:hAnsi="Arial" w:cs="Arial"/>
        </w:rPr>
        <w:t>]</w:t>
      </w:r>
    </w:p>
    <w:p w14:paraId="2694E598" w14:textId="3938C4B9" w:rsidR="001A434D" w:rsidRDefault="001A434D" w:rsidP="00441B6F">
      <w:pPr>
        <w:pStyle w:val="Body"/>
        <w:spacing w:after="0"/>
        <w:rPr>
          <w:rFonts w:ascii="Arial" w:hAnsi="Arial" w:cs="Arial"/>
        </w:rPr>
      </w:pPr>
    </w:p>
    <w:p w14:paraId="0DC1ED1E" w14:textId="77777777" w:rsidR="001A434D" w:rsidRPr="00350941" w:rsidRDefault="001A434D" w:rsidP="001A434D">
      <w:pPr>
        <w:rPr>
          <w:rFonts w:ascii="Calibri" w:eastAsia="Calibri" w:hAnsi="Calibri"/>
          <w:b/>
          <w:kern w:val="2"/>
          <w:highlight w:val="yellow"/>
        </w:rPr>
      </w:pPr>
      <w:bookmarkStart w:id="0" w:name="_Hlk197682619"/>
      <w:bookmarkStart w:id="1" w:name="_Hlk180402183"/>
      <w:bookmarkStart w:id="2" w:name="_Hlk183680988"/>
      <w:r w:rsidRPr="00350941">
        <w:rPr>
          <w:rFonts w:ascii="Calibri" w:eastAsia="Calibri" w:hAnsi="Calibri"/>
          <w:b/>
          <w:kern w:val="2"/>
          <w:highlight w:val="yellow"/>
        </w:rPr>
        <w:t>Disclaimer (Artificial intelligence)</w:t>
      </w:r>
    </w:p>
    <w:p w14:paraId="63B249CD"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lastRenderedPageBreak/>
        <w:t xml:space="preserve">Option 1: </w:t>
      </w:r>
    </w:p>
    <w:p w14:paraId="49C61643"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F50EB8B"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 xml:space="preserve">Option 2: </w:t>
      </w:r>
    </w:p>
    <w:p w14:paraId="6E692037"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05CD53"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3A2BFFF"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1.</w:t>
      </w:r>
    </w:p>
    <w:p w14:paraId="55AC611E" w14:textId="77777777" w:rsidR="001A434D" w:rsidRPr="009C5487" w:rsidRDefault="001A434D" w:rsidP="001A434D">
      <w:pPr>
        <w:rPr>
          <w:rFonts w:ascii="Calibri" w:eastAsia="Calibri" w:hAnsi="Calibri"/>
          <w:kern w:val="2"/>
          <w:highlight w:val="yellow"/>
        </w:rPr>
      </w:pPr>
      <w:r w:rsidRPr="009C5487">
        <w:rPr>
          <w:rFonts w:ascii="Calibri" w:eastAsia="Calibri" w:hAnsi="Calibri"/>
          <w:kern w:val="2"/>
          <w:highlight w:val="yellow"/>
        </w:rPr>
        <w:t>2.</w:t>
      </w:r>
    </w:p>
    <w:p w14:paraId="5116A0AD" w14:textId="77777777" w:rsidR="001A434D" w:rsidRPr="009C5487" w:rsidRDefault="001A434D" w:rsidP="001A434D">
      <w:pPr>
        <w:rPr>
          <w:rFonts w:ascii="Calibri" w:eastAsia="Calibri" w:hAnsi="Calibri"/>
          <w:kern w:val="2"/>
        </w:rPr>
      </w:pPr>
      <w:bookmarkStart w:id="3" w:name="_Hlk197682629"/>
      <w:bookmarkEnd w:id="0"/>
      <w:r w:rsidRPr="009C5487">
        <w:rPr>
          <w:rFonts w:ascii="Calibri" w:eastAsia="Calibri" w:hAnsi="Calibri"/>
          <w:kern w:val="2"/>
          <w:highlight w:val="yellow"/>
        </w:rPr>
        <w:t>3.</w:t>
      </w:r>
    </w:p>
    <w:bookmarkEnd w:id="1"/>
    <w:bookmarkEnd w:id="2"/>
    <w:bookmarkEnd w:id="3"/>
    <w:p w14:paraId="51DFB224" w14:textId="77777777" w:rsidR="001A434D" w:rsidRDefault="001A434D" w:rsidP="00441B6F">
      <w:pPr>
        <w:pStyle w:val="Body"/>
        <w:spacing w:after="0"/>
        <w:rPr>
          <w:rFonts w:ascii="Arial" w:hAnsi="Arial" w:cs="Arial"/>
        </w:rPr>
      </w:pPr>
    </w:p>
    <w:p w14:paraId="0BFCD202" w14:textId="77777777" w:rsidR="00790ADA" w:rsidRPr="00FB3A86" w:rsidRDefault="00790ADA" w:rsidP="00441B6F">
      <w:pPr>
        <w:pStyle w:val="Body"/>
        <w:spacing w:after="0"/>
        <w:rPr>
          <w:rFonts w:ascii="Arial" w:hAnsi="Arial" w:cs="Arial"/>
        </w:rPr>
      </w:pPr>
    </w:p>
    <w:p w14:paraId="7D11493A" w14:textId="77777777" w:rsidR="00860000" w:rsidRDefault="00860000" w:rsidP="00441B6F">
      <w:pPr>
        <w:pStyle w:val="ReferHead"/>
        <w:spacing w:after="0"/>
        <w:jc w:val="both"/>
        <w:rPr>
          <w:rFonts w:ascii="Arial" w:hAnsi="Arial" w:cs="Arial"/>
        </w:rPr>
      </w:pPr>
    </w:p>
    <w:p w14:paraId="1B33203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68D334" w14:textId="77777777" w:rsidR="001E7C49" w:rsidRDefault="001E7C49" w:rsidP="00441B6F">
      <w:pPr>
        <w:pStyle w:val="Body"/>
        <w:spacing w:after="0"/>
        <w:rPr>
          <w:rStyle w:val="Hyperlink"/>
        </w:rPr>
      </w:pPr>
    </w:p>
    <w:p w14:paraId="6914EB27" w14:textId="77777777" w:rsidR="002B735F" w:rsidRPr="002B735F" w:rsidRDefault="002B735F" w:rsidP="002B735F">
      <w:pPr>
        <w:pStyle w:val="Body"/>
        <w:ind w:left="567" w:hanging="567"/>
      </w:pPr>
      <w:proofErr w:type="spellStart"/>
      <w:r w:rsidRPr="00312076">
        <w:rPr>
          <w:highlight w:val="yellow"/>
        </w:rPr>
        <w:t>Arikunto</w:t>
      </w:r>
      <w:proofErr w:type="spellEnd"/>
      <w:r w:rsidRPr="00312076">
        <w:rPr>
          <w:highlight w:val="yellow"/>
        </w:rPr>
        <w:t>, S. (2013). Fundamentals of educational evaluation. Bina Aksara.</w:t>
      </w:r>
    </w:p>
    <w:p w14:paraId="00ED9ED2" w14:textId="12506392" w:rsidR="00E150D2" w:rsidRPr="00982AED" w:rsidRDefault="00E150D2" w:rsidP="002B735F">
      <w:pPr>
        <w:pStyle w:val="Body"/>
        <w:ind w:left="567" w:hanging="567"/>
        <w:rPr>
          <w:highlight w:val="yellow"/>
        </w:rPr>
      </w:pPr>
      <w:r w:rsidRPr="00982AED">
        <w:rPr>
          <w:highlight w:val="yellow"/>
        </w:rPr>
        <w:t>Gujarati, D. N., &amp; Porter, D. C. (2009). Basic Econometrics: Fifth Edition. McGraw</w:t>
      </w:r>
      <w:r w:rsidRPr="00982AED">
        <w:rPr>
          <w:rFonts w:ascii="Cambria Math" w:hAnsi="Cambria Math" w:cs="Cambria Math"/>
          <w:highlight w:val="yellow"/>
        </w:rPr>
        <w:t>‑</w:t>
      </w:r>
      <w:r w:rsidRPr="00982AED">
        <w:rPr>
          <w:highlight w:val="yellow"/>
        </w:rPr>
        <w:t>Hill.</w:t>
      </w:r>
    </w:p>
    <w:p w14:paraId="1BDD8DCA" w14:textId="3F3F55D8" w:rsidR="002647D7" w:rsidRPr="00982AED" w:rsidRDefault="002647D7" w:rsidP="002B735F">
      <w:pPr>
        <w:pStyle w:val="Body"/>
        <w:ind w:left="567" w:hanging="567"/>
        <w:rPr>
          <w:highlight w:val="yellow"/>
        </w:rPr>
      </w:pPr>
      <w:proofErr w:type="spellStart"/>
      <w:r w:rsidRPr="00982AED">
        <w:rPr>
          <w:highlight w:val="yellow"/>
        </w:rPr>
        <w:t>Hartiningsih</w:t>
      </w:r>
      <w:proofErr w:type="spellEnd"/>
      <w:r w:rsidRPr="00982AED">
        <w:rPr>
          <w:highlight w:val="yellow"/>
        </w:rPr>
        <w:t xml:space="preserve">, S. N., </w:t>
      </w:r>
      <w:proofErr w:type="spellStart"/>
      <w:r w:rsidRPr="00982AED">
        <w:rPr>
          <w:highlight w:val="yellow"/>
        </w:rPr>
        <w:t>Oktavianto</w:t>
      </w:r>
      <w:proofErr w:type="spellEnd"/>
      <w:r w:rsidRPr="00982AED">
        <w:rPr>
          <w:highlight w:val="yellow"/>
        </w:rPr>
        <w:t xml:space="preserve">, E., &amp; </w:t>
      </w:r>
      <w:proofErr w:type="spellStart"/>
      <w:r w:rsidRPr="00982AED">
        <w:rPr>
          <w:highlight w:val="yellow"/>
        </w:rPr>
        <w:t>Hikmawati</w:t>
      </w:r>
      <w:proofErr w:type="spellEnd"/>
      <w:r w:rsidRPr="00982AED">
        <w:rPr>
          <w:highlight w:val="yellow"/>
        </w:rPr>
        <w:t xml:space="preserve">, A. N. (2021). </w:t>
      </w:r>
      <w:proofErr w:type="spellStart"/>
      <w:r w:rsidRPr="00982AED">
        <w:rPr>
          <w:highlight w:val="yellow"/>
        </w:rPr>
        <w:t>Terapi</w:t>
      </w:r>
      <w:proofErr w:type="spellEnd"/>
      <w:r w:rsidRPr="00982AED">
        <w:rPr>
          <w:highlight w:val="yellow"/>
        </w:rPr>
        <w:t xml:space="preserve"> </w:t>
      </w:r>
      <w:proofErr w:type="spellStart"/>
      <w:r w:rsidRPr="00982AED">
        <w:rPr>
          <w:highlight w:val="yellow"/>
        </w:rPr>
        <w:t>relaksasi</w:t>
      </w:r>
      <w:proofErr w:type="spellEnd"/>
      <w:r w:rsidRPr="00982AED">
        <w:rPr>
          <w:highlight w:val="yellow"/>
        </w:rPr>
        <w:t xml:space="preserve"> </w:t>
      </w:r>
      <w:proofErr w:type="spellStart"/>
      <w:r w:rsidRPr="00982AED">
        <w:rPr>
          <w:highlight w:val="yellow"/>
        </w:rPr>
        <w:t>nafas</w:t>
      </w:r>
      <w:proofErr w:type="spellEnd"/>
      <w:r w:rsidRPr="00982AED">
        <w:rPr>
          <w:highlight w:val="yellow"/>
        </w:rPr>
        <w:t xml:space="preserve"> </w:t>
      </w:r>
      <w:proofErr w:type="spellStart"/>
      <w:r w:rsidRPr="00982AED">
        <w:rPr>
          <w:highlight w:val="yellow"/>
        </w:rPr>
        <w:t>dalam</w:t>
      </w:r>
      <w:proofErr w:type="spellEnd"/>
      <w:r w:rsidRPr="00982AED">
        <w:rPr>
          <w:highlight w:val="yellow"/>
        </w:rPr>
        <w:t xml:space="preserve"> </w:t>
      </w:r>
      <w:proofErr w:type="spellStart"/>
      <w:r w:rsidRPr="00982AED">
        <w:rPr>
          <w:highlight w:val="yellow"/>
        </w:rPr>
        <w:t>berpengaruh</w:t>
      </w:r>
      <w:proofErr w:type="spellEnd"/>
      <w:r w:rsidRPr="00982AED">
        <w:rPr>
          <w:highlight w:val="yellow"/>
        </w:rPr>
        <w:t xml:space="preserve"> </w:t>
      </w:r>
      <w:proofErr w:type="spellStart"/>
      <w:r w:rsidRPr="00982AED">
        <w:rPr>
          <w:highlight w:val="yellow"/>
        </w:rPr>
        <w:t>terhadap</w:t>
      </w:r>
      <w:proofErr w:type="spellEnd"/>
      <w:r w:rsidRPr="00982AED">
        <w:rPr>
          <w:highlight w:val="yellow"/>
        </w:rPr>
        <w:t xml:space="preserve"> </w:t>
      </w:r>
      <w:proofErr w:type="spellStart"/>
      <w:r w:rsidRPr="00982AED">
        <w:rPr>
          <w:highlight w:val="yellow"/>
        </w:rPr>
        <w:t>tekanan</w:t>
      </w:r>
      <w:proofErr w:type="spellEnd"/>
      <w:r w:rsidRPr="00982AED">
        <w:rPr>
          <w:highlight w:val="yellow"/>
        </w:rPr>
        <w:t xml:space="preserve"> </w:t>
      </w:r>
      <w:proofErr w:type="spellStart"/>
      <w:r w:rsidRPr="00982AED">
        <w:rPr>
          <w:highlight w:val="yellow"/>
        </w:rPr>
        <w:t>darah</w:t>
      </w:r>
      <w:proofErr w:type="spellEnd"/>
      <w:r w:rsidRPr="00982AED">
        <w:rPr>
          <w:highlight w:val="yellow"/>
        </w:rPr>
        <w:t xml:space="preserve"> pada </w:t>
      </w:r>
      <w:proofErr w:type="spellStart"/>
      <w:r w:rsidRPr="00982AED">
        <w:rPr>
          <w:highlight w:val="yellow"/>
        </w:rPr>
        <w:t>lansia</w:t>
      </w:r>
      <w:proofErr w:type="spellEnd"/>
      <w:r w:rsidRPr="00982AED">
        <w:rPr>
          <w:highlight w:val="yellow"/>
        </w:rPr>
        <w:t xml:space="preserve"> </w:t>
      </w:r>
      <w:proofErr w:type="spellStart"/>
      <w:r w:rsidRPr="00982AED">
        <w:rPr>
          <w:highlight w:val="yellow"/>
        </w:rPr>
        <w:t>penderita</w:t>
      </w:r>
      <w:proofErr w:type="spellEnd"/>
      <w:r w:rsidRPr="00982AED">
        <w:rPr>
          <w:highlight w:val="yellow"/>
        </w:rPr>
        <w:t xml:space="preserve"> </w:t>
      </w:r>
      <w:proofErr w:type="spellStart"/>
      <w:r w:rsidRPr="00982AED">
        <w:rPr>
          <w:highlight w:val="yellow"/>
        </w:rPr>
        <w:t>hipertensi</w:t>
      </w:r>
      <w:proofErr w:type="spellEnd"/>
      <w:r w:rsidRPr="00982AED">
        <w:rPr>
          <w:highlight w:val="yellow"/>
        </w:rPr>
        <w:t xml:space="preserve">. </w:t>
      </w:r>
      <w:proofErr w:type="spellStart"/>
      <w:r w:rsidRPr="00982AED">
        <w:rPr>
          <w:highlight w:val="yellow"/>
        </w:rPr>
        <w:t>Jurnal</w:t>
      </w:r>
      <w:proofErr w:type="spellEnd"/>
      <w:r w:rsidRPr="00982AED">
        <w:rPr>
          <w:highlight w:val="yellow"/>
        </w:rPr>
        <w:t xml:space="preserve"> </w:t>
      </w:r>
      <w:proofErr w:type="spellStart"/>
      <w:r w:rsidRPr="00982AED">
        <w:rPr>
          <w:highlight w:val="yellow"/>
        </w:rPr>
        <w:t>Keperawatan</w:t>
      </w:r>
      <w:proofErr w:type="spellEnd"/>
      <w:r w:rsidRPr="00982AED">
        <w:rPr>
          <w:highlight w:val="yellow"/>
        </w:rPr>
        <w:t>, 13(1), 123-128 (in Indonesian)</w:t>
      </w:r>
    </w:p>
    <w:p w14:paraId="58723D54" w14:textId="04924315" w:rsidR="002647D7" w:rsidRDefault="002647D7" w:rsidP="002B735F">
      <w:pPr>
        <w:pStyle w:val="Body"/>
        <w:ind w:left="567" w:hanging="567"/>
      </w:pPr>
      <w:proofErr w:type="spellStart"/>
      <w:r w:rsidRPr="00982AED">
        <w:rPr>
          <w:highlight w:val="yellow"/>
        </w:rPr>
        <w:t>Izzani</w:t>
      </w:r>
      <w:proofErr w:type="spellEnd"/>
      <w:r w:rsidRPr="00982AED">
        <w:rPr>
          <w:highlight w:val="yellow"/>
        </w:rPr>
        <w:t xml:space="preserve">, T. A., </w:t>
      </w:r>
      <w:proofErr w:type="spellStart"/>
      <w:r w:rsidRPr="00982AED">
        <w:rPr>
          <w:highlight w:val="yellow"/>
        </w:rPr>
        <w:t>Octaria</w:t>
      </w:r>
      <w:proofErr w:type="spellEnd"/>
      <w:r w:rsidRPr="00982AED">
        <w:rPr>
          <w:highlight w:val="yellow"/>
        </w:rPr>
        <w:t xml:space="preserve">, S., &amp; Linda, L. (2024). </w:t>
      </w:r>
      <w:proofErr w:type="spellStart"/>
      <w:r w:rsidRPr="00982AED">
        <w:rPr>
          <w:highlight w:val="yellow"/>
        </w:rPr>
        <w:t>Perkembangan</w:t>
      </w:r>
      <w:proofErr w:type="spellEnd"/>
      <w:r w:rsidRPr="00982AED">
        <w:rPr>
          <w:highlight w:val="yellow"/>
        </w:rPr>
        <w:t xml:space="preserve"> Masa </w:t>
      </w:r>
      <w:proofErr w:type="spellStart"/>
      <w:r w:rsidRPr="00982AED">
        <w:rPr>
          <w:highlight w:val="yellow"/>
        </w:rPr>
        <w:t>Remaja</w:t>
      </w:r>
      <w:proofErr w:type="spellEnd"/>
      <w:r w:rsidRPr="00982AED">
        <w:rPr>
          <w:highlight w:val="yellow"/>
        </w:rPr>
        <w:t xml:space="preserve">. JISPENDIORA </w:t>
      </w:r>
      <w:proofErr w:type="spellStart"/>
      <w:r w:rsidRPr="00982AED">
        <w:rPr>
          <w:highlight w:val="yellow"/>
        </w:rPr>
        <w:t>Jurnal</w:t>
      </w:r>
      <w:proofErr w:type="spellEnd"/>
      <w:r w:rsidRPr="00982AED">
        <w:rPr>
          <w:highlight w:val="yellow"/>
        </w:rPr>
        <w:t xml:space="preserve"> </w:t>
      </w:r>
      <w:proofErr w:type="spellStart"/>
      <w:r w:rsidRPr="00982AED">
        <w:rPr>
          <w:highlight w:val="yellow"/>
        </w:rPr>
        <w:t>Ilmu</w:t>
      </w:r>
      <w:proofErr w:type="spellEnd"/>
      <w:r w:rsidRPr="00982AED">
        <w:rPr>
          <w:highlight w:val="yellow"/>
        </w:rPr>
        <w:t xml:space="preserve"> </w:t>
      </w:r>
      <w:proofErr w:type="spellStart"/>
      <w:r w:rsidRPr="00982AED">
        <w:rPr>
          <w:highlight w:val="yellow"/>
        </w:rPr>
        <w:t>Sosial</w:t>
      </w:r>
      <w:proofErr w:type="spellEnd"/>
      <w:r w:rsidRPr="00982AED">
        <w:rPr>
          <w:highlight w:val="yellow"/>
        </w:rPr>
        <w:t xml:space="preserve"> Pendidikan Dan </w:t>
      </w:r>
      <w:proofErr w:type="spellStart"/>
      <w:r w:rsidRPr="00982AED">
        <w:rPr>
          <w:highlight w:val="yellow"/>
        </w:rPr>
        <w:t>Humaniora</w:t>
      </w:r>
      <w:proofErr w:type="spellEnd"/>
      <w:r w:rsidRPr="00982AED">
        <w:rPr>
          <w:highlight w:val="yellow"/>
        </w:rPr>
        <w:t>, 3(2), 259-273 (in Indonesian)</w:t>
      </w:r>
      <w:bookmarkStart w:id="4" w:name="_GoBack"/>
      <w:bookmarkEnd w:id="4"/>
    </w:p>
    <w:p w14:paraId="25C0DCAA" w14:textId="44F07982" w:rsidR="002B735F" w:rsidRPr="002B735F" w:rsidRDefault="002B735F" w:rsidP="002B735F">
      <w:pPr>
        <w:pStyle w:val="Body"/>
        <w:ind w:left="567" w:hanging="567"/>
      </w:pPr>
      <w:r w:rsidRPr="00431E92">
        <w:rPr>
          <w:highlight w:val="yellow"/>
        </w:rPr>
        <w:t>Kotler, P., &amp; Keller, K. L. (2022). Marketing management (16th ed.). Pearson Education.</w:t>
      </w:r>
    </w:p>
    <w:p w14:paraId="72DE3062" w14:textId="77777777" w:rsidR="002B735F" w:rsidRPr="002647D7" w:rsidRDefault="002B735F" w:rsidP="002B735F">
      <w:pPr>
        <w:pStyle w:val="Body"/>
        <w:ind w:left="567" w:hanging="567"/>
        <w:rPr>
          <w:highlight w:val="yellow"/>
        </w:rPr>
      </w:pPr>
      <w:proofErr w:type="spellStart"/>
      <w:r w:rsidRPr="002647D7">
        <w:rPr>
          <w:highlight w:val="yellow"/>
        </w:rPr>
        <w:t>Mohi</w:t>
      </w:r>
      <w:proofErr w:type="spellEnd"/>
      <w:r w:rsidRPr="002647D7">
        <w:rPr>
          <w:highlight w:val="yellow"/>
        </w:rPr>
        <w:t>, A., Susanto, B., &amp; Hartono, C. (2025). The influence of activities, interests, and opinions on consumption decisions. Journal of Consumer Psychology.</w:t>
      </w:r>
    </w:p>
    <w:p w14:paraId="50F31C82" w14:textId="77777777" w:rsidR="002B735F" w:rsidRPr="002647D7" w:rsidRDefault="002B735F" w:rsidP="002B735F">
      <w:pPr>
        <w:pStyle w:val="Body"/>
        <w:ind w:left="567" w:hanging="567"/>
        <w:rPr>
          <w:highlight w:val="yellow"/>
        </w:rPr>
      </w:pPr>
      <w:r w:rsidRPr="002647D7">
        <w:rPr>
          <w:highlight w:val="yellow"/>
        </w:rPr>
        <w:t>Pramesti, A. A., Nugroho, R. Y., &amp; Fitriani, D. (2023). Consumer behavior of university students from a consumer psychology perspective. Journal of Digital Economics and Business, 3(1), 33–40.</w:t>
      </w:r>
    </w:p>
    <w:p w14:paraId="19997947" w14:textId="77777777" w:rsidR="002B735F" w:rsidRPr="002647D7" w:rsidRDefault="002B735F" w:rsidP="002B735F">
      <w:pPr>
        <w:pStyle w:val="Body"/>
        <w:ind w:left="567" w:hanging="567"/>
        <w:rPr>
          <w:highlight w:val="yellow"/>
        </w:rPr>
      </w:pPr>
      <w:r w:rsidRPr="002647D7">
        <w:rPr>
          <w:highlight w:val="yellow"/>
        </w:rPr>
        <w:t>Schiffman, L. G., &amp; Kanuk, L. L. (2021). Consumer behavior (12th ed.). Pearson Education.</w:t>
      </w:r>
    </w:p>
    <w:p w14:paraId="2FCE484C" w14:textId="77777777" w:rsidR="002B735F" w:rsidRPr="002647D7" w:rsidRDefault="002B735F" w:rsidP="002B735F">
      <w:pPr>
        <w:pStyle w:val="Body"/>
        <w:ind w:left="567" w:hanging="567"/>
        <w:rPr>
          <w:highlight w:val="yellow"/>
        </w:rPr>
      </w:pPr>
      <w:proofErr w:type="spellStart"/>
      <w:r w:rsidRPr="002647D7">
        <w:rPr>
          <w:highlight w:val="yellow"/>
        </w:rPr>
        <w:t>Siregar</w:t>
      </w:r>
      <w:proofErr w:type="spellEnd"/>
      <w:r w:rsidRPr="002647D7">
        <w:rPr>
          <w:highlight w:val="yellow"/>
        </w:rPr>
        <w:t>, S. (2013). Quantitative research methods. Kencana. repository.unida.ac.id</w:t>
      </w:r>
    </w:p>
    <w:p w14:paraId="17B86B98" w14:textId="77777777" w:rsidR="002B735F" w:rsidRPr="002647D7" w:rsidRDefault="002B735F" w:rsidP="002B735F">
      <w:pPr>
        <w:pStyle w:val="Body"/>
        <w:ind w:left="567" w:hanging="567"/>
        <w:rPr>
          <w:highlight w:val="yellow"/>
        </w:rPr>
      </w:pPr>
      <w:r w:rsidRPr="002647D7">
        <w:rPr>
          <w:highlight w:val="yellow"/>
        </w:rPr>
        <w:t>Sugiyono. (2013). Quantitative, qualitative, and R&amp;D research methods. Alfabeta.</w:t>
      </w:r>
    </w:p>
    <w:p w14:paraId="190473D9" w14:textId="77777777" w:rsidR="002B735F" w:rsidRPr="002B735F" w:rsidRDefault="002B735F" w:rsidP="002B735F">
      <w:pPr>
        <w:pStyle w:val="Body"/>
        <w:ind w:left="567" w:hanging="567"/>
      </w:pPr>
      <w:r w:rsidRPr="002647D7">
        <w:rPr>
          <w:highlight w:val="yellow"/>
        </w:rPr>
        <w:t>Susetyo, D., &amp; Firmansyah, R. (2023). The role of financial literacy in students' financial decision-making. Journal of Management Science, 9(2), 260–268.</w:t>
      </w:r>
    </w:p>
    <w:p w14:paraId="3CA32E86" w14:textId="77777777" w:rsidR="00441B6F" w:rsidRDefault="00441B6F" w:rsidP="00441B6F">
      <w:pPr>
        <w:pStyle w:val="Body"/>
        <w:spacing w:after="0"/>
        <w:jc w:val="left"/>
      </w:pPr>
    </w:p>
    <w:p w14:paraId="5B3C9D06" w14:textId="77777777" w:rsidR="00441B6F" w:rsidRDefault="00441B6F" w:rsidP="00441B6F">
      <w:pPr>
        <w:pStyle w:val="Body"/>
        <w:spacing w:after="0"/>
        <w:jc w:val="left"/>
        <w:rPr>
          <w:rFonts w:ascii="Arial" w:hAnsi="Arial" w:cs="Arial"/>
        </w:rPr>
      </w:pPr>
    </w:p>
    <w:p w14:paraId="2CC5E47C" w14:textId="77777777" w:rsidR="00790ADA" w:rsidRPr="00FB3A86" w:rsidRDefault="00790ADA" w:rsidP="00441B6F">
      <w:pPr>
        <w:pStyle w:val="Body"/>
        <w:spacing w:after="0"/>
        <w:rPr>
          <w:rFonts w:ascii="Arial" w:hAnsi="Arial" w:cs="Arial"/>
        </w:rPr>
      </w:pPr>
    </w:p>
    <w:p w14:paraId="7AB64640" w14:textId="77777777" w:rsidR="00B01FCD" w:rsidRPr="00FB3A86" w:rsidRDefault="00B01FCD" w:rsidP="00441B6F">
      <w:pPr>
        <w:pStyle w:val="Appendix"/>
        <w:spacing w:after="0"/>
        <w:jc w:val="both"/>
        <w:rPr>
          <w:rFonts w:ascii="Arial" w:hAnsi="Arial" w:cs="Arial"/>
          <w:b w:val="0"/>
        </w:rPr>
      </w:pPr>
    </w:p>
    <w:sectPr w:rsidR="00B01FCD" w:rsidRPr="00FB3A86" w:rsidSect="00724844">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860E" w14:textId="77777777" w:rsidR="001201BF" w:rsidRDefault="001201BF" w:rsidP="00C37E61">
      <w:r>
        <w:separator/>
      </w:r>
    </w:p>
  </w:endnote>
  <w:endnote w:type="continuationSeparator" w:id="0">
    <w:p w14:paraId="1C5A695B" w14:textId="77777777" w:rsidR="001201BF" w:rsidRDefault="001201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6536" w14:textId="77777777" w:rsidR="0093001D" w:rsidRPr="00C37E61" w:rsidRDefault="0093001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453C" w14:textId="77777777" w:rsidR="001201BF" w:rsidRDefault="001201BF" w:rsidP="00C37E61">
      <w:r>
        <w:separator/>
      </w:r>
    </w:p>
  </w:footnote>
  <w:footnote w:type="continuationSeparator" w:id="0">
    <w:p w14:paraId="18B85436" w14:textId="77777777" w:rsidR="001201BF" w:rsidRDefault="001201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6711" w14:textId="21A4CA91" w:rsidR="0093001D" w:rsidRDefault="00982AED">
    <w:pPr>
      <w:pStyle w:val="Header"/>
    </w:pPr>
    <w:r>
      <w:rPr>
        <w:noProof/>
      </w:rPr>
      <w:pict w14:anchorId="42AA7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C92D" w14:textId="306C173B" w:rsidR="0093001D" w:rsidRDefault="00982AED">
    <w:pPr>
      <w:pStyle w:val="Header"/>
    </w:pPr>
    <w:r>
      <w:rPr>
        <w:noProof/>
      </w:rPr>
      <w:pict w14:anchorId="2DABB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4827" w14:textId="264C2B91" w:rsidR="0093001D" w:rsidRPr="00296529" w:rsidRDefault="00982AED" w:rsidP="00296529">
    <w:pPr>
      <w:ind w:left="2160"/>
      <w:jc w:val="center"/>
      <w:rPr>
        <w:rFonts w:ascii="Times New Roman" w:eastAsia="Calibri" w:hAnsi="Times New Roman"/>
        <w:i/>
        <w:sz w:val="18"/>
        <w:szCs w:val="22"/>
      </w:rPr>
    </w:pPr>
    <w:r>
      <w:rPr>
        <w:noProof/>
      </w:rPr>
      <w:pict w14:anchorId="11132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34CE05" w14:textId="77777777" w:rsidR="0093001D" w:rsidRPr="00296529" w:rsidRDefault="009300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D06518" w14:textId="77777777" w:rsidR="0093001D" w:rsidRPr="00296529" w:rsidRDefault="009300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C303F1" w14:textId="77777777" w:rsidR="0093001D" w:rsidRPr="00296529" w:rsidRDefault="009300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AED33" w14:textId="77777777" w:rsidR="0093001D" w:rsidRDefault="009300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EA7D4A" w14:textId="77777777" w:rsidR="0093001D" w:rsidRDefault="009300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D56FD4" w14:textId="77777777" w:rsidR="0093001D" w:rsidRDefault="0093001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8DD0" w14:textId="7D6C1354" w:rsidR="0093001D" w:rsidRDefault="00982AED">
    <w:pPr>
      <w:pStyle w:val="Header"/>
    </w:pPr>
    <w:r>
      <w:rPr>
        <w:noProof/>
      </w:rPr>
      <w:pict w14:anchorId="0A0F0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3FA0" w14:textId="11CFDC72" w:rsidR="0093001D" w:rsidRDefault="00982AED">
    <w:pPr>
      <w:pStyle w:val="Header"/>
    </w:pPr>
    <w:r>
      <w:rPr>
        <w:noProof/>
      </w:rPr>
      <w:pict w14:anchorId="1F76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DDCD" w14:textId="16A27B25" w:rsidR="0093001D" w:rsidRDefault="00982AED">
    <w:pPr>
      <w:pStyle w:val="Header"/>
    </w:pPr>
    <w:r>
      <w:rPr>
        <w:noProof/>
      </w:rPr>
      <w:pict w14:anchorId="2712C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EwMDEzMDUxMDE2sTBR0lEKTi0uzszPAykwrAUAQPqfmiwAAAA="/>
  </w:docVars>
  <w:rsids>
    <w:rsidRoot w:val="00AA6219"/>
    <w:rsid w:val="00000F8F"/>
    <w:rsid w:val="00012A78"/>
    <w:rsid w:val="00030174"/>
    <w:rsid w:val="000403BB"/>
    <w:rsid w:val="0004579C"/>
    <w:rsid w:val="000A47FA"/>
    <w:rsid w:val="000A65D3"/>
    <w:rsid w:val="000B0D50"/>
    <w:rsid w:val="000B1E33"/>
    <w:rsid w:val="000D689F"/>
    <w:rsid w:val="000E04E2"/>
    <w:rsid w:val="000E7B7B"/>
    <w:rsid w:val="000E7D62"/>
    <w:rsid w:val="00103357"/>
    <w:rsid w:val="001201BF"/>
    <w:rsid w:val="00123C9F"/>
    <w:rsid w:val="00126190"/>
    <w:rsid w:val="00130F17"/>
    <w:rsid w:val="001320BF"/>
    <w:rsid w:val="00163BC4"/>
    <w:rsid w:val="00191062"/>
    <w:rsid w:val="00192B72"/>
    <w:rsid w:val="001A29D8"/>
    <w:rsid w:val="001A434D"/>
    <w:rsid w:val="001A5CAA"/>
    <w:rsid w:val="001B0427"/>
    <w:rsid w:val="001D3A51"/>
    <w:rsid w:val="001E10D2"/>
    <w:rsid w:val="001E25B4"/>
    <w:rsid w:val="001E44FE"/>
    <w:rsid w:val="001E7C49"/>
    <w:rsid w:val="00200595"/>
    <w:rsid w:val="00204835"/>
    <w:rsid w:val="00230618"/>
    <w:rsid w:val="00231920"/>
    <w:rsid w:val="0023195C"/>
    <w:rsid w:val="0024282C"/>
    <w:rsid w:val="002460DC"/>
    <w:rsid w:val="00250985"/>
    <w:rsid w:val="002556F6"/>
    <w:rsid w:val="002647D7"/>
    <w:rsid w:val="00283105"/>
    <w:rsid w:val="00284C4C"/>
    <w:rsid w:val="00287E68"/>
    <w:rsid w:val="00296529"/>
    <w:rsid w:val="002B27FB"/>
    <w:rsid w:val="002B685A"/>
    <w:rsid w:val="002B735F"/>
    <w:rsid w:val="002C57D2"/>
    <w:rsid w:val="002E0D56"/>
    <w:rsid w:val="002F3BF1"/>
    <w:rsid w:val="00312076"/>
    <w:rsid w:val="00315186"/>
    <w:rsid w:val="0033343E"/>
    <w:rsid w:val="00350941"/>
    <w:rsid w:val="003512C2"/>
    <w:rsid w:val="00371FB6"/>
    <w:rsid w:val="003763C1"/>
    <w:rsid w:val="00376BBE"/>
    <w:rsid w:val="00383915"/>
    <w:rsid w:val="0039224F"/>
    <w:rsid w:val="003A43A4"/>
    <w:rsid w:val="003A7E18"/>
    <w:rsid w:val="003C4C86"/>
    <w:rsid w:val="003C6258"/>
    <w:rsid w:val="003E2904"/>
    <w:rsid w:val="00401927"/>
    <w:rsid w:val="0041027F"/>
    <w:rsid w:val="00412475"/>
    <w:rsid w:val="00423789"/>
    <w:rsid w:val="00431E92"/>
    <w:rsid w:val="00440F43"/>
    <w:rsid w:val="00441B6F"/>
    <w:rsid w:val="00446221"/>
    <w:rsid w:val="00450E62"/>
    <w:rsid w:val="004539DB"/>
    <w:rsid w:val="004621F6"/>
    <w:rsid w:val="00465031"/>
    <w:rsid w:val="00471A80"/>
    <w:rsid w:val="004C7B49"/>
    <w:rsid w:val="004D305E"/>
    <w:rsid w:val="004D4277"/>
    <w:rsid w:val="00502516"/>
    <w:rsid w:val="00505F06"/>
    <w:rsid w:val="00506828"/>
    <w:rsid w:val="005135B7"/>
    <w:rsid w:val="00520D89"/>
    <w:rsid w:val="0053056E"/>
    <w:rsid w:val="0053679A"/>
    <w:rsid w:val="00554FDA"/>
    <w:rsid w:val="005C784C"/>
    <w:rsid w:val="005D17F6"/>
    <w:rsid w:val="005E5539"/>
    <w:rsid w:val="00602BF5"/>
    <w:rsid w:val="00617FDD"/>
    <w:rsid w:val="00633614"/>
    <w:rsid w:val="00633F68"/>
    <w:rsid w:val="00636EB2"/>
    <w:rsid w:val="006375B8"/>
    <w:rsid w:val="006415D4"/>
    <w:rsid w:val="0066510A"/>
    <w:rsid w:val="00673F9F"/>
    <w:rsid w:val="00686953"/>
    <w:rsid w:val="00687DEA"/>
    <w:rsid w:val="00687E67"/>
    <w:rsid w:val="006967F7"/>
    <w:rsid w:val="006A250C"/>
    <w:rsid w:val="006B21D3"/>
    <w:rsid w:val="006B57D0"/>
    <w:rsid w:val="006D30FF"/>
    <w:rsid w:val="006D6940"/>
    <w:rsid w:val="006F11EC"/>
    <w:rsid w:val="0070082C"/>
    <w:rsid w:val="00721BA4"/>
    <w:rsid w:val="00724844"/>
    <w:rsid w:val="007369E6"/>
    <w:rsid w:val="00746E59"/>
    <w:rsid w:val="00752E33"/>
    <w:rsid w:val="00754855"/>
    <w:rsid w:val="00754C9A"/>
    <w:rsid w:val="0075599A"/>
    <w:rsid w:val="00761D52"/>
    <w:rsid w:val="0077749E"/>
    <w:rsid w:val="00790ADA"/>
    <w:rsid w:val="0079625B"/>
    <w:rsid w:val="007D2288"/>
    <w:rsid w:val="007E088F"/>
    <w:rsid w:val="007E5DDE"/>
    <w:rsid w:val="007F4D96"/>
    <w:rsid w:val="007F7B32"/>
    <w:rsid w:val="00804BC2"/>
    <w:rsid w:val="0081431A"/>
    <w:rsid w:val="0083216F"/>
    <w:rsid w:val="00860000"/>
    <w:rsid w:val="00863BD3"/>
    <w:rsid w:val="008641ED"/>
    <w:rsid w:val="00866D66"/>
    <w:rsid w:val="008671C6"/>
    <w:rsid w:val="00875803"/>
    <w:rsid w:val="008A6388"/>
    <w:rsid w:val="008B459E"/>
    <w:rsid w:val="008C076C"/>
    <w:rsid w:val="008E13AE"/>
    <w:rsid w:val="008E1506"/>
    <w:rsid w:val="008E710C"/>
    <w:rsid w:val="008F69D6"/>
    <w:rsid w:val="00902823"/>
    <w:rsid w:val="00915CA6"/>
    <w:rsid w:val="00927834"/>
    <w:rsid w:val="0093001D"/>
    <w:rsid w:val="009500A6"/>
    <w:rsid w:val="00955A88"/>
    <w:rsid w:val="00957C18"/>
    <w:rsid w:val="009659BA"/>
    <w:rsid w:val="009669C1"/>
    <w:rsid w:val="00982AED"/>
    <w:rsid w:val="00983040"/>
    <w:rsid w:val="009A50A7"/>
    <w:rsid w:val="009B3FB9"/>
    <w:rsid w:val="009C15F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02D"/>
    <w:rsid w:val="00A51431"/>
    <w:rsid w:val="00A539AD"/>
    <w:rsid w:val="00A750CC"/>
    <w:rsid w:val="00A94063"/>
    <w:rsid w:val="00AA6219"/>
    <w:rsid w:val="00AA74E0"/>
    <w:rsid w:val="00AB703F"/>
    <w:rsid w:val="00AC6BB8"/>
    <w:rsid w:val="00AE008F"/>
    <w:rsid w:val="00AE1851"/>
    <w:rsid w:val="00B01FCD"/>
    <w:rsid w:val="00B1776C"/>
    <w:rsid w:val="00B52583"/>
    <w:rsid w:val="00B52896"/>
    <w:rsid w:val="00B95236"/>
    <w:rsid w:val="00B9542F"/>
    <w:rsid w:val="00B96BD9"/>
    <w:rsid w:val="00BA1B01"/>
    <w:rsid w:val="00BA2641"/>
    <w:rsid w:val="00BA6311"/>
    <w:rsid w:val="00BB37AA"/>
    <w:rsid w:val="00BB66DF"/>
    <w:rsid w:val="00BC53A0"/>
    <w:rsid w:val="00BC6231"/>
    <w:rsid w:val="00BE62AD"/>
    <w:rsid w:val="00BF121F"/>
    <w:rsid w:val="00BF1F80"/>
    <w:rsid w:val="00C166EF"/>
    <w:rsid w:val="00C17EB0"/>
    <w:rsid w:val="00C21BED"/>
    <w:rsid w:val="00C25F59"/>
    <w:rsid w:val="00C27F5F"/>
    <w:rsid w:val="00C30A0F"/>
    <w:rsid w:val="00C34982"/>
    <w:rsid w:val="00C37E61"/>
    <w:rsid w:val="00C6441B"/>
    <w:rsid w:val="00C70F1B"/>
    <w:rsid w:val="00C71A47"/>
    <w:rsid w:val="00C7464C"/>
    <w:rsid w:val="00C85588"/>
    <w:rsid w:val="00C94465"/>
    <w:rsid w:val="00CD6755"/>
    <w:rsid w:val="00CD6856"/>
    <w:rsid w:val="00CE0089"/>
    <w:rsid w:val="00CE793C"/>
    <w:rsid w:val="00CF193C"/>
    <w:rsid w:val="00D173F1"/>
    <w:rsid w:val="00D24857"/>
    <w:rsid w:val="00D74CB0"/>
    <w:rsid w:val="00D8295D"/>
    <w:rsid w:val="00DC2A65"/>
    <w:rsid w:val="00DD68BD"/>
    <w:rsid w:val="00DE15F0"/>
    <w:rsid w:val="00DE5663"/>
    <w:rsid w:val="00DE78AA"/>
    <w:rsid w:val="00E053D0"/>
    <w:rsid w:val="00E150D2"/>
    <w:rsid w:val="00E15994"/>
    <w:rsid w:val="00E24A08"/>
    <w:rsid w:val="00E3114E"/>
    <w:rsid w:val="00E31A70"/>
    <w:rsid w:val="00E35B02"/>
    <w:rsid w:val="00E66496"/>
    <w:rsid w:val="00E66B35"/>
    <w:rsid w:val="00E66E10"/>
    <w:rsid w:val="00E769F6"/>
    <w:rsid w:val="00E77EE6"/>
    <w:rsid w:val="00E8407C"/>
    <w:rsid w:val="00E84F3C"/>
    <w:rsid w:val="00EA012C"/>
    <w:rsid w:val="00EC3949"/>
    <w:rsid w:val="00EC6A55"/>
    <w:rsid w:val="00ED0288"/>
    <w:rsid w:val="00ED1117"/>
    <w:rsid w:val="00EE52CB"/>
    <w:rsid w:val="00EF581D"/>
    <w:rsid w:val="00EF7FD8"/>
    <w:rsid w:val="00F04EF0"/>
    <w:rsid w:val="00F06F59"/>
    <w:rsid w:val="00F17988"/>
    <w:rsid w:val="00F469F0"/>
    <w:rsid w:val="00F53273"/>
    <w:rsid w:val="00F755E4"/>
    <w:rsid w:val="00F77D02"/>
    <w:rsid w:val="00F85D0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1670E8E9"/>
  <w15:docId w15:val="{B76050FB-717E-4D85-A502-F57AD2E5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520D89"/>
    <w:rPr>
      <w:color w:val="808080"/>
    </w:rPr>
  </w:style>
  <w:style w:type="paragraph" w:styleId="BodyText">
    <w:name w:val="Body Text"/>
    <w:basedOn w:val="Normal"/>
    <w:link w:val="BodyTextChar"/>
    <w:semiHidden/>
    <w:unhideWhenUsed/>
    <w:rsid w:val="00383915"/>
    <w:pPr>
      <w:spacing w:after="120"/>
    </w:pPr>
  </w:style>
  <w:style w:type="character" w:customStyle="1" w:styleId="BodyTextChar">
    <w:name w:val="Body Text Char"/>
    <w:basedOn w:val="DefaultParagraphFont"/>
    <w:link w:val="BodyText"/>
    <w:semiHidden/>
    <w:rsid w:val="0038391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504D-2313-4179-9EA7-4895CDEE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475</TotalTime>
  <Pages>7</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61</cp:revision>
  <cp:lastPrinted>1999-07-06T11:00:00Z</cp:lastPrinted>
  <dcterms:created xsi:type="dcterms:W3CDTF">2014-10-25T14:34:00Z</dcterms:created>
  <dcterms:modified xsi:type="dcterms:W3CDTF">2025-06-19T11:05:00Z</dcterms:modified>
</cp:coreProperties>
</file>