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332E0" w14:textId="77777777" w:rsidR="004958BA" w:rsidRDefault="004958BA" w:rsidP="00875A45">
      <w:pPr>
        <w:spacing w:after="0" w:line="259" w:lineRule="auto"/>
        <w:ind w:left="0" w:right="4" w:firstLine="0"/>
        <w:jc w:val="center"/>
        <w:rPr>
          <w:sz w:val="32"/>
          <w:szCs w:val="22"/>
        </w:rPr>
      </w:pPr>
    </w:p>
    <w:p w14:paraId="60B1AAB3" w14:textId="13611E4A" w:rsidR="00AD79D7" w:rsidRDefault="0099782D" w:rsidP="00875A45">
      <w:pPr>
        <w:spacing w:after="0" w:line="259" w:lineRule="auto"/>
        <w:ind w:left="0" w:right="4" w:firstLine="0"/>
        <w:jc w:val="center"/>
        <w:rPr>
          <w:sz w:val="32"/>
          <w:szCs w:val="22"/>
        </w:rPr>
      </w:pPr>
      <w:r w:rsidRPr="00324D97">
        <w:rPr>
          <w:sz w:val="32"/>
          <w:szCs w:val="22"/>
        </w:rPr>
        <w:t>The Influence of Teacher Burnout and Instructional Adaptations on The Psychological Well-Being of General Education Teachers Handling Learners with Disabilities in Inclusive Classrooms</w:t>
      </w:r>
    </w:p>
    <w:p w14:paraId="7EC8C01A" w14:textId="77777777" w:rsidR="00324D97" w:rsidRDefault="00324D97" w:rsidP="00875A45">
      <w:pPr>
        <w:spacing w:after="0" w:line="259" w:lineRule="auto"/>
        <w:ind w:left="0" w:right="4" w:firstLine="0"/>
        <w:jc w:val="center"/>
        <w:rPr>
          <w:sz w:val="32"/>
          <w:szCs w:val="22"/>
        </w:rPr>
      </w:pPr>
    </w:p>
    <w:p w14:paraId="69BFDF01" w14:textId="77777777" w:rsidR="00A47A9A" w:rsidRPr="00C62340" w:rsidRDefault="00A47A9A" w:rsidP="00875A45">
      <w:pPr>
        <w:spacing w:after="0" w:line="259" w:lineRule="auto"/>
        <w:ind w:left="0" w:right="4" w:firstLine="0"/>
        <w:jc w:val="center"/>
        <w:rPr>
          <w:sz w:val="32"/>
          <w:szCs w:val="22"/>
        </w:rPr>
      </w:pPr>
    </w:p>
    <w:p w14:paraId="54666233" w14:textId="6E389934" w:rsidR="00ED34C1" w:rsidRDefault="00ED34C1">
      <w:pPr>
        <w:spacing w:after="0" w:line="259" w:lineRule="auto"/>
        <w:ind w:left="0" w:right="0" w:firstLine="0"/>
        <w:jc w:val="left"/>
      </w:pPr>
    </w:p>
    <w:p w14:paraId="76D229AC" w14:textId="77777777" w:rsidR="00ED34C1" w:rsidRDefault="001C3184">
      <w:pPr>
        <w:spacing w:after="0" w:line="259" w:lineRule="auto"/>
        <w:ind w:left="0" w:right="0" w:firstLine="0"/>
        <w:jc w:val="left"/>
      </w:pPr>
      <w:r>
        <w:t xml:space="preserve"> </w:t>
      </w:r>
    </w:p>
    <w:p w14:paraId="7795A1F1" w14:textId="77777777" w:rsidR="00ED34C1" w:rsidRDefault="001C3184">
      <w:pPr>
        <w:spacing w:after="215" w:line="259" w:lineRule="auto"/>
        <w:ind w:left="-30" w:right="-28" w:firstLine="0"/>
        <w:jc w:val="left"/>
      </w:pPr>
      <w:r>
        <w:rPr>
          <w:rFonts w:ascii="Calibri" w:eastAsia="Calibri" w:hAnsi="Calibri" w:cs="Calibri"/>
          <w:noProof/>
          <w:sz w:val="22"/>
        </w:rPr>
        <mc:AlternateContent>
          <mc:Choice Requires="wpg">
            <w:drawing>
              <wp:inline distT="0" distB="0" distL="0" distR="0" wp14:anchorId="1581F945" wp14:editId="364486E3">
                <wp:extent cx="5982716" cy="6350"/>
                <wp:effectExtent l="0" t="0" r="0" b="0"/>
                <wp:docPr id="13876" name="Group 13876"/>
                <wp:cNvGraphicFramePr/>
                <a:graphic xmlns:a="http://schemas.openxmlformats.org/drawingml/2006/main">
                  <a:graphicData uri="http://schemas.microsoft.com/office/word/2010/wordprocessingGroup">
                    <wpg:wgp>
                      <wpg:cNvGrpSpPr/>
                      <wpg:grpSpPr>
                        <a:xfrm>
                          <a:off x="0" y="0"/>
                          <a:ext cx="5982716" cy="6350"/>
                          <a:chOff x="0" y="0"/>
                          <a:chExt cx="5982716" cy="6350"/>
                        </a:xfrm>
                      </wpg:grpSpPr>
                      <wps:wsp>
                        <wps:cNvPr id="15019" name="Shape 15019"/>
                        <wps:cNvSpPr/>
                        <wps:spPr>
                          <a:xfrm>
                            <a:off x="0" y="0"/>
                            <a:ext cx="5982716" cy="9144"/>
                          </a:xfrm>
                          <a:custGeom>
                            <a:avLst/>
                            <a:gdLst/>
                            <a:ahLst/>
                            <a:cxnLst/>
                            <a:rect l="0" t="0" r="0" b="0"/>
                            <a:pathLst>
                              <a:path w="5982716" h="9144">
                                <a:moveTo>
                                  <a:pt x="0" y="0"/>
                                </a:moveTo>
                                <a:lnTo>
                                  <a:pt x="5982716" y="0"/>
                                </a:lnTo>
                                <a:lnTo>
                                  <a:pt x="5982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876" style="width:471.08pt;height:0.5pt;mso-position-horizontal-relative:char;mso-position-vertical-relative:line" coordsize="59827,63">
                <v:shape id="Shape 15020" style="position:absolute;width:59827;height:91;left:0;top:0;" coordsize="5982716,9144" path="m0,0l5982716,0l5982716,9144l0,9144l0,0">
                  <v:stroke weight="0pt" endcap="flat" joinstyle="miter" miterlimit="10" on="false" color="#000000" opacity="0"/>
                  <v:fill on="true" color="#000000"/>
                </v:shape>
              </v:group>
            </w:pict>
          </mc:Fallback>
        </mc:AlternateContent>
      </w:r>
    </w:p>
    <w:p w14:paraId="4272A17F" w14:textId="77777777" w:rsidR="00ED34C1" w:rsidRPr="00180A33" w:rsidRDefault="001C3184">
      <w:pPr>
        <w:pStyle w:val="Heading1"/>
        <w:spacing w:after="219"/>
        <w:ind w:left="0" w:firstLine="0"/>
        <w:rPr>
          <w:sz w:val="24"/>
        </w:rPr>
      </w:pPr>
      <w:r w:rsidRPr="00180A33">
        <w:rPr>
          <w:i w:val="0"/>
          <w:sz w:val="24"/>
        </w:rPr>
        <w:t xml:space="preserve">Abstract </w:t>
      </w:r>
    </w:p>
    <w:p w14:paraId="1DD3A571" w14:textId="245B15E1" w:rsidR="00ED34C1" w:rsidRPr="00180A33" w:rsidRDefault="00BF6CB8" w:rsidP="00BF6CB8">
      <w:pPr>
        <w:spacing w:after="0" w:line="259" w:lineRule="auto"/>
        <w:ind w:left="0" w:right="0" w:firstLine="0"/>
        <w:rPr>
          <w:sz w:val="24"/>
        </w:rPr>
      </w:pPr>
      <w:r w:rsidRPr="00180A33">
        <w:rPr>
          <w:sz w:val="24"/>
        </w:rPr>
        <w:t xml:space="preserve">The psychological well-being of general education teachers handling learners with disabilities </w:t>
      </w:r>
      <w:r w:rsidR="00B73EA6" w:rsidRPr="00180A33">
        <w:rPr>
          <w:sz w:val="24"/>
        </w:rPr>
        <w:t>i</w:t>
      </w:r>
      <w:r w:rsidRPr="00180A33">
        <w:rPr>
          <w:sz w:val="24"/>
        </w:rPr>
        <w:t>n inclusive classrooms is a growing concern, particularly as inclusive education expands across the Philippines. This study aimed to examine the influence of teacher burnout and instructional adaptations on the psychological well-being of general education teachers in inclusive classrooms. A non-experimental, descriptive-correlational design was employed, involving 142 teachers selected through total enumeration. Data were collected using validated questionnaires on teacher burnout, instructional adaptations, and psychological well-being. Statistical analyses included descriptive statistics, Pearson correlation, and regression</w:t>
      </w:r>
      <w:r w:rsidR="00314ADA" w:rsidRPr="00180A33">
        <w:rPr>
          <w:sz w:val="24"/>
        </w:rPr>
        <w:t xml:space="preserve"> analysis</w:t>
      </w:r>
      <w:r w:rsidRPr="00180A33">
        <w:rPr>
          <w:sz w:val="24"/>
        </w:rPr>
        <w:t xml:space="preserve">. Findings revealed that teacher burnout was generally low, instructional adaptations were </w:t>
      </w:r>
      <w:r w:rsidR="008820BE" w:rsidRPr="00180A33">
        <w:rPr>
          <w:sz w:val="24"/>
        </w:rPr>
        <w:t>oftentimes</w:t>
      </w:r>
      <w:r w:rsidRPr="00180A33">
        <w:rPr>
          <w:sz w:val="24"/>
        </w:rPr>
        <w:t xml:space="preserve"> </w:t>
      </w:r>
      <w:r w:rsidR="008820BE" w:rsidRPr="00180A33">
        <w:rPr>
          <w:sz w:val="24"/>
        </w:rPr>
        <w:t>observed</w:t>
      </w:r>
      <w:r w:rsidRPr="00180A33">
        <w:rPr>
          <w:sz w:val="24"/>
        </w:rPr>
        <w:t>, and psychological well-being was high. Both teacher burnout and instructional adaptations showed significant relationships with psychological well-being. Regression analysis confirmed that these variables significantly influenced teacher well-being, with burnout being the stronger predictor. The results suggest that emotional resilience and adaptive teaching strategies are essential in sustaining the mental health of teachers in inclusive settings. Institutions are encouraged to implement mental health support and continuous training in inclusive pedagogy to promote well-being and professional effectiveness.</w:t>
      </w:r>
    </w:p>
    <w:p w14:paraId="1F603B26" w14:textId="77777777" w:rsidR="00BF6CB8" w:rsidRPr="00180A33" w:rsidRDefault="00BF6CB8" w:rsidP="00BF6CB8">
      <w:pPr>
        <w:spacing w:after="0" w:line="259" w:lineRule="auto"/>
        <w:ind w:left="0" w:right="0" w:firstLine="0"/>
        <w:jc w:val="left"/>
        <w:rPr>
          <w:sz w:val="24"/>
        </w:rPr>
      </w:pPr>
    </w:p>
    <w:p w14:paraId="5B7EA582" w14:textId="0F1B497D" w:rsidR="00ED34C1" w:rsidRPr="00180A33" w:rsidRDefault="001C3184" w:rsidP="00180A33">
      <w:pPr>
        <w:spacing w:after="6" w:line="259" w:lineRule="auto"/>
        <w:ind w:left="0" w:right="0" w:firstLine="0"/>
        <w:rPr>
          <w:sz w:val="24"/>
        </w:rPr>
      </w:pPr>
      <w:r w:rsidRPr="00180A33">
        <w:rPr>
          <w:i/>
          <w:sz w:val="24"/>
        </w:rPr>
        <w:t>Keywords:</w:t>
      </w:r>
      <w:r w:rsidR="001F3F13" w:rsidRPr="00180A33">
        <w:rPr>
          <w:i/>
          <w:sz w:val="24"/>
        </w:rPr>
        <w:t xml:space="preserve"> general education, inclusive classrooms,</w:t>
      </w:r>
      <w:r w:rsidRPr="00180A33">
        <w:rPr>
          <w:i/>
          <w:sz w:val="24"/>
        </w:rPr>
        <w:t xml:space="preserve"> </w:t>
      </w:r>
      <w:r w:rsidR="001F3F13" w:rsidRPr="00180A33">
        <w:rPr>
          <w:i/>
          <w:sz w:val="24"/>
        </w:rPr>
        <w:t xml:space="preserve">instructional adaptations, Philippines, </w:t>
      </w:r>
      <w:r w:rsidR="003368B1" w:rsidRPr="00180A33">
        <w:rPr>
          <w:i/>
          <w:sz w:val="24"/>
        </w:rPr>
        <w:t xml:space="preserve">psychological well-being, </w:t>
      </w:r>
      <w:r w:rsidR="001F3F13" w:rsidRPr="00180A33">
        <w:rPr>
          <w:i/>
          <w:sz w:val="24"/>
        </w:rPr>
        <w:t>teacher burnout</w:t>
      </w:r>
    </w:p>
    <w:p w14:paraId="24A054AE" w14:textId="77777777" w:rsidR="00ED34C1" w:rsidRPr="00180A33" w:rsidRDefault="001C3184">
      <w:pPr>
        <w:spacing w:after="254" w:line="259" w:lineRule="auto"/>
        <w:ind w:left="-30" w:right="-28" w:firstLine="0"/>
        <w:jc w:val="left"/>
        <w:rPr>
          <w:sz w:val="24"/>
        </w:rPr>
      </w:pPr>
      <w:r w:rsidRPr="00180A33">
        <w:rPr>
          <w:rFonts w:ascii="Calibri" w:eastAsia="Calibri" w:hAnsi="Calibri" w:cs="Calibri"/>
          <w:noProof/>
          <w:sz w:val="24"/>
        </w:rPr>
        <mc:AlternateContent>
          <mc:Choice Requires="wpg">
            <w:drawing>
              <wp:inline distT="0" distB="0" distL="0" distR="0" wp14:anchorId="7DF77C7E" wp14:editId="1A6FD94C">
                <wp:extent cx="5982716" cy="6350"/>
                <wp:effectExtent l="0" t="0" r="0" b="0"/>
                <wp:docPr id="13877" name="Group 13877"/>
                <wp:cNvGraphicFramePr/>
                <a:graphic xmlns:a="http://schemas.openxmlformats.org/drawingml/2006/main">
                  <a:graphicData uri="http://schemas.microsoft.com/office/word/2010/wordprocessingGroup">
                    <wpg:wgp>
                      <wpg:cNvGrpSpPr/>
                      <wpg:grpSpPr>
                        <a:xfrm>
                          <a:off x="0" y="0"/>
                          <a:ext cx="5982716" cy="6350"/>
                          <a:chOff x="0" y="0"/>
                          <a:chExt cx="5982716" cy="6350"/>
                        </a:xfrm>
                      </wpg:grpSpPr>
                      <wps:wsp>
                        <wps:cNvPr id="15021" name="Shape 15021"/>
                        <wps:cNvSpPr/>
                        <wps:spPr>
                          <a:xfrm>
                            <a:off x="0" y="0"/>
                            <a:ext cx="5982716" cy="9144"/>
                          </a:xfrm>
                          <a:custGeom>
                            <a:avLst/>
                            <a:gdLst/>
                            <a:ahLst/>
                            <a:cxnLst/>
                            <a:rect l="0" t="0" r="0" b="0"/>
                            <a:pathLst>
                              <a:path w="5982716" h="9144">
                                <a:moveTo>
                                  <a:pt x="0" y="0"/>
                                </a:moveTo>
                                <a:lnTo>
                                  <a:pt x="5982716" y="0"/>
                                </a:lnTo>
                                <a:lnTo>
                                  <a:pt x="5982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877" style="width:471.08pt;height:0.5pt;mso-position-horizontal-relative:char;mso-position-vertical-relative:line" coordsize="59827,63">
                <v:shape id="Shape 15022" style="position:absolute;width:59827;height:91;left:0;top:0;" coordsize="5982716,9144" path="m0,0l5982716,0l5982716,9144l0,9144l0,0">
                  <v:stroke weight="0pt" endcap="flat" joinstyle="miter" miterlimit="10" on="false" color="#000000" opacity="0"/>
                  <v:fill on="true" color="#000000"/>
                </v:shape>
              </v:group>
            </w:pict>
          </mc:Fallback>
        </mc:AlternateContent>
      </w:r>
    </w:p>
    <w:p w14:paraId="35DD52A1" w14:textId="2F4C30C2" w:rsidR="00ED34C1" w:rsidRPr="00180A33" w:rsidRDefault="001C3184" w:rsidP="00D62ADE">
      <w:pPr>
        <w:pStyle w:val="Heading1"/>
        <w:spacing w:after="220"/>
        <w:ind w:left="0" w:firstLine="0"/>
        <w:jc w:val="center"/>
        <w:rPr>
          <w:sz w:val="24"/>
        </w:rPr>
      </w:pPr>
      <w:r w:rsidRPr="00180A33">
        <w:rPr>
          <w:i w:val="0"/>
          <w:sz w:val="24"/>
        </w:rPr>
        <w:t>Introduction</w:t>
      </w:r>
    </w:p>
    <w:p w14:paraId="46E6E3EC" w14:textId="6B1BBE2A" w:rsidR="00AD79D7" w:rsidRPr="00180A33" w:rsidRDefault="00AD79D7" w:rsidP="00AD79D7">
      <w:pPr>
        <w:spacing w:after="0" w:line="259" w:lineRule="auto"/>
        <w:ind w:left="0" w:right="0" w:firstLine="720"/>
        <w:rPr>
          <w:sz w:val="24"/>
        </w:rPr>
      </w:pPr>
      <w:r w:rsidRPr="00180A33">
        <w:rPr>
          <w:sz w:val="24"/>
        </w:rPr>
        <w:t>The psychological well-being of general education teachers handling learners with disabilities in inclusive classrooms has emerged as a growing concern in the field of education</w:t>
      </w:r>
      <w:r w:rsidR="005E49FB" w:rsidRPr="00180A33">
        <w:rPr>
          <w:sz w:val="24"/>
        </w:rPr>
        <w:t xml:space="preserve"> (Gupta, 2020; Murphy et al., 2021; </w:t>
      </w:r>
      <w:proofErr w:type="spellStart"/>
      <w:r w:rsidR="005E49FB" w:rsidRPr="00180A33">
        <w:rPr>
          <w:sz w:val="24"/>
        </w:rPr>
        <w:t>Nuñez</w:t>
      </w:r>
      <w:proofErr w:type="spellEnd"/>
      <w:r w:rsidR="005E49FB" w:rsidRPr="00180A33">
        <w:rPr>
          <w:sz w:val="24"/>
        </w:rPr>
        <w:t xml:space="preserve"> &amp; </w:t>
      </w:r>
      <w:proofErr w:type="spellStart"/>
      <w:r w:rsidR="005E49FB" w:rsidRPr="00180A33">
        <w:rPr>
          <w:sz w:val="24"/>
        </w:rPr>
        <w:t>Tantiado</w:t>
      </w:r>
      <w:proofErr w:type="spellEnd"/>
      <w:r w:rsidR="005E49FB" w:rsidRPr="00180A33">
        <w:rPr>
          <w:sz w:val="24"/>
        </w:rPr>
        <w:t>, 2025)</w:t>
      </w:r>
      <w:r w:rsidRPr="00180A33">
        <w:rPr>
          <w:sz w:val="24"/>
        </w:rPr>
        <w:t>. As the implementation of inclusive education continues to expand globally, researchers have begun to highlight the mental health challenges faced by general education teachers who are expected to support students with diverse learning needs</w:t>
      </w:r>
      <w:r w:rsidR="00BB1E17" w:rsidRPr="00180A33">
        <w:rPr>
          <w:sz w:val="24"/>
        </w:rPr>
        <w:t xml:space="preserve"> (Zakaria</w:t>
      </w:r>
      <w:r w:rsidR="00C95CE6" w:rsidRPr="00180A33">
        <w:rPr>
          <w:sz w:val="24"/>
        </w:rPr>
        <w:t xml:space="preserve"> et al.</w:t>
      </w:r>
      <w:r w:rsidR="00BB1E17" w:rsidRPr="00180A33">
        <w:rPr>
          <w:sz w:val="24"/>
        </w:rPr>
        <w:t xml:space="preserve">, 2021; Salinas-Falquez et al., 2022; </w:t>
      </w:r>
      <w:proofErr w:type="spellStart"/>
      <w:r w:rsidR="00BB1E17" w:rsidRPr="00180A33">
        <w:rPr>
          <w:sz w:val="24"/>
        </w:rPr>
        <w:t>Khoboko</w:t>
      </w:r>
      <w:proofErr w:type="spellEnd"/>
      <w:r w:rsidR="00C95CE6" w:rsidRPr="00180A33">
        <w:rPr>
          <w:sz w:val="24"/>
        </w:rPr>
        <w:t xml:space="preserve"> et al.</w:t>
      </w:r>
      <w:r w:rsidR="00BB1E17" w:rsidRPr="00180A33">
        <w:rPr>
          <w:sz w:val="24"/>
        </w:rPr>
        <w:t>, 2024)</w:t>
      </w:r>
      <w:r w:rsidRPr="00180A33">
        <w:rPr>
          <w:sz w:val="24"/>
        </w:rPr>
        <w:t xml:space="preserve">. </w:t>
      </w:r>
      <w:r w:rsidR="009D08F0" w:rsidRPr="00180A33">
        <w:rPr>
          <w:sz w:val="24"/>
        </w:rPr>
        <w:t>Gainey (2020) emphasized that many teachers in inclusive classrooms report psychological strain.</w:t>
      </w:r>
    </w:p>
    <w:p w14:paraId="20EEA03A" w14:textId="77777777" w:rsidR="00AD79D7" w:rsidRPr="00180A33" w:rsidRDefault="00AD79D7" w:rsidP="00AD79D7">
      <w:pPr>
        <w:spacing w:after="0" w:line="259" w:lineRule="auto"/>
        <w:ind w:left="0" w:right="0" w:firstLine="720"/>
        <w:rPr>
          <w:sz w:val="24"/>
        </w:rPr>
      </w:pPr>
    </w:p>
    <w:p w14:paraId="22C2ACDA" w14:textId="4463794B" w:rsidR="00AD79D7" w:rsidRPr="00180A33" w:rsidRDefault="00AD79D7" w:rsidP="00AD79D7">
      <w:pPr>
        <w:spacing w:after="0" w:line="259" w:lineRule="auto"/>
        <w:ind w:left="0" w:right="0" w:firstLine="720"/>
        <w:rPr>
          <w:sz w:val="24"/>
        </w:rPr>
      </w:pPr>
      <w:r w:rsidRPr="00180A33">
        <w:rPr>
          <w:sz w:val="24"/>
        </w:rPr>
        <w:t xml:space="preserve">Globally, research has increasingly highlighted the psychological well-being challenges experienced by general education teachers in inclusive classrooms. A scoping review by Bidi et al. (2024) revealed that approximately 60% of teachers worldwide reported experiencing stress, with organizational factors such as workload and classroom management issues significantly impacting their psychological well-being. In </w:t>
      </w:r>
      <w:r w:rsidR="002A01F4" w:rsidRPr="00180A33">
        <w:rPr>
          <w:sz w:val="24"/>
        </w:rPr>
        <w:t xml:space="preserve">Africa, particularly in </w:t>
      </w:r>
      <w:r w:rsidRPr="00180A33">
        <w:rPr>
          <w:sz w:val="24"/>
        </w:rPr>
        <w:t xml:space="preserve">Samoa, </w:t>
      </w:r>
      <w:proofErr w:type="spellStart"/>
      <w:r w:rsidRPr="00180A33">
        <w:rPr>
          <w:sz w:val="24"/>
        </w:rPr>
        <w:t>Tufue</w:t>
      </w:r>
      <w:proofErr w:type="spellEnd"/>
      <w:r w:rsidRPr="00180A33">
        <w:rPr>
          <w:sz w:val="24"/>
        </w:rPr>
        <w:t xml:space="preserve"> (2024) reported that teachers working in inclusive education experienced negative mental health outcomes. Similarly, in Australia, Chung et al. (2023) noted that teachers reported ongoing challenges to their psychological well-being.</w:t>
      </w:r>
    </w:p>
    <w:p w14:paraId="6ECCFD8F" w14:textId="77777777" w:rsidR="003A0CBC" w:rsidRPr="00180A33" w:rsidRDefault="003A0CBC" w:rsidP="00AD79D7">
      <w:pPr>
        <w:spacing w:after="0" w:line="259" w:lineRule="auto"/>
        <w:ind w:left="0" w:right="0" w:firstLine="720"/>
        <w:rPr>
          <w:sz w:val="24"/>
        </w:rPr>
      </w:pPr>
    </w:p>
    <w:p w14:paraId="216DF20D" w14:textId="77777777" w:rsidR="00AD79D7" w:rsidRPr="00180A33" w:rsidRDefault="00AD79D7" w:rsidP="002A01F4">
      <w:pPr>
        <w:spacing w:after="0" w:line="259" w:lineRule="auto"/>
        <w:ind w:left="0" w:right="0" w:firstLine="720"/>
        <w:rPr>
          <w:sz w:val="24"/>
        </w:rPr>
      </w:pPr>
      <w:r w:rsidRPr="00180A33">
        <w:rPr>
          <w:sz w:val="24"/>
        </w:rPr>
        <w:t xml:space="preserve">In the Philippine context, the psychological well-being of general education teachers in inclusive classrooms has become an increasing concern. In the province of Rizal in Luzon, Fernandez-Bernabe and Fabella (2020) reported that teachers experienced moderate to high stress levels. In the Visayas, specifically in Cebu, </w:t>
      </w:r>
      <w:proofErr w:type="spellStart"/>
      <w:r w:rsidRPr="00180A33">
        <w:rPr>
          <w:sz w:val="24"/>
        </w:rPr>
        <w:t>Macapaz</w:t>
      </w:r>
      <w:proofErr w:type="spellEnd"/>
      <w:r w:rsidRPr="00180A33">
        <w:rPr>
          <w:sz w:val="24"/>
        </w:rPr>
        <w:t xml:space="preserve"> et al. (2024) found that teachers reported moderate to severe burnout. In Davao de Oro, Mindanao, Clarion and </w:t>
      </w:r>
      <w:proofErr w:type="spellStart"/>
      <w:r w:rsidRPr="00180A33">
        <w:rPr>
          <w:sz w:val="24"/>
        </w:rPr>
        <w:t>Palarisan</w:t>
      </w:r>
      <w:proofErr w:type="spellEnd"/>
      <w:r w:rsidRPr="00180A33">
        <w:rPr>
          <w:sz w:val="24"/>
        </w:rPr>
        <w:t xml:space="preserve"> (2023) noted signs of psychological strain among teachers. These findings reflect a nationwide pattern of psychological well-being challenges faced by teachers in inclusive settings.</w:t>
      </w:r>
    </w:p>
    <w:p w14:paraId="2C5F1C6F" w14:textId="77777777" w:rsidR="003A0CBC" w:rsidRPr="00180A33" w:rsidRDefault="003A0CBC" w:rsidP="002A01F4">
      <w:pPr>
        <w:spacing w:after="0" w:line="259" w:lineRule="auto"/>
        <w:ind w:left="0" w:right="0" w:firstLine="720"/>
        <w:rPr>
          <w:sz w:val="24"/>
        </w:rPr>
      </w:pPr>
    </w:p>
    <w:p w14:paraId="3F28C3AD" w14:textId="0745C4B0" w:rsidR="00ED34C1" w:rsidRPr="00180A33" w:rsidRDefault="00AD79D7" w:rsidP="002A01F4">
      <w:pPr>
        <w:spacing w:after="0" w:line="259" w:lineRule="auto"/>
        <w:ind w:left="0" w:right="0" w:firstLine="705"/>
        <w:rPr>
          <w:sz w:val="24"/>
        </w:rPr>
      </w:pPr>
      <w:r w:rsidRPr="00180A33">
        <w:rPr>
          <w:sz w:val="24"/>
        </w:rPr>
        <w:t xml:space="preserve">The psychological well-being of general education teachers, especially those handling learners with disabilities in inclusive classrooms, is a growing concern with significant implications for both teachers and students. Teachers experiencing stress and burnout are more likely to disengage, which can negatively affect student outcomes (Antoniou et al., 2024). While much research focuses on teachers' well-being, there is a limited focus on general education teachers in inclusive settings, particularly in Mindanao, Philippines. This gap, especially in Davao del Norte, highlights the urgency of this study, which is crucial for informing local policymakers and promoting a healthy teaching environment. Thus, this study </w:t>
      </w:r>
      <w:r w:rsidR="001514C9" w:rsidRPr="00180A33">
        <w:rPr>
          <w:sz w:val="24"/>
        </w:rPr>
        <w:t>was</w:t>
      </w:r>
      <w:r w:rsidRPr="00180A33">
        <w:rPr>
          <w:sz w:val="24"/>
        </w:rPr>
        <w:t xml:space="preserve"> undertaken.  </w:t>
      </w:r>
    </w:p>
    <w:p w14:paraId="2E751A95" w14:textId="3730FBC0" w:rsidR="00ED34C1" w:rsidRPr="00180A33" w:rsidRDefault="00ED34C1">
      <w:pPr>
        <w:spacing w:after="0" w:line="259" w:lineRule="auto"/>
        <w:ind w:left="0" w:right="0" w:firstLine="0"/>
        <w:jc w:val="left"/>
        <w:rPr>
          <w:sz w:val="24"/>
        </w:rPr>
      </w:pPr>
    </w:p>
    <w:p w14:paraId="6D3C45EF" w14:textId="2C8C9872" w:rsidR="003A4F3C" w:rsidRPr="00180A33" w:rsidRDefault="00843CED" w:rsidP="003A4F3C">
      <w:pPr>
        <w:spacing w:after="0" w:line="259" w:lineRule="auto"/>
        <w:ind w:left="0" w:right="0" w:firstLine="720"/>
        <w:rPr>
          <w:sz w:val="24"/>
        </w:rPr>
      </w:pPr>
      <w:r w:rsidRPr="00180A33">
        <w:rPr>
          <w:sz w:val="24"/>
        </w:rPr>
        <w:t>The purpose of this study is to determine the influence of teacher burnout and instructional adaptations to the psychological well-being of general education teachers handling</w:t>
      </w:r>
      <w:r w:rsidR="00B73EA6" w:rsidRPr="00180A33">
        <w:rPr>
          <w:sz w:val="24"/>
        </w:rPr>
        <w:t xml:space="preserve"> learners with disabilities</w:t>
      </w:r>
      <w:r w:rsidRPr="00180A33">
        <w:rPr>
          <w:sz w:val="24"/>
        </w:rPr>
        <w:t xml:space="preserve"> in inclusive classrooms for school year 2024-2025. </w:t>
      </w:r>
      <w:r w:rsidR="003A4F3C" w:rsidRPr="00180A33">
        <w:rPr>
          <w:sz w:val="24"/>
        </w:rPr>
        <w:t>The following hypotheses were tested at the 0.05 level of significance: (Ho</w:t>
      </w:r>
      <w:r w:rsidR="003A4F3C" w:rsidRPr="00180A33">
        <w:rPr>
          <w:sz w:val="24"/>
          <w:vertAlign w:val="subscript"/>
        </w:rPr>
        <w:t>1</w:t>
      </w:r>
      <w:r w:rsidR="003A4F3C" w:rsidRPr="00180A33">
        <w:rPr>
          <w:sz w:val="24"/>
        </w:rPr>
        <w:t>) There is no significant relationship between teacher burnout and instructional adaptations, and the psychological well-being of general education teachers handling learners with disabilities in inclusive classrooms; and (Ho</w:t>
      </w:r>
      <w:r w:rsidR="003A4F3C" w:rsidRPr="00180A33">
        <w:rPr>
          <w:sz w:val="24"/>
          <w:vertAlign w:val="subscript"/>
        </w:rPr>
        <w:t>2</w:t>
      </w:r>
      <w:r w:rsidR="003A4F3C" w:rsidRPr="00180A33">
        <w:rPr>
          <w:sz w:val="24"/>
        </w:rPr>
        <w:t>) There is no significant influence of teacher burnout and instructional adaptations on their psychological well-being.</w:t>
      </w:r>
    </w:p>
    <w:p w14:paraId="3C53D7B0" w14:textId="77777777" w:rsidR="003A4F3C" w:rsidRPr="00180A33" w:rsidRDefault="003A4F3C" w:rsidP="003A4F3C">
      <w:pPr>
        <w:spacing w:after="0" w:line="259" w:lineRule="auto"/>
        <w:ind w:left="0" w:right="0" w:firstLine="0"/>
        <w:jc w:val="left"/>
        <w:rPr>
          <w:sz w:val="24"/>
        </w:rPr>
      </w:pPr>
    </w:p>
    <w:p w14:paraId="6B99D3AC" w14:textId="4355B03F" w:rsidR="000479EE" w:rsidRPr="00180A33" w:rsidRDefault="000479EE" w:rsidP="000479EE">
      <w:pPr>
        <w:spacing w:after="0" w:line="259" w:lineRule="auto"/>
        <w:ind w:left="0" w:right="0" w:firstLine="720"/>
        <w:rPr>
          <w:sz w:val="24"/>
        </w:rPr>
      </w:pPr>
      <w:r w:rsidRPr="00180A33">
        <w:rPr>
          <w:sz w:val="24"/>
        </w:rPr>
        <w:t xml:space="preserve">This study is anchored on Ryff Scales of Psychological Well-Being (PWB) Theory by Carol Ryff (1989). Ryff’s PWB Theory suggests that psychological well-being is achieved through the development of six core dimensions: autonomy (living in accordance to own convictions), environmental mastery (management of life situations), personal growth (the use of talents and potentials), positive relations with others (quality relationships with others), purpose in life (meaning, purpose, and directions), and self-acceptance (acceptance and awareness of limitations). </w:t>
      </w:r>
      <w:r w:rsidR="009F4DDB" w:rsidRPr="00180A33">
        <w:rPr>
          <w:sz w:val="24"/>
        </w:rPr>
        <w:lastRenderedPageBreak/>
        <w:t>These dimensions collectively represent a holistic view of mental wellness and personal fulfillment, especially relevant in the emotionally demanding profession of teaching.</w:t>
      </w:r>
    </w:p>
    <w:p w14:paraId="105BF6E3" w14:textId="77777777" w:rsidR="006020FD" w:rsidRPr="00180A33" w:rsidRDefault="006020FD" w:rsidP="000479EE">
      <w:pPr>
        <w:spacing w:after="0" w:line="259" w:lineRule="auto"/>
        <w:ind w:left="0" w:right="0" w:firstLine="720"/>
        <w:rPr>
          <w:sz w:val="24"/>
        </w:rPr>
      </w:pPr>
    </w:p>
    <w:p w14:paraId="04A45F5D" w14:textId="13185BD8" w:rsidR="00A13969" w:rsidRPr="00180A33" w:rsidRDefault="000479EE" w:rsidP="001C03D6">
      <w:pPr>
        <w:spacing w:line="259" w:lineRule="auto"/>
        <w:ind w:left="0" w:right="0" w:firstLine="720"/>
        <w:rPr>
          <w:sz w:val="24"/>
        </w:rPr>
      </w:pPr>
      <w:r w:rsidRPr="00180A33">
        <w:rPr>
          <w:sz w:val="24"/>
        </w:rPr>
        <w:t>In the context of this study, teacher burnout</w:t>
      </w:r>
      <w:r w:rsidR="00FA4D07" w:rsidRPr="00180A33">
        <w:rPr>
          <w:sz w:val="24"/>
        </w:rPr>
        <w:t xml:space="preserve">, </w:t>
      </w:r>
      <w:r w:rsidRPr="00180A33">
        <w:rPr>
          <w:sz w:val="24"/>
        </w:rPr>
        <w:t>comprising emotional exhaustion, depersonalization, and personal achievement</w:t>
      </w:r>
      <w:r w:rsidR="00593B7B" w:rsidRPr="00180A33">
        <w:rPr>
          <w:sz w:val="24"/>
        </w:rPr>
        <w:t xml:space="preserve"> (</w:t>
      </w:r>
      <w:proofErr w:type="spellStart"/>
      <w:r w:rsidR="00593B7B" w:rsidRPr="00180A33">
        <w:rPr>
          <w:sz w:val="24"/>
        </w:rPr>
        <w:t>Macapaz</w:t>
      </w:r>
      <w:proofErr w:type="spellEnd"/>
      <w:r w:rsidR="00593B7B" w:rsidRPr="00180A33">
        <w:rPr>
          <w:sz w:val="24"/>
        </w:rPr>
        <w:t xml:space="preserve"> et al. 2024)</w:t>
      </w:r>
      <w:r w:rsidR="00FA4D07" w:rsidRPr="00180A33">
        <w:rPr>
          <w:sz w:val="24"/>
        </w:rPr>
        <w:t xml:space="preserve">, </w:t>
      </w:r>
      <w:r w:rsidRPr="00180A33">
        <w:rPr>
          <w:sz w:val="24"/>
        </w:rPr>
        <w:t xml:space="preserve">undermines multiple dimensions of Ryff’s Psychological Well-Being (PWB) Theory. Emotional exhaustion and depersonalization weaken positive relations and self-acceptance, as burnout fosters emotional detachment and diminished self-worth (Kumari &amp; Prajapati, 2024). In contrast, a strong sense of personal </w:t>
      </w:r>
      <w:r w:rsidR="0052186A" w:rsidRPr="00180A33">
        <w:rPr>
          <w:sz w:val="24"/>
        </w:rPr>
        <w:t>achievement</w:t>
      </w:r>
      <w:r w:rsidRPr="00180A33">
        <w:rPr>
          <w:sz w:val="24"/>
        </w:rPr>
        <w:t xml:space="preserve"> enhances personal growth and purpose in life, promoting professional fulfillment and a clear sense of direction (Freire et al., 2020). Meanwhile, instructional adaptations</w:t>
      </w:r>
      <w:r w:rsidR="00FA4D07" w:rsidRPr="00180A33">
        <w:rPr>
          <w:sz w:val="24"/>
        </w:rPr>
        <w:t xml:space="preserve">, </w:t>
      </w:r>
      <w:r w:rsidRPr="00180A33">
        <w:rPr>
          <w:sz w:val="24"/>
        </w:rPr>
        <w:t>such as classroom management, grouping strategies, activity adjustment, and formative assessment</w:t>
      </w:r>
      <w:r w:rsidR="00593B7B" w:rsidRPr="00180A33">
        <w:rPr>
          <w:sz w:val="24"/>
        </w:rPr>
        <w:t xml:space="preserve"> (</w:t>
      </w:r>
      <w:proofErr w:type="spellStart"/>
      <w:r w:rsidR="00593B7B" w:rsidRPr="00180A33">
        <w:rPr>
          <w:sz w:val="24"/>
        </w:rPr>
        <w:t>Vlachou</w:t>
      </w:r>
      <w:proofErr w:type="spellEnd"/>
      <w:r w:rsidR="00593B7B" w:rsidRPr="00180A33">
        <w:rPr>
          <w:sz w:val="24"/>
        </w:rPr>
        <w:t xml:space="preserve"> et al., 2009)</w:t>
      </w:r>
      <w:r w:rsidR="00FA4D07" w:rsidRPr="00180A33">
        <w:rPr>
          <w:sz w:val="24"/>
        </w:rPr>
        <w:t xml:space="preserve">, </w:t>
      </w:r>
      <w:r w:rsidRPr="00180A33">
        <w:rPr>
          <w:sz w:val="24"/>
        </w:rPr>
        <w:t xml:space="preserve">support environmental mastery by enabling teachers to effectively respond to diverse </w:t>
      </w:r>
      <w:r w:rsidR="00254AAE" w:rsidRPr="00180A33">
        <w:rPr>
          <w:sz w:val="24"/>
        </w:rPr>
        <w:t>student</w:t>
      </w:r>
      <w:r w:rsidRPr="00180A33">
        <w:rPr>
          <w:sz w:val="24"/>
        </w:rPr>
        <w:t xml:space="preserve"> needs (</w:t>
      </w:r>
      <w:proofErr w:type="spellStart"/>
      <w:r w:rsidRPr="00180A33">
        <w:rPr>
          <w:sz w:val="24"/>
        </w:rPr>
        <w:t>Bentea</w:t>
      </w:r>
      <w:proofErr w:type="spellEnd"/>
      <w:r w:rsidRPr="00180A33">
        <w:rPr>
          <w:sz w:val="24"/>
        </w:rPr>
        <w:t>, 2017). These adaptive practices also reflect autonomy, as they often arise from the teacher’s independent decision-making</w:t>
      </w:r>
      <w:r w:rsidR="00DA1534" w:rsidRPr="00180A33">
        <w:rPr>
          <w:sz w:val="24"/>
        </w:rPr>
        <w:t xml:space="preserve"> (Sharma &amp; Sokal, 2015). </w:t>
      </w:r>
      <w:r w:rsidRPr="00180A33">
        <w:rPr>
          <w:sz w:val="24"/>
        </w:rPr>
        <w:t xml:space="preserve">Together, these dimensions contribute to a holistic view of teacher well-being through the lens of Ryff’s PWB Theory. The conceptual framework of the study is shown in Figure 1. </w:t>
      </w:r>
    </w:p>
    <w:p w14:paraId="1476AAF3" w14:textId="6C53F829" w:rsidR="00ED34C1" w:rsidRPr="00180A33" w:rsidRDefault="001C03D6" w:rsidP="001C03D6">
      <w:pPr>
        <w:spacing w:before="240" w:after="97" w:line="259" w:lineRule="auto"/>
        <w:ind w:left="-60" w:right="0" w:firstLine="0"/>
        <w:jc w:val="center"/>
        <w:rPr>
          <w:sz w:val="24"/>
        </w:rPr>
      </w:pPr>
      <w:r w:rsidRPr="00180A33">
        <w:rPr>
          <w:noProof/>
          <w:sz w:val="24"/>
        </w:rPr>
        <w:drawing>
          <wp:inline distT="0" distB="0" distL="0" distR="0" wp14:anchorId="6C6426FE" wp14:editId="487FD7C5">
            <wp:extent cx="5945505" cy="3722370"/>
            <wp:effectExtent l="0" t="0" r="0" b="0"/>
            <wp:docPr id="1721381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81010" name=""/>
                    <pic:cNvPicPr/>
                  </pic:nvPicPr>
                  <pic:blipFill>
                    <a:blip r:embed="rId7"/>
                    <a:stretch>
                      <a:fillRect/>
                    </a:stretch>
                  </pic:blipFill>
                  <pic:spPr>
                    <a:xfrm>
                      <a:off x="0" y="0"/>
                      <a:ext cx="5945505" cy="3722370"/>
                    </a:xfrm>
                    <a:prstGeom prst="rect">
                      <a:avLst/>
                    </a:prstGeom>
                  </pic:spPr>
                </pic:pic>
              </a:graphicData>
            </a:graphic>
          </wp:inline>
        </w:drawing>
      </w:r>
    </w:p>
    <w:p w14:paraId="71AB9842" w14:textId="38FE8FDD" w:rsidR="00A13969" w:rsidRPr="00180A33" w:rsidRDefault="001C3184" w:rsidP="005B3E1A">
      <w:pPr>
        <w:spacing w:after="0" w:line="259" w:lineRule="auto"/>
        <w:ind w:left="0" w:right="0" w:firstLine="0"/>
        <w:jc w:val="center"/>
        <w:rPr>
          <w:i/>
          <w:sz w:val="24"/>
        </w:rPr>
      </w:pPr>
      <w:r w:rsidRPr="00180A33">
        <w:rPr>
          <w:i/>
          <w:sz w:val="24"/>
        </w:rPr>
        <w:t xml:space="preserve">Figure 1 </w:t>
      </w:r>
      <w:r w:rsidR="00A13969" w:rsidRPr="00180A33">
        <w:rPr>
          <w:i/>
          <w:sz w:val="24"/>
        </w:rPr>
        <w:t>The Conceptual Framework of the Study</w:t>
      </w:r>
    </w:p>
    <w:p w14:paraId="01B2360B" w14:textId="1A455A72" w:rsidR="00ED34C1" w:rsidRPr="00180A33" w:rsidRDefault="001C3184" w:rsidP="00A13969">
      <w:pPr>
        <w:ind w:left="-5" w:right="0"/>
        <w:rPr>
          <w:sz w:val="24"/>
        </w:rPr>
      </w:pPr>
      <w:r w:rsidRPr="00180A33">
        <w:rPr>
          <w:rFonts w:ascii="Arial" w:eastAsia="Arial" w:hAnsi="Arial" w:cs="Arial"/>
          <w:sz w:val="24"/>
        </w:rPr>
        <w:t xml:space="preserve"> </w:t>
      </w:r>
    </w:p>
    <w:p w14:paraId="2CD00470" w14:textId="28C109E2" w:rsidR="00ED34C1" w:rsidRPr="00180A33" w:rsidRDefault="001C3184" w:rsidP="00D62ADE">
      <w:pPr>
        <w:pStyle w:val="Heading2"/>
        <w:ind w:left="-5"/>
        <w:jc w:val="center"/>
        <w:rPr>
          <w:sz w:val="24"/>
        </w:rPr>
      </w:pPr>
      <w:r w:rsidRPr="00180A33">
        <w:rPr>
          <w:sz w:val="24"/>
        </w:rPr>
        <w:t>Method</w:t>
      </w:r>
      <w:r w:rsidR="005313BE" w:rsidRPr="00180A33">
        <w:rPr>
          <w:sz w:val="24"/>
        </w:rPr>
        <w:t>s</w:t>
      </w:r>
    </w:p>
    <w:p w14:paraId="13B45378" w14:textId="3EACFDBE" w:rsidR="00391B73" w:rsidRPr="00180A33" w:rsidRDefault="00391B73">
      <w:pPr>
        <w:spacing w:after="111"/>
        <w:ind w:left="-15" w:right="0" w:firstLine="720"/>
        <w:rPr>
          <w:sz w:val="24"/>
        </w:rPr>
      </w:pPr>
      <w:r w:rsidRPr="00180A33">
        <w:rPr>
          <w:sz w:val="24"/>
        </w:rPr>
        <w:t xml:space="preserve">This study adopted a non-experimental quantitative research design, specifically employing a descriptive-correlational approach to examine the relationships between teacher </w:t>
      </w:r>
      <w:r w:rsidRPr="00180A33">
        <w:rPr>
          <w:sz w:val="24"/>
        </w:rPr>
        <w:lastRenderedPageBreak/>
        <w:t>burnout, instructional adaptations, and psychological well-being. This design is suitable for identifying patterns and associations among variables without establishing causality, allowing for the exploration of how burnout and instructional strategies influence well-being (</w:t>
      </w:r>
      <w:proofErr w:type="spellStart"/>
      <w:r w:rsidRPr="00180A33">
        <w:rPr>
          <w:sz w:val="24"/>
        </w:rPr>
        <w:t>Clarete</w:t>
      </w:r>
      <w:proofErr w:type="spellEnd"/>
      <w:r w:rsidRPr="00180A33">
        <w:rPr>
          <w:sz w:val="24"/>
        </w:rPr>
        <w:t xml:space="preserve"> et al., 2023; Lim, 2024). The descriptive aspect highlighted general trends and levels of the variables, while the correlational component determined the strength and direction of their relationships. To deepen the analysis, multiple regression was used to assess the individual and combined predictive power of the independent variables on psychological well-being, offering insights into their unique and collective contributions within inclusive education settings (</w:t>
      </w:r>
      <w:proofErr w:type="spellStart"/>
      <w:r w:rsidRPr="00180A33">
        <w:rPr>
          <w:sz w:val="24"/>
        </w:rPr>
        <w:t>Bangoy</w:t>
      </w:r>
      <w:proofErr w:type="spellEnd"/>
      <w:r w:rsidRPr="00180A33">
        <w:rPr>
          <w:sz w:val="24"/>
        </w:rPr>
        <w:t xml:space="preserve"> &amp; Tan, 2024).</w:t>
      </w:r>
    </w:p>
    <w:p w14:paraId="60005F3F" w14:textId="3C316DE1" w:rsidR="00391B73" w:rsidRPr="00180A33" w:rsidRDefault="00391B73" w:rsidP="00B62B16">
      <w:pPr>
        <w:spacing w:before="240" w:after="111"/>
        <w:ind w:left="-15" w:right="0" w:firstLine="720"/>
        <w:rPr>
          <w:sz w:val="24"/>
        </w:rPr>
      </w:pPr>
      <w:r w:rsidRPr="00180A33">
        <w:rPr>
          <w:sz w:val="24"/>
        </w:rPr>
        <w:t>This study was conducted among</w:t>
      </w:r>
      <w:r w:rsidR="00AC2537" w:rsidRPr="00180A33">
        <w:rPr>
          <w:sz w:val="24"/>
        </w:rPr>
        <w:t xml:space="preserve"> 142</w:t>
      </w:r>
      <w:r w:rsidRPr="00180A33">
        <w:rPr>
          <w:sz w:val="24"/>
        </w:rPr>
        <w:t xml:space="preserve"> general secondary education teachers or receiving teachers handling </w:t>
      </w:r>
      <w:r w:rsidR="00B73EA6" w:rsidRPr="00180A33">
        <w:rPr>
          <w:sz w:val="24"/>
        </w:rPr>
        <w:t>learners with disabilities</w:t>
      </w:r>
      <w:r w:rsidRPr="00180A33">
        <w:rPr>
          <w:sz w:val="24"/>
        </w:rPr>
        <w:t xml:space="preserve"> in inclusive classrooms in </w:t>
      </w:r>
      <w:proofErr w:type="spellStart"/>
      <w:r w:rsidRPr="00180A33">
        <w:rPr>
          <w:sz w:val="24"/>
        </w:rPr>
        <w:t>Kapalong</w:t>
      </w:r>
      <w:proofErr w:type="spellEnd"/>
      <w:r w:rsidRPr="00180A33">
        <w:rPr>
          <w:sz w:val="24"/>
        </w:rPr>
        <w:t xml:space="preserve"> National High School (KNHS), Division of Davao del Norte, which is known for being an inclusive and supportive environment for students with special needs. The </w:t>
      </w:r>
      <w:r w:rsidR="00AC2537" w:rsidRPr="00180A33">
        <w:rPr>
          <w:sz w:val="24"/>
        </w:rPr>
        <w:t>r</w:t>
      </w:r>
      <w:r w:rsidRPr="00180A33">
        <w:rPr>
          <w:sz w:val="24"/>
        </w:rPr>
        <w:t>espondents</w:t>
      </w:r>
      <w:r w:rsidR="00AC2537" w:rsidRPr="00180A33">
        <w:rPr>
          <w:sz w:val="24"/>
        </w:rPr>
        <w:t xml:space="preserve"> </w:t>
      </w:r>
      <w:r w:rsidRPr="00180A33">
        <w:rPr>
          <w:sz w:val="24"/>
        </w:rPr>
        <w:t>were selected through total enumeration sampling</w:t>
      </w:r>
      <w:r w:rsidR="00AC2537" w:rsidRPr="00180A33">
        <w:rPr>
          <w:sz w:val="24"/>
        </w:rPr>
        <w:t>, in which a</w:t>
      </w:r>
      <w:r w:rsidRPr="00180A33">
        <w:rPr>
          <w:sz w:val="24"/>
        </w:rPr>
        <w:t xml:space="preserve">ccording to Creswell and Creswell (2017), when the target population is accessible and relatively small, total population sampling can provide a more complete understanding of the research variables and their relationships. In this approach, all qualified individuals within the identified population are included as respondents, eliminating the need for sampling since the entire population is studied. </w:t>
      </w:r>
    </w:p>
    <w:p w14:paraId="5509B367" w14:textId="16FBFD57" w:rsidR="00BF355B" w:rsidRPr="00180A33" w:rsidRDefault="00BF355B" w:rsidP="00391B73">
      <w:pPr>
        <w:spacing w:after="111"/>
        <w:ind w:left="-15" w:right="0" w:firstLine="720"/>
        <w:rPr>
          <w:sz w:val="24"/>
        </w:rPr>
      </w:pPr>
      <w:r w:rsidRPr="00180A33">
        <w:rPr>
          <w:sz w:val="24"/>
        </w:rPr>
        <w:t xml:space="preserve">The research instrument consisted of 64 items divided into three parts: 22 items for teacher burnout, 24 items for instructional adaptations, and 18 items for psychological well-being. </w:t>
      </w:r>
      <w:r w:rsidR="005A4E28" w:rsidRPr="00180A33">
        <w:rPr>
          <w:sz w:val="24"/>
        </w:rPr>
        <w:t xml:space="preserve">The teacher burnout scale was adapted from </w:t>
      </w:r>
      <w:proofErr w:type="spellStart"/>
      <w:r w:rsidR="005A4E28" w:rsidRPr="00180A33">
        <w:rPr>
          <w:sz w:val="24"/>
        </w:rPr>
        <w:t>Macapaz</w:t>
      </w:r>
      <w:proofErr w:type="spellEnd"/>
      <w:r w:rsidR="005A4E28" w:rsidRPr="00180A33">
        <w:rPr>
          <w:sz w:val="24"/>
        </w:rPr>
        <w:t xml:space="preserve"> et al. (2024), the instructional adaptations scale was adapted from</w:t>
      </w:r>
      <w:r w:rsidR="005A4E28" w:rsidRPr="00180A33">
        <w:rPr>
          <w:sz w:val="22"/>
          <w:szCs w:val="22"/>
        </w:rPr>
        <w:t xml:space="preserve"> </w:t>
      </w:r>
      <w:proofErr w:type="spellStart"/>
      <w:r w:rsidR="005A4E28" w:rsidRPr="00180A33">
        <w:rPr>
          <w:sz w:val="24"/>
          <w:lang w:eastAsia="en-US"/>
        </w:rPr>
        <w:t>Vlachou</w:t>
      </w:r>
      <w:proofErr w:type="spellEnd"/>
      <w:r w:rsidR="005A4E28" w:rsidRPr="00180A33">
        <w:rPr>
          <w:sz w:val="24"/>
          <w:lang w:eastAsia="en-US"/>
        </w:rPr>
        <w:t xml:space="preserve"> et al. (2009),</w:t>
      </w:r>
      <w:r w:rsidR="005A4E28" w:rsidRPr="00180A33">
        <w:rPr>
          <w:sz w:val="22"/>
          <w:szCs w:val="22"/>
        </w:rPr>
        <w:t xml:space="preserve"> </w:t>
      </w:r>
      <w:r w:rsidR="005A4E28" w:rsidRPr="00180A33">
        <w:rPr>
          <w:sz w:val="24"/>
        </w:rPr>
        <w:t xml:space="preserve">and </w:t>
      </w:r>
      <w:r w:rsidR="00993F5C" w:rsidRPr="00180A33">
        <w:rPr>
          <w:sz w:val="24"/>
        </w:rPr>
        <w:t xml:space="preserve">the </w:t>
      </w:r>
      <w:r w:rsidR="005A4E28" w:rsidRPr="00180A33">
        <w:rPr>
          <w:sz w:val="24"/>
        </w:rPr>
        <w:t xml:space="preserve">psychological well-being scale was adapted from </w:t>
      </w:r>
      <w:proofErr w:type="spellStart"/>
      <w:r w:rsidR="005A4E28" w:rsidRPr="00180A33">
        <w:rPr>
          <w:sz w:val="24"/>
        </w:rPr>
        <w:t>Violagoa</w:t>
      </w:r>
      <w:proofErr w:type="spellEnd"/>
      <w:r w:rsidR="005A4E28" w:rsidRPr="00180A33">
        <w:rPr>
          <w:sz w:val="24"/>
        </w:rPr>
        <w:t xml:space="preserve"> and Fabella </w:t>
      </w:r>
      <w:r w:rsidR="00993F5C" w:rsidRPr="00180A33">
        <w:rPr>
          <w:sz w:val="24"/>
        </w:rPr>
        <w:t>(</w:t>
      </w:r>
      <w:r w:rsidR="005A4E28" w:rsidRPr="00180A33">
        <w:rPr>
          <w:sz w:val="24"/>
        </w:rPr>
        <w:t>2023</w:t>
      </w:r>
      <w:r w:rsidR="00993F5C" w:rsidRPr="00180A33">
        <w:rPr>
          <w:sz w:val="24"/>
        </w:rPr>
        <w:t>)</w:t>
      </w:r>
      <w:r w:rsidR="005A4E28" w:rsidRPr="00180A33">
        <w:rPr>
          <w:sz w:val="24"/>
        </w:rPr>
        <w:t xml:space="preserve">. </w:t>
      </w:r>
      <w:r w:rsidR="00AB0E87" w:rsidRPr="00180A33">
        <w:rPr>
          <w:sz w:val="24"/>
        </w:rPr>
        <w:t xml:space="preserve">These instruments have previously demonstrated strong construct validity through empirical methods, including factor analysis and internal consistency testing. Although no new factor analysis was conducted in this study, the use of these established instruments, each previously validated through factor loading and psychometric evaluation, supports the construct validity of the overall tool. Additionally, expert validation was conducted to ensure content relevance and alignment to the study’s objectives. </w:t>
      </w:r>
      <w:r w:rsidRPr="00180A33">
        <w:rPr>
          <w:sz w:val="24"/>
        </w:rPr>
        <w:t xml:space="preserve">A pilot test was </w:t>
      </w:r>
      <w:r w:rsidR="00AB0E87" w:rsidRPr="00180A33">
        <w:rPr>
          <w:sz w:val="24"/>
        </w:rPr>
        <w:t>also carried out</w:t>
      </w:r>
      <w:r w:rsidRPr="00180A33">
        <w:rPr>
          <w:sz w:val="24"/>
        </w:rPr>
        <w:t xml:space="preserve"> with 30 general education teachers not included in the main study to assess its reliability. Using Cronbach’s alpha, the results showed acceptable reliability for teacher burnout (α = 0.771), good internal consistency for instructional adaptations (α = 0.791), and very good reliability for psychological well-being (α = 0.822). The overall Cronbach’s alpha of 0.830 confirmed that the instrument had high internal consistency and was a reliable tool for measuring the variables in inclusive classroom settings.</w:t>
      </w:r>
      <w:r w:rsidR="00DF6BFA" w:rsidRPr="00180A33">
        <w:rPr>
          <w:sz w:val="24"/>
        </w:rPr>
        <w:t xml:space="preserve"> Future replications of the study may expand on construct validation through exploratory or confirmatory factor analysis.</w:t>
      </w:r>
    </w:p>
    <w:p w14:paraId="2F698F51" w14:textId="3850D546" w:rsidR="004A551A" w:rsidRPr="00180A33" w:rsidRDefault="004A551A" w:rsidP="00391B73">
      <w:pPr>
        <w:spacing w:after="111"/>
        <w:ind w:left="-15" w:right="0" w:firstLine="720"/>
        <w:rPr>
          <w:sz w:val="24"/>
        </w:rPr>
      </w:pPr>
      <w:r w:rsidRPr="00180A33">
        <w:rPr>
          <w:sz w:val="24"/>
        </w:rPr>
        <w:t xml:space="preserve">To gather data for the study, the researchers secured approval from the school head of </w:t>
      </w:r>
      <w:proofErr w:type="spellStart"/>
      <w:r w:rsidRPr="00180A33">
        <w:rPr>
          <w:sz w:val="24"/>
        </w:rPr>
        <w:t>Kapalong</w:t>
      </w:r>
      <w:proofErr w:type="spellEnd"/>
      <w:r w:rsidRPr="00180A33">
        <w:rPr>
          <w:sz w:val="24"/>
        </w:rPr>
        <w:t xml:space="preserve"> National High School and obtained informed consent from the participating general education teachers handling </w:t>
      </w:r>
      <w:r w:rsidR="00B73EA6" w:rsidRPr="00180A33">
        <w:rPr>
          <w:sz w:val="24"/>
        </w:rPr>
        <w:t>learners with disabilities</w:t>
      </w:r>
      <w:r w:rsidRPr="00180A33">
        <w:rPr>
          <w:sz w:val="24"/>
        </w:rPr>
        <w:t xml:space="preserve"> in inclusive classrooms. Surveys were administered online via Google Forms, with clear instructions and researcher availability for clarification. With the endorsement of the school head, teachers were encouraged to respond honestly. Collected data were securely retrieved, tabulated, and analyzed using the Statistical Package for the Social Sciences (SPSS).</w:t>
      </w:r>
    </w:p>
    <w:p w14:paraId="09BE7E88" w14:textId="77777777" w:rsidR="00A072D3" w:rsidRPr="00180A33" w:rsidRDefault="00A072D3" w:rsidP="007E5139">
      <w:pPr>
        <w:ind w:firstLine="695"/>
        <w:rPr>
          <w:sz w:val="24"/>
        </w:rPr>
      </w:pPr>
      <w:r w:rsidRPr="00180A33">
        <w:rPr>
          <w:sz w:val="24"/>
        </w:rPr>
        <w:lastRenderedPageBreak/>
        <w:t>Several statistical tools were applied to interpret the data. Mean and standard deviation were used to determine the levels and variability of teacher burnout, instructional adaptations, and psychological well-being. Pearson correlation was employed to examine the relationships among these variables, while multiple regression analysis identified which factors significantly influenced psychological well-being.</w:t>
      </w:r>
    </w:p>
    <w:p w14:paraId="5E17E94E" w14:textId="2C87B1F3" w:rsidR="00ED34C1" w:rsidRPr="00180A33" w:rsidRDefault="005313BE" w:rsidP="00D62ADE">
      <w:pPr>
        <w:pStyle w:val="Heading2"/>
        <w:spacing w:before="240"/>
        <w:ind w:left="-5"/>
        <w:jc w:val="center"/>
        <w:rPr>
          <w:sz w:val="24"/>
        </w:rPr>
      </w:pPr>
      <w:r w:rsidRPr="00180A33">
        <w:rPr>
          <w:sz w:val="24"/>
        </w:rPr>
        <w:t>Result</w:t>
      </w:r>
      <w:r w:rsidR="003A4F3C" w:rsidRPr="00180A33">
        <w:rPr>
          <w:sz w:val="24"/>
        </w:rPr>
        <w:t>s</w:t>
      </w:r>
    </w:p>
    <w:p w14:paraId="1FD2401D" w14:textId="725B164F" w:rsidR="003A4F3C" w:rsidRPr="00180A33" w:rsidRDefault="003A4F3C" w:rsidP="005313BE">
      <w:pPr>
        <w:pStyle w:val="Heading1"/>
        <w:ind w:left="270" w:right="273" w:firstLine="0"/>
        <w:jc w:val="both"/>
        <w:rPr>
          <w:sz w:val="24"/>
        </w:rPr>
      </w:pPr>
      <w:r w:rsidRPr="00180A33">
        <w:rPr>
          <w:i w:val="0"/>
          <w:sz w:val="24"/>
        </w:rPr>
        <w:t>Table 1. Descriptive Table</w:t>
      </w:r>
      <w:r w:rsidR="005313BE" w:rsidRPr="00180A33">
        <w:rPr>
          <w:i w:val="0"/>
          <w:sz w:val="24"/>
        </w:rPr>
        <w:t xml:space="preserve"> Teacher Burnout and Instructional Adaptations on the Psychological Well-Being of General Education Teachers Handling Learners with Disabilities in Inclusive Classrooms</w:t>
      </w:r>
    </w:p>
    <w:tbl>
      <w:tblPr>
        <w:tblW w:w="8890" w:type="dxa"/>
        <w:jc w:val="center"/>
        <w:tblBorders>
          <w:top w:val="single" w:sz="4" w:space="0" w:color="auto"/>
        </w:tblBorders>
        <w:tblLayout w:type="fixed"/>
        <w:tblLook w:val="04A0" w:firstRow="1" w:lastRow="0" w:firstColumn="1" w:lastColumn="0" w:noHBand="0" w:noVBand="1"/>
      </w:tblPr>
      <w:tblGrid>
        <w:gridCol w:w="3420"/>
        <w:gridCol w:w="1889"/>
        <w:gridCol w:w="1889"/>
        <w:gridCol w:w="1692"/>
      </w:tblGrid>
      <w:tr w:rsidR="003A4F3C" w:rsidRPr="00180A33" w14:paraId="53A1DFF9" w14:textId="77777777" w:rsidTr="002716C9">
        <w:trPr>
          <w:trHeight w:val="260"/>
          <w:jc w:val="center"/>
        </w:trPr>
        <w:tc>
          <w:tcPr>
            <w:tcW w:w="3420" w:type="dxa"/>
            <w:tcBorders>
              <w:top w:val="double" w:sz="4" w:space="0" w:color="auto"/>
              <w:bottom w:val="single" w:sz="4" w:space="0" w:color="auto"/>
            </w:tcBorders>
            <w:shd w:val="clear" w:color="auto" w:fill="auto"/>
          </w:tcPr>
          <w:p w14:paraId="5FF24963" w14:textId="77777777" w:rsidR="003A4F3C" w:rsidRPr="00180A33" w:rsidRDefault="003A4F3C" w:rsidP="002716C9">
            <w:pPr>
              <w:spacing w:after="0" w:line="240" w:lineRule="auto"/>
              <w:jc w:val="left"/>
              <w:rPr>
                <w:b/>
                <w:bCs/>
                <w:sz w:val="24"/>
              </w:rPr>
            </w:pPr>
            <w:r w:rsidRPr="00180A33">
              <w:rPr>
                <w:b/>
                <w:bCs/>
                <w:sz w:val="24"/>
              </w:rPr>
              <w:t>Variables and Their Indicators</w:t>
            </w:r>
          </w:p>
        </w:tc>
        <w:tc>
          <w:tcPr>
            <w:tcW w:w="1889" w:type="dxa"/>
            <w:tcBorders>
              <w:top w:val="double" w:sz="4" w:space="0" w:color="auto"/>
              <w:bottom w:val="single" w:sz="4" w:space="0" w:color="auto"/>
            </w:tcBorders>
          </w:tcPr>
          <w:p w14:paraId="6CF64549" w14:textId="77777777" w:rsidR="003A4F3C" w:rsidRPr="00180A33" w:rsidRDefault="003A4F3C" w:rsidP="002716C9">
            <w:pPr>
              <w:spacing w:after="0" w:line="240" w:lineRule="auto"/>
              <w:rPr>
                <w:b/>
                <w:bCs/>
                <w:sz w:val="24"/>
              </w:rPr>
            </w:pPr>
            <w:r w:rsidRPr="00180A33">
              <w:rPr>
                <w:b/>
                <w:bCs/>
                <w:sz w:val="24"/>
              </w:rPr>
              <w:t>Standard Deviation</w:t>
            </w:r>
          </w:p>
        </w:tc>
        <w:tc>
          <w:tcPr>
            <w:tcW w:w="1889" w:type="dxa"/>
            <w:tcBorders>
              <w:top w:val="double" w:sz="4" w:space="0" w:color="auto"/>
              <w:bottom w:val="single" w:sz="4" w:space="0" w:color="auto"/>
            </w:tcBorders>
            <w:shd w:val="clear" w:color="auto" w:fill="auto"/>
          </w:tcPr>
          <w:p w14:paraId="3ECCF80E" w14:textId="77777777" w:rsidR="003A4F3C" w:rsidRPr="00180A33" w:rsidRDefault="003A4F3C" w:rsidP="002716C9">
            <w:pPr>
              <w:spacing w:after="0" w:line="240" w:lineRule="auto"/>
              <w:jc w:val="center"/>
              <w:rPr>
                <w:b/>
                <w:bCs/>
                <w:sz w:val="24"/>
              </w:rPr>
            </w:pPr>
            <w:r w:rsidRPr="00180A33">
              <w:rPr>
                <w:b/>
                <w:bCs/>
                <w:sz w:val="24"/>
              </w:rPr>
              <w:t>Mean</w:t>
            </w:r>
          </w:p>
        </w:tc>
        <w:tc>
          <w:tcPr>
            <w:tcW w:w="1692" w:type="dxa"/>
            <w:tcBorders>
              <w:top w:val="double" w:sz="4" w:space="0" w:color="auto"/>
              <w:bottom w:val="single" w:sz="4" w:space="0" w:color="auto"/>
            </w:tcBorders>
            <w:shd w:val="clear" w:color="auto" w:fill="auto"/>
          </w:tcPr>
          <w:p w14:paraId="585518B6" w14:textId="77777777" w:rsidR="003A4F3C" w:rsidRPr="00180A33" w:rsidRDefault="003A4F3C" w:rsidP="002716C9">
            <w:pPr>
              <w:spacing w:after="0" w:line="240" w:lineRule="auto"/>
              <w:jc w:val="center"/>
              <w:rPr>
                <w:b/>
                <w:bCs/>
                <w:sz w:val="24"/>
              </w:rPr>
            </w:pPr>
            <w:r w:rsidRPr="00180A33">
              <w:rPr>
                <w:b/>
                <w:bCs/>
                <w:sz w:val="24"/>
              </w:rPr>
              <w:t xml:space="preserve">Description </w:t>
            </w:r>
          </w:p>
        </w:tc>
      </w:tr>
      <w:tr w:rsidR="003A4F3C" w:rsidRPr="00180A33" w14:paraId="650FA5AE" w14:textId="77777777" w:rsidTr="002716C9">
        <w:trPr>
          <w:trHeight w:val="260"/>
          <w:jc w:val="center"/>
        </w:trPr>
        <w:tc>
          <w:tcPr>
            <w:tcW w:w="3420" w:type="dxa"/>
            <w:tcBorders>
              <w:top w:val="single" w:sz="4" w:space="0" w:color="auto"/>
              <w:bottom w:val="nil"/>
            </w:tcBorders>
            <w:shd w:val="clear" w:color="auto" w:fill="auto"/>
          </w:tcPr>
          <w:p w14:paraId="041A35D8" w14:textId="77777777" w:rsidR="003A4F3C" w:rsidRPr="00180A33" w:rsidRDefault="003A4F3C" w:rsidP="002716C9">
            <w:pPr>
              <w:spacing w:after="0" w:line="240" w:lineRule="auto"/>
              <w:jc w:val="left"/>
              <w:rPr>
                <w:b/>
                <w:bCs/>
                <w:sz w:val="24"/>
              </w:rPr>
            </w:pPr>
            <w:r w:rsidRPr="00180A33">
              <w:rPr>
                <w:b/>
                <w:bCs/>
                <w:sz w:val="24"/>
              </w:rPr>
              <w:t>Teacher Burnout</w:t>
            </w:r>
          </w:p>
        </w:tc>
        <w:tc>
          <w:tcPr>
            <w:tcW w:w="1889" w:type="dxa"/>
            <w:tcBorders>
              <w:top w:val="single" w:sz="4" w:space="0" w:color="auto"/>
              <w:bottom w:val="nil"/>
            </w:tcBorders>
          </w:tcPr>
          <w:p w14:paraId="7C903F89" w14:textId="77777777" w:rsidR="003A4F3C" w:rsidRPr="00180A33" w:rsidRDefault="003A4F3C" w:rsidP="002716C9">
            <w:pPr>
              <w:spacing w:after="0" w:line="240" w:lineRule="auto"/>
              <w:jc w:val="center"/>
              <w:rPr>
                <w:b/>
                <w:bCs/>
                <w:sz w:val="24"/>
              </w:rPr>
            </w:pPr>
            <w:r w:rsidRPr="00180A33">
              <w:rPr>
                <w:b/>
                <w:bCs/>
                <w:sz w:val="24"/>
              </w:rPr>
              <w:t>0.378</w:t>
            </w:r>
          </w:p>
        </w:tc>
        <w:tc>
          <w:tcPr>
            <w:tcW w:w="1889" w:type="dxa"/>
            <w:tcBorders>
              <w:top w:val="single" w:sz="4" w:space="0" w:color="auto"/>
              <w:bottom w:val="nil"/>
            </w:tcBorders>
            <w:shd w:val="clear" w:color="auto" w:fill="auto"/>
          </w:tcPr>
          <w:p w14:paraId="44E26115" w14:textId="77777777" w:rsidR="003A4F3C" w:rsidRPr="00180A33" w:rsidRDefault="003A4F3C" w:rsidP="002716C9">
            <w:pPr>
              <w:spacing w:after="0" w:line="240" w:lineRule="auto"/>
              <w:jc w:val="center"/>
              <w:rPr>
                <w:b/>
                <w:bCs/>
                <w:sz w:val="24"/>
              </w:rPr>
            </w:pPr>
            <w:r w:rsidRPr="00180A33">
              <w:rPr>
                <w:b/>
                <w:bCs/>
                <w:sz w:val="24"/>
              </w:rPr>
              <w:t>2.49</w:t>
            </w:r>
          </w:p>
        </w:tc>
        <w:tc>
          <w:tcPr>
            <w:tcW w:w="1692" w:type="dxa"/>
            <w:tcBorders>
              <w:top w:val="single" w:sz="4" w:space="0" w:color="auto"/>
              <w:bottom w:val="nil"/>
            </w:tcBorders>
            <w:shd w:val="clear" w:color="auto" w:fill="auto"/>
          </w:tcPr>
          <w:p w14:paraId="3BB33547" w14:textId="77777777" w:rsidR="003A4F3C" w:rsidRPr="00180A33" w:rsidRDefault="003A4F3C" w:rsidP="002716C9">
            <w:pPr>
              <w:spacing w:after="0" w:line="240" w:lineRule="auto"/>
              <w:jc w:val="center"/>
              <w:rPr>
                <w:b/>
                <w:bCs/>
                <w:sz w:val="24"/>
              </w:rPr>
            </w:pPr>
            <w:r w:rsidRPr="00180A33">
              <w:rPr>
                <w:b/>
                <w:bCs/>
                <w:sz w:val="24"/>
              </w:rPr>
              <w:t>Low</w:t>
            </w:r>
          </w:p>
        </w:tc>
      </w:tr>
      <w:tr w:rsidR="003A4F3C" w:rsidRPr="00180A33" w14:paraId="04056124" w14:textId="77777777" w:rsidTr="002716C9">
        <w:trPr>
          <w:trHeight w:val="260"/>
          <w:jc w:val="center"/>
        </w:trPr>
        <w:tc>
          <w:tcPr>
            <w:tcW w:w="3420" w:type="dxa"/>
            <w:tcBorders>
              <w:top w:val="nil"/>
              <w:bottom w:val="nil"/>
            </w:tcBorders>
            <w:shd w:val="clear" w:color="auto" w:fill="auto"/>
          </w:tcPr>
          <w:p w14:paraId="2453E997" w14:textId="77777777" w:rsidR="003A4F3C" w:rsidRPr="00180A33" w:rsidRDefault="003A4F3C" w:rsidP="002716C9">
            <w:pPr>
              <w:spacing w:after="0" w:line="240" w:lineRule="auto"/>
              <w:ind w:left="341"/>
              <w:jc w:val="left"/>
              <w:rPr>
                <w:sz w:val="24"/>
              </w:rPr>
            </w:pPr>
            <w:r w:rsidRPr="00180A33">
              <w:rPr>
                <w:sz w:val="24"/>
              </w:rPr>
              <w:t>Emotional Exhaustion</w:t>
            </w:r>
          </w:p>
        </w:tc>
        <w:tc>
          <w:tcPr>
            <w:tcW w:w="1889" w:type="dxa"/>
            <w:tcBorders>
              <w:top w:val="nil"/>
              <w:bottom w:val="nil"/>
            </w:tcBorders>
          </w:tcPr>
          <w:p w14:paraId="4235167A" w14:textId="77777777" w:rsidR="003A4F3C" w:rsidRPr="00180A33" w:rsidRDefault="003A4F3C" w:rsidP="002716C9">
            <w:pPr>
              <w:spacing w:after="0" w:line="240" w:lineRule="auto"/>
              <w:jc w:val="center"/>
              <w:rPr>
                <w:sz w:val="24"/>
              </w:rPr>
            </w:pPr>
            <w:r w:rsidRPr="00180A33">
              <w:rPr>
                <w:sz w:val="24"/>
              </w:rPr>
              <w:t>0.506</w:t>
            </w:r>
          </w:p>
        </w:tc>
        <w:tc>
          <w:tcPr>
            <w:tcW w:w="1889" w:type="dxa"/>
            <w:tcBorders>
              <w:top w:val="nil"/>
              <w:bottom w:val="nil"/>
            </w:tcBorders>
            <w:shd w:val="clear" w:color="auto" w:fill="auto"/>
          </w:tcPr>
          <w:p w14:paraId="09AC313F" w14:textId="77777777" w:rsidR="003A4F3C" w:rsidRPr="00180A33" w:rsidRDefault="003A4F3C" w:rsidP="002716C9">
            <w:pPr>
              <w:spacing w:after="0" w:line="240" w:lineRule="auto"/>
              <w:jc w:val="center"/>
              <w:rPr>
                <w:sz w:val="24"/>
              </w:rPr>
            </w:pPr>
            <w:r w:rsidRPr="00180A33">
              <w:rPr>
                <w:sz w:val="24"/>
              </w:rPr>
              <w:t>2.44</w:t>
            </w:r>
          </w:p>
        </w:tc>
        <w:tc>
          <w:tcPr>
            <w:tcW w:w="1692" w:type="dxa"/>
            <w:tcBorders>
              <w:top w:val="nil"/>
              <w:bottom w:val="nil"/>
            </w:tcBorders>
            <w:shd w:val="clear" w:color="auto" w:fill="auto"/>
          </w:tcPr>
          <w:p w14:paraId="2DE9F915" w14:textId="77777777" w:rsidR="003A4F3C" w:rsidRPr="00180A33" w:rsidRDefault="003A4F3C" w:rsidP="002716C9">
            <w:pPr>
              <w:spacing w:after="0" w:line="240" w:lineRule="auto"/>
              <w:jc w:val="center"/>
              <w:rPr>
                <w:sz w:val="24"/>
              </w:rPr>
            </w:pPr>
            <w:r w:rsidRPr="00180A33">
              <w:rPr>
                <w:sz w:val="24"/>
              </w:rPr>
              <w:t>Low</w:t>
            </w:r>
          </w:p>
        </w:tc>
      </w:tr>
      <w:tr w:rsidR="003A4F3C" w:rsidRPr="00180A33" w14:paraId="42717A50" w14:textId="77777777" w:rsidTr="002716C9">
        <w:trPr>
          <w:trHeight w:val="260"/>
          <w:jc w:val="center"/>
        </w:trPr>
        <w:tc>
          <w:tcPr>
            <w:tcW w:w="3420" w:type="dxa"/>
            <w:tcBorders>
              <w:top w:val="nil"/>
            </w:tcBorders>
            <w:shd w:val="clear" w:color="auto" w:fill="auto"/>
          </w:tcPr>
          <w:p w14:paraId="5D6C52A1" w14:textId="77777777" w:rsidR="003A4F3C" w:rsidRPr="00180A33" w:rsidRDefault="003A4F3C" w:rsidP="002716C9">
            <w:pPr>
              <w:spacing w:after="0" w:line="240" w:lineRule="auto"/>
              <w:ind w:left="341"/>
              <w:jc w:val="left"/>
              <w:rPr>
                <w:sz w:val="24"/>
              </w:rPr>
            </w:pPr>
            <w:r w:rsidRPr="00180A33">
              <w:rPr>
                <w:sz w:val="24"/>
              </w:rPr>
              <w:t>Depersonalization</w:t>
            </w:r>
          </w:p>
        </w:tc>
        <w:tc>
          <w:tcPr>
            <w:tcW w:w="1889" w:type="dxa"/>
            <w:tcBorders>
              <w:top w:val="nil"/>
            </w:tcBorders>
          </w:tcPr>
          <w:p w14:paraId="1FAADF4E" w14:textId="77777777" w:rsidR="003A4F3C" w:rsidRPr="00180A33" w:rsidRDefault="003A4F3C" w:rsidP="002716C9">
            <w:pPr>
              <w:spacing w:after="0" w:line="240" w:lineRule="auto"/>
              <w:jc w:val="center"/>
              <w:rPr>
                <w:sz w:val="24"/>
              </w:rPr>
            </w:pPr>
            <w:r w:rsidRPr="00180A33">
              <w:rPr>
                <w:sz w:val="24"/>
              </w:rPr>
              <w:t>0.525</w:t>
            </w:r>
          </w:p>
        </w:tc>
        <w:tc>
          <w:tcPr>
            <w:tcW w:w="1889" w:type="dxa"/>
            <w:tcBorders>
              <w:top w:val="nil"/>
            </w:tcBorders>
            <w:shd w:val="clear" w:color="auto" w:fill="auto"/>
          </w:tcPr>
          <w:p w14:paraId="79456DA1" w14:textId="77777777" w:rsidR="003A4F3C" w:rsidRPr="00180A33" w:rsidRDefault="003A4F3C" w:rsidP="002716C9">
            <w:pPr>
              <w:spacing w:after="0" w:line="240" w:lineRule="auto"/>
              <w:jc w:val="center"/>
              <w:rPr>
                <w:sz w:val="24"/>
              </w:rPr>
            </w:pPr>
            <w:r w:rsidRPr="00180A33">
              <w:rPr>
                <w:sz w:val="24"/>
              </w:rPr>
              <w:t>2.37</w:t>
            </w:r>
          </w:p>
        </w:tc>
        <w:tc>
          <w:tcPr>
            <w:tcW w:w="1692" w:type="dxa"/>
            <w:tcBorders>
              <w:top w:val="nil"/>
            </w:tcBorders>
            <w:shd w:val="clear" w:color="auto" w:fill="auto"/>
          </w:tcPr>
          <w:p w14:paraId="778B9F76" w14:textId="77777777" w:rsidR="003A4F3C" w:rsidRPr="00180A33" w:rsidRDefault="003A4F3C" w:rsidP="002716C9">
            <w:pPr>
              <w:spacing w:after="0" w:line="240" w:lineRule="auto"/>
              <w:jc w:val="center"/>
              <w:rPr>
                <w:sz w:val="24"/>
              </w:rPr>
            </w:pPr>
            <w:r w:rsidRPr="00180A33">
              <w:rPr>
                <w:sz w:val="24"/>
              </w:rPr>
              <w:t>Low</w:t>
            </w:r>
          </w:p>
        </w:tc>
      </w:tr>
      <w:tr w:rsidR="003A4F3C" w:rsidRPr="00180A33" w14:paraId="6CF55EE5" w14:textId="77777777" w:rsidTr="002716C9">
        <w:trPr>
          <w:trHeight w:val="260"/>
          <w:jc w:val="center"/>
        </w:trPr>
        <w:tc>
          <w:tcPr>
            <w:tcW w:w="3420" w:type="dxa"/>
            <w:shd w:val="clear" w:color="auto" w:fill="auto"/>
          </w:tcPr>
          <w:p w14:paraId="166E2010" w14:textId="77777777" w:rsidR="003A4F3C" w:rsidRPr="00180A33" w:rsidRDefault="003A4F3C" w:rsidP="002716C9">
            <w:pPr>
              <w:spacing w:after="0" w:line="240" w:lineRule="auto"/>
              <w:ind w:left="341"/>
              <w:jc w:val="left"/>
              <w:rPr>
                <w:sz w:val="24"/>
              </w:rPr>
            </w:pPr>
            <w:r w:rsidRPr="00180A33">
              <w:rPr>
                <w:sz w:val="24"/>
              </w:rPr>
              <w:t>Personal Achievement</w:t>
            </w:r>
          </w:p>
        </w:tc>
        <w:tc>
          <w:tcPr>
            <w:tcW w:w="1889" w:type="dxa"/>
          </w:tcPr>
          <w:p w14:paraId="19D0C6DA" w14:textId="77777777" w:rsidR="003A4F3C" w:rsidRPr="00180A33" w:rsidRDefault="003A4F3C" w:rsidP="002716C9">
            <w:pPr>
              <w:spacing w:after="0" w:line="240" w:lineRule="auto"/>
              <w:jc w:val="center"/>
              <w:rPr>
                <w:sz w:val="24"/>
              </w:rPr>
            </w:pPr>
            <w:r w:rsidRPr="00180A33">
              <w:rPr>
                <w:sz w:val="24"/>
              </w:rPr>
              <w:t>0.595</w:t>
            </w:r>
          </w:p>
        </w:tc>
        <w:tc>
          <w:tcPr>
            <w:tcW w:w="1889" w:type="dxa"/>
            <w:shd w:val="clear" w:color="auto" w:fill="auto"/>
          </w:tcPr>
          <w:p w14:paraId="79696625" w14:textId="77777777" w:rsidR="003A4F3C" w:rsidRPr="00180A33" w:rsidRDefault="003A4F3C" w:rsidP="002716C9">
            <w:pPr>
              <w:spacing w:after="0" w:line="240" w:lineRule="auto"/>
              <w:jc w:val="center"/>
              <w:rPr>
                <w:sz w:val="24"/>
              </w:rPr>
            </w:pPr>
            <w:r w:rsidRPr="00180A33">
              <w:rPr>
                <w:sz w:val="24"/>
              </w:rPr>
              <w:t>2.68</w:t>
            </w:r>
          </w:p>
        </w:tc>
        <w:tc>
          <w:tcPr>
            <w:tcW w:w="1692" w:type="dxa"/>
            <w:shd w:val="clear" w:color="auto" w:fill="auto"/>
          </w:tcPr>
          <w:p w14:paraId="5B80882F" w14:textId="77777777" w:rsidR="003A4F3C" w:rsidRPr="00180A33" w:rsidRDefault="003A4F3C" w:rsidP="002716C9">
            <w:pPr>
              <w:spacing w:after="0" w:line="240" w:lineRule="auto"/>
              <w:jc w:val="center"/>
              <w:rPr>
                <w:sz w:val="24"/>
              </w:rPr>
            </w:pPr>
            <w:r w:rsidRPr="00180A33">
              <w:rPr>
                <w:sz w:val="24"/>
              </w:rPr>
              <w:t>High</w:t>
            </w:r>
          </w:p>
        </w:tc>
      </w:tr>
      <w:tr w:rsidR="003A4F3C" w:rsidRPr="00180A33" w14:paraId="78735B96" w14:textId="77777777" w:rsidTr="002716C9">
        <w:trPr>
          <w:trHeight w:val="260"/>
          <w:jc w:val="center"/>
        </w:trPr>
        <w:tc>
          <w:tcPr>
            <w:tcW w:w="3420" w:type="dxa"/>
            <w:shd w:val="clear" w:color="auto" w:fill="auto"/>
          </w:tcPr>
          <w:p w14:paraId="1C465FA5" w14:textId="77777777" w:rsidR="003A4F3C" w:rsidRPr="00180A33" w:rsidRDefault="003A4F3C" w:rsidP="002716C9">
            <w:pPr>
              <w:spacing w:after="0" w:line="240" w:lineRule="auto"/>
              <w:ind w:left="0"/>
              <w:jc w:val="left"/>
              <w:rPr>
                <w:sz w:val="24"/>
              </w:rPr>
            </w:pPr>
            <w:r w:rsidRPr="00180A33">
              <w:rPr>
                <w:b/>
                <w:bCs/>
                <w:sz w:val="24"/>
              </w:rPr>
              <w:t>Instructional Adaptations</w:t>
            </w:r>
          </w:p>
        </w:tc>
        <w:tc>
          <w:tcPr>
            <w:tcW w:w="1889" w:type="dxa"/>
          </w:tcPr>
          <w:p w14:paraId="52CFF882" w14:textId="77777777" w:rsidR="003A4F3C" w:rsidRPr="00180A33" w:rsidRDefault="003A4F3C" w:rsidP="002716C9">
            <w:pPr>
              <w:spacing w:after="0" w:line="240" w:lineRule="auto"/>
              <w:jc w:val="center"/>
              <w:rPr>
                <w:b/>
                <w:bCs/>
                <w:sz w:val="24"/>
              </w:rPr>
            </w:pPr>
            <w:r w:rsidRPr="00180A33">
              <w:rPr>
                <w:b/>
                <w:bCs/>
                <w:sz w:val="24"/>
              </w:rPr>
              <w:t>0.462</w:t>
            </w:r>
          </w:p>
        </w:tc>
        <w:tc>
          <w:tcPr>
            <w:tcW w:w="1889" w:type="dxa"/>
            <w:shd w:val="clear" w:color="auto" w:fill="auto"/>
          </w:tcPr>
          <w:p w14:paraId="0F7D7C94" w14:textId="77777777" w:rsidR="003A4F3C" w:rsidRPr="00180A33" w:rsidRDefault="003A4F3C" w:rsidP="002716C9">
            <w:pPr>
              <w:spacing w:after="0" w:line="240" w:lineRule="auto"/>
              <w:jc w:val="center"/>
              <w:rPr>
                <w:b/>
                <w:bCs/>
                <w:sz w:val="24"/>
              </w:rPr>
            </w:pPr>
            <w:r w:rsidRPr="00180A33">
              <w:rPr>
                <w:b/>
                <w:bCs/>
                <w:sz w:val="24"/>
              </w:rPr>
              <w:t>2.71</w:t>
            </w:r>
          </w:p>
        </w:tc>
        <w:tc>
          <w:tcPr>
            <w:tcW w:w="1692" w:type="dxa"/>
            <w:shd w:val="clear" w:color="auto" w:fill="auto"/>
          </w:tcPr>
          <w:p w14:paraId="5C20FC13" w14:textId="77777777" w:rsidR="003A4F3C" w:rsidRPr="00180A33" w:rsidRDefault="003A4F3C" w:rsidP="002716C9">
            <w:pPr>
              <w:spacing w:after="0" w:line="240" w:lineRule="auto"/>
              <w:jc w:val="center"/>
              <w:rPr>
                <w:b/>
                <w:bCs/>
                <w:sz w:val="24"/>
              </w:rPr>
            </w:pPr>
            <w:r w:rsidRPr="00180A33">
              <w:rPr>
                <w:b/>
                <w:bCs/>
                <w:sz w:val="24"/>
              </w:rPr>
              <w:t>High</w:t>
            </w:r>
          </w:p>
        </w:tc>
      </w:tr>
      <w:tr w:rsidR="003A4F3C" w:rsidRPr="00180A33" w14:paraId="38A1EBFA" w14:textId="77777777" w:rsidTr="002716C9">
        <w:trPr>
          <w:trHeight w:val="260"/>
          <w:jc w:val="center"/>
        </w:trPr>
        <w:tc>
          <w:tcPr>
            <w:tcW w:w="3420" w:type="dxa"/>
            <w:tcBorders>
              <w:bottom w:val="nil"/>
            </w:tcBorders>
            <w:shd w:val="clear" w:color="auto" w:fill="auto"/>
          </w:tcPr>
          <w:p w14:paraId="7C8D7EE7" w14:textId="77777777" w:rsidR="003A4F3C" w:rsidRPr="00180A33" w:rsidRDefault="003A4F3C" w:rsidP="002716C9">
            <w:pPr>
              <w:spacing w:after="0" w:line="240" w:lineRule="auto"/>
              <w:ind w:left="341" w:right="-34"/>
              <w:jc w:val="left"/>
              <w:rPr>
                <w:sz w:val="24"/>
              </w:rPr>
            </w:pPr>
            <w:r w:rsidRPr="00180A33">
              <w:rPr>
                <w:bCs/>
                <w:sz w:val="24"/>
              </w:rPr>
              <w:t xml:space="preserve">Classroom Management Strategies </w:t>
            </w:r>
          </w:p>
        </w:tc>
        <w:tc>
          <w:tcPr>
            <w:tcW w:w="1889" w:type="dxa"/>
            <w:tcBorders>
              <w:bottom w:val="nil"/>
            </w:tcBorders>
          </w:tcPr>
          <w:p w14:paraId="5B4A5608" w14:textId="77777777" w:rsidR="003A4F3C" w:rsidRPr="00180A33" w:rsidRDefault="003A4F3C" w:rsidP="002716C9">
            <w:pPr>
              <w:spacing w:after="0" w:line="240" w:lineRule="auto"/>
              <w:jc w:val="center"/>
              <w:rPr>
                <w:sz w:val="24"/>
              </w:rPr>
            </w:pPr>
            <w:r w:rsidRPr="00180A33">
              <w:rPr>
                <w:sz w:val="24"/>
              </w:rPr>
              <w:t>0.506</w:t>
            </w:r>
          </w:p>
        </w:tc>
        <w:tc>
          <w:tcPr>
            <w:tcW w:w="1889" w:type="dxa"/>
            <w:tcBorders>
              <w:bottom w:val="nil"/>
            </w:tcBorders>
            <w:shd w:val="clear" w:color="auto" w:fill="auto"/>
          </w:tcPr>
          <w:p w14:paraId="4DD36352" w14:textId="77777777" w:rsidR="003A4F3C" w:rsidRPr="00180A33" w:rsidRDefault="003A4F3C" w:rsidP="002716C9">
            <w:pPr>
              <w:spacing w:after="0" w:line="240" w:lineRule="auto"/>
              <w:jc w:val="center"/>
              <w:rPr>
                <w:sz w:val="24"/>
              </w:rPr>
            </w:pPr>
            <w:r w:rsidRPr="00180A33">
              <w:rPr>
                <w:sz w:val="24"/>
              </w:rPr>
              <w:t>2.64</w:t>
            </w:r>
          </w:p>
        </w:tc>
        <w:tc>
          <w:tcPr>
            <w:tcW w:w="1692" w:type="dxa"/>
            <w:tcBorders>
              <w:bottom w:val="nil"/>
            </w:tcBorders>
            <w:shd w:val="clear" w:color="auto" w:fill="auto"/>
          </w:tcPr>
          <w:p w14:paraId="419628A4" w14:textId="77777777" w:rsidR="003A4F3C" w:rsidRPr="00180A33" w:rsidRDefault="003A4F3C" w:rsidP="002716C9">
            <w:pPr>
              <w:spacing w:after="0" w:line="240" w:lineRule="auto"/>
              <w:jc w:val="center"/>
              <w:rPr>
                <w:sz w:val="24"/>
              </w:rPr>
            </w:pPr>
            <w:r w:rsidRPr="00180A33">
              <w:rPr>
                <w:sz w:val="24"/>
              </w:rPr>
              <w:t>High</w:t>
            </w:r>
          </w:p>
        </w:tc>
      </w:tr>
      <w:tr w:rsidR="003A4F3C" w:rsidRPr="00180A33" w14:paraId="12EBCEDB" w14:textId="77777777" w:rsidTr="002716C9">
        <w:trPr>
          <w:trHeight w:val="260"/>
          <w:jc w:val="center"/>
        </w:trPr>
        <w:tc>
          <w:tcPr>
            <w:tcW w:w="3420" w:type="dxa"/>
            <w:tcBorders>
              <w:top w:val="nil"/>
            </w:tcBorders>
            <w:shd w:val="clear" w:color="auto" w:fill="auto"/>
          </w:tcPr>
          <w:p w14:paraId="36E6ABD7" w14:textId="77777777" w:rsidR="003A4F3C" w:rsidRPr="00180A33" w:rsidRDefault="003A4F3C" w:rsidP="002716C9">
            <w:pPr>
              <w:spacing w:after="0" w:line="240" w:lineRule="auto"/>
              <w:ind w:left="341"/>
              <w:jc w:val="left"/>
              <w:rPr>
                <w:sz w:val="24"/>
              </w:rPr>
            </w:pPr>
            <w:r w:rsidRPr="00180A33">
              <w:rPr>
                <w:bCs/>
                <w:sz w:val="24"/>
              </w:rPr>
              <w:t>Grouping Strategies</w:t>
            </w:r>
          </w:p>
        </w:tc>
        <w:tc>
          <w:tcPr>
            <w:tcW w:w="1889" w:type="dxa"/>
            <w:tcBorders>
              <w:top w:val="nil"/>
            </w:tcBorders>
          </w:tcPr>
          <w:p w14:paraId="4A5B1EA9" w14:textId="77777777" w:rsidR="003A4F3C" w:rsidRPr="00180A33" w:rsidRDefault="003A4F3C" w:rsidP="002716C9">
            <w:pPr>
              <w:spacing w:after="0" w:line="240" w:lineRule="auto"/>
              <w:jc w:val="center"/>
              <w:rPr>
                <w:sz w:val="24"/>
              </w:rPr>
            </w:pPr>
            <w:r w:rsidRPr="00180A33">
              <w:rPr>
                <w:sz w:val="24"/>
              </w:rPr>
              <w:t>0.614</w:t>
            </w:r>
          </w:p>
        </w:tc>
        <w:tc>
          <w:tcPr>
            <w:tcW w:w="1889" w:type="dxa"/>
            <w:tcBorders>
              <w:top w:val="nil"/>
            </w:tcBorders>
            <w:shd w:val="clear" w:color="auto" w:fill="auto"/>
          </w:tcPr>
          <w:p w14:paraId="24B42525" w14:textId="77777777" w:rsidR="003A4F3C" w:rsidRPr="00180A33" w:rsidRDefault="003A4F3C" w:rsidP="002716C9">
            <w:pPr>
              <w:spacing w:after="0" w:line="240" w:lineRule="auto"/>
              <w:jc w:val="center"/>
              <w:rPr>
                <w:sz w:val="24"/>
              </w:rPr>
            </w:pPr>
            <w:r w:rsidRPr="00180A33">
              <w:rPr>
                <w:sz w:val="24"/>
              </w:rPr>
              <w:t>2.74</w:t>
            </w:r>
          </w:p>
        </w:tc>
        <w:tc>
          <w:tcPr>
            <w:tcW w:w="1692" w:type="dxa"/>
            <w:tcBorders>
              <w:top w:val="nil"/>
            </w:tcBorders>
            <w:shd w:val="clear" w:color="auto" w:fill="auto"/>
          </w:tcPr>
          <w:p w14:paraId="2E01B790" w14:textId="77777777" w:rsidR="003A4F3C" w:rsidRPr="00180A33" w:rsidRDefault="003A4F3C" w:rsidP="002716C9">
            <w:pPr>
              <w:spacing w:after="0" w:line="240" w:lineRule="auto"/>
              <w:jc w:val="center"/>
              <w:rPr>
                <w:sz w:val="24"/>
              </w:rPr>
            </w:pPr>
            <w:r w:rsidRPr="00180A33">
              <w:rPr>
                <w:sz w:val="24"/>
              </w:rPr>
              <w:t>High</w:t>
            </w:r>
          </w:p>
        </w:tc>
      </w:tr>
      <w:tr w:rsidR="003A4F3C" w:rsidRPr="00180A33" w14:paraId="18D489E2" w14:textId="77777777" w:rsidTr="002716C9">
        <w:trPr>
          <w:trHeight w:val="260"/>
          <w:jc w:val="center"/>
        </w:trPr>
        <w:tc>
          <w:tcPr>
            <w:tcW w:w="3420" w:type="dxa"/>
            <w:shd w:val="clear" w:color="auto" w:fill="auto"/>
          </w:tcPr>
          <w:p w14:paraId="7B6B5C3B" w14:textId="77777777" w:rsidR="003A4F3C" w:rsidRPr="00180A33" w:rsidRDefault="003A4F3C" w:rsidP="002716C9">
            <w:pPr>
              <w:spacing w:after="0" w:line="240" w:lineRule="auto"/>
              <w:ind w:left="341"/>
              <w:jc w:val="left"/>
              <w:rPr>
                <w:sz w:val="24"/>
              </w:rPr>
            </w:pPr>
            <w:r w:rsidRPr="00180A33">
              <w:rPr>
                <w:bCs/>
                <w:sz w:val="24"/>
              </w:rPr>
              <w:t xml:space="preserve">Additional Teaching </w:t>
            </w:r>
          </w:p>
        </w:tc>
        <w:tc>
          <w:tcPr>
            <w:tcW w:w="1889" w:type="dxa"/>
          </w:tcPr>
          <w:p w14:paraId="60BE37DF" w14:textId="77777777" w:rsidR="003A4F3C" w:rsidRPr="00180A33" w:rsidRDefault="003A4F3C" w:rsidP="002716C9">
            <w:pPr>
              <w:spacing w:after="0" w:line="240" w:lineRule="auto"/>
              <w:jc w:val="center"/>
              <w:rPr>
                <w:sz w:val="24"/>
              </w:rPr>
            </w:pPr>
            <w:r w:rsidRPr="00180A33">
              <w:rPr>
                <w:sz w:val="24"/>
              </w:rPr>
              <w:t>0.703</w:t>
            </w:r>
          </w:p>
        </w:tc>
        <w:tc>
          <w:tcPr>
            <w:tcW w:w="1889" w:type="dxa"/>
            <w:tcBorders>
              <w:top w:val="nil"/>
            </w:tcBorders>
            <w:shd w:val="clear" w:color="auto" w:fill="auto"/>
          </w:tcPr>
          <w:p w14:paraId="7C724A56" w14:textId="77777777" w:rsidR="003A4F3C" w:rsidRPr="00180A33" w:rsidRDefault="003A4F3C" w:rsidP="002716C9">
            <w:pPr>
              <w:spacing w:after="0" w:line="240" w:lineRule="auto"/>
              <w:jc w:val="center"/>
              <w:rPr>
                <w:sz w:val="24"/>
              </w:rPr>
            </w:pPr>
            <w:r w:rsidRPr="00180A33">
              <w:rPr>
                <w:sz w:val="24"/>
              </w:rPr>
              <w:t>2.67</w:t>
            </w:r>
          </w:p>
        </w:tc>
        <w:tc>
          <w:tcPr>
            <w:tcW w:w="1692" w:type="dxa"/>
            <w:tcBorders>
              <w:top w:val="nil"/>
            </w:tcBorders>
            <w:shd w:val="clear" w:color="auto" w:fill="auto"/>
          </w:tcPr>
          <w:p w14:paraId="479ACDC3" w14:textId="77777777" w:rsidR="003A4F3C" w:rsidRPr="00180A33" w:rsidRDefault="003A4F3C" w:rsidP="002716C9">
            <w:pPr>
              <w:spacing w:after="0" w:line="240" w:lineRule="auto"/>
              <w:jc w:val="center"/>
              <w:rPr>
                <w:sz w:val="24"/>
              </w:rPr>
            </w:pPr>
            <w:r w:rsidRPr="00180A33">
              <w:rPr>
                <w:sz w:val="24"/>
              </w:rPr>
              <w:t>High</w:t>
            </w:r>
          </w:p>
        </w:tc>
      </w:tr>
      <w:tr w:rsidR="003A4F3C" w:rsidRPr="00180A33" w14:paraId="4562C756" w14:textId="77777777" w:rsidTr="002716C9">
        <w:trPr>
          <w:trHeight w:val="260"/>
          <w:jc w:val="center"/>
        </w:trPr>
        <w:tc>
          <w:tcPr>
            <w:tcW w:w="3420" w:type="dxa"/>
            <w:shd w:val="clear" w:color="auto" w:fill="auto"/>
          </w:tcPr>
          <w:p w14:paraId="2CBA66FD" w14:textId="77777777" w:rsidR="003A4F3C" w:rsidRPr="00180A33" w:rsidRDefault="003A4F3C" w:rsidP="002716C9">
            <w:pPr>
              <w:spacing w:after="0" w:line="240" w:lineRule="auto"/>
              <w:ind w:left="341"/>
              <w:jc w:val="left"/>
              <w:rPr>
                <w:sz w:val="24"/>
              </w:rPr>
            </w:pPr>
            <w:r w:rsidRPr="00180A33">
              <w:rPr>
                <w:bCs/>
                <w:sz w:val="24"/>
              </w:rPr>
              <w:t>Activity Adjustment</w:t>
            </w:r>
          </w:p>
        </w:tc>
        <w:tc>
          <w:tcPr>
            <w:tcW w:w="1889" w:type="dxa"/>
          </w:tcPr>
          <w:p w14:paraId="060DC11E" w14:textId="77777777" w:rsidR="003A4F3C" w:rsidRPr="00180A33" w:rsidRDefault="003A4F3C" w:rsidP="002716C9">
            <w:pPr>
              <w:spacing w:after="0" w:line="240" w:lineRule="auto"/>
              <w:jc w:val="center"/>
              <w:rPr>
                <w:sz w:val="24"/>
              </w:rPr>
            </w:pPr>
            <w:r w:rsidRPr="00180A33">
              <w:rPr>
                <w:sz w:val="24"/>
              </w:rPr>
              <w:t>0.547</w:t>
            </w:r>
          </w:p>
        </w:tc>
        <w:tc>
          <w:tcPr>
            <w:tcW w:w="1889" w:type="dxa"/>
            <w:shd w:val="clear" w:color="auto" w:fill="auto"/>
          </w:tcPr>
          <w:p w14:paraId="58B66122" w14:textId="77777777" w:rsidR="003A4F3C" w:rsidRPr="00180A33" w:rsidRDefault="003A4F3C" w:rsidP="002716C9">
            <w:pPr>
              <w:spacing w:after="0" w:line="240" w:lineRule="auto"/>
              <w:jc w:val="center"/>
              <w:rPr>
                <w:sz w:val="24"/>
              </w:rPr>
            </w:pPr>
            <w:r w:rsidRPr="00180A33">
              <w:rPr>
                <w:sz w:val="24"/>
              </w:rPr>
              <w:t>2.72</w:t>
            </w:r>
          </w:p>
        </w:tc>
        <w:tc>
          <w:tcPr>
            <w:tcW w:w="1692" w:type="dxa"/>
            <w:shd w:val="clear" w:color="auto" w:fill="auto"/>
          </w:tcPr>
          <w:p w14:paraId="67B928E5" w14:textId="77777777" w:rsidR="003A4F3C" w:rsidRPr="00180A33" w:rsidRDefault="003A4F3C" w:rsidP="002716C9">
            <w:pPr>
              <w:spacing w:after="0" w:line="240" w:lineRule="auto"/>
              <w:jc w:val="center"/>
              <w:rPr>
                <w:sz w:val="24"/>
              </w:rPr>
            </w:pPr>
            <w:r w:rsidRPr="00180A33">
              <w:rPr>
                <w:sz w:val="24"/>
              </w:rPr>
              <w:t>High</w:t>
            </w:r>
          </w:p>
        </w:tc>
      </w:tr>
      <w:tr w:rsidR="003A4F3C" w:rsidRPr="00180A33" w14:paraId="70E6670E" w14:textId="77777777" w:rsidTr="002716C9">
        <w:trPr>
          <w:trHeight w:val="260"/>
          <w:jc w:val="center"/>
        </w:trPr>
        <w:tc>
          <w:tcPr>
            <w:tcW w:w="3420" w:type="dxa"/>
            <w:shd w:val="clear" w:color="auto" w:fill="auto"/>
          </w:tcPr>
          <w:p w14:paraId="79860887" w14:textId="77777777" w:rsidR="003A4F3C" w:rsidRPr="00180A33" w:rsidRDefault="003A4F3C" w:rsidP="002716C9">
            <w:pPr>
              <w:spacing w:after="0" w:line="240" w:lineRule="auto"/>
              <w:ind w:left="341"/>
              <w:jc w:val="left"/>
              <w:rPr>
                <w:sz w:val="24"/>
              </w:rPr>
            </w:pPr>
            <w:r w:rsidRPr="00180A33">
              <w:rPr>
                <w:bCs/>
                <w:sz w:val="24"/>
              </w:rPr>
              <w:t>Formative Assessment</w:t>
            </w:r>
          </w:p>
        </w:tc>
        <w:tc>
          <w:tcPr>
            <w:tcW w:w="1889" w:type="dxa"/>
          </w:tcPr>
          <w:p w14:paraId="26021E87" w14:textId="77777777" w:rsidR="003A4F3C" w:rsidRPr="00180A33" w:rsidRDefault="003A4F3C" w:rsidP="002716C9">
            <w:pPr>
              <w:spacing w:after="0" w:line="240" w:lineRule="auto"/>
              <w:jc w:val="center"/>
              <w:rPr>
                <w:sz w:val="24"/>
              </w:rPr>
            </w:pPr>
            <w:r w:rsidRPr="00180A33">
              <w:rPr>
                <w:sz w:val="24"/>
              </w:rPr>
              <w:t>0.669</w:t>
            </w:r>
          </w:p>
        </w:tc>
        <w:tc>
          <w:tcPr>
            <w:tcW w:w="1889" w:type="dxa"/>
            <w:shd w:val="clear" w:color="auto" w:fill="auto"/>
          </w:tcPr>
          <w:p w14:paraId="3A59E1B5" w14:textId="77777777" w:rsidR="003A4F3C" w:rsidRPr="00180A33" w:rsidRDefault="003A4F3C" w:rsidP="002716C9">
            <w:pPr>
              <w:spacing w:after="0" w:line="240" w:lineRule="auto"/>
              <w:jc w:val="center"/>
              <w:rPr>
                <w:sz w:val="24"/>
              </w:rPr>
            </w:pPr>
            <w:r w:rsidRPr="00180A33">
              <w:rPr>
                <w:sz w:val="24"/>
              </w:rPr>
              <w:t>2.76</w:t>
            </w:r>
          </w:p>
        </w:tc>
        <w:tc>
          <w:tcPr>
            <w:tcW w:w="1692" w:type="dxa"/>
            <w:shd w:val="clear" w:color="auto" w:fill="auto"/>
          </w:tcPr>
          <w:p w14:paraId="2534AD3B" w14:textId="77777777" w:rsidR="003A4F3C" w:rsidRPr="00180A33" w:rsidRDefault="003A4F3C" w:rsidP="002716C9">
            <w:pPr>
              <w:spacing w:after="0" w:line="240" w:lineRule="auto"/>
              <w:jc w:val="center"/>
              <w:rPr>
                <w:sz w:val="24"/>
              </w:rPr>
            </w:pPr>
            <w:r w:rsidRPr="00180A33">
              <w:rPr>
                <w:sz w:val="24"/>
              </w:rPr>
              <w:t>High</w:t>
            </w:r>
          </w:p>
        </w:tc>
      </w:tr>
      <w:tr w:rsidR="003A4F3C" w:rsidRPr="00180A33" w14:paraId="062A89C9" w14:textId="77777777" w:rsidTr="002716C9">
        <w:trPr>
          <w:trHeight w:val="260"/>
          <w:jc w:val="center"/>
        </w:trPr>
        <w:tc>
          <w:tcPr>
            <w:tcW w:w="3420" w:type="dxa"/>
            <w:shd w:val="clear" w:color="auto" w:fill="auto"/>
          </w:tcPr>
          <w:p w14:paraId="520C6DE2" w14:textId="77777777" w:rsidR="003A4F3C" w:rsidRPr="00180A33" w:rsidRDefault="003A4F3C" w:rsidP="002716C9">
            <w:pPr>
              <w:spacing w:after="0" w:line="240" w:lineRule="auto"/>
              <w:ind w:left="-19"/>
              <w:jc w:val="left"/>
              <w:rPr>
                <w:b/>
                <w:sz w:val="24"/>
              </w:rPr>
            </w:pPr>
            <w:r w:rsidRPr="00180A33">
              <w:rPr>
                <w:b/>
                <w:sz w:val="24"/>
              </w:rPr>
              <w:t>Psychological Well-Being</w:t>
            </w:r>
          </w:p>
        </w:tc>
        <w:tc>
          <w:tcPr>
            <w:tcW w:w="1889" w:type="dxa"/>
          </w:tcPr>
          <w:p w14:paraId="41E06339" w14:textId="77777777" w:rsidR="003A4F3C" w:rsidRPr="00180A33" w:rsidRDefault="003A4F3C" w:rsidP="002716C9">
            <w:pPr>
              <w:spacing w:after="0" w:line="240" w:lineRule="auto"/>
              <w:jc w:val="center"/>
              <w:rPr>
                <w:b/>
                <w:bCs/>
                <w:sz w:val="24"/>
              </w:rPr>
            </w:pPr>
            <w:r w:rsidRPr="00180A33">
              <w:rPr>
                <w:b/>
                <w:bCs/>
                <w:sz w:val="24"/>
              </w:rPr>
              <w:t>0.396</w:t>
            </w:r>
          </w:p>
        </w:tc>
        <w:tc>
          <w:tcPr>
            <w:tcW w:w="1889" w:type="dxa"/>
            <w:shd w:val="clear" w:color="auto" w:fill="auto"/>
          </w:tcPr>
          <w:p w14:paraId="584B5FAA" w14:textId="77777777" w:rsidR="003A4F3C" w:rsidRPr="00180A33" w:rsidRDefault="003A4F3C" w:rsidP="002716C9">
            <w:pPr>
              <w:spacing w:after="0" w:line="240" w:lineRule="auto"/>
              <w:jc w:val="center"/>
              <w:rPr>
                <w:b/>
                <w:bCs/>
                <w:sz w:val="24"/>
              </w:rPr>
            </w:pPr>
            <w:r w:rsidRPr="00180A33">
              <w:rPr>
                <w:b/>
                <w:bCs/>
                <w:sz w:val="24"/>
              </w:rPr>
              <w:t>3.03</w:t>
            </w:r>
          </w:p>
        </w:tc>
        <w:tc>
          <w:tcPr>
            <w:tcW w:w="1692" w:type="dxa"/>
            <w:shd w:val="clear" w:color="auto" w:fill="auto"/>
          </w:tcPr>
          <w:p w14:paraId="5EA1F46B" w14:textId="77777777" w:rsidR="003A4F3C" w:rsidRPr="00180A33" w:rsidRDefault="003A4F3C" w:rsidP="002716C9">
            <w:pPr>
              <w:spacing w:after="0" w:line="240" w:lineRule="auto"/>
              <w:jc w:val="center"/>
              <w:rPr>
                <w:b/>
                <w:bCs/>
                <w:sz w:val="24"/>
              </w:rPr>
            </w:pPr>
            <w:r w:rsidRPr="00180A33">
              <w:rPr>
                <w:b/>
                <w:bCs/>
                <w:sz w:val="24"/>
              </w:rPr>
              <w:t>High</w:t>
            </w:r>
          </w:p>
        </w:tc>
      </w:tr>
      <w:tr w:rsidR="003A4F3C" w:rsidRPr="00180A33" w14:paraId="2BBD0AAA" w14:textId="77777777" w:rsidTr="002716C9">
        <w:trPr>
          <w:trHeight w:val="260"/>
          <w:jc w:val="center"/>
        </w:trPr>
        <w:tc>
          <w:tcPr>
            <w:tcW w:w="3420" w:type="dxa"/>
            <w:shd w:val="clear" w:color="auto" w:fill="auto"/>
          </w:tcPr>
          <w:p w14:paraId="28F4A07D" w14:textId="77777777" w:rsidR="003A4F3C" w:rsidRPr="00180A33" w:rsidRDefault="003A4F3C" w:rsidP="002716C9">
            <w:pPr>
              <w:spacing w:after="0" w:line="240" w:lineRule="auto"/>
              <w:ind w:left="341"/>
              <w:jc w:val="left"/>
              <w:rPr>
                <w:b/>
                <w:sz w:val="24"/>
              </w:rPr>
            </w:pPr>
            <w:r w:rsidRPr="00180A33">
              <w:rPr>
                <w:bCs/>
                <w:sz w:val="24"/>
              </w:rPr>
              <w:t xml:space="preserve">Self-Acceptance </w:t>
            </w:r>
          </w:p>
        </w:tc>
        <w:tc>
          <w:tcPr>
            <w:tcW w:w="1889" w:type="dxa"/>
          </w:tcPr>
          <w:p w14:paraId="4BBDA54A" w14:textId="77777777" w:rsidR="003A4F3C" w:rsidRPr="00180A33" w:rsidRDefault="003A4F3C" w:rsidP="002716C9">
            <w:pPr>
              <w:spacing w:after="0" w:line="240" w:lineRule="auto"/>
              <w:jc w:val="center"/>
              <w:rPr>
                <w:sz w:val="24"/>
              </w:rPr>
            </w:pPr>
            <w:r w:rsidRPr="00180A33">
              <w:rPr>
                <w:sz w:val="24"/>
              </w:rPr>
              <w:t>0.577</w:t>
            </w:r>
          </w:p>
        </w:tc>
        <w:tc>
          <w:tcPr>
            <w:tcW w:w="1889" w:type="dxa"/>
            <w:shd w:val="clear" w:color="auto" w:fill="auto"/>
          </w:tcPr>
          <w:p w14:paraId="457AE578" w14:textId="77777777" w:rsidR="003A4F3C" w:rsidRPr="00180A33" w:rsidRDefault="003A4F3C" w:rsidP="002716C9">
            <w:pPr>
              <w:spacing w:after="0" w:line="240" w:lineRule="auto"/>
              <w:jc w:val="center"/>
              <w:rPr>
                <w:sz w:val="24"/>
              </w:rPr>
            </w:pPr>
            <w:r w:rsidRPr="00180A33">
              <w:rPr>
                <w:sz w:val="24"/>
              </w:rPr>
              <w:t>3.04</w:t>
            </w:r>
          </w:p>
        </w:tc>
        <w:tc>
          <w:tcPr>
            <w:tcW w:w="1692" w:type="dxa"/>
            <w:shd w:val="clear" w:color="auto" w:fill="auto"/>
          </w:tcPr>
          <w:p w14:paraId="16C2016A" w14:textId="77777777" w:rsidR="003A4F3C" w:rsidRPr="00180A33" w:rsidRDefault="003A4F3C" w:rsidP="002716C9">
            <w:pPr>
              <w:spacing w:after="0" w:line="240" w:lineRule="auto"/>
              <w:jc w:val="center"/>
              <w:rPr>
                <w:sz w:val="24"/>
              </w:rPr>
            </w:pPr>
            <w:r w:rsidRPr="00180A33">
              <w:rPr>
                <w:sz w:val="24"/>
              </w:rPr>
              <w:t>High</w:t>
            </w:r>
          </w:p>
        </w:tc>
      </w:tr>
      <w:tr w:rsidR="003A4F3C" w:rsidRPr="00180A33" w14:paraId="1F3C9A5A" w14:textId="77777777" w:rsidTr="002716C9">
        <w:trPr>
          <w:trHeight w:val="260"/>
          <w:jc w:val="center"/>
        </w:trPr>
        <w:tc>
          <w:tcPr>
            <w:tcW w:w="3420" w:type="dxa"/>
            <w:shd w:val="clear" w:color="auto" w:fill="auto"/>
          </w:tcPr>
          <w:p w14:paraId="0E4ED65B" w14:textId="77777777" w:rsidR="003A4F3C" w:rsidRPr="00180A33" w:rsidRDefault="003A4F3C" w:rsidP="002716C9">
            <w:pPr>
              <w:spacing w:after="0" w:line="240" w:lineRule="auto"/>
              <w:ind w:left="341"/>
              <w:jc w:val="left"/>
              <w:rPr>
                <w:b/>
                <w:sz w:val="24"/>
              </w:rPr>
            </w:pPr>
            <w:r w:rsidRPr="00180A33">
              <w:rPr>
                <w:bCs/>
                <w:sz w:val="24"/>
              </w:rPr>
              <w:t xml:space="preserve">Autonomy  </w:t>
            </w:r>
          </w:p>
        </w:tc>
        <w:tc>
          <w:tcPr>
            <w:tcW w:w="1889" w:type="dxa"/>
          </w:tcPr>
          <w:p w14:paraId="01821630" w14:textId="77777777" w:rsidR="003A4F3C" w:rsidRPr="00180A33" w:rsidRDefault="003A4F3C" w:rsidP="002716C9">
            <w:pPr>
              <w:spacing w:after="0" w:line="240" w:lineRule="auto"/>
              <w:jc w:val="center"/>
              <w:rPr>
                <w:sz w:val="24"/>
              </w:rPr>
            </w:pPr>
            <w:r w:rsidRPr="00180A33">
              <w:rPr>
                <w:sz w:val="24"/>
              </w:rPr>
              <w:t>0.596</w:t>
            </w:r>
          </w:p>
        </w:tc>
        <w:tc>
          <w:tcPr>
            <w:tcW w:w="1889" w:type="dxa"/>
            <w:shd w:val="clear" w:color="auto" w:fill="auto"/>
          </w:tcPr>
          <w:p w14:paraId="7699DA98" w14:textId="77777777" w:rsidR="003A4F3C" w:rsidRPr="00180A33" w:rsidRDefault="003A4F3C" w:rsidP="002716C9">
            <w:pPr>
              <w:spacing w:after="0" w:line="240" w:lineRule="auto"/>
              <w:jc w:val="center"/>
              <w:rPr>
                <w:sz w:val="24"/>
              </w:rPr>
            </w:pPr>
            <w:r w:rsidRPr="00180A33">
              <w:rPr>
                <w:sz w:val="24"/>
              </w:rPr>
              <w:t>3.15</w:t>
            </w:r>
          </w:p>
        </w:tc>
        <w:tc>
          <w:tcPr>
            <w:tcW w:w="1692" w:type="dxa"/>
            <w:shd w:val="clear" w:color="auto" w:fill="auto"/>
          </w:tcPr>
          <w:p w14:paraId="0763EB0A" w14:textId="77777777" w:rsidR="003A4F3C" w:rsidRPr="00180A33" w:rsidRDefault="003A4F3C" w:rsidP="002716C9">
            <w:pPr>
              <w:spacing w:after="0" w:line="240" w:lineRule="auto"/>
              <w:jc w:val="center"/>
              <w:rPr>
                <w:sz w:val="24"/>
              </w:rPr>
            </w:pPr>
            <w:r w:rsidRPr="00180A33">
              <w:rPr>
                <w:sz w:val="24"/>
              </w:rPr>
              <w:t>High</w:t>
            </w:r>
          </w:p>
        </w:tc>
      </w:tr>
      <w:tr w:rsidR="003A4F3C" w:rsidRPr="00180A33" w14:paraId="38FAF2AD" w14:textId="77777777" w:rsidTr="002716C9">
        <w:trPr>
          <w:trHeight w:val="260"/>
          <w:jc w:val="center"/>
        </w:trPr>
        <w:tc>
          <w:tcPr>
            <w:tcW w:w="3420" w:type="dxa"/>
            <w:shd w:val="clear" w:color="auto" w:fill="auto"/>
          </w:tcPr>
          <w:p w14:paraId="72FA3F9D" w14:textId="77777777" w:rsidR="003A4F3C" w:rsidRPr="00180A33" w:rsidRDefault="003A4F3C" w:rsidP="002716C9">
            <w:pPr>
              <w:spacing w:after="0" w:line="240" w:lineRule="auto"/>
              <w:ind w:left="341"/>
              <w:jc w:val="left"/>
              <w:rPr>
                <w:b/>
                <w:sz w:val="24"/>
              </w:rPr>
            </w:pPr>
            <w:r w:rsidRPr="00180A33">
              <w:rPr>
                <w:bCs/>
                <w:sz w:val="24"/>
              </w:rPr>
              <w:t>Environmental Mastery</w:t>
            </w:r>
          </w:p>
        </w:tc>
        <w:tc>
          <w:tcPr>
            <w:tcW w:w="1889" w:type="dxa"/>
          </w:tcPr>
          <w:p w14:paraId="056770D6" w14:textId="77777777" w:rsidR="003A4F3C" w:rsidRPr="00180A33" w:rsidRDefault="003A4F3C" w:rsidP="002716C9">
            <w:pPr>
              <w:spacing w:after="0" w:line="240" w:lineRule="auto"/>
              <w:jc w:val="center"/>
              <w:rPr>
                <w:sz w:val="24"/>
              </w:rPr>
            </w:pPr>
            <w:r w:rsidRPr="00180A33">
              <w:rPr>
                <w:sz w:val="24"/>
              </w:rPr>
              <w:t>0.626</w:t>
            </w:r>
          </w:p>
        </w:tc>
        <w:tc>
          <w:tcPr>
            <w:tcW w:w="1889" w:type="dxa"/>
            <w:shd w:val="clear" w:color="auto" w:fill="auto"/>
          </w:tcPr>
          <w:p w14:paraId="6C606C86" w14:textId="77777777" w:rsidR="003A4F3C" w:rsidRPr="00180A33" w:rsidRDefault="003A4F3C" w:rsidP="002716C9">
            <w:pPr>
              <w:spacing w:after="0" w:line="240" w:lineRule="auto"/>
              <w:jc w:val="center"/>
              <w:rPr>
                <w:sz w:val="24"/>
              </w:rPr>
            </w:pPr>
            <w:r w:rsidRPr="00180A33">
              <w:rPr>
                <w:sz w:val="24"/>
              </w:rPr>
              <w:t>3.13</w:t>
            </w:r>
          </w:p>
        </w:tc>
        <w:tc>
          <w:tcPr>
            <w:tcW w:w="1692" w:type="dxa"/>
            <w:shd w:val="clear" w:color="auto" w:fill="auto"/>
          </w:tcPr>
          <w:p w14:paraId="4A304604" w14:textId="77777777" w:rsidR="003A4F3C" w:rsidRPr="00180A33" w:rsidRDefault="003A4F3C" w:rsidP="002716C9">
            <w:pPr>
              <w:spacing w:after="0" w:line="240" w:lineRule="auto"/>
              <w:jc w:val="center"/>
              <w:rPr>
                <w:sz w:val="24"/>
              </w:rPr>
            </w:pPr>
            <w:r w:rsidRPr="00180A33">
              <w:rPr>
                <w:sz w:val="24"/>
              </w:rPr>
              <w:t>High</w:t>
            </w:r>
          </w:p>
        </w:tc>
      </w:tr>
      <w:tr w:rsidR="003A4F3C" w:rsidRPr="00180A33" w14:paraId="23B83DBC" w14:textId="77777777" w:rsidTr="002716C9">
        <w:trPr>
          <w:trHeight w:val="260"/>
          <w:jc w:val="center"/>
        </w:trPr>
        <w:tc>
          <w:tcPr>
            <w:tcW w:w="3420" w:type="dxa"/>
            <w:shd w:val="clear" w:color="auto" w:fill="auto"/>
          </w:tcPr>
          <w:p w14:paraId="0E3CADEB" w14:textId="77777777" w:rsidR="003A4F3C" w:rsidRPr="00180A33" w:rsidRDefault="003A4F3C" w:rsidP="002716C9">
            <w:pPr>
              <w:spacing w:after="0" w:line="240" w:lineRule="auto"/>
              <w:ind w:left="341"/>
              <w:jc w:val="left"/>
              <w:rPr>
                <w:b/>
                <w:sz w:val="24"/>
              </w:rPr>
            </w:pPr>
            <w:r w:rsidRPr="00180A33">
              <w:rPr>
                <w:bCs/>
                <w:sz w:val="24"/>
              </w:rPr>
              <w:t>Personal Growth</w:t>
            </w:r>
          </w:p>
        </w:tc>
        <w:tc>
          <w:tcPr>
            <w:tcW w:w="1889" w:type="dxa"/>
          </w:tcPr>
          <w:p w14:paraId="48E8C665" w14:textId="77777777" w:rsidR="003A4F3C" w:rsidRPr="00180A33" w:rsidRDefault="003A4F3C" w:rsidP="002716C9">
            <w:pPr>
              <w:spacing w:after="0" w:line="240" w:lineRule="auto"/>
              <w:jc w:val="center"/>
              <w:rPr>
                <w:sz w:val="24"/>
              </w:rPr>
            </w:pPr>
            <w:r w:rsidRPr="00180A33">
              <w:rPr>
                <w:sz w:val="24"/>
              </w:rPr>
              <w:t>0.627</w:t>
            </w:r>
          </w:p>
        </w:tc>
        <w:tc>
          <w:tcPr>
            <w:tcW w:w="1889" w:type="dxa"/>
            <w:shd w:val="clear" w:color="auto" w:fill="auto"/>
          </w:tcPr>
          <w:p w14:paraId="250FE91C" w14:textId="77777777" w:rsidR="003A4F3C" w:rsidRPr="00180A33" w:rsidRDefault="003A4F3C" w:rsidP="002716C9">
            <w:pPr>
              <w:spacing w:after="0" w:line="240" w:lineRule="auto"/>
              <w:jc w:val="center"/>
              <w:rPr>
                <w:sz w:val="24"/>
              </w:rPr>
            </w:pPr>
            <w:r w:rsidRPr="00180A33">
              <w:rPr>
                <w:sz w:val="24"/>
              </w:rPr>
              <w:t>2.98</w:t>
            </w:r>
          </w:p>
        </w:tc>
        <w:tc>
          <w:tcPr>
            <w:tcW w:w="1692" w:type="dxa"/>
            <w:shd w:val="clear" w:color="auto" w:fill="auto"/>
          </w:tcPr>
          <w:p w14:paraId="6E6E9788" w14:textId="77777777" w:rsidR="003A4F3C" w:rsidRPr="00180A33" w:rsidRDefault="003A4F3C" w:rsidP="002716C9">
            <w:pPr>
              <w:spacing w:after="0" w:line="240" w:lineRule="auto"/>
              <w:jc w:val="center"/>
              <w:rPr>
                <w:sz w:val="24"/>
              </w:rPr>
            </w:pPr>
            <w:r w:rsidRPr="00180A33">
              <w:rPr>
                <w:sz w:val="24"/>
              </w:rPr>
              <w:t>High</w:t>
            </w:r>
          </w:p>
        </w:tc>
      </w:tr>
      <w:tr w:rsidR="003A4F3C" w:rsidRPr="00180A33" w14:paraId="31430F8B" w14:textId="77777777" w:rsidTr="002716C9">
        <w:trPr>
          <w:trHeight w:val="260"/>
          <w:jc w:val="center"/>
        </w:trPr>
        <w:tc>
          <w:tcPr>
            <w:tcW w:w="3420" w:type="dxa"/>
            <w:tcBorders>
              <w:bottom w:val="nil"/>
            </w:tcBorders>
            <w:shd w:val="clear" w:color="auto" w:fill="auto"/>
          </w:tcPr>
          <w:p w14:paraId="6E251C8D" w14:textId="77777777" w:rsidR="003A4F3C" w:rsidRPr="00180A33" w:rsidRDefault="003A4F3C" w:rsidP="002716C9">
            <w:pPr>
              <w:spacing w:after="0" w:line="240" w:lineRule="auto"/>
              <w:ind w:left="341"/>
              <w:jc w:val="left"/>
              <w:rPr>
                <w:b/>
                <w:sz w:val="24"/>
              </w:rPr>
            </w:pPr>
            <w:r w:rsidRPr="00180A33">
              <w:rPr>
                <w:bCs/>
                <w:sz w:val="24"/>
              </w:rPr>
              <w:t>Positive Relations</w:t>
            </w:r>
          </w:p>
        </w:tc>
        <w:tc>
          <w:tcPr>
            <w:tcW w:w="1889" w:type="dxa"/>
            <w:tcBorders>
              <w:bottom w:val="nil"/>
            </w:tcBorders>
          </w:tcPr>
          <w:p w14:paraId="20C54376" w14:textId="77777777" w:rsidR="003A4F3C" w:rsidRPr="00180A33" w:rsidRDefault="003A4F3C" w:rsidP="002716C9">
            <w:pPr>
              <w:spacing w:after="0" w:line="240" w:lineRule="auto"/>
              <w:jc w:val="center"/>
              <w:rPr>
                <w:sz w:val="24"/>
              </w:rPr>
            </w:pPr>
            <w:r w:rsidRPr="00180A33">
              <w:rPr>
                <w:sz w:val="24"/>
              </w:rPr>
              <w:t>0.670</w:t>
            </w:r>
          </w:p>
        </w:tc>
        <w:tc>
          <w:tcPr>
            <w:tcW w:w="1889" w:type="dxa"/>
            <w:tcBorders>
              <w:bottom w:val="nil"/>
            </w:tcBorders>
            <w:shd w:val="clear" w:color="auto" w:fill="auto"/>
          </w:tcPr>
          <w:p w14:paraId="4AB9D19F" w14:textId="77777777" w:rsidR="003A4F3C" w:rsidRPr="00180A33" w:rsidRDefault="003A4F3C" w:rsidP="002716C9">
            <w:pPr>
              <w:spacing w:after="0" w:line="240" w:lineRule="auto"/>
              <w:jc w:val="center"/>
              <w:rPr>
                <w:sz w:val="24"/>
              </w:rPr>
            </w:pPr>
            <w:r w:rsidRPr="00180A33">
              <w:rPr>
                <w:sz w:val="24"/>
              </w:rPr>
              <w:t>2.97</w:t>
            </w:r>
          </w:p>
        </w:tc>
        <w:tc>
          <w:tcPr>
            <w:tcW w:w="1692" w:type="dxa"/>
            <w:tcBorders>
              <w:bottom w:val="nil"/>
            </w:tcBorders>
            <w:shd w:val="clear" w:color="auto" w:fill="auto"/>
          </w:tcPr>
          <w:p w14:paraId="55AB8CBD" w14:textId="77777777" w:rsidR="003A4F3C" w:rsidRPr="00180A33" w:rsidRDefault="003A4F3C" w:rsidP="002716C9">
            <w:pPr>
              <w:spacing w:after="0" w:line="240" w:lineRule="auto"/>
              <w:jc w:val="center"/>
              <w:rPr>
                <w:sz w:val="24"/>
              </w:rPr>
            </w:pPr>
            <w:r w:rsidRPr="00180A33">
              <w:rPr>
                <w:sz w:val="24"/>
              </w:rPr>
              <w:t>High</w:t>
            </w:r>
          </w:p>
        </w:tc>
      </w:tr>
      <w:tr w:rsidR="003A4F3C" w:rsidRPr="00180A33" w14:paraId="7D7BCE99" w14:textId="77777777" w:rsidTr="002716C9">
        <w:trPr>
          <w:trHeight w:val="260"/>
          <w:jc w:val="center"/>
        </w:trPr>
        <w:tc>
          <w:tcPr>
            <w:tcW w:w="3420" w:type="dxa"/>
            <w:tcBorders>
              <w:top w:val="nil"/>
              <w:bottom w:val="single" w:sz="4" w:space="0" w:color="auto"/>
            </w:tcBorders>
            <w:shd w:val="clear" w:color="auto" w:fill="auto"/>
          </w:tcPr>
          <w:p w14:paraId="74B81C03" w14:textId="77777777" w:rsidR="003A4F3C" w:rsidRPr="00180A33" w:rsidRDefault="003A4F3C" w:rsidP="002716C9">
            <w:pPr>
              <w:spacing w:after="0" w:line="240" w:lineRule="auto"/>
              <w:ind w:left="341"/>
              <w:jc w:val="left"/>
              <w:rPr>
                <w:bCs/>
                <w:sz w:val="24"/>
              </w:rPr>
            </w:pPr>
            <w:r w:rsidRPr="00180A33">
              <w:rPr>
                <w:bCs/>
                <w:sz w:val="24"/>
              </w:rPr>
              <w:t>Purpose in Life</w:t>
            </w:r>
          </w:p>
        </w:tc>
        <w:tc>
          <w:tcPr>
            <w:tcW w:w="1889" w:type="dxa"/>
            <w:tcBorders>
              <w:top w:val="nil"/>
              <w:bottom w:val="single" w:sz="4" w:space="0" w:color="auto"/>
            </w:tcBorders>
          </w:tcPr>
          <w:p w14:paraId="56179B18" w14:textId="77777777" w:rsidR="003A4F3C" w:rsidRPr="00180A33" w:rsidRDefault="003A4F3C" w:rsidP="002716C9">
            <w:pPr>
              <w:spacing w:after="0" w:line="240" w:lineRule="auto"/>
              <w:jc w:val="center"/>
              <w:rPr>
                <w:sz w:val="24"/>
              </w:rPr>
            </w:pPr>
            <w:r w:rsidRPr="00180A33">
              <w:rPr>
                <w:sz w:val="24"/>
              </w:rPr>
              <w:t>0.678</w:t>
            </w:r>
          </w:p>
        </w:tc>
        <w:tc>
          <w:tcPr>
            <w:tcW w:w="1889" w:type="dxa"/>
            <w:tcBorders>
              <w:top w:val="nil"/>
              <w:bottom w:val="single" w:sz="4" w:space="0" w:color="auto"/>
            </w:tcBorders>
            <w:shd w:val="clear" w:color="auto" w:fill="auto"/>
          </w:tcPr>
          <w:p w14:paraId="62A5D93C" w14:textId="77777777" w:rsidR="003A4F3C" w:rsidRPr="00180A33" w:rsidRDefault="003A4F3C" w:rsidP="002716C9">
            <w:pPr>
              <w:spacing w:after="0" w:line="240" w:lineRule="auto"/>
              <w:jc w:val="center"/>
              <w:rPr>
                <w:sz w:val="24"/>
                <w:lang w:val="en-US"/>
              </w:rPr>
            </w:pPr>
            <w:r w:rsidRPr="00180A33">
              <w:rPr>
                <w:sz w:val="24"/>
              </w:rPr>
              <w:t>2.92</w:t>
            </w:r>
          </w:p>
        </w:tc>
        <w:tc>
          <w:tcPr>
            <w:tcW w:w="1692" w:type="dxa"/>
            <w:tcBorders>
              <w:top w:val="nil"/>
              <w:bottom w:val="single" w:sz="4" w:space="0" w:color="auto"/>
            </w:tcBorders>
            <w:shd w:val="clear" w:color="auto" w:fill="auto"/>
          </w:tcPr>
          <w:p w14:paraId="0F8BB3C2" w14:textId="77777777" w:rsidR="003A4F3C" w:rsidRPr="00180A33" w:rsidRDefault="003A4F3C" w:rsidP="002716C9">
            <w:pPr>
              <w:spacing w:after="0" w:line="240" w:lineRule="auto"/>
              <w:jc w:val="center"/>
              <w:rPr>
                <w:sz w:val="24"/>
              </w:rPr>
            </w:pPr>
            <w:r w:rsidRPr="00180A33">
              <w:rPr>
                <w:sz w:val="24"/>
              </w:rPr>
              <w:t>High</w:t>
            </w:r>
          </w:p>
        </w:tc>
      </w:tr>
    </w:tbl>
    <w:p w14:paraId="65F9161D" w14:textId="77777777" w:rsidR="003A4F3C" w:rsidRPr="00180A33" w:rsidRDefault="003A4F3C" w:rsidP="00D11A06">
      <w:pPr>
        <w:ind w:firstLine="710"/>
        <w:rPr>
          <w:sz w:val="24"/>
        </w:rPr>
      </w:pPr>
    </w:p>
    <w:p w14:paraId="5C7EE06C" w14:textId="77777777" w:rsidR="00E67FE7" w:rsidRPr="00180A33" w:rsidRDefault="001B1239" w:rsidP="00FD6EC8">
      <w:pPr>
        <w:ind w:firstLine="710"/>
        <w:rPr>
          <w:sz w:val="24"/>
        </w:rPr>
      </w:pPr>
      <w:r w:rsidRPr="00180A33">
        <w:rPr>
          <w:sz w:val="24"/>
        </w:rPr>
        <w:t xml:space="preserve">Presented in Table 1 is </w:t>
      </w:r>
      <w:r w:rsidR="00F728E7" w:rsidRPr="00180A33">
        <w:rPr>
          <w:sz w:val="24"/>
        </w:rPr>
        <w:t xml:space="preserve">the descriptive statistics of the three major variables in the study: teacher burnout, instructional adaptations, and psychological well-being, along with their respective indicators. </w:t>
      </w:r>
      <w:r w:rsidR="0090688A" w:rsidRPr="00180A33">
        <w:rPr>
          <w:sz w:val="24"/>
        </w:rPr>
        <w:t xml:space="preserve">The overall level of teacher burnout was low, with a mean of 2.49 and a standard deviation of 0.378, indicating that burnout was rarely observed among general education teachers. Among its indicators, personal achievement had the highest mean of 2.68 and standard deviation of 0.595, followed by emotional exhaustion with a mean of 2.44 and standard deviation of 0.506. Depersonalization had the lowest mean of 2.37 and a standard deviation of 0.525. </w:t>
      </w:r>
    </w:p>
    <w:p w14:paraId="311A969E" w14:textId="77777777" w:rsidR="00E67FE7" w:rsidRPr="00180A33" w:rsidRDefault="0090688A" w:rsidP="00E67FE7">
      <w:pPr>
        <w:spacing w:before="240"/>
        <w:ind w:firstLine="710"/>
        <w:rPr>
          <w:sz w:val="24"/>
        </w:rPr>
      </w:pPr>
      <w:r w:rsidRPr="00180A33">
        <w:rPr>
          <w:sz w:val="24"/>
        </w:rPr>
        <w:t xml:space="preserve">In contrast, instructional adaptations were rated high overall, with a mean of 2.71 and standard deviation of 0.462, suggesting that these practices were </w:t>
      </w:r>
      <w:r w:rsidR="008820BE" w:rsidRPr="00180A33">
        <w:rPr>
          <w:sz w:val="24"/>
        </w:rPr>
        <w:t xml:space="preserve">oftentimes </w:t>
      </w:r>
      <w:r w:rsidRPr="00180A33">
        <w:rPr>
          <w:sz w:val="24"/>
        </w:rPr>
        <w:t xml:space="preserve">observed. The highest-rated indicator was formative assessment with a mean of 2.76 and standard deviation of 0.669, followed by grouping strategies with a mean of 2.74 and standard deviation of 0.614, and activity adjustment with a mean of 2.72 and standard deviation of 0.547. Additional teaching also had a </w:t>
      </w:r>
      <w:r w:rsidRPr="00180A33">
        <w:rPr>
          <w:sz w:val="24"/>
        </w:rPr>
        <w:lastRenderedPageBreak/>
        <w:t xml:space="preserve">mean of 2.72 and standard deviation of 0.547, while classroom management strategies had the lowest mean of 2.64 and standard deviation of 0.506. All indicators in instructional adaptations were rated high. </w:t>
      </w:r>
    </w:p>
    <w:p w14:paraId="6BB94DF6" w14:textId="0A74778A" w:rsidR="0090688A" w:rsidRPr="00180A33" w:rsidRDefault="0090688A" w:rsidP="00E67FE7">
      <w:pPr>
        <w:spacing w:before="240"/>
        <w:ind w:firstLine="710"/>
        <w:rPr>
          <w:sz w:val="24"/>
        </w:rPr>
      </w:pPr>
      <w:r w:rsidRPr="00180A33">
        <w:rPr>
          <w:sz w:val="24"/>
        </w:rPr>
        <w:t>Furthermore, the psychological well-being of general education teachers was also rated high overall, with a mean of 3.03 and standard deviation of 0.396, indicating that the teachers demonstrated good psychological well-being. Among its indicators, autonomy had the highest mean of 3.15 and standard deviation of 0.596, followed by environmental mastery with a mean of 3.13 and standard deviation of 0.626, and self-acceptance with a mean of 3.04 and standard deviation of 0.577. This was followed by personal growth with a mean of 2.98 and standard deviation of 0.627, positive relations with a mean of 2.97 and standard deviation of 0.670, and purpose in life, which had the lowest mean of 2.92 and standard deviation of 0.678.</w:t>
      </w:r>
    </w:p>
    <w:p w14:paraId="30AB879C" w14:textId="2B464D75" w:rsidR="0090688A" w:rsidRPr="00180A33" w:rsidRDefault="0090688A" w:rsidP="00512892">
      <w:pPr>
        <w:spacing w:before="240"/>
        <w:ind w:left="360" w:right="363"/>
        <w:rPr>
          <w:bCs/>
          <w:i/>
          <w:iCs/>
          <w:sz w:val="24"/>
        </w:rPr>
      </w:pPr>
      <w:r w:rsidRPr="00180A33">
        <w:rPr>
          <w:b/>
          <w:sz w:val="24"/>
        </w:rPr>
        <w:t>Table 2. Test of Relationship</w:t>
      </w:r>
      <w:r w:rsidR="00512892" w:rsidRPr="00180A33">
        <w:rPr>
          <w:b/>
          <w:sz w:val="24"/>
        </w:rPr>
        <w:t xml:space="preserve"> of Teacher Burnout and Instructional Adaptations on the Psychological Well-Being of General Education Teachers Handling Learners with Disabilities in Inclusive Classrooms</w:t>
      </w:r>
    </w:p>
    <w:tbl>
      <w:tblPr>
        <w:tblW w:w="8720" w:type="dxa"/>
        <w:jc w:val="center"/>
        <w:tblLayout w:type="fixed"/>
        <w:tblLook w:val="0400" w:firstRow="0" w:lastRow="0" w:firstColumn="0" w:lastColumn="0" w:noHBand="0" w:noVBand="1"/>
      </w:tblPr>
      <w:tblGrid>
        <w:gridCol w:w="2995"/>
        <w:gridCol w:w="853"/>
        <w:gridCol w:w="1325"/>
        <w:gridCol w:w="1725"/>
        <w:gridCol w:w="1822"/>
      </w:tblGrid>
      <w:tr w:rsidR="0090688A" w:rsidRPr="00180A33" w14:paraId="2E051D99" w14:textId="77777777" w:rsidTr="002716C9">
        <w:trPr>
          <w:trHeight w:val="259"/>
          <w:jc w:val="center"/>
        </w:trPr>
        <w:tc>
          <w:tcPr>
            <w:tcW w:w="2995" w:type="dxa"/>
            <w:tcBorders>
              <w:top w:val="double" w:sz="4" w:space="0" w:color="auto"/>
            </w:tcBorders>
            <w:tcMar>
              <w:top w:w="0" w:type="dxa"/>
              <w:left w:w="115" w:type="dxa"/>
              <w:bottom w:w="0" w:type="dxa"/>
              <w:right w:w="115" w:type="dxa"/>
            </w:tcMar>
          </w:tcPr>
          <w:p w14:paraId="3F7E3687" w14:textId="77777777" w:rsidR="0090688A" w:rsidRPr="00180A33" w:rsidRDefault="0090688A" w:rsidP="002716C9">
            <w:pPr>
              <w:spacing w:after="0"/>
              <w:rPr>
                <w:sz w:val="24"/>
              </w:rPr>
            </w:pPr>
          </w:p>
        </w:tc>
        <w:tc>
          <w:tcPr>
            <w:tcW w:w="5725" w:type="dxa"/>
            <w:gridSpan w:val="4"/>
            <w:tcBorders>
              <w:top w:val="double" w:sz="4" w:space="0" w:color="auto"/>
            </w:tcBorders>
          </w:tcPr>
          <w:p w14:paraId="67FE9E20" w14:textId="77777777" w:rsidR="0090688A" w:rsidRPr="00180A33" w:rsidRDefault="0090688A" w:rsidP="002716C9">
            <w:pPr>
              <w:spacing w:after="0"/>
              <w:jc w:val="center"/>
              <w:rPr>
                <w:sz w:val="24"/>
              </w:rPr>
            </w:pPr>
            <w:r w:rsidRPr="00180A33">
              <w:rPr>
                <w:b/>
                <w:sz w:val="24"/>
              </w:rPr>
              <w:t>Psychological Well-Being</w:t>
            </w:r>
          </w:p>
        </w:tc>
      </w:tr>
      <w:tr w:rsidR="0090688A" w:rsidRPr="00180A33" w14:paraId="66127C3E" w14:textId="77777777" w:rsidTr="0090688A">
        <w:trPr>
          <w:trHeight w:val="277"/>
          <w:jc w:val="center"/>
        </w:trPr>
        <w:tc>
          <w:tcPr>
            <w:tcW w:w="2995" w:type="dxa"/>
            <w:tcMar>
              <w:top w:w="0" w:type="dxa"/>
              <w:left w:w="115" w:type="dxa"/>
              <w:bottom w:w="0" w:type="dxa"/>
              <w:right w:w="115" w:type="dxa"/>
            </w:tcMar>
          </w:tcPr>
          <w:p w14:paraId="154D469C" w14:textId="77777777" w:rsidR="0090688A" w:rsidRPr="00180A33" w:rsidRDefault="0090688A" w:rsidP="002716C9">
            <w:pPr>
              <w:spacing w:after="0"/>
              <w:rPr>
                <w:sz w:val="24"/>
              </w:rPr>
            </w:pPr>
          </w:p>
        </w:tc>
        <w:tc>
          <w:tcPr>
            <w:tcW w:w="853" w:type="dxa"/>
            <w:tcBorders>
              <w:bottom w:val="single" w:sz="4" w:space="0" w:color="auto"/>
            </w:tcBorders>
            <w:tcMar>
              <w:top w:w="0" w:type="dxa"/>
              <w:left w:w="115" w:type="dxa"/>
              <w:bottom w:w="0" w:type="dxa"/>
              <w:right w:w="115" w:type="dxa"/>
            </w:tcMar>
          </w:tcPr>
          <w:p w14:paraId="509A81D9" w14:textId="77777777" w:rsidR="0090688A" w:rsidRPr="00180A33" w:rsidRDefault="0090688A" w:rsidP="002716C9">
            <w:pPr>
              <w:spacing w:after="0"/>
              <w:jc w:val="center"/>
              <w:rPr>
                <w:sz w:val="24"/>
              </w:rPr>
            </w:pPr>
            <w:proofErr w:type="spellStart"/>
            <w:r w:rsidRPr="00180A33">
              <w:rPr>
                <w:sz w:val="24"/>
              </w:rPr>
              <w:t>r-value</w:t>
            </w:r>
            <w:proofErr w:type="spellEnd"/>
          </w:p>
        </w:tc>
        <w:tc>
          <w:tcPr>
            <w:tcW w:w="1325" w:type="dxa"/>
            <w:tcBorders>
              <w:bottom w:val="single" w:sz="4" w:space="0" w:color="auto"/>
            </w:tcBorders>
            <w:tcMar>
              <w:top w:w="0" w:type="dxa"/>
              <w:left w:w="115" w:type="dxa"/>
              <w:bottom w:w="0" w:type="dxa"/>
              <w:right w:w="115" w:type="dxa"/>
            </w:tcMar>
          </w:tcPr>
          <w:p w14:paraId="52743DFE" w14:textId="77777777" w:rsidR="0090688A" w:rsidRPr="00180A33" w:rsidRDefault="0090688A" w:rsidP="002716C9">
            <w:pPr>
              <w:spacing w:after="0"/>
              <w:jc w:val="center"/>
              <w:rPr>
                <w:sz w:val="24"/>
              </w:rPr>
            </w:pPr>
            <w:r w:rsidRPr="00180A33">
              <w:rPr>
                <w:sz w:val="24"/>
              </w:rPr>
              <w:t>p-value</w:t>
            </w:r>
          </w:p>
        </w:tc>
        <w:tc>
          <w:tcPr>
            <w:tcW w:w="1725" w:type="dxa"/>
            <w:tcBorders>
              <w:bottom w:val="single" w:sz="4" w:space="0" w:color="auto"/>
            </w:tcBorders>
          </w:tcPr>
          <w:p w14:paraId="507B2325" w14:textId="77777777" w:rsidR="0090688A" w:rsidRPr="00180A33" w:rsidRDefault="0090688A" w:rsidP="002716C9">
            <w:pPr>
              <w:spacing w:after="0"/>
              <w:jc w:val="center"/>
              <w:rPr>
                <w:sz w:val="24"/>
              </w:rPr>
            </w:pPr>
            <w:r w:rsidRPr="00180A33">
              <w:rPr>
                <w:sz w:val="24"/>
              </w:rPr>
              <w:t>Decision on Ho</w:t>
            </w:r>
          </w:p>
        </w:tc>
        <w:tc>
          <w:tcPr>
            <w:tcW w:w="1822" w:type="dxa"/>
            <w:tcBorders>
              <w:bottom w:val="single" w:sz="4" w:space="0" w:color="auto"/>
            </w:tcBorders>
            <w:tcMar>
              <w:top w:w="0" w:type="dxa"/>
              <w:left w:w="115" w:type="dxa"/>
              <w:bottom w:w="0" w:type="dxa"/>
              <w:right w:w="115" w:type="dxa"/>
            </w:tcMar>
          </w:tcPr>
          <w:p w14:paraId="1F003589" w14:textId="77777777" w:rsidR="0090688A" w:rsidRPr="00180A33" w:rsidRDefault="0090688A" w:rsidP="002716C9">
            <w:pPr>
              <w:spacing w:after="0"/>
              <w:jc w:val="center"/>
              <w:rPr>
                <w:sz w:val="24"/>
              </w:rPr>
            </w:pPr>
            <w:r w:rsidRPr="00180A33">
              <w:rPr>
                <w:sz w:val="24"/>
              </w:rPr>
              <w:t>Interpretation</w:t>
            </w:r>
          </w:p>
        </w:tc>
      </w:tr>
      <w:tr w:rsidR="0090688A" w:rsidRPr="00180A33" w14:paraId="6C9BAAAC" w14:textId="77777777" w:rsidTr="0090688A">
        <w:trPr>
          <w:trHeight w:val="282"/>
          <w:jc w:val="center"/>
        </w:trPr>
        <w:tc>
          <w:tcPr>
            <w:tcW w:w="2995" w:type="dxa"/>
            <w:tcMar>
              <w:top w:w="0" w:type="dxa"/>
              <w:left w:w="115" w:type="dxa"/>
              <w:bottom w:w="0" w:type="dxa"/>
              <w:right w:w="115" w:type="dxa"/>
            </w:tcMar>
          </w:tcPr>
          <w:p w14:paraId="6E354E8E" w14:textId="77777777" w:rsidR="0090688A" w:rsidRPr="00180A33" w:rsidRDefault="0090688A" w:rsidP="002716C9">
            <w:pPr>
              <w:spacing w:after="0"/>
              <w:jc w:val="left"/>
              <w:rPr>
                <w:sz w:val="24"/>
              </w:rPr>
            </w:pPr>
            <w:r w:rsidRPr="00180A33">
              <w:rPr>
                <w:b/>
                <w:sz w:val="24"/>
              </w:rPr>
              <w:t>Teacher Burnout</w:t>
            </w:r>
          </w:p>
        </w:tc>
        <w:tc>
          <w:tcPr>
            <w:tcW w:w="853" w:type="dxa"/>
            <w:tcBorders>
              <w:top w:val="single" w:sz="4" w:space="0" w:color="auto"/>
            </w:tcBorders>
            <w:tcMar>
              <w:top w:w="0" w:type="dxa"/>
              <w:left w:w="115" w:type="dxa"/>
              <w:bottom w:w="0" w:type="dxa"/>
              <w:right w:w="115" w:type="dxa"/>
            </w:tcMar>
          </w:tcPr>
          <w:p w14:paraId="0E139D58" w14:textId="77777777" w:rsidR="0090688A" w:rsidRPr="00180A33" w:rsidRDefault="0090688A" w:rsidP="002716C9">
            <w:pPr>
              <w:spacing w:after="0"/>
              <w:jc w:val="center"/>
              <w:rPr>
                <w:sz w:val="24"/>
              </w:rPr>
            </w:pPr>
            <w:r w:rsidRPr="00180A33">
              <w:rPr>
                <w:sz w:val="24"/>
              </w:rPr>
              <w:t>0.427</w:t>
            </w:r>
          </w:p>
        </w:tc>
        <w:tc>
          <w:tcPr>
            <w:tcW w:w="1325" w:type="dxa"/>
            <w:tcBorders>
              <w:top w:val="single" w:sz="4" w:space="0" w:color="auto"/>
            </w:tcBorders>
            <w:tcMar>
              <w:top w:w="0" w:type="dxa"/>
              <w:left w:w="115" w:type="dxa"/>
              <w:bottom w:w="0" w:type="dxa"/>
              <w:right w:w="115" w:type="dxa"/>
            </w:tcMar>
          </w:tcPr>
          <w:p w14:paraId="2187E0E8" w14:textId="77777777" w:rsidR="0090688A" w:rsidRPr="00180A33" w:rsidRDefault="0090688A" w:rsidP="002716C9">
            <w:pPr>
              <w:spacing w:after="0"/>
              <w:jc w:val="center"/>
              <w:rPr>
                <w:sz w:val="24"/>
              </w:rPr>
            </w:pPr>
            <w:r w:rsidRPr="00180A33">
              <w:rPr>
                <w:sz w:val="24"/>
              </w:rPr>
              <w:t>.000</w:t>
            </w:r>
          </w:p>
        </w:tc>
        <w:tc>
          <w:tcPr>
            <w:tcW w:w="1725" w:type="dxa"/>
            <w:tcBorders>
              <w:top w:val="single" w:sz="4" w:space="0" w:color="auto"/>
            </w:tcBorders>
          </w:tcPr>
          <w:p w14:paraId="74CBF700" w14:textId="77777777" w:rsidR="0090688A" w:rsidRPr="00180A33" w:rsidRDefault="0090688A" w:rsidP="002716C9">
            <w:pPr>
              <w:spacing w:after="0"/>
              <w:jc w:val="center"/>
              <w:rPr>
                <w:sz w:val="24"/>
              </w:rPr>
            </w:pPr>
            <w:r w:rsidRPr="00180A33">
              <w:rPr>
                <w:sz w:val="24"/>
              </w:rPr>
              <w:t>Reject</w:t>
            </w:r>
          </w:p>
        </w:tc>
        <w:tc>
          <w:tcPr>
            <w:tcW w:w="1822" w:type="dxa"/>
            <w:tcBorders>
              <w:top w:val="single" w:sz="4" w:space="0" w:color="auto"/>
            </w:tcBorders>
            <w:tcMar>
              <w:top w:w="0" w:type="dxa"/>
              <w:left w:w="115" w:type="dxa"/>
              <w:bottom w:w="0" w:type="dxa"/>
              <w:right w:w="115" w:type="dxa"/>
            </w:tcMar>
          </w:tcPr>
          <w:p w14:paraId="4FCFA938" w14:textId="77777777" w:rsidR="0090688A" w:rsidRPr="00180A33" w:rsidRDefault="0090688A" w:rsidP="002716C9">
            <w:pPr>
              <w:spacing w:after="0"/>
              <w:jc w:val="center"/>
              <w:rPr>
                <w:sz w:val="24"/>
              </w:rPr>
            </w:pPr>
            <w:r w:rsidRPr="00180A33">
              <w:rPr>
                <w:sz w:val="24"/>
              </w:rPr>
              <w:t>Significant</w:t>
            </w:r>
          </w:p>
        </w:tc>
      </w:tr>
      <w:tr w:rsidR="0090688A" w:rsidRPr="00180A33" w14:paraId="1863E606" w14:textId="77777777" w:rsidTr="0090688A">
        <w:trPr>
          <w:trHeight w:val="184"/>
          <w:jc w:val="center"/>
        </w:trPr>
        <w:tc>
          <w:tcPr>
            <w:tcW w:w="2995" w:type="dxa"/>
            <w:tcBorders>
              <w:bottom w:val="single" w:sz="4" w:space="0" w:color="auto"/>
            </w:tcBorders>
            <w:tcMar>
              <w:top w:w="0" w:type="dxa"/>
              <w:left w:w="115" w:type="dxa"/>
              <w:bottom w:w="0" w:type="dxa"/>
              <w:right w:w="115" w:type="dxa"/>
            </w:tcMar>
          </w:tcPr>
          <w:p w14:paraId="2AEF86D1" w14:textId="77777777" w:rsidR="0090688A" w:rsidRPr="00180A33" w:rsidRDefault="0090688A" w:rsidP="002716C9">
            <w:pPr>
              <w:spacing w:after="0"/>
              <w:jc w:val="left"/>
              <w:rPr>
                <w:b/>
                <w:sz w:val="24"/>
              </w:rPr>
            </w:pPr>
            <w:r w:rsidRPr="00180A33">
              <w:rPr>
                <w:b/>
                <w:sz w:val="24"/>
              </w:rPr>
              <w:t>Instructional Adaptations</w:t>
            </w:r>
          </w:p>
        </w:tc>
        <w:tc>
          <w:tcPr>
            <w:tcW w:w="853" w:type="dxa"/>
            <w:tcBorders>
              <w:bottom w:val="single" w:sz="4" w:space="0" w:color="auto"/>
            </w:tcBorders>
            <w:tcMar>
              <w:top w:w="0" w:type="dxa"/>
              <w:left w:w="115" w:type="dxa"/>
              <w:bottom w:w="0" w:type="dxa"/>
              <w:right w:w="115" w:type="dxa"/>
            </w:tcMar>
          </w:tcPr>
          <w:p w14:paraId="4213BCFE" w14:textId="77777777" w:rsidR="0090688A" w:rsidRPr="00180A33" w:rsidRDefault="0090688A" w:rsidP="002716C9">
            <w:pPr>
              <w:spacing w:after="0"/>
              <w:jc w:val="center"/>
              <w:rPr>
                <w:sz w:val="24"/>
              </w:rPr>
            </w:pPr>
            <w:r w:rsidRPr="00180A33">
              <w:rPr>
                <w:sz w:val="24"/>
              </w:rPr>
              <w:t xml:space="preserve">0.337 </w:t>
            </w:r>
          </w:p>
        </w:tc>
        <w:tc>
          <w:tcPr>
            <w:tcW w:w="1325" w:type="dxa"/>
            <w:tcBorders>
              <w:bottom w:val="single" w:sz="4" w:space="0" w:color="auto"/>
            </w:tcBorders>
            <w:tcMar>
              <w:top w:w="0" w:type="dxa"/>
              <w:left w:w="115" w:type="dxa"/>
              <w:bottom w:w="0" w:type="dxa"/>
              <w:right w:w="115" w:type="dxa"/>
            </w:tcMar>
          </w:tcPr>
          <w:p w14:paraId="0A46378A" w14:textId="77777777" w:rsidR="0090688A" w:rsidRPr="00180A33" w:rsidRDefault="0090688A" w:rsidP="002716C9">
            <w:pPr>
              <w:spacing w:after="0"/>
              <w:jc w:val="center"/>
              <w:rPr>
                <w:sz w:val="24"/>
              </w:rPr>
            </w:pPr>
            <w:r w:rsidRPr="00180A33">
              <w:rPr>
                <w:sz w:val="24"/>
              </w:rPr>
              <w:t>.000</w:t>
            </w:r>
          </w:p>
        </w:tc>
        <w:tc>
          <w:tcPr>
            <w:tcW w:w="1725" w:type="dxa"/>
            <w:tcBorders>
              <w:bottom w:val="single" w:sz="4" w:space="0" w:color="auto"/>
            </w:tcBorders>
          </w:tcPr>
          <w:p w14:paraId="42CD65C0" w14:textId="77777777" w:rsidR="0090688A" w:rsidRPr="00180A33" w:rsidRDefault="0090688A" w:rsidP="002716C9">
            <w:pPr>
              <w:spacing w:after="0"/>
              <w:jc w:val="center"/>
              <w:rPr>
                <w:sz w:val="24"/>
              </w:rPr>
            </w:pPr>
            <w:r w:rsidRPr="00180A33">
              <w:rPr>
                <w:sz w:val="24"/>
              </w:rPr>
              <w:t>Reject</w:t>
            </w:r>
          </w:p>
        </w:tc>
        <w:tc>
          <w:tcPr>
            <w:tcW w:w="1822" w:type="dxa"/>
            <w:tcBorders>
              <w:bottom w:val="single" w:sz="4" w:space="0" w:color="auto"/>
            </w:tcBorders>
            <w:tcMar>
              <w:top w:w="0" w:type="dxa"/>
              <w:left w:w="115" w:type="dxa"/>
              <w:bottom w:w="0" w:type="dxa"/>
              <w:right w:w="115" w:type="dxa"/>
            </w:tcMar>
          </w:tcPr>
          <w:p w14:paraId="5CC54E91" w14:textId="77777777" w:rsidR="0090688A" w:rsidRPr="00180A33" w:rsidRDefault="0090688A" w:rsidP="002716C9">
            <w:pPr>
              <w:spacing w:after="0"/>
              <w:jc w:val="center"/>
              <w:rPr>
                <w:sz w:val="24"/>
              </w:rPr>
            </w:pPr>
            <w:r w:rsidRPr="00180A33">
              <w:rPr>
                <w:sz w:val="24"/>
              </w:rPr>
              <w:t>Significant</w:t>
            </w:r>
          </w:p>
        </w:tc>
      </w:tr>
    </w:tbl>
    <w:p w14:paraId="356AB7D2" w14:textId="646440F5" w:rsidR="00C62340" w:rsidRPr="00180A33" w:rsidRDefault="00186448" w:rsidP="00841734">
      <w:pPr>
        <w:spacing w:before="240" w:after="0"/>
        <w:ind w:firstLine="710"/>
        <w:rPr>
          <w:sz w:val="24"/>
        </w:rPr>
      </w:pPr>
      <w:r w:rsidRPr="00180A33">
        <w:rPr>
          <w:sz w:val="24"/>
        </w:rPr>
        <w:t>Presented in Table 2</w:t>
      </w:r>
      <w:r w:rsidR="00C352A4" w:rsidRPr="00180A33">
        <w:rPr>
          <w:sz w:val="24"/>
        </w:rPr>
        <w:t xml:space="preserve"> </w:t>
      </w:r>
      <w:r w:rsidR="00681CA6" w:rsidRPr="00180A33">
        <w:rPr>
          <w:sz w:val="24"/>
        </w:rPr>
        <w:t>are</w:t>
      </w:r>
      <w:r w:rsidR="0090688A" w:rsidRPr="00180A33">
        <w:rPr>
          <w:sz w:val="24"/>
        </w:rPr>
        <w:t xml:space="preserve"> the results of the relationship between the independent variables</w:t>
      </w:r>
      <w:r w:rsidR="003C6D6C" w:rsidRPr="00180A33">
        <w:rPr>
          <w:sz w:val="24"/>
        </w:rPr>
        <w:t xml:space="preserve">, </w:t>
      </w:r>
      <w:r w:rsidR="0090688A" w:rsidRPr="00180A33">
        <w:rPr>
          <w:sz w:val="24"/>
        </w:rPr>
        <w:t>teacher burnout and instructional adaptations</w:t>
      </w:r>
      <w:r w:rsidR="003C6D6C" w:rsidRPr="00180A33">
        <w:rPr>
          <w:sz w:val="24"/>
        </w:rPr>
        <w:t xml:space="preserve">, </w:t>
      </w:r>
      <w:r w:rsidR="0090688A" w:rsidRPr="00180A33">
        <w:rPr>
          <w:sz w:val="24"/>
        </w:rPr>
        <w:t xml:space="preserve">and the dependent variable, which is the psychological well-being of general education teachers handling learners with disabilities in inclusive classrooms. </w:t>
      </w:r>
      <w:r w:rsidR="00EB391B" w:rsidRPr="00180A33">
        <w:rPr>
          <w:sz w:val="24"/>
        </w:rPr>
        <w:t xml:space="preserve">The analysis revealed an </w:t>
      </w:r>
      <w:proofErr w:type="spellStart"/>
      <w:r w:rsidR="00EB391B" w:rsidRPr="00180A33">
        <w:rPr>
          <w:sz w:val="24"/>
        </w:rPr>
        <w:t>r-value</w:t>
      </w:r>
      <w:proofErr w:type="spellEnd"/>
      <w:r w:rsidR="00EB391B" w:rsidRPr="00180A33">
        <w:rPr>
          <w:sz w:val="24"/>
        </w:rPr>
        <w:t xml:space="preserve"> of 0.427, which indicates a moderate positive correlation between teacher burnout and psychological well-being. Moreover, its p-value of 0.000 is lower than the 0.05 threshold for significance. This finding leads to the rejection of the null hypothesis and confirms a significant relationship between teacher burnout and psychological well-being. Likewise, an </w:t>
      </w:r>
      <w:proofErr w:type="spellStart"/>
      <w:r w:rsidR="00EB391B" w:rsidRPr="00180A33">
        <w:rPr>
          <w:sz w:val="24"/>
        </w:rPr>
        <w:t>r-value</w:t>
      </w:r>
      <w:proofErr w:type="spellEnd"/>
      <w:r w:rsidR="00EB391B" w:rsidRPr="00180A33">
        <w:rPr>
          <w:sz w:val="24"/>
        </w:rPr>
        <w:t xml:space="preserve"> of 0.337, which indicates a low positive correlation, was found between instructional adaptations and psychological well-being. Furthermore, its p-value of 0.000 is also below the 0.05 level of significance. This also results in the rejection of the null hypothesis, indicating that instructional adaptations have a significant relationship with the psychological well-being of general education teachers handling learners with disabilities in inclusive classrooms.</w:t>
      </w:r>
    </w:p>
    <w:p w14:paraId="4BEB4F78" w14:textId="121FD7A3" w:rsidR="00E20EEA" w:rsidRPr="00180A33" w:rsidRDefault="00E20EEA" w:rsidP="00841734">
      <w:pPr>
        <w:pBdr>
          <w:top w:val="nil"/>
          <w:left w:val="nil"/>
          <w:bottom w:val="nil"/>
          <w:right w:val="nil"/>
          <w:between w:val="nil"/>
        </w:pBdr>
        <w:shd w:val="clear" w:color="auto" w:fill="FFFFFF"/>
        <w:spacing w:before="240"/>
        <w:ind w:left="0" w:firstLine="0"/>
        <w:rPr>
          <w:b/>
          <w:color w:val="000000" w:themeColor="text1"/>
          <w:sz w:val="24"/>
        </w:rPr>
      </w:pPr>
      <w:r w:rsidRPr="00180A33">
        <w:rPr>
          <w:b/>
          <w:color w:val="000000" w:themeColor="text1"/>
          <w:sz w:val="24"/>
        </w:rPr>
        <w:t>Table 3. Test of Influence</w:t>
      </w:r>
      <w:r w:rsidR="00512892" w:rsidRPr="00180A33">
        <w:rPr>
          <w:b/>
          <w:color w:val="000000" w:themeColor="text1"/>
          <w:sz w:val="24"/>
        </w:rPr>
        <w:t xml:space="preserve"> of Teacher Burnout and Instructional Adaptations on the Psychological Well-Being of General Education Teachers Handling Learners with Disabilities in Inclusive Classrooms</w:t>
      </w:r>
    </w:p>
    <w:tbl>
      <w:tblPr>
        <w:tblW w:w="9402" w:type="dxa"/>
        <w:tblLayout w:type="fixed"/>
        <w:tblLook w:val="04A0" w:firstRow="1" w:lastRow="0" w:firstColumn="1" w:lastColumn="0" w:noHBand="0" w:noVBand="1"/>
      </w:tblPr>
      <w:tblGrid>
        <w:gridCol w:w="2541"/>
        <w:gridCol w:w="1143"/>
        <w:gridCol w:w="1270"/>
        <w:gridCol w:w="1012"/>
        <w:gridCol w:w="1397"/>
        <w:gridCol w:w="2039"/>
      </w:tblGrid>
      <w:tr w:rsidR="00E20EEA" w:rsidRPr="00180A33" w14:paraId="1889AD06" w14:textId="77777777" w:rsidTr="002716C9">
        <w:trPr>
          <w:trHeight w:val="183"/>
        </w:trPr>
        <w:tc>
          <w:tcPr>
            <w:tcW w:w="2541" w:type="dxa"/>
            <w:tcBorders>
              <w:top w:val="double" w:sz="4" w:space="0" w:color="auto"/>
            </w:tcBorders>
            <w:shd w:val="clear" w:color="auto" w:fill="auto"/>
            <w:vAlign w:val="center"/>
          </w:tcPr>
          <w:p w14:paraId="1D547ED8" w14:textId="77777777" w:rsidR="00E20EEA" w:rsidRPr="00180A33" w:rsidRDefault="00E20EEA" w:rsidP="002716C9">
            <w:pPr>
              <w:spacing w:after="0"/>
              <w:jc w:val="center"/>
              <w:rPr>
                <w:b/>
                <w:bCs/>
                <w:color w:val="000000" w:themeColor="text1"/>
                <w:sz w:val="24"/>
              </w:rPr>
            </w:pPr>
          </w:p>
        </w:tc>
        <w:tc>
          <w:tcPr>
            <w:tcW w:w="6861" w:type="dxa"/>
            <w:gridSpan w:val="5"/>
            <w:tcBorders>
              <w:top w:val="double" w:sz="4" w:space="0" w:color="auto"/>
              <w:bottom w:val="single" w:sz="4" w:space="0" w:color="auto"/>
            </w:tcBorders>
          </w:tcPr>
          <w:p w14:paraId="4D92EC8D" w14:textId="77777777" w:rsidR="00E20EEA" w:rsidRPr="00180A33" w:rsidRDefault="00E20EEA" w:rsidP="002716C9">
            <w:pPr>
              <w:spacing w:after="0"/>
              <w:jc w:val="center"/>
              <w:rPr>
                <w:b/>
                <w:bCs/>
                <w:color w:val="000000" w:themeColor="text1"/>
                <w:sz w:val="24"/>
              </w:rPr>
            </w:pPr>
            <w:r w:rsidRPr="00180A33">
              <w:rPr>
                <w:b/>
                <w:bCs/>
                <w:color w:val="000000" w:themeColor="text1"/>
                <w:sz w:val="24"/>
              </w:rPr>
              <w:t>Psychological Well-Being</w:t>
            </w:r>
          </w:p>
        </w:tc>
      </w:tr>
      <w:tr w:rsidR="00E20EEA" w:rsidRPr="00180A33" w14:paraId="3472DC99" w14:textId="77777777" w:rsidTr="002716C9">
        <w:trPr>
          <w:trHeight w:val="183"/>
        </w:trPr>
        <w:tc>
          <w:tcPr>
            <w:tcW w:w="2541" w:type="dxa"/>
            <w:tcBorders>
              <w:bottom w:val="single" w:sz="4" w:space="0" w:color="auto"/>
            </w:tcBorders>
            <w:shd w:val="clear" w:color="auto" w:fill="auto"/>
            <w:vAlign w:val="center"/>
          </w:tcPr>
          <w:p w14:paraId="74BF83D0" w14:textId="77777777" w:rsidR="00E20EEA" w:rsidRPr="00180A33" w:rsidRDefault="00E20EEA" w:rsidP="002716C9">
            <w:pPr>
              <w:spacing w:after="0"/>
              <w:jc w:val="center"/>
              <w:rPr>
                <w:b/>
                <w:bCs/>
                <w:color w:val="000000" w:themeColor="text1"/>
                <w:sz w:val="24"/>
              </w:rPr>
            </w:pPr>
            <w:r w:rsidRPr="00180A33">
              <w:rPr>
                <w:b/>
                <w:bCs/>
                <w:color w:val="000000" w:themeColor="text1"/>
                <w:sz w:val="24"/>
              </w:rPr>
              <w:t>Variables</w:t>
            </w:r>
          </w:p>
        </w:tc>
        <w:tc>
          <w:tcPr>
            <w:tcW w:w="1143" w:type="dxa"/>
            <w:tcBorders>
              <w:top w:val="single" w:sz="4" w:space="0" w:color="auto"/>
              <w:bottom w:val="single" w:sz="4" w:space="0" w:color="auto"/>
            </w:tcBorders>
            <w:vAlign w:val="center"/>
          </w:tcPr>
          <w:p w14:paraId="7230AB16" w14:textId="77777777" w:rsidR="00E20EEA" w:rsidRPr="00180A33" w:rsidRDefault="00E20EEA" w:rsidP="002716C9">
            <w:pPr>
              <w:spacing w:after="0"/>
              <w:jc w:val="center"/>
              <w:rPr>
                <w:b/>
                <w:bCs/>
                <w:color w:val="000000" w:themeColor="text1"/>
                <w:sz w:val="24"/>
              </w:rPr>
            </w:pPr>
            <w:r w:rsidRPr="00180A33">
              <w:rPr>
                <w:b/>
                <w:bCs/>
                <w:color w:val="000000" w:themeColor="text1"/>
                <w:sz w:val="24"/>
              </w:rPr>
              <w:t>R</w:t>
            </w:r>
            <w:r w:rsidRPr="00180A33">
              <w:rPr>
                <w:b/>
                <w:bCs/>
                <w:color w:val="000000" w:themeColor="text1"/>
                <w:sz w:val="24"/>
                <w:vertAlign w:val="superscript"/>
              </w:rPr>
              <w:t>2</w:t>
            </w:r>
            <w:r w:rsidRPr="00180A33">
              <w:rPr>
                <w:b/>
                <w:bCs/>
                <w:color w:val="000000" w:themeColor="text1"/>
                <w:sz w:val="24"/>
              </w:rPr>
              <w:t>-value</w:t>
            </w:r>
          </w:p>
        </w:tc>
        <w:tc>
          <w:tcPr>
            <w:tcW w:w="1270" w:type="dxa"/>
            <w:tcBorders>
              <w:top w:val="single" w:sz="4" w:space="0" w:color="auto"/>
              <w:bottom w:val="single" w:sz="4" w:space="0" w:color="auto"/>
            </w:tcBorders>
            <w:vAlign w:val="center"/>
          </w:tcPr>
          <w:p w14:paraId="502053D1" w14:textId="77777777" w:rsidR="00E20EEA" w:rsidRPr="00180A33" w:rsidRDefault="00E20EEA" w:rsidP="002716C9">
            <w:pPr>
              <w:spacing w:after="0"/>
              <w:jc w:val="center"/>
              <w:rPr>
                <w:b/>
                <w:bCs/>
                <w:color w:val="000000" w:themeColor="text1"/>
                <w:sz w:val="24"/>
              </w:rPr>
            </w:pPr>
            <w:r w:rsidRPr="00180A33">
              <w:rPr>
                <w:b/>
                <w:bCs/>
                <w:color w:val="000000" w:themeColor="text1"/>
                <w:sz w:val="24"/>
              </w:rPr>
              <w:t>F-value</w:t>
            </w:r>
          </w:p>
        </w:tc>
        <w:tc>
          <w:tcPr>
            <w:tcW w:w="1012" w:type="dxa"/>
            <w:tcBorders>
              <w:top w:val="single" w:sz="4" w:space="0" w:color="auto"/>
              <w:bottom w:val="single" w:sz="4" w:space="0" w:color="auto"/>
            </w:tcBorders>
            <w:vAlign w:val="center"/>
          </w:tcPr>
          <w:p w14:paraId="033C5744" w14:textId="77777777" w:rsidR="00E20EEA" w:rsidRPr="00180A33" w:rsidRDefault="00E20EEA" w:rsidP="002716C9">
            <w:pPr>
              <w:spacing w:after="0"/>
              <w:jc w:val="center"/>
              <w:rPr>
                <w:b/>
                <w:bCs/>
                <w:color w:val="000000" w:themeColor="text1"/>
                <w:sz w:val="24"/>
              </w:rPr>
            </w:pPr>
            <w:r w:rsidRPr="00180A33">
              <w:rPr>
                <w:b/>
                <w:bCs/>
                <w:color w:val="000000" w:themeColor="text1"/>
                <w:sz w:val="24"/>
              </w:rPr>
              <w:t>p-value</w:t>
            </w:r>
          </w:p>
        </w:tc>
        <w:tc>
          <w:tcPr>
            <w:tcW w:w="1397" w:type="dxa"/>
            <w:tcBorders>
              <w:top w:val="single" w:sz="4" w:space="0" w:color="auto"/>
              <w:bottom w:val="single" w:sz="4" w:space="0" w:color="auto"/>
            </w:tcBorders>
            <w:shd w:val="clear" w:color="auto" w:fill="auto"/>
            <w:vAlign w:val="center"/>
          </w:tcPr>
          <w:p w14:paraId="3CEC731E" w14:textId="77777777" w:rsidR="00E20EEA" w:rsidRPr="00180A33" w:rsidRDefault="00E20EEA" w:rsidP="002716C9">
            <w:pPr>
              <w:spacing w:after="0"/>
              <w:jc w:val="center"/>
              <w:rPr>
                <w:b/>
                <w:bCs/>
                <w:color w:val="000000" w:themeColor="text1"/>
                <w:sz w:val="24"/>
              </w:rPr>
            </w:pPr>
            <w:r w:rsidRPr="00180A33">
              <w:rPr>
                <w:b/>
                <w:bCs/>
                <w:color w:val="000000" w:themeColor="text1"/>
                <w:sz w:val="24"/>
              </w:rPr>
              <w:t>Decision on Ho</w:t>
            </w:r>
          </w:p>
        </w:tc>
        <w:tc>
          <w:tcPr>
            <w:tcW w:w="2038" w:type="dxa"/>
            <w:tcBorders>
              <w:top w:val="single" w:sz="4" w:space="0" w:color="auto"/>
              <w:bottom w:val="single" w:sz="4" w:space="0" w:color="auto"/>
            </w:tcBorders>
            <w:shd w:val="clear" w:color="auto" w:fill="auto"/>
            <w:vAlign w:val="center"/>
          </w:tcPr>
          <w:p w14:paraId="56090E35" w14:textId="77777777" w:rsidR="00E20EEA" w:rsidRPr="00180A33" w:rsidRDefault="00E20EEA" w:rsidP="002716C9">
            <w:pPr>
              <w:spacing w:after="0"/>
              <w:jc w:val="center"/>
              <w:rPr>
                <w:b/>
                <w:bCs/>
                <w:color w:val="000000" w:themeColor="text1"/>
                <w:sz w:val="24"/>
              </w:rPr>
            </w:pPr>
            <w:r w:rsidRPr="00180A33">
              <w:rPr>
                <w:b/>
                <w:bCs/>
                <w:color w:val="000000" w:themeColor="text1"/>
                <w:sz w:val="24"/>
              </w:rPr>
              <w:t>Interpretation</w:t>
            </w:r>
          </w:p>
        </w:tc>
      </w:tr>
      <w:tr w:rsidR="00E20EEA" w:rsidRPr="00180A33" w14:paraId="556CEEE1" w14:textId="77777777" w:rsidTr="002716C9">
        <w:trPr>
          <w:trHeight w:val="96"/>
        </w:trPr>
        <w:tc>
          <w:tcPr>
            <w:tcW w:w="2541" w:type="dxa"/>
            <w:shd w:val="clear" w:color="auto" w:fill="FFFFFF"/>
            <w:vAlign w:val="center"/>
          </w:tcPr>
          <w:p w14:paraId="3585AF27" w14:textId="77777777" w:rsidR="00E20EEA" w:rsidRPr="00180A33" w:rsidRDefault="00E20EEA" w:rsidP="002716C9">
            <w:pPr>
              <w:spacing w:after="0"/>
              <w:ind w:left="60" w:right="60"/>
              <w:jc w:val="left"/>
              <w:rPr>
                <w:color w:val="000000" w:themeColor="text1"/>
                <w:sz w:val="24"/>
              </w:rPr>
            </w:pPr>
            <w:bookmarkStart w:id="0" w:name="_1fob9te" w:colFirst="0" w:colLast="0"/>
            <w:bookmarkEnd w:id="0"/>
          </w:p>
        </w:tc>
        <w:tc>
          <w:tcPr>
            <w:tcW w:w="1143" w:type="dxa"/>
            <w:shd w:val="clear" w:color="auto" w:fill="FFFFFF"/>
          </w:tcPr>
          <w:p w14:paraId="649D2F47" w14:textId="77777777" w:rsidR="00E20EEA" w:rsidRPr="00180A33" w:rsidRDefault="00E20EEA" w:rsidP="002716C9">
            <w:pPr>
              <w:spacing w:after="0"/>
              <w:ind w:left="60" w:right="60"/>
              <w:jc w:val="center"/>
              <w:rPr>
                <w:b/>
                <w:bCs/>
                <w:color w:val="000000" w:themeColor="text1"/>
                <w:sz w:val="24"/>
              </w:rPr>
            </w:pPr>
            <w:r w:rsidRPr="00180A33">
              <w:rPr>
                <w:b/>
                <w:bCs/>
                <w:color w:val="000000" w:themeColor="text1"/>
                <w:sz w:val="24"/>
              </w:rPr>
              <w:t>20.80%</w:t>
            </w:r>
          </w:p>
        </w:tc>
        <w:tc>
          <w:tcPr>
            <w:tcW w:w="1270" w:type="dxa"/>
            <w:shd w:val="clear" w:color="auto" w:fill="FFFFFF"/>
          </w:tcPr>
          <w:p w14:paraId="7D2B94E6" w14:textId="77777777" w:rsidR="00E20EEA" w:rsidRPr="00180A33" w:rsidRDefault="00E20EEA" w:rsidP="002716C9">
            <w:pPr>
              <w:spacing w:after="0"/>
              <w:ind w:left="60" w:right="60"/>
              <w:jc w:val="center"/>
              <w:rPr>
                <w:b/>
                <w:bCs/>
                <w:color w:val="000000" w:themeColor="text1"/>
                <w:sz w:val="24"/>
              </w:rPr>
            </w:pPr>
            <w:r w:rsidRPr="00180A33">
              <w:rPr>
                <w:b/>
                <w:bCs/>
                <w:color w:val="000000" w:themeColor="text1"/>
                <w:sz w:val="24"/>
              </w:rPr>
              <w:t>18.305</w:t>
            </w:r>
          </w:p>
        </w:tc>
        <w:tc>
          <w:tcPr>
            <w:tcW w:w="1012" w:type="dxa"/>
            <w:shd w:val="clear" w:color="auto" w:fill="FFFFFF"/>
          </w:tcPr>
          <w:p w14:paraId="0BFC4128" w14:textId="77777777" w:rsidR="00E20EEA" w:rsidRPr="00180A33" w:rsidRDefault="00E20EEA" w:rsidP="002716C9">
            <w:pPr>
              <w:spacing w:after="0"/>
              <w:ind w:left="60" w:right="60"/>
              <w:jc w:val="center"/>
              <w:rPr>
                <w:b/>
                <w:bCs/>
                <w:color w:val="000000" w:themeColor="text1"/>
                <w:sz w:val="24"/>
              </w:rPr>
            </w:pPr>
            <w:r w:rsidRPr="00180A33">
              <w:rPr>
                <w:b/>
                <w:bCs/>
                <w:color w:val="000000" w:themeColor="text1"/>
                <w:sz w:val="24"/>
              </w:rPr>
              <w:t>.000</w:t>
            </w:r>
          </w:p>
        </w:tc>
        <w:tc>
          <w:tcPr>
            <w:tcW w:w="1397" w:type="dxa"/>
            <w:tcBorders>
              <w:top w:val="single" w:sz="4" w:space="0" w:color="auto"/>
            </w:tcBorders>
            <w:shd w:val="clear" w:color="auto" w:fill="FFFFFF"/>
          </w:tcPr>
          <w:p w14:paraId="675C49E9" w14:textId="77777777" w:rsidR="00E20EEA" w:rsidRPr="00180A33" w:rsidRDefault="00E20EEA" w:rsidP="002716C9">
            <w:pPr>
              <w:spacing w:after="0"/>
              <w:ind w:left="60" w:right="60"/>
              <w:jc w:val="center"/>
              <w:rPr>
                <w:color w:val="000000" w:themeColor="text1"/>
                <w:sz w:val="24"/>
              </w:rPr>
            </w:pPr>
            <w:r w:rsidRPr="00180A33">
              <w:rPr>
                <w:b/>
                <w:bCs/>
                <w:color w:val="000000" w:themeColor="text1"/>
                <w:sz w:val="24"/>
              </w:rPr>
              <w:t>Reject</w:t>
            </w:r>
          </w:p>
        </w:tc>
        <w:tc>
          <w:tcPr>
            <w:tcW w:w="2038" w:type="dxa"/>
            <w:shd w:val="clear" w:color="auto" w:fill="auto"/>
          </w:tcPr>
          <w:p w14:paraId="5A8C5A31" w14:textId="77777777" w:rsidR="00E20EEA" w:rsidRPr="00180A33" w:rsidRDefault="00E20EEA" w:rsidP="002716C9">
            <w:pPr>
              <w:spacing w:after="0"/>
              <w:jc w:val="center"/>
              <w:rPr>
                <w:color w:val="000000" w:themeColor="text1"/>
                <w:sz w:val="24"/>
              </w:rPr>
            </w:pPr>
            <w:r w:rsidRPr="00180A33">
              <w:rPr>
                <w:color w:val="000000" w:themeColor="text1"/>
                <w:sz w:val="24"/>
              </w:rPr>
              <w:t>Significant</w:t>
            </w:r>
          </w:p>
        </w:tc>
      </w:tr>
      <w:tr w:rsidR="00E20EEA" w:rsidRPr="00180A33" w14:paraId="0DE668BC" w14:textId="77777777" w:rsidTr="002716C9">
        <w:trPr>
          <w:trHeight w:val="96"/>
        </w:trPr>
        <w:tc>
          <w:tcPr>
            <w:tcW w:w="2541" w:type="dxa"/>
            <w:shd w:val="clear" w:color="auto" w:fill="FFFFFF"/>
            <w:vAlign w:val="center"/>
          </w:tcPr>
          <w:p w14:paraId="4F1508DA" w14:textId="77777777" w:rsidR="00E20EEA" w:rsidRPr="00180A33" w:rsidRDefault="00E20EEA" w:rsidP="002716C9">
            <w:pPr>
              <w:spacing w:after="0"/>
              <w:ind w:left="60" w:right="60"/>
              <w:jc w:val="left"/>
              <w:rPr>
                <w:color w:val="000000" w:themeColor="text1"/>
                <w:sz w:val="24"/>
              </w:rPr>
            </w:pPr>
            <w:r w:rsidRPr="00180A33">
              <w:rPr>
                <w:color w:val="000000" w:themeColor="text1"/>
                <w:sz w:val="24"/>
              </w:rPr>
              <w:t>Teacher Burnout</w:t>
            </w:r>
          </w:p>
        </w:tc>
        <w:tc>
          <w:tcPr>
            <w:tcW w:w="1143" w:type="dxa"/>
            <w:shd w:val="clear" w:color="auto" w:fill="FFFFFF"/>
          </w:tcPr>
          <w:p w14:paraId="7501683C" w14:textId="77777777" w:rsidR="00E20EEA" w:rsidRPr="00180A33" w:rsidRDefault="00E20EEA" w:rsidP="002716C9">
            <w:pPr>
              <w:spacing w:after="0"/>
              <w:ind w:left="60" w:right="60"/>
              <w:jc w:val="center"/>
              <w:rPr>
                <w:color w:val="000000" w:themeColor="text1"/>
                <w:sz w:val="24"/>
              </w:rPr>
            </w:pPr>
          </w:p>
        </w:tc>
        <w:tc>
          <w:tcPr>
            <w:tcW w:w="1270" w:type="dxa"/>
            <w:shd w:val="clear" w:color="auto" w:fill="FFFFFF"/>
          </w:tcPr>
          <w:p w14:paraId="5208CC38" w14:textId="77777777" w:rsidR="00E20EEA" w:rsidRPr="00180A33" w:rsidRDefault="00E20EEA" w:rsidP="002716C9">
            <w:pPr>
              <w:spacing w:after="0"/>
              <w:ind w:left="60" w:right="60"/>
              <w:jc w:val="center"/>
              <w:rPr>
                <w:color w:val="000000" w:themeColor="text1"/>
                <w:sz w:val="24"/>
              </w:rPr>
            </w:pPr>
          </w:p>
        </w:tc>
        <w:tc>
          <w:tcPr>
            <w:tcW w:w="1012" w:type="dxa"/>
            <w:shd w:val="clear" w:color="auto" w:fill="FFFFFF"/>
          </w:tcPr>
          <w:p w14:paraId="368F5517" w14:textId="77777777" w:rsidR="00E20EEA" w:rsidRPr="00180A33" w:rsidRDefault="00E20EEA" w:rsidP="002716C9">
            <w:pPr>
              <w:spacing w:after="0"/>
              <w:ind w:left="60" w:right="60"/>
              <w:jc w:val="center"/>
              <w:rPr>
                <w:color w:val="000000" w:themeColor="text1"/>
                <w:sz w:val="24"/>
              </w:rPr>
            </w:pPr>
            <w:r w:rsidRPr="00180A33">
              <w:rPr>
                <w:color w:val="000000" w:themeColor="text1"/>
                <w:sz w:val="24"/>
              </w:rPr>
              <w:t>.000</w:t>
            </w:r>
          </w:p>
        </w:tc>
        <w:tc>
          <w:tcPr>
            <w:tcW w:w="1397" w:type="dxa"/>
            <w:shd w:val="clear" w:color="auto" w:fill="FFFFFF"/>
          </w:tcPr>
          <w:p w14:paraId="33C0178B" w14:textId="77777777" w:rsidR="00E20EEA" w:rsidRPr="00180A33" w:rsidRDefault="00E20EEA" w:rsidP="002716C9">
            <w:pPr>
              <w:spacing w:after="0"/>
              <w:ind w:left="60" w:right="60"/>
              <w:jc w:val="center"/>
              <w:rPr>
                <w:color w:val="000000" w:themeColor="text1"/>
                <w:sz w:val="24"/>
              </w:rPr>
            </w:pPr>
            <w:r w:rsidRPr="00180A33">
              <w:rPr>
                <w:color w:val="000000" w:themeColor="text1"/>
                <w:sz w:val="24"/>
              </w:rPr>
              <w:t>Reject</w:t>
            </w:r>
          </w:p>
        </w:tc>
        <w:tc>
          <w:tcPr>
            <w:tcW w:w="2038" w:type="dxa"/>
            <w:shd w:val="clear" w:color="auto" w:fill="auto"/>
          </w:tcPr>
          <w:p w14:paraId="6B53EE35" w14:textId="77777777" w:rsidR="00E20EEA" w:rsidRPr="00180A33" w:rsidRDefault="00E20EEA" w:rsidP="002716C9">
            <w:pPr>
              <w:spacing w:after="0"/>
              <w:jc w:val="center"/>
              <w:rPr>
                <w:color w:val="000000" w:themeColor="text1"/>
                <w:sz w:val="24"/>
              </w:rPr>
            </w:pPr>
            <w:r w:rsidRPr="00180A33">
              <w:rPr>
                <w:color w:val="000000" w:themeColor="text1"/>
                <w:sz w:val="24"/>
              </w:rPr>
              <w:t>Significant</w:t>
            </w:r>
          </w:p>
        </w:tc>
      </w:tr>
      <w:tr w:rsidR="00E20EEA" w:rsidRPr="00180A33" w14:paraId="0B4E40B3" w14:textId="77777777" w:rsidTr="002716C9">
        <w:trPr>
          <w:trHeight w:val="264"/>
        </w:trPr>
        <w:tc>
          <w:tcPr>
            <w:tcW w:w="2541" w:type="dxa"/>
            <w:tcBorders>
              <w:bottom w:val="single" w:sz="4" w:space="0" w:color="auto"/>
            </w:tcBorders>
            <w:shd w:val="clear" w:color="auto" w:fill="FFFFFF"/>
            <w:vAlign w:val="center"/>
          </w:tcPr>
          <w:p w14:paraId="5B4CA2FA" w14:textId="77777777" w:rsidR="00E20EEA" w:rsidRPr="00180A33" w:rsidRDefault="00E20EEA" w:rsidP="002716C9">
            <w:pPr>
              <w:spacing w:after="0"/>
              <w:ind w:left="60" w:right="60"/>
              <w:jc w:val="left"/>
              <w:rPr>
                <w:color w:val="000000" w:themeColor="text1"/>
                <w:sz w:val="24"/>
              </w:rPr>
            </w:pPr>
            <w:r w:rsidRPr="00180A33">
              <w:rPr>
                <w:color w:val="000000" w:themeColor="text1"/>
                <w:sz w:val="24"/>
              </w:rPr>
              <w:lastRenderedPageBreak/>
              <w:t>Instructional Adaptations</w:t>
            </w:r>
          </w:p>
        </w:tc>
        <w:tc>
          <w:tcPr>
            <w:tcW w:w="1143" w:type="dxa"/>
            <w:tcBorders>
              <w:bottom w:val="single" w:sz="4" w:space="0" w:color="auto"/>
            </w:tcBorders>
            <w:shd w:val="clear" w:color="auto" w:fill="FFFFFF"/>
          </w:tcPr>
          <w:p w14:paraId="261530E1" w14:textId="77777777" w:rsidR="00E20EEA" w:rsidRPr="00180A33" w:rsidRDefault="00E20EEA" w:rsidP="002716C9">
            <w:pPr>
              <w:spacing w:after="0"/>
              <w:ind w:left="60" w:right="60"/>
              <w:jc w:val="center"/>
              <w:rPr>
                <w:color w:val="000000" w:themeColor="text1"/>
                <w:sz w:val="24"/>
              </w:rPr>
            </w:pPr>
          </w:p>
        </w:tc>
        <w:tc>
          <w:tcPr>
            <w:tcW w:w="1270" w:type="dxa"/>
            <w:tcBorders>
              <w:bottom w:val="single" w:sz="4" w:space="0" w:color="auto"/>
            </w:tcBorders>
            <w:shd w:val="clear" w:color="auto" w:fill="FFFFFF"/>
          </w:tcPr>
          <w:p w14:paraId="1600FC56" w14:textId="77777777" w:rsidR="00E20EEA" w:rsidRPr="00180A33" w:rsidRDefault="00E20EEA" w:rsidP="002716C9">
            <w:pPr>
              <w:spacing w:after="0"/>
              <w:ind w:left="60" w:right="60"/>
              <w:jc w:val="center"/>
              <w:rPr>
                <w:color w:val="000000" w:themeColor="text1"/>
                <w:sz w:val="24"/>
              </w:rPr>
            </w:pPr>
          </w:p>
        </w:tc>
        <w:tc>
          <w:tcPr>
            <w:tcW w:w="1012" w:type="dxa"/>
            <w:tcBorders>
              <w:bottom w:val="single" w:sz="4" w:space="0" w:color="auto"/>
            </w:tcBorders>
            <w:shd w:val="clear" w:color="auto" w:fill="FFFFFF"/>
          </w:tcPr>
          <w:p w14:paraId="3EDD257E" w14:textId="77777777" w:rsidR="00E20EEA" w:rsidRPr="00180A33" w:rsidRDefault="00E20EEA" w:rsidP="002716C9">
            <w:pPr>
              <w:spacing w:after="0"/>
              <w:ind w:left="60" w:right="60"/>
              <w:jc w:val="center"/>
              <w:rPr>
                <w:color w:val="000000" w:themeColor="text1"/>
                <w:sz w:val="24"/>
              </w:rPr>
            </w:pPr>
            <w:r w:rsidRPr="00180A33">
              <w:rPr>
                <w:color w:val="000000" w:themeColor="text1"/>
                <w:sz w:val="24"/>
              </w:rPr>
              <w:t>.035</w:t>
            </w:r>
          </w:p>
        </w:tc>
        <w:tc>
          <w:tcPr>
            <w:tcW w:w="1397" w:type="dxa"/>
            <w:tcBorders>
              <w:bottom w:val="single" w:sz="4" w:space="0" w:color="auto"/>
            </w:tcBorders>
            <w:shd w:val="clear" w:color="auto" w:fill="FFFFFF"/>
          </w:tcPr>
          <w:p w14:paraId="44F419BB" w14:textId="77777777" w:rsidR="00E20EEA" w:rsidRPr="00180A33" w:rsidRDefault="00E20EEA" w:rsidP="002716C9">
            <w:pPr>
              <w:spacing w:after="0"/>
              <w:ind w:left="60" w:right="60"/>
              <w:jc w:val="center"/>
              <w:rPr>
                <w:color w:val="000000" w:themeColor="text1"/>
                <w:sz w:val="24"/>
              </w:rPr>
            </w:pPr>
            <w:r w:rsidRPr="00180A33">
              <w:rPr>
                <w:color w:val="000000" w:themeColor="text1"/>
                <w:sz w:val="24"/>
              </w:rPr>
              <w:t>Reject</w:t>
            </w:r>
          </w:p>
        </w:tc>
        <w:tc>
          <w:tcPr>
            <w:tcW w:w="2038" w:type="dxa"/>
            <w:tcBorders>
              <w:bottom w:val="single" w:sz="4" w:space="0" w:color="auto"/>
            </w:tcBorders>
            <w:shd w:val="clear" w:color="auto" w:fill="auto"/>
          </w:tcPr>
          <w:p w14:paraId="638BF54C" w14:textId="77777777" w:rsidR="00E20EEA" w:rsidRPr="00180A33" w:rsidRDefault="00E20EEA" w:rsidP="002716C9">
            <w:pPr>
              <w:spacing w:after="0"/>
              <w:jc w:val="center"/>
              <w:rPr>
                <w:color w:val="000000" w:themeColor="text1"/>
                <w:sz w:val="24"/>
              </w:rPr>
            </w:pPr>
            <w:r w:rsidRPr="00180A33">
              <w:rPr>
                <w:color w:val="000000" w:themeColor="text1"/>
                <w:sz w:val="24"/>
              </w:rPr>
              <w:t>Significant</w:t>
            </w:r>
          </w:p>
        </w:tc>
      </w:tr>
    </w:tbl>
    <w:p w14:paraId="0784FC22" w14:textId="77777777" w:rsidR="00841734" w:rsidRPr="00180A33" w:rsidRDefault="00841734" w:rsidP="003E45D9">
      <w:pPr>
        <w:pBdr>
          <w:top w:val="nil"/>
          <w:left w:val="nil"/>
          <w:bottom w:val="nil"/>
          <w:right w:val="nil"/>
          <w:between w:val="nil"/>
        </w:pBdr>
        <w:shd w:val="clear" w:color="auto" w:fill="FFFFFF"/>
        <w:ind w:firstLine="710"/>
        <w:rPr>
          <w:color w:val="000000" w:themeColor="text1"/>
          <w:sz w:val="24"/>
        </w:rPr>
      </w:pPr>
    </w:p>
    <w:p w14:paraId="5924DC5C" w14:textId="1371959A" w:rsidR="007B49D2" w:rsidRPr="00180A33" w:rsidRDefault="00E20EEA" w:rsidP="003E45D9">
      <w:pPr>
        <w:pBdr>
          <w:top w:val="nil"/>
          <w:left w:val="nil"/>
          <w:bottom w:val="nil"/>
          <w:right w:val="nil"/>
          <w:between w:val="nil"/>
        </w:pBdr>
        <w:shd w:val="clear" w:color="auto" w:fill="FFFFFF"/>
        <w:ind w:firstLine="710"/>
        <w:rPr>
          <w:color w:val="000000" w:themeColor="text1"/>
          <w:sz w:val="24"/>
        </w:rPr>
      </w:pPr>
      <w:r w:rsidRPr="00180A33">
        <w:rPr>
          <w:color w:val="000000" w:themeColor="text1"/>
          <w:sz w:val="24"/>
        </w:rPr>
        <w:t xml:space="preserve">Presented in Table 3 are the results of the regression analysis conducted to determine the influence of teacher burnout and instructional adaptations on the psychological well-being of general education teachers handling learners with disabilities in inclusive classrooms. The model yielded an </w:t>
      </w:r>
      <w:r w:rsidR="00BB464A" w:rsidRPr="00180A33">
        <w:rPr>
          <w:color w:val="000000" w:themeColor="text1"/>
          <w:sz w:val="24"/>
        </w:rPr>
        <w:t>R</w:t>
      </w:r>
      <w:r w:rsidR="00BB464A" w:rsidRPr="00180A33">
        <w:rPr>
          <w:color w:val="000000" w:themeColor="text1"/>
          <w:sz w:val="24"/>
          <w:vertAlign w:val="superscript"/>
        </w:rPr>
        <w:t xml:space="preserve">2 </w:t>
      </w:r>
      <w:r w:rsidRPr="00180A33">
        <w:rPr>
          <w:color w:val="000000" w:themeColor="text1"/>
          <w:sz w:val="24"/>
        </w:rPr>
        <w:t>value of 20.80</w:t>
      </w:r>
      <w:r w:rsidR="00BB464A" w:rsidRPr="00180A33">
        <w:rPr>
          <w:color w:val="000000" w:themeColor="text1"/>
          <w:sz w:val="24"/>
        </w:rPr>
        <w:t>%</w:t>
      </w:r>
      <w:r w:rsidRPr="00180A33">
        <w:rPr>
          <w:color w:val="000000" w:themeColor="text1"/>
          <w:sz w:val="24"/>
        </w:rPr>
        <w:t>, indicating that the two predictors</w:t>
      </w:r>
      <w:r w:rsidR="00BB464A" w:rsidRPr="00180A33">
        <w:rPr>
          <w:color w:val="000000" w:themeColor="text1"/>
          <w:sz w:val="24"/>
        </w:rPr>
        <w:t>, teacher burnout and instructional adaptations,</w:t>
      </w:r>
      <w:r w:rsidRPr="00180A33">
        <w:rPr>
          <w:color w:val="000000" w:themeColor="text1"/>
          <w:sz w:val="24"/>
        </w:rPr>
        <w:t xml:space="preserve"> explain </w:t>
      </w:r>
      <w:r w:rsidR="00BB464A" w:rsidRPr="00180A33">
        <w:rPr>
          <w:color w:val="000000" w:themeColor="text1"/>
          <w:sz w:val="24"/>
        </w:rPr>
        <w:t xml:space="preserve">approximately 21% </w:t>
      </w:r>
      <w:r w:rsidRPr="00180A33">
        <w:rPr>
          <w:color w:val="000000" w:themeColor="text1"/>
          <w:sz w:val="24"/>
        </w:rPr>
        <w:t>of the variance in psychological well-being. The F-value of 18.305 and a p-value of 0.000 confirm that the overall model is statistically significant. Individually, teacher burnout and instructional adaptations also showed significant influence, with p-values of 0.000 and 0.035 respectively, leading to the rejection of the null hypotheses. These results imply that both variables are significant predictors of psychological well-being among teachers in inclusive settings.</w:t>
      </w:r>
    </w:p>
    <w:p w14:paraId="419D6024" w14:textId="77777777" w:rsidR="007B49D2" w:rsidRPr="00180A33" w:rsidRDefault="007B49D2" w:rsidP="003E45D9">
      <w:pPr>
        <w:pBdr>
          <w:top w:val="nil"/>
          <w:left w:val="nil"/>
          <w:bottom w:val="nil"/>
          <w:right w:val="nil"/>
          <w:between w:val="nil"/>
        </w:pBdr>
        <w:shd w:val="clear" w:color="auto" w:fill="FFFFFF"/>
        <w:ind w:firstLine="710"/>
        <w:rPr>
          <w:color w:val="000000" w:themeColor="text1"/>
          <w:sz w:val="24"/>
        </w:rPr>
      </w:pPr>
    </w:p>
    <w:p w14:paraId="25420C82" w14:textId="35DC7C1F" w:rsidR="00775FBD" w:rsidRPr="00180A33" w:rsidRDefault="00775FBD" w:rsidP="003E45D9">
      <w:pPr>
        <w:pBdr>
          <w:top w:val="nil"/>
          <w:left w:val="nil"/>
          <w:bottom w:val="nil"/>
          <w:right w:val="nil"/>
          <w:between w:val="nil"/>
        </w:pBdr>
        <w:shd w:val="clear" w:color="auto" w:fill="FFFFFF"/>
        <w:ind w:firstLine="710"/>
        <w:rPr>
          <w:color w:val="000000" w:themeColor="text1"/>
          <w:sz w:val="24"/>
        </w:rPr>
      </w:pPr>
    </w:p>
    <w:p w14:paraId="03E78768" w14:textId="02BA1798" w:rsidR="00ED34C1" w:rsidRPr="00180A33" w:rsidRDefault="008658F3">
      <w:pPr>
        <w:spacing w:after="222" w:line="259" w:lineRule="auto"/>
        <w:ind w:left="0" w:right="0" w:firstLine="0"/>
        <w:jc w:val="center"/>
        <w:rPr>
          <w:b/>
          <w:sz w:val="24"/>
        </w:rPr>
      </w:pPr>
      <w:r w:rsidRPr="00180A33">
        <w:rPr>
          <w:b/>
          <w:sz w:val="24"/>
        </w:rPr>
        <w:t xml:space="preserve">Discussion </w:t>
      </w:r>
    </w:p>
    <w:p w14:paraId="3FD691F5" w14:textId="496F3E66" w:rsidR="008C3A76" w:rsidRPr="00180A33" w:rsidRDefault="008C3A76" w:rsidP="001A6A46">
      <w:pPr>
        <w:spacing w:after="222" w:line="259" w:lineRule="auto"/>
        <w:ind w:left="0" w:right="0" w:firstLine="720"/>
        <w:rPr>
          <w:bCs/>
          <w:sz w:val="24"/>
        </w:rPr>
      </w:pPr>
      <w:r w:rsidRPr="00180A33">
        <w:rPr>
          <w:bCs/>
          <w:sz w:val="24"/>
        </w:rPr>
        <w:t xml:space="preserve">The findings show that general education teachers handling learners with disabilities in inclusive classrooms experience low levels of burnout, particularly in emotional exhaustion and depersonalization, while maintaining a high sense of personal achievement. Their frequent use of instructional adaptations reflects a strong commitment to inclusive teaching, supporting the view of Candeias et al. (2021) that adaptive strategies reduce stress and improve classroom effectiveness. High psychological well-being across all dimensions indicates that teachers have a strong sense of autonomy and emotional resilience. This supports Dreer’s (2024) findings on the role of supportive environments and </w:t>
      </w:r>
      <w:proofErr w:type="spellStart"/>
      <w:r w:rsidRPr="00180A33">
        <w:rPr>
          <w:bCs/>
          <w:sz w:val="24"/>
        </w:rPr>
        <w:t>Kozlova</w:t>
      </w:r>
      <w:proofErr w:type="spellEnd"/>
      <w:r w:rsidRPr="00180A33">
        <w:rPr>
          <w:bCs/>
          <w:sz w:val="24"/>
        </w:rPr>
        <w:t xml:space="preserve"> and </w:t>
      </w:r>
      <w:proofErr w:type="spellStart"/>
      <w:r w:rsidRPr="00180A33">
        <w:rPr>
          <w:bCs/>
          <w:sz w:val="24"/>
        </w:rPr>
        <w:t>Ryabichenko’s</w:t>
      </w:r>
      <w:proofErr w:type="spellEnd"/>
      <w:r w:rsidRPr="00180A33">
        <w:rPr>
          <w:bCs/>
          <w:sz w:val="24"/>
        </w:rPr>
        <w:t xml:space="preserve"> (2024) emphasis on professional autonomy in mental wellness. Overall, teachers who actively implement inclusive strategies and feel professionally fulfilled are more likely to sustain their psychological well-being, highlighting the need for ongoing support and professional development in inclusive education.</w:t>
      </w:r>
    </w:p>
    <w:p w14:paraId="677CDF04" w14:textId="559FDE8E" w:rsidR="00654454" w:rsidRPr="00180A33" w:rsidRDefault="00562846" w:rsidP="001A6A46">
      <w:pPr>
        <w:spacing w:after="222" w:line="259" w:lineRule="auto"/>
        <w:ind w:left="0" w:right="0" w:firstLine="720"/>
        <w:rPr>
          <w:bCs/>
          <w:sz w:val="24"/>
        </w:rPr>
      </w:pPr>
      <w:r w:rsidRPr="00180A33">
        <w:rPr>
          <w:bCs/>
          <w:sz w:val="24"/>
        </w:rPr>
        <w:t xml:space="preserve">The significant </w:t>
      </w:r>
      <w:r w:rsidR="007B49D2" w:rsidRPr="00180A33">
        <w:rPr>
          <w:bCs/>
          <w:sz w:val="24"/>
        </w:rPr>
        <w:t>relationship</w:t>
      </w:r>
      <w:r w:rsidRPr="00180A33">
        <w:rPr>
          <w:bCs/>
          <w:sz w:val="24"/>
        </w:rPr>
        <w:t xml:space="preserve"> indicate</w:t>
      </w:r>
      <w:r w:rsidR="00654454" w:rsidRPr="00180A33">
        <w:rPr>
          <w:bCs/>
          <w:sz w:val="24"/>
        </w:rPr>
        <w:t>s</w:t>
      </w:r>
      <w:r w:rsidRPr="00180A33">
        <w:rPr>
          <w:bCs/>
          <w:sz w:val="24"/>
        </w:rPr>
        <w:t xml:space="preserve"> that </w:t>
      </w:r>
      <w:r w:rsidR="00654454" w:rsidRPr="00180A33">
        <w:rPr>
          <w:bCs/>
          <w:sz w:val="24"/>
        </w:rPr>
        <w:t xml:space="preserve">both teacher burnout and instructional adaptations are significantly related to psychological well-being. The moderate positive correlation between burnout and well-being suggests that teachers may develop resilience or coping strategies that help maintain their mental health despite stress, as noted by </w:t>
      </w:r>
      <w:proofErr w:type="spellStart"/>
      <w:r w:rsidR="00654454" w:rsidRPr="00180A33">
        <w:rPr>
          <w:bCs/>
          <w:sz w:val="24"/>
        </w:rPr>
        <w:t>Bagdžiūnienė</w:t>
      </w:r>
      <w:proofErr w:type="spellEnd"/>
      <w:r w:rsidR="00654454" w:rsidRPr="00180A33">
        <w:rPr>
          <w:bCs/>
          <w:sz w:val="24"/>
        </w:rPr>
        <w:t xml:space="preserve"> et al. (2023). The positive link between instructional adaptations and well-being highlights the value of responsive teaching, with teachers who adjust to diverse learner needs often experiencing greater job satisfaction and emotional resilience (Woodcock et al., 2022). </w:t>
      </w:r>
      <w:r w:rsidR="00D77914" w:rsidRPr="00180A33">
        <w:rPr>
          <w:bCs/>
          <w:sz w:val="24"/>
        </w:rPr>
        <w:t xml:space="preserve">Moreso, </w:t>
      </w:r>
      <w:r w:rsidR="00D77914" w:rsidRPr="00180A33">
        <w:rPr>
          <w:sz w:val="22"/>
          <w:szCs w:val="28"/>
        </w:rPr>
        <w:t>t</w:t>
      </w:r>
      <w:r w:rsidR="00D77914" w:rsidRPr="00180A33">
        <w:rPr>
          <w:bCs/>
          <w:sz w:val="24"/>
        </w:rPr>
        <w:t xml:space="preserve">eachers with higher confidence in their instructional abilities consistently reported lower levels of depression, stress, and emotional exhaustion (Jeon et al., 2018), a manifestation of having a good psychological well-being.  </w:t>
      </w:r>
      <w:proofErr w:type="spellStart"/>
      <w:r w:rsidR="00654454" w:rsidRPr="00180A33">
        <w:rPr>
          <w:bCs/>
          <w:sz w:val="24"/>
        </w:rPr>
        <w:t>Calandri</w:t>
      </w:r>
      <w:proofErr w:type="spellEnd"/>
      <w:r w:rsidR="00654454" w:rsidRPr="00180A33">
        <w:rPr>
          <w:bCs/>
          <w:sz w:val="24"/>
        </w:rPr>
        <w:t xml:space="preserve"> et al. (2025) further support this, noting that inclusive practices enhance both teacher competence and psychological fulfillment. Overall, reducing burnout and promoting adaptive teaching are key to sustaining teacher well-being in inclusive classrooms.</w:t>
      </w:r>
    </w:p>
    <w:p w14:paraId="6F953B37" w14:textId="4B1F12C8" w:rsidR="008B7268" w:rsidRPr="00180A33" w:rsidRDefault="008B7268" w:rsidP="007B49D2">
      <w:pPr>
        <w:spacing w:after="234" w:line="259" w:lineRule="auto"/>
        <w:ind w:left="0" w:right="0" w:firstLine="720"/>
        <w:rPr>
          <w:bCs/>
          <w:color w:val="000000" w:themeColor="text1"/>
          <w:sz w:val="24"/>
        </w:rPr>
      </w:pPr>
      <w:r w:rsidRPr="00180A33">
        <w:rPr>
          <w:bCs/>
          <w:color w:val="000000" w:themeColor="text1"/>
          <w:sz w:val="24"/>
        </w:rPr>
        <w:t xml:space="preserve">The regression analysis showed that both teacher burnout and instructional adaptations significantly influence general education teachers’ psychological well-being, with burnout having </w:t>
      </w:r>
      <w:r w:rsidRPr="00180A33">
        <w:rPr>
          <w:bCs/>
          <w:color w:val="000000" w:themeColor="text1"/>
          <w:sz w:val="24"/>
        </w:rPr>
        <w:lastRenderedPageBreak/>
        <w:t xml:space="preserve">a stronger impact. While burnout is often linked to negative effects, its influence may reflect a more nuanced process where manageable stress, combined with support and purpose, fosters resilience, as noted by Martel and Santana (2021). Instructional adaptations also play a vital role, as responsive teaching promotes emotional fulfillment and well-being, supported by findings from Avramidis and Norwich (2020). </w:t>
      </w:r>
      <w:proofErr w:type="spellStart"/>
      <w:r w:rsidRPr="00180A33">
        <w:rPr>
          <w:bCs/>
          <w:color w:val="000000" w:themeColor="text1"/>
          <w:sz w:val="24"/>
        </w:rPr>
        <w:t>Kozlova</w:t>
      </w:r>
      <w:proofErr w:type="spellEnd"/>
      <w:r w:rsidRPr="00180A33">
        <w:rPr>
          <w:bCs/>
          <w:color w:val="000000" w:themeColor="text1"/>
          <w:sz w:val="24"/>
        </w:rPr>
        <w:t xml:space="preserve"> and </w:t>
      </w:r>
      <w:proofErr w:type="spellStart"/>
      <w:r w:rsidRPr="00180A33">
        <w:rPr>
          <w:bCs/>
          <w:color w:val="000000" w:themeColor="text1"/>
          <w:sz w:val="24"/>
        </w:rPr>
        <w:t>Ryabichenko</w:t>
      </w:r>
      <w:proofErr w:type="spellEnd"/>
      <w:r w:rsidRPr="00180A33">
        <w:rPr>
          <w:bCs/>
          <w:color w:val="000000" w:themeColor="text1"/>
          <w:sz w:val="24"/>
        </w:rPr>
        <w:t xml:space="preserve"> (2024) further emphasized that autonomy in adapting instruction strengthens mental well-being. These results suggest that teachers’ psychological well-being is shaped not just by emotional strain, but also by professional agency and adaptive capacity in inclusive classrooms.</w:t>
      </w:r>
    </w:p>
    <w:p w14:paraId="50FD1F4B" w14:textId="77777777" w:rsidR="00DE0C22" w:rsidRPr="00180A33" w:rsidRDefault="00DE0C22" w:rsidP="00DE0C22">
      <w:pPr>
        <w:spacing w:after="0" w:line="259" w:lineRule="auto"/>
        <w:ind w:left="0" w:right="0" w:firstLine="720"/>
        <w:rPr>
          <w:bCs/>
          <w:color w:val="000000" w:themeColor="text1"/>
          <w:sz w:val="24"/>
        </w:rPr>
      </w:pPr>
    </w:p>
    <w:p w14:paraId="660BED72" w14:textId="56132C98" w:rsidR="00DE0C22" w:rsidRPr="00180A33" w:rsidRDefault="00DE0C22" w:rsidP="00DE0C22">
      <w:pPr>
        <w:spacing w:after="222" w:line="259" w:lineRule="auto"/>
        <w:ind w:left="0" w:right="0" w:firstLine="0"/>
        <w:jc w:val="center"/>
        <w:rPr>
          <w:bCs/>
          <w:color w:val="000000" w:themeColor="text1"/>
          <w:sz w:val="24"/>
        </w:rPr>
      </w:pPr>
      <w:r w:rsidRPr="00180A33">
        <w:rPr>
          <w:b/>
          <w:sz w:val="24"/>
        </w:rPr>
        <w:t>Conclusion</w:t>
      </w:r>
    </w:p>
    <w:p w14:paraId="0A596AC8" w14:textId="39342AF9" w:rsidR="005B162E" w:rsidRPr="00180A33" w:rsidRDefault="005B162E" w:rsidP="005B162E">
      <w:pPr>
        <w:pStyle w:val="Heading2"/>
        <w:ind w:left="-5" w:firstLine="725"/>
        <w:jc w:val="both"/>
        <w:rPr>
          <w:b w:val="0"/>
          <w:color w:val="000000" w:themeColor="text1"/>
          <w:sz w:val="24"/>
        </w:rPr>
      </w:pPr>
      <w:r w:rsidRPr="00180A33">
        <w:rPr>
          <w:b w:val="0"/>
          <w:color w:val="000000" w:themeColor="text1"/>
          <w:sz w:val="24"/>
        </w:rPr>
        <w:t>The study reveals that general education teachers in inclusive classrooms report low levels of burnout</w:t>
      </w:r>
      <w:r w:rsidR="00A46C08" w:rsidRPr="00180A33">
        <w:rPr>
          <w:b w:val="0"/>
          <w:color w:val="000000" w:themeColor="text1"/>
          <w:sz w:val="24"/>
        </w:rPr>
        <w:t xml:space="preserve">, </w:t>
      </w:r>
      <w:r w:rsidRPr="00180A33">
        <w:rPr>
          <w:b w:val="0"/>
          <w:color w:val="000000" w:themeColor="text1"/>
          <w:sz w:val="24"/>
        </w:rPr>
        <w:t>particularly in emotional exhaustion and depersonalization</w:t>
      </w:r>
      <w:r w:rsidR="00A46C08" w:rsidRPr="00180A33">
        <w:rPr>
          <w:b w:val="0"/>
          <w:color w:val="000000" w:themeColor="text1"/>
          <w:sz w:val="24"/>
        </w:rPr>
        <w:t xml:space="preserve">, </w:t>
      </w:r>
      <w:r w:rsidRPr="00180A33">
        <w:rPr>
          <w:b w:val="0"/>
          <w:color w:val="000000" w:themeColor="text1"/>
          <w:sz w:val="24"/>
        </w:rPr>
        <w:t>while maintaining a strong sense of personal achievement. Their consistent use of instructional adaptations reflects high pedagogical responsiveness to diverse learners. High psychological well-being across all six dimensions of Ryff’s model indicates personal and professional stability despite the demands of inclusive teaching. These findings support Ryff’s Psychological Well-Being Theory, showing that well-being is shaped by both internal perceptions and external factors such as burnout and instructional practices.</w:t>
      </w:r>
    </w:p>
    <w:p w14:paraId="561F04C9" w14:textId="49ACFF1A" w:rsidR="00841734" w:rsidRDefault="00D62ADE" w:rsidP="005E4FA1">
      <w:pPr>
        <w:ind w:firstLine="710"/>
        <w:rPr>
          <w:color w:val="000000" w:themeColor="text1"/>
          <w:sz w:val="24"/>
        </w:rPr>
      </w:pPr>
      <w:r w:rsidRPr="00180A33">
        <w:rPr>
          <w:color w:val="000000" w:themeColor="text1"/>
          <w:sz w:val="24"/>
        </w:rPr>
        <w:t>In line with the United Nations Sustainable Development Goals, particularly Goal 4: Quality Education and Goal 3: Good Health and Well-Being, it is essential for educational institutions to institutionalize programs that support teacher mental health and instructional competence, especially in inclusive settings. These may include professional development on differentiated instruction, training in inclusive pedagogies, and mental health support such as stress management workshops and counseling. With an R² value of 20.80%, findings suggest that teacher burnout and instructional adaptations significantly influence psychological well-being; however, the remaining 79.20% indicates that other factors also contribute. Therefore, school administrators, policymakers, and teacher education institutions must adopt a holistic approach by prioritizing strategies that not only address burnout and instructional demands but also explore the broader 79.20% of influencing factors to sustain the well-being and effectiveness of general education teachers in inclusive classrooms.</w:t>
      </w:r>
    </w:p>
    <w:p w14:paraId="0CC37372" w14:textId="5BE392CC" w:rsidR="0099782D" w:rsidRDefault="0099782D" w:rsidP="005E4FA1">
      <w:pPr>
        <w:ind w:firstLine="710"/>
        <w:rPr>
          <w:color w:val="000000" w:themeColor="text1"/>
          <w:sz w:val="24"/>
        </w:rPr>
      </w:pPr>
    </w:p>
    <w:p w14:paraId="49F2F09E" w14:textId="77777777" w:rsidR="0099782D" w:rsidRPr="0099782D" w:rsidRDefault="0099782D" w:rsidP="0099782D">
      <w:pPr>
        <w:ind w:firstLine="0"/>
        <w:rPr>
          <w:b/>
          <w:color w:val="000000" w:themeColor="text1"/>
          <w:sz w:val="24"/>
        </w:rPr>
      </w:pPr>
      <w:r w:rsidRPr="0099782D">
        <w:rPr>
          <w:b/>
          <w:color w:val="000000" w:themeColor="text1"/>
          <w:sz w:val="24"/>
        </w:rPr>
        <w:t xml:space="preserve">Ethical Approval and Consent: </w:t>
      </w:r>
    </w:p>
    <w:p w14:paraId="448373AA" w14:textId="317A3807" w:rsidR="0099782D" w:rsidRPr="00180A33" w:rsidRDefault="0099782D" w:rsidP="0099782D">
      <w:pPr>
        <w:ind w:firstLine="0"/>
        <w:rPr>
          <w:color w:val="000000" w:themeColor="text1"/>
          <w:sz w:val="24"/>
        </w:rPr>
      </w:pPr>
      <w:r>
        <w:rPr>
          <w:color w:val="000000" w:themeColor="text1"/>
          <w:sz w:val="24"/>
        </w:rPr>
        <w:t>T</w:t>
      </w:r>
      <w:r w:rsidRPr="0099782D">
        <w:rPr>
          <w:color w:val="000000" w:themeColor="text1"/>
          <w:sz w:val="24"/>
        </w:rPr>
        <w:t xml:space="preserve">he researchers secured approval from the school head of </w:t>
      </w:r>
      <w:proofErr w:type="spellStart"/>
      <w:r w:rsidRPr="0099782D">
        <w:rPr>
          <w:color w:val="000000" w:themeColor="text1"/>
          <w:sz w:val="24"/>
        </w:rPr>
        <w:t>Kapalong</w:t>
      </w:r>
      <w:proofErr w:type="spellEnd"/>
      <w:r w:rsidRPr="0099782D">
        <w:rPr>
          <w:color w:val="000000" w:themeColor="text1"/>
          <w:sz w:val="24"/>
        </w:rPr>
        <w:t xml:space="preserve"> National High School and obtained informed consent from the participating general education teachers handling learners with disabilities in inclusive classrooms.</w:t>
      </w:r>
      <w:r w:rsidR="00986256">
        <w:rPr>
          <w:color w:val="000000" w:themeColor="text1"/>
          <w:sz w:val="24"/>
        </w:rPr>
        <w:t xml:space="preserve"> </w:t>
      </w:r>
      <w:r w:rsidR="00986256" w:rsidRPr="00986256">
        <w:rPr>
          <w:color w:val="000000" w:themeColor="text1"/>
          <w:sz w:val="24"/>
        </w:rPr>
        <w:t>Ethical considerations guided the entire research process. Participants were informed about the study’s purpose, procedures, and potential risks and benefits, with the assurance of confidentiality and voluntary participation. Efforts w</w:t>
      </w:r>
      <w:bookmarkStart w:id="1" w:name="_GoBack"/>
      <w:bookmarkEnd w:id="1"/>
      <w:r w:rsidR="00986256" w:rsidRPr="00986256">
        <w:rPr>
          <w:color w:val="000000" w:themeColor="text1"/>
          <w:sz w:val="24"/>
        </w:rPr>
        <w:t>ere made to prevent any form of harm, and data were handled securely. To recognize their contribution, participants received compensation for completing the survey, and findings were reported objectively, free of bias or conflict of interest.</w:t>
      </w:r>
    </w:p>
    <w:p w14:paraId="74A57732" w14:textId="77777777" w:rsidR="00292254" w:rsidRPr="00180A33" w:rsidRDefault="00292254" w:rsidP="005E4FA1">
      <w:pPr>
        <w:ind w:firstLine="710"/>
        <w:rPr>
          <w:color w:val="000000" w:themeColor="text1"/>
          <w:sz w:val="24"/>
        </w:rPr>
      </w:pPr>
    </w:p>
    <w:p w14:paraId="59A9672C" w14:textId="77777777" w:rsidR="000E6411" w:rsidRPr="00180A33" w:rsidRDefault="000E6411" w:rsidP="005E4FA1">
      <w:pPr>
        <w:ind w:firstLine="710"/>
        <w:rPr>
          <w:color w:val="000000" w:themeColor="text1"/>
          <w:sz w:val="24"/>
        </w:rPr>
      </w:pPr>
    </w:p>
    <w:p w14:paraId="25B60051" w14:textId="77777777" w:rsidR="000E6411" w:rsidRPr="00180A33" w:rsidRDefault="000E6411" w:rsidP="005E4FA1">
      <w:pPr>
        <w:ind w:firstLine="710"/>
        <w:rPr>
          <w:color w:val="000000" w:themeColor="text1"/>
          <w:sz w:val="24"/>
        </w:rPr>
      </w:pPr>
    </w:p>
    <w:p w14:paraId="39616D86" w14:textId="77777777" w:rsidR="000E6411" w:rsidRPr="00180A33" w:rsidRDefault="000E6411" w:rsidP="005E4FA1">
      <w:pPr>
        <w:ind w:firstLine="710"/>
        <w:rPr>
          <w:color w:val="000000" w:themeColor="text1"/>
          <w:sz w:val="24"/>
        </w:rPr>
      </w:pPr>
    </w:p>
    <w:p w14:paraId="685F9FFD" w14:textId="77777777" w:rsidR="007808A1" w:rsidRPr="0099782D" w:rsidRDefault="007808A1" w:rsidP="007808A1">
      <w:pPr>
        <w:rPr>
          <w:rFonts w:eastAsia="Calibri"/>
          <w:b/>
          <w:sz w:val="22"/>
          <w:szCs w:val="28"/>
          <w:lang w:val="en-US"/>
        </w:rPr>
      </w:pPr>
      <w:bookmarkStart w:id="2" w:name="_Hlk197682619"/>
      <w:bookmarkStart w:id="3" w:name="_Hlk180402183"/>
      <w:bookmarkStart w:id="4" w:name="_Hlk183680988"/>
      <w:r w:rsidRPr="0099782D">
        <w:rPr>
          <w:rFonts w:eastAsia="Calibri"/>
          <w:b/>
          <w:sz w:val="22"/>
          <w:szCs w:val="28"/>
          <w:lang w:val="en-US"/>
        </w:rPr>
        <w:t>Disclaimer (Artificial intelligence)</w:t>
      </w:r>
    </w:p>
    <w:bookmarkEnd w:id="2"/>
    <w:bookmarkEnd w:id="3"/>
    <w:bookmarkEnd w:id="4"/>
    <w:p w14:paraId="3CB0AE51" w14:textId="56E7FAE0" w:rsidR="009B2EF5" w:rsidRDefault="001E08C8" w:rsidP="001E08C8">
      <w:pPr>
        <w:ind w:firstLine="0"/>
        <w:rPr>
          <w:color w:val="000000" w:themeColor="text1"/>
          <w:sz w:val="22"/>
          <w:szCs w:val="22"/>
        </w:rPr>
      </w:pPr>
      <w:r w:rsidRPr="001E08C8">
        <w:rPr>
          <w:color w:val="000000" w:themeColor="text1"/>
          <w:sz w:val="22"/>
          <w:szCs w:val="22"/>
        </w:rPr>
        <w:t>Author</w:t>
      </w:r>
      <w:r>
        <w:rPr>
          <w:color w:val="000000" w:themeColor="text1"/>
          <w:sz w:val="22"/>
          <w:szCs w:val="22"/>
        </w:rPr>
        <w:t>s</w:t>
      </w:r>
      <w:r w:rsidRPr="001E08C8">
        <w:rPr>
          <w:color w:val="000000" w:themeColor="text1"/>
          <w:sz w:val="22"/>
          <w:szCs w:val="22"/>
        </w:rPr>
        <w:t xml:space="preserve"> hereby declare that NO generative AI technologies such as Large Language Models (ChatGPT, COPILOT, etc.) and text-to-image generators have been used during the writing or editing of this manuscript.</w:t>
      </w:r>
    </w:p>
    <w:p w14:paraId="6757D852" w14:textId="77777777" w:rsidR="001E08C8" w:rsidRPr="00180A33" w:rsidRDefault="001E08C8" w:rsidP="001E08C8">
      <w:pPr>
        <w:ind w:firstLine="0"/>
        <w:rPr>
          <w:color w:val="000000" w:themeColor="text1"/>
          <w:sz w:val="24"/>
        </w:rPr>
      </w:pPr>
    </w:p>
    <w:p w14:paraId="2E2F5DDB" w14:textId="77777777" w:rsidR="00EB391B" w:rsidRPr="00180A33" w:rsidRDefault="001C3184" w:rsidP="00EB391B">
      <w:pPr>
        <w:pStyle w:val="Heading2"/>
        <w:spacing w:before="240"/>
        <w:ind w:left="-5"/>
        <w:rPr>
          <w:sz w:val="24"/>
        </w:rPr>
      </w:pPr>
      <w:bookmarkStart w:id="5" w:name="_Hlk199793808"/>
      <w:r w:rsidRPr="00180A33">
        <w:rPr>
          <w:sz w:val="24"/>
        </w:rPr>
        <w:t xml:space="preserve">References </w:t>
      </w:r>
    </w:p>
    <w:p w14:paraId="233F6A06" w14:textId="05EE9DFB" w:rsidR="00E51D11" w:rsidRPr="00180A33" w:rsidRDefault="00E51D11" w:rsidP="00EB391B">
      <w:pPr>
        <w:pStyle w:val="Heading2"/>
        <w:spacing w:before="240" w:after="0"/>
        <w:ind w:left="720" w:hanging="720"/>
        <w:jc w:val="both"/>
        <w:rPr>
          <w:b w:val="0"/>
          <w:bCs/>
          <w:sz w:val="24"/>
        </w:rPr>
      </w:pPr>
      <w:r w:rsidRPr="00180A33">
        <w:rPr>
          <w:b w:val="0"/>
          <w:bCs/>
          <w:sz w:val="24"/>
        </w:rPr>
        <w:t xml:space="preserve">Antoniou, A. S., Pavlidou, K., </w:t>
      </w:r>
      <w:proofErr w:type="spellStart"/>
      <w:r w:rsidRPr="00180A33">
        <w:rPr>
          <w:b w:val="0"/>
          <w:bCs/>
          <w:sz w:val="24"/>
        </w:rPr>
        <w:t>Charitaki</w:t>
      </w:r>
      <w:proofErr w:type="spellEnd"/>
      <w:r w:rsidRPr="00180A33">
        <w:rPr>
          <w:b w:val="0"/>
          <w:bCs/>
          <w:sz w:val="24"/>
        </w:rPr>
        <w:t xml:space="preserve">, G., &amp; </w:t>
      </w:r>
      <w:proofErr w:type="spellStart"/>
      <w:r w:rsidRPr="00180A33">
        <w:rPr>
          <w:b w:val="0"/>
          <w:bCs/>
          <w:sz w:val="24"/>
        </w:rPr>
        <w:t>Alevriadou</w:t>
      </w:r>
      <w:proofErr w:type="spellEnd"/>
      <w:r w:rsidRPr="00180A33">
        <w:rPr>
          <w:b w:val="0"/>
          <w:bCs/>
          <w:sz w:val="24"/>
        </w:rPr>
        <w:t xml:space="preserve">, A. (2024). Profiles of teachers’ work engagement in special education: The impact of burnout and job satisfaction. </w:t>
      </w:r>
      <w:r w:rsidRPr="00180A33">
        <w:rPr>
          <w:b w:val="0"/>
          <w:bCs/>
          <w:i/>
          <w:iCs/>
          <w:sz w:val="24"/>
        </w:rPr>
        <w:t>International Journal of Disability, Development and Education</w:t>
      </w:r>
      <w:r w:rsidRPr="00180A33">
        <w:rPr>
          <w:b w:val="0"/>
          <w:bCs/>
          <w:sz w:val="24"/>
        </w:rPr>
        <w:t>, 71(4), 650-667.</w:t>
      </w:r>
    </w:p>
    <w:p w14:paraId="52D31B5B"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t>Avramidis, E., &amp; Norwich, B. (2020). Teachers' attitudes towards integration/inclusion: a review of the literature. </w:t>
      </w:r>
      <w:r w:rsidRPr="00180A33">
        <w:rPr>
          <w:i/>
          <w:iCs/>
          <w:sz w:val="24"/>
        </w:rPr>
        <w:t>European journal of special needs education</w:t>
      </w:r>
      <w:r w:rsidRPr="00180A33">
        <w:rPr>
          <w:sz w:val="24"/>
        </w:rPr>
        <w:t>, </w:t>
      </w:r>
      <w:r w:rsidRPr="00180A33">
        <w:rPr>
          <w:i/>
          <w:iCs/>
          <w:sz w:val="24"/>
        </w:rPr>
        <w:t>17</w:t>
      </w:r>
      <w:r w:rsidRPr="00180A33">
        <w:rPr>
          <w:sz w:val="24"/>
        </w:rPr>
        <w:t>(2), 129-147.</w:t>
      </w:r>
    </w:p>
    <w:p w14:paraId="07CD4E39" w14:textId="77777777" w:rsidR="00E51D11" w:rsidRPr="00180A33" w:rsidRDefault="00E51D11" w:rsidP="00E51D11">
      <w:pPr>
        <w:pBdr>
          <w:top w:val="nil"/>
          <w:left w:val="nil"/>
          <w:bottom w:val="nil"/>
          <w:right w:val="nil"/>
          <w:between w:val="nil"/>
        </w:pBdr>
        <w:spacing w:after="0"/>
        <w:ind w:left="720" w:hanging="720"/>
        <w:rPr>
          <w:sz w:val="24"/>
        </w:rPr>
      </w:pPr>
      <w:proofErr w:type="spellStart"/>
      <w:r w:rsidRPr="00180A33">
        <w:rPr>
          <w:sz w:val="24"/>
        </w:rPr>
        <w:t>Bagdžiūnienė</w:t>
      </w:r>
      <w:proofErr w:type="spellEnd"/>
      <w:r w:rsidRPr="00180A33">
        <w:rPr>
          <w:sz w:val="24"/>
        </w:rPr>
        <w:t xml:space="preserve">, D., </w:t>
      </w:r>
      <w:proofErr w:type="spellStart"/>
      <w:r w:rsidRPr="00180A33">
        <w:rPr>
          <w:sz w:val="24"/>
        </w:rPr>
        <w:t>Kazlauskienė</w:t>
      </w:r>
      <w:proofErr w:type="spellEnd"/>
      <w:r w:rsidRPr="00180A33">
        <w:rPr>
          <w:sz w:val="24"/>
        </w:rPr>
        <w:t xml:space="preserve">, A., </w:t>
      </w:r>
      <w:proofErr w:type="spellStart"/>
      <w:r w:rsidRPr="00180A33">
        <w:rPr>
          <w:sz w:val="24"/>
        </w:rPr>
        <w:t>Nasvytienė</w:t>
      </w:r>
      <w:proofErr w:type="spellEnd"/>
      <w:r w:rsidRPr="00180A33">
        <w:rPr>
          <w:sz w:val="24"/>
        </w:rPr>
        <w:t xml:space="preserve">, D., &amp; </w:t>
      </w:r>
      <w:proofErr w:type="spellStart"/>
      <w:r w:rsidRPr="00180A33">
        <w:rPr>
          <w:sz w:val="24"/>
        </w:rPr>
        <w:t>Sakadolskis</w:t>
      </w:r>
      <w:proofErr w:type="spellEnd"/>
      <w:r w:rsidRPr="00180A33">
        <w:rPr>
          <w:sz w:val="24"/>
        </w:rPr>
        <w:t>, E. (2023). Resources of emotional resilience and its mediating role in teachers’ well-being and intention to leave. </w:t>
      </w:r>
      <w:r w:rsidRPr="00180A33">
        <w:rPr>
          <w:i/>
          <w:iCs/>
          <w:sz w:val="24"/>
        </w:rPr>
        <w:t>Frontiers in psychology</w:t>
      </w:r>
      <w:r w:rsidRPr="00180A33">
        <w:rPr>
          <w:sz w:val="24"/>
        </w:rPr>
        <w:t>, </w:t>
      </w:r>
      <w:r w:rsidRPr="00180A33">
        <w:rPr>
          <w:i/>
          <w:iCs/>
          <w:sz w:val="24"/>
        </w:rPr>
        <w:t>14</w:t>
      </w:r>
      <w:r w:rsidRPr="00180A33">
        <w:rPr>
          <w:sz w:val="24"/>
        </w:rPr>
        <w:t>, 1305979.</w:t>
      </w:r>
    </w:p>
    <w:p w14:paraId="6A3EA437" w14:textId="77777777" w:rsidR="00E51D11" w:rsidRPr="00180A33" w:rsidRDefault="00E51D11" w:rsidP="00E51D11">
      <w:pPr>
        <w:pBdr>
          <w:top w:val="nil"/>
          <w:left w:val="nil"/>
          <w:bottom w:val="nil"/>
          <w:right w:val="nil"/>
          <w:between w:val="nil"/>
        </w:pBdr>
        <w:spacing w:after="0"/>
        <w:ind w:left="720" w:hanging="720"/>
        <w:rPr>
          <w:sz w:val="24"/>
        </w:rPr>
      </w:pPr>
      <w:proofErr w:type="spellStart"/>
      <w:r w:rsidRPr="00180A33">
        <w:rPr>
          <w:sz w:val="24"/>
        </w:rPr>
        <w:t>Bangoy</w:t>
      </w:r>
      <w:proofErr w:type="spellEnd"/>
      <w:r w:rsidRPr="00180A33">
        <w:rPr>
          <w:sz w:val="24"/>
        </w:rPr>
        <w:t xml:space="preserve">, R., &amp; Tan, V. (2024). Predicting Reading Comprehension: Investigating the Influence of Multiple Variables Through Multiple Regression Analysis. </w:t>
      </w:r>
      <w:r w:rsidRPr="00180A33">
        <w:rPr>
          <w:i/>
          <w:iCs/>
          <w:sz w:val="24"/>
        </w:rPr>
        <w:t>International Journal of Religion</w:t>
      </w:r>
      <w:r w:rsidRPr="00180A33">
        <w:rPr>
          <w:sz w:val="24"/>
        </w:rPr>
        <w:t>, 5(10), 2613–2618.</w:t>
      </w:r>
    </w:p>
    <w:p w14:paraId="3478DE64" w14:textId="25823797" w:rsidR="00593A61" w:rsidRPr="00180A33" w:rsidRDefault="00E51D11" w:rsidP="00E51D11">
      <w:pPr>
        <w:pBdr>
          <w:top w:val="nil"/>
          <w:left w:val="nil"/>
          <w:bottom w:val="nil"/>
          <w:right w:val="nil"/>
          <w:between w:val="nil"/>
        </w:pBdr>
        <w:spacing w:after="0"/>
        <w:ind w:left="720" w:hanging="720"/>
        <w:rPr>
          <w:sz w:val="24"/>
        </w:rPr>
      </w:pPr>
      <w:proofErr w:type="spellStart"/>
      <w:r w:rsidRPr="00180A33">
        <w:rPr>
          <w:sz w:val="24"/>
        </w:rPr>
        <w:t>Bentea</w:t>
      </w:r>
      <w:proofErr w:type="spellEnd"/>
      <w:r w:rsidRPr="00180A33">
        <w:rPr>
          <w:sz w:val="24"/>
        </w:rPr>
        <w:t xml:space="preserve">, C. C. (2017). Teacher self-efficacy, teacher burnout and psychological well-being. </w:t>
      </w:r>
      <w:r w:rsidRPr="00180A33">
        <w:rPr>
          <w:i/>
          <w:iCs/>
          <w:sz w:val="24"/>
        </w:rPr>
        <w:t xml:space="preserve">The European Proceedings of Social &amp; </w:t>
      </w:r>
      <w:proofErr w:type="spellStart"/>
      <w:r w:rsidRPr="00180A33">
        <w:rPr>
          <w:i/>
          <w:iCs/>
          <w:sz w:val="24"/>
        </w:rPr>
        <w:t>Behavioural</w:t>
      </w:r>
      <w:proofErr w:type="spellEnd"/>
      <w:r w:rsidRPr="00180A33">
        <w:rPr>
          <w:i/>
          <w:iCs/>
          <w:sz w:val="24"/>
        </w:rPr>
        <w:t xml:space="preserve"> Sciences</w:t>
      </w:r>
      <w:r w:rsidRPr="00180A33">
        <w:rPr>
          <w:sz w:val="24"/>
        </w:rPr>
        <w:t>, 31, 1123–1130. https://doi.org/10.15405/epsbs.2017.05.02.139</w:t>
      </w:r>
    </w:p>
    <w:p w14:paraId="65B2E3E9" w14:textId="588CF434" w:rsidR="00E51D11" w:rsidRPr="00180A33" w:rsidRDefault="00593A61" w:rsidP="00E51D11">
      <w:pPr>
        <w:pBdr>
          <w:top w:val="nil"/>
          <w:left w:val="nil"/>
          <w:bottom w:val="nil"/>
          <w:right w:val="nil"/>
          <w:between w:val="nil"/>
        </w:pBdr>
        <w:spacing w:after="0"/>
        <w:ind w:left="720" w:hanging="720"/>
        <w:rPr>
          <w:sz w:val="24"/>
        </w:rPr>
      </w:pPr>
      <w:r w:rsidRPr="00180A33">
        <w:rPr>
          <w:sz w:val="24"/>
        </w:rPr>
        <w:t>Bi</w:t>
      </w:r>
      <w:r w:rsidR="00E51D11" w:rsidRPr="00180A33">
        <w:rPr>
          <w:sz w:val="24"/>
        </w:rPr>
        <w:t xml:space="preserve">di, S. B., Alapati, V., Dmello, V. J., </w:t>
      </w:r>
      <w:proofErr w:type="spellStart"/>
      <w:r w:rsidR="00E51D11" w:rsidRPr="00180A33">
        <w:rPr>
          <w:sz w:val="24"/>
        </w:rPr>
        <w:t>Weesie</w:t>
      </w:r>
      <w:proofErr w:type="spellEnd"/>
      <w:r w:rsidR="00E51D11" w:rsidRPr="00180A33">
        <w:rPr>
          <w:sz w:val="24"/>
        </w:rPr>
        <w:t xml:space="preserve">, E., Gil, M. T., Shenoy, S. S., Kurian, S., &amp; Rajendran, A. (2024). Prevalence of stress and its relevance on psychological well-being of the teaching profession: A scoping review. </w:t>
      </w:r>
      <w:r w:rsidR="00E51D11" w:rsidRPr="00180A33">
        <w:rPr>
          <w:i/>
          <w:iCs/>
          <w:sz w:val="24"/>
        </w:rPr>
        <w:t>F1000Research</w:t>
      </w:r>
      <w:r w:rsidR="00E51D11" w:rsidRPr="00180A33">
        <w:rPr>
          <w:sz w:val="24"/>
        </w:rPr>
        <w:t>, 12, 424. https://doi.org/10.12688/f1000research.131894.2</w:t>
      </w:r>
    </w:p>
    <w:p w14:paraId="1ADE496C" w14:textId="77777777" w:rsidR="00E51D11" w:rsidRPr="00180A33" w:rsidRDefault="00E51D11" w:rsidP="00E51D11">
      <w:pPr>
        <w:pBdr>
          <w:top w:val="nil"/>
          <w:left w:val="nil"/>
          <w:bottom w:val="nil"/>
          <w:right w:val="nil"/>
          <w:between w:val="nil"/>
        </w:pBdr>
        <w:spacing w:after="0"/>
        <w:ind w:left="720" w:hanging="720"/>
        <w:rPr>
          <w:sz w:val="24"/>
        </w:rPr>
      </w:pPr>
      <w:proofErr w:type="spellStart"/>
      <w:r w:rsidRPr="00180A33">
        <w:rPr>
          <w:sz w:val="24"/>
        </w:rPr>
        <w:t>Calandri</w:t>
      </w:r>
      <w:proofErr w:type="spellEnd"/>
      <w:r w:rsidRPr="00180A33">
        <w:rPr>
          <w:sz w:val="24"/>
        </w:rPr>
        <w:t xml:space="preserve">, E., </w:t>
      </w:r>
      <w:proofErr w:type="spellStart"/>
      <w:r w:rsidRPr="00180A33">
        <w:rPr>
          <w:sz w:val="24"/>
        </w:rPr>
        <w:t>Mastrokoukou</w:t>
      </w:r>
      <w:proofErr w:type="spellEnd"/>
      <w:r w:rsidRPr="00180A33">
        <w:rPr>
          <w:sz w:val="24"/>
        </w:rPr>
        <w:t xml:space="preserve">, S., Marchisio, C., </w:t>
      </w:r>
      <w:proofErr w:type="spellStart"/>
      <w:r w:rsidRPr="00180A33">
        <w:rPr>
          <w:sz w:val="24"/>
        </w:rPr>
        <w:t>Monchietto</w:t>
      </w:r>
      <w:proofErr w:type="spellEnd"/>
      <w:r w:rsidRPr="00180A33">
        <w:rPr>
          <w:sz w:val="24"/>
        </w:rPr>
        <w:t>, A., &amp; Graziano, F. (2025). Teacher Emotional Competence for Inclusive Education: A Systematic Review. </w:t>
      </w:r>
      <w:r w:rsidRPr="00180A33">
        <w:rPr>
          <w:i/>
          <w:iCs/>
          <w:sz w:val="24"/>
        </w:rPr>
        <w:t>Behavioral Sciences</w:t>
      </w:r>
      <w:r w:rsidRPr="00180A33">
        <w:rPr>
          <w:sz w:val="24"/>
        </w:rPr>
        <w:t>, </w:t>
      </w:r>
      <w:r w:rsidRPr="00180A33">
        <w:rPr>
          <w:i/>
          <w:iCs/>
          <w:sz w:val="24"/>
        </w:rPr>
        <w:t>15</w:t>
      </w:r>
      <w:r w:rsidRPr="00180A33">
        <w:rPr>
          <w:sz w:val="24"/>
        </w:rPr>
        <w:t>(3), 359.</w:t>
      </w:r>
    </w:p>
    <w:p w14:paraId="5CB37DAA"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t xml:space="preserve">Candeias, A., Galindo, E., Calisto, I., </w:t>
      </w:r>
      <w:proofErr w:type="spellStart"/>
      <w:r w:rsidRPr="00180A33">
        <w:rPr>
          <w:sz w:val="24"/>
        </w:rPr>
        <w:t>Borralho</w:t>
      </w:r>
      <w:proofErr w:type="spellEnd"/>
      <w:r w:rsidRPr="00180A33">
        <w:rPr>
          <w:sz w:val="24"/>
        </w:rPr>
        <w:t>, L., &amp; Reschke, K. (2021). Stress and burnout in teaching. Study in an inclusive school workplace. </w:t>
      </w:r>
      <w:r w:rsidRPr="00180A33">
        <w:rPr>
          <w:i/>
          <w:iCs/>
          <w:sz w:val="24"/>
        </w:rPr>
        <w:t>Health Psychology Report</w:t>
      </w:r>
      <w:r w:rsidRPr="00180A33">
        <w:rPr>
          <w:sz w:val="24"/>
        </w:rPr>
        <w:t>, </w:t>
      </w:r>
      <w:r w:rsidRPr="00180A33">
        <w:rPr>
          <w:i/>
          <w:iCs/>
          <w:sz w:val="24"/>
        </w:rPr>
        <w:t>9</w:t>
      </w:r>
      <w:r w:rsidRPr="00180A33">
        <w:rPr>
          <w:sz w:val="24"/>
        </w:rPr>
        <w:t>(1), 63-75.</w:t>
      </w:r>
    </w:p>
    <w:p w14:paraId="6CE8BCE5"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t xml:space="preserve">Chung, S., Long, S., &amp; McCallum, F. (2023). Unravelling the wellbeing needs of Australian teachers: A qualitative inquiry. </w:t>
      </w:r>
      <w:r w:rsidRPr="00180A33">
        <w:rPr>
          <w:i/>
          <w:iCs/>
          <w:sz w:val="24"/>
        </w:rPr>
        <w:t>The Australian Educational Researcher</w:t>
      </w:r>
      <w:r w:rsidRPr="00180A33">
        <w:rPr>
          <w:sz w:val="24"/>
        </w:rPr>
        <w:t>. https://doi.org/10.1007/s13384-023-00687-9</w:t>
      </w:r>
    </w:p>
    <w:p w14:paraId="37A38ABD" w14:textId="77777777" w:rsidR="00E51D11" w:rsidRPr="00180A33" w:rsidRDefault="00E51D11" w:rsidP="00E51D11">
      <w:pPr>
        <w:pBdr>
          <w:top w:val="nil"/>
          <w:left w:val="nil"/>
          <w:bottom w:val="nil"/>
          <w:right w:val="nil"/>
          <w:between w:val="nil"/>
        </w:pBdr>
        <w:spacing w:after="0"/>
        <w:ind w:left="720" w:hanging="720"/>
        <w:rPr>
          <w:sz w:val="24"/>
        </w:rPr>
      </w:pPr>
      <w:proofErr w:type="spellStart"/>
      <w:r w:rsidRPr="00180A33">
        <w:rPr>
          <w:sz w:val="24"/>
        </w:rPr>
        <w:t>Clarete</w:t>
      </w:r>
      <w:proofErr w:type="spellEnd"/>
      <w:r w:rsidRPr="00180A33">
        <w:rPr>
          <w:sz w:val="24"/>
        </w:rPr>
        <w:t xml:space="preserve">, P. M. D., Mondejar, M. A. D., </w:t>
      </w:r>
      <w:proofErr w:type="spellStart"/>
      <w:r w:rsidRPr="00180A33">
        <w:rPr>
          <w:sz w:val="24"/>
        </w:rPr>
        <w:t>Quimba</w:t>
      </w:r>
      <w:proofErr w:type="spellEnd"/>
      <w:r w:rsidRPr="00180A33">
        <w:rPr>
          <w:sz w:val="24"/>
        </w:rPr>
        <w:t xml:space="preserve">, N. R. L., &amp; </w:t>
      </w:r>
      <w:proofErr w:type="spellStart"/>
      <w:r w:rsidRPr="00180A33">
        <w:rPr>
          <w:sz w:val="24"/>
        </w:rPr>
        <w:t>Gaygay</w:t>
      </w:r>
      <w:proofErr w:type="spellEnd"/>
      <w:r w:rsidRPr="00180A33">
        <w:rPr>
          <w:sz w:val="24"/>
        </w:rPr>
        <w:t xml:space="preserve">, C. F. (2023). A Descriptive-Correlational Study on Personality Traits and Entrepreneurial Intentions of Senior High School Learners. </w:t>
      </w:r>
      <w:r w:rsidRPr="00180A33">
        <w:rPr>
          <w:i/>
          <w:iCs/>
          <w:sz w:val="24"/>
        </w:rPr>
        <w:t>International Journal of Multidisciplinary: Applied Business and Education Research</w:t>
      </w:r>
      <w:r w:rsidRPr="00180A33">
        <w:rPr>
          <w:sz w:val="24"/>
        </w:rPr>
        <w:t>, 4(12), 4460–4472.</w:t>
      </w:r>
    </w:p>
    <w:p w14:paraId="180E3DB8"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t xml:space="preserve">Clarion, E. B., &amp; </w:t>
      </w:r>
      <w:proofErr w:type="spellStart"/>
      <w:r w:rsidRPr="00180A33">
        <w:rPr>
          <w:sz w:val="24"/>
        </w:rPr>
        <w:t>Palarisan</w:t>
      </w:r>
      <w:proofErr w:type="spellEnd"/>
      <w:r w:rsidRPr="00180A33">
        <w:rPr>
          <w:sz w:val="24"/>
        </w:rPr>
        <w:t xml:space="preserve">, N. J. (2023). Mental Health of Public School Teachers in Davao de Oro, Philippines. </w:t>
      </w:r>
      <w:r w:rsidRPr="00180A33">
        <w:rPr>
          <w:i/>
          <w:iCs/>
          <w:sz w:val="24"/>
        </w:rPr>
        <w:t>Asian J. Educ. Soc. Stud</w:t>
      </w:r>
      <w:r w:rsidRPr="00180A33">
        <w:rPr>
          <w:sz w:val="24"/>
        </w:rPr>
        <w:t>, 43(2), 1-8.</w:t>
      </w:r>
    </w:p>
    <w:p w14:paraId="75627323"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t xml:space="preserve">Creswell, J. W., &amp; Creswell, J. D. (2017). Research design: Qualitative, quantitative, and mixed methods approaches (5th ed.). </w:t>
      </w:r>
      <w:r w:rsidRPr="00180A33">
        <w:rPr>
          <w:i/>
          <w:iCs/>
          <w:sz w:val="24"/>
        </w:rPr>
        <w:t>SAGE Publications</w:t>
      </w:r>
      <w:r w:rsidRPr="00180A33">
        <w:rPr>
          <w:sz w:val="24"/>
        </w:rPr>
        <w:t>.</w:t>
      </w:r>
    </w:p>
    <w:p w14:paraId="5CE807DD"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lastRenderedPageBreak/>
        <w:t>Dreer, B. (2024). Teachers’ well-being and job satisfaction: The important role of positive emotions in the workplace. </w:t>
      </w:r>
      <w:r w:rsidRPr="00180A33">
        <w:rPr>
          <w:i/>
          <w:iCs/>
          <w:sz w:val="24"/>
        </w:rPr>
        <w:t>Educational studies</w:t>
      </w:r>
      <w:r w:rsidRPr="00180A33">
        <w:rPr>
          <w:sz w:val="24"/>
        </w:rPr>
        <w:t>, </w:t>
      </w:r>
      <w:r w:rsidRPr="00180A33">
        <w:rPr>
          <w:i/>
          <w:iCs/>
          <w:sz w:val="24"/>
        </w:rPr>
        <w:t>50</w:t>
      </w:r>
      <w:r w:rsidRPr="00180A33">
        <w:rPr>
          <w:sz w:val="24"/>
        </w:rPr>
        <w:t>(1), 61-77.</w:t>
      </w:r>
    </w:p>
    <w:p w14:paraId="4C8296C1"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t>Fernandez-Bernabe, R., &amp; Fabella, F. E. (2020). Stress Levels and Perceived Self-Efficacy of Teachers Handling Inclusive Education. Available at SSRN 3516403.</w:t>
      </w:r>
    </w:p>
    <w:p w14:paraId="48DE526A"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t>Freire, C., Ferradas, M. D. M., García-</w:t>
      </w:r>
      <w:proofErr w:type="spellStart"/>
      <w:r w:rsidRPr="00180A33">
        <w:rPr>
          <w:sz w:val="24"/>
        </w:rPr>
        <w:t>Bértoa</w:t>
      </w:r>
      <w:proofErr w:type="spellEnd"/>
      <w:r w:rsidRPr="00180A33">
        <w:rPr>
          <w:sz w:val="24"/>
        </w:rPr>
        <w:t>, A., Núñez, J. C., Rodríguez, S., &amp; Piñeiro, I. (2020). Psychological capital and burnout in teachers: The mediating role of flourishing. </w:t>
      </w:r>
      <w:r w:rsidRPr="00180A33">
        <w:rPr>
          <w:i/>
          <w:iCs/>
          <w:sz w:val="24"/>
        </w:rPr>
        <w:t>International Journal of Environmental Research and Public Health</w:t>
      </w:r>
      <w:r w:rsidRPr="00180A33">
        <w:rPr>
          <w:sz w:val="24"/>
        </w:rPr>
        <w:t>, </w:t>
      </w:r>
      <w:r w:rsidRPr="00180A33">
        <w:rPr>
          <w:i/>
          <w:iCs/>
          <w:sz w:val="24"/>
        </w:rPr>
        <w:t>17</w:t>
      </w:r>
      <w:r w:rsidRPr="00180A33">
        <w:rPr>
          <w:sz w:val="24"/>
        </w:rPr>
        <w:t>(22), 8403.</w:t>
      </w:r>
    </w:p>
    <w:p w14:paraId="563FA680"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t xml:space="preserve">Gainey, N. W. (2020). Inclusive classrooms: Elementary regular classroom teachers’ perceived stressors and supports needed to effectively teach students with special needs (Doctoral dissertation, Southeastern University). </w:t>
      </w:r>
      <w:r w:rsidRPr="00180A33">
        <w:rPr>
          <w:i/>
          <w:iCs/>
          <w:sz w:val="24"/>
        </w:rPr>
        <w:t>ProQuest Dissertations Publishing</w:t>
      </w:r>
      <w:r w:rsidRPr="00180A33">
        <w:rPr>
          <w:sz w:val="24"/>
        </w:rPr>
        <w:t xml:space="preserve">. </w:t>
      </w:r>
    </w:p>
    <w:p w14:paraId="412D468F" w14:textId="64AF1551" w:rsidR="007F629A" w:rsidRPr="00180A33" w:rsidRDefault="007F629A" w:rsidP="00E51D11">
      <w:pPr>
        <w:pBdr>
          <w:top w:val="nil"/>
          <w:left w:val="nil"/>
          <w:bottom w:val="nil"/>
          <w:right w:val="nil"/>
          <w:between w:val="nil"/>
        </w:pBdr>
        <w:spacing w:after="0"/>
        <w:ind w:left="720" w:hanging="720"/>
        <w:rPr>
          <w:sz w:val="24"/>
        </w:rPr>
      </w:pPr>
      <w:r w:rsidRPr="00180A33">
        <w:rPr>
          <w:sz w:val="24"/>
        </w:rPr>
        <w:t xml:space="preserve">Gupta, S. S. (2020). Voices from the field: Why aren’t we talking about teacher well-being with </w:t>
      </w:r>
      <w:proofErr w:type="gramStart"/>
      <w:r w:rsidRPr="00180A33">
        <w:rPr>
          <w:sz w:val="24"/>
        </w:rPr>
        <w:t>inclusion?.</w:t>
      </w:r>
      <w:proofErr w:type="gramEnd"/>
      <w:r w:rsidRPr="00180A33">
        <w:rPr>
          <w:sz w:val="24"/>
        </w:rPr>
        <w:t> </w:t>
      </w:r>
      <w:r w:rsidRPr="00180A33">
        <w:rPr>
          <w:i/>
          <w:iCs/>
          <w:sz w:val="24"/>
        </w:rPr>
        <w:t>Young Exceptional Children</w:t>
      </w:r>
      <w:r w:rsidRPr="00180A33">
        <w:rPr>
          <w:sz w:val="24"/>
        </w:rPr>
        <w:t>, </w:t>
      </w:r>
      <w:r w:rsidRPr="00180A33">
        <w:rPr>
          <w:i/>
          <w:iCs/>
          <w:sz w:val="24"/>
        </w:rPr>
        <w:t>23</w:t>
      </w:r>
      <w:r w:rsidRPr="00180A33">
        <w:rPr>
          <w:sz w:val="24"/>
        </w:rPr>
        <w:t>(2), 59-62.</w:t>
      </w:r>
    </w:p>
    <w:p w14:paraId="39216FDE" w14:textId="00220B5A" w:rsidR="003E29BC" w:rsidRPr="00180A33" w:rsidRDefault="003E29BC" w:rsidP="00E51D11">
      <w:pPr>
        <w:pBdr>
          <w:top w:val="nil"/>
          <w:left w:val="nil"/>
          <w:bottom w:val="nil"/>
          <w:right w:val="nil"/>
          <w:between w:val="nil"/>
        </w:pBdr>
        <w:spacing w:after="0"/>
        <w:ind w:left="720" w:hanging="720"/>
        <w:rPr>
          <w:sz w:val="24"/>
        </w:rPr>
      </w:pPr>
      <w:r w:rsidRPr="00180A33">
        <w:rPr>
          <w:sz w:val="24"/>
        </w:rPr>
        <w:t>Jeon, L., Buettner, C. K., &amp; Grant, A. A. (2018). Early childhood teachers’ psychological well-being: Exploring potential predictors of depression, stress, and emotional exhaustion. Early education and development, 29(1), 53-69.</w:t>
      </w:r>
    </w:p>
    <w:p w14:paraId="26970ADC" w14:textId="25BD0B4F" w:rsidR="00C95CE6" w:rsidRPr="00180A33" w:rsidRDefault="00C95CE6" w:rsidP="00E51D11">
      <w:pPr>
        <w:pBdr>
          <w:top w:val="nil"/>
          <w:left w:val="nil"/>
          <w:bottom w:val="nil"/>
          <w:right w:val="nil"/>
          <w:between w:val="nil"/>
        </w:pBdr>
        <w:spacing w:after="0"/>
        <w:ind w:left="720" w:hanging="720"/>
        <w:rPr>
          <w:sz w:val="24"/>
        </w:rPr>
      </w:pPr>
      <w:proofErr w:type="spellStart"/>
      <w:r w:rsidRPr="00180A33">
        <w:rPr>
          <w:sz w:val="24"/>
        </w:rPr>
        <w:t>Khoboko</w:t>
      </w:r>
      <w:proofErr w:type="spellEnd"/>
      <w:r w:rsidRPr="00180A33">
        <w:rPr>
          <w:sz w:val="24"/>
        </w:rPr>
        <w:t xml:space="preserve">, N. E., Aloka, P. J., &amp; Charamba, E. (2024). Psychological Challenges </w:t>
      </w:r>
      <w:proofErr w:type="gramStart"/>
      <w:r w:rsidRPr="00180A33">
        <w:rPr>
          <w:sz w:val="24"/>
        </w:rPr>
        <w:t>Of</w:t>
      </w:r>
      <w:proofErr w:type="gramEnd"/>
      <w:r w:rsidRPr="00180A33">
        <w:rPr>
          <w:sz w:val="24"/>
        </w:rPr>
        <w:t xml:space="preserve"> Implementing Inclusive Education Among Learning Support Teachers At Metropole East Education District, South Africa. </w:t>
      </w:r>
      <w:r w:rsidRPr="00180A33">
        <w:rPr>
          <w:i/>
          <w:iCs/>
          <w:sz w:val="24"/>
        </w:rPr>
        <w:t>Social Sciences and Education Research Review</w:t>
      </w:r>
      <w:r w:rsidRPr="00180A33">
        <w:rPr>
          <w:sz w:val="24"/>
        </w:rPr>
        <w:t>, </w:t>
      </w:r>
      <w:r w:rsidRPr="00180A33">
        <w:rPr>
          <w:i/>
          <w:iCs/>
          <w:sz w:val="24"/>
        </w:rPr>
        <w:t>11</w:t>
      </w:r>
      <w:r w:rsidRPr="00180A33">
        <w:rPr>
          <w:sz w:val="24"/>
        </w:rPr>
        <w:t>(1), 52-62.</w:t>
      </w:r>
    </w:p>
    <w:p w14:paraId="7A2F8A91"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t xml:space="preserve">Kozlova, M., &amp; </w:t>
      </w:r>
      <w:proofErr w:type="spellStart"/>
      <w:r w:rsidRPr="00180A33">
        <w:rPr>
          <w:sz w:val="24"/>
        </w:rPr>
        <w:t>Ryabichenko</w:t>
      </w:r>
      <w:proofErr w:type="spellEnd"/>
      <w:r w:rsidRPr="00180A33">
        <w:rPr>
          <w:sz w:val="24"/>
        </w:rPr>
        <w:t>, T. (2024). Inclusive education in schools in Russia and Kazakhstan: Attitudes and well-being of teachers as related factors in the formation of an inclusive environment. </w:t>
      </w:r>
      <w:r w:rsidRPr="00180A33">
        <w:rPr>
          <w:i/>
          <w:iCs/>
          <w:sz w:val="24"/>
        </w:rPr>
        <w:t>Children and Youth Services Review</w:t>
      </w:r>
      <w:r w:rsidRPr="00180A33">
        <w:rPr>
          <w:sz w:val="24"/>
        </w:rPr>
        <w:t>, </w:t>
      </w:r>
      <w:r w:rsidRPr="00180A33">
        <w:rPr>
          <w:i/>
          <w:iCs/>
          <w:sz w:val="24"/>
        </w:rPr>
        <w:t>163</w:t>
      </w:r>
      <w:r w:rsidRPr="00180A33">
        <w:rPr>
          <w:sz w:val="24"/>
        </w:rPr>
        <w:t>, 107785.</w:t>
      </w:r>
    </w:p>
    <w:p w14:paraId="0CE3E01A"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t>Kumari, D. D., &amp; Prajapati, R. K. (2024). A Study of Relationship between Job Burnout and the Mental Health of the Teacher Educators. </w:t>
      </w:r>
      <w:r w:rsidRPr="00180A33">
        <w:rPr>
          <w:i/>
          <w:iCs/>
          <w:sz w:val="24"/>
        </w:rPr>
        <w:t>International Journal of Research and Innovation in Social Science</w:t>
      </w:r>
      <w:r w:rsidRPr="00180A33">
        <w:rPr>
          <w:sz w:val="24"/>
        </w:rPr>
        <w:t>, </w:t>
      </w:r>
      <w:r w:rsidRPr="00180A33">
        <w:rPr>
          <w:i/>
          <w:iCs/>
          <w:sz w:val="24"/>
        </w:rPr>
        <w:t>8</w:t>
      </w:r>
      <w:r w:rsidRPr="00180A33">
        <w:rPr>
          <w:sz w:val="24"/>
        </w:rPr>
        <w:t>(3s), 5459-5464.</w:t>
      </w:r>
    </w:p>
    <w:p w14:paraId="1F01A07F"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t xml:space="preserve">Lim, W. M. (2024). What Is Quantitative Research? An Overview and Guidelines. </w:t>
      </w:r>
      <w:r w:rsidRPr="00180A33">
        <w:rPr>
          <w:i/>
          <w:iCs/>
          <w:sz w:val="24"/>
        </w:rPr>
        <w:t>Australasian Marketing Journal</w:t>
      </w:r>
      <w:r w:rsidRPr="00180A33">
        <w:rPr>
          <w:sz w:val="24"/>
        </w:rPr>
        <w:t xml:space="preserve"> </w:t>
      </w:r>
      <w:r w:rsidRPr="00180A33">
        <w:rPr>
          <w:i/>
          <w:iCs/>
          <w:sz w:val="24"/>
        </w:rPr>
        <w:t>(AMJ).</w:t>
      </w:r>
      <w:r w:rsidRPr="00180A33">
        <w:rPr>
          <w:sz w:val="24"/>
        </w:rPr>
        <w:t xml:space="preserve"> https://doi.org/10.1177/14413582241264622.</w:t>
      </w:r>
    </w:p>
    <w:p w14:paraId="1AE19906" w14:textId="77777777" w:rsidR="00E51D11" w:rsidRPr="00180A33" w:rsidRDefault="00E51D11" w:rsidP="00E51D11">
      <w:pPr>
        <w:pBdr>
          <w:top w:val="nil"/>
          <w:left w:val="nil"/>
          <w:bottom w:val="nil"/>
          <w:right w:val="nil"/>
          <w:between w:val="nil"/>
        </w:pBdr>
        <w:spacing w:after="0"/>
        <w:ind w:left="720" w:hanging="720"/>
        <w:rPr>
          <w:sz w:val="24"/>
        </w:rPr>
      </w:pPr>
      <w:proofErr w:type="spellStart"/>
      <w:r w:rsidRPr="00180A33">
        <w:rPr>
          <w:sz w:val="24"/>
        </w:rPr>
        <w:t>Macapaz</w:t>
      </w:r>
      <w:proofErr w:type="spellEnd"/>
      <w:r w:rsidRPr="00180A33">
        <w:rPr>
          <w:sz w:val="24"/>
        </w:rPr>
        <w:t xml:space="preserve">, M. K. S., </w:t>
      </w:r>
      <w:proofErr w:type="spellStart"/>
      <w:r w:rsidRPr="00180A33">
        <w:rPr>
          <w:sz w:val="24"/>
        </w:rPr>
        <w:t>Bubuli</w:t>
      </w:r>
      <w:proofErr w:type="spellEnd"/>
      <w:r w:rsidRPr="00180A33">
        <w:rPr>
          <w:sz w:val="24"/>
        </w:rPr>
        <w:t xml:space="preserve">, C. A., </w:t>
      </w:r>
      <w:proofErr w:type="spellStart"/>
      <w:r w:rsidRPr="00180A33">
        <w:rPr>
          <w:sz w:val="24"/>
        </w:rPr>
        <w:t>Nuñal</w:t>
      </w:r>
      <w:proofErr w:type="spellEnd"/>
      <w:r w:rsidRPr="00180A33">
        <w:rPr>
          <w:sz w:val="24"/>
        </w:rPr>
        <w:t xml:space="preserve">, M. P. P., Alpuerto, I. M. G., </w:t>
      </w:r>
      <w:proofErr w:type="spellStart"/>
      <w:r w:rsidRPr="00180A33">
        <w:rPr>
          <w:sz w:val="24"/>
        </w:rPr>
        <w:t>Caalaman</w:t>
      </w:r>
      <w:proofErr w:type="spellEnd"/>
      <w:r w:rsidRPr="00180A33">
        <w:rPr>
          <w:sz w:val="24"/>
        </w:rPr>
        <w:t xml:space="preserve">, A. S., &amp; Ramos, A. M. (2024). Exploring teachers’ attitudes and burnout in inclusive classrooms. </w:t>
      </w:r>
      <w:r w:rsidRPr="00180A33">
        <w:rPr>
          <w:i/>
          <w:iCs/>
          <w:sz w:val="24"/>
        </w:rPr>
        <w:t>International Journal of Intelligent Systems and Applications in Engineering</w:t>
      </w:r>
      <w:r w:rsidRPr="00180A33">
        <w:rPr>
          <w:sz w:val="24"/>
        </w:rPr>
        <w:t>, 12(4), 2363–2372. https://www.ijisae.org/index.php/IJISAE/article/view/6635.</w:t>
      </w:r>
    </w:p>
    <w:p w14:paraId="5BB836AC"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t>Martel, M. J. S., &amp; Santana, J. D. M. (2021). The mediating effect of university teaching staff’s psychological well-being between emotional intelligence and burnout. </w:t>
      </w:r>
      <w:proofErr w:type="spellStart"/>
      <w:r w:rsidRPr="00180A33">
        <w:rPr>
          <w:i/>
          <w:iCs/>
          <w:sz w:val="24"/>
        </w:rPr>
        <w:t>Psicología</w:t>
      </w:r>
      <w:proofErr w:type="spellEnd"/>
      <w:r w:rsidRPr="00180A33">
        <w:rPr>
          <w:i/>
          <w:iCs/>
          <w:sz w:val="24"/>
        </w:rPr>
        <w:t xml:space="preserve"> </w:t>
      </w:r>
      <w:proofErr w:type="spellStart"/>
      <w:r w:rsidRPr="00180A33">
        <w:rPr>
          <w:i/>
          <w:iCs/>
          <w:sz w:val="24"/>
        </w:rPr>
        <w:t>Educativa</w:t>
      </w:r>
      <w:proofErr w:type="spellEnd"/>
      <w:r w:rsidRPr="00180A33">
        <w:rPr>
          <w:i/>
          <w:iCs/>
          <w:sz w:val="24"/>
        </w:rPr>
        <w:t xml:space="preserve">. </w:t>
      </w:r>
      <w:proofErr w:type="spellStart"/>
      <w:r w:rsidRPr="00180A33">
        <w:rPr>
          <w:i/>
          <w:iCs/>
          <w:sz w:val="24"/>
        </w:rPr>
        <w:t>Revista</w:t>
      </w:r>
      <w:proofErr w:type="spellEnd"/>
      <w:r w:rsidRPr="00180A33">
        <w:rPr>
          <w:i/>
          <w:iCs/>
          <w:sz w:val="24"/>
        </w:rPr>
        <w:t xml:space="preserve"> de los </w:t>
      </w:r>
      <w:proofErr w:type="spellStart"/>
      <w:r w:rsidRPr="00180A33">
        <w:rPr>
          <w:i/>
          <w:iCs/>
          <w:sz w:val="24"/>
        </w:rPr>
        <w:t>Psicólogos</w:t>
      </w:r>
      <w:proofErr w:type="spellEnd"/>
      <w:r w:rsidRPr="00180A33">
        <w:rPr>
          <w:i/>
          <w:iCs/>
          <w:sz w:val="24"/>
        </w:rPr>
        <w:t xml:space="preserve"> de la </w:t>
      </w:r>
      <w:proofErr w:type="spellStart"/>
      <w:r w:rsidRPr="00180A33">
        <w:rPr>
          <w:i/>
          <w:iCs/>
          <w:sz w:val="24"/>
        </w:rPr>
        <w:t>Educación</w:t>
      </w:r>
      <w:proofErr w:type="spellEnd"/>
      <w:r w:rsidRPr="00180A33">
        <w:rPr>
          <w:sz w:val="24"/>
        </w:rPr>
        <w:t>, </w:t>
      </w:r>
      <w:r w:rsidRPr="00180A33">
        <w:rPr>
          <w:i/>
          <w:iCs/>
          <w:sz w:val="24"/>
        </w:rPr>
        <w:t>27</w:t>
      </w:r>
      <w:r w:rsidRPr="00180A33">
        <w:rPr>
          <w:sz w:val="24"/>
        </w:rPr>
        <w:t>(2), 145-153.</w:t>
      </w:r>
    </w:p>
    <w:p w14:paraId="53A00005" w14:textId="1BC188D2" w:rsidR="007F629A" w:rsidRPr="00180A33" w:rsidRDefault="007F629A" w:rsidP="00E51D11">
      <w:pPr>
        <w:pBdr>
          <w:top w:val="nil"/>
          <w:left w:val="nil"/>
          <w:bottom w:val="nil"/>
          <w:right w:val="nil"/>
          <w:between w:val="nil"/>
        </w:pBdr>
        <w:spacing w:after="0"/>
        <w:ind w:left="720" w:hanging="720"/>
        <w:rPr>
          <w:sz w:val="24"/>
        </w:rPr>
      </w:pPr>
      <w:r w:rsidRPr="00180A33">
        <w:rPr>
          <w:sz w:val="24"/>
        </w:rPr>
        <w:t>Murphy, T. R., Mannix-McNamara, P., Slattery, G., Masterson, M., O’Sullivan, M., &amp; Corry, J. (2021). Teacher Well-being in an Inclusive Secondary School. </w:t>
      </w:r>
      <w:r w:rsidRPr="00180A33">
        <w:rPr>
          <w:i/>
          <w:iCs/>
          <w:sz w:val="24"/>
        </w:rPr>
        <w:t>International Perspectives on Teacher Well-being and Diversity: Portals into Innovative Classroom Practice</w:t>
      </w:r>
      <w:r w:rsidRPr="00180A33">
        <w:rPr>
          <w:sz w:val="24"/>
        </w:rPr>
        <w:t>, 145-162.</w:t>
      </w:r>
    </w:p>
    <w:p w14:paraId="5AC6B78B" w14:textId="07A05AB0" w:rsidR="00446899" w:rsidRPr="00180A33" w:rsidRDefault="00446899" w:rsidP="00E51D11">
      <w:pPr>
        <w:pBdr>
          <w:top w:val="nil"/>
          <w:left w:val="nil"/>
          <w:bottom w:val="nil"/>
          <w:right w:val="nil"/>
          <w:between w:val="nil"/>
        </w:pBdr>
        <w:spacing w:after="0"/>
        <w:ind w:left="720" w:hanging="720"/>
        <w:rPr>
          <w:sz w:val="24"/>
        </w:rPr>
      </w:pPr>
      <w:r w:rsidRPr="00180A33">
        <w:rPr>
          <w:sz w:val="24"/>
        </w:rPr>
        <w:t xml:space="preserve">Nuñez, A. A., &amp; </w:t>
      </w:r>
      <w:proofErr w:type="spellStart"/>
      <w:r w:rsidRPr="00180A33">
        <w:rPr>
          <w:sz w:val="24"/>
        </w:rPr>
        <w:t>Tantiado</w:t>
      </w:r>
      <w:proofErr w:type="spellEnd"/>
      <w:r w:rsidRPr="00180A33">
        <w:rPr>
          <w:sz w:val="24"/>
        </w:rPr>
        <w:t xml:space="preserve">, R. C. (2025). Teachers’ well-being and attitude towards the inclusion of special needs education (SNED) learners. </w:t>
      </w:r>
      <w:r w:rsidRPr="00180A33">
        <w:rPr>
          <w:i/>
          <w:iCs/>
          <w:sz w:val="24"/>
        </w:rPr>
        <w:t>International Journal of Multidisciplinary Research and Analysis, 8</w:t>
      </w:r>
      <w:r w:rsidRPr="00180A33">
        <w:rPr>
          <w:sz w:val="24"/>
        </w:rPr>
        <w:t>(2). https://doi.org/10.47191/ijmra/v8-i02-34</w:t>
      </w:r>
    </w:p>
    <w:p w14:paraId="3A96EA94" w14:textId="77777777" w:rsidR="00E51D11" w:rsidRPr="00180A33" w:rsidRDefault="00E51D11" w:rsidP="00E51D11">
      <w:pPr>
        <w:pBdr>
          <w:top w:val="nil"/>
          <w:left w:val="nil"/>
          <w:bottom w:val="nil"/>
          <w:right w:val="nil"/>
          <w:between w:val="nil"/>
        </w:pBdr>
        <w:spacing w:after="0"/>
        <w:ind w:left="720" w:hanging="720"/>
        <w:rPr>
          <w:sz w:val="24"/>
        </w:rPr>
      </w:pPr>
      <w:r w:rsidRPr="00180A33">
        <w:rPr>
          <w:sz w:val="24"/>
        </w:rPr>
        <w:t xml:space="preserve">Ryff, C. (1989). Happiness is everything, or is it? Explorations on the meaning of psychological well-being. </w:t>
      </w:r>
      <w:r w:rsidRPr="00180A33">
        <w:rPr>
          <w:i/>
          <w:iCs/>
          <w:sz w:val="24"/>
        </w:rPr>
        <w:t>Journal of Personality and Social Psychology</w:t>
      </w:r>
      <w:r w:rsidRPr="00180A33">
        <w:rPr>
          <w:sz w:val="24"/>
        </w:rPr>
        <w:t>, 57, 1069–1081.</w:t>
      </w:r>
    </w:p>
    <w:p w14:paraId="7A2BA306" w14:textId="74234448" w:rsidR="00F9696D" w:rsidRPr="00180A33" w:rsidRDefault="00C95CE6" w:rsidP="00E50E8F">
      <w:pPr>
        <w:pBdr>
          <w:top w:val="nil"/>
          <w:left w:val="nil"/>
          <w:bottom w:val="nil"/>
          <w:right w:val="nil"/>
          <w:between w:val="nil"/>
        </w:pBdr>
        <w:spacing w:after="0"/>
        <w:ind w:left="720" w:hanging="720"/>
        <w:rPr>
          <w:sz w:val="24"/>
        </w:rPr>
      </w:pPr>
      <w:r w:rsidRPr="00180A33">
        <w:rPr>
          <w:sz w:val="24"/>
        </w:rPr>
        <w:lastRenderedPageBreak/>
        <w:t xml:space="preserve">Salinas-Falquez, S., Roman-Lorente, C., </w:t>
      </w:r>
      <w:proofErr w:type="spellStart"/>
      <w:r w:rsidRPr="00180A33">
        <w:rPr>
          <w:sz w:val="24"/>
        </w:rPr>
        <w:t>Buzica</w:t>
      </w:r>
      <w:proofErr w:type="spellEnd"/>
      <w:r w:rsidRPr="00180A33">
        <w:rPr>
          <w:sz w:val="24"/>
        </w:rPr>
        <w:t>, M., Álvarez, J., Gutiérrez, N., &amp; Trigueros, R. (2022). Teachers’ mental health and their involvement in educational inclusion. </w:t>
      </w:r>
      <w:r w:rsidRPr="00180A33">
        <w:rPr>
          <w:i/>
          <w:iCs/>
          <w:sz w:val="24"/>
        </w:rPr>
        <w:t>Behavioral Sciences</w:t>
      </w:r>
      <w:r w:rsidRPr="00180A33">
        <w:rPr>
          <w:sz w:val="24"/>
        </w:rPr>
        <w:t>, </w:t>
      </w:r>
      <w:r w:rsidRPr="00180A33">
        <w:rPr>
          <w:i/>
          <w:iCs/>
          <w:sz w:val="24"/>
        </w:rPr>
        <w:t>12</w:t>
      </w:r>
      <w:r w:rsidRPr="00180A33">
        <w:rPr>
          <w:sz w:val="24"/>
        </w:rPr>
        <w:t>(8), 261.</w:t>
      </w:r>
    </w:p>
    <w:p w14:paraId="46E10B14" w14:textId="0008C036" w:rsidR="00FA14E9" w:rsidRPr="00180A33" w:rsidRDefault="00FA14E9" w:rsidP="00E50E8F">
      <w:pPr>
        <w:pBdr>
          <w:top w:val="nil"/>
          <w:left w:val="nil"/>
          <w:bottom w:val="nil"/>
          <w:right w:val="nil"/>
          <w:between w:val="nil"/>
        </w:pBdr>
        <w:spacing w:after="0"/>
        <w:ind w:left="720" w:hanging="720"/>
        <w:rPr>
          <w:sz w:val="24"/>
        </w:rPr>
      </w:pPr>
      <w:r w:rsidRPr="00180A33">
        <w:rPr>
          <w:sz w:val="24"/>
        </w:rPr>
        <w:t>Sharma, U., &amp; Sokal, L. (2015). The impact of a teacher education course on pre‐service teachers' beliefs about inclusion: an international comparison. </w:t>
      </w:r>
      <w:r w:rsidRPr="00180A33">
        <w:rPr>
          <w:i/>
          <w:iCs/>
          <w:sz w:val="24"/>
        </w:rPr>
        <w:t>Journal of Research in Special Educational Needs</w:t>
      </w:r>
      <w:r w:rsidRPr="00180A33">
        <w:rPr>
          <w:sz w:val="24"/>
        </w:rPr>
        <w:t>, </w:t>
      </w:r>
      <w:r w:rsidRPr="00180A33">
        <w:rPr>
          <w:i/>
          <w:iCs/>
          <w:sz w:val="24"/>
        </w:rPr>
        <w:t>15</w:t>
      </w:r>
      <w:r w:rsidRPr="00180A33">
        <w:rPr>
          <w:sz w:val="24"/>
        </w:rPr>
        <w:t>(4), 276-284.</w:t>
      </w:r>
    </w:p>
    <w:p w14:paraId="591EDF79" w14:textId="77777777" w:rsidR="00E51D11" w:rsidRPr="00180A33" w:rsidRDefault="00E51D11" w:rsidP="00E51D11">
      <w:pPr>
        <w:pBdr>
          <w:top w:val="nil"/>
          <w:left w:val="nil"/>
          <w:bottom w:val="nil"/>
          <w:right w:val="nil"/>
          <w:between w:val="nil"/>
        </w:pBdr>
        <w:spacing w:after="0"/>
        <w:ind w:left="720" w:hanging="720"/>
        <w:rPr>
          <w:sz w:val="24"/>
        </w:rPr>
      </w:pPr>
      <w:proofErr w:type="spellStart"/>
      <w:r w:rsidRPr="00180A33">
        <w:rPr>
          <w:sz w:val="24"/>
        </w:rPr>
        <w:t>Tufue</w:t>
      </w:r>
      <w:proofErr w:type="spellEnd"/>
      <w:r w:rsidRPr="00180A33">
        <w:rPr>
          <w:sz w:val="24"/>
        </w:rPr>
        <w:t xml:space="preserve">, R. (2024). The impact of inclusive education on teachers’ mental health: Insights from Samoa. </w:t>
      </w:r>
      <w:r w:rsidRPr="00180A33">
        <w:rPr>
          <w:i/>
          <w:iCs/>
          <w:sz w:val="24"/>
        </w:rPr>
        <w:t>International Journal of Psychiatric Research</w:t>
      </w:r>
      <w:r w:rsidRPr="00180A33">
        <w:rPr>
          <w:sz w:val="24"/>
        </w:rPr>
        <w:t xml:space="preserve">, 7(5), 1–9. </w:t>
      </w:r>
    </w:p>
    <w:p w14:paraId="33930C1C" w14:textId="7F3DAA62" w:rsidR="00E56289" w:rsidRPr="00180A33" w:rsidRDefault="00E56289" w:rsidP="00E51D11">
      <w:pPr>
        <w:pBdr>
          <w:top w:val="nil"/>
          <w:left w:val="nil"/>
          <w:bottom w:val="nil"/>
          <w:right w:val="nil"/>
          <w:between w:val="nil"/>
        </w:pBdr>
        <w:spacing w:after="0"/>
        <w:ind w:left="720" w:hanging="720"/>
        <w:rPr>
          <w:sz w:val="24"/>
        </w:rPr>
      </w:pPr>
      <w:proofErr w:type="spellStart"/>
      <w:r w:rsidRPr="00180A33">
        <w:rPr>
          <w:sz w:val="24"/>
        </w:rPr>
        <w:t>Vlachou</w:t>
      </w:r>
      <w:proofErr w:type="spellEnd"/>
      <w:r w:rsidRPr="00180A33">
        <w:rPr>
          <w:sz w:val="24"/>
        </w:rPr>
        <w:t xml:space="preserve">, A., </w:t>
      </w:r>
      <w:proofErr w:type="spellStart"/>
      <w:r w:rsidRPr="00180A33">
        <w:rPr>
          <w:sz w:val="24"/>
        </w:rPr>
        <w:t>Didaskalou</w:t>
      </w:r>
      <w:proofErr w:type="spellEnd"/>
      <w:r w:rsidRPr="00180A33">
        <w:rPr>
          <w:sz w:val="24"/>
        </w:rPr>
        <w:t xml:space="preserve">, E., &amp; </w:t>
      </w:r>
      <w:proofErr w:type="spellStart"/>
      <w:r w:rsidRPr="00180A33">
        <w:rPr>
          <w:sz w:val="24"/>
        </w:rPr>
        <w:t>Voudouri</w:t>
      </w:r>
      <w:proofErr w:type="spellEnd"/>
      <w:r w:rsidRPr="00180A33">
        <w:rPr>
          <w:sz w:val="24"/>
        </w:rPr>
        <w:t xml:space="preserve">, E. (2009). Mainstream teachers’ instructional adaptations: implications for inclusive responses. </w:t>
      </w:r>
      <w:proofErr w:type="spellStart"/>
      <w:r w:rsidRPr="00180A33">
        <w:rPr>
          <w:sz w:val="24"/>
        </w:rPr>
        <w:t>Revista</w:t>
      </w:r>
      <w:proofErr w:type="spellEnd"/>
      <w:r w:rsidRPr="00180A33">
        <w:rPr>
          <w:sz w:val="24"/>
        </w:rPr>
        <w:t xml:space="preserve"> de </w:t>
      </w:r>
      <w:proofErr w:type="spellStart"/>
      <w:r w:rsidRPr="00180A33">
        <w:rPr>
          <w:sz w:val="24"/>
        </w:rPr>
        <w:t>Educacion</w:t>
      </w:r>
      <w:proofErr w:type="spellEnd"/>
      <w:r w:rsidRPr="00180A33">
        <w:rPr>
          <w:sz w:val="24"/>
        </w:rPr>
        <w:t>, 349, 179-201.</w:t>
      </w:r>
    </w:p>
    <w:p w14:paraId="32EEFD8E" w14:textId="48067B32" w:rsidR="00ED34C1" w:rsidRPr="00180A33" w:rsidRDefault="00E51D11" w:rsidP="00792949">
      <w:pPr>
        <w:pBdr>
          <w:top w:val="nil"/>
          <w:left w:val="nil"/>
          <w:bottom w:val="nil"/>
          <w:right w:val="nil"/>
          <w:between w:val="nil"/>
        </w:pBdr>
        <w:spacing w:after="0"/>
        <w:ind w:left="720" w:hanging="720"/>
        <w:rPr>
          <w:sz w:val="24"/>
        </w:rPr>
      </w:pPr>
      <w:r w:rsidRPr="00180A33">
        <w:rPr>
          <w:sz w:val="24"/>
        </w:rPr>
        <w:t>Woodcock, S., Sharma, U., Subban, P., &amp; Hitches, E. (2022). Teacher self-efficacy and inclusive education practices: Rethinking teachers’ engagement with inclusive practices. </w:t>
      </w:r>
      <w:r w:rsidRPr="00180A33">
        <w:rPr>
          <w:i/>
          <w:iCs/>
          <w:sz w:val="24"/>
        </w:rPr>
        <w:t>Teaching and teacher education</w:t>
      </w:r>
      <w:r w:rsidRPr="00180A33">
        <w:rPr>
          <w:sz w:val="24"/>
        </w:rPr>
        <w:t>, </w:t>
      </w:r>
      <w:r w:rsidRPr="00180A33">
        <w:rPr>
          <w:i/>
          <w:iCs/>
          <w:sz w:val="24"/>
        </w:rPr>
        <w:t>117</w:t>
      </w:r>
      <w:r w:rsidRPr="00180A33">
        <w:rPr>
          <w:sz w:val="24"/>
        </w:rPr>
        <w:t>, 103802.</w:t>
      </w:r>
    </w:p>
    <w:p w14:paraId="3500FECE" w14:textId="14C72527" w:rsidR="00446899" w:rsidRPr="00C62340" w:rsidRDefault="00446899" w:rsidP="00792949">
      <w:pPr>
        <w:pBdr>
          <w:top w:val="nil"/>
          <w:left w:val="nil"/>
          <w:bottom w:val="nil"/>
          <w:right w:val="nil"/>
          <w:between w:val="nil"/>
        </w:pBdr>
        <w:spacing w:after="0"/>
        <w:ind w:left="720" w:hanging="720"/>
        <w:rPr>
          <w:sz w:val="22"/>
          <w:szCs w:val="22"/>
        </w:rPr>
      </w:pPr>
      <w:r w:rsidRPr="00180A33">
        <w:rPr>
          <w:sz w:val="24"/>
        </w:rPr>
        <w:t>Zakaria, Z., Don, Y., &amp; Yaakob, M. F. M. (2021). Teachers' Well-Being from the Social Psychological Perspective. </w:t>
      </w:r>
      <w:r w:rsidRPr="00180A33">
        <w:rPr>
          <w:i/>
          <w:iCs/>
          <w:sz w:val="24"/>
        </w:rPr>
        <w:t>International Jou</w:t>
      </w:r>
      <w:r w:rsidRPr="00446899">
        <w:rPr>
          <w:i/>
          <w:iCs/>
          <w:sz w:val="22"/>
          <w:szCs w:val="22"/>
        </w:rPr>
        <w:t>rnal of Evaluation and Research in Education</w:t>
      </w:r>
      <w:r w:rsidRPr="00446899">
        <w:rPr>
          <w:sz w:val="22"/>
          <w:szCs w:val="22"/>
        </w:rPr>
        <w:t>, </w:t>
      </w:r>
      <w:r w:rsidRPr="00446899">
        <w:rPr>
          <w:i/>
          <w:iCs/>
          <w:sz w:val="22"/>
          <w:szCs w:val="22"/>
        </w:rPr>
        <w:t>10</w:t>
      </w:r>
      <w:r w:rsidRPr="00446899">
        <w:rPr>
          <w:sz w:val="22"/>
          <w:szCs w:val="22"/>
        </w:rPr>
        <w:t>(2), 641-647.</w:t>
      </w:r>
      <w:bookmarkEnd w:id="5"/>
    </w:p>
    <w:sectPr w:rsidR="00446899" w:rsidRPr="00C62340">
      <w:headerReference w:type="even" r:id="rId8"/>
      <w:headerReference w:type="default" r:id="rId9"/>
      <w:footerReference w:type="even" r:id="rId10"/>
      <w:footerReference w:type="default" r:id="rId11"/>
      <w:headerReference w:type="first" r:id="rId12"/>
      <w:footerReference w:type="first" r:id="rId13"/>
      <w:pgSz w:w="12240" w:h="15840"/>
      <w:pgMar w:top="1442" w:right="1437" w:bottom="152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BC2C7" w14:textId="77777777" w:rsidR="00094CE1" w:rsidRDefault="00094CE1" w:rsidP="00DC7737">
      <w:pPr>
        <w:spacing w:after="0" w:line="240" w:lineRule="auto"/>
      </w:pPr>
      <w:r>
        <w:separator/>
      </w:r>
    </w:p>
  </w:endnote>
  <w:endnote w:type="continuationSeparator" w:id="0">
    <w:p w14:paraId="71F36A8D" w14:textId="77777777" w:rsidR="00094CE1" w:rsidRDefault="00094CE1" w:rsidP="00DC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1F70" w14:textId="77777777" w:rsidR="00DC7737" w:rsidRDefault="00DC7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163B" w14:textId="77777777" w:rsidR="00DC7737" w:rsidRDefault="00DC7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60DF" w14:textId="77777777" w:rsidR="00DC7737" w:rsidRDefault="00DC7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46021" w14:textId="77777777" w:rsidR="00094CE1" w:rsidRDefault="00094CE1" w:rsidP="00DC7737">
      <w:pPr>
        <w:spacing w:after="0" w:line="240" w:lineRule="auto"/>
      </w:pPr>
      <w:r>
        <w:separator/>
      </w:r>
    </w:p>
  </w:footnote>
  <w:footnote w:type="continuationSeparator" w:id="0">
    <w:p w14:paraId="003B9573" w14:textId="77777777" w:rsidR="00094CE1" w:rsidRDefault="00094CE1" w:rsidP="00DC7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1F37" w14:textId="683B96C2" w:rsidR="00DC7737" w:rsidRDefault="00094CE1">
    <w:pPr>
      <w:pStyle w:val="Header"/>
    </w:pPr>
    <w:r>
      <w:rPr>
        <w:noProof/>
      </w:rPr>
      <w:pict w14:anchorId="05E2C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735391" o:spid="_x0000_s2050" type="#_x0000_t136" style="position:absolute;left:0;text-align:left;margin-left:0;margin-top:0;width:59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31D1" w14:textId="6C73BF83" w:rsidR="00DC7737" w:rsidRDefault="00094CE1">
    <w:pPr>
      <w:pStyle w:val="Header"/>
    </w:pPr>
    <w:r>
      <w:rPr>
        <w:noProof/>
      </w:rPr>
      <w:pict w14:anchorId="02F78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735392" o:spid="_x0000_s2051" type="#_x0000_t136" style="position:absolute;left:0;text-align:left;margin-left:0;margin-top:0;width:59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46A1" w14:textId="64471C5D" w:rsidR="00DC7737" w:rsidRDefault="00094CE1">
    <w:pPr>
      <w:pStyle w:val="Header"/>
    </w:pPr>
    <w:r>
      <w:rPr>
        <w:noProof/>
      </w:rPr>
      <w:pict w14:anchorId="31E97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735390" o:spid="_x0000_s2049" type="#_x0000_t136" style="position:absolute;left:0;text-align:left;margin-left:0;margin-top:0;width:59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E26D4"/>
    <w:multiLevelType w:val="hybridMultilevel"/>
    <w:tmpl w:val="8AA8B48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670908EF"/>
    <w:multiLevelType w:val="hybridMultilevel"/>
    <w:tmpl w:val="CF1C0A7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C1"/>
    <w:rsid w:val="000360E8"/>
    <w:rsid w:val="00043E61"/>
    <w:rsid w:val="000479EE"/>
    <w:rsid w:val="00053711"/>
    <w:rsid w:val="00094CE1"/>
    <w:rsid w:val="00095273"/>
    <w:rsid w:val="000A06AE"/>
    <w:rsid w:val="000A40C4"/>
    <w:rsid w:val="000B3EE5"/>
    <w:rsid w:val="000E46BC"/>
    <w:rsid w:val="000E60A1"/>
    <w:rsid w:val="000E6411"/>
    <w:rsid w:val="001014D5"/>
    <w:rsid w:val="00112687"/>
    <w:rsid w:val="001514C9"/>
    <w:rsid w:val="00153A32"/>
    <w:rsid w:val="001546BC"/>
    <w:rsid w:val="00175038"/>
    <w:rsid w:val="00180A33"/>
    <w:rsid w:val="00186448"/>
    <w:rsid w:val="001A6A46"/>
    <w:rsid w:val="001B1239"/>
    <w:rsid w:val="001C03D6"/>
    <w:rsid w:val="001C3184"/>
    <w:rsid w:val="001C70D9"/>
    <w:rsid w:val="001E08C8"/>
    <w:rsid w:val="001E2A11"/>
    <w:rsid w:val="001E54BC"/>
    <w:rsid w:val="001F3F13"/>
    <w:rsid w:val="001F7F6A"/>
    <w:rsid w:val="002023AC"/>
    <w:rsid w:val="00231707"/>
    <w:rsid w:val="00231F44"/>
    <w:rsid w:val="00254AAE"/>
    <w:rsid w:val="002647EF"/>
    <w:rsid w:val="00275B30"/>
    <w:rsid w:val="0029180E"/>
    <w:rsid w:val="00292254"/>
    <w:rsid w:val="00297740"/>
    <w:rsid w:val="002A01F4"/>
    <w:rsid w:val="002A6C76"/>
    <w:rsid w:val="002B58ED"/>
    <w:rsid w:val="002C5543"/>
    <w:rsid w:val="002D4D4A"/>
    <w:rsid w:val="002E22A2"/>
    <w:rsid w:val="003149DC"/>
    <w:rsid w:val="00314ADA"/>
    <w:rsid w:val="00321DAF"/>
    <w:rsid w:val="00324D97"/>
    <w:rsid w:val="003368B1"/>
    <w:rsid w:val="00370A49"/>
    <w:rsid w:val="00377669"/>
    <w:rsid w:val="00383E8C"/>
    <w:rsid w:val="00387F37"/>
    <w:rsid w:val="00391B73"/>
    <w:rsid w:val="00393480"/>
    <w:rsid w:val="003937C1"/>
    <w:rsid w:val="003A0CBC"/>
    <w:rsid w:val="003A4F3C"/>
    <w:rsid w:val="003C6D6C"/>
    <w:rsid w:val="003D4929"/>
    <w:rsid w:val="003E051A"/>
    <w:rsid w:val="003E29BC"/>
    <w:rsid w:val="003E45D9"/>
    <w:rsid w:val="003F29A5"/>
    <w:rsid w:val="00410C27"/>
    <w:rsid w:val="004206A3"/>
    <w:rsid w:val="00437B78"/>
    <w:rsid w:val="004431F5"/>
    <w:rsid w:val="00446899"/>
    <w:rsid w:val="0046678E"/>
    <w:rsid w:val="00472DD7"/>
    <w:rsid w:val="004772D9"/>
    <w:rsid w:val="00493E3E"/>
    <w:rsid w:val="004958BA"/>
    <w:rsid w:val="0049690E"/>
    <w:rsid w:val="004A551A"/>
    <w:rsid w:val="004B037E"/>
    <w:rsid w:val="00501DAC"/>
    <w:rsid w:val="00512850"/>
    <w:rsid w:val="00512892"/>
    <w:rsid w:val="00513141"/>
    <w:rsid w:val="0052186A"/>
    <w:rsid w:val="005312F0"/>
    <w:rsid w:val="005313BE"/>
    <w:rsid w:val="0053442D"/>
    <w:rsid w:val="00562846"/>
    <w:rsid w:val="00562A96"/>
    <w:rsid w:val="00563EE3"/>
    <w:rsid w:val="00565518"/>
    <w:rsid w:val="005702ED"/>
    <w:rsid w:val="00593A61"/>
    <w:rsid w:val="00593B7B"/>
    <w:rsid w:val="00594D54"/>
    <w:rsid w:val="005A0A4F"/>
    <w:rsid w:val="005A4E28"/>
    <w:rsid w:val="005B162E"/>
    <w:rsid w:val="005B3E1A"/>
    <w:rsid w:val="005C5A76"/>
    <w:rsid w:val="005C5C5C"/>
    <w:rsid w:val="005C6C96"/>
    <w:rsid w:val="005E49FB"/>
    <w:rsid w:val="005E4FA1"/>
    <w:rsid w:val="005F4A7C"/>
    <w:rsid w:val="005F7487"/>
    <w:rsid w:val="006020FD"/>
    <w:rsid w:val="006035DB"/>
    <w:rsid w:val="00654454"/>
    <w:rsid w:val="00660CF7"/>
    <w:rsid w:val="00665900"/>
    <w:rsid w:val="006747C8"/>
    <w:rsid w:val="006805B2"/>
    <w:rsid w:val="00681CA6"/>
    <w:rsid w:val="006928BD"/>
    <w:rsid w:val="006A3DA1"/>
    <w:rsid w:val="006B0B93"/>
    <w:rsid w:val="006C055C"/>
    <w:rsid w:val="006D0E6B"/>
    <w:rsid w:val="006F0688"/>
    <w:rsid w:val="006F2F43"/>
    <w:rsid w:val="006F5DBF"/>
    <w:rsid w:val="006F61AD"/>
    <w:rsid w:val="00702C68"/>
    <w:rsid w:val="0071744F"/>
    <w:rsid w:val="00726C4E"/>
    <w:rsid w:val="00731F28"/>
    <w:rsid w:val="007334D2"/>
    <w:rsid w:val="00740EC4"/>
    <w:rsid w:val="00745641"/>
    <w:rsid w:val="00775FBD"/>
    <w:rsid w:val="007808A1"/>
    <w:rsid w:val="00792949"/>
    <w:rsid w:val="00794562"/>
    <w:rsid w:val="00794B7A"/>
    <w:rsid w:val="007B49D2"/>
    <w:rsid w:val="007C2714"/>
    <w:rsid w:val="007C48AE"/>
    <w:rsid w:val="007C62D5"/>
    <w:rsid w:val="007E5139"/>
    <w:rsid w:val="007E79B3"/>
    <w:rsid w:val="007F629A"/>
    <w:rsid w:val="00803CFF"/>
    <w:rsid w:val="00825384"/>
    <w:rsid w:val="00831A12"/>
    <w:rsid w:val="0084002C"/>
    <w:rsid w:val="00841734"/>
    <w:rsid w:val="00843CED"/>
    <w:rsid w:val="008658F3"/>
    <w:rsid w:val="00874920"/>
    <w:rsid w:val="00875A45"/>
    <w:rsid w:val="008820BE"/>
    <w:rsid w:val="00883DFC"/>
    <w:rsid w:val="00890FE2"/>
    <w:rsid w:val="008B7268"/>
    <w:rsid w:val="008C3A76"/>
    <w:rsid w:val="008D63C1"/>
    <w:rsid w:val="008F6E98"/>
    <w:rsid w:val="0090688A"/>
    <w:rsid w:val="00924C12"/>
    <w:rsid w:val="00977FD6"/>
    <w:rsid w:val="00986256"/>
    <w:rsid w:val="009921C4"/>
    <w:rsid w:val="0099311A"/>
    <w:rsid w:val="00993F5C"/>
    <w:rsid w:val="0099782D"/>
    <w:rsid w:val="009B2EF5"/>
    <w:rsid w:val="009C331F"/>
    <w:rsid w:val="009D08F0"/>
    <w:rsid w:val="009D2ED9"/>
    <w:rsid w:val="009D487F"/>
    <w:rsid w:val="009D59F9"/>
    <w:rsid w:val="009D63CF"/>
    <w:rsid w:val="009E03ED"/>
    <w:rsid w:val="009F4379"/>
    <w:rsid w:val="009F4DDB"/>
    <w:rsid w:val="009F5A1C"/>
    <w:rsid w:val="00A072D3"/>
    <w:rsid w:val="00A13969"/>
    <w:rsid w:val="00A232E9"/>
    <w:rsid w:val="00A23A49"/>
    <w:rsid w:val="00A3445F"/>
    <w:rsid w:val="00A404A9"/>
    <w:rsid w:val="00A46C08"/>
    <w:rsid w:val="00A47A9A"/>
    <w:rsid w:val="00A74162"/>
    <w:rsid w:val="00A81D5F"/>
    <w:rsid w:val="00AA1460"/>
    <w:rsid w:val="00AA66C3"/>
    <w:rsid w:val="00AB0E87"/>
    <w:rsid w:val="00AC2537"/>
    <w:rsid w:val="00AD79D7"/>
    <w:rsid w:val="00AE4020"/>
    <w:rsid w:val="00B42CCF"/>
    <w:rsid w:val="00B62B16"/>
    <w:rsid w:val="00B73EA6"/>
    <w:rsid w:val="00B74D23"/>
    <w:rsid w:val="00B82380"/>
    <w:rsid w:val="00BA4AE3"/>
    <w:rsid w:val="00BB1E17"/>
    <w:rsid w:val="00BB464A"/>
    <w:rsid w:val="00BC6013"/>
    <w:rsid w:val="00BD2D26"/>
    <w:rsid w:val="00BE14E9"/>
    <w:rsid w:val="00BE2C7C"/>
    <w:rsid w:val="00BF355B"/>
    <w:rsid w:val="00BF6CB8"/>
    <w:rsid w:val="00C242D1"/>
    <w:rsid w:val="00C352A4"/>
    <w:rsid w:val="00C3604D"/>
    <w:rsid w:val="00C40051"/>
    <w:rsid w:val="00C62340"/>
    <w:rsid w:val="00C70054"/>
    <w:rsid w:val="00C9448D"/>
    <w:rsid w:val="00C95CE6"/>
    <w:rsid w:val="00C97D21"/>
    <w:rsid w:val="00CC1A4C"/>
    <w:rsid w:val="00CF1923"/>
    <w:rsid w:val="00D05C7C"/>
    <w:rsid w:val="00D11A06"/>
    <w:rsid w:val="00D23DC2"/>
    <w:rsid w:val="00D33909"/>
    <w:rsid w:val="00D50150"/>
    <w:rsid w:val="00D55A00"/>
    <w:rsid w:val="00D56E04"/>
    <w:rsid w:val="00D62ADE"/>
    <w:rsid w:val="00D77914"/>
    <w:rsid w:val="00D84AAE"/>
    <w:rsid w:val="00DA1534"/>
    <w:rsid w:val="00DB16A1"/>
    <w:rsid w:val="00DC6B19"/>
    <w:rsid w:val="00DC7737"/>
    <w:rsid w:val="00DD7D53"/>
    <w:rsid w:val="00DE0C22"/>
    <w:rsid w:val="00DF4EF1"/>
    <w:rsid w:val="00DF6BFA"/>
    <w:rsid w:val="00E20EEA"/>
    <w:rsid w:val="00E35296"/>
    <w:rsid w:val="00E50E8F"/>
    <w:rsid w:val="00E51D11"/>
    <w:rsid w:val="00E5415E"/>
    <w:rsid w:val="00E56289"/>
    <w:rsid w:val="00E56BB6"/>
    <w:rsid w:val="00E576A0"/>
    <w:rsid w:val="00E64624"/>
    <w:rsid w:val="00E64BCF"/>
    <w:rsid w:val="00E67FE7"/>
    <w:rsid w:val="00E93DFC"/>
    <w:rsid w:val="00EA346A"/>
    <w:rsid w:val="00EB1532"/>
    <w:rsid w:val="00EB391B"/>
    <w:rsid w:val="00EB7817"/>
    <w:rsid w:val="00ED34C1"/>
    <w:rsid w:val="00EF77AC"/>
    <w:rsid w:val="00F111A3"/>
    <w:rsid w:val="00F1165E"/>
    <w:rsid w:val="00F24E4E"/>
    <w:rsid w:val="00F36120"/>
    <w:rsid w:val="00F5048D"/>
    <w:rsid w:val="00F657AF"/>
    <w:rsid w:val="00F728E7"/>
    <w:rsid w:val="00F7329B"/>
    <w:rsid w:val="00F87779"/>
    <w:rsid w:val="00F9696D"/>
    <w:rsid w:val="00F9726F"/>
    <w:rsid w:val="00FA14E9"/>
    <w:rsid w:val="00FA4D07"/>
    <w:rsid w:val="00FC50B7"/>
    <w:rsid w:val="00FC5645"/>
    <w:rsid w:val="00FD6EC8"/>
    <w:rsid w:val="00FE77C2"/>
    <w:rsid w:val="00FF2F3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1A5C9"/>
  <w15:docId w15:val="{D0B2315B-D6EC-4CC1-B8E0-27AC8103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C22"/>
    <w:pPr>
      <w:spacing w:after="4" w:line="249" w:lineRule="auto"/>
      <w:ind w:left="10" w:right="2"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i/>
      <w:color w:val="000000"/>
      <w:sz w:val="20"/>
    </w:rPr>
  </w:style>
  <w:style w:type="paragraph" w:styleId="Heading2">
    <w:name w:val="heading 2"/>
    <w:next w:val="Normal"/>
    <w:link w:val="Heading2Char"/>
    <w:uiPriority w:val="9"/>
    <w:unhideWhenUsed/>
    <w:qFormat/>
    <w:pPr>
      <w:keepNext/>
      <w:keepLines/>
      <w:spacing w:after="220" w:line="259" w:lineRule="auto"/>
      <w:ind w:left="1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3CED"/>
    <w:pPr>
      <w:ind w:left="720"/>
      <w:contextualSpacing/>
    </w:pPr>
  </w:style>
  <w:style w:type="character" w:styleId="Hyperlink">
    <w:name w:val="Hyperlink"/>
    <w:basedOn w:val="DefaultParagraphFont"/>
    <w:uiPriority w:val="99"/>
    <w:unhideWhenUsed/>
    <w:rsid w:val="00E51D11"/>
    <w:rPr>
      <w:color w:val="0563C1" w:themeColor="hyperlink"/>
      <w:u w:val="single"/>
    </w:rPr>
  </w:style>
  <w:style w:type="character" w:styleId="UnresolvedMention">
    <w:name w:val="Unresolved Mention"/>
    <w:basedOn w:val="DefaultParagraphFont"/>
    <w:uiPriority w:val="99"/>
    <w:semiHidden/>
    <w:unhideWhenUsed/>
    <w:rsid w:val="006035DB"/>
    <w:rPr>
      <w:color w:val="605E5C"/>
      <w:shd w:val="clear" w:color="auto" w:fill="E1DFDD"/>
    </w:rPr>
  </w:style>
  <w:style w:type="paragraph" w:styleId="Header">
    <w:name w:val="header"/>
    <w:basedOn w:val="Normal"/>
    <w:link w:val="HeaderChar"/>
    <w:uiPriority w:val="99"/>
    <w:unhideWhenUsed/>
    <w:rsid w:val="00DC7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737"/>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DC7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737"/>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44394">
      <w:bodyDiv w:val="1"/>
      <w:marLeft w:val="0"/>
      <w:marRight w:val="0"/>
      <w:marTop w:val="0"/>
      <w:marBottom w:val="0"/>
      <w:divBdr>
        <w:top w:val="none" w:sz="0" w:space="0" w:color="auto"/>
        <w:left w:val="none" w:sz="0" w:space="0" w:color="auto"/>
        <w:bottom w:val="none" w:sz="0" w:space="0" w:color="auto"/>
        <w:right w:val="none" w:sz="0" w:space="0" w:color="auto"/>
      </w:divBdr>
    </w:div>
    <w:div w:id="1916742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11</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SDI 1183</cp:lastModifiedBy>
  <cp:revision>108</cp:revision>
  <dcterms:created xsi:type="dcterms:W3CDTF">2025-06-02T00:27:00Z</dcterms:created>
  <dcterms:modified xsi:type="dcterms:W3CDTF">2025-06-12T05:50:00Z</dcterms:modified>
</cp:coreProperties>
</file>