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FA" w:rsidRDefault="007804C9">
      <w:pPr>
        <w:widowControl w:val="0"/>
        <w:pBdr>
          <w:top w:val="nil"/>
          <w:left w:val="nil"/>
          <w:bottom w:val="nil"/>
          <w:right w:val="nil"/>
          <w:between w:val="nil"/>
        </w:pBdr>
        <w:spacing w:after="0" w:line="276" w:lineRule="auto"/>
      </w:pPr>
      <w:r>
        <w:pict w14:anchorId="5CEDC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2A37835D">
          <v:shape id="_x0000_s1027" type="#_x0000_t136" style="position:absolute;margin-left:0;margin-top:0;width:50pt;height:50pt;z-index:251658240;visibility:hidden">
            <o:lock v:ext="edit" selection="t"/>
          </v:shape>
        </w:pict>
      </w:r>
      <w:r>
        <w:pict w14:anchorId="47905F02">
          <v:shape id="_x0000_s1026" type="#_x0000_t136" style="position:absolute;margin-left:0;margin-top:0;width:50pt;height:50pt;z-index:251659264;visibility:hidden">
            <o:lock v:ext="edit" selection="t"/>
          </v:shape>
        </w:pict>
      </w:r>
    </w:p>
    <w:p w:rsidR="00345BFA" w:rsidRDefault="00232EA0">
      <w:pPr>
        <w:jc w:val="center"/>
        <w:rPr>
          <w:rFonts w:ascii="Garamond" w:eastAsia="Garamond" w:hAnsi="Garamond" w:cs="Garamond"/>
          <w:sz w:val="22"/>
          <w:szCs w:val="22"/>
        </w:rPr>
      </w:pPr>
      <w:r>
        <w:rPr>
          <w:rFonts w:ascii="Garamond" w:eastAsia="Garamond" w:hAnsi="Garamond" w:cs="Garamond"/>
          <w:b/>
          <w:sz w:val="22"/>
          <w:szCs w:val="22"/>
        </w:rPr>
        <w:t>Role of Metacognitive Awareness in Enhancing Persistence in Solving Mathematical Problems Among Math Majors</w:t>
      </w:r>
    </w:p>
    <w:p w:rsidR="00345BFA" w:rsidRDefault="00345BFA">
      <w:pPr>
        <w:spacing w:after="0" w:line="240" w:lineRule="auto"/>
        <w:jc w:val="center"/>
        <w:rPr>
          <w:rFonts w:ascii="Garamond" w:eastAsia="Garamond" w:hAnsi="Garamond" w:cs="Garamond"/>
          <w:sz w:val="22"/>
          <w:szCs w:val="22"/>
        </w:rPr>
      </w:pPr>
    </w:p>
    <w:p w:rsidR="00345BFA" w:rsidRDefault="00345BFA">
      <w:pPr>
        <w:spacing w:after="0" w:line="240" w:lineRule="auto"/>
        <w:jc w:val="center"/>
        <w:rPr>
          <w:rFonts w:ascii="Garamond" w:eastAsia="Garamond" w:hAnsi="Garamond" w:cs="Garamond"/>
          <w:sz w:val="22"/>
          <w:szCs w:val="22"/>
        </w:rPr>
      </w:pPr>
    </w:p>
    <w:p w:rsidR="00345BFA" w:rsidRDefault="00345BFA">
      <w:pPr>
        <w:jc w:val="center"/>
        <w:rPr>
          <w:rFonts w:ascii="Garamond" w:eastAsia="Garamond" w:hAnsi="Garamond" w:cs="Garamond"/>
          <w:sz w:val="22"/>
          <w:szCs w:val="22"/>
        </w:rPr>
      </w:pPr>
    </w:p>
    <w:p w:rsidR="00345BFA" w:rsidRDefault="007804C9">
      <w:pPr>
        <w:jc w:val="both"/>
        <w:rPr>
          <w:rFonts w:ascii="Garamond" w:eastAsia="Garamond" w:hAnsi="Garamond" w:cs="Garamond"/>
          <w:b/>
          <w:sz w:val="22"/>
          <w:szCs w:val="22"/>
        </w:rPr>
      </w:pPr>
      <w:r>
        <w:rPr>
          <w:rFonts w:ascii="Garamond" w:eastAsia="Garamond" w:hAnsi="Garamond" w:cs="Garamond"/>
          <w:b/>
          <w:sz w:val="22"/>
          <w:szCs w:val="22"/>
        </w:rPr>
        <w:t>Abstract</w:t>
      </w:r>
    </w:p>
    <w:p w:rsidR="00345BFA" w:rsidRDefault="007804C9">
      <w:pPr>
        <w:spacing w:after="0" w:line="240" w:lineRule="auto"/>
        <w:ind w:firstLine="720"/>
        <w:jc w:val="both"/>
        <w:rPr>
          <w:rFonts w:ascii="Garamond" w:eastAsia="Garamond" w:hAnsi="Garamond" w:cs="Garamond"/>
          <w:sz w:val="22"/>
          <w:szCs w:val="22"/>
        </w:rPr>
      </w:pPr>
      <w:r>
        <w:rPr>
          <w:rFonts w:ascii="Garamond" w:eastAsia="Garamond" w:hAnsi="Garamond" w:cs="Garamond"/>
          <w:sz w:val="22"/>
          <w:szCs w:val="22"/>
        </w:rPr>
        <w:t xml:space="preserve">This study investigated how metacognitive awareness contributes to the persistence of Davao Central College (Philippines) </w:t>
      </w:r>
      <w:proofErr w:type="spellStart"/>
      <w:r>
        <w:rPr>
          <w:rFonts w:ascii="Garamond" w:eastAsia="Garamond" w:hAnsi="Garamond" w:cs="Garamond"/>
          <w:sz w:val="22"/>
          <w:szCs w:val="22"/>
        </w:rPr>
        <w:t>BSEd</w:t>
      </w:r>
      <w:proofErr w:type="spellEnd"/>
      <w:r>
        <w:rPr>
          <w:rFonts w:ascii="Garamond" w:eastAsia="Garamond" w:hAnsi="Garamond" w:cs="Garamond"/>
          <w:sz w:val="22"/>
          <w:szCs w:val="22"/>
        </w:rPr>
        <w:t xml:space="preserve"> Mathematics majors in solving mathematical problems. Using a descriptive-correlational design, data were gathered from 100 math m</w:t>
      </w:r>
      <w:r>
        <w:rPr>
          <w:rFonts w:ascii="Garamond" w:eastAsia="Garamond" w:hAnsi="Garamond" w:cs="Garamond"/>
          <w:sz w:val="22"/>
          <w:szCs w:val="22"/>
        </w:rPr>
        <w:t>ajors using the Metacognitive Awareness Inventory (MAI) and the Persistence in Mathematical Problem-Solving Scale. Results revealed very high metacognitive awareness (M=4.31) and high persistence (M=4.06), peaking during examinations (M=4.29) but lowest in</w:t>
      </w:r>
      <w:r>
        <w:rPr>
          <w:rFonts w:ascii="Garamond" w:eastAsia="Garamond" w:hAnsi="Garamond" w:cs="Garamond"/>
          <w:sz w:val="22"/>
          <w:szCs w:val="22"/>
        </w:rPr>
        <w:t xml:space="preserve"> take-home assignments (M=3.88). Pearson correlation showed a significant positive relationship (*r* = .528, *p* &lt; .001), and regression analysis indicated metacognitive awareness explained 27.90% of the variance in persistence, suggesting additional facto</w:t>
      </w:r>
      <w:r>
        <w:rPr>
          <w:rFonts w:ascii="Garamond" w:eastAsia="Garamond" w:hAnsi="Garamond" w:cs="Garamond"/>
          <w:sz w:val="22"/>
          <w:szCs w:val="22"/>
        </w:rPr>
        <w:t>rs influence persistence. The study concludes that students who plan, monitor, and regulate their thinking persist more effectively through challenges. It recommends integrating metacognitive strategy instruction into mathematics curricula to strengthen ef</w:t>
      </w:r>
      <w:r>
        <w:rPr>
          <w:rFonts w:ascii="Garamond" w:eastAsia="Garamond" w:hAnsi="Garamond" w:cs="Garamond"/>
          <w:sz w:val="22"/>
          <w:szCs w:val="22"/>
        </w:rPr>
        <w:t>fort and resilience.</w:t>
      </w:r>
    </w:p>
    <w:p w:rsidR="00345BFA" w:rsidRDefault="007804C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rPr>
        <w:br/>
      </w: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metacognitive awareness, persistence, mathematical problem-solving, knowledge about cognition, regulation of cognition</w:t>
      </w:r>
    </w:p>
    <w:p w:rsidR="00345BFA" w:rsidRDefault="00345BFA">
      <w:pPr>
        <w:spacing w:after="0" w:line="240" w:lineRule="auto"/>
        <w:rPr>
          <w:rFonts w:ascii="Times New Roman" w:eastAsia="Times New Roman" w:hAnsi="Times New Roman" w:cs="Times New Roman"/>
          <w:sz w:val="22"/>
          <w:szCs w:val="22"/>
        </w:rPr>
      </w:pPr>
    </w:p>
    <w:p w:rsidR="00345BFA" w:rsidRDefault="00345BFA">
      <w:pPr>
        <w:jc w:val="both"/>
        <w:rPr>
          <w:rFonts w:ascii="Garamond" w:eastAsia="Garamond" w:hAnsi="Garamond" w:cs="Garamond"/>
          <w:sz w:val="22"/>
          <w:szCs w:val="22"/>
        </w:rPr>
      </w:pPr>
    </w:p>
    <w:p w:rsidR="00345BFA" w:rsidRDefault="007804C9">
      <w:pPr>
        <w:jc w:val="both"/>
        <w:rPr>
          <w:rFonts w:ascii="Garamond" w:eastAsia="Garamond" w:hAnsi="Garamond" w:cs="Garamond"/>
          <w:sz w:val="22"/>
          <w:szCs w:val="22"/>
        </w:rPr>
      </w:pPr>
      <w:r>
        <w:rPr>
          <w:rFonts w:ascii="Garamond" w:eastAsia="Garamond" w:hAnsi="Garamond" w:cs="Garamond"/>
          <w:b/>
          <w:sz w:val="22"/>
          <w:szCs w:val="22"/>
        </w:rPr>
        <w:t>Introduction</w:t>
      </w:r>
    </w:p>
    <w:p w:rsidR="00345BFA" w:rsidRDefault="007804C9">
      <w:pPr>
        <w:ind w:firstLine="720"/>
        <w:jc w:val="both"/>
        <w:rPr>
          <w:rFonts w:ascii="Garamond" w:eastAsia="Garamond" w:hAnsi="Garamond" w:cs="Garamond"/>
          <w:sz w:val="22"/>
          <w:szCs w:val="22"/>
        </w:rPr>
      </w:pPr>
      <w:bookmarkStart w:id="0" w:name="_heading=h.7vihfzuquoe0" w:colFirst="0" w:colLast="0"/>
      <w:bookmarkEnd w:id="0"/>
      <w:r>
        <w:rPr>
          <w:rFonts w:ascii="Garamond" w:eastAsia="Garamond" w:hAnsi="Garamond" w:cs="Garamond"/>
          <w:sz w:val="22"/>
          <w:szCs w:val="22"/>
        </w:rPr>
        <w:t>One critical issue in mathematics education is the lack of persistence among students when</w:t>
      </w:r>
      <w:r>
        <w:rPr>
          <w:rFonts w:ascii="Garamond" w:eastAsia="Garamond" w:hAnsi="Garamond" w:cs="Garamond"/>
          <w:sz w:val="22"/>
          <w:szCs w:val="22"/>
        </w:rPr>
        <w:t xml:space="preserve"> solving mathematical problems. Persistence, defined as the determination to stay focused on a task despite difficulty or prolonged effort (Shen et al., 2015), is crucial for achieving success in mathematics (</w:t>
      </w:r>
      <w:proofErr w:type="spellStart"/>
      <w:r>
        <w:rPr>
          <w:rFonts w:ascii="Garamond" w:eastAsia="Garamond" w:hAnsi="Garamond" w:cs="Garamond"/>
          <w:sz w:val="22"/>
          <w:szCs w:val="22"/>
        </w:rPr>
        <w:t>Asoy</w:t>
      </w:r>
      <w:proofErr w:type="spellEnd"/>
      <w:r>
        <w:rPr>
          <w:rFonts w:ascii="Garamond" w:eastAsia="Garamond" w:hAnsi="Garamond" w:cs="Garamond"/>
          <w:sz w:val="22"/>
          <w:szCs w:val="22"/>
        </w:rPr>
        <w:t>, 2025). However, many students demonstrate</w:t>
      </w:r>
      <w:r>
        <w:rPr>
          <w:rFonts w:ascii="Garamond" w:eastAsia="Garamond" w:hAnsi="Garamond" w:cs="Garamond"/>
          <w:sz w:val="22"/>
          <w:szCs w:val="22"/>
        </w:rPr>
        <w:t xml:space="preserve"> insufficient persistence, which, combined with weak mathematical process skills, hinders their ability to grasp and apply mathematical concepts effectively (</w:t>
      </w:r>
      <w:proofErr w:type="spellStart"/>
      <w:r>
        <w:rPr>
          <w:rFonts w:ascii="Garamond" w:eastAsia="Garamond" w:hAnsi="Garamond" w:cs="Garamond"/>
          <w:sz w:val="22"/>
          <w:szCs w:val="22"/>
        </w:rPr>
        <w:t>Kamid</w:t>
      </w:r>
      <w:proofErr w:type="spellEnd"/>
      <w:r>
        <w:rPr>
          <w:rFonts w:ascii="Garamond" w:eastAsia="Garamond" w:hAnsi="Garamond" w:cs="Garamond"/>
          <w:sz w:val="22"/>
          <w:szCs w:val="22"/>
        </w:rPr>
        <w:t xml:space="preserve"> et al., 2024). This challenge undermines the learning process and limits the potential for m</w:t>
      </w:r>
      <w:r>
        <w:rPr>
          <w:rFonts w:ascii="Garamond" w:eastAsia="Garamond" w:hAnsi="Garamond" w:cs="Garamond"/>
          <w:sz w:val="22"/>
          <w:szCs w:val="22"/>
        </w:rPr>
        <w:t>eaningful knowledge transfer.</w:t>
      </w:r>
    </w:p>
    <w:p w:rsidR="00345BFA" w:rsidRDefault="007804C9">
      <w:pPr>
        <w:ind w:firstLine="720"/>
        <w:jc w:val="both"/>
        <w:rPr>
          <w:rFonts w:ascii="Garamond" w:eastAsia="Garamond" w:hAnsi="Garamond" w:cs="Garamond"/>
          <w:sz w:val="22"/>
          <w:szCs w:val="22"/>
        </w:rPr>
      </w:pPr>
      <w:bookmarkStart w:id="1" w:name="_heading=h.sqy77jdehn9i" w:colFirst="0" w:colLast="0"/>
      <w:bookmarkEnd w:id="1"/>
      <w:proofErr w:type="spellStart"/>
      <w:r>
        <w:rPr>
          <w:rFonts w:ascii="Garamond" w:eastAsia="Garamond" w:hAnsi="Garamond" w:cs="Garamond"/>
          <w:sz w:val="22"/>
          <w:szCs w:val="22"/>
        </w:rPr>
        <w:t>Rahmawati</w:t>
      </w:r>
      <w:proofErr w:type="spellEnd"/>
      <w:r>
        <w:rPr>
          <w:rFonts w:ascii="Garamond" w:eastAsia="Garamond" w:hAnsi="Garamond" w:cs="Garamond"/>
          <w:sz w:val="22"/>
          <w:szCs w:val="22"/>
        </w:rPr>
        <w:t xml:space="preserve"> et al. (2024) found, in a study among vocational high school students in Jakarta, that persistence significantly improved students’ mathematical problem-solving abilities.  A study conducted at the University of the </w:t>
      </w:r>
      <w:r>
        <w:rPr>
          <w:rFonts w:ascii="Garamond" w:eastAsia="Garamond" w:hAnsi="Garamond" w:cs="Garamond"/>
          <w:sz w:val="22"/>
          <w:szCs w:val="22"/>
        </w:rPr>
        <w:t xml:space="preserve">East–Manila revealed that a Personal Instructing Agent (PIA) within a virtual learning tool significantly enhanced persistence in solving algebraic equations (Dela Cruz, 2024). </w:t>
      </w:r>
      <w:proofErr w:type="spellStart"/>
      <w:r>
        <w:rPr>
          <w:rFonts w:ascii="Garamond" w:eastAsia="Garamond" w:hAnsi="Garamond" w:cs="Garamond"/>
          <w:sz w:val="22"/>
          <w:szCs w:val="22"/>
        </w:rPr>
        <w:t>Asoy</w:t>
      </w:r>
      <w:proofErr w:type="spellEnd"/>
      <w:r>
        <w:rPr>
          <w:rFonts w:ascii="Garamond" w:eastAsia="Garamond" w:hAnsi="Garamond" w:cs="Garamond"/>
          <w:sz w:val="22"/>
          <w:szCs w:val="22"/>
        </w:rPr>
        <w:t xml:space="preserve"> and </w:t>
      </w:r>
      <w:proofErr w:type="spellStart"/>
      <w:r>
        <w:rPr>
          <w:rFonts w:ascii="Garamond" w:eastAsia="Garamond" w:hAnsi="Garamond" w:cs="Garamond"/>
          <w:sz w:val="22"/>
          <w:szCs w:val="22"/>
        </w:rPr>
        <w:t>Picaza</w:t>
      </w:r>
      <w:proofErr w:type="spellEnd"/>
      <w:r>
        <w:rPr>
          <w:rFonts w:ascii="Garamond" w:eastAsia="Garamond" w:hAnsi="Garamond" w:cs="Garamond"/>
          <w:sz w:val="22"/>
          <w:szCs w:val="22"/>
        </w:rPr>
        <w:t xml:space="preserve"> (2025) conducted a study involving first-year education student</w:t>
      </w:r>
      <w:r>
        <w:rPr>
          <w:rFonts w:ascii="Garamond" w:eastAsia="Garamond" w:hAnsi="Garamond" w:cs="Garamond"/>
          <w:sz w:val="22"/>
          <w:szCs w:val="22"/>
        </w:rPr>
        <w:t>s from three higher education institutions in Davao del Norte. Results showed a high level of persistence positively correlated with success in Mathematics in the Modern World. These findings underscore the importance of examining persistence in local educ</w:t>
      </w:r>
      <w:r>
        <w:rPr>
          <w:rFonts w:ascii="Garamond" w:eastAsia="Garamond" w:hAnsi="Garamond" w:cs="Garamond"/>
          <w:sz w:val="22"/>
          <w:szCs w:val="22"/>
        </w:rPr>
        <w:t>ational contexts.</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While numerous studies confirm the impact of metacognition on learning, limited research specifically explores how it supports persistence in solving complex mathematical problems, especially among math majors. Such gaps not only affect i</w:t>
      </w:r>
      <w:r>
        <w:rPr>
          <w:rFonts w:ascii="Garamond" w:eastAsia="Garamond" w:hAnsi="Garamond" w:cs="Garamond"/>
          <w:sz w:val="22"/>
          <w:szCs w:val="22"/>
        </w:rPr>
        <w:t>ndividual student outcomes but also compromise the quality of future educators, engineers, and researchers. Hence, it is urgent to investigate how metacognitive awareness can enhance persistence in mathematical problem-solving. The findings of this study w</w:t>
      </w:r>
      <w:r>
        <w:rPr>
          <w:rFonts w:ascii="Garamond" w:eastAsia="Garamond" w:hAnsi="Garamond" w:cs="Garamond"/>
          <w:sz w:val="22"/>
          <w:szCs w:val="22"/>
        </w:rPr>
        <w:t xml:space="preserve">ill contribute valuable insights for </w:t>
      </w:r>
      <w:r>
        <w:rPr>
          <w:rFonts w:ascii="Garamond" w:eastAsia="Garamond" w:hAnsi="Garamond" w:cs="Garamond"/>
          <w:sz w:val="22"/>
          <w:szCs w:val="22"/>
        </w:rPr>
        <w:lastRenderedPageBreak/>
        <w:t>educators and institutions seeking to strengthen learning strategies and improve mathematics achievement among math majors.</w:t>
      </w:r>
    </w:p>
    <w:p w:rsidR="00345BFA" w:rsidRDefault="007804C9">
      <w:pPr>
        <w:jc w:val="both"/>
        <w:rPr>
          <w:rFonts w:ascii="Garamond" w:eastAsia="Garamond" w:hAnsi="Garamond" w:cs="Garamond"/>
          <w:i/>
          <w:sz w:val="22"/>
          <w:szCs w:val="22"/>
        </w:rPr>
      </w:pPr>
      <w:r>
        <w:rPr>
          <w:rFonts w:ascii="Garamond" w:eastAsia="Garamond" w:hAnsi="Garamond" w:cs="Garamond"/>
          <w:b/>
          <w:i/>
          <w:sz w:val="22"/>
          <w:szCs w:val="22"/>
        </w:rPr>
        <w:t>Statement of the Problem</w:t>
      </w:r>
    </w:p>
    <w:p w:rsidR="00345BFA" w:rsidRDefault="007804C9">
      <w:pPr>
        <w:ind w:firstLine="360"/>
        <w:jc w:val="both"/>
        <w:rPr>
          <w:rFonts w:ascii="Garamond" w:eastAsia="Garamond" w:hAnsi="Garamond" w:cs="Garamond"/>
          <w:sz w:val="22"/>
          <w:szCs w:val="22"/>
        </w:rPr>
      </w:pPr>
      <w:r>
        <w:rPr>
          <w:rFonts w:ascii="Garamond" w:eastAsia="Garamond" w:hAnsi="Garamond" w:cs="Garamond"/>
          <w:sz w:val="22"/>
          <w:szCs w:val="22"/>
        </w:rPr>
        <w:t>The study aimed to investigate the role of metacognitive awareness in enhancing persistence in solving mathematical problems among math majors. Specifically, it seeks to answer the following questions:</w:t>
      </w:r>
    </w:p>
    <w:p w:rsidR="00345BFA" w:rsidRDefault="007804C9">
      <w:pPr>
        <w:numPr>
          <w:ilvl w:val="0"/>
          <w:numId w:val="1"/>
        </w:numPr>
        <w:spacing w:after="0"/>
        <w:jc w:val="both"/>
        <w:rPr>
          <w:rFonts w:ascii="Garamond" w:eastAsia="Garamond" w:hAnsi="Garamond" w:cs="Garamond"/>
          <w:sz w:val="22"/>
          <w:szCs w:val="22"/>
        </w:rPr>
      </w:pPr>
      <w:r>
        <w:rPr>
          <w:rFonts w:ascii="Garamond" w:eastAsia="Garamond" w:hAnsi="Garamond" w:cs="Garamond"/>
          <w:sz w:val="22"/>
          <w:szCs w:val="22"/>
        </w:rPr>
        <w:t>What is the level of students' metacognitive awareness in terms of:</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1.1. Knowledge about Cognition</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1.2. Regulation of Cognition</w:t>
      </w:r>
    </w:p>
    <w:p w:rsidR="00345BFA" w:rsidRDefault="007804C9">
      <w:pPr>
        <w:numPr>
          <w:ilvl w:val="0"/>
          <w:numId w:val="1"/>
        </w:numPr>
        <w:spacing w:after="0"/>
        <w:jc w:val="both"/>
        <w:rPr>
          <w:rFonts w:ascii="Garamond" w:eastAsia="Garamond" w:hAnsi="Garamond" w:cs="Garamond"/>
          <w:sz w:val="22"/>
          <w:szCs w:val="22"/>
        </w:rPr>
      </w:pPr>
      <w:r>
        <w:rPr>
          <w:rFonts w:ascii="Garamond" w:eastAsia="Garamond" w:hAnsi="Garamond" w:cs="Garamond"/>
          <w:sz w:val="22"/>
          <w:szCs w:val="22"/>
        </w:rPr>
        <w:t>What is the level of students’ persistence in solving mathematical problems in terms of:</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2.1. Classroom exercises</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2.2. Take-home</w:t>
      </w:r>
      <w:r>
        <w:rPr>
          <w:rFonts w:ascii="Garamond" w:eastAsia="Garamond" w:hAnsi="Garamond" w:cs="Garamond"/>
          <w:sz w:val="22"/>
          <w:szCs w:val="22"/>
        </w:rPr>
        <w:t xml:space="preserve"> assignments</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2.3. Group tasks</w:t>
      </w:r>
    </w:p>
    <w:p w:rsidR="00345BFA" w:rsidRDefault="007804C9">
      <w:pPr>
        <w:spacing w:after="0"/>
        <w:ind w:left="1440"/>
        <w:jc w:val="both"/>
        <w:rPr>
          <w:rFonts w:ascii="Garamond" w:eastAsia="Garamond" w:hAnsi="Garamond" w:cs="Garamond"/>
          <w:sz w:val="22"/>
          <w:szCs w:val="22"/>
        </w:rPr>
      </w:pPr>
      <w:r>
        <w:rPr>
          <w:rFonts w:ascii="Garamond" w:eastAsia="Garamond" w:hAnsi="Garamond" w:cs="Garamond"/>
          <w:sz w:val="22"/>
          <w:szCs w:val="22"/>
        </w:rPr>
        <w:t>2.4. Examinations</w:t>
      </w:r>
    </w:p>
    <w:p w:rsidR="00345BFA" w:rsidRDefault="007804C9">
      <w:pPr>
        <w:numPr>
          <w:ilvl w:val="0"/>
          <w:numId w:val="1"/>
        </w:numPr>
        <w:spacing w:after="0"/>
        <w:jc w:val="both"/>
        <w:rPr>
          <w:rFonts w:ascii="Garamond" w:eastAsia="Garamond" w:hAnsi="Garamond" w:cs="Garamond"/>
          <w:sz w:val="22"/>
          <w:szCs w:val="22"/>
        </w:rPr>
      </w:pPr>
      <w:r>
        <w:rPr>
          <w:rFonts w:ascii="Garamond" w:eastAsia="Garamond" w:hAnsi="Garamond" w:cs="Garamond"/>
          <w:sz w:val="22"/>
          <w:szCs w:val="22"/>
        </w:rPr>
        <w:t>Is there a significant relationship between metacognitive awareness and persistence in solving mathematical problems?</w:t>
      </w:r>
    </w:p>
    <w:p w:rsidR="00345BFA" w:rsidRDefault="007804C9">
      <w:pPr>
        <w:numPr>
          <w:ilvl w:val="0"/>
          <w:numId w:val="1"/>
        </w:numPr>
        <w:spacing w:after="0"/>
        <w:jc w:val="both"/>
        <w:rPr>
          <w:rFonts w:ascii="Garamond" w:eastAsia="Garamond" w:hAnsi="Garamond" w:cs="Garamond"/>
          <w:sz w:val="22"/>
          <w:szCs w:val="22"/>
        </w:rPr>
      </w:pPr>
      <w:r>
        <w:rPr>
          <w:rFonts w:ascii="Garamond" w:eastAsia="Garamond" w:hAnsi="Garamond" w:cs="Garamond"/>
          <w:sz w:val="22"/>
          <w:szCs w:val="22"/>
        </w:rPr>
        <w:t>Does metacognitive awareness significantly influence persistence in solving mathematical p</w:t>
      </w:r>
      <w:r>
        <w:rPr>
          <w:rFonts w:ascii="Garamond" w:eastAsia="Garamond" w:hAnsi="Garamond" w:cs="Garamond"/>
          <w:sz w:val="22"/>
          <w:szCs w:val="22"/>
        </w:rPr>
        <w:t>roblems?</w:t>
      </w:r>
    </w:p>
    <w:p w:rsidR="00345BFA" w:rsidRDefault="00345BFA">
      <w:pPr>
        <w:tabs>
          <w:tab w:val="left" w:pos="720"/>
        </w:tabs>
        <w:spacing w:after="0"/>
        <w:jc w:val="both"/>
        <w:rPr>
          <w:rFonts w:ascii="Garamond" w:eastAsia="Garamond" w:hAnsi="Garamond" w:cs="Garamond"/>
          <w:sz w:val="22"/>
          <w:szCs w:val="22"/>
        </w:rPr>
      </w:pPr>
    </w:p>
    <w:p w:rsidR="00345BFA" w:rsidRDefault="007804C9">
      <w:pPr>
        <w:jc w:val="both"/>
        <w:rPr>
          <w:rFonts w:ascii="Garamond" w:eastAsia="Garamond" w:hAnsi="Garamond" w:cs="Garamond"/>
          <w:i/>
          <w:sz w:val="22"/>
          <w:szCs w:val="22"/>
        </w:rPr>
      </w:pPr>
      <w:r>
        <w:rPr>
          <w:rFonts w:ascii="Garamond" w:eastAsia="Garamond" w:hAnsi="Garamond" w:cs="Garamond"/>
          <w:b/>
          <w:i/>
          <w:sz w:val="22"/>
          <w:szCs w:val="22"/>
        </w:rPr>
        <w:t>Null Hypotheses</w:t>
      </w:r>
    </w:p>
    <w:p w:rsidR="00345BFA" w:rsidRDefault="007804C9">
      <w:pPr>
        <w:ind w:left="720"/>
        <w:rPr>
          <w:rFonts w:ascii="Garamond" w:eastAsia="Garamond" w:hAnsi="Garamond" w:cs="Garamond"/>
          <w:sz w:val="22"/>
          <w:szCs w:val="22"/>
        </w:rPr>
      </w:pPr>
      <w:r>
        <w:rPr>
          <w:rFonts w:ascii="Garamond" w:eastAsia="Garamond" w:hAnsi="Garamond" w:cs="Garamond"/>
          <w:sz w:val="22"/>
          <w:szCs w:val="22"/>
        </w:rPr>
        <w:t>Ho1: There is no significant relationship between metacognitive awareness and persistence in solving mathematical problems.</w:t>
      </w:r>
      <w:r>
        <w:rPr>
          <w:rFonts w:ascii="Garamond" w:eastAsia="Garamond" w:hAnsi="Garamond" w:cs="Garamond"/>
          <w:sz w:val="22"/>
          <w:szCs w:val="22"/>
        </w:rPr>
        <w:br/>
        <w:t>Ho2: There is no significant influence of metacognitive awareness on persistence in solving mathematical p</w:t>
      </w:r>
      <w:r>
        <w:rPr>
          <w:rFonts w:ascii="Garamond" w:eastAsia="Garamond" w:hAnsi="Garamond" w:cs="Garamond"/>
          <w:sz w:val="22"/>
          <w:szCs w:val="22"/>
        </w:rPr>
        <w:t>roblems.</w:t>
      </w:r>
    </w:p>
    <w:p w:rsidR="00345BFA" w:rsidRDefault="007804C9">
      <w:pPr>
        <w:jc w:val="both"/>
        <w:rPr>
          <w:rFonts w:ascii="Garamond" w:eastAsia="Garamond" w:hAnsi="Garamond" w:cs="Garamond"/>
          <w:i/>
          <w:sz w:val="22"/>
          <w:szCs w:val="22"/>
        </w:rPr>
      </w:pPr>
      <w:r>
        <w:rPr>
          <w:rFonts w:ascii="Garamond" w:eastAsia="Garamond" w:hAnsi="Garamond" w:cs="Garamond"/>
          <w:b/>
          <w:i/>
          <w:sz w:val="22"/>
          <w:szCs w:val="22"/>
        </w:rPr>
        <w:t>Theoretical/Conceptual Framework</w:t>
      </w:r>
    </w:p>
    <w:p w:rsidR="00345BFA" w:rsidRDefault="007804C9">
      <w:pPr>
        <w:ind w:firstLine="720"/>
        <w:jc w:val="both"/>
        <w:rPr>
          <w:rFonts w:ascii="Garamond" w:eastAsia="Garamond" w:hAnsi="Garamond" w:cs="Garamond"/>
          <w:sz w:val="22"/>
          <w:szCs w:val="22"/>
        </w:rPr>
      </w:pPr>
      <w:bookmarkStart w:id="2" w:name="_heading=h.hha1bf1e8wpb" w:colFirst="0" w:colLast="0"/>
      <w:bookmarkEnd w:id="2"/>
      <w:r>
        <w:rPr>
          <w:rFonts w:ascii="Garamond" w:eastAsia="Garamond" w:hAnsi="Garamond" w:cs="Garamond"/>
          <w:sz w:val="22"/>
          <w:szCs w:val="22"/>
        </w:rPr>
        <w:t>This study is based on Flavell’s (1979) theory of metacognition, which highlights the learner’s ability to monitor and control their thinking. Metacognitive awareness includes knowledge about cognition and regulati</w:t>
      </w:r>
      <w:r>
        <w:rPr>
          <w:rFonts w:ascii="Garamond" w:eastAsia="Garamond" w:hAnsi="Garamond" w:cs="Garamond"/>
          <w:sz w:val="22"/>
          <w:szCs w:val="22"/>
        </w:rPr>
        <w:t xml:space="preserve">on of cognition, helping students manage learning strategies and persist through difficult tasks. </w:t>
      </w:r>
      <w:proofErr w:type="spellStart"/>
      <w:r>
        <w:rPr>
          <w:rFonts w:ascii="Garamond" w:eastAsia="Garamond" w:hAnsi="Garamond" w:cs="Garamond"/>
          <w:sz w:val="22"/>
          <w:szCs w:val="22"/>
        </w:rPr>
        <w:t>Pintrich</w:t>
      </w:r>
      <w:proofErr w:type="spellEnd"/>
      <w:r>
        <w:rPr>
          <w:rFonts w:ascii="Garamond" w:eastAsia="Garamond" w:hAnsi="Garamond" w:cs="Garamond"/>
          <w:sz w:val="22"/>
          <w:szCs w:val="22"/>
        </w:rPr>
        <w:t xml:space="preserve"> (2002) emphasized the link between metacognition and motivation, showing that motivated and self-aware learners are more likely to persist. Dweck’s (</w:t>
      </w:r>
      <w:r>
        <w:rPr>
          <w:rFonts w:ascii="Garamond" w:eastAsia="Garamond" w:hAnsi="Garamond" w:cs="Garamond"/>
          <w:sz w:val="22"/>
          <w:szCs w:val="22"/>
        </w:rPr>
        <w:t>2006) Mindset Theory also supports this, suggesting that students with a growth mindset are more likely to overcome challenges. These theories together explain how metacognitive awareness can strengthen persistence in solving mathematical problems.</w:t>
      </w:r>
    </w:p>
    <w:tbl>
      <w:tblPr>
        <w:tblStyle w:val="a"/>
        <w:tblpPr w:leftFromText="180" w:rightFromText="180" w:topFromText="180" w:bottomFromText="180" w:vertAnchor="text" w:tblpX="2221" w:tblpY="344"/>
        <w:tblW w:w="2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05"/>
      </w:tblGrid>
      <w:tr w:rsidR="00345BFA">
        <w:trPr>
          <w:trHeight w:val="3402"/>
        </w:trPr>
        <w:tc>
          <w:tcPr>
            <w:tcW w:w="2805" w:type="dxa"/>
          </w:tcPr>
          <w:p w:rsidR="00345BFA" w:rsidRDefault="007804C9">
            <w:pPr>
              <w:widowControl w:val="0"/>
              <w:spacing w:line="276" w:lineRule="auto"/>
              <w:rPr>
                <w:rFonts w:ascii="Garamond" w:eastAsia="Garamond" w:hAnsi="Garamond" w:cs="Garamond"/>
                <w:b/>
                <w:sz w:val="22"/>
                <w:szCs w:val="22"/>
              </w:rPr>
            </w:pPr>
            <w:r>
              <w:rPr>
                <w:rFonts w:ascii="Garamond" w:eastAsia="Garamond" w:hAnsi="Garamond" w:cs="Garamond"/>
                <w:b/>
                <w:sz w:val="22"/>
                <w:szCs w:val="22"/>
              </w:rPr>
              <w:lastRenderedPageBreak/>
              <w:t>Metacog</w:t>
            </w:r>
            <w:r>
              <w:rPr>
                <w:rFonts w:ascii="Garamond" w:eastAsia="Garamond" w:hAnsi="Garamond" w:cs="Garamond"/>
                <w:b/>
                <w:sz w:val="22"/>
                <w:szCs w:val="22"/>
              </w:rPr>
              <w:t xml:space="preserve">nitive Awareness </w:t>
            </w:r>
          </w:p>
          <w:p w:rsidR="00345BFA" w:rsidRDefault="007804C9">
            <w:pPr>
              <w:widowControl w:val="0"/>
              <w:numPr>
                <w:ilvl w:val="0"/>
                <w:numId w:val="2"/>
              </w:numPr>
              <w:pBdr>
                <w:top w:val="nil"/>
                <w:left w:val="nil"/>
                <w:bottom w:val="nil"/>
                <w:right w:val="nil"/>
                <w:between w:val="nil"/>
              </w:pBdr>
              <w:spacing w:after="0" w:line="276" w:lineRule="auto"/>
              <w:rPr>
                <w:rFonts w:ascii="Garamond" w:eastAsia="Garamond" w:hAnsi="Garamond" w:cs="Garamond"/>
                <w:color w:val="000000"/>
                <w:sz w:val="22"/>
                <w:szCs w:val="22"/>
              </w:rPr>
            </w:pPr>
            <w:r>
              <w:rPr>
                <w:rFonts w:ascii="Garamond" w:eastAsia="Garamond" w:hAnsi="Garamond" w:cs="Garamond"/>
                <w:color w:val="000000"/>
                <w:sz w:val="22"/>
                <w:szCs w:val="22"/>
              </w:rPr>
              <w:t>Knowledge About Cognition</w:t>
            </w:r>
          </w:p>
          <w:p w:rsidR="00345BFA" w:rsidRDefault="00345BFA">
            <w:pPr>
              <w:widowControl w:val="0"/>
              <w:pBdr>
                <w:top w:val="nil"/>
                <w:left w:val="nil"/>
                <w:bottom w:val="nil"/>
                <w:right w:val="nil"/>
                <w:between w:val="nil"/>
              </w:pBdr>
              <w:spacing w:after="0" w:line="276" w:lineRule="auto"/>
              <w:ind w:left="720"/>
              <w:rPr>
                <w:rFonts w:ascii="Garamond" w:eastAsia="Garamond" w:hAnsi="Garamond" w:cs="Garamond"/>
                <w:color w:val="000000"/>
                <w:sz w:val="22"/>
                <w:szCs w:val="22"/>
              </w:rPr>
            </w:pPr>
          </w:p>
          <w:p w:rsidR="00345BFA" w:rsidRDefault="007804C9">
            <w:pPr>
              <w:widowControl w:val="0"/>
              <w:numPr>
                <w:ilvl w:val="0"/>
                <w:numId w:val="2"/>
              </w:numPr>
              <w:pBdr>
                <w:top w:val="nil"/>
                <w:left w:val="nil"/>
                <w:bottom w:val="nil"/>
                <w:right w:val="nil"/>
                <w:between w:val="nil"/>
              </w:pBdr>
              <w:spacing w:after="0" w:line="276" w:lineRule="auto"/>
              <w:rPr>
                <w:rFonts w:ascii="Garamond" w:eastAsia="Garamond" w:hAnsi="Garamond" w:cs="Garamond"/>
                <w:b/>
                <w:color w:val="000000"/>
                <w:sz w:val="22"/>
                <w:szCs w:val="22"/>
              </w:rPr>
            </w:pPr>
            <w:r>
              <w:rPr>
                <w:rFonts w:ascii="Garamond" w:eastAsia="Garamond" w:hAnsi="Garamond" w:cs="Garamond"/>
                <w:color w:val="000000"/>
                <w:sz w:val="22"/>
                <w:szCs w:val="22"/>
              </w:rPr>
              <w:t>Regulation of Cognition</w:t>
            </w:r>
            <w:r>
              <w:rPr>
                <w:noProof/>
              </w:rPr>
              <mc:AlternateContent>
                <mc:Choice Requires="wps">
                  <w:drawing>
                    <wp:anchor distT="0" distB="0" distL="114300" distR="114300" simplePos="0" relativeHeight="251656192" behindDoc="0" locked="0" layoutInCell="1" hidden="0" allowOverlap="1">
                      <wp:simplePos x="0" y="0"/>
                      <wp:positionH relativeFrom="column">
                        <wp:posOffset>1714500</wp:posOffset>
                      </wp:positionH>
                      <wp:positionV relativeFrom="paragraph">
                        <wp:posOffset>241300</wp:posOffset>
                      </wp:positionV>
                      <wp:extent cx="0" cy="25400"/>
                      <wp:effectExtent l="0" t="0" r="0" b="0"/>
                      <wp:wrapNone/>
                      <wp:docPr id="1147352053" name="Straight Arrow Connector 1147352053"/>
                      <wp:cNvGraphicFramePr/>
                      <a:graphic xmlns:a="http://schemas.openxmlformats.org/drawingml/2006/main">
                        <a:graphicData uri="http://schemas.microsoft.com/office/word/2010/wordprocessingShape">
                          <wps:wsp>
                            <wps:cNvCnPr/>
                            <wps:spPr>
                              <a:xfrm>
                                <a:off x="5024803" y="3780000"/>
                                <a:ext cx="64239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241300</wp:posOffset>
                      </wp:positionV>
                      <wp:extent cx="0" cy="25400"/>
                      <wp:effectExtent b="0" l="0" r="0" t="0"/>
                      <wp:wrapNone/>
                      <wp:docPr id="114735205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tc>
      </w:tr>
    </w:tbl>
    <w:p w:rsidR="00345BFA" w:rsidRDefault="00345BFA">
      <w:pPr>
        <w:spacing w:line="276" w:lineRule="auto"/>
        <w:rPr>
          <w:rFonts w:ascii="Garamond" w:eastAsia="Garamond" w:hAnsi="Garamond" w:cs="Garamond"/>
          <w:b/>
          <w:sz w:val="22"/>
          <w:szCs w:val="22"/>
        </w:rPr>
      </w:pPr>
    </w:p>
    <w:tbl>
      <w:tblPr>
        <w:tblStyle w:val="a0"/>
        <w:tblpPr w:leftFromText="180" w:rightFromText="180" w:topFromText="180" w:bottomFromText="180" w:vertAnchor="text" w:tblpX="6061" w:tblpY="57"/>
        <w:tblW w:w="4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74"/>
      </w:tblGrid>
      <w:tr w:rsidR="00345BFA">
        <w:trPr>
          <w:trHeight w:val="3193"/>
        </w:trPr>
        <w:tc>
          <w:tcPr>
            <w:tcW w:w="4274" w:type="dxa"/>
          </w:tcPr>
          <w:p w:rsidR="00345BFA" w:rsidRDefault="007804C9">
            <w:pPr>
              <w:widowControl w:val="0"/>
              <w:spacing w:line="276" w:lineRule="auto"/>
              <w:jc w:val="center"/>
              <w:rPr>
                <w:rFonts w:ascii="Garamond" w:eastAsia="Garamond" w:hAnsi="Garamond" w:cs="Garamond"/>
                <w:b/>
                <w:sz w:val="22"/>
                <w:szCs w:val="22"/>
              </w:rPr>
            </w:pPr>
            <w:r>
              <w:rPr>
                <w:rFonts w:ascii="Garamond" w:eastAsia="Garamond" w:hAnsi="Garamond" w:cs="Garamond"/>
                <w:b/>
                <w:sz w:val="22"/>
                <w:szCs w:val="22"/>
              </w:rPr>
              <w:t>Persistence in Solving Mathematics Problem</w:t>
            </w:r>
          </w:p>
          <w:p w:rsidR="00345BFA" w:rsidRDefault="007804C9">
            <w:pPr>
              <w:widowControl w:val="0"/>
              <w:numPr>
                <w:ilvl w:val="0"/>
                <w:numId w:val="3"/>
              </w:numPr>
              <w:pBdr>
                <w:top w:val="nil"/>
                <w:left w:val="nil"/>
                <w:bottom w:val="nil"/>
                <w:right w:val="nil"/>
                <w:between w:val="nil"/>
              </w:pBdr>
              <w:spacing w:after="0" w:line="276" w:lineRule="auto"/>
              <w:rPr>
                <w:rFonts w:ascii="Garamond" w:eastAsia="Garamond" w:hAnsi="Garamond" w:cs="Garamond"/>
                <w:color w:val="000000"/>
                <w:sz w:val="22"/>
                <w:szCs w:val="22"/>
              </w:rPr>
            </w:pPr>
            <w:bookmarkStart w:id="3" w:name="_heading=h.h2zmi03emg7f" w:colFirst="0" w:colLast="0"/>
            <w:bookmarkEnd w:id="3"/>
            <w:r>
              <w:rPr>
                <w:rFonts w:ascii="Garamond" w:eastAsia="Garamond" w:hAnsi="Garamond" w:cs="Garamond"/>
                <w:color w:val="000000"/>
                <w:sz w:val="22"/>
                <w:szCs w:val="22"/>
              </w:rPr>
              <w:t xml:space="preserve">Classroom exercises </w:t>
            </w:r>
          </w:p>
          <w:p w:rsidR="00345BFA" w:rsidRDefault="00345BFA">
            <w:pPr>
              <w:widowControl w:val="0"/>
              <w:spacing w:after="0" w:line="276" w:lineRule="auto"/>
              <w:ind w:left="720"/>
              <w:rPr>
                <w:rFonts w:ascii="Garamond" w:eastAsia="Garamond" w:hAnsi="Garamond" w:cs="Garamond"/>
                <w:sz w:val="22"/>
                <w:szCs w:val="22"/>
              </w:rPr>
            </w:pPr>
          </w:p>
          <w:p w:rsidR="00345BFA" w:rsidRDefault="007804C9">
            <w:pPr>
              <w:widowControl w:val="0"/>
              <w:numPr>
                <w:ilvl w:val="0"/>
                <w:numId w:val="3"/>
              </w:numPr>
              <w:pBdr>
                <w:top w:val="nil"/>
                <w:left w:val="nil"/>
                <w:bottom w:val="nil"/>
                <w:right w:val="nil"/>
                <w:between w:val="nil"/>
              </w:pBdr>
              <w:spacing w:after="0" w:line="276" w:lineRule="auto"/>
              <w:rPr>
                <w:rFonts w:ascii="Garamond" w:eastAsia="Garamond" w:hAnsi="Garamond" w:cs="Garamond"/>
                <w:color w:val="000000"/>
                <w:sz w:val="22"/>
                <w:szCs w:val="22"/>
              </w:rPr>
            </w:pPr>
            <w:r>
              <w:rPr>
                <w:rFonts w:ascii="Garamond" w:eastAsia="Garamond" w:hAnsi="Garamond" w:cs="Garamond"/>
                <w:color w:val="000000"/>
                <w:sz w:val="22"/>
                <w:szCs w:val="22"/>
              </w:rPr>
              <w:t xml:space="preserve">Take home assignments </w:t>
            </w:r>
          </w:p>
          <w:p w:rsidR="00345BFA" w:rsidRDefault="00345BFA">
            <w:pPr>
              <w:widowControl w:val="0"/>
              <w:pBdr>
                <w:top w:val="nil"/>
                <w:left w:val="nil"/>
                <w:bottom w:val="nil"/>
                <w:right w:val="nil"/>
                <w:between w:val="nil"/>
              </w:pBdr>
              <w:spacing w:after="0" w:line="276" w:lineRule="auto"/>
              <w:ind w:left="720"/>
              <w:rPr>
                <w:rFonts w:ascii="Garamond" w:eastAsia="Garamond" w:hAnsi="Garamond" w:cs="Garamond"/>
                <w:color w:val="000000"/>
                <w:sz w:val="22"/>
                <w:szCs w:val="22"/>
              </w:rPr>
            </w:pPr>
          </w:p>
          <w:p w:rsidR="00345BFA" w:rsidRDefault="007804C9">
            <w:pPr>
              <w:widowControl w:val="0"/>
              <w:numPr>
                <w:ilvl w:val="0"/>
                <w:numId w:val="3"/>
              </w:numPr>
              <w:pBdr>
                <w:top w:val="nil"/>
                <w:left w:val="nil"/>
                <w:bottom w:val="nil"/>
                <w:right w:val="nil"/>
                <w:between w:val="nil"/>
              </w:pBdr>
              <w:spacing w:after="0" w:line="276" w:lineRule="auto"/>
              <w:rPr>
                <w:rFonts w:ascii="Garamond" w:eastAsia="Garamond" w:hAnsi="Garamond" w:cs="Garamond"/>
                <w:color w:val="000000"/>
                <w:sz w:val="22"/>
                <w:szCs w:val="22"/>
              </w:rPr>
            </w:pPr>
            <w:r>
              <w:rPr>
                <w:rFonts w:ascii="Garamond" w:eastAsia="Garamond" w:hAnsi="Garamond" w:cs="Garamond"/>
                <w:color w:val="000000"/>
                <w:sz w:val="22"/>
                <w:szCs w:val="22"/>
              </w:rPr>
              <w:t>Group tasks</w:t>
            </w:r>
          </w:p>
          <w:p w:rsidR="00345BFA" w:rsidRDefault="00345BFA">
            <w:pPr>
              <w:widowControl w:val="0"/>
              <w:spacing w:after="0" w:line="276" w:lineRule="auto"/>
              <w:rPr>
                <w:rFonts w:ascii="Garamond" w:eastAsia="Garamond" w:hAnsi="Garamond" w:cs="Garamond"/>
                <w:sz w:val="22"/>
                <w:szCs w:val="22"/>
              </w:rPr>
            </w:pPr>
          </w:p>
          <w:p w:rsidR="00345BFA" w:rsidRDefault="007804C9">
            <w:pPr>
              <w:widowControl w:val="0"/>
              <w:numPr>
                <w:ilvl w:val="0"/>
                <w:numId w:val="3"/>
              </w:numPr>
              <w:pBdr>
                <w:top w:val="nil"/>
                <w:left w:val="nil"/>
                <w:bottom w:val="nil"/>
                <w:right w:val="nil"/>
                <w:between w:val="nil"/>
              </w:pBdr>
              <w:spacing w:after="0" w:line="276" w:lineRule="auto"/>
              <w:rPr>
                <w:rFonts w:ascii="Garamond" w:eastAsia="Garamond" w:hAnsi="Garamond" w:cs="Garamond"/>
                <w:b/>
                <w:color w:val="000000"/>
                <w:sz w:val="22"/>
                <w:szCs w:val="22"/>
              </w:rPr>
            </w:pPr>
            <w:r>
              <w:rPr>
                <w:rFonts w:ascii="Garamond" w:eastAsia="Garamond" w:hAnsi="Garamond" w:cs="Garamond"/>
                <w:color w:val="000000"/>
                <w:sz w:val="22"/>
                <w:szCs w:val="22"/>
              </w:rPr>
              <w:t>Examination</w:t>
            </w:r>
          </w:p>
        </w:tc>
      </w:tr>
    </w:tbl>
    <w:p w:rsidR="00345BFA" w:rsidRDefault="00345BFA">
      <w:pPr>
        <w:spacing w:line="276" w:lineRule="auto"/>
        <w:rPr>
          <w:rFonts w:ascii="Garamond" w:eastAsia="Garamond" w:hAnsi="Garamond" w:cs="Garamond"/>
          <w:b/>
          <w:sz w:val="22"/>
          <w:szCs w:val="22"/>
        </w:rPr>
      </w:pPr>
    </w:p>
    <w:p w:rsidR="00345BFA" w:rsidRDefault="00345BFA">
      <w:pPr>
        <w:jc w:val="both"/>
        <w:rPr>
          <w:rFonts w:ascii="Garamond" w:eastAsia="Garamond" w:hAnsi="Garamond" w:cs="Garamond"/>
          <w:sz w:val="22"/>
          <w:szCs w:val="22"/>
        </w:rPr>
      </w:pPr>
    </w:p>
    <w:p w:rsidR="00345BFA" w:rsidRDefault="00345BFA">
      <w:pPr>
        <w:jc w:val="both"/>
        <w:rPr>
          <w:rFonts w:ascii="Garamond" w:eastAsia="Garamond" w:hAnsi="Garamond" w:cs="Garamond"/>
          <w:b/>
          <w:sz w:val="22"/>
          <w:szCs w:val="22"/>
        </w:rPr>
      </w:pPr>
    </w:p>
    <w:p w:rsidR="00345BFA" w:rsidRDefault="00345BFA">
      <w:pPr>
        <w:jc w:val="both"/>
        <w:rPr>
          <w:rFonts w:ascii="Garamond" w:eastAsia="Garamond" w:hAnsi="Garamond" w:cs="Garamond"/>
          <w:b/>
          <w:sz w:val="22"/>
          <w:szCs w:val="22"/>
        </w:rPr>
      </w:pPr>
    </w:p>
    <w:p w:rsidR="00345BFA" w:rsidRDefault="00345BFA">
      <w:pPr>
        <w:jc w:val="both"/>
        <w:rPr>
          <w:rFonts w:ascii="Garamond" w:eastAsia="Garamond" w:hAnsi="Garamond" w:cs="Garamond"/>
          <w:b/>
          <w:sz w:val="22"/>
          <w:szCs w:val="22"/>
        </w:rPr>
      </w:pPr>
    </w:p>
    <w:p w:rsidR="00345BFA" w:rsidRDefault="00345BFA">
      <w:pPr>
        <w:jc w:val="both"/>
        <w:rPr>
          <w:rFonts w:ascii="Garamond" w:eastAsia="Garamond" w:hAnsi="Garamond" w:cs="Garamond"/>
          <w:b/>
          <w:sz w:val="22"/>
          <w:szCs w:val="22"/>
        </w:rPr>
      </w:pPr>
    </w:p>
    <w:p w:rsidR="00345BFA" w:rsidRDefault="00345BFA">
      <w:pPr>
        <w:spacing w:after="0"/>
        <w:jc w:val="both"/>
        <w:rPr>
          <w:rFonts w:ascii="Garamond" w:eastAsia="Garamond" w:hAnsi="Garamond" w:cs="Garamond"/>
          <w:b/>
          <w:sz w:val="22"/>
          <w:szCs w:val="22"/>
        </w:rPr>
      </w:pPr>
    </w:p>
    <w:p w:rsidR="00345BFA" w:rsidRDefault="00345BFA">
      <w:pPr>
        <w:spacing w:after="0"/>
        <w:jc w:val="both"/>
        <w:rPr>
          <w:rFonts w:ascii="Garamond" w:eastAsia="Garamond" w:hAnsi="Garamond" w:cs="Garamond"/>
          <w:b/>
          <w:sz w:val="22"/>
          <w:szCs w:val="22"/>
        </w:rPr>
      </w:pPr>
    </w:p>
    <w:p w:rsidR="00345BFA" w:rsidRDefault="00345BFA">
      <w:pPr>
        <w:spacing w:after="0"/>
        <w:jc w:val="both"/>
        <w:rPr>
          <w:rFonts w:ascii="Garamond" w:eastAsia="Garamond" w:hAnsi="Garamond" w:cs="Garamond"/>
          <w:b/>
          <w:sz w:val="22"/>
          <w:szCs w:val="22"/>
        </w:rPr>
      </w:pPr>
    </w:p>
    <w:p w:rsidR="00345BFA" w:rsidRDefault="007804C9">
      <w:pPr>
        <w:spacing w:after="0"/>
        <w:jc w:val="both"/>
        <w:rPr>
          <w:rFonts w:ascii="Garamond" w:eastAsia="Garamond" w:hAnsi="Garamond" w:cs="Garamond"/>
          <w:b/>
          <w:i/>
          <w:sz w:val="22"/>
          <w:szCs w:val="22"/>
        </w:rPr>
      </w:pPr>
      <w:r>
        <w:rPr>
          <w:rFonts w:ascii="Garamond" w:eastAsia="Garamond" w:hAnsi="Garamond" w:cs="Garamond"/>
          <w:b/>
          <w:i/>
          <w:sz w:val="22"/>
          <w:szCs w:val="22"/>
        </w:rPr>
        <w:t>Figure 1. Conceptual Framework</w:t>
      </w:r>
    </w:p>
    <w:p w:rsidR="00345BFA" w:rsidRDefault="00345BFA">
      <w:pPr>
        <w:spacing w:after="0"/>
        <w:jc w:val="both"/>
        <w:rPr>
          <w:rFonts w:ascii="Garamond" w:eastAsia="Garamond" w:hAnsi="Garamond" w:cs="Garamond"/>
          <w:i/>
          <w:sz w:val="22"/>
          <w:szCs w:val="22"/>
        </w:rPr>
      </w:pPr>
    </w:p>
    <w:p w:rsidR="00345BFA" w:rsidRDefault="007804C9">
      <w:pPr>
        <w:jc w:val="both"/>
        <w:rPr>
          <w:rFonts w:ascii="Garamond" w:eastAsia="Garamond" w:hAnsi="Garamond" w:cs="Garamond"/>
          <w:i/>
          <w:sz w:val="22"/>
          <w:szCs w:val="22"/>
        </w:rPr>
      </w:pPr>
      <w:r>
        <w:rPr>
          <w:rFonts w:ascii="Garamond" w:eastAsia="Garamond" w:hAnsi="Garamond" w:cs="Garamond"/>
          <w:b/>
          <w:i/>
          <w:sz w:val="22"/>
          <w:szCs w:val="22"/>
        </w:rPr>
        <w:t>Methodology</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 xml:space="preserve">This study utilized a descriptive-correlational research design to explore the relationship and influence of metacognitive awareness on students' persistence in solving mathematical problems. It was conducted at Davao Central College, located in </w:t>
      </w:r>
      <w:proofErr w:type="spellStart"/>
      <w:r>
        <w:rPr>
          <w:rFonts w:ascii="Garamond" w:eastAsia="Garamond" w:hAnsi="Garamond" w:cs="Garamond"/>
          <w:sz w:val="22"/>
          <w:szCs w:val="22"/>
        </w:rPr>
        <w:t>Toril</w:t>
      </w:r>
      <w:proofErr w:type="spellEnd"/>
      <w:r>
        <w:rPr>
          <w:rFonts w:ascii="Garamond" w:eastAsia="Garamond" w:hAnsi="Garamond" w:cs="Garamond"/>
          <w:sz w:val="22"/>
          <w:szCs w:val="22"/>
        </w:rPr>
        <w:t>, Dav</w:t>
      </w:r>
      <w:r>
        <w:rPr>
          <w:rFonts w:ascii="Garamond" w:eastAsia="Garamond" w:hAnsi="Garamond" w:cs="Garamond"/>
          <w:sz w:val="22"/>
          <w:szCs w:val="22"/>
        </w:rPr>
        <w:t>ao City, Philippines, during the academic year 2024–2025.</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 xml:space="preserve">The participants consisted of 100 </w:t>
      </w:r>
      <w:proofErr w:type="spellStart"/>
      <w:r>
        <w:rPr>
          <w:rFonts w:ascii="Garamond" w:eastAsia="Garamond" w:hAnsi="Garamond" w:cs="Garamond"/>
          <w:sz w:val="22"/>
          <w:szCs w:val="22"/>
        </w:rPr>
        <w:t>BSEd</w:t>
      </w:r>
      <w:proofErr w:type="spellEnd"/>
      <w:r>
        <w:rPr>
          <w:rFonts w:ascii="Garamond" w:eastAsia="Garamond" w:hAnsi="Garamond" w:cs="Garamond"/>
          <w:sz w:val="22"/>
          <w:szCs w:val="22"/>
        </w:rPr>
        <w:t xml:space="preserve"> Mathematics majors, from first to fourth year, selected through purposive sampling. Only officially enrolled students were included in the study.</w:t>
      </w:r>
    </w:p>
    <w:p w:rsidR="00345BFA" w:rsidRDefault="007804C9">
      <w:pPr>
        <w:ind w:firstLine="720"/>
        <w:jc w:val="both"/>
        <w:rPr>
          <w:rFonts w:ascii="Garamond" w:eastAsia="Garamond" w:hAnsi="Garamond" w:cs="Garamond"/>
          <w:sz w:val="22"/>
          <w:szCs w:val="22"/>
        </w:rPr>
      </w:pPr>
      <w:bookmarkStart w:id="4" w:name="_heading=h.1drwrdpvf75q" w:colFirst="0" w:colLast="0"/>
      <w:bookmarkEnd w:id="4"/>
      <w:r>
        <w:rPr>
          <w:rFonts w:ascii="Garamond" w:eastAsia="Garamond" w:hAnsi="Garamond" w:cs="Garamond"/>
          <w:sz w:val="22"/>
          <w:szCs w:val="22"/>
        </w:rPr>
        <w:t>To gather the</w:t>
      </w:r>
      <w:r>
        <w:rPr>
          <w:rFonts w:ascii="Garamond" w:eastAsia="Garamond" w:hAnsi="Garamond" w:cs="Garamond"/>
          <w:sz w:val="22"/>
          <w:szCs w:val="22"/>
        </w:rPr>
        <w:t xml:space="preserve"> necessary data, two widely recognized instruments were used. The Metacognitive Awareness Inventory (MAI) developed by Schraw and Dennison (1994), consisting of 52 items rated on a 5-point Likert scale, is a well-established tool in educational research. I</w:t>
      </w:r>
      <w:r>
        <w:rPr>
          <w:rFonts w:ascii="Garamond" w:eastAsia="Garamond" w:hAnsi="Garamond" w:cs="Garamond"/>
          <w:sz w:val="22"/>
          <w:szCs w:val="22"/>
        </w:rPr>
        <w:t xml:space="preserve">t has demonstrated strong validity and high reliability, with a coefficient alpha of .95 for the entire instrument. The second tool, the Persistence in Mathematical Problem-Solving (MPS) Scale, adapted from </w:t>
      </w:r>
      <w:proofErr w:type="spellStart"/>
      <w:r>
        <w:rPr>
          <w:rFonts w:ascii="Garamond" w:eastAsia="Garamond" w:hAnsi="Garamond" w:cs="Garamond"/>
          <w:sz w:val="22"/>
          <w:szCs w:val="22"/>
        </w:rPr>
        <w:t>Ogbu</w:t>
      </w:r>
      <w:proofErr w:type="spellEnd"/>
      <w:r>
        <w:rPr>
          <w:rFonts w:ascii="Garamond" w:eastAsia="Garamond" w:hAnsi="Garamond" w:cs="Garamond"/>
          <w:sz w:val="22"/>
          <w:szCs w:val="22"/>
        </w:rPr>
        <w:t xml:space="preserve"> and </w:t>
      </w:r>
      <w:proofErr w:type="spellStart"/>
      <w:r>
        <w:rPr>
          <w:rFonts w:ascii="Garamond" w:eastAsia="Garamond" w:hAnsi="Garamond" w:cs="Garamond"/>
          <w:sz w:val="22"/>
          <w:szCs w:val="22"/>
        </w:rPr>
        <w:t>Ugwu</w:t>
      </w:r>
      <w:proofErr w:type="spellEnd"/>
      <w:r>
        <w:rPr>
          <w:rFonts w:ascii="Garamond" w:eastAsia="Garamond" w:hAnsi="Garamond" w:cs="Garamond"/>
          <w:sz w:val="22"/>
          <w:szCs w:val="22"/>
        </w:rPr>
        <w:t xml:space="preserve"> (2023), includes 28 items covering </w:t>
      </w:r>
      <w:r>
        <w:rPr>
          <w:rFonts w:ascii="Garamond" w:eastAsia="Garamond" w:hAnsi="Garamond" w:cs="Garamond"/>
          <w:sz w:val="22"/>
          <w:szCs w:val="22"/>
        </w:rPr>
        <w:t>four academic contexts: classroom exercises, take-home assignments, group tasks, and examinations. Expert validation and pilot testing confirmed the reliability of the scale, with underlying factors showing strong reliability estimates of .78 and above. Th</w:t>
      </w:r>
      <w:r>
        <w:rPr>
          <w:rFonts w:ascii="Garamond" w:eastAsia="Garamond" w:hAnsi="Garamond" w:cs="Garamond"/>
          <w:sz w:val="22"/>
          <w:szCs w:val="22"/>
        </w:rPr>
        <w:t>ese results support the suitability of both instruments for use in this study.</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The data gathering procedure involved obtaining approval from the school administration and the program head. Informed consent was secured from the respondents prior to the dist</w:t>
      </w:r>
      <w:r>
        <w:rPr>
          <w:rFonts w:ascii="Garamond" w:eastAsia="Garamond" w:hAnsi="Garamond" w:cs="Garamond"/>
          <w:sz w:val="22"/>
          <w:szCs w:val="22"/>
        </w:rPr>
        <w:t>ribution of the survey instruments. After collecting the responses, the data were encoded and analyzed.</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Descriptive statistics, such as mean and standard deviation, were used to determine the levels of metacognitive awareness and persistence. Pearson’s cor</w:t>
      </w:r>
      <w:r>
        <w:rPr>
          <w:rFonts w:ascii="Garamond" w:eastAsia="Garamond" w:hAnsi="Garamond" w:cs="Garamond"/>
          <w:sz w:val="22"/>
          <w:szCs w:val="22"/>
        </w:rPr>
        <w:t>relation coefficient was employed to identify the relationships between the two variables, and multiple regression analysis was conducted to determine the extent to which metacognitive awareness influences persistence.</w:t>
      </w:r>
    </w:p>
    <w:p w:rsidR="00345BFA" w:rsidRDefault="007804C9">
      <w:pPr>
        <w:jc w:val="both"/>
        <w:rPr>
          <w:rFonts w:ascii="Garamond" w:eastAsia="Garamond" w:hAnsi="Garamond" w:cs="Garamond"/>
          <w:b/>
          <w:sz w:val="22"/>
          <w:szCs w:val="22"/>
        </w:rPr>
      </w:pPr>
      <w:r>
        <w:rPr>
          <w:rFonts w:ascii="Garamond" w:eastAsia="Garamond" w:hAnsi="Garamond" w:cs="Garamond"/>
          <w:b/>
          <w:sz w:val="22"/>
          <w:szCs w:val="22"/>
        </w:rPr>
        <w:t xml:space="preserve">Results and Discussion </w:t>
      </w:r>
    </w:p>
    <w:p w:rsidR="00345BFA" w:rsidRDefault="007804C9">
      <w:pPr>
        <w:jc w:val="both"/>
        <w:rPr>
          <w:rFonts w:ascii="Garamond" w:eastAsia="Garamond" w:hAnsi="Garamond" w:cs="Garamond"/>
          <w:b/>
          <w:sz w:val="22"/>
          <w:szCs w:val="22"/>
        </w:rPr>
      </w:pPr>
      <w:r>
        <w:rPr>
          <w:rFonts w:ascii="Garamond" w:eastAsia="Garamond" w:hAnsi="Garamond" w:cs="Garamond"/>
          <w:b/>
          <w:sz w:val="22"/>
          <w:szCs w:val="22"/>
        </w:rPr>
        <w:t>Table 1. Descriptive Table</w:t>
      </w:r>
    </w:p>
    <w:tbl>
      <w:tblPr>
        <w:tblStyle w:val="a1"/>
        <w:tblW w:w="9634" w:type="dxa"/>
        <w:jc w:val="center"/>
        <w:tblLayout w:type="fixed"/>
        <w:tblLook w:val="0400" w:firstRow="0" w:lastRow="0" w:firstColumn="0" w:lastColumn="0" w:noHBand="0" w:noVBand="1"/>
      </w:tblPr>
      <w:tblGrid>
        <w:gridCol w:w="4111"/>
        <w:gridCol w:w="1843"/>
        <w:gridCol w:w="1559"/>
        <w:gridCol w:w="2121"/>
      </w:tblGrid>
      <w:tr w:rsidR="00345BFA">
        <w:trPr>
          <w:jc w:val="center"/>
        </w:trPr>
        <w:tc>
          <w:tcPr>
            <w:tcW w:w="4111"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lastRenderedPageBreak/>
              <w:t>Variables and Their Indi</w:t>
            </w:r>
            <w:r>
              <w:rPr>
                <w:rFonts w:ascii="Garamond" w:eastAsia="Garamond" w:hAnsi="Garamond" w:cs="Garamond"/>
                <w:b/>
                <w:color w:val="000000"/>
                <w:sz w:val="22"/>
                <w:szCs w:val="22"/>
                <w:highlight w:val="white"/>
              </w:rPr>
              <w:t>cators</w:t>
            </w:r>
          </w:p>
        </w:tc>
        <w:tc>
          <w:tcPr>
            <w:tcW w:w="1843"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b/>
                <w:color w:val="000000"/>
                <w:sz w:val="22"/>
                <w:szCs w:val="22"/>
              </w:rPr>
              <w:t>Standard Deviation</w:t>
            </w:r>
          </w:p>
        </w:tc>
        <w:tc>
          <w:tcPr>
            <w:tcW w:w="1559"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b/>
                <w:color w:val="000000"/>
                <w:sz w:val="22"/>
                <w:szCs w:val="22"/>
              </w:rPr>
              <w:t>Mean</w:t>
            </w:r>
          </w:p>
        </w:tc>
        <w:tc>
          <w:tcPr>
            <w:tcW w:w="2121"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b/>
                <w:color w:val="000000"/>
                <w:sz w:val="22"/>
                <w:szCs w:val="22"/>
              </w:rPr>
              <w:t>Verbal Description</w:t>
            </w:r>
          </w:p>
        </w:tc>
      </w:tr>
      <w:tr w:rsidR="00345BFA">
        <w:trPr>
          <w:jc w:val="center"/>
        </w:trPr>
        <w:tc>
          <w:tcPr>
            <w:tcW w:w="4111" w:type="dxa"/>
            <w:tcBorders>
              <w:top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rPr>
            </w:pPr>
            <w:r>
              <w:rPr>
                <w:rFonts w:ascii="Garamond" w:eastAsia="Garamond" w:hAnsi="Garamond" w:cs="Garamond"/>
                <w:b/>
                <w:color w:val="000000"/>
                <w:sz w:val="22"/>
                <w:szCs w:val="22"/>
              </w:rPr>
              <w:t>Students Metacognitive Awareness</w:t>
            </w:r>
          </w:p>
        </w:tc>
        <w:tc>
          <w:tcPr>
            <w:tcW w:w="1843" w:type="dxa"/>
            <w:tcBorders>
              <w:top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rPr>
            </w:pPr>
            <w:r>
              <w:rPr>
                <w:rFonts w:ascii="Garamond" w:eastAsia="Garamond" w:hAnsi="Garamond" w:cs="Garamond"/>
                <w:b/>
                <w:color w:val="000000"/>
                <w:sz w:val="22"/>
                <w:szCs w:val="22"/>
              </w:rPr>
              <w:t>.372</w:t>
            </w:r>
          </w:p>
        </w:tc>
        <w:tc>
          <w:tcPr>
            <w:tcW w:w="1559" w:type="dxa"/>
            <w:tcBorders>
              <w:top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rPr>
            </w:pPr>
            <w:r>
              <w:rPr>
                <w:rFonts w:ascii="Garamond" w:eastAsia="Garamond" w:hAnsi="Garamond" w:cs="Garamond"/>
                <w:b/>
                <w:color w:val="000000"/>
                <w:sz w:val="22"/>
                <w:szCs w:val="22"/>
              </w:rPr>
              <w:t>4.31</w:t>
            </w:r>
          </w:p>
        </w:tc>
        <w:tc>
          <w:tcPr>
            <w:tcW w:w="2121" w:type="dxa"/>
            <w:tcBorders>
              <w:top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rPr>
            </w:pPr>
            <w:r>
              <w:rPr>
                <w:rFonts w:ascii="Garamond" w:eastAsia="Garamond" w:hAnsi="Garamond" w:cs="Garamond"/>
                <w:b/>
                <w:color w:val="000000"/>
                <w:sz w:val="22"/>
                <w:szCs w:val="22"/>
              </w:rPr>
              <w:t>Very High</w:t>
            </w:r>
          </w:p>
        </w:tc>
      </w:tr>
      <w:tr w:rsidR="00345BFA">
        <w:trPr>
          <w:jc w:val="center"/>
        </w:trPr>
        <w:tc>
          <w:tcPr>
            <w:tcW w:w="411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color w:val="000000"/>
                <w:sz w:val="22"/>
                <w:szCs w:val="22"/>
                <w:highlight w:val="white"/>
              </w:rPr>
            </w:pPr>
            <w:r>
              <w:rPr>
                <w:rFonts w:ascii="Garamond" w:eastAsia="Garamond" w:hAnsi="Garamond" w:cs="Garamond"/>
                <w:color w:val="000000"/>
                <w:sz w:val="22"/>
                <w:szCs w:val="22"/>
              </w:rPr>
              <w:t xml:space="preserve">      Knowledge Cognition</w:t>
            </w:r>
          </w:p>
        </w:tc>
        <w:tc>
          <w:tcPr>
            <w:tcW w:w="1843"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.415</w:t>
            </w:r>
          </w:p>
        </w:tc>
        <w:tc>
          <w:tcPr>
            <w:tcW w:w="1559"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4.30</w:t>
            </w:r>
          </w:p>
        </w:tc>
        <w:tc>
          <w:tcPr>
            <w:tcW w:w="212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Very High</w:t>
            </w:r>
          </w:p>
        </w:tc>
      </w:tr>
      <w:tr w:rsidR="00345BFA">
        <w:trPr>
          <w:jc w:val="center"/>
        </w:trPr>
        <w:tc>
          <w:tcPr>
            <w:tcW w:w="411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color w:val="000000"/>
                <w:sz w:val="22"/>
                <w:szCs w:val="22"/>
                <w:highlight w:val="white"/>
              </w:rPr>
            </w:pPr>
            <w:r>
              <w:rPr>
                <w:rFonts w:ascii="Garamond" w:eastAsia="Garamond" w:hAnsi="Garamond" w:cs="Garamond"/>
                <w:color w:val="000000"/>
                <w:sz w:val="22"/>
                <w:szCs w:val="22"/>
              </w:rPr>
              <w:t xml:space="preserve">      Regulation of Cognition</w:t>
            </w:r>
          </w:p>
        </w:tc>
        <w:tc>
          <w:tcPr>
            <w:tcW w:w="1843"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.377</w:t>
            </w:r>
          </w:p>
        </w:tc>
        <w:tc>
          <w:tcPr>
            <w:tcW w:w="1559"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4.32</w:t>
            </w:r>
          </w:p>
        </w:tc>
        <w:tc>
          <w:tcPr>
            <w:tcW w:w="212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rPr>
              <w:t>Very High</w:t>
            </w:r>
          </w:p>
        </w:tc>
      </w:tr>
      <w:tr w:rsidR="00345BFA">
        <w:trPr>
          <w:jc w:val="center"/>
        </w:trPr>
        <w:tc>
          <w:tcPr>
            <w:tcW w:w="4111"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highlight w:val="white"/>
              </w:rPr>
            </w:pPr>
            <w:r>
              <w:rPr>
                <w:rFonts w:ascii="Garamond" w:eastAsia="Garamond" w:hAnsi="Garamond" w:cs="Garamond"/>
                <w:b/>
                <w:color w:val="000000"/>
                <w:sz w:val="22"/>
                <w:szCs w:val="22"/>
              </w:rPr>
              <w:t xml:space="preserve">Persistence in Solving Mathematics Problems  </w:t>
            </w:r>
          </w:p>
        </w:tc>
        <w:tc>
          <w:tcPr>
            <w:tcW w:w="1843"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t>.467</w:t>
            </w:r>
          </w:p>
        </w:tc>
        <w:tc>
          <w:tcPr>
            <w:tcW w:w="1559"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t>4.06</w:t>
            </w:r>
          </w:p>
        </w:tc>
        <w:tc>
          <w:tcPr>
            <w:tcW w:w="2121"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t>High</w:t>
            </w:r>
          </w:p>
        </w:tc>
      </w:tr>
      <w:tr w:rsidR="00345BFA">
        <w:trPr>
          <w:jc w:val="center"/>
        </w:trPr>
        <w:tc>
          <w:tcPr>
            <w:tcW w:w="411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rPr>
            </w:pPr>
            <w:r>
              <w:rPr>
                <w:rFonts w:ascii="Garamond" w:eastAsia="Garamond" w:hAnsi="Garamond" w:cs="Garamond"/>
                <w:color w:val="000000"/>
                <w:sz w:val="22"/>
                <w:szCs w:val="22"/>
              </w:rPr>
              <w:t xml:space="preserve">      Classroom exercises</w:t>
            </w:r>
          </w:p>
        </w:tc>
        <w:tc>
          <w:tcPr>
            <w:tcW w:w="1843"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highlight w:val="white"/>
              </w:rPr>
              <w:t>.547</w:t>
            </w:r>
          </w:p>
        </w:tc>
        <w:tc>
          <w:tcPr>
            <w:tcW w:w="1559"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highlight w:val="white"/>
              </w:rPr>
              <w:t>4.02</w:t>
            </w:r>
          </w:p>
        </w:tc>
        <w:tc>
          <w:tcPr>
            <w:tcW w:w="212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High</w:t>
            </w:r>
          </w:p>
        </w:tc>
      </w:tr>
      <w:tr w:rsidR="00345BFA">
        <w:trPr>
          <w:jc w:val="center"/>
        </w:trPr>
        <w:tc>
          <w:tcPr>
            <w:tcW w:w="411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rPr>
            </w:pPr>
            <w:r>
              <w:rPr>
                <w:rFonts w:ascii="Garamond" w:eastAsia="Garamond" w:hAnsi="Garamond" w:cs="Garamond"/>
                <w:color w:val="000000"/>
                <w:sz w:val="22"/>
                <w:szCs w:val="22"/>
              </w:rPr>
              <w:t xml:space="preserve">      Take-home assignments</w:t>
            </w:r>
          </w:p>
        </w:tc>
        <w:tc>
          <w:tcPr>
            <w:tcW w:w="1843"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highlight w:val="white"/>
              </w:rPr>
              <w:t>.676</w:t>
            </w:r>
          </w:p>
        </w:tc>
        <w:tc>
          <w:tcPr>
            <w:tcW w:w="1559"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highlight w:val="white"/>
              </w:rPr>
              <w:t>3.88</w:t>
            </w:r>
          </w:p>
        </w:tc>
        <w:tc>
          <w:tcPr>
            <w:tcW w:w="212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High</w:t>
            </w:r>
          </w:p>
        </w:tc>
      </w:tr>
      <w:tr w:rsidR="00345BFA">
        <w:trPr>
          <w:jc w:val="center"/>
        </w:trPr>
        <w:tc>
          <w:tcPr>
            <w:tcW w:w="411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rPr>
            </w:pPr>
            <w:r>
              <w:rPr>
                <w:rFonts w:ascii="Garamond" w:eastAsia="Garamond" w:hAnsi="Garamond" w:cs="Garamond"/>
                <w:color w:val="000000"/>
                <w:sz w:val="22"/>
                <w:szCs w:val="22"/>
              </w:rPr>
              <w:t xml:space="preserve">      Group tasks</w:t>
            </w:r>
          </w:p>
        </w:tc>
        <w:tc>
          <w:tcPr>
            <w:tcW w:w="1843"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.621</w:t>
            </w:r>
          </w:p>
        </w:tc>
        <w:tc>
          <w:tcPr>
            <w:tcW w:w="1559"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4.06</w:t>
            </w:r>
          </w:p>
        </w:tc>
        <w:tc>
          <w:tcPr>
            <w:tcW w:w="2121" w:type="dxa"/>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High</w:t>
            </w:r>
          </w:p>
        </w:tc>
      </w:tr>
      <w:tr w:rsidR="00345BFA">
        <w:trPr>
          <w:jc w:val="center"/>
        </w:trPr>
        <w:tc>
          <w:tcPr>
            <w:tcW w:w="4111" w:type="dxa"/>
            <w:tcBorders>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rPr>
                <w:rFonts w:ascii="Garamond" w:eastAsia="Garamond" w:hAnsi="Garamond" w:cs="Garamond"/>
                <w:b/>
                <w:color w:val="000000"/>
                <w:sz w:val="22"/>
                <w:szCs w:val="22"/>
              </w:rPr>
            </w:pPr>
            <w:r>
              <w:rPr>
                <w:rFonts w:ascii="Garamond" w:eastAsia="Garamond" w:hAnsi="Garamond" w:cs="Garamond"/>
                <w:color w:val="000000"/>
                <w:sz w:val="22"/>
                <w:szCs w:val="22"/>
              </w:rPr>
              <w:t xml:space="preserve">      Examination</w:t>
            </w:r>
          </w:p>
        </w:tc>
        <w:tc>
          <w:tcPr>
            <w:tcW w:w="1843" w:type="dxa"/>
            <w:tcBorders>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.482</w:t>
            </w:r>
          </w:p>
        </w:tc>
        <w:tc>
          <w:tcPr>
            <w:tcW w:w="1559" w:type="dxa"/>
            <w:tcBorders>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4.29</w:t>
            </w:r>
          </w:p>
        </w:tc>
        <w:tc>
          <w:tcPr>
            <w:tcW w:w="2121" w:type="dxa"/>
            <w:tcBorders>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color w:val="000000"/>
                <w:sz w:val="22"/>
                <w:szCs w:val="22"/>
              </w:rPr>
              <w:t>Very High</w:t>
            </w:r>
          </w:p>
        </w:tc>
      </w:tr>
    </w:tbl>
    <w:p w:rsidR="00345BFA" w:rsidRDefault="00345BFA">
      <w:pPr>
        <w:ind w:firstLine="720"/>
        <w:jc w:val="both"/>
        <w:rPr>
          <w:rFonts w:ascii="Garamond" w:eastAsia="Garamond" w:hAnsi="Garamond" w:cs="Garamond"/>
          <w:sz w:val="22"/>
          <w:szCs w:val="22"/>
        </w:rPr>
      </w:pP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Table 1 shows high mean scores for both metacognitive awareness and persistence in solving mathematical problems. The mean score for Knowledge of Cognition was 4.30, while Regulation of Cognition yielded a slightly higher average of 4.32. The relatively lo</w:t>
      </w:r>
      <w:r>
        <w:rPr>
          <w:rFonts w:ascii="Garamond" w:eastAsia="Garamond" w:hAnsi="Garamond" w:cs="Garamond"/>
          <w:sz w:val="22"/>
          <w:szCs w:val="22"/>
        </w:rPr>
        <w:t>w standard deviations across these measures further suggest a strong consistency in students’ responses, reflecting a shared sense of self-efficacy in applying metacognitive approaches to learning. The overall mean of 4.31 indicates that students generally</w:t>
      </w:r>
      <w:r>
        <w:rPr>
          <w:rFonts w:ascii="Garamond" w:eastAsia="Garamond" w:hAnsi="Garamond" w:cs="Garamond"/>
          <w:sz w:val="22"/>
          <w:szCs w:val="22"/>
        </w:rPr>
        <w:t xml:space="preserve"> perceive themselves as highly aware of their learning processes and confident in their ability to manage and regulate their cognitive strategies. </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 xml:space="preserve">On the other hand, students demonstrate a high degree of persistence in solving mathematics problems across </w:t>
      </w:r>
      <w:r>
        <w:rPr>
          <w:rFonts w:ascii="Garamond" w:eastAsia="Garamond" w:hAnsi="Garamond" w:cs="Garamond"/>
          <w:sz w:val="22"/>
          <w:szCs w:val="22"/>
        </w:rPr>
        <w:t>different academic contexts. The highest mean score was garnered in mathematics examinations with a mean score of 4.29. The take-home assignments garnered the lowest mean score of 3.88. The standard deviations indicate moderate variability in students' res</w:t>
      </w:r>
      <w:r>
        <w:rPr>
          <w:rFonts w:ascii="Garamond" w:eastAsia="Garamond" w:hAnsi="Garamond" w:cs="Garamond"/>
          <w:sz w:val="22"/>
          <w:szCs w:val="22"/>
        </w:rPr>
        <w:t xml:space="preserve">ponses. The overall mean of 4.06 suggests that students, on average, put a strong effort and remain resolute, specifically during exams, which shows the most persistence. </w:t>
      </w:r>
    </w:p>
    <w:p w:rsidR="00345BFA" w:rsidRDefault="007804C9">
      <w:pPr>
        <w:tabs>
          <w:tab w:val="center" w:pos="4680"/>
          <w:tab w:val="right" w:pos="9360"/>
        </w:tabs>
        <w:spacing w:line="240" w:lineRule="auto"/>
        <w:rPr>
          <w:rFonts w:ascii="Garamond" w:eastAsia="Garamond" w:hAnsi="Garamond" w:cs="Garamond"/>
          <w:b/>
          <w:sz w:val="22"/>
          <w:szCs w:val="22"/>
        </w:rPr>
      </w:pPr>
      <w:bookmarkStart w:id="5" w:name="_heading=h.nz6ljwyi43g2" w:colFirst="0" w:colLast="0"/>
      <w:bookmarkEnd w:id="5"/>
      <w:r>
        <w:rPr>
          <w:rFonts w:ascii="Garamond" w:eastAsia="Garamond" w:hAnsi="Garamond" w:cs="Garamond"/>
          <w:b/>
          <w:sz w:val="22"/>
          <w:szCs w:val="22"/>
        </w:rPr>
        <w:t>Table 2.  Test of Relationship</w:t>
      </w: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559"/>
        <w:gridCol w:w="1559"/>
        <w:gridCol w:w="1701"/>
        <w:gridCol w:w="1418"/>
      </w:tblGrid>
      <w:tr w:rsidR="00345BFA">
        <w:tc>
          <w:tcPr>
            <w:tcW w:w="3114" w:type="dxa"/>
            <w:vMerge w:val="restart"/>
            <w:tcBorders>
              <w:top w:val="single" w:sz="4" w:space="0" w:color="000000"/>
              <w:left w:val="nil"/>
              <w:bottom w:val="nil"/>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Independent Variable</w:t>
            </w:r>
          </w:p>
        </w:tc>
        <w:tc>
          <w:tcPr>
            <w:tcW w:w="6237" w:type="dxa"/>
            <w:gridSpan w:val="4"/>
            <w:tcBorders>
              <w:top w:val="single" w:sz="4" w:space="0" w:color="000000"/>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rPr>
              <w:t>Persistence in Solving Mathemati</w:t>
            </w:r>
            <w:r>
              <w:rPr>
                <w:rFonts w:ascii="Garamond" w:eastAsia="Garamond" w:hAnsi="Garamond" w:cs="Garamond"/>
                <w:b/>
                <w:sz w:val="22"/>
                <w:szCs w:val="22"/>
              </w:rPr>
              <w:t>cal Problems</w:t>
            </w:r>
          </w:p>
        </w:tc>
      </w:tr>
      <w:tr w:rsidR="00345BFA">
        <w:tc>
          <w:tcPr>
            <w:tcW w:w="3114" w:type="dxa"/>
            <w:vMerge/>
            <w:tcBorders>
              <w:top w:val="single" w:sz="4" w:space="0" w:color="000000"/>
              <w:left w:val="nil"/>
              <w:bottom w:val="nil"/>
              <w:right w:val="nil"/>
            </w:tcBorders>
          </w:tcPr>
          <w:p w:rsidR="00345BFA" w:rsidRDefault="00345BFA">
            <w:pPr>
              <w:widowControl w:val="0"/>
              <w:pBdr>
                <w:top w:val="nil"/>
                <w:left w:val="nil"/>
                <w:bottom w:val="nil"/>
                <w:right w:val="nil"/>
                <w:between w:val="nil"/>
              </w:pBdr>
              <w:spacing w:after="0" w:line="276" w:lineRule="auto"/>
              <w:rPr>
                <w:rFonts w:ascii="Garamond" w:eastAsia="Garamond" w:hAnsi="Garamond" w:cs="Garamond"/>
                <w:b/>
                <w:sz w:val="22"/>
                <w:szCs w:val="22"/>
                <w:highlight w:val="white"/>
              </w:rPr>
            </w:pPr>
          </w:p>
        </w:tc>
        <w:tc>
          <w:tcPr>
            <w:tcW w:w="1559" w:type="dxa"/>
            <w:tcBorders>
              <w:top w:val="single" w:sz="4" w:space="0" w:color="000000"/>
              <w:left w:val="nil"/>
              <w:bottom w:val="nil"/>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R-value</w:t>
            </w:r>
          </w:p>
        </w:tc>
        <w:tc>
          <w:tcPr>
            <w:tcW w:w="1559" w:type="dxa"/>
            <w:tcBorders>
              <w:top w:val="single" w:sz="4" w:space="0" w:color="000000"/>
              <w:left w:val="nil"/>
              <w:bottom w:val="nil"/>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p-value</w:t>
            </w:r>
          </w:p>
        </w:tc>
        <w:tc>
          <w:tcPr>
            <w:tcW w:w="1701" w:type="dxa"/>
            <w:tcBorders>
              <w:top w:val="single" w:sz="4" w:space="0" w:color="000000"/>
              <w:left w:val="nil"/>
              <w:bottom w:val="nil"/>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Decision on Ho</w:t>
            </w:r>
          </w:p>
        </w:tc>
        <w:tc>
          <w:tcPr>
            <w:tcW w:w="1418" w:type="dxa"/>
            <w:tcBorders>
              <w:top w:val="single" w:sz="4" w:space="0" w:color="000000"/>
              <w:left w:val="nil"/>
              <w:bottom w:val="nil"/>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Remarks</w:t>
            </w:r>
          </w:p>
        </w:tc>
      </w:tr>
      <w:tr w:rsidR="00345BFA">
        <w:tc>
          <w:tcPr>
            <w:tcW w:w="3114" w:type="dxa"/>
            <w:tcBorders>
              <w:top w:val="nil"/>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b/>
                <w:sz w:val="22"/>
                <w:szCs w:val="22"/>
                <w:highlight w:val="white"/>
              </w:rPr>
            </w:pPr>
            <w:r>
              <w:rPr>
                <w:rFonts w:ascii="Garamond" w:eastAsia="Garamond" w:hAnsi="Garamond" w:cs="Garamond"/>
                <w:b/>
                <w:sz w:val="22"/>
                <w:szCs w:val="22"/>
              </w:rPr>
              <w:t>Metacognitive Awareness</w:t>
            </w:r>
          </w:p>
        </w:tc>
        <w:tc>
          <w:tcPr>
            <w:tcW w:w="1559" w:type="dxa"/>
            <w:tcBorders>
              <w:top w:val="nil"/>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.528</w:t>
            </w:r>
          </w:p>
        </w:tc>
        <w:tc>
          <w:tcPr>
            <w:tcW w:w="1559" w:type="dxa"/>
            <w:tcBorders>
              <w:top w:val="nil"/>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.000</w:t>
            </w:r>
          </w:p>
        </w:tc>
        <w:tc>
          <w:tcPr>
            <w:tcW w:w="1701" w:type="dxa"/>
            <w:tcBorders>
              <w:top w:val="nil"/>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Rejected</w:t>
            </w:r>
          </w:p>
        </w:tc>
        <w:tc>
          <w:tcPr>
            <w:tcW w:w="1418" w:type="dxa"/>
            <w:tcBorders>
              <w:top w:val="nil"/>
              <w:left w:val="nil"/>
              <w:bottom w:val="single" w:sz="4" w:space="0" w:color="000000"/>
              <w:right w:val="nil"/>
            </w:tcBorders>
          </w:tcPr>
          <w:p w:rsidR="00345BFA" w:rsidRDefault="007804C9">
            <w:pPr>
              <w:tabs>
                <w:tab w:val="center" w:pos="4680"/>
                <w:tab w:val="right" w:pos="9360"/>
              </w:tabs>
              <w:spacing w:after="0"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Significant</w:t>
            </w:r>
          </w:p>
        </w:tc>
      </w:tr>
    </w:tbl>
    <w:p w:rsidR="00345BFA" w:rsidRDefault="00345BFA">
      <w:pPr>
        <w:tabs>
          <w:tab w:val="center" w:pos="4680"/>
          <w:tab w:val="right" w:pos="9360"/>
        </w:tabs>
        <w:spacing w:line="276" w:lineRule="auto"/>
        <w:jc w:val="both"/>
        <w:rPr>
          <w:rFonts w:ascii="Garamond" w:eastAsia="Garamond" w:hAnsi="Garamond" w:cs="Garamond"/>
          <w:sz w:val="22"/>
          <w:szCs w:val="22"/>
        </w:rPr>
      </w:pPr>
    </w:p>
    <w:p w:rsidR="00345BFA" w:rsidRDefault="007804C9">
      <w:pPr>
        <w:tabs>
          <w:tab w:val="center" w:pos="4680"/>
          <w:tab w:val="right" w:pos="9360"/>
        </w:tabs>
        <w:spacing w:line="276" w:lineRule="auto"/>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 xml:space="preserve">        Table 2 shows the statistical correlation between metacognitive awareness and students' persistence in solving mathematical problems. The results indicate a significant positive relationship, with a computed Pearson correlation coefficient (R-value</w:t>
      </w:r>
      <w:r>
        <w:rPr>
          <w:rFonts w:ascii="Garamond" w:eastAsia="Garamond" w:hAnsi="Garamond" w:cs="Garamond"/>
          <w:sz w:val="22"/>
          <w:szCs w:val="22"/>
        </w:rPr>
        <w:t>) of .528 and a p-value of .000. Since the p-value is less than the standard significance level of 0.05, the null hypothesis is rejected, indicating that metacognitive awareness has a statistically significant relationship on students' persistence in mathe</w:t>
      </w:r>
      <w:r>
        <w:rPr>
          <w:rFonts w:ascii="Garamond" w:eastAsia="Garamond" w:hAnsi="Garamond" w:cs="Garamond"/>
          <w:sz w:val="22"/>
          <w:szCs w:val="22"/>
        </w:rPr>
        <w:t>matical tasks.</w:t>
      </w:r>
      <w:r>
        <w:rPr>
          <w:rFonts w:ascii="Garamond" w:eastAsia="Garamond" w:hAnsi="Garamond" w:cs="Garamond"/>
          <w:sz w:val="22"/>
          <w:szCs w:val="22"/>
          <w:highlight w:val="white"/>
        </w:rPr>
        <w:tab/>
        <w:t xml:space="preserve">          </w:t>
      </w:r>
    </w:p>
    <w:p w:rsidR="00345BFA" w:rsidRDefault="007804C9">
      <w:pPr>
        <w:tabs>
          <w:tab w:val="center" w:pos="4680"/>
          <w:tab w:val="right" w:pos="9360"/>
        </w:tabs>
        <w:spacing w:line="240" w:lineRule="auto"/>
        <w:rPr>
          <w:rFonts w:ascii="Garamond" w:eastAsia="Garamond" w:hAnsi="Garamond" w:cs="Garamond"/>
          <w:b/>
          <w:sz w:val="22"/>
          <w:szCs w:val="22"/>
          <w:highlight w:val="white"/>
        </w:rPr>
      </w:pPr>
      <w:r>
        <w:rPr>
          <w:rFonts w:ascii="Garamond" w:eastAsia="Garamond" w:hAnsi="Garamond" w:cs="Garamond"/>
          <w:b/>
          <w:color w:val="000000"/>
          <w:sz w:val="22"/>
          <w:szCs w:val="22"/>
        </w:rPr>
        <w:t>Table 3. Regression Table</w:t>
      </w:r>
    </w:p>
    <w:tbl>
      <w:tblPr>
        <w:tblStyle w:val="a3"/>
        <w:tblW w:w="9350" w:type="dxa"/>
        <w:tblLayout w:type="fixed"/>
        <w:tblLook w:val="0400" w:firstRow="0" w:lastRow="0" w:firstColumn="0" w:lastColumn="0" w:noHBand="0" w:noVBand="1"/>
      </w:tblPr>
      <w:tblGrid>
        <w:gridCol w:w="2970"/>
        <w:gridCol w:w="1141"/>
        <w:gridCol w:w="1134"/>
        <w:gridCol w:w="1134"/>
        <w:gridCol w:w="1559"/>
        <w:gridCol w:w="1412"/>
      </w:tblGrid>
      <w:tr w:rsidR="00345BFA">
        <w:tc>
          <w:tcPr>
            <w:tcW w:w="2970" w:type="dxa"/>
            <w:vMerge w:val="restart"/>
            <w:tcBorders>
              <w:top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rPr>
                <w:rFonts w:ascii="Garamond" w:eastAsia="Garamond" w:hAnsi="Garamond" w:cs="Garamond"/>
                <w:color w:val="000000"/>
                <w:sz w:val="22"/>
                <w:szCs w:val="22"/>
              </w:rPr>
            </w:pPr>
          </w:p>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Independent Variable</w:t>
            </w:r>
          </w:p>
        </w:tc>
        <w:tc>
          <w:tcPr>
            <w:tcW w:w="6380" w:type="dxa"/>
            <w:gridSpan w:val="5"/>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rPr>
            </w:pPr>
            <w:bookmarkStart w:id="6" w:name="_heading=h.w57umgt5pbmw" w:colFirst="0" w:colLast="0"/>
            <w:bookmarkEnd w:id="6"/>
            <w:r>
              <w:rPr>
                <w:rFonts w:ascii="Garamond" w:eastAsia="Garamond" w:hAnsi="Garamond" w:cs="Garamond"/>
                <w:b/>
                <w:color w:val="000000"/>
                <w:sz w:val="22"/>
                <w:szCs w:val="22"/>
              </w:rPr>
              <w:t xml:space="preserve">Persistence in Solving Mathematical Problems </w:t>
            </w:r>
          </w:p>
        </w:tc>
      </w:tr>
      <w:tr w:rsidR="00345BFA">
        <w:trPr>
          <w:trHeight w:val="298"/>
        </w:trPr>
        <w:tc>
          <w:tcPr>
            <w:tcW w:w="2970" w:type="dxa"/>
            <w:vMerge/>
            <w:tcBorders>
              <w:top w:val="single" w:sz="4" w:space="0" w:color="000000"/>
            </w:tcBorders>
            <w:tcMar>
              <w:top w:w="0" w:type="dxa"/>
              <w:left w:w="108" w:type="dxa"/>
              <w:bottom w:w="0" w:type="dxa"/>
              <w:right w:w="108" w:type="dxa"/>
            </w:tcMar>
          </w:tcPr>
          <w:p w:rsidR="00345BFA" w:rsidRDefault="00345BFA">
            <w:pPr>
              <w:widowControl w:val="0"/>
              <w:pBdr>
                <w:top w:val="nil"/>
                <w:left w:val="nil"/>
                <w:bottom w:val="nil"/>
                <w:right w:val="nil"/>
                <w:between w:val="nil"/>
              </w:pBdr>
              <w:spacing w:after="0" w:line="276" w:lineRule="auto"/>
              <w:rPr>
                <w:rFonts w:ascii="Garamond" w:eastAsia="Garamond" w:hAnsi="Garamond" w:cs="Garamond"/>
                <w:b/>
                <w:color w:val="000000"/>
                <w:sz w:val="22"/>
                <w:szCs w:val="22"/>
              </w:rPr>
            </w:pPr>
          </w:p>
        </w:tc>
        <w:tc>
          <w:tcPr>
            <w:tcW w:w="1141"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rPr>
              <w:t>R</w:t>
            </w:r>
            <w:r>
              <w:rPr>
                <w:rFonts w:ascii="Garamond" w:eastAsia="Garamond" w:hAnsi="Garamond" w:cs="Garamond"/>
                <w:b/>
                <w:color w:val="000000"/>
                <w:sz w:val="22"/>
                <w:szCs w:val="22"/>
                <w:vertAlign w:val="superscript"/>
              </w:rPr>
              <w:t>2</w:t>
            </w:r>
            <w:r>
              <w:rPr>
                <w:rFonts w:ascii="Garamond" w:eastAsia="Garamond" w:hAnsi="Garamond" w:cs="Garamond"/>
                <w:b/>
                <w:color w:val="000000"/>
                <w:sz w:val="22"/>
                <w:szCs w:val="22"/>
              </w:rPr>
              <w:t>-value</w:t>
            </w:r>
          </w:p>
        </w:tc>
        <w:tc>
          <w:tcPr>
            <w:tcW w:w="1134"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rPr>
              <w:t>F-Value</w:t>
            </w:r>
          </w:p>
        </w:tc>
        <w:tc>
          <w:tcPr>
            <w:tcW w:w="1134"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rPr>
              <w:t>p-value</w:t>
            </w:r>
          </w:p>
        </w:tc>
        <w:tc>
          <w:tcPr>
            <w:tcW w:w="1559" w:type="dxa"/>
            <w:tcBorders>
              <w:top w:val="single" w:sz="4" w:space="0" w:color="000000"/>
              <w:bottom w:val="single" w:sz="4" w:space="0" w:color="000000"/>
            </w:tcBorders>
            <w:tcMar>
              <w:top w:w="0" w:type="dxa"/>
              <w:left w:w="108" w:type="dxa"/>
              <w:bottom w:w="0" w:type="dxa"/>
              <w:right w:w="108" w:type="dxa"/>
            </w:tcMar>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t>Decision on Ho</w:t>
            </w:r>
          </w:p>
        </w:tc>
        <w:tc>
          <w:tcPr>
            <w:tcW w:w="1412" w:type="dxa"/>
            <w:tcBorders>
              <w:top w:val="single" w:sz="4" w:space="0" w:color="000000"/>
              <w:bottom w:val="single" w:sz="4" w:space="0" w:color="000000"/>
            </w:tcBorders>
          </w:tcPr>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highlight w:val="white"/>
              </w:rPr>
              <w:t>Remarks</w:t>
            </w:r>
          </w:p>
        </w:tc>
      </w:tr>
      <w:tr w:rsidR="00345BFA">
        <w:tc>
          <w:tcPr>
            <w:tcW w:w="2970"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b/>
                <w:color w:val="000000"/>
                <w:sz w:val="22"/>
                <w:szCs w:val="22"/>
              </w:rPr>
            </w:pPr>
          </w:p>
          <w:p w:rsidR="00345BFA" w:rsidRDefault="007804C9">
            <w:pPr>
              <w:pBdr>
                <w:top w:val="nil"/>
                <w:left w:val="nil"/>
                <w:bottom w:val="nil"/>
                <w:right w:val="nil"/>
                <w:between w:val="nil"/>
              </w:pBdr>
              <w:spacing w:after="0" w:line="240" w:lineRule="auto"/>
              <w:jc w:val="center"/>
              <w:rPr>
                <w:rFonts w:ascii="Garamond" w:eastAsia="Garamond" w:hAnsi="Garamond" w:cs="Garamond"/>
                <w:b/>
                <w:color w:val="000000"/>
                <w:sz w:val="22"/>
                <w:szCs w:val="22"/>
                <w:highlight w:val="white"/>
              </w:rPr>
            </w:pPr>
            <w:r>
              <w:rPr>
                <w:rFonts w:ascii="Garamond" w:eastAsia="Garamond" w:hAnsi="Garamond" w:cs="Garamond"/>
                <w:b/>
                <w:color w:val="000000"/>
                <w:sz w:val="22"/>
                <w:szCs w:val="22"/>
              </w:rPr>
              <w:t>Metacognitive Awareness</w:t>
            </w:r>
          </w:p>
        </w:tc>
        <w:tc>
          <w:tcPr>
            <w:tcW w:w="1141"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27.90%</w:t>
            </w:r>
          </w:p>
        </w:tc>
        <w:tc>
          <w:tcPr>
            <w:tcW w:w="1134"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37.9</w:t>
            </w:r>
          </w:p>
        </w:tc>
        <w:tc>
          <w:tcPr>
            <w:tcW w:w="1134"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.000</w:t>
            </w:r>
          </w:p>
        </w:tc>
        <w:tc>
          <w:tcPr>
            <w:tcW w:w="1559" w:type="dxa"/>
            <w:tcBorders>
              <w:top w:val="single" w:sz="4" w:space="0" w:color="000000"/>
              <w:bottom w:val="single" w:sz="4" w:space="0" w:color="000000"/>
            </w:tcBorders>
            <w:tcMar>
              <w:top w:w="0" w:type="dxa"/>
              <w:left w:w="108" w:type="dxa"/>
              <w:bottom w:w="0" w:type="dxa"/>
              <w:right w:w="108" w:type="dxa"/>
            </w:tcMar>
          </w:tcPr>
          <w:p w:rsidR="00345BFA" w:rsidRDefault="00345BFA">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Rejected</w:t>
            </w:r>
          </w:p>
        </w:tc>
        <w:tc>
          <w:tcPr>
            <w:tcW w:w="1412" w:type="dxa"/>
            <w:tcBorders>
              <w:top w:val="single" w:sz="4" w:space="0" w:color="000000"/>
              <w:bottom w:val="single" w:sz="4" w:space="0" w:color="000000"/>
            </w:tcBorders>
          </w:tcPr>
          <w:p w:rsidR="00345BFA" w:rsidRDefault="00345BFA">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p>
          <w:p w:rsidR="00345BFA" w:rsidRDefault="007804C9">
            <w:pPr>
              <w:pBdr>
                <w:top w:val="nil"/>
                <w:left w:val="nil"/>
                <w:bottom w:val="nil"/>
                <w:right w:val="nil"/>
                <w:between w:val="nil"/>
              </w:pBdr>
              <w:spacing w:after="0" w:line="240" w:lineRule="auto"/>
              <w:jc w:val="center"/>
              <w:rPr>
                <w:rFonts w:ascii="Garamond" w:eastAsia="Garamond" w:hAnsi="Garamond" w:cs="Garamond"/>
                <w:color w:val="000000"/>
                <w:sz w:val="22"/>
                <w:szCs w:val="22"/>
                <w:highlight w:val="white"/>
              </w:rPr>
            </w:pPr>
            <w:r>
              <w:rPr>
                <w:rFonts w:ascii="Garamond" w:eastAsia="Garamond" w:hAnsi="Garamond" w:cs="Garamond"/>
                <w:color w:val="000000"/>
                <w:sz w:val="22"/>
                <w:szCs w:val="22"/>
                <w:highlight w:val="white"/>
              </w:rPr>
              <w:t>Significant</w:t>
            </w:r>
          </w:p>
        </w:tc>
      </w:tr>
    </w:tbl>
    <w:p w:rsidR="00345BFA" w:rsidRDefault="007804C9">
      <w:pPr>
        <w:spacing w:before="240" w:after="240"/>
        <w:ind w:firstLine="720"/>
        <w:jc w:val="both"/>
        <w:rPr>
          <w:rFonts w:ascii="Garamond" w:eastAsia="Garamond" w:hAnsi="Garamond" w:cs="Garamond"/>
          <w:sz w:val="22"/>
          <w:szCs w:val="22"/>
        </w:rPr>
      </w:pPr>
      <w:r>
        <w:rPr>
          <w:rFonts w:ascii="Garamond" w:eastAsia="Garamond" w:hAnsi="Garamond" w:cs="Garamond"/>
          <w:sz w:val="22"/>
          <w:szCs w:val="22"/>
        </w:rPr>
        <w:lastRenderedPageBreak/>
        <w:t>Table 3 presents the results of the regression, that metacognitive awareness is a significant predictor of students' persistence in solving mathematical problems. The R² value of 27.90%, nearly a third of the variation in persistence for students, can be a</w:t>
      </w:r>
      <w:r>
        <w:rPr>
          <w:rFonts w:ascii="Garamond" w:eastAsia="Garamond" w:hAnsi="Garamond" w:cs="Garamond"/>
          <w:sz w:val="22"/>
          <w:szCs w:val="22"/>
        </w:rPr>
        <w:t>ttributed to their level of metacognitive awareness. With an F-value of 37.9 and a p-value of .000, the result is statistically significant, leading to rejection of the null hypothesis (Ho). This provides evidence that students with better metacognitive aw</w:t>
      </w:r>
      <w:r>
        <w:rPr>
          <w:rFonts w:ascii="Garamond" w:eastAsia="Garamond" w:hAnsi="Garamond" w:cs="Garamond"/>
          <w:sz w:val="22"/>
          <w:szCs w:val="22"/>
        </w:rPr>
        <w:t>areness concerning mathematics are more persistent in solving mathematical problems.</w:t>
      </w:r>
      <w:r>
        <w:t xml:space="preserve"> </w:t>
      </w:r>
      <w:r>
        <w:rPr>
          <w:rFonts w:ascii="Garamond" w:eastAsia="Garamond" w:hAnsi="Garamond" w:cs="Garamond"/>
          <w:sz w:val="22"/>
          <w:szCs w:val="22"/>
        </w:rPr>
        <w:t>However, the remaining 72.1% of the variance may be explained by other unexamined variables, underscoring the importance of exploring additional factors that influence mat</w:t>
      </w:r>
      <w:r>
        <w:rPr>
          <w:rFonts w:ascii="Garamond" w:eastAsia="Garamond" w:hAnsi="Garamond" w:cs="Garamond"/>
          <w:sz w:val="22"/>
          <w:szCs w:val="22"/>
        </w:rPr>
        <w:t>hematical performance.</w:t>
      </w:r>
    </w:p>
    <w:p w:rsidR="00345BFA" w:rsidRDefault="007804C9" w:rsidP="00232EA0">
      <w:pPr>
        <w:spacing w:before="240" w:after="240"/>
        <w:ind w:firstLine="720"/>
        <w:jc w:val="both"/>
        <w:rPr>
          <w:rFonts w:ascii="Garamond" w:eastAsia="Garamond" w:hAnsi="Garamond" w:cs="Garamond"/>
          <w:sz w:val="22"/>
          <w:szCs w:val="22"/>
        </w:rPr>
      </w:pPr>
      <w:r>
        <w:rPr>
          <w:rFonts w:ascii="Garamond" w:eastAsia="Garamond" w:hAnsi="Garamond" w:cs="Garamond"/>
          <w:sz w:val="22"/>
          <w:szCs w:val="22"/>
        </w:rPr>
        <w:t xml:space="preserve">The study revealed that students demonstrated very high levels of metacognitive awareness, both in terms of knowledge about cognition and regulation of cognition. This indicates their strong ability to monitor, control, </w:t>
      </w:r>
      <w:r>
        <w:rPr>
          <w:rFonts w:ascii="Garamond" w:eastAsia="Garamond" w:hAnsi="Garamond" w:cs="Garamond"/>
          <w:sz w:val="22"/>
          <w:szCs w:val="22"/>
        </w:rPr>
        <w:t>and plan their thinking processes are essential skills in tackling complex learning tasks such as mathematical problem-solving. These findings support the work of Bakar and Ismail (2019), who found that metacognitive strategies positively influence student</w:t>
      </w:r>
      <w:r>
        <w:rPr>
          <w:rFonts w:ascii="Garamond" w:eastAsia="Garamond" w:hAnsi="Garamond" w:cs="Garamond"/>
          <w:sz w:val="22"/>
          <w:szCs w:val="22"/>
        </w:rPr>
        <w:t xml:space="preserve"> learning outcomes, and </w:t>
      </w:r>
      <w:proofErr w:type="spellStart"/>
      <w:r>
        <w:rPr>
          <w:rFonts w:ascii="Garamond" w:eastAsia="Garamond" w:hAnsi="Garamond" w:cs="Garamond"/>
          <w:sz w:val="22"/>
          <w:szCs w:val="22"/>
        </w:rPr>
        <w:t>Guner</w:t>
      </w:r>
      <w:proofErr w:type="spellEnd"/>
      <w:r>
        <w:rPr>
          <w:rFonts w:ascii="Garamond" w:eastAsia="Garamond" w:hAnsi="Garamond" w:cs="Garamond"/>
          <w:sz w:val="22"/>
          <w:szCs w:val="22"/>
        </w:rPr>
        <w:t xml:space="preserve"> and </w:t>
      </w:r>
      <w:proofErr w:type="spellStart"/>
      <w:r>
        <w:rPr>
          <w:rFonts w:ascii="Garamond" w:eastAsia="Garamond" w:hAnsi="Garamond" w:cs="Garamond"/>
          <w:sz w:val="22"/>
          <w:szCs w:val="22"/>
        </w:rPr>
        <w:t>Erbay</w:t>
      </w:r>
      <w:proofErr w:type="spellEnd"/>
      <w:r>
        <w:rPr>
          <w:rFonts w:ascii="Garamond" w:eastAsia="Garamond" w:hAnsi="Garamond" w:cs="Garamond"/>
          <w:sz w:val="22"/>
          <w:szCs w:val="22"/>
        </w:rPr>
        <w:t xml:space="preserve"> (2021), who emphasized that these skills are not innate but can be taught and developed through intentional instruction. In addition to metacognitive awareness, students also exhibited high persistence in solving mat</w:t>
      </w:r>
      <w:r>
        <w:rPr>
          <w:rFonts w:ascii="Garamond" w:eastAsia="Garamond" w:hAnsi="Garamond" w:cs="Garamond"/>
          <w:sz w:val="22"/>
          <w:szCs w:val="22"/>
        </w:rPr>
        <w:t xml:space="preserve">hematical problems, with the highest levels observed during examination settings. This suggests a strong sense of motivation and commitment to overcoming academic challenges. The findings are consistent with </w:t>
      </w:r>
      <w:proofErr w:type="spellStart"/>
      <w:r>
        <w:rPr>
          <w:rFonts w:ascii="Garamond" w:eastAsia="Garamond" w:hAnsi="Garamond" w:cs="Garamond"/>
          <w:sz w:val="22"/>
          <w:szCs w:val="22"/>
        </w:rPr>
        <w:t>Sultanova</w:t>
      </w:r>
      <w:proofErr w:type="spellEnd"/>
      <w:r>
        <w:rPr>
          <w:rFonts w:ascii="Garamond" w:eastAsia="Garamond" w:hAnsi="Garamond" w:cs="Garamond"/>
          <w:sz w:val="22"/>
          <w:szCs w:val="22"/>
        </w:rPr>
        <w:t xml:space="preserve"> et al. (2024), who emphasized the role</w:t>
      </w:r>
      <w:r>
        <w:rPr>
          <w:rFonts w:ascii="Garamond" w:eastAsia="Garamond" w:hAnsi="Garamond" w:cs="Garamond"/>
          <w:sz w:val="22"/>
          <w:szCs w:val="22"/>
        </w:rPr>
        <w:t xml:space="preserve"> of persistence as a critical component of academic resilience, and with </w:t>
      </w:r>
      <w:proofErr w:type="spellStart"/>
      <w:r>
        <w:rPr>
          <w:rFonts w:ascii="Garamond" w:eastAsia="Garamond" w:hAnsi="Garamond" w:cs="Garamond"/>
          <w:sz w:val="22"/>
          <w:szCs w:val="22"/>
        </w:rPr>
        <w:t>Mazana</w:t>
      </w:r>
      <w:proofErr w:type="spellEnd"/>
      <w:r>
        <w:rPr>
          <w:rFonts w:ascii="Garamond" w:eastAsia="Garamond" w:hAnsi="Garamond" w:cs="Garamond"/>
          <w:sz w:val="22"/>
          <w:szCs w:val="22"/>
        </w:rPr>
        <w:t xml:space="preserve"> (2019), who reported that persistent students tend to engage more deeply with learning tasks, ultimately improving their academic performance.</w:t>
      </w:r>
    </w:p>
    <w:p w:rsidR="00345BFA" w:rsidRDefault="007804C9">
      <w:pPr>
        <w:spacing w:before="240" w:after="240"/>
        <w:ind w:firstLine="720"/>
        <w:jc w:val="both"/>
        <w:rPr>
          <w:rFonts w:ascii="Garamond" w:eastAsia="Garamond" w:hAnsi="Garamond" w:cs="Garamond"/>
          <w:sz w:val="22"/>
          <w:szCs w:val="22"/>
        </w:rPr>
      </w:pPr>
      <w:r>
        <w:rPr>
          <w:rFonts w:ascii="Garamond" w:eastAsia="Garamond" w:hAnsi="Garamond" w:cs="Garamond"/>
          <w:sz w:val="22"/>
          <w:szCs w:val="22"/>
        </w:rPr>
        <w:t>Correlation analysis revealed a s</w:t>
      </w:r>
      <w:r>
        <w:rPr>
          <w:rFonts w:ascii="Garamond" w:eastAsia="Garamond" w:hAnsi="Garamond" w:cs="Garamond"/>
          <w:sz w:val="22"/>
          <w:szCs w:val="22"/>
        </w:rPr>
        <w:t xml:space="preserve">ignificant positive relationship between metacognitive awareness and persistence, suggesting that students with higher metacognitive skills are more likely to sustain effort and adapt strategies when faced with difficult mathematical problems. This aligns </w:t>
      </w:r>
      <w:r>
        <w:rPr>
          <w:rFonts w:ascii="Garamond" w:eastAsia="Garamond" w:hAnsi="Garamond" w:cs="Garamond"/>
          <w:sz w:val="22"/>
          <w:szCs w:val="22"/>
        </w:rPr>
        <w:t xml:space="preserve">with previous studies by </w:t>
      </w:r>
      <w:proofErr w:type="spellStart"/>
      <w:r>
        <w:rPr>
          <w:rFonts w:ascii="Garamond" w:eastAsia="Garamond" w:hAnsi="Garamond" w:cs="Garamond"/>
          <w:sz w:val="22"/>
          <w:szCs w:val="22"/>
        </w:rPr>
        <w:t>Attami</w:t>
      </w:r>
      <w:proofErr w:type="spellEnd"/>
      <w:r>
        <w:rPr>
          <w:rFonts w:ascii="Garamond" w:eastAsia="Garamond" w:hAnsi="Garamond" w:cs="Garamond"/>
          <w:sz w:val="22"/>
          <w:szCs w:val="22"/>
        </w:rPr>
        <w:t xml:space="preserve"> et al. (2020) and </w:t>
      </w:r>
      <w:proofErr w:type="spellStart"/>
      <w:r>
        <w:rPr>
          <w:rFonts w:ascii="Garamond" w:eastAsia="Garamond" w:hAnsi="Garamond" w:cs="Garamond"/>
          <w:sz w:val="22"/>
          <w:szCs w:val="22"/>
        </w:rPr>
        <w:t>Kamid</w:t>
      </w:r>
      <w:proofErr w:type="spellEnd"/>
      <w:r>
        <w:rPr>
          <w:rFonts w:ascii="Garamond" w:eastAsia="Garamond" w:hAnsi="Garamond" w:cs="Garamond"/>
          <w:sz w:val="22"/>
          <w:szCs w:val="22"/>
        </w:rPr>
        <w:t xml:space="preserve"> et al. (2023), who both reported that metacognition enhances students’ ability to persist through academic challenges. Additionally, </w:t>
      </w:r>
      <w:proofErr w:type="spellStart"/>
      <w:r>
        <w:rPr>
          <w:rFonts w:ascii="Garamond" w:eastAsia="Garamond" w:hAnsi="Garamond" w:cs="Garamond"/>
          <w:sz w:val="22"/>
          <w:szCs w:val="22"/>
        </w:rPr>
        <w:t>Rahmawati</w:t>
      </w:r>
      <w:proofErr w:type="spellEnd"/>
      <w:r>
        <w:rPr>
          <w:rFonts w:ascii="Garamond" w:eastAsia="Garamond" w:hAnsi="Garamond" w:cs="Garamond"/>
          <w:sz w:val="22"/>
          <w:szCs w:val="22"/>
        </w:rPr>
        <w:t xml:space="preserve"> et al. (2024) highlighted how metacognitive training not </w:t>
      </w:r>
      <w:r>
        <w:rPr>
          <w:rFonts w:ascii="Garamond" w:eastAsia="Garamond" w:hAnsi="Garamond" w:cs="Garamond"/>
          <w:sz w:val="22"/>
          <w:szCs w:val="22"/>
        </w:rPr>
        <w:t>only improves cognitive regulation but also strengthens academic resilience, enabling learners to approach challenges with greater confidence and determination.</w:t>
      </w:r>
    </w:p>
    <w:p w:rsidR="00345BFA" w:rsidRDefault="007804C9">
      <w:pPr>
        <w:spacing w:before="240" w:after="240"/>
        <w:ind w:firstLine="720"/>
        <w:jc w:val="both"/>
        <w:rPr>
          <w:rFonts w:ascii="Garamond" w:eastAsia="Garamond" w:hAnsi="Garamond" w:cs="Garamond"/>
          <w:sz w:val="22"/>
          <w:szCs w:val="22"/>
        </w:rPr>
      </w:pPr>
      <w:bookmarkStart w:id="7" w:name="_heading=h.pwvo0y6awutu" w:colFirst="0" w:colLast="0"/>
      <w:bookmarkEnd w:id="7"/>
      <w:r>
        <w:rPr>
          <w:rFonts w:ascii="Garamond" w:eastAsia="Garamond" w:hAnsi="Garamond" w:cs="Garamond"/>
          <w:sz w:val="22"/>
          <w:szCs w:val="22"/>
        </w:rPr>
        <w:t>Regression analysis further confirmed that metacognitive awareness is a significant predictor o</w:t>
      </w:r>
      <w:r>
        <w:rPr>
          <w:rFonts w:ascii="Garamond" w:eastAsia="Garamond" w:hAnsi="Garamond" w:cs="Garamond"/>
          <w:sz w:val="22"/>
          <w:szCs w:val="22"/>
        </w:rPr>
        <w:t>f persistence, reinforcing earlier research that linked metacognitive development to mathematical resilience. As shown in the work of Agustin et al. (2022), resilient students tend to recognize their strengths and limitations, reflect on their learning exp</w:t>
      </w:r>
      <w:r>
        <w:rPr>
          <w:rFonts w:ascii="Garamond" w:eastAsia="Garamond" w:hAnsi="Garamond" w:cs="Garamond"/>
          <w:sz w:val="22"/>
          <w:szCs w:val="22"/>
        </w:rPr>
        <w:t xml:space="preserve">eriences, and plan effective strategies accordingly. Moreover, </w:t>
      </w:r>
      <w:proofErr w:type="spellStart"/>
      <w:r>
        <w:rPr>
          <w:rFonts w:ascii="Garamond" w:eastAsia="Garamond" w:hAnsi="Garamond" w:cs="Garamond"/>
          <w:sz w:val="22"/>
          <w:szCs w:val="22"/>
        </w:rPr>
        <w:t>Hutauruk</w:t>
      </w:r>
      <w:proofErr w:type="spellEnd"/>
      <w:r>
        <w:rPr>
          <w:rFonts w:ascii="Garamond" w:eastAsia="Garamond" w:hAnsi="Garamond" w:cs="Garamond"/>
          <w:sz w:val="22"/>
          <w:szCs w:val="22"/>
        </w:rPr>
        <w:t xml:space="preserve"> et al. (2019) and </w:t>
      </w:r>
      <w:proofErr w:type="spellStart"/>
      <w:r>
        <w:rPr>
          <w:rFonts w:ascii="Garamond" w:eastAsia="Garamond" w:hAnsi="Garamond" w:cs="Garamond"/>
          <w:sz w:val="22"/>
          <w:szCs w:val="22"/>
        </w:rPr>
        <w:t>Sahin</w:t>
      </w:r>
      <w:proofErr w:type="spellEnd"/>
      <w:r>
        <w:rPr>
          <w:rFonts w:ascii="Garamond" w:eastAsia="Garamond" w:hAnsi="Garamond" w:cs="Garamond"/>
          <w:sz w:val="22"/>
          <w:szCs w:val="22"/>
        </w:rPr>
        <w:t xml:space="preserve"> and </w:t>
      </w:r>
      <w:proofErr w:type="spellStart"/>
      <w:r>
        <w:rPr>
          <w:rFonts w:ascii="Garamond" w:eastAsia="Garamond" w:hAnsi="Garamond" w:cs="Garamond"/>
          <w:sz w:val="22"/>
          <w:szCs w:val="22"/>
        </w:rPr>
        <w:t>Kendir</w:t>
      </w:r>
      <w:proofErr w:type="spellEnd"/>
      <w:r>
        <w:rPr>
          <w:rFonts w:ascii="Garamond" w:eastAsia="Garamond" w:hAnsi="Garamond" w:cs="Garamond"/>
          <w:sz w:val="22"/>
          <w:szCs w:val="22"/>
        </w:rPr>
        <w:t xml:space="preserve"> (2013) noted that metacognitive awareness fosters positive academic behaviors such as motivation, self-efficacy, and a growth mindset. These attribut</w:t>
      </w:r>
      <w:r>
        <w:rPr>
          <w:rFonts w:ascii="Garamond" w:eastAsia="Garamond" w:hAnsi="Garamond" w:cs="Garamond"/>
          <w:sz w:val="22"/>
          <w:szCs w:val="22"/>
        </w:rPr>
        <w:t>es collectively empower students to maintain effort, manage setbacks, and ultimately succeed in problem-solving tasks.</w:t>
      </w:r>
    </w:p>
    <w:p w:rsidR="00345BFA" w:rsidRDefault="007804C9">
      <w:pPr>
        <w:spacing w:after="0"/>
        <w:jc w:val="both"/>
        <w:rPr>
          <w:rFonts w:ascii="Garamond" w:eastAsia="Garamond" w:hAnsi="Garamond" w:cs="Garamond"/>
          <w:b/>
          <w:sz w:val="22"/>
          <w:szCs w:val="22"/>
        </w:rPr>
      </w:pPr>
      <w:r>
        <w:rPr>
          <w:rFonts w:ascii="Garamond" w:eastAsia="Garamond" w:hAnsi="Garamond" w:cs="Garamond"/>
          <w:b/>
          <w:sz w:val="22"/>
          <w:szCs w:val="22"/>
        </w:rPr>
        <w:t>Conclusion</w:t>
      </w:r>
      <w:r>
        <w:rPr>
          <w:rFonts w:ascii="Garamond" w:eastAsia="Garamond" w:hAnsi="Garamond" w:cs="Garamond"/>
          <w:b/>
          <w:sz w:val="22"/>
          <w:szCs w:val="22"/>
        </w:rPr>
        <w:tab/>
      </w:r>
    </w:p>
    <w:p w:rsidR="00345BFA" w:rsidRDefault="007804C9">
      <w:pPr>
        <w:spacing w:after="0"/>
        <w:jc w:val="both"/>
        <w:rPr>
          <w:rFonts w:ascii="Garamond" w:eastAsia="Garamond" w:hAnsi="Garamond" w:cs="Garamond"/>
          <w:color w:val="172B4D"/>
          <w:sz w:val="22"/>
          <w:szCs w:val="22"/>
          <w:highlight w:val="white"/>
        </w:rPr>
      </w:pPr>
      <w:r>
        <w:rPr>
          <w:rFonts w:ascii="Garamond" w:eastAsia="Garamond" w:hAnsi="Garamond" w:cs="Garamond"/>
          <w:b/>
          <w:sz w:val="22"/>
          <w:szCs w:val="22"/>
        </w:rPr>
        <w:tab/>
      </w:r>
      <w:r>
        <w:rPr>
          <w:rFonts w:ascii="Garamond" w:eastAsia="Garamond" w:hAnsi="Garamond" w:cs="Garamond"/>
          <w:sz w:val="22"/>
          <w:szCs w:val="22"/>
        </w:rPr>
        <w:t>Since metacognitive awareness significantly influences Persistence in Solving Mathematical Problems, the theory of metacogni</w:t>
      </w:r>
      <w:r>
        <w:rPr>
          <w:rFonts w:ascii="Garamond" w:eastAsia="Garamond" w:hAnsi="Garamond" w:cs="Garamond"/>
          <w:sz w:val="22"/>
          <w:szCs w:val="22"/>
        </w:rPr>
        <w:t>tion, by John Flavell (1979), is affirmed, which emphasizes the learner's ability to monitor and control their cognitive processes. Metacognitive awareness comprises two core components: knowledge about cognition and regulation of cognition. These skills e</w:t>
      </w:r>
      <w:r>
        <w:rPr>
          <w:rFonts w:ascii="Garamond" w:eastAsia="Garamond" w:hAnsi="Garamond" w:cs="Garamond"/>
          <w:sz w:val="22"/>
          <w:szCs w:val="22"/>
        </w:rPr>
        <w:t xml:space="preserve">nable students to manage their learning strategies effectively, contributing to enhanced persistence when faced with difficult mathematical tasks. When students are aware of their cognitive processes, they are more likely to persist, adapt strategies, and </w:t>
      </w:r>
      <w:r>
        <w:rPr>
          <w:rFonts w:ascii="Garamond" w:eastAsia="Garamond" w:hAnsi="Garamond" w:cs="Garamond"/>
          <w:sz w:val="22"/>
          <w:szCs w:val="22"/>
        </w:rPr>
        <w:t xml:space="preserve">manage </w:t>
      </w:r>
      <w:r>
        <w:rPr>
          <w:rFonts w:ascii="Garamond" w:eastAsia="Garamond" w:hAnsi="Garamond" w:cs="Garamond"/>
          <w:sz w:val="22"/>
          <w:szCs w:val="22"/>
        </w:rPr>
        <w:lastRenderedPageBreak/>
        <w:t>emotional responses to academic challenges. Consequently, m</w:t>
      </w:r>
      <w:r>
        <w:rPr>
          <w:rFonts w:ascii="Garamond" w:eastAsia="Garamond" w:hAnsi="Garamond" w:cs="Garamond"/>
          <w:sz w:val="22"/>
          <w:szCs w:val="22"/>
          <w:highlight w:val="white"/>
        </w:rPr>
        <w:t>ath majors with higher metacognitive awareness showed greater persistence, especially during examinations. Statistical results showed that metacognitive awareness explained 27.9% of the vari</w:t>
      </w:r>
      <w:r>
        <w:rPr>
          <w:rFonts w:ascii="Garamond" w:eastAsia="Garamond" w:hAnsi="Garamond" w:cs="Garamond"/>
          <w:sz w:val="22"/>
          <w:szCs w:val="22"/>
          <w:highlight w:val="white"/>
        </w:rPr>
        <w:t xml:space="preserve">ance in persistence. This implies that other factors may influence </w:t>
      </w:r>
      <w:r>
        <w:rPr>
          <w:rFonts w:ascii="Garamond" w:eastAsia="Garamond" w:hAnsi="Garamond" w:cs="Garamond"/>
          <w:sz w:val="22"/>
          <w:szCs w:val="22"/>
        </w:rPr>
        <w:t>persistence in solving mathematical problems not covered in the present study.</w:t>
      </w:r>
    </w:p>
    <w:p w:rsidR="00345BFA" w:rsidRDefault="00345BFA">
      <w:pPr>
        <w:ind w:firstLine="720"/>
        <w:jc w:val="both"/>
        <w:rPr>
          <w:rFonts w:ascii="Garamond" w:eastAsia="Garamond" w:hAnsi="Garamond" w:cs="Garamond"/>
          <w:sz w:val="22"/>
          <w:szCs w:val="22"/>
          <w:highlight w:val="white"/>
        </w:rPr>
      </w:pPr>
    </w:p>
    <w:p w:rsidR="00345BFA" w:rsidRDefault="00345BFA">
      <w:pPr>
        <w:ind w:firstLine="720"/>
        <w:jc w:val="both"/>
        <w:rPr>
          <w:rFonts w:ascii="Garamond" w:eastAsia="Garamond" w:hAnsi="Garamond" w:cs="Garamond"/>
          <w:sz w:val="22"/>
          <w:szCs w:val="22"/>
          <w:highlight w:val="white"/>
        </w:rPr>
      </w:pPr>
    </w:p>
    <w:p w:rsidR="00345BFA" w:rsidRDefault="007804C9">
      <w:pPr>
        <w:jc w:val="both"/>
        <w:rPr>
          <w:rFonts w:ascii="Garamond" w:eastAsia="Garamond" w:hAnsi="Garamond" w:cs="Garamond"/>
          <w:b/>
          <w:sz w:val="22"/>
          <w:szCs w:val="22"/>
          <w:highlight w:val="white"/>
        </w:rPr>
      </w:pPr>
      <w:r>
        <w:rPr>
          <w:rFonts w:ascii="Garamond" w:eastAsia="Garamond" w:hAnsi="Garamond" w:cs="Garamond"/>
          <w:b/>
          <w:sz w:val="22"/>
          <w:szCs w:val="22"/>
          <w:highlight w:val="white"/>
        </w:rPr>
        <w:t>Recommendation</w:t>
      </w:r>
    </w:p>
    <w:p w:rsidR="00345BFA" w:rsidRDefault="007804C9">
      <w:pPr>
        <w:ind w:firstLine="720"/>
        <w:jc w:val="both"/>
        <w:rPr>
          <w:rFonts w:ascii="Garamond" w:eastAsia="Garamond" w:hAnsi="Garamond" w:cs="Garamond"/>
          <w:sz w:val="22"/>
          <w:szCs w:val="22"/>
        </w:rPr>
      </w:pPr>
      <w:r>
        <w:rPr>
          <w:rFonts w:ascii="Garamond" w:eastAsia="Garamond" w:hAnsi="Garamond" w:cs="Garamond"/>
          <w:sz w:val="22"/>
          <w:szCs w:val="22"/>
        </w:rPr>
        <w:t>Given these findings, it is essential to apply them to educational practice. Students are encouraged to regularly engage in metacognitive practices such as self-monitoring, goal-setting, and evaluating their own problem-solving approaches to enhance both p</w:t>
      </w:r>
      <w:r>
        <w:rPr>
          <w:rFonts w:ascii="Garamond" w:eastAsia="Garamond" w:hAnsi="Garamond" w:cs="Garamond"/>
          <w:sz w:val="22"/>
          <w:szCs w:val="22"/>
        </w:rPr>
        <w:t>ersistence and mathematical performance. Teachers may incorporate explicit instruction on metacognitive strategies within mathematics lessons to help students become more aware of their thinking processes and promote greater autonomy in learning. Future re</w:t>
      </w:r>
      <w:r>
        <w:rPr>
          <w:rFonts w:ascii="Garamond" w:eastAsia="Garamond" w:hAnsi="Garamond" w:cs="Garamond"/>
          <w:sz w:val="22"/>
          <w:szCs w:val="22"/>
        </w:rPr>
        <w:t>searchers may explore other influencing variables, such as motivation, academic self-efficacy, and emotional regulation, that may also affect students’ persistence in mathematics. Moreover, similar studies may be conducted across different academic levels,</w:t>
      </w:r>
      <w:r>
        <w:rPr>
          <w:rFonts w:ascii="Garamond" w:eastAsia="Garamond" w:hAnsi="Garamond" w:cs="Garamond"/>
          <w:sz w:val="22"/>
          <w:szCs w:val="22"/>
        </w:rPr>
        <w:t xml:space="preserve"> disciplines, or institutions to validate and enrich the findings of this research.</w:t>
      </w:r>
    </w:p>
    <w:p w:rsidR="00345BFA" w:rsidRPr="00232EA0" w:rsidRDefault="00232EA0" w:rsidP="00232EA0">
      <w:pPr>
        <w:jc w:val="both"/>
        <w:rPr>
          <w:rFonts w:ascii="Garamond" w:eastAsia="Garamond" w:hAnsi="Garamond" w:cs="Garamond"/>
          <w:b/>
          <w:sz w:val="22"/>
          <w:szCs w:val="22"/>
        </w:rPr>
      </w:pPr>
      <w:r w:rsidRPr="00232EA0">
        <w:rPr>
          <w:rFonts w:ascii="Garamond" w:eastAsia="Garamond" w:hAnsi="Garamond" w:cs="Garamond"/>
          <w:b/>
          <w:sz w:val="22"/>
          <w:szCs w:val="22"/>
        </w:rPr>
        <w:t xml:space="preserve">Ethical Approval and Consent: </w:t>
      </w:r>
    </w:p>
    <w:p w:rsidR="00232EA0" w:rsidRDefault="00232EA0" w:rsidP="00232EA0">
      <w:pPr>
        <w:jc w:val="both"/>
        <w:rPr>
          <w:rFonts w:ascii="Garamond" w:eastAsia="Garamond" w:hAnsi="Garamond" w:cs="Garamond"/>
          <w:sz w:val="22"/>
          <w:szCs w:val="22"/>
        </w:rPr>
      </w:pPr>
      <w:r>
        <w:rPr>
          <w:rFonts w:ascii="Garamond" w:eastAsia="Garamond" w:hAnsi="Garamond" w:cs="Garamond"/>
          <w:sz w:val="22"/>
          <w:szCs w:val="22"/>
        </w:rPr>
        <w:t xml:space="preserve">The researcher </w:t>
      </w:r>
      <w:r w:rsidRPr="00232EA0">
        <w:rPr>
          <w:rFonts w:ascii="Garamond" w:eastAsia="Garamond" w:hAnsi="Garamond" w:cs="Garamond"/>
          <w:sz w:val="22"/>
          <w:szCs w:val="22"/>
        </w:rPr>
        <w:t>obtain</w:t>
      </w:r>
      <w:r>
        <w:rPr>
          <w:rFonts w:ascii="Garamond" w:eastAsia="Garamond" w:hAnsi="Garamond" w:cs="Garamond"/>
          <w:sz w:val="22"/>
          <w:szCs w:val="22"/>
        </w:rPr>
        <w:t>ed</w:t>
      </w:r>
      <w:bookmarkStart w:id="8" w:name="_GoBack"/>
      <w:bookmarkEnd w:id="8"/>
      <w:r>
        <w:rPr>
          <w:rFonts w:ascii="Garamond" w:eastAsia="Garamond" w:hAnsi="Garamond" w:cs="Garamond"/>
          <w:sz w:val="22"/>
          <w:szCs w:val="22"/>
        </w:rPr>
        <w:t xml:space="preserve"> the</w:t>
      </w:r>
      <w:r w:rsidRPr="00232EA0">
        <w:rPr>
          <w:rFonts w:ascii="Garamond" w:eastAsia="Garamond" w:hAnsi="Garamond" w:cs="Garamond"/>
          <w:sz w:val="22"/>
          <w:szCs w:val="22"/>
        </w:rPr>
        <w:t xml:space="preserve"> approval from the school administration and the program head. Informed consent was secured from the respondents prior to the distribution of the survey instruments</w:t>
      </w:r>
      <w:r>
        <w:rPr>
          <w:rFonts w:ascii="Garamond" w:eastAsia="Garamond" w:hAnsi="Garamond" w:cs="Garamond"/>
          <w:sz w:val="22"/>
          <w:szCs w:val="22"/>
        </w:rPr>
        <w:t xml:space="preserve">. </w:t>
      </w:r>
      <w:r w:rsidRPr="00232EA0">
        <w:rPr>
          <w:rFonts w:ascii="Garamond" w:eastAsia="Garamond" w:hAnsi="Garamond" w:cs="Garamond"/>
          <w:sz w:val="22"/>
          <w:szCs w:val="22"/>
        </w:rPr>
        <w:t>Ethical considerations were strictly observed throughout the research process. Confidentiality of responses was ensured, and participation was voluntary, with respondents free to withdraw at any point without penalty.</w:t>
      </w:r>
    </w:p>
    <w:p w:rsidR="00232EA0" w:rsidRDefault="00232EA0">
      <w:pPr>
        <w:spacing w:after="200" w:line="276" w:lineRule="auto"/>
        <w:jc w:val="both"/>
        <w:rPr>
          <w:rFonts w:ascii="Garamond" w:eastAsia="Garamond" w:hAnsi="Garamond" w:cs="Garamond"/>
          <w:b/>
          <w:sz w:val="22"/>
          <w:szCs w:val="22"/>
          <w:highlight w:val="white"/>
        </w:rPr>
      </w:pPr>
    </w:p>
    <w:p w:rsidR="00232EA0" w:rsidRDefault="00232EA0">
      <w:pPr>
        <w:spacing w:after="200" w:line="276" w:lineRule="auto"/>
        <w:jc w:val="both"/>
        <w:rPr>
          <w:rFonts w:ascii="Garamond" w:eastAsia="Garamond" w:hAnsi="Garamond" w:cs="Garamond"/>
          <w:b/>
          <w:sz w:val="22"/>
          <w:szCs w:val="22"/>
          <w:highlight w:val="white"/>
        </w:rPr>
      </w:pPr>
    </w:p>
    <w:p w:rsidR="00232EA0" w:rsidRDefault="00232EA0">
      <w:pPr>
        <w:spacing w:after="200" w:line="276" w:lineRule="auto"/>
        <w:jc w:val="both"/>
        <w:rPr>
          <w:rFonts w:ascii="Garamond" w:eastAsia="Garamond" w:hAnsi="Garamond" w:cs="Garamond"/>
          <w:b/>
          <w:sz w:val="22"/>
          <w:szCs w:val="22"/>
          <w:highlight w:val="white"/>
        </w:rPr>
      </w:pPr>
    </w:p>
    <w:p w:rsidR="00345BFA" w:rsidRPr="00232EA0" w:rsidRDefault="007804C9">
      <w:pPr>
        <w:spacing w:after="200" w:line="276" w:lineRule="auto"/>
        <w:jc w:val="both"/>
        <w:rPr>
          <w:rFonts w:ascii="Garamond" w:eastAsia="Garamond" w:hAnsi="Garamond" w:cs="Garamond"/>
          <w:b/>
          <w:sz w:val="22"/>
          <w:szCs w:val="22"/>
          <w:highlight w:val="white"/>
        </w:rPr>
      </w:pPr>
      <w:r w:rsidRPr="00232EA0">
        <w:rPr>
          <w:rFonts w:ascii="Garamond" w:eastAsia="Garamond" w:hAnsi="Garamond" w:cs="Garamond"/>
          <w:b/>
          <w:sz w:val="22"/>
          <w:szCs w:val="22"/>
          <w:highlight w:val="white"/>
        </w:rPr>
        <w:t>Disclaimer (Artificial intelligence)</w:t>
      </w:r>
    </w:p>
    <w:p w:rsidR="00345BFA" w:rsidRDefault="007804C9">
      <w:pPr>
        <w:spacing w:after="200" w:line="276" w:lineRule="auto"/>
        <w:jc w:val="both"/>
        <w:rPr>
          <w:rFonts w:ascii="Garamond" w:eastAsia="Garamond" w:hAnsi="Garamond" w:cs="Garamond"/>
          <w:sz w:val="22"/>
          <w:szCs w:val="22"/>
          <w:highlight w:val="white"/>
        </w:rPr>
      </w:pPr>
      <w:r>
        <w:rPr>
          <w:rFonts w:ascii="Garamond" w:eastAsia="Garamond" w:hAnsi="Garamond" w:cs="Garamond"/>
          <w:sz w:val="22"/>
          <w:szCs w:val="22"/>
          <w:highlight w:val="white"/>
        </w:rPr>
        <w:t>Author(s) hereby declare that NO generative AI technologies such as Large Language Models (</w:t>
      </w:r>
      <w:proofErr w:type="spellStart"/>
      <w:r>
        <w:rPr>
          <w:rFonts w:ascii="Garamond" w:eastAsia="Garamond" w:hAnsi="Garamond" w:cs="Garamond"/>
          <w:sz w:val="22"/>
          <w:szCs w:val="22"/>
          <w:highlight w:val="white"/>
        </w:rPr>
        <w:t>ChatGPT</w:t>
      </w:r>
      <w:proofErr w:type="spellEnd"/>
      <w:r>
        <w:rPr>
          <w:rFonts w:ascii="Garamond" w:eastAsia="Garamond" w:hAnsi="Garamond" w:cs="Garamond"/>
          <w:sz w:val="22"/>
          <w:szCs w:val="22"/>
          <w:highlight w:val="white"/>
        </w:rPr>
        <w:t>, COPILOT, etc.) and text-to-image g</w:t>
      </w:r>
      <w:r>
        <w:rPr>
          <w:rFonts w:ascii="Garamond" w:eastAsia="Garamond" w:hAnsi="Garamond" w:cs="Garamond"/>
          <w:sz w:val="22"/>
          <w:szCs w:val="22"/>
          <w:highlight w:val="white"/>
        </w:rPr>
        <w:t xml:space="preserve">enerators have been used during the writing or editing of this manuscript. </w:t>
      </w:r>
    </w:p>
    <w:p w:rsidR="00345BFA" w:rsidRDefault="00345BFA">
      <w:pPr>
        <w:jc w:val="both"/>
        <w:rPr>
          <w:rFonts w:ascii="Garamond" w:eastAsia="Garamond" w:hAnsi="Garamond" w:cs="Garamond"/>
          <w:b/>
          <w:sz w:val="22"/>
          <w:szCs w:val="22"/>
        </w:rPr>
      </w:pPr>
      <w:bookmarkStart w:id="9" w:name="_heading=h.bjulnbsqixd4" w:colFirst="0" w:colLast="0"/>
      <w:bookmarkEnd w:id="9"/>
    </w:p>
    <w:p w:rsidR="00345BFA" w:rsidRDefault="007804C9">
      <w:pPr>
        <w:jc w:val="both"/>
        <w:rPr>
          <w:rFonts w:ascii="Garamond" w:eastAsia="Garamond" w:hAnsi="Garamond" w:cs="Garamond"/>
          <w:b/>
          <w:sz w:val="22"/>
          <w:szCs w:val="22"/>
        </w:rPr>
      </w:pPr>
      <w:r>
        <w:rPr>
          <w:rFonts w:ascii="Garamond" w:eastAsia="Garamond" w:hAnsi="Garamond" w:cs="Garamond"/>
          <w:b/>
          <w:sz w:val="22"/>
          <w:szCs w:val="22"/>
        </w:rPr>
        <w:t>References</w:t>
      </w: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 xml:space="preserve">Agustin, N., Noto, M. S., &amp; </w:t>
      </w:r>
      <w:proofErr w:type="spellStart"/>
      <w:r>
        <w:rPr>
          <w:rFonts w:ascii="Garamond" w:eastAsia="Garamond" w:hAnsi="Garamond" w:cs="Garamond"/>
          <w:color w:val="000000"/>
        </w:rPr>
        <w:t>Dewi</w:t>
      </w:r>
      <w:proofErr w:type="spellEnd"/>
      <w:r>
        <w:rPr>
          <w:rFonts w:ascii="Garamond" w:eastAsia="Garamond" w:hAnsi="Garamond" w:cs="Garamond"/>
          <w:color w:val="000000"/>
        </w:rPr>
        <w:t xml:space="preserve">, I. L. K. (2022). Construction of Student Mathematics Resilience Through the Development of </w:t>
      </w:r>
      <w:proofErr w:type="spellStart"/>
      <w:r>
        <w:rPr>
          <w:rFonts w:ascii="Garamond" w:eastAsia="Garamond" w:hAnsi="Garamond" w:cs="Garamond"/>
          <w:color w:val="000000"/>
        </w:rPr>
        <w:t>Sainsmatika</w:t>
      </w:r>
      <w:proofErr w:type="spellEnd"/>
      <w:r>
        <w:rPr>
          <w:rFonts w:ascii="Garamond" w:eastAsia="Garamond" w:hAnsi="Garamond" w:cs="Garamond"/>
          <w:color w:val="000000"/>
        </w:rPr>
        <w:t xml:space="preserve">-Based Teaching Materials. International Electronic Journal of Mathematics Education, 17(2), em0683. </w:t>
      </w:r>
      <w:hyperlink r:id="rId9">
        <w:r>
          <w:rPr>
            <w:rFonts w:ascii="Garamond" w:eastAsia="Garamond" w:hAnsi="Garamond" w:cs="Garamond"/>
            <w:color w:val="000000"/>
            <w:sz w:val="22"/>
            <w:szCs w:val="22"/>
          </w:rPr>
          <w:t>https://doi.org/10.29333/iejme/11835</w:t>
        </w:r>
      </w:hyperlink>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Asoy</w:t>
      </w:r>
      <w:proofErr w:type="spellEnd"/>
      <w:r>
        <w:rPr>
          <w:rFonts w:ascii="Garamond" w:eastAsia="Garamond" w:hAnsi="Garamond" w:cs="Garamond"/>
          <w:color w:val="000000"/>
        </w:rPr>
        <w:t xml:space="preserve">, N. E. M. P., &amp; </w:t>
      </w:r>
      <w:proofErr w:type="spellStart"/>
      <w:r>
        <w:rPr>
          <w:rFonts w:ascii="Garamond" w:eastAsia="Garamond" w:hAnsi="Garamond" w:cs="Garamond"/>
          <w:color w:val="000000"/>
        </w:rPr>
        <w:t>Picaza</w:t>
      </w:r>
      <w:proofErr w:type="spellEnd"/>
      <w:r>
        <w:rPr>
          <w:rFonts w:ascii="Garamond" w:eastAsia="Garamond" w:hAnsi="Garamond" w:cs="Garamond"/>
          <w:color w:val="000000"/>
        </w:rPr>
        <w:t xml:space="preserve">, N. R. R. (2025). </w:t>
      </w:r>
      <w:r>
        <w:rPr>
          <w:rFonts w:ascii="Garamond" w:eastAsia="Garamond" w:hAnsi="Garamond" w:cs="Garamond"/>
          <w:i/>
          <w:color w:val="000000"/>
        </w:rPr>
        <w:t xml:space="preserve">Persistence, Self-Efficacy, And Achievement </w:t>
      </w:r>
      <w:proofErr w:type="gramStart"/>
      <w:r>
        <w:rPr>
          <w:rFonts w:ascii="Garamond" w:eastAsia="Garamond" w:hAnsi="Garamond" w:cs="Garamond"/>
          <w:i/>
          <w:color w:val="000000"/>
        </w:rPr>
        <w:t>In</w:t>
      </w:r>
      <w:proofErr w:type="gramEnd"/>
      <w:r>
        <w:rPr>
          <w:rFonts w:ascii="Garamond" w:eastAsia="Garamond" w:hAnsi="Garamond" w:cs="Garamond"/>
          <w:i/>
          <w:color w:val="000000"/>
        </w:rPr>
        <w:t xml:space="preserve"> Mathematics. </w:t>
      </w:r>
      <w:proofErr w:type="spellStart"/>
      <w:r>
        <w:rPr>
          <w:rFonts w:ascii="Garamond" w:eastAsia="Garamond" w:hAnsi="Garamond" w:cs="Garamond"/>
          <w:i/>
          <w:color w:val="000000"/>
        </w:rPr>
        <w:t>Epra</w:t>
      </w:r>
      <w:proofErr w:type="spellEnd"/>
      <w:r>
        <w:rPr>
          <w:rFonts w:ascii="Garamond" w:eastAsia="Garamond" w:hAnsi="Garamond" w:cs="Garamond"/>
          <w:color w:val="000000"/>
        </w:rPr>
        <w:t xml:space="preserve"> International Journal of Multidisciplinary Research (IJMR), 583–593. https://doi.org/10.36713/epra20603</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lastRenderedPageBreak/>
        <w:t>Attami</w:t>
      </w:r>
      <w:proofErr w:type="spellEnd"/>
      <w:r>
        <w:rPr>
          <w:rFonts w:ascii="Garamond" w:eastAsia="Garamond" w:hAnsi="Garamond" w:cs="Garamond"/>
          <w:color w:val="000000"/>
        </w:rPr>
        <w:t xml:space="preserve">, D., </w:t>
      </w:r>
      <w:proofErr w:type="spellStart"/>
      <w:r>
        <w:rPr>
          <w:rFonts w:ascii="Garamond" w:eastAsia="Garamond" w:hAnsi="Garamond" w:cs="Garamond"/>
          <w:color w:val="000000"/>
        </w:rPr>
        <w:t>Budiyono</w:t>
      </w:r>
      <w:proofErr w:type="spellEnd"/>
      <w:r>
        <w:rPr>
          <w:rFonts w:ascii="Garamond" w:eastAsia="Garamond" w:hAnsi="Garamond" w:cs="Garamond"/>
          <w:color w:val="000000"/>
        </w:rPr>
        <w:t xml:space="preserve">, N., &amp; </w:t>
      </w:r>
      <w:proofErr w:type="spellStart"/>
      <w:r>
        <w:rPr>
          <w:rFonts w:ascii="Garamond" w:eastAsia="Garamond" w:hAnsi="Garamond" w:cs="Garamond"/>
          <w:color w:val="000000"/>
        </w:rPr>
        <w:t>Indriati</w:t>
      </w:r>
      <w:proofErr w:type="spellEnd"/>
      <w:r>
        <w:rPr>
          <w:rFonts w:ascii="Garamond" w:eastAsia="Garamond" w:hAnsi="Garamond" w:cs="Garamond"/>
          <w:color w:val="000000"/>
        </w:rPr>
        <w:t>, D. (2020). Mathematical resilience and mathematical problem-solving ability in Junior High School. Journal of Ph</w:t>
      </w:r>
      <w:r>
        <w:rPr>
          <w:rFonts w:ascii="Garamond" w:eastAsia="Garamond" w:hAnsi="Garamond" w:cs="Garamond"/>
          <w:color w:val="000000"/>
        </w:rPr>
        <w:t>ysics Conference Series, 1613(1), 012028. https://doi.org/10.1088/1742-6596/1613/1/012028</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Bakar, M. a. A., &amp; Ismail, N. (2019). Metacognitive Learning Strategies in Mathematics Classroom Intervention: A review of implementation and operational design aspe</w:t>
      </w:r>
      <w:r>
        <w:rPr>
          <w:rFonts w:ascii="Garamond" w:eastAsia="Garamond" w:hAnsi="Garamond" w:cs="Garamond"/>
          <w:color w:val="000000"/>
        </w:rPr>
        <w:t xml:space="preserve">ct. </w:t>
      </w:r>
      <w:r>
        <w:rPr>
          <w:rFonts w:ascii="Garamond" w:eastAsia="Garamond" w:hAnsi="Garamond" w:cs="Garamond"/>
          <w:i/>
          <w:color w:val="000000"/>
        </w:rPr>
        <w:t>International Electronic Journal of Mathematics Education</w:t>
      </w:r>
      <w:r>
        <w:rPr>
          <w:rFonts w:ascii="Garamond" w:eastAsia="Garamond" w:hAnsi="Garamond" w:cs="Garamond"/>
          <w:color w:val="000000"/>
        </w:rPr>
        <w:t xml:space="preserve">, </w:t>
      </w:r>
      <w:r>
        <w:rPr>
          <w:rFonts w:ascii="Garamond" w:eastAsia="Garamond" w:hAnsi="Garamond" w:cs="Garamond"/>
          <w:i/>
          <w:color w:val="000000"/>
        </w:rPr>
        <w:t>15</w:t>
      </w:r>
      <w:r>
        <w:rPr>
          <w:rFonts w:ascii="Garamond" w:eastAsia="Garamond" w:hAnsi="Garamond" w:cs="Garamond"/>
          <w:color w:val="000000"/>
        </w:rPr>
        <w:t>(1). https://doi.org/10.29333/iejme/5937</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Chytrý</w:t>
      </w:r>
      <w:proofErr w:type="spellEnd"/>
      <w:r>
        <w:rPr>
          <w:rFonts w:ascii="Garamond" w:eastAsia="Garamond" w:hAnsi="Garamond" w:cs="Garamond"/>
          <w:color w:val="000000"/>
        </w:rPr>
        <w:t xml:space="preserve">, V., </w:t>
      </w:r>
      <w:proofErr w:type="spellStart"/>
      <w:r>
        <w:rPr>
          <w:rFonts w:ascii="Garamond" w:eastAsia="Garamond" w:hAnsi="Garamond" w:cs="Garamond"/>
          <w:color w:val="000000"/>
        </w:rPr>
        <w:t>Medová</w:t>
      </w:r>
      <w:proofErr w:type="spellEnd"/>
      <w:r>
        <w:rPr>
          <w:rFonts w:ascii="Garamond" w:eastAsia="Garamond" w:hAnsi="Garamond" w:cs="Garamond"/>
          <w:color w:val="000000"/>
        </w:rPr>
        <w:t xml:space="preserve">, J., </w:t>
      </w:r>
      <w:proofErr w:type="spellStart"/>
      <w:r>
        <w:rPr>
          <w:rFonts w:ascii="Garamond" w:eastAsia="Garamond" w:hAnsi="Garamond" w:cs="Garamond"/>
          <w:color w:val="000000"/>
        </w:rPr>
        <w:t>Rˇícan</w:t>
      </w:r>
      <w:proofErr w:type="spellEnd"/>
      <w:r>
        <w:rPr>
          <w:rFonts w:ascii="Garamond" w:eastAsia="Garamond" w:hAnsi="Garamond" w:cs="Garamond"/>
          <w:color w:val="000000"/>
        </w:rPr>
        <w:t xml:space="preserve">, J., and </w:t>
      </w:r>
      <w:proofErr w:type="spellStart"/>
      <w:r>
        <w:rPr>
          <w:rFonts w:ascii="Garamond" w:eastAsia="Garamond" w:hAnsi="Garamond" w:cs="Garamond"/>
          <w:color w:val="000000"/>
        </w:rPr>
        <w:t>Škoda</w:t>
      </w:r>
      <w:proofErr w:type="spellEnd"/>
      <w:r>
        <w:rPr>
          <w:rFonts w:ascii="Garamond" w:eastAsia="Garamond" w:hAnsi="Garamond" w:cs="Garamond"/>
          <w:color w:val="000000"/>
        </w:rPr>
        <w:t>, J. (2020). Relation between pupils’ mathematical self-efficacy and mathematical problem solving in the</w:t>
      </w:r>
      <w:r>
        <w:rPr>
          <w:rFonts w:ascii="Garamond" w:eastAsia="Garamond" w:hAnsi="Garamond" w:cs="Garamond"/>
          <w:color w:val="000000"/>
        </w:rPr>
        <w:t xml:space="preserve"> context of the teachers’ preferred pedagogies. Sustainability 12:10215. </w:t>
      </w:r>
      <w:proofErr w:type="spellStart"/>
      <w:r>
        <w:rPr>
          <w:rFonts w:ascii="Garamond" w:eastAsia="Garamond" w:hAnsi="Garamond" w:cs="Garamond"/>
          <w:color w:val="000000"/>
        </w:rPr>
        <w:t>doi</w:t>
      </w:r>
      <w:proofErr w:type="spellEnd"/>
      <w:r>
        <w:rPr>
          <w:rFonts w:ascii="Garamond" w:eastAsia="Garamond" w:hAnsi="Garamond" w:cs="Garamond"/>
          <w:color w:val="000000"/>
        </w:rPr>
        <w:t>: 10.3390/su122310215</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 xml:space="preserve">Dela Cruz, J. L., Dela Cruz, P. J., Guadalupe, J. A., </w:t>
      </w:r>
      <w:proofErr w:type="spellStart"/>
      <w:r>
        <w:rPr>
          <w:rFonts w:ascii="Garamond" w:eastAsia="Garamond" w:hAnsi="Garamond" w:cs="Garamond"/>
          <w:color w:val="000000"/>
        </w:rPr>
        <w:t>Orosco</w:t>
      </w:r>
      <w:proofErr w:type="spellEnd"/>
      <w:r>
        <w:rPr>
          <w:rFonts w:ascii="Garamond" w:eastAsia="Garamond" w:hAnsi="Garamond" w:cs="Garamond"/>
          <w:color w:val="000000"/>
        </w:rPr>
        <w:t xml:space="preserve">, R. S., &amp; </w:t>
      </w:r>
      <w:proofErr w:type="spellStart"/>
      <w:r>
        <w:rPr>
          <w:rFonts w:ascii="Garamond" w:eastAsia="Garamond" w:hAnsi="Garamond" w:cs="Garamond"/>
          <w:color w:val="000000"/>
        </w:rPr>
        <w:t>Gochuico</w:t>
      </w:r>
      <w:proofErr w:type="spellEnd"/>
      <w:r>
        <w:rPr>
          <w:rFonts w:ascii="Garamond" w:eastAsia="Garamond" w:hAnsi="Garamond" w:cs="Garamond"/>
          <w:color w:val="000000"/>
        </w:rPr>
        <w:t xml:space="preserve">, J. D. (2024). </w:t>
      </w:r>
      <w:r>
        <w:rPr>
          <w:rFonts w:ascii="Garamond" w:eastAsia="Garamond" w:hAnsi="Garamond" w:cs="Garamond"/>
          <w:i/>
          <w:color w:val="000000"/>
        </w:rPr>
        <w:t>Modeling mathematics problem-solving persistence within a per</w:t>
      </w:r>
      <w:r>
        <w:rPr>
          <w:rFonts w:ascii="Garamond" w:eastAsia="Garamond" w:hAnsi="Garamond" w:cs="Garamond"/>
          <w:i/>
          <w:color w:val="000000"/>
        </w:rPr>
        <w:t>sonal instructing agent exhibiting synthetic facial expressions</w:t>
      </w:r>
      <w:r>
        <w:rPr>
          <w:rFonts w:ascii="Garamond" w:eastAsia="Garamond" w:hAnsi="Garamond" w:cs="Garamond"/>
          <w:color w:val="000000"/>
        </w:rPr>
        <w:t>. IEEE. https://doi.org/10.1109/WAIE63876.2024.00013</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Flavell, J. H. (1979). Metacognition and cognitive monitoring: A new area of cognitive– developmental inquiry. American Psychologist, 34(10</w:t>
      </w:r>
      <w:r>
        <w:rPr>
          <w:rFonts w:ascii="Garamond" w:eastAsia="Garamond" w:hAnsi="Garamond" w:cs="Garamond"/>
          <w:color w:val="000000"/>
        </w:rPr>
        <w:t>), 906– 911. https://doi.org/10.1037/0003-066X.34.10.906</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Güner</w:t>
      </w:r>
      <w:proofErr w:type="spellEnd"/>
      <w:r>
        <w:rPr>
          <w:rFonts w:ascii="Garamond" w:eastAsia="Garamond" w:hAnsi="Garamond" w:cs="Garamond"/>
          <w:color w:val="000000"/>
        </w:rPr>
        <w:t xml:space="preserve">, P. &amp; </w:t>
      </w:r>
      <w:proofErr w:type="spellStart"/>
      <w:r>
        <w:rPr>
          <w:rFonts w:ascii="Garamond" w:eastAsia="Garamond" w:hAnsi="Garamond" w:cs="Garamond"/>
          <w:color w:val="000000"/>
        </w:rPr>
        <w:t>Erbay</w:t>
      </w:r>
      <w:proofErr w:type="spellEnd"/>
      <w:r>
        <w:rPr>
          <w:rFonts w:ascii="Garamond" w:eastAsia="Garamond" w:hAnsi="Garamond" w:cs="Garamond"/>
          <w:color w:val="000000"/>
        </w:rPr>
        <w:t>, H. N. (2021). Metacognitive skills and problem-solving. International</w:t>
      </w:r>
      <w:r>
        <w:rPr>
          <w:rFonts w:ascii="Garamond" w:eastAsia="Garamond" w:hAnsi="Garamond" w:cs="Garamond"/>
          <w:color w:val="000000"/>
        </w:rPr>
        <w:br/>
        <w:t>Journal of Research in Education and Science (IJRES), 7(3), 715-734.</w:t>
      </w:r>
      <w:r>
        <w:rPr>
          <w:rFonts w:ascii="Garamond" w:eastAsia="Garamond" w:hAnsi="Garamond" w:cs="Garamond"/>
          <w:color w:val="000000"/>
        </w:rPr>
        <w:br/>
        <w:t xml:space="preserve">https://doi.org/10.46328/ijres.1594 </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Hu</w:t>
      </w:r>
      <w:r>
        <w:rPr>
          <w:rFonts w:ascii="Garamond" w:eastAsia="Garamond" w:hAnsi="Garamond" w:cs="Garamond"/>
          <w:color w:val="000000"/>
        </w:rPr>
        <w:t>tauruk</w:t>
      </w:r>
      <w:proofErr w:type="spellEnd"/>
      <w:r>
        <w:rPr>
          <w:rFonts w:ascii="Garamond" w:eastAsia="Garamond" w:hAnsi="Garamond" w:cs="Garamond"/>
          <w:color w:val="000000"/>
        </w:rPr>
        <w:t xml:space="preserve">, A. J. B. &amp; </w:t>
      </w:r>
      <w:proofErr w:type="spellStart"/>
      <w:r>
        <w:rPr>
          <w:rFonts w:ascii="Garamond" w:eastAsia="Garamond" w:hAnsi="Garamond" w:cs="Garamond"/>
          <w:color w:val="000000"/>
        </w:rPr>
        <w:t>Darmayasa</w:t>
      </w:r>
      <w:proofErr w:type="spellEnd"/>
      <w:r>
        <w:rPr>
          <w:rFonts w:ascii="Garamond" w:eastAsia="Garamond" w:hAnsi="Garamond" w:cs="Garamond"/>
          <w:color w:val="000000"/>
        </w:rPr>
        <w:t xml:space="preserve">, J. B. &amp; </w:t>
      </w:r>
      <w:proofErr w:type="spellStart"/>
      <w:r>
        <w:rPr>
          <w:rFonts w:ascii="Garamond" w:eastAsia="Garamond" w:hAnsi="Garamond" w:cs="Garamond"/>
          <w:color w:val="000000"/>
        </w:rPr>
        <w:t>Priatna</w:t>
      </w:r>
      <w:proofErr w:type="spellEnd"/>
      <w:r>
        <w:rPr>
          <w:rFonts w:ascii="Garamond" w:eastAsia="Garamond" w:hAnsi="Garamond" w:cs="Garamond"/>
          <w:color w:val="000000"/>
        </w:rPr>
        <w:t>, N. (2019). Achievement of students' mathematical resilience through problem-based learning model with metacognitive approach. Journal of Physics: Conference Series. International Seminar on Applied Mathematics</w:t>
      </w:r>
      <w:r>
        <w:rPr>
          <w:rFonts w:ascii="Garamond" w:eastAsia="Garamond" w:hAnsi="Garamond" w:cs="Garamond"/>
          <w:color w:val="000000"/>
        </w:rPr>
        <w:t xml:space="preserve"> and Mathematics Education. 1315, 012051.</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Izzati</w:t>
      </w:r>
      <w:proofErr w:type="spellEnd"/>
      <w:r>
        <w:rPr>
          <w:rFonts w:ascii="Garamond" w:eastAsia="Garamond" w:hAnsi="Garamond" w:cs="Garamond"/>
          <w:color w:val="000000"/>
        </w:rPr>
        <w:t xml:space="preserve">, L. R., &amp; Mahmudi, A. (2018). The influence of metacognition in mathematical problem solving. Journal of Physics Conference Series, 1097, 012107. </w:t>
      </w:r>
      <w:hyperlink r:id="rId10">
        <w:r>
          <w:rPr>
            <w:rFonts w:ascii="Garamond" w:eastAsia="Garamond" w:hAnsi="Garamond" w:cs="Garamond"/>
            <w:color w:val="000000"/>
          </w:rPr>
          <w:t>https://doi.org/10.1088/1742-</w:t>
        </w:r>
      </w:hyperlink>
      <w:r>
        <w:rPr>
          <w:rFonts w:ascii="Garamond" w:eastAsia="Garamond" w:hAnsi="Garamond" w:cs="Garamond"/>
          <w:color w:val="000000"/>
        </w:rPr>
        <w:t xml:space="preserve"> </w:t>
      </w:r>
      <w:hyperlink r:id="rId11">
        <w:r>
          <w:rPr>
            <w:rFonts w:ascii="Garamond" w:eastAsia="Garamond" w:hAnsi="Garamond" w:cs="Garamond"/>
            <w:color w:val="000000"/>
          </w:rPr>
          <w:t>6596/1097/1/012107</w:t>
        </w:r>
      </w:hyperlink>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Kamid</w:t>
      </w:r>
      <w:proofErr w:type="spellEnd"/>
      <w:r>
        <w:rPr>
          <w:rFonts w:ascii="Garamond" w:eastAsia="Garamond" w:hAnsi="Garamond" w:cs="Garamond"/>
          <w:color w:val="000000"/>
        </w:rPr>
        <w:t xml:space="preserve">, Kurniawan, D. A., Perdana, R., </w:t>
      </w:r>
      <w:proofErr w:type="spellStart"/>
      <w:r>
        <w:rPr>
          <w:rFonts w:ascii="Garamond" w:eastAsia="Garamond" w:hAnsi="Garamond" w:cs="Garamond"/>
          <w:color w:val="000000"/>
        </w:rPr>
        <w:t>Widodi</w:t>
      </w:r>
      <w:proofErr w:type="spellEnd"/>
      <w:r>
        <w:rPr>
          <w:rFonts w:ascii="Garamond" w:eastAsia="Garamond" w:hAnsi="Garamond" w:cs="Garamond"/>
          <w:color w:val="000000"/>
        </w:rPr>
        <w:t xml:space="preserve">, B., </w:t>
      </w:r>
      <w:proofErr w:type="spellStart"/>
      <w:r>
        <w:rPr>
          <w:rFonts w:ascii="Garamond" w:eastAsia="Garamond" w:hAnsi="Garamond" w:cs="Garamond"/>
          <w:color w:val="000000"/>
        </w:rPr>
        <w:t>Triani</w:t>
      </w:r>
      <w:proofErr w:type="spellEnd"/>
      <w:r>
        <w:rPr>
          <w:rFonts w:ascii="Garamond" w:eastAsia="Garamond" w:hAnsi="Garamond" w:cs="Garamond"/>
          <w:color w:val="000000"/>
        </w:rPr>
        <w:t xml:space="preserve">, E., </w:t>
      </w:r>
      <w:proofErr w:type="spellStart"/>
      <w:r>
        <w:rPr>
          <w:rFonts w:ascii="Garamond" w:eastAsia="Garamond" w:hAnsi="Garamond" w:cs="Garamond"/>
          <w:color w:val="000000"/>
        </w:rPr>
        <w:t>Yathasya</w:t>
      </w:r>
      <w:proofErr w:type="spellEnd"/>
      <w:r>
        <w:rPr>
          <w:rFonts w:ascii="Garamond" w:eastAsia="Garamond" w:hAnsi="Garamond" w:cs="Garamond"/>
          <w:color w:val="000000"/>
        </w:rPr>
        <w:t xml:space="preserve">, D., &amp; </w:t>
      </w:r>
      <w:proofErr w:type="spellStart"/>
      <w:r>
        <w:rPr>
          <w:rFonts w:ascii="Garamond" w:eastAsia="Garamond" w:hAnsi="Garamond" w:cs="Garamond"/>
          <w:color w:val="000000"/>
        </w:rPr>
        <w:t>Fadillah</w:t>
      </w:r>
      <w:proofErr w:type="spellEnd"/>
      <w:r>
        <w:rPr>
          <w:rFonts w:ascii="Garamond" w:eastAsia="Garamond" w:hAnsi="Garamond" w:cs="Garamond"/>
          <w:color w:val="000000"/>
        </w:rPr>
        <w:t xml:space="preserve">, P. (2023). The Persistence Character and Math Processing Skills of Elementary School Students in Thematic Learning. </w:t>
      </w:r>
      <w:proofErr w:type="spellStart"/>
      <w:r>
        <w:rPr>
          <w:rFonts w:ascii="Garamond" w:eastAsia="Garamond" w:hAnsi="Garamond" w:cs="Garamond"/>
          <w:color w:val="000000"/>
        </w:rPr>
        <w:t>Jurnal</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Ilmiah</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Sekolah</w:t>
      </w:r>
      <w:proofErr w:type="spellEnd"/>
      <w:r>
        <w:rPr>
          <w:rFonts w:ascii="Garamond" w:eastAsia="Garamond" w:hAnsi="Garamond" w:cs="Garamond"/>
          <w:color w:val="000000"/>
        </w:rPr>
        <w:t xml:space="preserve"> Dasar, 7(2), 363–373. </w:t>
      </w:r>
      <w:hyperlink r:id="rId12">
        <w:r>
          <w:rPr>
            <w:rFonts w:ascii="Garamond" w:eastAsia="Garamond" w:hAnsi="Garamond" w:cs="Garamond"/>
            <w:color w:val="000000"/>
          </w:rPr>
          <w:t>https://doi.org/10.23887/jisd.v7i2.55094</w:t>
        </w:r>
      </w:hyperlink>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Mazana</w:t>
      </w:r>
      <w:proofErr w:type="spellEnd"/>
      <w:r>
        <w:rPr>
          <w:rFonts w:ascii="Garamond" w:eastAsia="Garamond" w:hAnsi="Garamond" w:cs="Garamond"/>
          <w:color w:val="000000"/>
        </w:rPr>
        <w:t xml:space="preserve">, M. Y., Montero, C. S., &amp; Casmir, R. O. (2018). Investigating Students’ Attitude towards Learning Mathematics. </w:t>
      </w:r>
      <w:r>
        <w:rPr>
          <w:rFonts w:ascii="Garamond" w:eastAsia="Garamond" w:hAnsi="Garamond" w:cs="Garamond"/>
          <w:i/>
          <w:color w:val="000000"/>
        </w:rPr>
        <w:t>International Electronic Journal of Mathemat</w:t>
      </w:r>
      <w:r>
        <w:rPr>
          <w:rFonts w:ascii="Garamond" w:eastAsia="Garamond" w:hAnsi="Garamond" w:cs="Garamond"/>
          <w:i/>
          <w:color w:val="000000"/>
        </w:rPr>
        <w:t>ics Education</w:t>
      </w:r>
      <w:r>
        <w:rPr>
          <w:rFonts w:ascii="Garamond" w:eastAsia="Garamond" w:hAnsi="Garamond" w:cs="Garamond"/>
          <w:color w:val="000000"/>
        </w:rPr>
        <w:t xml:space="preserve">, </w:t>
      </w:r>
      <w:r>
        <w:rPr>
          <w:rFonts w:ascii="Garamond" w:eastAsia="Garamond" w:hAnsi="Garamond" w:cs="Garamond"/>
          <w:i/>
          <w:color w:val="000000"/>
        </w:rPr>
        <w:t>14</w:t>
      </w:r>
      <w:r>
        <w:rPr>
          <w:rFonts w:ascii="Garamond" w:eastAsia="Garamond" w:hAnsi="Garamond" w:cs="Garamond"/>
          <w:color w:val="000000"/>
        </w:rPr>
        <w:t xml:space="preserve">(1). </w:t>
      </w:r>
      <w:hyperlink r:id="rId13">
        <w:r>
          <w:rPr>
            <w:rFonts w:ascii="Garamond" w:eastAsia="Garamond" w:hAnsi="Garamond" w:cs="Garamond"/>
            <w:color w:val="000000"/>
          </w:rPr>
          <w:t>https://doi.org/10.29333/iejme/3997</w:t>
        </w:r>
      </w:hyperlink>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Ogbu</w:t>
      </w:r>
      <w:proofErr w:type="spellEnd"/>
      <w:r>
        <w:rPr>
          <w:rFonts w:ascii="Garamond" w:eastAsia="Garamond" w:hAnsi="Garamond" w:cs="Garamond"/>
          <w:color w:val="000000"/>
        </w:rPr>
        <w:t xml:space="preserve">, S., &amp; </w:t>
      </w:r>
      <w:proofErr w:type="spellStart"/>
      <w:r>
        <w:rPr>
          <w:rFonts w:ascii="Garamond" w:eastAsia="Garamond" w:hAnsi="Garamond" w:cs="Garamond"/>
          <w:color w:val="000000"/>
        </w:rPr>
        <w:t>Ugwu</w:t>
      </w:r>
      <w:proofErr w:type="spellEnd"/>
      <w:r>
        <w:rPr>
          <w:rFonts w:ascii="Garamond" w:eastAsia="Garamond" w:hAnsi="Garamond" w:cs="Garamond"/>
          <w:color w:val="000000"/>
        </w:rPr>
        <w:t>, F. C. (2023). Development and validation of the mathematics persistence scale for secondary school students. International E</w:t>
      </w:r>
      <w:r>
        <w:rPr>
          <w:rFonts w:ascii="Garamond" w:eastAsia="Garamond" w:hAnsi="Garamond" w:cs="Garamond"/>
          <w:color w:val="000000"/>
        </w:rPr>
        <w:t>lectronic Journal of Mathematics Education, 18(4), em0756. https://doi.org/10.29333/iejme/13742</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lastRenderedPageBreak/>
        <w:t>Rahmawati</w:t>
      </w:r>
      <w:proofErr w:type="spellEnd"/>
      <w:r>
        <w:rPr>
          <w:rFonts w:ascii="Garamond" w:eastAsia="Garamond" w:hAnsi="Garamond" w:cs="Garamond"/>
          <w:color w:val="000000"/>
        </w:rPr>
        <w:t xml:space="preserve">, H. H. S. &amp;. S. U. S. &amp;. A. M. &amp;. A. S. &amp;. E. Y. (2024). Correlational study of the mathematical problem-solving ability of vocational high school Students based on Self-Persistence. ideas.repec.org. </w:t>
      </w:r>
      <w:hyperlink r:id="rId14">
        <w:r>
          <w:rPr>
            <w:rFonts w:ascii="Garamond" w:eastAsia="Garamond" w:hAnsi="Garamond" w:cs="Garamond"/>
            <w:color w:val="000000"/>
          </w:rPr>
          <w:t>https://ideas.repec.org/a/bcp/journl/v8y2024i5p2382-2387.html</w:t>
        </w:r>
      </w:hyperlink>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Sahin</w:t>
      </w:r>
      <w:proofErr w:type="spellEnd"/>
      <w:r>
        <w:rPr>
          <w:rFonts w:ascii="Garamond" w:eastAsia="Garamond" w:hAnsi="Garamond" w:cs="Garamond"/>
          <w:color w:val="000000"/>
        </w:rPr>
        <w:t xml:space="preserve">, S. M., &amp; </w:t>
      </w:r>
      <w:proofErr w:type="spellStart"/>
      <w:r>
        <w:rPr>
          <w:rFonts w:ascii="Garamond" w:eastAsia="Garamond" w:hAnsi="Garamond" w:cs="Garamond"/>
          <w:color w:val="000000"/>
        </w:rPr>
        <w:t>Kendir</w:t>
      </w:r>
      <w:proofErr w:type="spellEnd"/>
      <w:r>
        <w:rPr>
          <w:rFonts w:ascii="Garamond" w:eastAsia="Garamond" w:hAnsi="Garamond" w:cs="Garamond"/>
          <w:color w:val="000000"/>
        </w:rPr>
        <w:t>, F. (2013). Using metacognitive strategies to solve geometry problems on students’ achievement and attitude. Educational Research and R</w:t>
      </w:r>
      <w:r>
        <w:rPr>
          <w:rFonts w:ascii="Garamond" w:eastAsia="Garamond" w:hAnsi="Garamond" w:cs="Garamond"/>
          <w:color w:val="000000"/>
        </w:rPr>
        <w:t>eviews, 8(19), 1777-1792. Retrieve from https://academicjournals.org/article/article1382341949_Sahin%20and%20 Kendir.pdf</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Schraw, G. and Dennison, R. S. (1994). Assessing metacognitive awareness. Contemporary Educational Psychology, 19, 460-475.</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r>
        <w:rPr>
          <w:rFonts w:ascii="Garamond" w:eastAsia="Garamond" w:hAnsi="Garamond" w:cs="Garamond"/>
          <w:color w:val="000000"/>
        </w:rPr>
        <w:t>Shen, B.,</w:t>
      </w:r>
      <w:r>
        <w:rPr>
          <w:rFonts w:ascii="Garamond" w:eastAsia="Garamond" w:hAnsi="Garamond" w:cs="Garamond"/>
          <w:color w:val="000000"/>
        </w:rPr>
        <w:t xml:space="preserve"> </w:t>
      </w:r>
      <w:proofErr w:type="spellStart"/>
      <w:r>
        <w:rPr>
          <w:rFonts w:ascii="Garamond" w:eastAsia="Garamond" w:hAnsi="Garamond" w:cs="Garamond"/>
          <w:color w:val="000000"/>
        </w:rPr>
        <w:t>McCaughtry</w:t>
      </w:r>
      <w:proofErr w:type="spellEnd"/>
      <w:r>
        <w:rPr>
          <w:rFonts w:ascii="Garamond" w:eastAsia="Garamond" w:hAnsi="Garamond" w:cs="Garamond"/>
          <w:color w:val="000000"/>
        </w:rPr>
        <w:t xml:space="preserve">, N., Martin, J., </w:t>
      </w:r>
      <w:proofErr w:type="spellStart"/>
      <w:r>
        <w:rPr>
          <w:rFonts w:ascii="Garamond" w:eastAsia="Garamond" w:hAnsi="Garamond" w:cs="Garamond"/>
          <w:color w:val="000000"/>
        </w:rPr>
        <w:t>Garn</w:t>
      </w:r>
      <w:proofErr w:type="spellEnd"/>
      <w:r>
        <w:rPr>
          <w:rFonts w:ascii="Garamond" w:eastAsia="Garamond" w:hAnsi="Garamond" w:cs="Garamond"/>
          <w:color w:val="000000"/>
        </w:rPr>
        <w:t>, A., Kulik, N., &amp; Fahlman, M. (2015). The relationship between teacher burnout and student motivation. British Journal of Educational Psychology, 85(4), 519-532.</w:t>
      </w:r>
    </w:p>
    <w:p w:rsidR="00345BFA" w:rsidRDefault="00345BFA">
      <w:pPr>
        <w:pBdr>
          <w:top w:val="nil"/>
          <w:left w:val="nil"/>
          <w:bottom w:val="nil"/>
          <w:right w:val="nil"/>
          <w:between w:val="nil"/>
        </w:pBdr>
        <w:spacing w:after="0" w:line="240" w:lineRule="auto"/>
        <w:ind w:left="720" w:hanging="720"/>
        <w:jc w:val="both"/>
        <w:rPr>
          <w:rFonts w:ascii="Garamond" w:eastAsia="Garamond" w:hAnsi="Garamond" w:cs="Garamond"/>
          <w:color w:val="000000"/>
        </w:rPr>
      </w:pPr>
    </w:p>
    <w:p w:rsidR="00345BFA" w:rsidRDefault="007804C9">
      <w:pPr>
        <w:pBdr>
          <w:top w:val="nil"/>
          <w:left w:val="nil"/>
          <w:bottom w:val="nil"/>
          <w:right w:val="nil"/>
          <w:between w:val="nil"/>
        </w:pBdr>
        <w:spacing w:after="0" w:line="240" w:lineRule="auto"/>
        <w:ind w:left="720" w:hanging="720"/>
        <w:jc w:val="both"/>
        <w:rPr>
          <w:rFonts w:ascii="Garamond" w:eastAsia="Garamond" w:hAnsi="Garamond" w:cs="Garamond"/>
          <w:color w:val="000000"/>
        </w:rPr>
      </w:pPr>
      <w:proofErr w:type="spellStart"/>
      <w:r>
        <w:rPr>
          <w:rFonts w:ascii="Garamond" w:eastAsia="Garamond" w:hAnsi="Garamond" w:cs="Garamond"/>
          <w:color w:val="000000"/>
        </w:rPr>
        <w:t>Sultanova</w:t>
      </w:r>
      <w:proofErr w:type="spellEnd"/>
      <w:r>
        <w:rPr>
          <w:rFonts w:ascii="Garamond" w:eastAsia="Garamond" w:hAnsi="Garamond" w:cs="Garamond"/>
          <w:color w:val="000000"/>
        </w:rPr>
        <w:t xml:space="preserve">, G., </w:t>
      </w:r>
      <w:proofErr w:type="spellStart"/>
      <w:r>
        <w:rPr>
          <w:rFonts w:ascii="Garamond" w:eastAsia="Garamond" w:hAnsi="Garamond" w:cs="Garamond"/>
          <w:color w:val="000000"/>
        </w:rPr>
        <w:t>Shilibekova</w:t>
      </w:r>
      <w:proofErr w:type="spellEnd"/>
      <w:r>
        <w:rPr>
          <w:rFonts w:ascii="Garamond" w:eastAsia="Garamond" w:hAnsi="Garamond" w:cs="Garamond"/>
          <w:color w:val="000000"/>
        </w:rPr>
        <w:t xml:space="preserve">, A., </w:t>
      </w:r>
      <w:proofErr w:type="spellStart"/>
      <w:r>
        <w:rPr>
          <w:rFonts w:ascii="Garamond" w:eastAsia="Garamond" w:hAnsi="Garamond" w:cs="Garamond"/>
          <w:color w:val="000000"/>
        </w:rPr>
        <w:t>Rakhymbayeva</w:t>
      </w:r>
      <w:proofErr w:type="spellEnd"/>
      <w:r>
        <w:rPr>
          <w:rFonts w:ascii="Garamond" w:eastAsia="Garamond" w:hAnsi="Garamond" w:cs="Garamond"/>
          <w:color w:val="000000"/>
        </w:rPr>
        <w:t xml:space="preserve">, Z., </w:t>
      </w:r>
      <w:proofErr w:type="spellStart"/>
      <w:r>
        <w:rPr>
          <w:rFonts w:ascii="Garamond" w:eastAsia="Garamond" w:hAnsi="Garamond" w:cs="Garamond"/>
          <w:color w:val="000000"/>
        </w:rPr>
        <w:t>Rakhimbek</w:t>
      </w:r>
      <w:r>
        <w:rPr>
          <w:rFonts w:ascii="Garamond" w:eastAsia="Garamond" w:hAnsi="Garamond" w:cs="Garamond"/>
          <w:color w:val="000000"/>
        </w:rPr>
        <w:t>ova</w:t>
      </w:r>
      <w:proofErr w:type="spellEnd"/>
      <w:r>
        <w:rPr>
          <w:rFonts w:ascii="Garamond" w:eastAsia="Garamond" w:hAnsi="Garamond" w:cs="Garamond"/>
          <w:color w:val="000000"/>
        </w:rPr>
        <w:t xml:space="preserve">, A., &amp; </w:t>
      </w:r>
      <w:proofErr w:type="spellStart"/>
      <w:r>
        <w:rPr>
          <w:rFonts w:ascii="Garamond" w:eastAsia="Garamond" w:hAnsi="Garamond" w:cs="Garamond"/>
          <w:color w:val="000000"/>
        </w:rPr>
        <w:t>Shora</w:t>
      </w:r>
      <w:proofErr w:type="spellEnd"/>
      <w:r>
        <w:rPr>
          <w:rFonts w:ascii="Garamond" w:eastAsia="Garamond" w:hAnsi="Garamond" w:cs="Garamond"/>
          <w:color w:val="000000"/>
        </w:rPr>
        <w:t xml:space="preserve">, N. (2024). Exploring the influence of non-cognitive skills on academic achievement in STEM education: the case of Kazakhstan. </w:t>
      </w:r>
      <w:r>
        <w:rPr>
          <w:rFonts w:ascii="Garamond" w:eastAsia="Garamond" w:hAnsi="Garamond" w:cs="Garamond"/>
          <w:i/>
          <w:color w:val="000000"/>
        </w:rPr>
        <w:t>Frontiers in Education</w:t>
      </w:r>
      <w:r>
        <w:rPr>
          <w:rFonts w:ascii="Garamond" w:eastAsia="Garamond" w:hAnsi="Garamond" w:cs="Garamond"/>
          <w:color w:val="000000"/>
        </w:rPr>
        <w:t xml:space="preserve">, </w:t>
      </w:r>
      <w:r>
        <w:rPr>
          <w:rFonts w:ascii="Garamond" w:eastAsia="Garamond" w:hAnsi="Garamond" w:cs="Garamond"/>
          <w:i/>
          <w:color w:val="000000"/>
        </w:rPr>
        <w:t>9</w:t>
      </w:r>
      <w:r>
        <w:rPr>
          <w:rFonts w:ascii="Garamond" w:eastAsia="Garamond" w:hAnsi="Garamond" w:cs="Garamond"/>
          <w:color w:val="000000"/>
        </w:rPr>
        <w:t>. https://doi.org/10.3389/feduc.2024.1339625</w:t>
      </w:r>
    </w:p>
    <w:p w:rsidR="00345BFA" w:rsidRDefault="00345BFA">
      <w:pPr>
        <w:jc w:val="both"/>
        <w:rPr>
          <w:rFonts w:ascii="Garamond" w:eastAsia="Garamond" w:hAnsi="Garamond" w:cs="Garamond"/>
          <w:b/>
          <w:sz w:val="22"/>
          <w:szCs w:val="22"/>
        </w:rPr>
      </w:pPr>
    </w:p>
    <w:sectPr w:rsidR="00345BF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4C9" w:rsidRDefault="007804C9">
      <w:pPr>
        <w:spacing w:after="0" w:line="240" w:lineRule="auto"/>
      </w:pPr>
      <w:r>
        <w:separator/>
      </w:r>
    </w:p>
  </w:endnote>
  <w:endnote w:type="continuationSeparator" w:id="0">
    <w:p w:rsidR="007804C9" w:rsidRDefault="0078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345BF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345BF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345B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4C9" w:rsidRDefault="007804C9">
      <w:pPr>
        <w:spacing w:after="0" w:line="240" w:lineRule="auto"/>
      </w:pPr>
      <w:r>
        <w:separator/>
      </w:r>
    </w:p>
  </w:footnote>
  <w:footnote w:type="continuationSeparator" w:id="0">
    <w:p w:rsidR="007804C9" w:rsidRDefault="00780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7804C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93.85pt;height:65.9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7804C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3.85pt;height:65.9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A" w:rsidRDefault="007804C9">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5pt;height:65.9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7616"/>
    <w:multiLevelType w:val="multilevel"/>
    <w:tmpl w:val="0F5A5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A87E0D"/>
    <w:multiLevelType w:val="multilevel"/>
    <w:tmpl w:val="27F89B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CDE25D6"/>
    <w:multiLevelType w:val="multilevel"/>
    <w:tmpl w:val="78F84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FA"/>
    <w:rsid w:val="00232EA0"/>
    <w:rsid w:val="00345BFA"/>
    <w:rsid w:val="0078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91A20"/>
  <w15:docId w15:val="{E29CD644-4AD5-440C-A03E-D8C1AC53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PH"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uiPriority w:val="11"/>
    <w:qFormat/>
    <w:rPr>
      <w:color w:val="595959"/>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tblPr>
      <w:tblCellMar>
        <w:left w:w="115" w:type="dxa"/>
        <w:right w:w="115" w:type="dxa"/>
      </w:tblCellMar>
    </w:tblPr>
  </w:style>
  <w:style w:type="table" w:customStyle="1" w:styleId="Style12">
    <w:name w:val="_Style 12"/>
    <w:basedOn w:val="TableNormal"/>
    <w:tblPr>
      <w:tblCellMar>
        <w:left w:w="115" w:type="dxa"/>
        <w:right w:w="115" w:type="dxa"/>
      </w:tblCellMar>
    </w:tblPr>
  </w:style>
  <w:style w:type="table" w:customStyle="1" w:styleId="Style13">
    <w:name w:val="_Style 13"/>
    <w:basedOn w:val="TableNormal"/>
    <w:tblPr>
      <w:tblCellMar>
        <w:left w:w="115" w:type="dxa"/>
        <w:right w:w="115" w:type="dxa"/>
      </w:tblCellMar>
    </w:tblPr>
  </w:style>
  <w:style w:type="table" w:customStyle="1" w:styleId="Style14">
    <w:name w:val="_Style 14"/>
    <w:basedOn w:val="TableNormal"/>
    <w:tblPr>
      <w:tblCellMar>
        <w:left w:w="115" w:type="dxa"/>
        <w:right w:w="115" w:type="dxa"/>
      </w:tblCellMar>
    </w:tblPr>
  </w:style>
  <w:style w:type="table" w:customStyle="1" w:styleId="Style15">
    <w:name w:val="_Style 15"/>
    <w:basedOn w:val="TableNormal"/>
    <w:tblPr>
      <w:tblCellMar>
        <w:left w:w="115" w:type="dxa"/>
        <w:right w:w="115" w:type="dxa"/>
      </w:tblCellMar>
    </w:tblPr>
  </w:style>
  <w:style w:type="table" w:customStyle="1" w:styleId="Style16">
    <w:name w:val="_Style 16"/>
    <w:basedOn w:val="TableNormal"/>
    <w:tblPr>
      <w:tblCellMar>
        <w:left w:w="115" w:type="dxa"/>
        <w:right w:w="115"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UnresolvedMention2">
    <w:name w:val="Unresolved Mention2"/>
    <w:basedOn w:val="DefaultParagraphFont"/>
    <w:uiPriority w:val="99"/>
    <w:semiHidden/>
    <w:unhideWhenUsed/>
    <w:rsid w:val="000E62AE"/>
    <w:rPr>
      <w:color w:val="605E5C"/>
      <w:shd w:val="clear" w:color="auto" w:fill="E1DFDD"/>
    </w:rPr>
  </w:style>
  <w:style w:type="paragraph" w:styleId="Header">
    <w:name w:val="header"/>
    <w:basedOn w:val="Normal"/>
    <w:link w:val="HeaderChar"/>
    <w:uiPriority w:val="99"/>
    <w:unhideWhenUsed/>
    <w:rsid w:val="00D7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961"/>
    <w:rPr>
      <w:rFonts w:ascii="Aptos" w:eastAsia="Aptos" w:hAnsi="Aptos" w:cs="Aptos"/>
      <w:sz w:val="24"/>
      <w:szCs w:val="24"/>
      <w:lang w:eastAsia="en-US"/>
    </w:rPr>
  </w:style>
  <w:style w:type="paragraph" w:styleId="Footer">
    <w:name w:val="footer"/>
    <w:basedOn w:val="Normal"/>
    <w:link w:val="FooterChar"/>
    <w:uiPriority w:val="99"/>
    <w:unhideWhenUsed/>
    <w:rsid w:val="00D7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961"/>
    <w:rPr>
      <w:rFonts w:ascii="Aptos" w:eastAsia="Aptos" w:hAnsi="Aptos" w:cs="Aptos"/>
      <w:sz w:val="24"/>
      <w:szCs w:val="24"/>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33/iejme/399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3887/jisd.v7i2.550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8/1742-6596/1097/1/0121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8/1742-6596/1097/1/0121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29333/iejme/11835" TargetMode="External"/><Relationship Id="rId14" Type="http://schemas.openxmlformats.org/officeDocument/2006/relationships/hyperlink" Target="https://ideas.repec.org/a/bcp/journl/v8y2024i5p2382-2387.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4T8yUJ5aBKpv59uMFQsgEAENOw==">CgMxLjAyDmguN3ZpaGZ6dXF1b2UwMg5oLnNxeTc3amRlaG45aTIOaC5oaGExYmYxZTh3cGIyDmguaDJ6bWkwM2VtZzdmMg5oLjFkcndyZHB2Zjc1cTIOaC5uejZsand5aTQzZzIyDmgudzU3dW1ndDVwYm13Mg5oLnB3dm8weTZhd3V0dTIOaC5wd3ZvMHk2YXd1dHUyDmgucHd2bzB5NmF3dXR1Mg5oLmJqdWxuYnNxaXhkNDgAciExU3UtQTVSXzRTX2RERlRzb3F0STNadnpaRFpBVmhxR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3103</Words>
  <Characters>17691</Characters>
  <Application>Microsoft Office Word</Application>
  <DocSecurity>0</DocSecurity>
  <Lines>147</Lines>
  <Paragraphs>41</Paragraphs>
  <ScaleCrop>false</ScaleCrop>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1183</cp:lastModifiedBy>
  <cp:revision>2</cp:revision>
  <dcterms:created xsi:type="dcterms:W3CDTF">2025-06-02T00:58:00Z</dcterms:created>
  <dcterms:modified xsi:type="dcterms:W3CDTF">2025-06-10T11:04:00Z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76D3365D68DC4138B2C656A4812049D7_12</vt:lpwstr>
  </property>
  <property fmtid="{D5CDD505-2E9C-101B-9397-08002B2CF9AE}" pid="4" name="GrammarlyDocumentId">
    <vt:lpwstr>5ab3d556-8413-46d1-bc7d-51772dc984f0</vt:lpwstr>
  </property>
</Properties>
</file>