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E1BF" w14:textId="77777777" w:rsidR="00ED7E32" w:rsidRDefault="00ED7E32" w:rsidP="00441B6F">
      <w:pPr>
        <w:pStyle w:val="Title"/>
        <w:spacing w:after="0"/>
        <w:jc w:val="both"/>
        <w:rPr>
          <w:rFonts w:ascii="Arial" w:hAnsi="Arial" w:cs="Arial"/>
        </w:rPr>
      </w:pPr>
    </w:p>
    <w:p w14:paraId="49EAB5D9" w14:textId="532B3CEC" w:rsidR="00163BC4" w:rsidRPr="00163BC4" w:rsidRDefault="00B471D6" w:rsidP="00441B6F">
      <w:pPr>
        <w:pStyle w:val="Author"/>
        <w:spacing w:line="240" w:lineRule="auto"/>
        <w:rPr>
          <w:rFonts w:ascii="Arial" w:hAnsi="Arial" w:cs="Arial"/>
          <w:bCs/>
          <w:iCs/>
          <w:kern w:val="28"/>
          <w:sz w:val="36"/>
        </w:rPr>
      </w:pPr>
      <w:r>
        <w:rPr>
          <w:rFonts w:ascii="Arial" w:hAnsi="Arial" w:cs="Arial"/>
          <w:bCs/>
          <w:iCs/>
          <w:kern w:val="28"/>
          <w:sz w:val="36"/>
        </w:rPr>
        <w:t>Evaluating t</w:t>
      </w:r>
      <w:r w:rsidR="00D83B5D">
        <w:rPr>
          <w:rFonts w:ascii="Arial" w:hAnsi="Arial" w:cs="Arial"/>
          <w:bCs/>
          <w:iCs/>
          <w:kern w:val="28"/>
          <w:sz w:val="36"/>
        </w:rPr>
        <w:t>he Effect of</w:t>
      </w:r>
      <w:r>
        <w:rPr>
          <w:rFonts w:ascii="Arial" w:hAnsi="Arial" w:cs="Arial"/>
          <w:bCs/>
          <w:iCs/>
          <w:kern w:val="28"/>
          <w:sz w:val="36"/>
        </w:rPr>
        <w:t xml:space="preserve"> a </w:t>
      </w:r>
      <w:r w:rsidR="00D83B5D">
        <w:rPr>
          <w:rFonts w:ascii="Arial" w:hAnsi="Arial" w:cs="Arial"/>
          <w:bCs/>
          <w:iCs/>
          <w:kern w:val="28"/>
          <w:sz w:val="36"/>
        </w:rPr>
        <w:t>Mobile</w:t>
      </w:r>
      <w:r>
        <w:rPr>
          <w:rFonts w:ascii="Arial" w:hAnsi="Arial" w:cs="Arial"/>
          <w:bCs/>
          <w:iCs/>
          <w:kern w:val="28"/>
          <w:sz w:val="36"/>
        </w:rPr>
        <w:t xml:space="preserve"> Interactive</w:t>
      </w:r>
      <w:r w:rsidR="00D83B5D">
        <w:rPr>
          <w:rFonts w:ascii="Arial" w:hAnsi="Arial" w:cs="Arial"/>
          <w:bCs/>
          <w:iCs/>
          <w:kern w:val="28"/>
          <w:sz w:val="36"/>
        </w:rPr>
        <w:t xml:space="preserve"> Damath Game on Grade 8</w:t>
      </w:r>
      <w:r>
        <w:rPr>
          <w:rFonts w:ascii="Arial" w:hAnsi="Arial" w:cs="Arial"/>
          <w:bCs/>
          <w:iCs/>
          <w:kern w:val="28"/>
          <w:sz w:val="36"/>
        </w:rPr>
        <w:t xml:space="preserve"> Students’ Performance in Integer Operations</w:t>
      </w:r>
      <w:r w:rsidR="00D83B5D">
        <w:rPr>
          <w:rFonts w:ascii="Arial" w:hAnsi="Arial" w:cs="Arial"/>
          <w:bCs/>
          <w:iCs/>
          <w:kern w:val="28"/>
          <w:sz w:val="36"/>
        </w:rPr>
        <w:t>: A Quasi-Experimental Study</w:t>
      </w:r>
      <w:r w:rsidR="00231920">
        <w:rPr>
          <w:rFonts w:ascii="Arial" w:hAnsi="Arial" w:cs="Arial"/>
          <w:bCs/>
          <w:iCs/>
          <w:kern w:val="28"/>
          <w:sz w:val="36"/>
        </w:rPr>
        <w:t xml:space="preserve"> </w:t>
      </w:r>
    </w:p>
    <w:p w14:paraId="4C4F2E0F" w14:textId="77777777" w:rsidR="00A258C3" w:rsidRPr="00790ADA" w:rsidRDefault="00A258C3" w:rsidP="00441B6F">
      <w:pPr>
        <w:pStyle w:val="Author"/>
        <w:spacing w:line="240" w:lineRule="auto"/>
        <w:jc w:val="both"/>
        <w:rPr>
          <w:rFonts w:ascii="Arial" w:hAnsi="Arial" w:cs="Arial"/>
          <w:sz w:val="36"/>
        </w:rPr>
      </w:pPr>
    </w:p>
    <w:p w14:paraId="1D78C547" w14:textId="77777777" w:rsidR="00790ADA" w:rsidRDefault="00790ADA" w:rsidP="00441B6F">
      <w:pPr>
        <w:pStyle w:val="Affiliation"/>
        <w:spacing w:after="0" w:line="240" w:lineRule="auto"/>
        <w:jc w:val="both"/>
        <w:rPr>
          <w:rFonts w:ascii="Arial" w:hAnsi="Arial" w:cs="Arial"/>
        </w:rPr>
      </w:pPr>
    </w:p>
    <w:p w14:paraId="3D34FDB3" w14:textId="77777777" w:rsidR="002C57D2" w:rsidRPr="00FB3A86" w:rsidRDefault="002C57D2" w:rsidP="00441B6F">
      <w:pPr>
        <w:pStyle w:val="Affiliation"/>
        <w:spacing w:after="0" w:line="240" w:lineRule="auto"/>
        <w:jc w:val="both"/>
        <w:rPr>
          <w:rFonts w:ascii="Arial" w:hAnsi="Arial" w:cs="Arial"/>
        </w:rPr>
      </w:pPr>
    </w:p>
    <w:p w14:paraId="34F58BC1" w14:textId="77777777" w:rsidR="00B01FCD" w:rsidRPr="00FB3A86" w:rsidRDefault="00D83B5D" w:rsidP="00441B6F">
      <w:pPr>
        <w:pStyle w:val="Copyright"/>
        <w:spacing w:after="0" w:line="240" w:lineRule="auto"/>
        <w:jc w:val="both"/>
        <w:rPr>
          <w:rFonts w:ascii="Arial" w:hAnsi="Arial" w:cs="Arial"/>
        </w:rPr>
        <w:sectPr w:rsidR="00B01FCD" w:rsidRPr="00FB3A86" w:rsidSect="00DE73B2">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4A7AF5" wp14:editId="5A5BB79C">
                <wp:extent cx="5303520" cy="0"/>
                <wp:effectExtent l="13335" t="16510" r="17145"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F91F9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AFF28C7"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CCA4D8F" w14:textId="77777777" w:rsidTr="001E44FE">
        <w:tc>
          <w:tcPr>
            <w:tcW w:w="9576" w:type="dxa"/>
            <w:shd w:val="clear" w:color="auto" w:fill="F2F2F2"/>
          </w:tcPr>
          <w:p w14:paraId="39CC46F1" w14:textId="77777777" w:rsidR="00505F06" w:rsidRPr="000218FB" w:rsidRDefault="000218FB" w:rsidP="000218FB">
            <w:pPr>
              <w:jc w:val="both"/>
              <w:rPr>
                <w:rFonts w:ascii="Arial" w:hAnsi="Arial" w:cs="Arial"/>
              </w:rPr>
            </w:pPr>
            <w:r w:rsidRPr="00624BD5">
              <w:rPr>
                <w:rFonts w:ascii="Arial" w:hAnsi="Arial" w:cs="Arial"/>
              </w:rPr>
              <w:t>This study determined the effect of mobile Damath game on Grade 8 students’</w:t>
            </w:r>
            <w:r>
              <w:rPr>
                <w:rFonts w:ascii="Arial" w:hAnsi="Arial" w:cs="Arial"/>
              </w:rPr>
              <w:t xml:space="preserve"> academic</w:t>
            </w:r>
            <w:r w:rsidRPr="00624BD5">
              <w:rPr>
                <w:rFonts w:ascii="Arial" w:hAnsi="Arial" w:cs="Arial"/>
              </w:rPr>
              <w:t xml:space="preserve"> performance</w:t>
            </w:r>
            <w:r>
              <w:rPr>
                <w:rFonts w:ascii="Arial" w:hAnsi="Arial" w:cs="Arial"/>
              </w:rPr>
              <w:t xml:space="preserve"> on integer operations</w:t>
            </w:r>
            <w:r w:rsidRPr="00624BD5">
              <w:rPr>
                <w:rFonts w:ascii="Arial" w:hAnsi="Arial" w:cs="Arial"/>
              </w:rPr>
              <w:t xml:space="preserve"> and their level of engagement with the game. Conducted at Badas National High School, Mati City Division, Mati City, Davao Oriental, Philippines, the study employed a quasi-expe</w:t>
            </w:r>
            <w:r>
              <w:rPr>
                <w:rFonts w:ascii="Arial" w:hAnsi="Arial" w:cs="Arial"/>
              </w:rPr>
              <w:t xml:space="preserve">rimental design with 60 </w:t>
            </w:r>
            <w:r w:rsidRPr="00624BD5">
              <w:rPr>
                <w:rFonts w:ascii="Arial" w:hAnsi="Arial" w:cs="Arial"/>
              </w:rPr>
              <w:t xml:space="preserve">respondents equally distributed to experimental and control groups. The experimental group was given the mobile Damath learning intervention while the control was taught with traditional instruction </w:t>
            </w:r>
            <w:r>
              <w:rPr>
                <w:rFonts w:ascii="Arial" w:hAnsi="Arial" w:cs="Arial"/>
              </w:rPr>
              <w:t xml:space="preserve">for three (3) </w:t>
            </w:r>
            <w:r w:rsidRPr="00624BD5">
              <w:rPr>
                <w:rFonts w:ascii="Arial" w:hAnsi="Arial" w:cs="Arial"/>
              </w:rPr>
              <w:t xml:space="preserve">weeks. Data were gathered through validated researcher-made test and AI-assisted survey questionnaire. Statistical tools including mean, standard deviation, independent sample t-test, and Pearson correlation were utilized to assess math performance and engagement levels. Data </w:t>
            </w:r>
            <w:r>
              <w:rPr>
                <w:rFonts w:ascii="Arial" w:hAnsi="Arial" w:cs="Arial"/>
              </w:rPr>
              <w:t xml:space="preserve">on pre-test conducted to </w:t>
            </w:r>
            <w:r w:rsidRPr="00624BD5">
              <w:rPr>
                <w:rFonts w:ascii="Arial" w:hAnsi="Arial" w:cs="Arial"/>
              </w:rPr>
              <w:t>experimental group</w:t>
            </w:r>
            <w:r>
              <w:rPr>
                <w:rFonts w:ascii="Arial" w:hAnsi="Arial" w:cs="Arial"/>
              </w:rPr>
              <w:t xml:space="preserve"> </w:t>
            </w:r>
            <w:r w:rsidRPr="00624BD5">
              <w:rPr>
                <w:rFonts w:ascii="Arial" w:hAnsi="Arial" w:cs="Arial"/>
              </w:rPr>
              <w:t>(male-16, female-14</w:t>
            </w:r>
            <w:r>
              <w:rPr>
                <w:rFonts w:ascii="Arial" w:hAnsi="Arial" w:cs="Arial"/>
              </w:rPr>
              <w:t>)</w:t>
            </w:r>
            <w:r w:rsidRPr="00624BD5">
              <w:rPr>
                <w:rFonts w:ascii="Arial" w:hAnsi="Arial" w:cs="Arial"/>
              </w:rPr>
              <w:t xml:space="preserve">, showed an average score of </w:t>
            </w:r>
            <w:r>
              <w:rPr>
                <w:rFonts w:ascii="Arial" w:hAnsi="Arial" w:cs="Arial"/>
              </w:rPr>
              <w:t xml:space="preserve">64.29%. </w:t>
            </w:r>
            <w:r w:rsidRPr="00624BD5">
              <w:rPr>
                <w:rFonts w:ascii="Arial" w:hAnsi="Arial" w:cs="Arial"/>
              </w:rPr>
              <w:t>Meanwhile, the co</w:t>
            </w:r>
            <w:r>
              <w:rPr>
                <w:rFonts w:ascii="Arial" w:hAnsi="Arial" w:cs="Arial"/>
              </w:rPr>
              <w:t>ntrol group (male-20, female-10) resulted with a mean of 64.04%, both under the Beginning proficiency level</w:t>
            </w:r>
            <w:r w:rsidRPr="00624BD5">
              <w:rPr>
                <w:rFonts w:ascii="Arial" w:hAnsi="Arial" w:cs="Arial"/>
              </w:rPr>
              <w:t xml:space="preserve">. </w:t>
            </w:r>
            <w:r>
              <w:rPr>
                <w:rFonts w:ascii="Arial" w:hAnsi="Arial" w:cs="Arial"/>
              </w:rPr>
              <w:t>The</w:t>
            </w:r>
            <w:r w:rsidRPr="00624BD5">
              <w:rPr>
                <w:rFonts w:ascii="Arial" w:hAnsi="Arial" w:cs="Arial"/>
              </w:rPr>
              <w:t xml:space="preserve"> t-test revealed a statistically significant difference (P=0.004) </w:t>
            </w:r>
            <w:r>
              <w:rPr>
                <w:rFonts w:ascii="Arial" w:hAnsi="Arial" w:cs="Arial"/>
              </w:rPr>
              <w:t xml:space="preserve">in the post-test results </w:t>
            </w:r>
            <w:r w:rsidRPr="00624BD5">
              <w:rPr>
                <w:rFonts w:ascii="Arial" w:hAnsi="Arial" w:cs="Arial"/>
              </w:rPr>
              <w:t>between the experimental group (M=77.35, SD=4.23) and control group (M=73.61%, SD=5.44). Findings further explained that although both groups initially performed at the Beginn</w:t>
            </w:r>
            <w:r>
              <w:rPr>
                <w:rFonts w:ascii="Arial" w:hAnsi="Arial" w:cs="Arial"/>
              </w:rPr>
              <w:t xml:space="preserve">ing level, they improved, </w:t>
            </w:r>
            <w:r w:rsidRPr="00624BD5">
              <w:rPr>
                <w:rFonts w:ascii="Arial" w:hAnsi="Arial" w:cs="Arial"/>
              </w:rPr>
              <w:t>with</w:t>
            </w:r>
            <w:r>
              <w:rPr>
                <w:rFonts w:ascii="Arial" w:hAnsi="Arial" w:cs="Arial"/>
              </w:rPr>
              <w:t xml:space="preserve"> the experimental group progressed</w:t>
            </w:r>
            <w:r w:rsidRPr="00624BD5">
              <w:rPr>
                <w:rFonts w:ascii="Arial" w:hAnsi="Arial" w:cs="Arial"/>
              </w:rPr>
              <w:t xml:space="preserve"> to Developing level, indicating the effectivenes</w:t>
            </w:r>
            <w:r>
              <w:rPr>
                <w:rFonts w:ascii="Arial" w:hAnsi="Arial" w:cs="Arial"/>
              </w:rPr>
              <w:t xml:space="preserve">s of the mobile Damath </w:t>
            </w:r>
            <w:r w:rsidRPr="00624BD5">
              <w:rPr>
                <w:rFonts w:ascii="Arial" w:hAnsi="Arial" w:cs="Arial"/>
              </w:rPr>
              <w:t>intervention. Ho</w:t>
            </w:r>
            <w:r>
              <w:rPr>
                <w:rFonts w:ascii="Arial" w:hAnsi="Arial" w:cs="Arial"/>
              </w:rPr>
              <w:t xml:space="preserve">wever, while </w:t>
            </w:r>
            <w:r w:rsidRPr="00624BD5">
              <w:rPr>
                <w:rFonts w:ascii="Arial" w:hAnsi="Arial" w:cs="Arial"/>
              </w:rPr>
              <w:t>the experimental group revealed a signi</w:t>
            </w:r>
            <w:r>
              <w:rPr>
                <w:rFonts w:ascii="Arial" w:hAnsi="Arial" w:cs="Arial"/>
              </w:rPr>
              <w:t>ficant improvement</w:t>
            </w:r>
            <w:r w:rsidRPr="00624BD5">
              <w:rPr>
                <w:rFonts w:ascii="Arial" w:hAnsi="Arial" w:cs="Arial"/>
              </w:rPr>
              <w:t xml:space="preserve">, </w:t>
            </w:r>
            <w:r>
              <w:rPr>
                <w:rFonts w:ascii="Arial" w:hAnsi="Arial" w:cs="Arial"/>
              </w:rPr>
              <w:t xml:space="preserve">their </w:t>
            </w:r>
            <w:r w:rsidRPr="00624BD5">
              <w:rPr>
                <w:rFonts w:ascii="Arial" w:hAnsi="Arial" w:cs="Arial"/>
              </w:rPr>
              <w:t>engagement with the game did not exhibit a strong correlation with learning outcomes (</w:t>
            </w:r>
            <w:r w:rsidRPr="000545D5">
              <w:rPr>
                <w:rFonts w:ascii="Arial" w:hAnsi="Arial" w:cs="Arial"/>
                <w:i/>
              </w:rPr>
              <w:t>r= -0.088, P= .645</w:t>
            </w:r>
            <w:r w:rsidRPr="00624BD5">
              <w:rPr>
                <w:rFonts w:ascii="Arial" w:hAnsi="Arial" w:cs="Arial"/>
              </w:rPr>
              <w:t>). This indicated that while game-based learning enhances</w:t>
            </w:r>
            <w:r>
              <w:rPr>
                <w:rFonts w:ascii="Arial" w:hAnsi="Arial" w:cs="Arial"/>
              </w:rPr>
              <w:t xml:space="preserve"> students’ </w:t>
            </w:r>
            <w:r w:rsidRPr="00624BD5">
              <w:rPr>
                <w:rFonts w:ascii="Arial" w:hAnsi="Arial" w:cs="Arial"/>
              </w:rPr>
              <w:t xml:space="preserve">attitude and engagement </w:t>
            </w:r>
            <w:r>
              <w:rPr>
                <w:rFonts w:ascii="Arial" w:hAnsi="Arial" w:cs="Arial"/>
              </w:rPr>
              <w:t>with</w:t>
            </w:r>
            <w:r w:rsidRPr="00624BD5">
              <w:rPr>
                <w:rFonts w:ascii="Arial" w:hAnsi="Arial" w:cs="Arial"/>
              </w:rPr>
              <w:t xml:space="preserve"> the game, it did not directly translate </w:t>
            </w:r>
            <w:r>
              <w:rPr>
                <w:rFonts w:ascii="Arial" w:hAnsi="Arial" w:cs="Arial"/>
              </w:rPr>
              <w:t>to their academic achievement. Based from these findings</w:t>
            </w:r>
            <w:r w:rsidRPr="00624BD5">
              <w:rPr>
                <w:rFonts w:ascii="Arial" w:hAnsi="Arial" w:cs="Arial"/>
              </w:rPr>
              <w:t xml:space="preserve">, the following recommendations </w:t>
            </w:r>
            <w:r>
              <w:rPr>
                <w:rFonts w:ascii="Arial" w:hAnsi="Arial" w:cs="Arial"/>
              </w:rPr>
              <w:t>to use mobile Damath game are encouraged:</w:t>
            </w:r>
            <w:r w:rsidRPr="00624BD5">
              <w:rPr>
                <w:rFonts w:ascii="Arial" w:hAnsi="Arial" w:cs="Arial"/>
              </w:rPr>
              <w:t xml:space="preserve"> (1) Integrate the mobile Damath game into classroom instruction, (2) Implement the mobile Damath game across sch</w:t>
            </w:r>
            <w:r>
              <w:rPr>
                <w:rFonts w:ascii="Arial" w:hAnsi="Arial" w:cs="Arial"/>
              </w:rPr>
              <w:t xml:space="preserve">ools and grade levels to enhance generalizability, and (3) </w:t>
            </w:r>
            <w:r w:rsidRPr="00624BD5">
              <w:rPr>
                <w:rFonts w:ascii="Arial" w:hAnsi="Arial" w:cs="Arial"/>
              </w:rPr>
              <w:t xml:space="preserve">Conduct future research </w:t>
            </w:r>
            <w:r>
              <w:rPr>
                <w:rFonts w:ascii="Arial" w:hAnsi="Arial" w:cs="Arial"/>
              </w:rPr>
              <w:t xml:space="preserve">to explore </w:t>
            </w:r>
            <w:r w:rsidRPr="00624BD5">
              <w:rPr>
                <w:rFonts w:ascii="Arial" w:hAnsi="Arial" w:cs="Arial"/>
              </w:rPr>
              <w:t xml:space="preserve">deeply on </w:t>
            </w:r>
            <w:r>
              <w:rPr>
                <w:rFonts w:ascii="Arial" w:hAnsi="Arial" w:cs="Arial"/>
              </w:rPr>
              <w:t>the relationship between math performance and engagement.</w:t>
            </w:r>
          </w:p>
        </w:tc>
      </w:tr>
    </w:tbl>
    <w:p w14:paraId="280E6821" w14:textId="77777777" w:rsidR="00636EB2" w:rsidRDefault="00636EB2" w:rsidP="00441B6F">
      <w:pPr>
        <w:pStyle w:val="Body"/>
        <w:spacing w:after="0"/>
        <w:rPr>
          <w:rFonts w:ascii="Arial" w:hAnsi="Arial" w:cs="Arial"/>
          <w:i/>
        </w:rPr>
      </w:pPr>
    </w:p>
    <w:p w14:paraId="4BBD7328" w14:textId="77777777" w:rsidR="00A24E7E" w:rsidRDefault="00EF5F3C" w:rsidP="00EF5F3C">
      <w:pPr>
        <w:jc w:val="both"/>
        <w:rPr>
          <w:rFonts w:ascii="Arial" w:hAnsi="Arial" w:cs="Arial"/>
          <w:i/>
        </w:rPr>
      </w:pPr>
      <w:r w:rsidRPr="00624BD5">
        <w:rPr>
          <w:rFonts w:ascii="Arial" w:hAnsi="Arial" w:cs="Arial"/>
          <w:i/>
        </w:rPr>
        <w:t>Keywords: game-based learning, mobile Damath game, integers, academic performance, intervention, level of engagement</w:t>
      </w:r>
    </w:p>
    <w:p w14:paraId="3DF7B613" w14:textId="77777777" w:rsidR="00790ADA" w:rsidRDefault="00790ADA" w:rsidP="00441B6F">
      <w:pPr>
        <w:pStyle w:val="Body"/>
        <w:spacing w:after="0"/>
        <w:rPr>
          <w:rFonts w:ascii="Arial" w:hAnsi="Arial" w:cs="Arial"/>
          <w:i/>
        </w:rPr>
      </w:pPr>
    </w:p>
    <w:p w14:paraId="6310C9FF" w14:textId="77777777" w:rsidR="0024282C" w:rsidRDefault="0024282C" w:rsidP="00441B6F">
      <w:pPr>
        <w:pStyle w:val="Body"/>
        <w:spacing w:after="0"/>
        <w:rPr>
          <w:rFonts w:ascii="Arial" w:hAnsi="Arial" w:cs="Arial"/>
          <w:i/>
          <w:sz w:val="18"/>
        </w:rPr>
      </w:pPr>
    </w:p>
    <w:p w14:paraId="16222656" w14:textId="77777777" w:rsidR="00505F06" w:rsidRPr="00A24E7E" w:rsidRDefault="00505F06" w:rsidP="00441B6F">
      <w:pPr>
        <w:pStyle w:val="Body"/>
        <w:spacing w:after="0"/>
        <w:rPr>
          <w:rFonts w:ascii="Arial" w:hAnsi="Arial" w:cs="Arial"/>
          <w:i/>
        </w:rPr>
      </w:pPr>
    </w:p>
    <w:p w14:paraId="37257DE5" w14:textId="77777777" w:rsidR="007F7B32" w:rsidRDefault="00B01FCD" w:rsidP="00441B6F">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45B8D10" w14:textId="77777777" w:rsidR="00790ADA" w:rsidRPr="00FB3A86" w:rsidRDefault="00790ADA" w:rsidP="00441B6F">
      <w:pPr>
        <w:pStyle w:val="AbstHead"/>
        <w:spacing w:after="0"/>
        <w:jc w:val="both"/>
        <w:rPr>
          <w:rFonts w:ascii="Arial" w:hAnsi="Arial" w:cs="Arial"/>
        </w:rPr>
      </w:pPr>
    </w:p>
    <w:p w14:paraId="373F749B" w14:textId="77777777" w:rsidR="00EF5F3C" w:rsidRPr="00EF5F3C" w:rsidRDefault="00EF5F3C" w:rsidP="00EF5F3C">
      <w:pPr>
        <w:jc w:val="both"/>
        <w:rPr>
          <w:rFonts w:ascii="Arial" w:eastAsia="Calibri" w:hAnsi="Arial" w:cs="Arial"/>
        </w:rPr>
      </w:pPr>
      <w:r w:rsidRPr="00EF5F3C">
        <w:rPr>
          <w:rFonts w:ascii="Arial" w:eastAsia="Calibri" w:hAnsi="Arial" w:cs="Arial"/>
        </w:rPr>
        <w:t>Mathematics plays a significant role in improving students’ critical thinking, problem-solving skills, and logical reasoning abilities, all of which are essential for academic and future success. Despite its importance in supporting scientific and technological progress, many developing countries face constant challenges in delivering high-quality mathematics instruction (Hussein, 2023). Enhancing math education aims to equip learners with the skills necessary to enrich their mathematical abilities and cognitive processes, and to improve their decision-making skills and academic performance (Cipriano, 2023).</w:t>
      </w:r>
    </w:p>
    <w:p w14:paraId="18693753" w14:textId="77777777" w:rsidR="00906A8C" w:rsidRDefault="00906A8C" w:rsidP="00EF5F3C">
      <w:pPr>
        <w:jc w:val="both"/>
        <w:rPr>
          <w:rFonts w:ascii="Arial" w:eastAsia="Calibri" w:hAnsi="Arial" w:cs="Arial"/>
        </w:rPr>
      </w:pPr>
    </w:p>
    <w:p w14:paraId="177C3CE7" w14:textId="7698C62A" w:rsidR="00EF5F3C" w:rsidRPr="00EF5F3C" w:rsidRDefault="00EF5F3C" w:rsidP="00EF5F3C">
      <w:pPr>
        <w:jc w:val="both"/>
        <w:rPr>
          <w:rFonts w:ascii="Arial" w:eastAsia="Calibri" w:hAnsi="Arial" w:cs="Arial"/>
        </w:rPr>
      </w:pPr>
      <w:r w:rsidRPr="00EF5F3C">
        <w:rPr>
          <w:rFonts w:ascii="Arial" w:eastAsia="Calibri" w:hAnsi="Arial" w:cs="Arial"/>
        </w:rPr>
        <w:t xml:space="preserve">Results from international assessments such as the Programme for International Student Assessment (PISA) and the Trends in International Mathematics and Science Study (TIMSS) expose significant performance gaps, with the Philippines </w:t>
      </w:r>
      <w:r w:rsidRPr="00EF5F3C">
        <w:rPr>
          <w:rFonts w:ascii="Arial" w:eastAsia="Calibri" w:hAnsi="Arial" w:cs="Arial"/>
        </w:rPr>
        <w:lastRenderedPageBreak/>
        <w:t>scoring far below the international average due to challenges in curriculum delivery, teacher training, and resource allocation (Mullis et al., 2020). The PISA 2022 results revealed that only 16% of Filipino students reached Level 2 competency in math, compared to the OECD average of 69%, while TIMSS 2019 recorded a low average score of 297, well below the scale centerpoint of 500 (OECD, 2023;</w:t>
      </w:r>
      <w:r w:rsidR="00D07C09">
        <w:rPr>
          <w:rFonts w:ascii="Arial" w:eastAsia="Calibri" w:hAnsi="Arial" w:cs="Arial"/>
        </w:rPr>
        <w:t xml:space="preserve"> Mullis et al., 2020). With</w:t>
      </w:r>
      <w:r w:rsidRPr="00EF5F3C">
        <w:rPr>
          <w:rFonts w:ascii="Arial" w:eastAsia="Calibri" w:hAnsi="Arial" w:cs="Arial"/>
        </w:rPr>
        <w:t xml:space="preserve"> high school students age 15, took the test in PISA and Grade 8 students on TIMSS focusing on content domains for eighth grade Math: number (30%), algebra (30%), geometry (20%), and data and probability (20%) (Mullis et al., 2020). These results point out on the low academic performance and achievement of students in mathematics in the Philippines.</w:t>
      </w:r>
    </w:p>
    <w:p w14:paraId="143923EA" w14:textId="77777777" w:rsidR="00906A8C" w:rsidRDefault="00906A8C" w:rsidP="00EF5F3C">
      <w:pPr>
        <w:jc w:val="both"/>
        <w:rPr>
          <w:rFonts w:ascii="Arial" w:eastAsia="Calibri" w:hAnsi="Arial" w:cs="Arial"/>
        </w:rPr>
      </w:pPr>
    </w:p>
    <w:p w14:paraId="6F23921C" w14:textId="348FB3DC" w:rsidR="00EF5F3C" w:rsidRPr="00EF5F3C" w:rsidRDefault="00EF5F3C" w:rsidP="00EF5F3C">
      <w:pPr>
        <w:jc w:val="both"/>
        <w:rPr>
          <w:rFonts w:ascii="Arial" w:eastAsia="Calibri" w:hAnsi="Arial" w:cs="Arial"/>
        </w:rPr>
      </w:pPr>
      <w:r w:rsidRPr="00EF5F3C">
        <w:rPr>
          <w:rFonts w:ascii="Arial" w:eastAsia="Calibri" w:hAnsi="Arial" w:cs="Arial"/>
        </w:rPr>
        <w:t>Integers represent a core concept in Mathematics, serving as the basis for understanding more complex topics such as inequalities, linear and quadratic equations. Mastery of integer operations is essential, yet many students encounter difficulties, particularly with the rules related to positive and negative signs (Chong et al., 2022). A study involving year 8 students at St. George’s School in Brunei Darussalam demonstrated most of them had limited comprehension of integer-related content as evident by the low performance in pre-test scores on integer test (Chong et al., 2022). In the Philippine context, most students found it difficult to comprehend and retain concepts on integer operations, which hinders their progress in learning more advanced mathematical ideas (Tanghal, 2020). While Chong et al. (2022) identified misconcept</w:t>
      </w:r>
      <w:r w:rsidR="0014793C">
        <w:rPr>
          <w:rFonts w:ascii="Arial" w:eastAsia="Calibri" w:hAnsi="Arial" w:cs="Arial"/>
        </w:rPr>
        <w:t>ions on sign-related functions</w:t>
      </w:r>
      <w:r w:rsidRPr="00EF5F3C">
        <w:rPr>
          <w:rFonts w:ascii="Arial" w:eastAsia="Calibri" w:hAnsi="Arial" w:cs="Arial"/>
        </w:rPr>
        <w:t xml:space="preserve"> </w:t>
      </w:r>
      <w:r w:rsidR="0014793C">
        <w:rPr>
          <w:rFonts w:ascii="Arial" w:eastAsia="Calibri" w:hAnsi="Arial" w:cs="Arial"/>
        </w:rPr>
        <w:t>(</w:t>
      </w:r>
      <w:r w:rsidRPr="00EF5F3C">
        <w:rPr>
          <w:rFonts w:ascii="Arial" w:eastAsia="Calibri" w:hAnsi="Arial" w:cs="Arial"/>
        </w:rPr>
        <w:t>the use of negative sign as o</w:t>
      </w:r>
      <w:r w:rsidR="0014793C">
        <w:rPr>
          <w:rFonts w:ascii="Arial" w:eastAsia="Calibri" w:hAnsi="Arial" w:cs="Arial"/>
        </w:rPr>
        <w:t>peration or as an integer sign),</w:t>
      </w:r>
      <w:r w:rsidRPr="00EF5F3C">
        <w:rPr>
          <w:rFonts w:ascii="Arial" w:eastAsia="Calibri" w:hAnsi="Arial" w:cs="Arial"/>
        </w:rPr>
        <w:t xml:space="preserve"> as a significant factor, Tanghal (2020) emphasized lesson retention as a major factor. Despite these differing focal points, both studies underscore the abstract nature of integer operations and suggest a need for teaching strategies that engage students more concretely. Game-based learning emerges as a promising approach to address this gap by making abstract concepts more accessible and engaging.  </w:t>
      </w:r>
    </w:p>
    <w:p w14:paraId="42A92EAA" w14:textId="77777777" w:rsidR="00906A8C" w:rsidRDefault="00906A8C" w:rsidP="00EF5F3C">
      <w:pPr>
        <w:jc w:val="both"/>
        <w:rPr>
          <w:rFonts w:ascii="Arial" w:eastAsia="Calibri" w:hAnsi="Arial" w:cs="Arial"/>
        </w:rPr>
      </w:pPr>
    </w:p>
    <w:p w14:paraId="6F6FF836" w14:textId="77777777" w:rsidR="00EF5F3C" w:rsidRPr="00EF5F3C" w:rsidRDefault="00EF5F3C" w:rsidP="00EF5F3C">
      <w:pPr>
        <w:jc w:val="both"/>
        <w:rPr>
          <w:rFonts w:ascii="Arial" w:eastAsia="Calibri" w:hAnsi="Arial" w:cs="Arial"/>
        </w:rPr>
      </w:pPr>
      <w:r w:rsidRPr="00EF5F3C">
        <w:rPr>
          <w:rFonts w:ascii="Arial" w:eastAsia="Calibri" w:hAnsi="Arial" w:cs="Arial"/>
        </w:rPr>
        <w:t xml:space="preserve">In the Philippines, </w:t>
      </w:r>
      <w:r w:rsidRPr="00EF5F3C">
        <w:rPr>
          <w:rFonts w:ascii="Arial" w:hAnsi="Arial" w:cs="Arial"/>
        </w:rPr>
        <w:t>integrating mathematical games, like Damath, into teaching and learning</w:t>
      </w:r>
      <w:r w:rsidRPr="00EF5F3C">
        <w:rPr>
          <w:rFonts w:ascii="Arial" w:eastAsia="Calibri" w:hAnsi="Arial" w:cs="Arial"/>
        </w:rPr>
        <w:t xml:space="preserve">, effectively reinforced classroom learning since it has been shown to improve mental arithmetic and performance in mathematical operations (Baog, 2024; Martus et al., 2024). </w:t>
      </w:r>
      <w:r w:rsidRPr="00EF5F3C">
        <w:rPr>
          <w:rFonts w:ascii="Arial" w:eastAsia="Calibri" w:hAnsi="Arial" w:cs="Arial"/>
          <w:color w:val="000000"/>
        </w:rPr>
        <w:t xml:space="preserve">Moreover, Godoy (2020) discussed game-based learning enhances student engagement, motivation, and learning outcomes. </w:t>
      </w:r>
      <w:r w:rsidRPr="00EF5F3C">
        <w:rPr>
          <w:rFonts w:ascii="Arial" w:eastAsia="Calibri" w:hAnsi="Arial" w:cs="Arial"/>
        </w:rPr>
        <w:t>However, research gaps remain, including limited evidence on the game’s impact on higher-order thinking, problem-solving skills, and long-term retention of concepts (Magsombol, 2021). Studies on Damath showed an increase in students’ engagement and positive attitude towards Mathematics, fostering a deeper understanding of mathematical concepts as evident in the improved results in formative and summative tests. Moreover, integrating Damath helps enhance students’ critical and analytical skills (Larita et al., 2024).</w:t>
      </w:r>
    </w:p>
    <w:p w14:paraId="35922242" w14:textId="77777777" w:rsidR="00906A8C" w:rsidRDefault="00906A8C" w:rsidP="00EF5F3C">
      <w:pPr>
        <w:jc w:val="both"/>
        <w:rPr>
          <w:rFonts w:ascii="Arial" w:eastAsia="Calibri" w:hAnsi="Arial" w:cs="Arial"/>
        </w:rPr>
      </w:pPr>
    </w:p>
    <w:p w14:paraId="745CE6D4" w14:textId="63A3EB0E" w:rsidR="006C5737" w:rsidRDefault="00EF5F3C" w:rsidP="006C5737">
      <w:pPr>
        <w:jc w:val="both"/>
        <w:rPr>
          <w:rFonts w:ascii="Arial" w:eastAsia="Calibri" w:hAnsi="Arial" w:cs="Arial"/>
        </w:rPr>
      </w:pPr>
      <w:r w:rsidRPr="00EF5F3C">
        <w:rPr>
          <w:rFonts w:ascii="Arial" w:eastAsia="Calibri" w:hAnsi="Arial" w:cs="Arial"/>
        </w:rPr>
        <w:t xml:space="preserve">This study sought to explore the use of the mobile Damath game as </w:t>
      </w:r>
      <w:r w:rsidR="006C5737">
        <w:rPr>
          <w:rFonts w:ascii="Arial" w:eastAsia="Calibri" w:hAnsi="Arial" w:cs="Arial"/>
        </w:rPr>
        <w:t>a learning intervention</w:t>
      </w:r>
      <w:r w:rsidRPr="00EF5F3C">
        <w:rPr>
          <w:rFonts w:ascii="Arial" w:eastAsia="Calibri" w:hAnsi="Arial" w:cs="Arial"/>
        </w:rPr>
        <w:t xml:space="preserve"> f</w:t>
      </w:r>
      <w:r w:rsidR="006C5737">
        <w:rPr>
          <w:rFonts w:ascii="Arial" w:eastAsia="Calibri" w:hAnsi="Arial" w:cs="Arial"/>
        </w:rPr>
        <w:t>or Grade 8 struggling learners at</w:t>
      </w:r>
      <w:r w:rsidRPr="00EF5F3C">
        <w:rPr>
          <w:rFonts w:ascii="Arial" w:eastAsia="Calibri" w:hAnsi="Arial" w:cs="Arial"/>
        </w:rPr>
        <w:t xml:space="preserve"> Badas National High School. Specifically, it aims to evaluate its effect on students’ performance in integers and the le</w:t>
      </w:r>
      <w:r w:rsidR="006C5737">
        <w:rPr>
          <w:rFonts w:ascii="Arial" w:eastAsia="Calibri" w:hAnsi="Arial" w:cs="Arial"/>
        </w:rPr>
        <w:t xml:space="preserve">vel of engagement with the game. </w:t>
      </w:r>
    </w:p>
    <w:p w14:paraId="5CC19F49" w14:textId="77777777" w:rsidR="003C502F" w:rsidRDefault="003C502F" w:rsidP="006C5737">
      <w:pPr>
        <w:jc w:val="both"/>
        <w:rPr>
          <w:rFonts w:ascii="Arial" w:eastAsia="Calibri" w:hAnsi="Arial" w:cs="Arial"/>
        </w:rPr>
      </w:pPr>
    </w:p>
    <w:p w14:paraId="0B08ABDC" w14:textId="77777777" w:rsidR="003C502F" w:rsidRPr="006C5737" w:rsidRDefault="003C502F" w:rsidP="006C5737">
      <w:pPr>
        <w:jc w:val="both"/>
        <w:rPr>
          <w:rFonts w:ascii="Arial" w:eastAsia="Calibri" w:hAnsi="Arial" w:cs="Arial"/>
        </w:rPr>
      </w:pPr>
    </w:p>
    <w:p w14:paraId="7E3F5D30" w14:textId="77777777" w:rsidR="006C5737" w:rsidRDefault="006C5737" w:rsidP="00EF5F3C">
      <w:pPr>
        <w:jc w:val="both"/>
        <w:rPr>
          <w:rFonts w:ascii="Arial" w:eastAsia="Calibri" w:hAnsi="Arial" w:cs="Arial"/>
        </w:rPr>
      </w:pPr>
    </w:p>
    <w:p w14:paraId="22D5044A" w14:textId="6F3B488E" w:rsidR="00B95236" w:rsidRDefault="003E2213" w:rsidP="00441B6F">
      <w:pPr>
        <w:pStyle w:val="Body"/>
        <w:spacing w:after="0"/>
        <w:rPr>
          <w:rFonts w:ascii="Arial" w:eastAsia="Calibri" w:hAnsi="Arial" w:cs="Arial"/>
          <w:b/>
          <w:sz w:val="22"/>
        </w:rPr>
      </w:pPr>
      <w:r w:rsidRPr="003E2213">
        <w:rPr>
          <w:rFonts w:ascii="Arial" w:eastAsia="Calibri" w:hAnsi="Arial" w:cs="Arial"/>
          <w:b/>
          <w:sz w:val="22"/>
        </w:rPr>
        <w:t>RELATED LITERATURE REVIEW</w:t>
      </w:r>
    </w:p>
    <w:p w14:paraId="505B5EA1" w14:textId="77777777" w:rsidR="003E2213" w:rsidRDefault="003E2213" w:rsidP="00441B6F">
      <w:pPr>
        <w:pStyle w:val="Body"/>
        <w:spacing w:after="0"/>
        <w:rPr>
          <w:rFonts w:ascii="Arial" w:eastAsia="Calibri" w:hAnsi="Arial" w:cs="Arial"/>
          <w:b/>
          <w:sz w:val="22"/>
        </w:rPr>
      </w:pPr>
    </w:p>
    <w:p w14:paraId="5C4A27D2" w14:textId="61B2A28B" w:rsidR="003E2213" w:rsidRDefault="00210A6D" w:rsidP="00441B6F">
      <w:pPr>
        <w:pStyle w:val="Body"/>
        <w:spacing w:after="0"/>
        <w:rPr>
          <w:rFonts w:ascii="Arial" w:hAnsi="Arial" w:cs="Arial"/>
          <w:b/>
          <w:sz w:val="22"/>
        </w:rPr>
      </w:pPr>
      <w:r>
        <w:rPr>
          <w:rFonts w:ascii="Arial" w:hAnsi="Arial" w:cs="Arial"/>
          <w:b/>
          <w:sz w:val="22"/>
        </w:rPr>
        <w:t>Factors Affecting Math</w:t>
      </w:r>
      <w:r w:rsidR="00E65C12" w:rsidRPr="00E65C12">
        <w:rPr>
          <w:rFonts w:ascii="Arial" w:hAnsi="Arial" w:cs="Arial"/>
          <w:b/>
          <w:sz w:val="22"/>
        </w:rPr>
        <w:t xml:space="preserve"> Pe</w:t>
      </w:r>
      <w:r w:rsidR="00D07C09">
        <w:rPr>
          <w:rFonts w:ascii="Arial" w:hAnsi="Arial" w:cs="Arial"/>
          <w:b/>
          <w:sz w:val="22"/>
        </w:rPr>
        <w:t>rformance and Game Engagement</w:t>
      </w:r>
    </w:p>
    <w:p w14:paraId="78400382" w14:textId="77777777" w:rsidR="00AD2587" w:rsidRDefault="00AD2587" w:rsidP="00441B6F">
      <w:pPr>
        <w:pStyle w:val="Body"/>
        <w:spacing w:after="0"/>
        <w:rPr>
          <w:rFonts w:ascii="Arial" w:hAnsi="Arial" w:cs="Arial"/>
          <w:b/>
          <w:sz w:val="22"/>
        </w:rPr>
      </w:pPr>
    </w:p>
    <w:p w14:paraId="4AD388C4" w14:textId="30329F65" w:rsidR="00AD2587" w:rsidRPr="00AD2587" w:rsidRDefault="00AD2587" w:rsidP="00441B6F">
      <w:pPr>
        <w:pStyle w:val="Body"/>
        <w:spacing w:after="0"/>
        <w:rPr>
          <w:rFonts w:ascii="Arial" w:hAnsi="Arial" w:cs="Arial"/>
          <w:b/>
          <w:u w:val="single"/>
        </w:rPr>
      </w:pPr>
      <w:r w:rsidRPr="00AD2587">
        <w:rPr>
          <w:rFonts w:ascii="Arial" w:hAnsi="Arial" w:cs="Arial"/>
          <w:b/>
          <w:u w:val="single"/>
        </w:rPr>
        <w:t>Age and Gender</w:t>
      </w:r>
    </w:p>
    <w:p w14:paraId="3B4CEFA3" w14:textId="77777777" w:rsidR="00D07C09" w:rsidRDefault="00D07C09" w:rsidP="00441B6F">
      <w:pPr>
        <w:pStyle w:val="Body"/>
        <w:spacing w:after="0"/>
        <w:rPr>
          <w:rFonts w:ascii="Arial" w:hAnsi="Arial" w:cs="Arial"/>
          <w:b/>
          <w:sz w:val="22"/>
        </w:rPr>
      </w:pPr>
    </w:p>
    <w:p w14:paraId="509F0832" w14:textId="6BE8DE31" w:rsidR="007F4D20" w:rsidRDefault="00D07C09" w:rsidP="007F4D20">
      <w:pPr>
        <w:jc w:val="both"/>
        <w:rPr>
          <w:rFonts w:ascii="Arial" w:hAnsi="Arial" w:cs="Arial"/>
        </w:rPr>
      </w:pPr>
      <w:r w:rsidRPr="007F4D20">
        <w:rPr>
          <w:rFonts w:ascii="Arial" w:eastAsia="Calibri" w:hAnsi="Arial" w:cs="Arial"/>
        </w:rPr>
        <w:t>The study of Ocampo et al. (2023), highlights age as a significant determinant of mathematics performance</w:t>
      </w:r>
      <w:r w:rsidR="00210A6D" w:rsidRPr="007F4D20">
        <w:rPr>
          <w:rFonts w:ascii="Arial" w:eastAsia="Calibri" w:hAnsi="Arial" w:cs="Arial"/>
        </w:rPr>
        <w:t xml:space="preserve">. </w:t>
      </w:r>
      <w:r w:rsidR="007F4D20" w:rsidRPr="007F4D20">
        <w:rPr>
          <w:rFonts w:ascii="Arial" w:eastAsia="Calibri" w:hAnsi="Arial" w:cs="Arial"/>
        </w:rPr>
        <w:t>Similarly, Wang et al. (2023), identified a positive correlation between student age, math self-efficacy, and math achievement.</w:t>
      </w:r>
      <w:r w:rsidR="007F4D20" w:rsidRPr="007F4D20">
        <w:rPr>
          <w:rFonts w:ascii="Arial" w:hAnsi="Arial" w:cs="Arial"/>
          <w:b/>
        </w:rPr>
        <w:t xml:space="preserve"> </w:t>
      </w:r>
      <w:r w:rsidR="00210A6D" w:rsidRPr="007F4D20">
        <w:rPr>
          <w:rFonts w:ascii="Arial" w:eastAsia="Calibri" w:hAnsi="Arial" w:cs="Arial"/>
        </w:rPr>
        <w:t>Likewise, Corcoran and O'Flaherty (2022), found that age was a significant predictor of math performance among Filipino students.</w:t>
      </w:r>
      <w:r w:rsidR="00421A52" w:rsidRPr="007F4D20">
        <w:rPr>
          <w:rFonts w:ascii="Arial" w:eastAsia="Calibri" w:hAnsi="Arial" w:cs="Arial"/>
        </w:rPr>
        <w:t xml:space="preserve"> </w:t>
      </w:r>
      <w:r w:rsidR="00210A6D" w:rsidRPr="007F4D20">
        <w:rPr>
          <w:rFonts w:ascii="Arial" w:eastAsia="Calibri" w:hAnsi="Arial" w:cs="Arial"/>
        </w:rPr>
        <w:t xml:space="preserve">These findings align with prior researches demonstrating the influence of age on math performance. For instance, Xi and Hamari (2019), observed that older students outperformed their younger peers on mathematics assessments. </w:t>
      </w:r>
      <w:r w:rsidR="007F4D20" w:rsidRPr="007F4D20">
        <w:rPr>
          <w:rFonts w:ascii="Arial" w:hAnsi="Arial" w:cs="Arial"/>
        </w:rPr>
        <w:t>Further, these findings imply that in designing math curricula, educators should consider the age of their students. Age-appropriate teaching strategies and resources can help sustain students' interest and motivation in mathematics, while younger students may be provided with support system and supervision along knowledge acquisition to address diverse needs.</w:t>
      </w:r>
    </w:p>
    <w:p w14:paraId="0B8EC4A0" w14:textId="77777777" w:rsidR="00C62451" w:rsidRDefault="00C62451" w:rsidP="007F4D20">
      <w:pPr>
        <w:jc w:val="both"/>
        <w:rPr>
          <w:rFonts w:ascii="Arial" w:hAnsi="Arial" w:cs="Arial"/>
        </w:rPr>
      </w:pPr>
    </w:p>
    <w:p w14:paraId="24D06A11" w14:textId="3BFE62E7" w:rsidR="009F4ECE" w:rsidRDefault="009F4ECE" w:rsidP="00423244">
      <w:pPr>
        <w:jc w:val="both"/>
        <w:rPr>
          <w:rFonts w:ascii="Arial" w:hAnsi="Arial" w:cs="Arial"/>
        </w:rPr>
      </w:pPr>
      <w:r w:rsidRPr="009F4ECE">
        <w:rPr>
          <w:rFonts w:ascii="Arial" w:eastAsia="Calibri" w:hAnsi="Arial" w:cs="Arial"/>
        </w:rPr>
        <w:t xml:space="preserve">Previous research has shown that disparities in mathematical performance often depend on the type of task students are required to complete. For example, studies have indicated that females tend to excel in arithmetic and calculus, while males perform better in mathematical problem-solving tasks (Pina et al., 2021). </w:t>
      </w:r>
      <w:r w:rsidRPr="009F4ECE">
        <w:rPr>
          <w:rFonts w:ascii="Arial" w:hAnsi="Arial" w:cs="Arial"/>
        </w:rPr>
        <w:t>According to Wang et al. (2023), research studies found out that correlation between gender and arithmetic proficiency indicated a positive impact, favoring male students.</w:t>
      </w:r>
      <w:r w:rsidR="001A0C74">
        <w:rPr>
          <w:rFonts w:ascii="Arial" w:hAnsi="Arial" w:cs="Arial"/>
        </w:rPr>
        <w:t xml:space="preserve"> Likewise, in the study of Awofala et al. (2020), data s</w:t>
      </w:r>
      <w:r w:rsidR="00635CEF">
        <w:rPr>
          <w:rFonts w:ascii="Arial" w:hAnsi="Arial" w:cs="Arial"/>
        </w:rPr>
        <w:t xml:space="preserve">howed that male students outperformed female students in mathematics subject. </w:t>
      </w:r>
      <w:r w:rsidRPr="009F4ECE">
        <w:rPr>
          <w:rFonts w:ascii="Arial" w:hAnsi="Arial" w:cs="Arial"/>
        </w:rPr>
        <w:t>In addition, empirical research conducted in the US and Europe, shows men are more certain while studying arithmetic (Xie &amp; Liu, 2023; Mozahem et al., 2021). One of the societal gender norms that has the strongest impact to women's learning in math is the gender stereotyping</w:t>
      </w:r>
      <w:r>
        <w:rPr>
          <w:rFonts w:ascii="Arial" w:hAnsi="Arial" w:cs="Arial"/>
        </w:rPr>
        <w:t xml:space="preserve"> </w:t>
      </w:r>
      <w:r w:rsidRPr="009F4ECE">
        <w:rPr>
          <w:rFonts w:ascii="Arial" w:hAnsi="Arial" w:cs="Arial"/>
        </w:rPr>
        <w:t xml:space="preserve">(Xie &amp; Liu, 2023), which causes them to feel more anxious about the topic and consider themselves as less competent (Mozahem et al., 2021). However, Ocampo et al. (2023), found no </w:t>
      </w:r>
      <w:r w:rsidRPr="009F4ECE">
        <w:rPr>
          <w:rFonts w:ascii="Arial" w:hAnsi="Arial" w:cs="Arial"/>
        </w:rPr>
        <w:lastRenderedPageBreak/>
        <w:t xml:space="preserve">significant correlation between gender and arithmetic proficiency. </w:t>
      </w:r>
      <w:r w:rsidR="00393D10">
        <w:rPr>
          <w:rFonts w:ascii="Arial" w:eastAsia="Calibri" w:hAnsi="Arial" w:cs="Arial"/>
        </w:rPr>
        <w:t>T</w:t>
      </w:r>
      <w:r w:rsidRPr="009F4ECE">
        <w:rPr>
          <w:rFonts w:ascii="Arial" w:eastAsia="Calibri" w:hAnsi="Arial" w:cs="Arial"/>
        </w:rPr>
        <w:t xml:space="preserve">hese performance differences are not consistent among all groups and can vary significantly depending </w:t>
      </w:r>
      <w:r w:rsidRPr="009F4ECE">
        <w:rPr>
          <w:rFonts w:ascii="Arial" w:hAnsi="Arial" w:cs="Arial"/>
        </w:rPr>
        <w:t>on ethnic origins, social and cultural settings, and other factors</w:t>
      </w:r>
      <w:r w:rsidRPr="009F4ECE">
        <w:rPr>
          <w:rFonts w:ascii="Arial" w:eastAsia="Calibri" w:hAnsi="Arial" w:cs="Arial"/>
        </w:rPr>
        <w:t xml:space="preserve"> (Xie &amp; Liu, 2023; Wang et al., 2023).</w:t>
      </w:r>
      <w:r w:rsidRPr="009F4ECE">
        <w:rPr>
          <w:rFonts w:ascii="Arial" w:eastAsia="Calibri" w:hAnsi="Arial" w:cs="Arial"/>
          <w:b/>
        </w:rPr>
        <w:t xml:space="preserve"> </w:t>
      </w:r>
      <w:r w:rsidRPr="009F4ECE">
        <w:rPr>
          <w:rFonts w:ascii="Arial" w:hAnsi="Arial" w:cs="Arial"/>
        </w:rPr>
        <w:t>Therefore, it may be argued that variables other than gender, such as motivation, individual variations, and cultural and social factors, probably influence gender-based differences in mathematical achievement.</w:t>
      </w:r>
    </w:p>
    <w:p w14:paraId="670125D1" w14:textId="77777777" w:rsidR="00423244" w:rsidRDefault="00423244" w:rsidP="00423244">
      <w:pPr>
        <w:jc w:val="both"/>
        <w:rPr>
          <w:rFonts w:ascii="Arial" w:hAnsi="Arial" w:cs="Arial"/>
        </w:rPr>
      </w:pPr>
    </w:p>
    <w:p w14:paraId="2119B784" w14:textId="72A203EA" w:rsidR="00AD2587" w:rsidRPr="00AD2587" w:rsidRDefault="00AD2587" w:rsidP="00423244">
      <w:pPr>
        <w:jc w:val="both"/>
        <w:rPr>
          <w:rFonts w:ascii="Arial" w:hAnsi="Arial" w:cs="Arial"/>
          <w:b/>
          <w:u w:val="single"/>
        </w:rPr>
      </w:pPr>
      <w:r w:rsidRPr="00AD2587">
        <w:rPr>
          <w:rFonts w:ascii="Arial" w:hAnsi="Arial" w:cs="Arial"/>
          <w:b/>
          <w:u w:val="single"/>
        </w:rPr>
        <w:t>Attitude and Motivation</w:t>
      </w:r>
    </w:p>
    <w:p w14:paraId="5D9F7393" w14:textId="77777777" w:rsidR="00423244" w:rsidRDefault="00423244" w:rsidP="00423244">
      <w:pPr>
        <w:jc w:val="both"/>
        <w:rPr>
          <w:rFonts w:ascii="Arial" w:hAnsi="Arial" w:cs="Arial"/>
        </w:rPr>
      </w:pPr>
    </w:p>
    <w:p w14:paraId="4BB3A8AE" w14:textId="77777777" w:rsidR="008E3736" w:rsidRDefault="00AD2587" w:rsidP="00E75013">
      <w:pPr>
        <w:jc w:val="both"/>
        <w:rPr>
          <w:rFonts w:ascii="Arial" w:hAnsi="Arial" w:cs="Arial"/>
          <w:color w:val="000000"/>
        </w:rPr>
      </w:pPr>
      <w:r w:rsidRPr="00AD2587">
        <w:rPr>
          <w:rFonts w:ascii="Arial" w:hAnsi="Arial" w:cs="Arial"/>
        </w:rPr>
        <w:t>Several research on students' attitudes toward mathematics have been published. These studies are always interpreted as whether or not students like the subject (Davadas &amp; Lay, 2020). Some students in secondary level view mathematics as an abstract, difficult to understand, uninteresting, and has a little significance in everyday life. Consequently, they tend to feel insecure and unmotivated to learn and engage in math activities. Indeed, for some, mathematics is a way nightmare (</w:t>
      </w:r>
      <w:r w:rsidRPr="00AD2587">
        <w:rPr>
          <w:rFonts w:ascii="Arial" w:hAnsi="Arial" w:cs="Arial"/>
          <w:color w:val="000000"/>
        </w:rPr>
        <w:t>Wakhata et al., 2022).</w:t>
      </w:r>
      <w:r w:rsidR="00423244">
        <w:rPr>
          <w:rFonts w:ascii="Arial" w:hAnsi="Arial" w:cs="Arial"/>
          <w:color w:val="000000"/>
        </w:rPr>
        <w:t xml:space="preserve"> </w:t>
      </w:r>
    </w:p>
    <w:p w14:paraId="2D04480A" w14:textId="77777777" w:rsidR="008E3736" w:rsidRDefault="008E3736" w:rsidP="00E75013">
      <w:pPr>
        <w:jc w:val="both"/>
        <w:rPr>
          <w:rFonts w:ascii="Arial" w:hAnsi="Arial" w:cs="Arial"/>
          <w:color w:val="000000"/>
        </w:rPr>
      </w:pPr>
    </w:p>
    <w:p w14:paraId="3B38984B" w14:textId="465B060F" w:rsidR="00F47DAD" w:rsidRDefault="00B450DB" w:rsidP="00E75013">
      <w:pPr>
        <w:jc w:val="both"/>
        <w:rPr>
          <w:rFonts w:ascii="Arial" w:hAnsi="Arial" w:cs="Arial"/>
          <w:color w:val="000000"/>
        </w:rPr>
      </w:pPr>
      <w:r w:rsidRPr="00B450DB">
        <w:rPr>
          <w:rFonts w:ascii="Arial" w:hAnsi="Arial" w:cs="Arial"/>
        </w:rPr>
        <w:t>Motivation may be defined as the intense desire to participate in an activity or the enthusiasm one has for something. It may be naturally inherited or altered by external factors. The main factor that determines whether a person succeeds or fails academically while learning is motivation. It focuses on the learning process and determines the student's level of engagement readiness (Asanre et al., 2024).</w:t>
      </w:r>
    </w:p>
    <w:p w14:paraId="3585D4CE" w14:textId="77777777" w:rsidR="00F47DAD" w:rsidRDefault="00F47DAD" w:rsidP="00E75013">
      <w:pPr>
        <w:jc w:val="both"/>
        <w:rPr>
          <w:rFonts w:ascii="Arial" w:hAnsi="Arial" w:cs="Arial"/>
          <w:color w:val="000000"/>
        </w:rPr>
      </w:pPr>
    </w:p>
    <w:p w14:paraId="47353B8F" w14:textId="21DE2179" w:rsidR="00E63BBA" w:rsidRDefault="00423244" w:rsidP="00A53E4A">
      <w:pPr>
        <w:jc w:val="both"/>
        <w:rPr>
          <w:rFonts w:ascii="Arial" w:hAnsi="Arial" w:cs="Arial"/>
        </w:rPr>
      </w:pPr>
      <w:r w:rsidRPr="00423244">
        <w:rPr>
          <w:rFonts w:ascii="Arial" w:hAnsi="Arial" w:cs="Arial"/>
        </w:rPr>
        <w:t xml:space="preserve">Students' commitment to mathematics is essential for developing their mathematical skills and understanding. Students must be confident in their mathematical learning and problem-solving skills </w:t>
      </w:r>
      <w:r w:rsidR="00190064">
        <w:rPr>
          <w:rFonts w:ascii="Arial" w:hAnsi="Arial" w:cs="Arial"/>
        </w:rPr>
        <w:t>to</w:t>
      </w:r>
      <w:r w:rsidRPr="00423244">
        <w:rPr>
          <w:rFonts w:ascii="Arial" w:hAnsi="Arial" w:cs="Arial"/>
        </w:rPr>
        <w:t xml:space="preserve"> perform at their best. For this reason, self-esteem in problem-solving is considered to be important in mathematical achievement and may be one of the factors influencing students' mathematical success. Additionally, it was shown that students with positive attitudes about mathematics do better than those with negative views. In fact, children who do well in math are more likely to excel in the subject and to succeed in life (Shah, 2023; Hwang &amp; Son, 2021).</w:t>
      </w:r>
      <w:r w:rsidR="00E75013">
        <w:rPr>
          <w:rFonts w:ascii="Arial" w:hAnsi="Arial" w:cs="Arial"/>
        </w:rPr>
        <w:t xml:space="preserve"> </w:t>
      </w:r>
      <w:r w:rsidR="00E75013" w:rsidRPr="00E75013">
        <w:rPr>
          <w:rFonts w:ascii="Arial" w:eastAsia="Calibri" w:hAnsi="Arial" w:cs="Arial"/>
          <w:shd w:val="clear" w:color="auto" w:fill="FFFFFF"/>
        </w:rPr>
        <w:t xml:space="preserve">According to Asanre et al. (2024), students' interest in learning, which are characterized </w:t>
      </w:r>
      <w:r w:rsidR="00E75013" w:rsidRPr="00E75013">
        <w:rPr>
          <w:rFonts w:ascii="Arial" w:hAnsi="Arial" w:cs="Arial"/>
          <w:color w:val="000000"/>
        </w:rPr>
        <w:t>by</w:t>
      </w:r>
      <w:r w:rsidR="005001CE">
        <w:rPr>
          <w:rFonts w:ascii="Arial" w:hAnsi="Arial" w:cs="Arial"/>
          <w:color w:val="000000"/>
        </w:rPr>
        <w:t xml:space="preserve"> pleasure, affirmation, and </w:t>
      </w:r>
      <w:r w:rsidR="00E75013" w:rsidRPr="00E75013">
        <w:rPr>
          <w:rFonts w:ascii="Arial" w:hAnsi="Arial" w:cs="Arial"/>
          <w:color w:val="000000"/>
        </w:rPr>
        <w:t>concentration</w:t>
      </w:r>
      <w:r w:rsidR="00E75013" w:rsidRPr="00E75013">
        <w:rPr>
          <w:rFonts w:ascii="Arial" w:eastAsia="Calibri" w:hAnsi="Arial" w:cs="Arial"/>
          <w:shd w:val="clear" w:color="auto" w:fill="FFFFFF"/>
        </w:rPr>
        <w:t>, is essential and crucial</w:t>
      </w:r>
      <w:r w:rsidR="00E75013" w:rsidRPr="00E75013">
        <w:rPr>
          <w:rFonts w:ascii="Arial" w:hAnsi="Arial" w:cs="Arial"/>
          <w:color w:val="000000"/>
        </w:rPr>
        <w:t xml:space="preserve">. </w:t>
      </w:r>
      <w:r w:rsidR="00E75013" w:rsidRPr="00E75013">
        <w:rPr>
          <w:rFonts w:ascii="Arial" w:eastAsia="Calibri" w:hAnsi="Arial" w:cs="Arial"/>
          <w:shd w:val="clear" w:color="auto" w:fill="FFFFFF"/>
        </w:rPr>
        <w:t xml:space="preserve">When people are interested, they tend to work actively, focus on a specific skill, and understand more concepts and ideas. </w:t>
      </w:r>
      <w:r w:rsidR="00E75013" w:rsidRPr="00E75013">
        <w:rPr>
          <w:rFonts w:ascii="Arial" w:hAnsi="Arial" w:cs="Arial"/>
        </w:rPr>
        <w:t xml:space="preserve">In the study of Oluwadamilare et al. (2024), pupils' academic performance in mathematics is significantly impacted by their motivation. Motivated students are more likely to establish goals, use their time wisely, and do better in arithmetic. </w:t>
      </w:r>
    </w:p>
    <w:p w14:paraId="462764B4" w14:textId="77777777" w:rsidR="00E63BBA" w:rsidRDefault="00E63BBA" w:rsidP="00A53E4A">
      <w:pPr>
        <w:jc w:val="both"/>
        <w:rPr>
          <w:rFonts w:ascii="Arial" w:hAnsi="Arial" w:cs="Arial"/>
        </w:rPr>
      </w:pPr>
    </w:p>
    <w:p w14:paraId="44055A24" w14:textId="603AADB8" w:rsidR="00E75013" w:rsidRPr="00E63BBA" w:rsidRDefault="00E75013" w:rsidP="00A53E4A">
      <w:pPr>
        <w:jc w:val="both"/>
        <w:rPr>
          <w:rFonts w:ascii="Arial" w:hAnsi="Arial" w:cs="Arial"/>
          <w:b/>
        </w:rPr>
      </w:pPr>
      <w:r w:rsidRPr="00E75013">
        <w:rPr>
          <w:rFonts w:ascii="Arial" w:hAnsi="Arial" w:cs="Arial"/>
        </w:rPr>
        <w:t xml:space="preserve">On the other hand, Okigbo &amp; Onoshakpokaiye (2023), found no connection between the academic achievement of secondary school students in Mathematics and their motivation. </w:t>
      </w:r>
      <w:r w:rsidRPr="00E75013">
        <w:rPr>
          <w:rFonts w:ascii="Arial" w:eastAsia="Calibri" w:hAnsi="Arial" w:cs="Arial"/>
          <w:color w:val="000000"/>
        </w:rPr>
        <w:t xml:space="preserve">Therefore, these findings imply that other factors like </w:t>
      </w:r>
      <w:r w:rsidRPr="00E75013">
        <w:rPr>
          <w:rFonts w:ascii="Arial" w:eastAsia="Calibri" w:hAnsi="Arial" w:cs="Arial"/>
        </w:rPr>
        <w:t>environmental factors such as classrooms, adequate teaching and learning resources, highly qualified teachers, and teaching methodology may contribute to students’ academic performance in mathematics (Mbarute &amp; Ntivuguruzwa, 2022).</w:t>
      </w:r>
    </w:p>
    <w:p w14:paraId="058BE306" w14:textId="335210E3" w:rsidR="00E75013" w:rsidRDefault="00E75013" w:rsidP="005E058D">
      <w:pPr>
        <w:jc w:val="both"/>
        <w:rPr>
          <w:rFonts w:ascii="Bookman Old Style" w:hAnsi="Bookman Old Style"/>
          <w:b/>
          <w:sz w:val="24"/>
          <w:szCs w:val="24"/>
        </w:rPr>
      </w:pPr>
    </w:p>
    <w:p w14:paraId="6A954D0B" w14:textId="14776194" w:rsidR="005E058D" w:rsidRDefault="005E058D" w:rsidP="005E058D">
      <w:pPr>
        <w:jc w:val="both"/>
        <w:rPr>
          <w:rFonts w:ascii="Arial" w:hAnsi="Arial" w:cs="Arial"/>
          <w:b/>
          <w:sz w:val="22"/>
          <w:szCs w:val="22"/>
        </w:rPr>
      </w:pPr>
      <w:r w:rsidRPr="005E058D">
        <w:rPr>
          <w:rFonts w:ascii="Arial" w:hAnsi="Arial" w:cs="Arial"/>
          <w:b/>
          <w:sz w:val="22"/>
          <w:szCs w:val="22"/>
        </w:rPr>
        <w:t>Integration of Game-Based Approach</w:t>
      </w:r>
      <w:r>
        <w:rPr>
          <w:rFonts w:ascii="Arial" w:hAnsi="Arial" w:cs="Arial"/>
          <w:b/>
          <w:sz w:val="22"/>
          <w:szCs w:val="22"/>
        </w:rPr>
        <w:t xml:space="preserve"> to Math Instruction</w:t>
      </w:r>
    </w:p>
    <w:p w14:paraId="43851054" w14:textId="77777777" w:rsidR="00AB0FD6" w:rsidRDefault="00AB0FD6" w:rsidP="005E058D">
      <w:pPr>
        <w:jc w:val="both"/>
        <w:rPr>
          <w:rFonts w:ascii="Arial" w:hAnsi="Arial" w:cs="Arial"/>
          <w:b/>
          <w:sz w:val="22"/>
          <w:szCs w:val="22"/>
        </w:rPr>
      </w:pPr>
    </w:p>
    <w:p w14:paraId="1CCE059E" w14:textId="6483D69F" w:rsidR="00AB0FD6" w:rsidRDefault="00AB0FD6" w:rsidP="002B0948">
      <w:pPr>
        <w:jc w:val="both"/>
        <w:rPr>
          <w:rFonts w:ascii="Arial" w:eastAsia="Calibri" w:hAnsi="Arial" w:cs="Arial"/>
          <w:color w:val="000000"/>
        </w:rPr>
      </w:pPr>
      <w:r w:rsidRPr="00AB0FD6">
        <w:rPr>
          <w:rFonts w:ascii="Arial" w:eastAsia="Calibri" w:hAnsi="Arial" w:cs="Arial"/>
        </w:rPr>
        <w:t xml:space="preserve">In the study of </w:t>
      </w:r>
      <w:r w:rsidRPr="00AB0FD6">
        <w:rPr>
          <w:rFonts w:ascii="Arial" w:eastAsia="Calibri" w:hAnsi="Arial" w:cs="Arial"/>
          <w:shd w:val="clear" w:color="auto" w:fill="FFFFFF"/>
        </w:rPr>
        <w:t>Campilla &amp; Casta</w:t>
      </w:r>
      <w:r w:rsidRPr="00AB0FD6">
        <w:rPr>
          <w:rFonts w:ascii="Arial" w:eastAsia="Calibri" w:hAnsi="Arial" w:cs="Arial"/>
        </w:rPr>
        <w:t>ñ</w:t>
      </w:r>
      <w:r w:rsidRPr="00AB0FD6">
        <w:rPr>
          <w:rFonts w:ascii="Arial" w:eastAsia="Calibri" w:hAnsi="Arial" w:cs="Arial"/>
          <w:shd w:val="clear" w:color="auto" w:fill="FFFFFF"/>
        </w:rPr>
        <w:t xml:space="preserve">aga (2021), </w:t>
      </w:r>
      <w:r w:rsidRPr="00AB0FD6">
        <w:rPr>
          <w:rFonts w:ascii="Arial" w:eastAsia="Calibri" w:hAnsi="Arial" w:cs="Arial"/>
        </w:rPr>
        <w:t>21</w:t>
      </w:r>
      <w:r w:rsidRPr="00AB0FD6">
        <w:rPr>
          <w:rFonts w:ascii="Arial" w:eastAsia="Calibri" w:hAnsi="Arial" w:cs="Arial"/>
          <w:vertAlign w:val="superscript"/>
        </w:rPr>
        <w:t>st</w:t>
      </w:r>
      <w:r w:rsidRPr="00AB0FD6">
        <w:rPr>
          <w:rFonts w:ascii="Arial" w:eastAsia="Calibri" w:hAnsi="Arial" w:cs="Arial"/>
        </w:rPr>
        <w:t xml:space="preserve"> century teachings stress on the integration of technology, such as the internet, multimedia tools, and other digital resources, to improve the educational process. In a modern classroom setting, Math teachers utilize a variety of instructional techniques and resources to encourage student active engagement. In contrast to traditional methods, 21</w:t>
      </w:r>
      <w:r w:rsidRPr="00AB0FD6">
        <w:rPr>
          <w:rFonts w:ascii="Arial" w:eastAsia="Calibri" w:hAnsi="Arial" w:cs="Arial"/>
          <w:vertAlign w:val="superscript"/>
        </w:rPr>
        <w:t>st</w:t>
      </w:r>
      <w:r w:rsidRPr="00AB0FD6">
        <w:rPr>
          <w:rFonts w:ascii="Arial" w:eastAsia="Calibri" w:hAnsi="Arial" w:cs="Arial"/>
        </w:rPr>
        <w:t xml:space="preserve"> century techniques promote collaboration and experiential learning enabling students to construct their understanding through hands-on activities and real-world applications. Further, in the study conducted, </w:t>
      </w:r>
      <w:r w:rsidRPr="00AB0FD6">
        <w:rPr>
          <w:rFonts w:ascii="Arial" w:eastAsia="Calibri" w:hAnsi="Arial" w:cs="Arial"/>
          <w:shd w:val="clear" w:color="auto" w:fill="FFFFFF"/>
        </w:rPr>
        <w:t>teaching strategies utilized by Mathematics teacher in the 21</w:t>
      </w:r>
      <w:r w:rsidRPr="00AB0FD6">
        <w:rPr>
          <w:rFonts w:ascii="Arial" w:eastAsia="Calibri" w:hAnsi="Arial" w:cs="Arial"/>
          <w:shd w:val="clear" w:color="auto" w:fill="FFFFFF"/>
          <w:vertAlign w:val="superscript"/>
        </w:rPr>
        <w:t>st</w:t>
      </w:r>
      <w:r w:rsidRPr="00AB0FD6">
        <w:rPr>
          <w:rFonts w:ascii="Arial" w:eastAsia="Calibri" w:hAnsi="Arial" w:cs="Arial"/>
          <w:shd w:val="clear" w:color="auto" w:fill="FFFFFF"/>
        </w:rPr>
        <w:t xml:space="preserve"> century include </w:t>
      </w:r>
      <w:r w:rsidRPr="00AB0FD6">
        <w:rPr>
          <w:rFonts w:ascii="Arial" w:eastAsia="Calibri" w:hAnsi="Arial" w:cs="Arial"/>
          <w:color w:val="000000"/>
        </w:rPr>
        <w:t>Multimedia-based strategy, Game-based strategy, Manipulative-based strategy, Contextual learning Strategy.</w:t>
      </w:r>
      <w:r w:rsidR="002B0948">
        <w:rPr>
          <w:rFonts w:ascii="Arial" w:eastAsia="Calibri" w:hAnsi="Arial" w:cs="Arial"/>
          <w:color w:val="000000"/>
        </w:rPr>
        <w:t xml:space="preserve"> </w:t>
      </w:r>
    </w:p>
    <w:p w14:paraId="4417EA49" w14:textId="77777777" w:rsidR="002B0948" w:rsidRPr="00AB0FD6" w:rsidRDefault="002B0948" w:rsidP="002B0948">
      <w:pPr>
        <w:jc w:val="both"/>
        <w:rPr>
          <w:rFonts w:ascii="Arial" w:eastAsia="Calibri" w:hAnsi="Arial" w:cs="Arial"/>
          <w:color w:val="000000"/>
        </w:rPr>
      </w:pPr>
    </w:p>
    <w:p w14:paraId="24010EE3" w14:textId="77F1021D" w:rsidR="002B0948" w:rsidRDefault="002B0948" w:rsidP="002B0948">
      <w:pPr>
        <w:jc w:val="both"/>
        <w:rPr>
          <w:rFonts w:ascii="Arial" w:eastAsia="Calibri" w:hAnsi="Arial" w:cs="Arial"/>
          <w:color w:val="000000"/>
        </w:rPr>
      </w:pPr>
      <w:r w:rsidRPr="002B0948">
        <w:rPr>
          <w:rFonts w:ascii="Arial" w:eastAsia="Calibri" w:hAnsi="Arial" w:cs="Arial"/>
        </w:rPr>
        <w:t xml:space="preserve">Game-based learning uses a combination of games and instruction which aim to achieve educational goals. It is, further, the use of games, both traditional and digital, to support and enhance learning, teaching, and evaluation. Moreover, it encourages student’s participation and engagement, improves critical thinking, motivation and self-confidence while they involve themselves in hands-on, experiential learning. These games are viewed as an effective, imaginative, and interactive alternative to support the conventional teaching methodologies and practices through reinforcement of previously acquired information and skills, thus, fosters the development of 21st-century skills </w:t>
      </w:r>
      <w:r w:rsidRPr="002B0948">
        <w:rPr>
          <w:rFonts w:ascii="Arial" w:eastAsia="Calibri" w:hAnsi="Arial" w:cs="Arial"/>
          <w:color w:val="000000"/>
        </w:rPr>
        <w:t>(Bayeck, 2020; Chong et al.</w:t>
      </w:r>
      <w:r w:rsidR="00F235B1">
        <w:rPr>
          <w:rFonts w:ascii="Arial" w:eastAsia="Calibri" w:hAnsi="Arial" w:cs="Arial"/>
          <w:color w:val="000000"/>
        </w:rPr>
        <w:t>,</w:t>
      </w:r>
      <w:r w:rsidRPr="002B0948">
        <w:rPr>
          <w:rFonts w:ascii="Arial" w:eastAsia="Calibri" w:hAnsi="Arial" w:cs="Arial"/>
          <w:color w:val="000000"/>
        </w:rPr>
        <w:t xml:space="preserve"> 2022; Torkuglo, 2019).</w:t>
      </w:r>
      <w:r>
        <w:rPr>
          <w:rFonts w:ascii="Arial" w:eastAsia="Calibri" w:hAnsi="Arial" w:cs="Arial"/>
          <w:color w:val="000000"/>
        </w:rPr>
        <w:t xml:space="preserve"> </w:t>
      </w:r>
    </w:p>
    <w:p w14:paraId="68B125E5" w14:textId="77777777" w:rsidR="002B0948" w:rsidRDefault="002B0948" w:rsidP="002B0948">
      <w:pPr>
        <w:jc w:val="both"/>
        <w:rPr>
          <w:rFonts w:ascii="Arial" w:eastAsia="Calibri" w:hAnsi="Arial" w:cs="Arial"/>
          <w:color w:val="000000"/>
        </w:rPr>
      </w:pPr>
    </w:p>
    <w:p w14:paraId="30438B48" w14:textId="0DECA3E9" w:rsidR="002B0948" w:rsidRDefault="002B0948" w:rsidP="002B0948">
      <w:pPr>
        <w:jc w:val="both"/>
        <w:rPr>
          <w:rFonts w:ascii="Arial" w:eastAsia="Calibri" w:hAnsi="Arial" w:cs="Arial"/>
          <w:color w:val="000000"/>
        </w:rPr>
      </w:pPr>
      <w:r w:rsidRPr="002B0948">
        <w:rPr>
          <w:rFonts w:ascii="Arial" w:eastAsia="Calibri" w:hAnsi="Arial" w:cs="Arial"/>
        </w:rPr>
        <w:t xml:space="preserve">Game-based learning programs should provide students the opportunity to participate in their education and to apply what they have learned to real-world situations (Adipat et al., 2021). In addition, mathematics game-based learning has been found to achieve higher-level learning outcomes in the teaching process compared to traditional instructional methods (Jarrah et al., 2022). Technology-based learning interventions, such as gamification and interactive software, have been shown to enhance students' mathematics performance (Hillmayr et al., 2020).  Digital game-based learning, when combined with integrated educational content, </w:t>
      </w:r>
      <w:r w:rsidR="000E20A3">
        <w:rPr>
          <w:rFonts w:ascii="Arial" w:eastAsia="Calibri" w:hAnsi="Arial" w:cs="Arial"/>
        </w:rPr>
        <w:t>enhances</w:t>
      </w:r>
      <w:r w:rsidRPr="002B0948">
        <w:rPr>
          <w:rFonts w:ascii="Arial" w:eastAsia="Calibri" w:hAnsi="Arial" w:cs="Arial"/>
        </w:rPr>
        <w:t xml:space="preserve"> students' interest and engagement</w:t>
      </w:r>
      <w:r>
        <w:rPr>
          <w:rFonts w:ascii="Arial" w:eastAsia="Calibri" w:hAnsi="Arial" w:cs="Arial"/>
        </w:rPr>
        <w:t xml:space="preserve">. </w:t>
      </w:r>
      <w:r w:rsidRPr="002B0948">
        <w:rPr>
          <w:rFonts w:ascii="Arial" w:eastAsia="Calibri" w:hAnsi="Arial" w:cs="Arial"/>
        </w:rPr>
        <w:t xml:space="preserve">Thus, </w:t>
      </w:r>
      <w:r w:rsidRPr="002B0948">
        <w:rPr>
          <w:rFonts w:ascii="Arial" w:hAnsi="Arial" w:cs="Arial"/>
        </w:rPr>
        <w:t xml:space="preserve">it is possible to significantly improve students' learning experiences and learning results by incorporating teachers' educational activities into digital game-based learning </w:t>
      </w:r>
      <w:r w:rsidRPr="002B0948">
        <w:rPr>
          <w:rFonts w:ascii="Arial" w:eastAsia="Calibri" w:hAnsi="Arial" w:cs="Arial"/>
        </w:rPr>
        <w:t>(Sun et al., 2021</w:t>
      </w:r>
      <w:r w:rsidRPr="002B0948">
        <w:rPr>
          <w:rFonts w:ascii="Arial" w:eastAsia="Calibri" w:hAnsi="Arial" w:cs="Arial"/>
          <w:color w:val="000000"/>
        </w:rPr>
        <w:t xml:space="preserve">). </w:t>
      </w:r>
    </w:p>
    <w:p w14:paraId="2423918A" w14:textId="77777777" w:rsidR="002B0948" w:rsidRDefault="002B0948" w:rsidP="002B0948">
      <w:pPr>
        <w:jc w:val="both"/>
        <w:rPr>
          <w:rFonts w:ascii="Arial" w:eastAsia="Calibri" w:hAnsi="Arial" w:cs="Arial"/>
          <w:color w:val="000000"/>
        </w:rPr>
      </w:pPr>
    </w:p>
    <w:p w14:paraId="0393289D" w14:textId="08540C12" w:rsidR="002B0948" w:rsidRDefault="0022532A" w:rsidP="002B0948">
      <w:pPr>
        <w:jc w:val="both"/>
        <w:rPr>
          <w:rFonts w:ascii="Arial" w:eastAsia="Calibri" w:hAnsi="Arial" w:cs="Arial"/>
          <w:color w:val="000000"/>
        </w:rPr>
      </w:pPr>
      <w:r w:rsidRPr="0022532A">
        <w:rPr>
          <w:rFonts w:ascii="Arial" w:eastAsia="Calibri" w:hAnsi="Arial" w:cs="Arial"/>
          <w:color w:val="000000"/>
        </w:rPr>
        <w:t>Game-based learning approaches align closely with constructivist principles, which emphasize that learners actively construct their own understanding through experience, rather than passively receiving information. According to Triantafyllou (2022), through game-based learning, students actively engage in the learning process rather than merely receiving information. This pedagogical shift is foundational in constructivism, where students develop knowledge by exploring, interacting, and reflecting on their experiences.</w:t>
      </w:r>
    </w:p>
    <w:p w14:paraId="21B148A1" w14:textId="77777777" w:rsidR="00CC040D" w:rsidRDefault="00CC040D" w:rsidP="002B0948">
      <w:pPr>
        <w:jc w:val="both"/>
        <w:rPr>
          <w:rFonts w:ascii="Arial" w:eastAsia="Calibri" w:hAnsi="Arial" w:cs="Arial"/>
          <w:color w:val="000000"/>
        </w:rPr>
      </w:pPr>
    </w:p>
    <w:p w14:paraId="293C03FC" w14:textId="22ACA51F" w:rsidR="00CC040D" w:rsidRDefault="00CC040D" w:rsidP="002B0948">
      <w:pPr>
        <w:jc w:val="both"/>
        <w:rPr>
          <w:rFonts w:ascii="Arial" w:eastAsia="Calibri" w:hAnsi="Arial" w:cs="Arial"/>
          <w:b/>
          <w:color w:val="000000"/>
          <w:sz w:val="22"/>
        </w:rPr>
      </w:pPr>
      <w:r>
        <w:rPr>
          <w:rFonts w:ascii="Arial" w:eastAsia="Calibri" w:hAnsi="Arial" w:cs="Arial"/>
          <w:b/>
          <w:color w:val="000000"/>
          <w:sz w:val="22"/>
        </w:rPr>
        <w:t>The Damath G</w:t>
      </w:r>
      <w:r w:rsidRPr="00CC040D">
        <w:rPr>
          <w:rFonts w:ascii="Arial" w:eastAsia="Calibri" w:hAnsi="Arial" w:cs="Arial"/>
          <w:b/>
          <w:color w:val="000000"/>
          <w:sz w:val="22"/>
        </w:rPr>
        <w:t>ame</w:t>
      </w:r>
    </w:p>
    <w:p w14:paraId="21B75A56" w14:textId="77777777" w:rsidR="005119D8" w:rsidRDefault="005119D8" w:rsidP="005119D8">
      <w:pPr>
        <w:jc w:val="both"/>
        <w:rPr>
          <w:rFonts w:ascii="Arial" w:eastAsia="Calibri" w:hAnsi="Arial" w:cs="Arial"/>
          <w:b/>
          <w:color w:val="000000"/>
          <w:sz w:val="22"/>
        </w:rPr>
      </w:pPr>
    </w:p>
    <w:p w14:paraId="01536CFE" w14:textId="1742D449" w:rsidR="005119D8" w:rsidRPr="005119D8" w:rsidRDefault="005119D8" w:rsidP="005119D8">
      <w:pPr>
        <w:pStyle w:val="NoSpacing1"/>
        <w:jc w:val="both"/>
        <w:rPr>
          <w:rFonts w:ascii="Arial" w:hAnsi="Arial" w:cs="Arial"/>
          <w:sz w:val="20"/>
          <w:szCs w:val="20"/>
        </w:rPr>
      </w:pPr>
      <w:r w:rsidRPr="005119D8">
        <w:rPr>
          <w:rFonts w:ascii="Arial" w:hAnsi="Arial" w:cs="Arial"/>
          <w:sz w:val="20"/>
          <w:szCs w:val="20"/>
        </w:rPr>
        <w:t>In Philippines, Damath is a board game created by a Filipino teacher Jesus Huenda in the late 1970. This game was designed to facilitate his teaching with his students who had difficulty in learning the basics of mathematics, making it more enjoyable and educational at t</w:t>
      </w:r>
      <w:r>
        <w:rPr>
          <w:rFonts w:ascii="Arial" w:hAnsi="Arial" w:cs="Arial"/>
          <w:sz w:val="20"/>
          <w:szCs w:val="20"/>
        </w:rPr>
        <w:t>he same time (Ramos et al., 2018</w:t>
      </w:r>
      <w:r w:rsidRPr="005119D8">
        <w:rPr>
          <w:rFonts w:ascii="Arial" w:hAnsi="Arial" w:cs="Arial"/>
          <w:sz w:val="20"/>
          <w:szCs w:val="20"/>
        </w:rPr>
        <w:t>). The use of instructional games, such as Damath, in math classes has been studied by a number of writers. For instance, Ramirez and Mercado (2023), discovered that integrating mathematical games into classroom activities may increase accomplishment levels in mathematics, improve learning outcomes, help students grasp basic operations on integers and rational numbers, and raise their academic performance in the subject. Additionally, in the study of Magsombol (2021),</w:t>
      </w:r>
      <w:r w:rsidR="00DA01A0">
        <w:rPr>
          <w:rFonts w:ascii="Arial" w:hAnsi="Arial" w:cs="Arial"/>
          <w:sz w:val="20"/>
          <w:szCs w:val="20"/>
        </w:rPr>
        <w:t xml:space="preserve"> data revealed that the use of D</w:t>
      </w:r>
      <w:r w:rsidRPr="005119D8">
        <w:rPr>
          <w:rFonts w:ascii="Arial" w:hAnsi="Arial" w:cs="Arial"/>
          <w:sz w:val="20"/>
          <w:szCs w:val="20"/>
        </w:rPr>
        <w:t xml:space="preserve">amath game is effective as shown in </w:t>
      </w:r>
      <w:r w:rsidRPr="005119D8">
        <w:rPr>
          <w:rFonts w:ascii="Arial" w:hAnsi="Arial" w:cs="Arial"/>
          <w:color w:val="000000"/>
          <w:sz w:val="20"/>
          <w:szCs w:val="20"/>
        </w:rPr>
        <w:t>the result of the post-test of Damath group which is 26.73 of mean compared to the result of the post-test of the group without Damath which is 18.73 of mean.</w:t>
      </w:r>
      <w:r>
        <w:rPr>
          <w:rFonts w:ascii="Arial" w:hAnsi="Arial" w:cs="Arial"/>
          <w:color w:val="000000"/>
          <w:sz w:val="20"/>
          <w:szCs w:val="20"/>
        </w:rPr>
        <w:t xml:space="preserve"> </w:t>
      </w:r>
    </w:p>
    <w:p w14:paraId="75A8A78F" w14:textId="6042A015" w:rsidR="005119D8" w:rsidRPr="005119D8" w:rsidRDefault="005119D8" w:rsidP="005119D8">
      <w:pPr>
        <w:jc w:val="both"/>
        <w:rPr>
          <w:rFonts w:ascii="Arial" w:eastAsia="Calibri" w:hAnsi="Arial" w:cs="Arial"/>
          <w:b/>
          <w:color w:val="000000"/>
        </w:rPr>
      </w:pPr>
    </w:p>
    <w:p w14:paraId="2241A20E" w14:textId="77777777" w:rsidR="005119D8" w:rsidRPr="005119D8" w:rsidRDefault="005119D8" w:rsidP="005119D8">
      <w:pPr>
        <w:jc w:val="both"/>
        <w:rPr>
          <w:rFonts w:ascii="Arial" w:eastAsia="Calibri" w:hAnsi="Arial" w:cs="Arial"/>
        </w:rPr>
      </w:pPr>
      <w:r w:rsidRPr="005119D8">
        <w:rPr>
          <w:rFonts w:ascii="Arial" w:eastAsia="Calibri" w:hAnsi="Arial" w:cs="Arial"/>
        </w:rPr>
        <w:t>The study of mobile Damath game holds significant relevance as it integrates traditional educational games with technology to enhance mathematics learning. The mobile adaptation of Damath addresses the portability and mobility of the game as well as the growing need for technology-based instructional strategies in 21st-century classrooms, where digital tools are increasingly utilized to support learning (Ramos et al., 2018). Implementing the Damath strategy has revealed significant improvements in students' cognitive and mathematical abilities. Participants noted enhanced mental stimulation, increased focus, improved strategic thinking, and stronger problem-solving skills as a result of regular gameplay. The strategy effectively boosted mental arithmetic and mastery of mathematical operations, proving to be a valuable tool for reinforcing classroom lessons. These findings underscore Damath's potential to foster cognitive development, critical thinking, and mathematical proficiency, ultimately enriching students' overall educational experience (Baog, 2024).</w:t>
      </w:r>
    </w:p>
    <w:p w14:paraId="12115682" w14:textId="16799A6C" w:rsidR="005119D8" w:rsidRPr="005119D8" w:rsidRDefault="005119D8" w:rsidP="005119D8">
      <w:pPr>
        <w:jc w:val="both"/>
        <w:rPr>
          <w:rFonts w:ascii="Arial" w:eastAsia="Calibri" w:hAnsi="Arial" w:cs="Arial"/>
          <w:b/>
          <w:color w:val="000000"/>
        </w:rPr>
      </w:pPr>
    </w:p>
    <w:p w14:paraId="406CD81D" w14:textId="1FA3A426" w:rsidR="00A64A07" w:rsidRPr="00A32BEB" w:rsidRDefault="00A32BEB" w:rsidP="005119D8">
      <w:pPr>
        <w:jc w:val="both"/>
        <w:rPr>
          <w:rFonts w:ascii="Arial" w:eastAsia="Calibri" w:hAnsi="Arial" w:cs="Arial"/>
          <w:color w:val="000000"/>
        </w:rPr>
      </w:pPr>
      <w:r w:rsidRPr="00A32BEB">
        <w:rPr>
          <w:rFonts w:ascii="Arial" w:eastAsia="Calibri" w:hAnsi="Arial" w:cs="Arial"/>
          <w:color w:val="000000"/>
        </w:rPr>
        <w:t xml:space="preserve">However, </w:t>
      </w:r>
      <w:r w:rsidRPr="00A32BEB">
        <w:rPr>
          <w:rFonts w:ascii="Arial" w:eastAsia="Calibri" w:hAnsi="Arial" w:cs="Arial"/>
        </w:rPr>
        <w:t>existing studies on Damath have relied on small sample sizes and short-term interventions, which may not fully capture its effectiveness or applicability across grade levels and broader educational systems (Martus et al., 2024). Further, few studies have specifically examined its effectiveness in teaching integer-related contents on Grade 8 students. The relationship between engagement with the game and actual performance in Math also remains underexplored while most studies have focused on traditional Damath board game rather than mobile applications. These limitations underscore the need for more localized, large-scale studies to assess the mobile Damath game’s impact on students’ mathematical proficiency, attitudes toward learning, and long-term academic achievement.</w:t>
      </w:r>
    </w:p>
    <w:p w14:paraId="4044712B" w14:textId="77777777" w:rsidR="00E75013" w:rsidRPr="00423244" w:rsidRDefault="00E75013" w:rsidP="005119D8">
      <w:pPr>
        <w:jc w:val="both"/>
        <w:rPr>
          <w:rFonts w:ascii="Arial" w:hAnsi="Arial" w:cs="Arial"/>
        </w:rPr>
      </w:pPr>
    </w:p>
    <w:p w14:paraId="6ED14790" w14:textId="77777777" w:rsidR="00423244" w:rsidRPr="009F4ECE" w:rsidRDefault="00423244" w:rsidP="005119D8">
      <w:pPr>
        <w:jc w:val="both"/>
        <w:rPr>
          <w:rFonts w:ascii="Arial" w:eastAsia="Calibri" w:hAnsi="Arial" w:cs="Arial"/>
          <w:b/>
        </w:rPr>
      </w:pPr>
    </w:p>
    <w:p w14:paraId="2A67965F" w14:textId="77777777" w:rsidR="00E65C12" w:rsidRPr="00FB3A86" w:rsidRDefault="00E65C12" w:rsidP="005119D8">
      <w:pPr>
        <w:pStyle w:val="Body"/>
        <w:spacing w:after="0"/>
        <w:rPr>
          <w:rFonts w:ascii="Arial" w:hAnsi="Arial" w:cs="Arial"/>
        </w:rPr>
      </w:pPr>
    </w:p>
    <w:p w14:paraId="180B31C3" w14:textId="77777777" w:rsidR="007F7B32" w:rsidRDefault="006B57D0" w:rsidP="00441B6F">
      <w:pPr>
        <w:pStyle w:val="AbstHead"/>
        <w:spacing w:after="0"/>
        <w:jc w:val="both"/>
        <w:rPr>
          <w:rFonts w:ascii="Arial" w:hAnsi="Arial" w:cs="Arial"/>
        </w:rPr>
      </w:pPr>
      <w:r>
        <w:rPr>
          <w:rFonts w:ascii="Arial" w:hAnsi="Arial" w:cs="Arial"/>
        </w:rPr>
        <w:t>methodology</w:t>
      </w:r>
      <w:r w:rsidR="007D2F6A">
        <w:rPr>
          <w:rFonts w:ascii="Arial" w:hAnsi="Arial" w:cs="Arial"/>
        </w:rPr>
        <w:t xml:space="preserve"> </w:t>
      </w:r>
    </w:p>
    <w:p w14:paraId="0080D318" w14:textId="77777777" w:rsidR="00790ADA" w:rsidRPr="00FB3A86" w:rsidRDefault="00790ADA" w:rsidP="00441B6F">
      <w:pPr>
        <w:pStyle w:val="AbstHead"/>
        <w:spacing w:after="0"/>
        <w:jc w:val="both"/>
        <w:rPr>
          <w:rFonts w:ascii="Arial" w:hAnsi="Arial" w:cs="Arial"/>
        </w:rPr>
      </w:pPr>
    </w:p>
    <w:p w14:paraId="692EFD9B" w14:textId="77777777" w:rsidR="00B95236" w:rsidRDefault="007D2F6A" w:rsidP="00441B6F">
      <w:pPr>
        <w:pStyle w:val="Body"/>
        <w:spacing w:after="0"/>
        <w:rPr>
          <w:rFonts w:ascii="Arial" w:hAnsi="Arial" w:cs="Arial"/>
        </w:rPr>
      </w:pPr>
      <w:r w:rsidRPr="007D2F6A">
        <w:rPr>
          <w:rFonts w:ascii="Arial" w:eastAsia="Calibri" w:hAnsi="Arial" w:cs="Arial"/>
        </w:rPr>
        <w:t>This study employed a quasi-experimental design with pre-test and post-test assessments of both experimental and control groups. The experimental group engaged with the mobile Damath game as an intervention for learning integer operations, while the control group received traditional instruction on the same content. Both quantitative data on performance and engagement were collected and analyzed to determine the effectiveness of the mobile Damath game and its relationship to students’ mathematical achievement</w:t>
      </w:r>
    </w:p>
    <w:p w14:paraId="4AC424DC" w14:textId="77777777" w:rsidR="00790ADA" w:rsidRDefault="00790ADA" w:rsidP="00441B6F">
      <w:pPr>
        <w:pStyle w:val="Body"/>
        <w:spacing w:after="0"/>
        <w:rPr>
          <w:rFonts w:ascii="Arial" w:hAnsi="Arial" w:cs="Arial"/>
        </w:rPr>
      </w:pPr>
    </w:p>
    <w:p w14:paraId="61C6F365"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Design</w:t>
      </w:r>
    </w:p>
    <w:p w14:paraId="287463FA" w14:textId="77777777" w:rsidR="007D2F6A" w:rsidRPr="007D2F6A" w:rsidRDefault="007D2F6A" w:rsidP="007D2F6A">
      <w:pPr>
        <w:jc w:val="both"/>
        <w:rPr>
          <w:rFonts w:ascii="Arial" w:eastAsia="Calibri" w:hAnsi="Arial" w:cs="Arial"/>
          <w:b/>
        </w:rPr>
      </w:pPr>
    </w:p>
    <w:p w14:paraId="142C3215" w14:textId="77777777" w:rsidR="007D2F6A" w:rsidRDefault="007D2F6A" w:rsidP="007D2F6A">
      <w:pPr>
        <w:jc w:val="both"/>
        <w:rPr>
          <w:rFonts w:ascii="Arial" w:eastAsia="Calibri" w:hAnsi="Arial" w:cs="Arial"/>
        </w:rPr>
      </w:pPr>
      <w:r w:rsidRPr="007D2F6A">
        <w:rPr>
          <w:rFonts w:ascii="Arial" w:eastAsia="Calibri" w:hAnsi="Arial" w:cs="Arial"/>
        </w:rPr>
        <w:t xml:space="preserve">In this study, the quasi-experimental method determined the effectiveness of the interactive mobile Damath game as an intervention to those low performing students of Grade 8 students in Mathematics of Badas National High School. </w:t>
      </w:r>
    </w:p>
    <w:p w14:paraId="7E8A154F" w14:textId="77777777" w:rsidR="00B13055" w:rsidRPr="007D2F6A" w:rsidRDefault="00B13055" w:rsidP="007D2F6A">
      <w:pPr>
        <w:jc w:val="both"/>
        <w:rPr>
          <w:rFonts w:ascii="Arial" w:eastAsia="Calibri" w:hAnsi="Arial" w:cs="Arial"/>
        </w:rPr>
      </w:pPr>
    </w:p>
    <w:p w14:paraId="0CC7842E" w14:textId="472C7F82" w:rsidR="00BC50E3" w:rsidRPr="007D2F6A" w:rsidRDefault="007D2F6A" w:rsidP="00BC50E3">
      <w:pPr>
        <w:jc w:val="both"/>
        <w:rPr>
          <w:rFonts w:ascii="Arial" w:eastAsia="Calibri" w:hAnsi="Arial" w:cs="Arial"/>
        </w:rPr>
      </w:pPr>
      <w:r w:rsidRPr="007D2F6A">
        <w:rPr>
          <w:rFonts w:ascii="Arial" w:eastAsia="Calibri" w:hAnsi="Arial" w:cs="Arial"/>
        </w:rPr>
        <w:t xml:space="preserve">A Quasi-Experimental Design was selected as the most appropriate approach for this study because it allows for the examination of cause-effect relationships between variables (mobile Damath game intervention and mathematics performance) without random assignment. This design aligned with the constructivist theoretical framework by enabling the comparison of two different learning environments – one facilitating active knowledge construction through gameplay and another using traditional instruction. The inclusion of a descriptive component allowed for detailed characterization of students’ engagement levels and demographic variables. </w:t>
      </w:r>
      <w:r w:rsidR="00BC50E3">
        <w:rPr>
          <w:rFonts w:ascii="Arial" w:eastAsia="Calibri" w:hAnsi="Arial" w:cs="Arial"/>
        </w:rPr>
        <w:t xml:space="preserve">The implementation phase of three weeks was considered to allow the participants engage with the game consistently throughout the duration. Further, this timeframe aligns with the school calendar to ensure no disruption of classes. However, while positive impact is observed </w:t>
      </w:r>
      <w:r w:rsidR="0050498A">
        <w:rPr>
          <w:rFonts w:ascii="Arial" w:eastAsia="Calibri" w:hAnsi="Arial" w:cs="Arial"/>
        </w:rPr>
        <w:t xml:space="preserve">at the beginning, it is still </w:t>
      </w:r>
      <w:r w:rsidR="0050498A">
        <w:rPr>
          <w:rFonts w:ascii="Arial" w:eastAsia="Calibri" w:hAnsi="Arial" w:cs="Arial"/>
        </w:rPr>
        <w:lastRenderedPageBreak/>
        <w:t xml:space="preserve">recommended to conduct future research to examine long-term effects of using the mobile Damath game to students’ math achievement. </w:t>
      </w:r>
    </w:p>
    <w:p w14:paraId="1260750F" w14:textId="77777777" w:rsidR="007D2F6A" w:rsidRPr="007D2F6A" w:rsidRDefault="007D2F6A" w:rsidP="007D2F6A">
      <w:pPr>
        <w:jc w:val="both"/>
        <w:rPr>
          <w:rFonts w:ascii="Arial" w:eastAsia="Calibri" w:hAnsi="Arial" w:cs="Arial"/>
        </w:rPr>
      </w:pPr>
    </w:p>
    <w:p w14:paraId="28138D4D" w14:textId="77777777" w:rsidR="00906A8C" w:rsidRDefault="00906A8C" w:rsidP="007D2F6A">
      <w:pPr>
        <w:jc w:val="both"/>
        <w:rPr>
          <w:rFonts w:ascii="Arial" w:eastAsia="Calibri" w:hAnsi="Arial" w:cs="Arial"/>
          <w:b/>
          <w:sz w:val="22"/>
        </w:rPr>
      </w:pPr>
    </w:p>
    <w:p w14:paraId="11207B79"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Sampling</w:t>
      </w:r>
    </w:p>
    <w:p w14:paraId="262D82C9" w14:textId="77777777" w:rsidR="007D2F6A" w:rsidRPr="007D2F6A" w:rsidRDefault="007D2F6A" w:rsidP="007D2F6A">
      <w:pPr>
        <w:jc w:val="both"/>
        <w:rPr>
          <w:rFonts w:ascii="Arial" w:eastAsia="Calibri" w:hAnsi="Arial" w:cs="Arial"/>
          <w:b/>
          <w:sz w:val="22"/>
        </w:rPr>
      </w:pPr>
    </w:p>
    <w:p w14:paraId="3AFF2AD8" w14:textId="3DBE0069" w:rsidR="007D2F6A" w:rsidRPr="007D2F6A" w:rsidRDefault="007D2F6A" w:rsidP="007D2F6A">
      <w:pPr>
        <w:jc w:val="both"/>
        <w:rPr>
          <w:rFonts w:ascii="Arial" w:eastAsia="Calibri" w:hAnsi="Arial" w:cs="Arial"/>
        </w:rPr>
      </w:pPr>
      <w:r w:rsidRPr="007D2F6A">
        <w:rPr>
          <w:rFonts w:ascii="Arial" w:eastAsia="Calibri" w:hAnsi="Arial" w:cs="Arial"/>
        </w:rPr>
        <w:t>This study employed purposive sampling to select participants who met specific criteria aligned with the objectives of the research. From the total population of 106 Grade 8 students enrolled at Badas national High School</w:t>
      </w:r>
      <w:r w:rsidR="00B93A42">
        <w:rPr>
          <w:rFonts w:ascii="Arial" w:eastAsia="Calibri" w:hAnsi="Arial" w:cs="Arial"/>
        </w:rPr>
        <w:t xml:space="preserve"> for SY 2024-2025</w:t>
      </w:r>
      <w:r w:rsidRPr="007D2F6A">
        <w:rPr>
          <w:rFonts w:ascii="Arial" w:eastAsia="Calibri" w:hAnsi="Arial" w:cs="Arial"/>
        </w:rPr>
        <w:t xml:space="preserve">, all students were first administered </w:t>
      </w:r>
      <w:r w:rsidR="00382E02">
        <w:rPr>
          <w:rFonts w:ascii="Arial" w:eastAsia="Calibri" w:hAnsi="Arial" w:cs="Arial"/>
        </w:rPr>
        <w:t xml:space="preserve">with </w:t>
      </w:r>
      <w:r w:rsidRPr="007D2F6A">
        <w:rPr>
          <w:rFonts w:ascii="Arial" w:eastAsia="Calibri" w:hAnsi="Arial" w:cs="Arial"/>
        </w:rPr>
        <w:t xml:space="preserve">a pre-test focused on integer operations. Based on the results, the 60 lowest-performing students were identified and chosen as the participants for the study. </w:t>
      </w:r>
    </w:p>
    <w:p w14:paraId="6A1B616E" w14:textId="77777777" w:rsidR="00906A8C" w:rsidRDefault="00906A8C" w:rsidP="007D2F6A">
      <w:pPr>
        <w:jc w:val="both"/>
        <w:rPr>
          <w:rFonts w:ascii="Arial" w:eastAsia="Calibri" w:hAnsi="Arial" w:cs="Arial"/>
        </w:rPr>
      </w:pPr>
    </w:p>
    <w:p w14:paraId="3775A54F" w14:textId="390AE40A" w:rsidR="007D2F6A" w:rsidRDefault="007D2F6A" w:rsidP="007D2F6A">
      <w:pPr>
        <w:jc w:val="both"/>
        <w:rPr>
          <w:rFonts w:ascii="Arial" w:eastAsia="Calibri" w:hAnsi="Arial" w:cs="Arial"/>
        </w:rPr>
      </w:pPr>
      <w:r w:rsidRPr="007D2F6A">
        <w:rPr>
          <w:rFonts w:ascii="Arial" w:eastAsia="Calibri" w:hAnsi="Arial" w:cs="Arial"/>
        </w:rPr>
        <w:t>The decision to focus on low performing students was intentional and strategic. The primary goal of this research was to evaluate the effectiveness of the mobile Damath game in improving mathematic</w:t>
      </w:r>
      <w:r w:rsidR="008F0ABF">
        <w:rPr>
          <w:rFonts w:ascii="Arial" w:eastAsia="Calibri" w:hAnsi="Arial" w:cs="Arial"/>
        </w:rPr>
        <w:t xml:space="preserve">al performance and engagement, </w:t>
      </w:r>
      <w:r w:rsidRPr="007D2F6A">
        <w:rPr>
          <w:rFonts w:ascii="Arial" w:eastAsia="Calibri" w:hAnsi="Arial" w:cs="Arial"/>
        </w:rPr>
        <w:t xml:space="preserve">particularly in students who are struggling with foundational skills in integers. Selecting students with the greatest need for intervention allowed the study to more accurately assess whether the game-based approach could produce meaningful improvements in learning outcomes. By focusing on this group, the study aimed to address learning gaps and help create teaching strategies that better support the struggling learners. </w:t>
      </w:r>
    </w:p>
    <w:p w14:paraId="58D54574" w14:textId="77777777" w:rsidR="00B860C7" w:rsidRPr="007D2F6A" w:rsidRDefault="00B860C7" w:rsidP="007D2F6A">
      <w:pPr>
        <w:jc w:val="both"/>
        <w:rPr>
          <w:rFonts w:ascii="Arial" w:eastAsia="Calibri" w:hAnsi="Arial" w:cs="Arial"/>
        </w:rPr>
      </w:pPr>
    </w:p>
    <w:p w14:paraId="37539434" w14:textId="44305206" w:rsidR="007D2F6A" w:rsidRPr="007D2F6A" w:rsidRDefault="007D2F6A" w:rsidP="007D2F6A">
      <w:pPr>
        <w:jc w:val="both"/>
        <w:rPr>
          <w:rFonts w:ascii="Arial" w:eastAsia="Calibri" w:hAnsi="Arial" w:cs="Arial"/>
        </w:rPr>
      </w:pPr>
      <w:r w:rsidRPr="007D2F6A">
        <w:rPr>
          <w:rFonts w:ascii="Arial" w:eastAsia="Calibri" w:hAnsi="Arial" w:cs="Arial"/>
        </w:rPr>
        <w:t>After identifying the 60 participants, a systematic assignment process was used to divide them equally into two groups: the experimental group and the control group. This method ensured a fair and balanced distribution of academic performance across both groups, minimizing potential biases and improving the comparability of results. The experimental group was exposed to mobile Damath game as an instructional intervention for learning integers while the control group re</w:t>
      </w:r>
      <w:r w:rsidR="00BC50E3">
        <w:rPr>
          <w:rFonts w:ascii="Arial" w:eastAsia="Calibri" w:hAnsi="Arial" w:cs="Arial"/>
        </w:rPr>
        <w:t>ceived traditional instruction.</w:t>
      </w:r>
    </w:p>
    <w:p w14:paraId="1C6953D4" w14:textId="77777777" w:rsidR="007D2F6A" w:rsidRPr="007D2F6A" w:rsidRDefault="007D2F6A" w:rsidP="007D2F6A">
      <w:pPr>
        <w:jc w:val="both"/>
        <w:rPr>
          <w:rFonts w:ascii="Arial" w:eastAsia="Calibri" w:hAnsi="Arial" w:cs="Arial"/>
        </w:rPr>
      </w:pPr>
    </w:p>
    <w:p w14:paraId="0FC1A3B1"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Collection</w:t>
      </w:r>
    </w:p>
    <w:p w14:paraId="12B16F35" w14:textId="77777777" w:rsidR="007D2F6A" w:rsidRPr="007D2F6A" w:rsidRDefault="007D2F6A" w:rsidP="007D2F6A">
      <w:pPr>
        <w:jc w:val="both"/>
        <w:rPr>
          <w:rFonts w:ascii="Arial" w:eastAsia="Calibri" w:hAnsi="Arial" w:cs="Arial"/>
          <w:b/>
        </w:rPr>
      </w:pPr>
    </w:p>
    <w:p w14:paraId="3C03F6AE" w14:textId="77777777" w:rsidR="007D2F6A" w:rsidRPr="007D2F6A" w:rsidRDefault="007D2F6A" w:rsidP="007D2F6A">
      <w:pPr>
        <w:jc w:val="both"/>
        <w:rPr>
          <w:rFonts w:ascii="Arial" w:eastAsia="Calibri" w:hAnsi="Arial" w:cs="Arial"/>
        </w:rPr>
      </w:pPr>
      <w:r w:rsidRPr="007D2F6A">
        <w:rPr>
          <w:rFonts w:ascii="Arial" w:eastAsia="Calibri" w:hAnsi="Arial" w:cs="Arial"/>
        </w:rPr>
        <w:t>Data for this study were collected using three primary instruments: a demographic questionnaire, a pre-test and post-test in Mathematics, and an AI-assisted survey questionnaire. The demographic questionnaire was used to gather information on the respondents’ profiles in terms of age and gender, the pre-test and post-test were employed to assess their academic performance in integer operations, while the survey questionnaire focused on assessing students’ level of engagement with the mobile Damath game.</w:t>
      </w:r>
    </w:p>
    <w:p w14:paraId="7F1B546A" w14:textId="77777777" w:rsidR="007D2F6A" w:rsidRPr="007D2F6A" w:rsidRDefault="007D2F6A" w:rsidP="007D2F6A">
      <w:pPr>
        <w:jc w:val="both"/>
        <w:rPr>
          <w:rFonts w:ascii="Arial" w:eastAsia="Calibri" w:hAnsi="Arial" w:cs="Arial"/>
        </w:rPr>
      </w:pPr>
    </w:p>
    <w:p w14:paraId="5682533A" w14:textId="77777777" w:rsidR="007D2F6A" w:rsidRPr="007D2F6A" w:rsidRDefault="007D2F6A" w:rsidP="007D2F6A">
      <w:pPr>
        <w:rPr>
          <w:rFonts w:ascii="Arial" w:eastAsia="Calibri" w:hAnsi="Arial" w:cs="Arial"/>
          <w:b/>
          <w:u w:val="single"/>
        </w:rPr>
      </w:pPr>
      <w:r w:rsidRPr="007D2F6A">
        <w:rPr>
          <w:rFonts w:ascii="Arial" w:eastAsia="Calibri" w:hAnsi="Arial" w:cs="Arial"/>
          <w:b/>
          <w:u w:val="single"/>
        </w:rPr>
        <w:t xml:space="preserve">Research Instrument </w:t>
      </w:r>
    </w:p>
    <w:p w14:paraId="60BFC77D" w14:textId="77777777" w:rsidR="007D2F6A" w:rsidRPr="007D2F6A" w:rsidRDefault="007D2F6A" w:rsidP="007D2F6A">
      <w:pPr>
        <w:rPr>
          <w:rFonts w:ascii="Arial" w:eastAsia="Calibri" w:hAnsi="Arial" w:cs="Arial"/>
          <w:b/>
          <w:u w:val="single"/>
        </w:rPr>
      </w:pPr>
    </w:p>
    <w:p w14:paraId="3854E412" w14:textId="77777777" w:rsidR="007D2F6A" w:rsidRPr="007D2F6A" w:rsidRDefault="007D2F6A" w:rsidP="007D2F6A">
      <w:pPr>
        <w:rPr>
          <w:rFonts w:ascii="Arial" w:eastAsia="Calibri" w:hAnsi="Arial" w:cs="Arial"/>
          <w:b/>
          <w:i/>
        </w:rPr>
      </w:pPr>
      <w:r w:rsidRPr="007D2F6A">
        <w:rPr>
          <w:rFonts w:ascii="Arial" w:eastAsia="Calibri" w:hAnsi="Arial" w:cs="Arial"/>
          <w:b/>
          <w:i/>
        </w:rPr>
        <w:t>Survey Questionnaire</w:t>
      </w:r>
    </w:p>
    <w:p w14:paraId="2BBE6254" w14:textId="77777777" w:rsidR="007D2F6A" w:rsidRPr="007D2F6A" w:rsidRDefault="007D2F6A" w:rsidP="007D2F6A">
      <w:pPr>
        <w:rPr>
          <w:rFonts w:ascii="Arial" w:eastAsia="Calibri" w:hAnsi="Arial" w:cs="Arial"/>
          <w:b/>
          <w:i/>
        </w:rPr>
      </w:pPr>
    </w:p>
    <w:p w14:paraId="41CEF78C"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An AI-supported survey questionnaire was used to gather data on students’ engagement and perceptions toward playing the mobile Damath game. Initial items were drafted using ChatGPT AI tool to ensure clarity, consistency, and alignment with the study’s objectives. </w:t>
      </w:r>
      <w:r w:rsidR="007E3238" w:rsidRPr="007E3238">
        <w:rPr>
          <w:rFonts w:ascii="Arial" w:eastAsia="Calibri" w:hAnsi="Arial" w:cs="Arial"/>
        </w:rPr>
        <w:t>The test of reliability revealed that the initial Cronbach’s Alpha for the Attitude scale, composed of 10 items, was 0.312, indicating poor internal consistency (Taber, 2018). After removing four poorly performing items, the adjusted Cronbach’s Alpha improved significantly to 0.719, suggesting acceptable reliability. Similarly, the Motivation scale i</w:t>
      </w:r>
      <w:r w:rsidR="008B440B">
        <w:rPr>
          <w:rFonts w:ascii="Arial" w:eastAsia="Calibri" w:hAnsi="Arial" w:cs="Arial"/>
        </w:rPr>
        <w:t>nitially recorded a Cronbach’s a</w:t>
      </w:r>
      <w:r w:rsidR="007E3238" w:rsidRPr="007E3238">
        <w:rPr>
          <w:rFonts w:ascii="Arial" w:eastAsia="Calibri" w:hAnsi="Arial" w:cs="Arial"/>
        </w:rPr>
        <w:t xml:space="preserve">lpha of 0.695 for 10 items. By eliminating one item, the reliability slightly improved to 0.725. These adjustments contributed to an overall Cronbach’s Alpha of 0.828 for the entire questionnaire, demonstrating good internal consistency across the instrument (Tavakol &amp; Dennick, 2011). </w:t>
      </w:r>
      <w:r w:rsidRPr="007D2F6A">
        <w:rPr>
          <w:rFonts w:ascii="Arial" w:eastAsia="Calibri" w:hAnsi="Arial" w:cs="Arial"/>
        </w:rPr>
        <w:t>These items were then reviewed by experts in the field to ensure its content validity and appropriateness for the tar</w:t>
      </w:r>
      <w:r w:rsidR="00F11A5A">
        <w:rPr>
          <w:rFonts w:ascii="Arial" w:eastAsia="Calibri" w:hAnsi="Arial" w:cs="Arial"/>
        </w:rPr>
        <w:t>get participants</w:t>
      </w:r>
      <w:r w:rsidRPr="007D2F6A">
        <w:rPr>
          <w:rFonts w:ascii="Arial" w:eastAsia="Calibri" w:hAnsi="Arial" w:cs="Arial"/>
        </w:rPr>
        <w:t xml:space="preserve">. These reviewers included a faculty member of Davao Oriental State University (DORSU) with expertise in educational research, an Education Program Supervisor who assessed the clarity and language of the items, and a Master Teacher specializing in Mathematics who evaluated the questionnaire’s relevance to the subject matter. Their collective feedback was used to refine and improve the instrument prior to its pilot testing and implementation. </w:t>
      </w:r>
    </w:p>
    <w:p w14:paraId="3BFB9731" w14:textId="77777777" w:rsidR="00906A8C" w:rsidRDefault="00906A8C" w:rsidP="007D2F6A">
      <w:pPr>
        <w:jc w:val="both"/>
        <w:rPr>
          <w:rFonts w:ascii="Arial" w:eastAsia="Calibri" w:hAnsi="Arial" w:cs="Arial"/>
        </w:rPr>
      </w:pPr>
    </w:p>
    <w:p w14:paraId="3DE40AC4" w14:textId="77777777" w:rsidR="007D2F6A" w:rsidRPr="007D2F6A" w:rsidRDefault="007D2F6A" w:rsidP="007D2F6A">
      <w:pPr>
        <w:jc w:val="both"/>
        <w:rPr>
          <w:rFonts w:ascii="Arial" w:eastAsia="Calibri" w:hAnsi="Arial" w:cs="Arial"/>
        </w:rPr>
      </w:pPr>
      <w:r w:rsidRPr="007D2F6A">
        <w:rPr>
          <w:rFonts w:ascii="Arial" w:eastAsia="Calibri" w:hAnsi="Arial" w:cs="Arial"/>
        </w:rPr>
        <w:t>Following expert validation, the questionnaire was subjected to a pilot test involving a small group of Grade 8 students from the same school, not included in the actual study, with similar characteristics. Feedback from the pilot test was used to revise unclear or ambiguous items, ensure age-appropriate language, and improve the overall structure of the survey. The final version of the questionnaire was then administered after the intervention.</w:t>
      </w:r>
    </w:p>
    <w:p w14:paraId="707DE47B" w14:textId="77777777" w:rsidR="007D2F6A" w:rsidRPr="007D2F6A" w:rsidRDefault="007D2F6A" w:rsidP="007D2F6A">
      <w:pPr>
        <w:jc w:val="both"/>
        <w:rPr>
          <w:rFonts w:ascii="Arial" w:eastAsia="Calibri" w:hAnsi="Arial" w:cs="Arial"/>
        </w:rPr>
      </w:pPr>
    </w:p>
    <w:p w14:paraId="28B33660" w14:textId="77777777" w:rsidR="007D2F6A" w:rsidRPr="007D2F6A" w:rsidRDefault="007D2F6A" w:rsidP="007D2F6A">
      <w:pPr>
        <w:jc w:val="both"/>
        <w:rPr>
          <w:rFonts w:ascii="Arial" w:eastAsia="Calibri" w:hAnsi="Arial" w:cs="Arial"/>
          <w:b/>
          <w:i/>
        </w:rPr>
      </w:pPr>
      <w:r w:rsidRPr="007D2F6A">
        <w:rPr>
          <w:rFonts w:ascii="Arial" w:eastAsia="Calibri" w:hAnsi="Arial" w:cs="Arial"/>
          <w:b/>
          <w:i/>
        </w:rPr>
        <w:t>Pre-Post Test Questionnaire</w:t>
      </w:r>
    </w:p>
    <w:p w14:paraId="7E39C5BB" w14:textId="77777777" w:rsidR="007D2F6A" w:rsidRPr="007D2F6A" w:rsidRDefault="007D2F6A" w:rsidP="007D2F6A">
      <w:pPr>
        <w:jc w:val="both"/>
        <w:rPr>
          <w:rFonts w:ascii="Arial" w:eastAsia="Calibri" w:hAnsi="Arial" w:cs="Arial"/>
          <w:b/>
          <w:i/>
        </w:rPr>
      </w:pPr>
    </w:p>
    <w:p w14:paraId="0963945E" w14:textId="77777777" w:rsidR="007D2F6A" w:rsidRPr="007D2F6A" w:rsidRDefault="00996AAF" w:rsidP="007D2F6A">
      <w:pPr>
        <w:jc w:val="both"/>
        <w:rPr>
          <w:rFonts w:ascii="Arial" w:eastAsia="Calibri" w:hAnsi="Arial" w:cs="Arial"/>
        </w:rPr>
      </w:pPr>
      <w:r>
        <w:rPr>
          <w:rFonts w:ascii="Arial" w:eastAsia="Calibri" w:hAnsi="Arial" w:cs="Arial"/>
        </w:rPr>
        <w:t xml:space="preserve">A </w:t>
      </w:r>
      <w:r w:rsidR="00CD3F97">
        <w:rPr>
          <w:rFonts w:ascii="Arial" w:eastAsia="Calibri" w:hAnsi="Arial" w:cs="Arial"/>
        </w:rPr>
        <w:t xml:space="preserve">40-item </w:t>
      </w:r>
      <w:r w:rsidR="00DB01F7">
        <w:rPr>
          <w:rFonts w:ascii="Arial" w:eastAsia="Calibri" w:hAnsi="Arial" w:cs="Arial"/>
        </w:rPr>
        <w:t xml:space="preserve">researcher-made </w:t>
      </w:r>
      <w:r w:rsidR="007D2F6A" w:rsidRPr="007D2F6A">
        <w:rPr>
          <w:rFonts w:ascii="Arial" w:eastAsia="Calibri" w:hAnsi="Arial" w:cs="Arial"/>
        </w:rPr>
        <w:t>Pre-Test was administered to Grade 8 learners at the start of the 4</w:t>
      </w:r>
      <w:r w:rsidR="007D2F6A" w:rsidRPr="007D2F6A">
        <w:rPr>
          <w:rFonts w:ascii="Arial" w:eastAsia="Calibri" w:hAnsi="Arial" w:cs="Arial"/>
          <w:vertAlign w:val="superscript"/>
        </w:rPr>
        <w:t>th</w:t>
      </w:r>
      <w:r w:rsidR="007D2F6A" w:rsidRPr="007D2F6A">
        <w:rPr>
          <w:rFonts w:ascii="Arial" w:eastAsia="Calibri" w:hAnsi="Arial" w:cs="Arial"/>
        </w:rPr>
        <w:t xml:space="preserve"> Quarter. This determined the baseline knowledge of students in solving integer-related problems prior to the interve</w:t>
      </w:r>
      <w:r w:rsidR="00CD3F97">
        <w:rPr>
          <w:rFonts w:ascii="Arial" w:eastAsia="Calibri" w:hAnsi="Arial" w:cs="Arial"/>
        </w:rPr>
        <w:t xml:space="preserve">ntion. </w:t>
      </w:r>
      <w:r w:rsidR="00DB01F7">
        <w:rPr>
          <w:rFonts w:ascii="Arial" w:eastAsia="Calibri" w:hAnsi="Arial" w:cs="Arial"/>
        </w:rPr>
        <w:t>The</w:t>
      </w:r>
      <w:r w:rsidR="008B440B">
        <w:rPr>
          <w:rFonts w:ascii="Arial" w:eastAsia="Calibri" w:hAnsi="Arial" w:cs="Arial"/>
        </w:rPr>
        <w:t xml:space="preserve"> instrument has undergone pilot testing to Grade 8 students (not included in the actual study) from the same school. Reliability test result </w:t>
      </w:r>
      <w:r w:rsidR="008B440B">
        <w:rPr>
          <w:rFonts w:ascii="Arial" w:eastAsia="Calibri" w:hAnsi="Arial" w:cs="Arial"/>
        </w:rPr>
        <w:lastRenderedPageBreak/>
        <w:t>showed that the instrument has a Cronbach’s alpha of</w:t>
      </w:r>
      <w:r w:rsidR="00937DA2">
        <w:rPr>
          <w:rFonts w:ascii="Arial" w:eastAsia="Calibri" w:hAnsi="Arial" w:cs="Arial"/>
        </w:rPr>
        <w:t xml:space="preserve"> 0.735</w:t>
      </w:r>
      <w:r w:rsidR="00AA2B2B">
        <w:rPr>
          <w:rFonts w:ascii="Arial" w:eastAsia="Calibri" w:hAnsi="Arial" w:cs="Arial"/>
        </w:rPr>
        <w:t xml:space="preserve">, indicating </w:t>
      </w:r>
      <w:r w:rsidR="00E91AC8">
        <w:rPr>
          <w:rFonts w:ascii="Arial" w:eastAsia="Calibri" w:hAnsi="Arial" w:cs="Arial"/>
        </w:rPr>
        <w:t>an acceptable with good internal consistency</w:t>
      </w:r>
      <w:r w:rsidR="004B4054">
        <w:rPr>
          <w:rFonts w:ascii="Arial" w:eastAsia="Calibri" w:hAnsi="Arial" w:cs="Arial"/>
        </w:rPr>
        <w:t xml:space="preserve"> instrument</w:t>
      </w:r>
      <w:r w:rsidR="004F712B">
        <w:rPr>
          <w:rFonts w:ascii="Arial" w:eastAsia="Calibri" w:hAnsi="Arial" w:cs="Arial"/>
        </w:rPr>
        <w:t xml:space="preserve">. </w:t>
      </w:r>
      <w:r w:rsidR="00F11A5A">
        <w:rPr>
          <w:rFonts w:ascii="Arial" w:eastAsia="Calibri" w:hAnsi="Arial" w:cs="Arial"/>
        </w:rPr>
        <w:t xml:space="preserve">Moreover, content validity was also ensured by conducting expert validation from the same panel </w:t>
      </w:r>
      <w:r w:rsidR="009E37BE">
        <w:rPr>
          <w:rFonts w:ascii="Arial" w:eastAsia="Calibri" w:hAnsi="Arial" w:cs="Arial"/>
        </w:rPr>
        <w:t>Participants</w:t>
      </w:r>
      <w:r w:rsidR="007D2F6A" w:rsidRPr="007D2F6A">
        <w:rPr>
          <w:rFonts w:ascii="Arial" w:eastAsia="Calibri" w:hAnsi="Arial" w:cs="Arial"/>
        </w:rPr>
        <w:t xml:space="preserve"> took the test simultaneously for 2 hours. After the intervention has made, a post-test, with the same number of items, was administered to </w:t>
      </w:r>
      <w:r w:rsidR="007D2F6A" w:rsidRPr="007D2F6A">
        <w:rPr>
          <w:rFonts w:ascii="Arial" w:eastAsia="Calibri" w:hAnsi="Arial" w:cs="Arial"/>
          <w:lang w:val="en-PH"/>
        </w:rPr>
        <w:t>e</w:t>
      </w:r>
      <w:r w:rsidR="007D2F6A" w:rsidRPr="007D2F6A">
        <w:rPr>
          <w:rFonts w:ascii="Arial" w:eastAsia="Calibri" w:hAnsi="Arial" w:cs="Arial"/>
        </w:rPr>
        <w:t>valuate the improvement in students' ability to solve integer-related problems. This process helped identify whether the use of mobile Damath game had a positive impact on their learning of concepts of the four basic operations in integers that is, increasing the post test result compared to the pre-test result.</w:t>
      </w:r>
    </w:p>
    <w:p w14:paraId="4C3F9052" w14:textId="77777777" w:rsidR="00906A8C" w:rsidRDefault="00906A8C" w:rsidP="007D2F6A">
      <w:pPr>
        <w:jc w:val="both"/>
        <w:rPr>
          <w:rFonts w:ascii="Arial" w:eastAsia="Calibri" w:hAnsi="Arial" w:cs="Arial"/>
          <w:b/>
          <w:i/>
        </w:rPr>
      </w:pPr>
    </w:p>
    <w:p w14:paraId="3D908024" w14:textId="77777777" w:rsidR="007D2F6A" w:rsidRPr="007D2F6A" w:rsidRDefault="007D2F6A" w:rsidP="007D2F6A">
      <w:pPr>
        <w:jc w:val="both"/>
        <w:rPr>
          <w:rFonts w:ascii="Arial" w:eastAsia="Calibri" w:hAnsi="Arial" w:cs="Arial"/>
          <w:b/>
          <w:i/>
        </w:rPr>
      </w:pPr>
      <w:r w:rsidRPr="007D2F6A">
        <w:rPr>
          <w:rFonts w:ascii="Arial" w:eastAsia="Calibri" w:hAnsi="Arial" w:cs="Arial"/>
          <w:b/>
          <w:i/>
        </w:rPr>
        <w:t>Interactive Mobile Damath Interface</w:t>
      </w:r>
    </w:p>
    <w:p w14:paraId="6B90C38F" w14:textId="77777777" w:rsidR="007D2F6A" w:rsidRPr="007D2F6A" w:rsidRDefault="007D2F6A" w:rsidP="007D2F6A">
      <w:pPr>
        <w:jc w:val="both"/>
        <w:rPr>
          <w:rFonts w:ascii="Arial" w:eastAsia="Calibri" w:hAnsi="Arial" w:cs="Arial"/>
          <w:b/>
          <w:i/>
        </w:rPr>
      </w:pPr>
    </w:p>
    <w:p w14:paraId="2BAB4707" w14:textId="77777777" w:rsidR="007D2F6A" w:rsidRDefault="007D2F6A" w:rsidP="007D2F6A">
      <w:pPr>
        <w:jc w:val="both"/>
        <w:rPr>
          <w:rFonts w:ascii="Arial" w:eastAsia="Calibri" w:hAnsi="Arial" w:cs="Arial"/>
        </w:rPr>
      </w:pPr>
      <w:r w:rsidRPr="007D2F6A">
        <w:rPr>
          <w:rFonts w:ascii="Arial" w:eastAsia="Calibri" w:hAnsi="Arial" w:cs="Arial"/>
        </w:rPr>
        <w:t xml:space="preserve">The mobile application utilized in this study was sourced from DAMATH.PH. It is an online version of the board game Damath. The player had the option to compete against another player or an AI opponent. As a form of intervention, this mobile Damath application was presented to the respondents for this study. The researcher explained thoroughly how to use the said mobile application, the extent of engagement, and the time schedules.  For Grade 8 students, they dealt with the four fundamental operations on integers. </w:t>
      </w:r>
    </w:p>
    <w:p w14:paraId="64D0979B" w14:textId="77777777" w:rsidR="00F872AE" w:rsidRDefault="00F872AE" w:rsidP="007D2F6A">
      <w:pPr>
        <w:jc w:val="both"/>
        <w:rPr>
          <w:rFonts w:ascii="Arial" w:eastAsia="Calibri" w:hAnsi="Arial" w:cs="Arial"/>
        </w:rPr>
      </w:pPr>
    </w:p>
    <w:p w14:paraId="2424E26F" w14:textId="051AA9D6" w:rsidR="00F872AE" w:rsidRPr="007D2F6A" w:rsidRDefault="00B13055" w:rsidP="007D2F6A">
      <w:pPr>
        <w:jc w:val="both"/>
        <w:rPr>
          <w:rFonts w:ascii="Arial" w:eastAsia="Calibri" w:hAnsi="Arial" w:cs="Arial"/>
        </w:rPr>
      </w:pPr>
      <w:r>
        <w:rPr>
          <w:rFonts w:ascii="Arial" w:eastAsia="Calibri" w:hAnsi="Arial" w:cs="Arial"/>
        </w:rPr>
        <w:t>T</w:t>
      </w:r>
      <w:r w:rsidR="00F872AE" w:rsidRPr="00F872AE">
        <w:rPr>
          <w:rFonts w:ascii="Arial" w:eastAsia="Calibri" w:hAnsi="Arial" w:cs="Arial"/>
        </w:rPr>
        <w:t>he researcher declared that there are no financial, personal, or professional conflicts of interest that could influence the study’s outcomes. This study was conducted purely for academic purposes, and no external funding or affiliations with the developers of the mobile Damath game exist. The results were analyzed and reported objectively to ensure the integrity of the research findings.</w:t>
      </w:r>
    </w:p>
    <w:p w14:paraId="360F7CC3" w14:textId="77777777" w:rsidR="007D2F6A" w:rsidRPr="007D2F6A" w:rsidRDefault="007D2F6A" w:rsidP="007D2F6A">
      <w:pPr>
        <w:jc w:val="both"/>
        <w:rPr>
          <w:rFonts w:ascii="Arial" w:eastAsia="Calibri" w:hAnsi="Arial" w:cs="Arial"/>
        </w:rPr>
      </w:pPr>
    </w:p>
    <w:p w14:paraId="0B3226C6" w14:textId="77777777" w:rsidR="007D2F6A" w:rsidRPr="007D2F6A" w:rsidRDefault="007D2F6A" w:rsidP="007D2F6A">
      <w:pPr>
        <w:jc w:val="both"/>
        <w:rPr>
          <w:rFonts w:ascii="Arial" w:eastAsia="Calibri" w:hAnsi="Arial" w:cs="Arial"/>
          <w:b/>
        </w:rPr>
      </w:pPr>
      <w:r w:rsidRPr="007D2F6A">
        <w:rPr>
          <w:rFonts w:ascii="Arial" w:eastAsia="Calibri" w:hAnsi="Arial" w:cs="Arial"/>
          <w:b/>
          <w:sz w:val="22"/>
        </w:rPr>
        <w:t>Data</w:t>
      </w:r>
      <w:r w:rsidRPr="007D2F6A">
        <w:rPr>
          <w:rFonts w:ascii="Arial" w:eastAsia="Calibri" w:hAnsi="Arial" w:cs="Arial"/>
          <w:b/>
        </w:rPr>
        <w:t xml:space="preserve"> </w:t>
      </w:r>
    </w:p>
    <w:p w14:paraId="1E063CEB" w14:textId="77777777" w:rsidR="007D2F6A" w:rsidRPr="007D2F6A" w:rsidRDefault="007D2F6A" w:rsidP="007D2F6A">
      <w:pPr>
        <w:jc w:val="both"/>
        <w:rPr>
          <w:rFonts w:ascii="Arial" w:eastAsia="Calibri" w:hAnsi="Arial" w:cs="Arial"/>
          <w:b/>
        </w:rPr>
      </w:pPr>
    </w:p>
    <w:p w14:paraId="705BC5AE" w14:textId="77777777" w:rsidR="006F1B22" w:rsidRDefault="00B31F73" w:rsidP="007D2F6A">
      <w:pPr>
        <w:jc w:val="both"/>
        <w:rPr>
          <w:rFonts w:ascii="Arial" w:eastAsia="Calibri" w:hAnsi="Arial" w:cs="Arial"/>
          <w:i/>
          <w:iCs/>
        </w:rPr>
      </w:pPr>
      <w:r>
        <w:rPr>
          <w:rFonts w:ascii="Arial" w:eastAsia="Calibri" w:hAnsi="Arial" w:cs="Arial"/>
        </w:rPr>
        <w:t>In this study, the data were</w:t>
      </w:r>
      <w:r w:rsidR="007D2F6A" w:rsidRPr="007D2F6A">
        <w:rPr>
          <w:rFonts w:ascii="Arial" w:eastAsia="Calibri" w:hAnsi="Arial" w:cs="Arial"/>
        </w:rPr>
        <w:t xml:space="preserve"> collected from the responses of 60 student participants. The pre-test and post test scores were analyzed using mean, standard deviation and independent sample T-test. </w:t>
      </w:r>
      <w:r w:rsidR="0086234A" w:rsidRPr="0086234A">
        <w:rPr>
          <w:rFonts w:ascii="Arial" w:eastAsia="Calibri" w:hAnsi="Arial" w:cs="Arial"/>
        </w:rPr>
        <w:t>Performance metrics was also used as reference of students’ performance level in Mathematics. This is adapted from Dep</w:t>
      </w:r>
      <w:r w:rsidR="00E6230B">
        <w:rPr>
          <w:rFonts w:ascii="Arial" w:eastAsia="Calibri" w:hAnsi="Arial" w:cs="Arial"/>
        </w:rPr>
        <w:t xml:space="preserve">artment of </w:t>
      </w:r>
      <w:r w:rsidR="0086234A" w:rsidRPr="0086234A">
        <w:rPr>
          <w:rFonts w:ascii="Arial" w:eastAsia="Calibri" w:hAnsi="Arial" w:cs="Arial"/>
        </w:rPr>
        <w:t>Ed</w:t>
      </w:r>
      <w:r w:rsidR="00E6230B">
        <w:rPr>
          <w:rFonts w:ascii="Arial" w:eastAsia="Calibri" w:hAnsi="Arial" w:cs="Arial"/>
        </w:rPr>
        <w:t>ucation (DepEd)</w:t>
      </w:r>
      <w:r w:rsidR="0086234A" w:rsidRPr="0086234A">
        <w:rPr>
          <w:rFonts w:ascii="Arial" w:eastAsia="Calibri" w:hAnsi="Arial" w:cs="Arial"/>
        </w:rPr>
        <w:t xml:space="preserve"> Order No. 31, s. 2012: Policy Guidelines on the Implementation of Grades 1 to 10 of the K to 12 Basic Education Curriculum (BEC) Effective School Year 2012–2013</w:t>
      </w:r>
      <w:r w:rsidR="00B06A12">
        <w:rPr>
          <w:rFonts w:ascii="Arial" w:eastAsia="Calibri" w:hAnsi="Arial" w:cs="Arial"/>
          <w:i/>
          <w:iCs/>
        </w:rPr>
        <w:t xml:space="preserve"> </w:t>
      </w:r>
      <w:r w:rsidR="00B06A12" w:rsidRPr="00B06A12">
        <w:rPr>
          <w:rFonts w:ascii="Arial" w:eastAsia="Calibri" w:hAnsi="Arial" w:cs="Arial"/>
          <w:iCs/>
        </w:rPr>
        <w:t>as shown in Table1.</w:t>
      </w:r>
    </w:p>
    <w:p w14:paraId="0BBB9AE7" w14:textId="77777777" w:rsidR="00B06A12" w:rsidRDefault="00B06A12" w:rsidP="007D2F6A">
      <w:pPr>
        <w:jc w:val="both"/>
        <w:rPr>
          <w:rFonts w:ascii="Arial" w:eastAsia="Calibri" w:hAnsi="Arial" w:cs="Arial"/>
          <w:i/>
          <w:iCs/>
        </w:rPr>
      </w:pPr>
    </w:p>
    <w:p w14:paraId="3732389B" w14:textId="77777777" w:rsidR="00B06A12" w:rsidRDefault="00B06A12" w:rsidP="007D2F6A">
      <w:pPr>
        <w:jc w:val="both"/>
        <w:rPr>
          <w:rFonts w:ascii="Arial" w:eastAsia="Calibri" w:hAnsi="Arial" w:cs="Arial"/>
        </w:rPr>
      </w:pPr>
      <w:r w:rsidRPr="006E50E6">
        <w:rPr>
          <w:rFonts w:ascii="Arial" w:eastAsia="Calibri" w:hAnsi="Arial" w:cs="Arial"/>
        </w:rPr>
        <w:t>Likewise, the</w:t>
      </w:r>
      <w:r>
        <w:rPr>
          <w:rFonts w:ascii="Arial" w:eastAsia="Calibri" w:hAnsi="Arial" w:cs="Arial"/>
        </w:rPr>
        <w:t xml:space="preserve"> students’ level of engagement</w:t>
      </w:r>
      <w:r w:rsidRPr="006E50E6">
        <w:rPr>
          <w:rFonts w:ascii="Arial" w:eastAsia="Calibri" w:hAnsi="Arial" w:cs="Arial"/>
        </w:rPr>
        <w:t xml:space="preserve"> with the </w:t>
      </w:r>
      <w:r>
        <w:rPr>
          <w:rFonts w:ascii="Arial" w:eastAsia="Calibri" w:hAnsi="Arial" w:cs="Arial"/>
        </w:rPr>
        <w:t xml:space="preserve">mobile </w:t>
      </w:r>
      <w:r w:rsidRPr="006E50E6">
        <w:rPr>
          <w:rFonts w:ascii="Arial" w:eastAsia="Calibri" w:hAnsi="Arial" w:cs="Arial"/>
        </w:rPr>
        <w:t xml:space="preserve">Damath game was </w:t>
      </w:r>
      <w:r>
        <w:rPr>
          <w:rFonts w:ascii="Arial" w:eastAsia="Calibri" w:hAnsi="Arial" w:cs="Arial"/>
        </w:rPr>
        <w:t>analyzed using mean and standard deviation and interpreted using 5-point scale to provide clear description interpretation as shown in Table 2.</w:t>
      </w:r>
    </w:p>
    <w:p w14:paraId="1CB25DFD" w14:textId="77777777" w:rsidR="00745DDB" w:rsidRDefault="00745DDB" w:rsidP="007D2F6A">
      <w:pPr>
        <w:jc w:val="both"/>
        <w:rPr>
          <w:rFonts w:ascii="Arial" w:eastAsia="Calibri" w:hAnsi="Arial" w:cs="Arial"/>
        </w:rPr>
      </w:pPr>
    </w:p>
    <w:p w14:paraId="01CC77EC" w14:textId="77777777" w:rsidR="00745DDB" w:rsidRPr="00745DDB" w:rsidRDefault="00745DDB" w:rsidP="00745DDB">
      <w:pPr>
        <w:pStyle w:val="Body"/>
        <w:spacing w:after="0"/>
        <w:rPr>
          <w:rFonts w:ascii="Arial" w:hAnsi="Arial" w:cs="Arial"/>
        </w:rPr>
      </w:pPr>
      <w:r>
        <w:rPr>
          <w:rFonts w:ascii="Arial" w:eastAsia="Calibri" w:hAnsi="Arial" w:cs="Arial"/>
        </w:rPr>
        <w:t>Further, the correlational analysis between the engagement level and academic performance was analyzed using Pearson correlation.</w:t>
      </w:r>
    </w:p>
    <w:p w14:paraId="1C215760" w14:textId="77777777" w:rsidR="0086234A" w:rsidRDefault="0086234A" w:rsidP="007D2F6A">
      <w:pPr>
        <w:jc w:val="both"/>
        <w:rPr>
          <w:rFonts w:ascii="Arial" w:eastAsia="Calibri" w:hAnsi="Arial" w:cs="Arial"/>
          <w:i/>
          <w:iCs/>
        </w:rPr>
      </w:pPr>
    </w:p>
    <w:p w14:paraId="4621D206" w14:textId="77777777" w:rsidR="0086234A" w:rsidRPr="0086234A" w:rsidRDefault="0086234A" w:rsidP="00264CBD">
      <w:pPr>
        <w:rPr>
          <w:rFonts w:ascii="Arial" w:eastAsia="Calibri" w:hAnsi="Arial" w:cs="Arial"/>
          <w:b/>
        </w:rPr>
      </w:pPr>
      <w:r w:rsidRPr="0086234A">
        <w:rPr>
          <w:rFonts w:ascii="Arial" w:eastAsia="Calibri" w:hAnsi="Arial" w:cs="Arial"/>
          <w:b/>
        </w:rPr>
        <w:t>Table 1</w:t>
      </w:r>
      <w:r w:rsidR="00F424A8">
        <w:rPr>
          <w:rFonts w:ascii="Arial" w:eastAsia="Calibri" w:hAnsi="Arial" w:cs="Arial"/>
          <w:b/>
        </w:rPr>
        <w:t>. Performance metrics on the Student’s P</w:t>
      </w:r>
      <w:r w:rsidRPr="0086234A">
        <w:rPr>
          <w:rFonts w:ascii="Arial" w:eastAsia="Calibri" w:hAnsi="Arial" w:cs="Arial"/>
          <w:b/>
        </w:rPr>
        <w:t>erformance level in Math.</w:t>
      </w:r>
    </w:p>
    <w:p w14:paraId="1A82F9FD" w14:textId="77777777" w:rsidR="0086234A" w:rsidRDefault="0086234A" w:rsidP="0086234A">
      <w:pPr>
        <w:jc w:val="both"/>
        <w:rPr>
          <w:rFonts w:ascii="Arial" w:eastAsia="Calibri" w:hAnsi="Arial" w:cs="Arial"/>
          <w:i/>
          <w:iCs/>
        </w:rPr>
      </w:pPr>
    </w:p>
    <w:tbl>
      <w:tblPr>
        <w:tblStyle w:val="TableGrid1"/>
        <w:tblW w:w="0" w:type="auto"/>
        <w:tblInd w:w="-5" w:type="dxa"/>
        <w:tblLook w:val="04A0" w:firstRow="1" w:lastRow="0" w:firstColumn="1" w:lastColumn="0" w:noHBand="0" w:noVBand="1"/>
      </w:tblPr>
      <w:tblGrid>
        <w:gridCol w:w="3330"/>
        <w:gridCol w:w="4410"/>
      </w:tblGrid>
      <w:tr w:rsidR="0086234A" w:rsidRPr="0086234A" w14:paraId="76E44A4E" w14:textId="77777777" w:rsidTr="00264CBD">
        <w:trPr>
          <w:trHeight w:val="413"/>
        </w:trPr>
        <w:tc>
          <w:tcPr>
            <w:tcW w:w="3330" w:type="dxa"/>
          </w:tcPr>
          <w:p w14:paraId="2DBD0F2A" w14:textId="77777777" w:rsidR="0086234A" w:rsidRPr="0086234A" w:rsidRDefault="0086234A" w:rsidP="0086234A">
            <w:pPr>
              <w:spacing w:after="160"/>
              <w:jc w:val="center"/>
              <w:rPr>
                <w:rFonts w:ascii="Arial" w:eastAsia="Calibri" w:hAnsi="Arial" w:cs="Arial"/>
                <w:b/>
              </w:rPr>
            </w:pPr>
            <w:r w:rsidRPr="0086234A">
              <w:rPr>
                <w:rFonts w:ascii="Arial" w:eastAsia="Calibri" w:hAnsi="Arial" w:cs="Arial"/>
                <w:b/>
              </w:rPr>
              <w:t>Equivalent Numerical Value</w:t>
            </w:r>
          </w:p>
        </w:tc>
        <w:tc>
          <w:tcPr>
            <w:tcW w:w="4410" w:type="dxa"/>
          </w:tcPr>
          <w:p w14:paraId="48FB9733" w14:textId="77777777" w:rsidR="0086234A" w:rsidRPr="0086234A" w:rsidRDefault="0086234A" w:rsidP="0086234A">
            <w:pPr>
              <w:spacing w:after="160"/>
              <w:jc w:val="center"/>
              <w:rPr>
                <w:rFonts w:ascii="Arial" w:eastAsia="Calibri" w:hAnsi="Arial" w:cs="Arial"/>
                <w:b/>
              </w:rPr>
            </w:pPr>
            <w:r w:rsidRPr="0086234A">
              <w:rPr>
                <w:rFonts w:ascii="Arial" w:eastAsia="Calibri" w:hAnsi="Arial" w:cs="Arial"/>
                <w:b/>
              </w:rPr>
              <w:t>Level of Proficiency</w:t>
            </w:r>
          </w:p>
        </w:tc>
      </w:tr>
      <w:tr w:rsidR="0086234A" w:rsidRPr="0086234A" w14:paraId="0806518E" w14:textId="77777777" w:rsidTr="00264CBD">
        <w:tc>
          <w:tcPr>
            <w:tcW w:w="3330" w:type="dxa"/>
          </w:tcPr>
          <w:p w14:paraId="2F0376D1"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90% and above</w:t>
            </w:r>
          </w:p>
        </w:tc>
        <w:tc>
          <w:tcPr>
            <w:tcW w:w="4410" w:type="dxa"/>
          </w:tcPr>
          <w:p w14:paraId="32F1F9BB"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Advanced level</w:t>
            </w:r>
          </w:p>
        </w:tc>
      </w:tr>
      <w:tr w:rsidR="0086234A" w:rsidRPr="0086234A" w14:paraId="09E81AE7" w14:textId="77777777" w:rsidTr="00264CBD">
        <w:tc>
          <w:tcPr>
            <w:tcW w:w="3330" w:type="dxa"/>
          </w:tcPr>
          <w:p w14:paraId="7573672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85% – 89%</w:t>
            </w:r>
          </w:p>
        </w:tc>
        <w:tc>
          <w:tcPr>
            <w:tcW w:w="4410" w:type="dxa"/>
          </w:tcPr>
          <w:p w14:paraId="6749810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Proficient level</w:t>
            </w:r>
          </w:p>
        </w:tc>
      </w:tr>
      <w:tr w:rsidR="0086234A" w:rsidRPr="0086234A" w14:paraId="464C8958" w14:textId="77777777" w:rsidTr="00264CBD">
        <w:tc>
          <w:tcPr>
            <w:tcW w:w="3330" w:type="dxa"/>
          </w:tcPr>
          <w:p w14:paraId="285CC13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80% – 84%</w:t>
            </w:r>
          </w:p>
        </w:tc>
        <w:tc>
          <w:tcPr>
            <w:tcW w:w="4410" w:type="dxa"/>
          </w:tcPr>
          <w:p w14:paraId="096D6F1E"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Approaching Proficiency level</w:t>
            </w:r>
          </w:p>
        </w:tc>
      </w:tr>
      <w:tr w:rsidR="0086234A" w:rsidRPr="0086234A" w14:paraId="1ACB713A" w14:textId="77777777" w:rsidTr="00264CBD">
        <w:tc>
          <w:tcPr>
            <w:tcW w:w="3330" w:type="dxa"/>
          </w:tcPr>
          <w:p w14:paraId="013DDEB2"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75% – 79%</w:t>
            </w:r>
          </w:p>
        </w:tc>
        <w:tc>
          <w:tcPr>
            <w:tcW w:w="4410" w:type="dxa"/>
          </w:tcPr>
          <w:p w14:paraId="3D951174"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Developing level</w:t>
            </w:r>
          </w:p>
        </w:tc>
      </w:tr>
      <w:tr w:rsidR="0086234A" w:rsidRPr="0086234A" w14:paraId="63EB2014" w14:textId="77777777" w:rsidTr="00264CBD">
        <w:tc>
          <w:tcPr>
            <w:tcW w:w="3330" w:type="dxa"/>
          </w:tcPr>
          <w:p w14:paraId="09C3741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74% and below</w:t>
            </w:r>
          </w:p>
        </w:tc>
        <w:tc>
          <w:tcPr>
            <w:tcW w:w="4410" w:type="dxa"/>
          </w:tcPr>
          <w:p w14:paraId="2A499523"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Beginning level</w:t>
            </w:r>
          </w:p>
        </w:tc>
      </w:tr>
    </w:tbl>
    <w:p w14:paraId="4E3A7A3A" w14:textId="77777777" w:rsidR="006F1B22" w:rsidRDefault="006F1B22" w:rsidP="007D2F6A">
      <w:pPr>
        <w:jc w:val="both"/>
        <w:rPr>
          <w:rFonts w:ascii="Arial" w:eastAsia="Calibri" w:hAnsi="Arial" w:cs="Arial"/>
        </w:rPr>
      </w:pPr>
    </w:p>
    <w:p w14:paraId="346FF08B" w14:textId="77777777" w:rsidR="006F1B22" w:rsidRPr="006F1B22" w:rsidRDefault="00736397" w:rsidP="006F1B22">
      <w:pPr>
        <w:rPr>
          <w:rFonts w:ascii="Arial" w:hAnsi="Arial" w:cs="Arial"/>
          <w:b/>
        </w:rPr>
      </w:pPr>
      <w:r>
        <w:rPr>
          <w:rFonts w:ascii="Arial" w:hAnsi="Arial" w:cs="Arial"/>
          <w:b/>
        </w:rPr>
        <w:t>Table 2</w:t>
      </w:r>
      <w:r w:rsidR="006F1B22" w:rsidRPr="006F1B22">
        <w:rPr>
          <w:rFonts w:ascii="Arial" w:hAnsi="Arial" w:cs="Arial"/>
          <w:b/>
        </w:rPr>
        <w:t xml:space="preserve">. </w:t>
      </w:r>
      <w:r w:rsidR="006F1B22">
        <w:rPr>
          <w:rFonts w:ascii="Arial" w:hAnsi="Arial" w:cs="Arial"/>
          <w:b/>
        </w:rPr>
        <w:t>Qualitative I</w:t>
      </w:r>
      <w:r w:rsidR="006F1B22" w:rsidRPr="006F1B22">
        <w:rPr>
          <w:rFonts w:ascii="Arial" w:hAnsi="Arial" w:cs="Arial"/>
          <w:b/>
        </w:rPr>
        <w:t>nterpretations of the 5-point scal</w:t>
      </w:r>
      <w:r w:rsidR="006F1B22">
        <w:rPr>
          <w:rFonts w:ascii="Arial" w:hAnsi="Arial" w:cs="Arial"/>
          <w:b/>
        </w:rPr>
        <w:t xml:space="preserve">e on the Level of Engagement with </w:t>
      </w:r>
      <w:r w:rsidR="006F1B22" w:rsidRPr="006F1B22">
        <w:rPr>
          <w:rFonts w:ascii="Arial" w:hAnsi="Arial" w:cs="Arial"/>
          <w:b/>
        </w:rPr>
        <w:t>the</w:t>
      </w:r>
      <w:r w:rsidR="006F1B22">
        <w:rPr>
          <w:rFonts w:ascii="Arial" w:hAnsi="Arial" w:cs="Arial"/>
          <w:b/>
        </w:rPr>
        <w:t xml:space="preserve"> mobile D</w:t>
      </w:r>
      <w:r w:rsidR="006F1B22" w:rsidRPr="006F1B22">
        <w:rPr>
          <w:rFonts w:ascii="Arial" w:hAnsi="Arial" w:cs="Arial"/>
          <w:b/>
        </w:rPr>
        <w:t>amath game.</w:t>
      </w:r>
    </w:p>
    <w:p w14:paraId="456BC66F" w14:textId="77777777" w:rsidR="006F1B22" w:rsidRDefault="006F1B22" w:rsidP="007D2F6A">
      <w:pPr>
        <w:jc w:val="both"/>
        <w:rPr>
          <w:rFonts w:ascii="Arial" w:eastAsia="Calibri" w:hAnsi="Arial" w:cs="Arial"/>
        </w:rPr>
      </w:pPr>
    </w:p>
    <w:tbl>
      <w:tblPr>
        <w:tblStyle w:val="TableGrid"/>
        <w:tblW w:w="8010" w:type="dxa"/>
        <w:tblInd w:w="85" w:type="dxa"/>
        <w:tblLook w:val="04A0" w:firstRow="1" w:lastRow="0" w:firstColumn="1" w:lastColumn="0" w:noHBand="0" w:noVBand="1"/>
      </w:tblPr>
      <w:tblGrid>
        <w:gridCol w:w="2032"/>
        <w:gridCol w:w="2108"/>
        <w:gridCol w:w="3870"/>
      </w:tblGrid>
      <w:tr w:rsidR="00B31F73" w14:paraId="772D0E32" w14:textId="77777777" w:rsidTr="00A41C26">
        <w:tc>
          <w:tcPr>
            <w:tcW w:w="2032" w:type="dxa"/>
          </w:tcPr>
          <w:p w14:paraId="52A8642B" w14:textId="77777777" w:rsidR="00B31F73" w:rsidRPr="00B31F73" w:rsidRDefault="00B31F73" w:rsidP="007E3238">
            <w:pPr>
              <w:spacing w:line="480" w:lineRule="auto"/>
              <w:jc w:val="center"/>
              <w:rPr>
                <w:rFonts w:ascii="Arial" w:hAnsi="Arial" w:cs="Arial"/>
                <w:b/>
                <w:sz w:val="20"/>
                <w:szCs w:val="20"/>
              </w:rPr>
            </w:pPr>
            <w:r w:rsidRPr="00B31F73">
              <w:rPr>
                <w:rFonts w:ascii="Arial" w:hAnsi="Arial" w:cs="Arial"/>
                <w:b/>
                <w:sz w:val="20"/>
                <w:szCs w:val="20"/>
              </w:rPr>
              <w:t>Range</w:t>
            </w:r>
          </w:p>
        </w:tc>
        <w:tc>
          <w:tcPr>
            <w:tcW w:w="2108" w:type="dxa"/>
          </w:tcPr>
          <w:p w14:paraId="2117A947" w14:textId="77777777" w:rsidR="00B31F73" w:rsidRPr="00B31F73" w:rsidRDefault="00B31F73" w:rsidP="007E3238">
            <w:pPr>
              <w:jc w:val="center"/>
              <w:rPr>
                <w:rFonts w:ascii="Arial" w:hAnsi="Arial" w:cs="Arial"/>
                <w:b/>
                <w:sz w:val="20"/>
                <w:szCs w:val="20"/>
              </w:rPr>
            </w:pPr>
            <w:r w:rsidRPr="00B31F73">
              <w:rPr>
                <w:rFonts w:ascii="Arial" w:hAnsi="Arial" w:cs="Arial"/>
                <w:b/>
                <w:sz w:val="20"/>
                <w:szCs w:val="20"/>
              </w:rPr>
              <w:t>Descriptive Interpretation</w:t>
            </w:r>
          </w:p>
        </w:tc>
        <w:tc>
          <w:tcPr>
            <w:tcW w:w="3870" w:type="dxa"/>
          </w:tcPr>
          <w:p w14:paraId="23C5D299" w14:textId="77777777" w:rsidR="00B31F73" w:rsidRPr="00B31F73" w:rsidRDefault="00B31F73" w:rsidP="007E3238">
            <w:pPr>
              <w:spacing w:line="480" w:lineRule="auto"/>
              <w:jc w:val="center"/>
              <w:rPr>
                <w:rFonts w:ascii="Arial" w:hAnsi="Arial" w:cs="Arial"/>
                <w:b/>
                <w:sz w:val="20"/>
                <w:szCs w:val="20"/>
              </w:rPr>
            </w:pPr>
            <w:r w:rsidRPr="00B31F73">
              <w:rPr>
                <w:rFonts w:ascii="Arial" w:hAnsi="Arial" w:cs="Arial"/>
                <w:b/>
                <w:sz w:val="20"/>
                <w:szCs w:val="20"/>
              </w:rPr>
              <w:t>Indicators</w:t>
            </w:r>
          </w:p>
        </w:tc>
      </w:tr>
      <w:tr w:rsidR="00B31F73" w14:paraId="62E438E4" w14:textId="77777777" w:rsidTr="00A41C26">
        <w:tc>
          <w:tcPr>
            <w:tcW w:w="2032" w:type="dxa"/>
          </w:tcPr>
          <w:p w14:paraId="16869378"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4.21 – 5.0</w:t>
            </w:r>
          </w:p>
        </w:tc>
        <w:tc>
          <w:tcPr>
            <w:tcW w:w="2108" w:type="dxa"/>
          </w:tcPr>
          <w:p w14:paraId="43D42D72"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Very High</w:t>
            </w:r>
          </w:p>
        </w:tc>
        <w:tc>
          <w:tcPr>
            <w:tcW w:w="3870" w:type="dxa"/>
          </w:tcPr>
          <w:p w14:paraId="3DE059DD"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Particip</w:t>
            </w:r>
            <w:r w:rsidR="000D5CF9">
              <w:rPr>
                <w:rFonts w:ascii="Arial" w:hAnsi="Arial" w:cs="Arial"/>
                <w:sz w:val="20"/>
                <w:szCs w:val="20"/>
              </w:rPr>
              <w:t xml:space="preserve">ants are very highly engaged with </w:t>
            </w:r>
            <w:r w:rsidRPr="00B31F73">
              <w:rPr>
                <w:rFonts w:ascii="Arial" w:hAnsi="Arial" w:cs="Arial"/>
                <w:sz w:val="20"/>
                <w:szCs w:val="20"/>
              </w:rPr>
              <w:t>the</w:t>
            </w:r>
            <w:r w:rsidR="000D5CF9">
              <w:rPr>
                <w:rFonts w:ascii="Arial" w:hAnsi="Arial" w:cs="Arial"/>
                <w:sz w:val="20"/>
                <w:szCs w:val="20"/>
              </w:rPr>
              <w:t xml:space="preserve"> mobile</w:t>
            </w:r>
            <w:r w:rsidRPr="00B31F73">
              <w:rPr>
                <w:rFonts w:ascii="Arial" w:hAnsi="Arial" w:cs="Arial"/>
                <w:sz w:val="20"/>
                <w:szCs w:val="20"/>
              </w:rPr>
              <w:t xml:space="preserve"> damath game</w:t>
            </w:r>
          </w:p>
        </w:tc>
      </w:tr>
      <w:tr w:rsidR="00B31F73" w14:paraId="6E1C0031" w14:textId="77777777" w:rsidTr="00A41C26">
        <w:tc>
          <w:tcPr>
            <w:tcW w:w="2032" w:type="dxa"/>
          </w:tcPr>
          <w:p w14:paraId="68677936"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3.41 – 4.20</w:t>
            </w:r>
          </w:p>
        </w:tc>
        <w:tc>
          <w:tcPr>
            <w:tcW w:w="2108" w:type="dxa"/>
          </w:tcPr>
          <w:p w14:paraId="64A20C85"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High</w:t>
            </w:r>
          </w:p>
        </w:tc>
        <w:tc>
          <w:tcPr>
            <w:tcW w:w="3870" w:type="dxa"/>
          </w:tcPr>
          <w:p w14:paraId="37C7267B"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highly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3ED7E823" w14:textId="77777777" w:rsidTr="00A41C26">
        <w:tc>
          <w:tcPr>
            <w:tcW w:w="2032" w:type="dxa"/>
          </w:tcPr>
          <w:p w14:paraId="43404AE4"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2.61 – 3.40</w:t>
            </w:r>
          </w:p>
        </w:tc>
        <w:tc>
          <w:tcPr>
            <w:tcW w:w="2108" w:type="dxa"/>
          </w:tcPr>
          <w:p w14:paraId="1485E6AC"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Moderate</w:t>
            </w:r>
          </w:p>
        </w:tc>
        <w:tc>
          <w:tcPr>
            <w:tcW w:w="3870" w:type="dxa"/>
          </w:tcPr>
          <w:p w14:paraId="6FEEFFCA"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moderately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1674CF3A" w14:textId="77777777" w:rsidTr="00A41C26">
        <w:tc>
          <w:tcPr>
            <w:tcW w:w="2032" w:type="dxa"/>
          </w:tcPr>
          <w:p w14:paraId="7BF15503"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lastRenderedPageBreak/>
              <w:t>1.81 – 2.60</w:t>
            </w:r>
          </w:p>
        </w:tc>
        <w:tc>
          <w:tcPr>
            <w:tcW w:w="2108" w:type="dxa"/>
          </w:tcPr>
          <w:p w14:paraId="74574D2C"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Low</w:t>
            </w:r>
          </w:p>
        </w:tc>
        <w:tc>
          <w:tcPr>
            <w:tcW w:w="3870" w:type="dxa"/>
          </w:tcPr>
          <w:p w14:paraId="54387F34"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Part</w:t>
            </w:r>
            <w:r w:rsidR="000D5CF9">
              <w:rPr>
                <w:rFonts w:ascii="Arial" w:hAnsi="Arial" w:cs="Arial"/>
                <w:sz w:val="20"/>
                <w:szCs w:val="20"/>
              </w:rPr>
              <w:t xml:space="preserve">icipants are slightly engaged 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65BBBC43" w14:textId="77777777" w:rsidTr="00A41C26">
        <w:tc>
          <w:tcPr>
            <w:tcW w:w="2032" w:type="dxa"/>
          </w:tcPr>
          <w:p w14:paraId="1A3E95AD"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1.00 – 1.80</w:t>
            </w:r>
          </w:p>
        </w:tc>
        <w:tc>
          <w:tcPr>
            <w:tcW w:w="2108" w:type="dxa"/>
          </w:tcPr>
          <w:p w14:paraId="6E00CAC3"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Very Low</w:t>
            </w:r>
          </w:p>
        </w:tc>
        <w:tc>
          <w:tcPr>
            <w:tcW w:w="3870" w:type="dxa"/>
          </w:tcPr>
          <w:p w14:paraId="2F6F8E88"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not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bl>
    <w:p w14:paraId="6E3253C4" w14:textId="77777777" w:rsidR="00790ADA" w:rsidRDefault="00790ADA" w:rsidP="00441B6F">
      <w:pPr>
        <w:pStyle w:val="Body"/>
        <w:spacing w:after="0"/>
        <w:rPr>
          <w:rFonts w:ascii="Arial" w:hAnsi="Arial" w:cs="Arial"/>
        </w:rPr>
      </w:pPr>
    </w:p>
    <w:p w14:paraId="1BC488F5" w14:textId="77777777" w:rsidR="00902823" w:rsidRDefault="00000F8F" w:rsidP="00441B6F">
      <w:pPr>
        <w:pStyle w:val="Head1"/>
        <w:spacing w:after="0"/>
        <w:jc w:val="both"/>
        <w:rPr>
          <w:rFonts w:ascii="Arial" w:hAnsi="Arial" w:cs="Arial"/>
        </w:rPr>
      </w:pPr>
      <w:r>
        <w:rPr>
          <w:rFonts w:ascii="Arial" w:hAnsi="Arial" w:cs="Arial"/>
        </w:rPr>
        <w:t>results and discussion</w:t>
      </w:r>
    </w:p>
    <w:p w14:paraId="5DC6D121" w14:textId="77777777" w:rsidR="00790ADA" w:rsidRPr="00FB3A86" w:rsidRDefault="00790ADA" w:rsidP="00441B6F">
      <w:pPr>
        <w:pStyle w:val="Head1"/>
        <w:spacing w:after="0"/>
        <w:jc w:val="both"/>
        <w:rPr>
          <w:rFonts w:ascii="Arial" w:hAnsi="Arial" w:cs="Arial"/>
        </w:rPr>
      </w:pPr>
    </w:p>
    <w:p w14:paraId="2F51CCAF" w14:textId="77777777" w:rsidR="007D2F6A" w:rsidRPr="007D2F6A" w:rsidRDefault="006F54D1" w:rsidP="007D2F6A">
      <w:pPr>
        <w:spacing w:after="160"/>
        <w:jc w:val="both"/>
        <w:rPr>
          <w:rFonts w:ascii="Arial" w:eastAsia="Calibri" w:hAnsi="Arial" w:cs="Arial"/>
        </w:rPr>
      </w:pPr>
      <w:r>
        <w:rPr>
          <w:rFonts w:ascii="Arial" w:eastAsia="Calibri" w:hAnsi="Arial" w:cs="Arial"/>
        </w:rPr>
        <w:t>This section</w:t>
      </w:r>
      <w:r w:rsidR="007D2F6A" w:rsidRPr="007D2F6A">
        <w:rPr>
          <w:rFonts w:ascii="Arial" w:eastAsia="Calibri" w:hAnsi="Arial" w:cs="Arial"/>
        </w:rPr>
        <w:t xml:space="preserve"> presents the findings of the study on the impact of the interactive mobile Damath game on the performance of Grade 8 students in solving integers. The study involved 60 Grade 8 students from Badas National High School, with 30 assigned to the Experimental Group and 30 to the Control Group.  Statistical methods were used to analyze and interpret the results based on the research questions. An independent sample t-test was applied to examine whether there was a significant difference in academic performance between students who used the mobile Damath game and those who learned through traditional instruction. Additionally, a correlation analysis was conducted to explore the relationship between students’ performance and their engagement with the game, particularly in terms of attitude and motivation. The students’ age and gender were also taken into account, and both pre-test and post-test scores were evaluated. </w:t>
      </w:r>
    </w:p>
    <w:p w14:paraId="70262C6A" w14:textId="77777777" w:rsidR="007D2F6A" w:rsidRDefault="007D2F6A" w:rsidP="00E15E51">
      <w:pPr>
        <w:jc w:val="both"/>
        <w:rPr>
          <w:rFonts w:ascii="Arial" w:eastAsia="Calibri" w:hAnsi="Arial" w:cs="Arial"/>
          <w:b/>
          <w:sz w:val="22"/>
        </w:rPr>
      </w:pPr>
      <w:r w:rsidRPr="007D2F6A">
        <w:rPr>
          <w:rFonts w:ascii="Arial" w:eastAsia="Calibri" w:hAnsi="Arial" w:cs="Arial"/>
          <w:b/>
          <w:sz w:val="22"/>
        </w:rPr>
        <w:t>Demographic Profile of the Respondents</w:t>
      </w:r>
    </w:p>
    <w:p w14:paraId="0382CC5B" w14:textId="77777777" w:rsidR="00E15E51" w:rsidRPr="007D2F6A" w:rsidRDefault="00E15E51" w:rsidP="00E15E51">
      <w:pPr>
        <w:jc w:val="both"/>
        <w:rPr>
          <w:rFonts w:ascii="Arial" w:eastAsia="Calibri" w:hAnsi="Arial" w:cs="Arial"/>
          <w:b/>
          <w:sz w:val="22"/>
        </w:rPr>
      </w:pPr>
    </w:p>
    <w:p w14:paraId="4BE67DA0" w14:textId="77777777" w:rsidR="007D2F6A" w:rsidRDefault="007D2F6A" w:rsidP="00E15E51">
      <w:pPr>
        <w:jc w:val="both"/>
        <w:rPr>
          <w:rFonts w:ascii="Arial" w:eastAsia="Calibri" w:hAnsi="Arial" w:cs="Arial"/>
        </w:rPr>
      </w:pPr>
      <w:r w:rsidRPr="007D2F6A">
        <w:rPr>
          <w:rFonts w:ascii="Arial" w:eastAsia="Calibri" w:hAnsi="Arial" w:cs="Arial"/>
        </w:rPr>
        <w:t xml:space="preserve">The table presents the demographic profile of the respondents in terms of age and gender. Understanding these characteristics provides context for interpreting the results of the study, as individual differences may influence students’ academic performance and engagement with the mobile Damath game. The respondents consisted of Grade 8 students from Badas National High School, with data gathered from both the experimental and control groups. </w:t>
      </w:r>
    </w:p>
    <w:p w14:paraId="646E304D" w14:textId="77777777" w:rsidR="00E15E51" w:rsidRPr="007D2F6A" w:rsidRDefault="00E15E51" w:rsidP="00E15E51">
      <w:pPr>
        <w:jc w:val="both"/>
        <w:rPr>
          <w:rFonts w:ascii="Arial" w:eastAsia="Calibri" w:hAnsi="Arial" w:cs="Arial"/>
        </w:rPr>
      </w:pPr>
    </w:p>
    <w:p w14:paraId="723FD741" w14:textId="3E586761" w:rsidR="007D2F6A" w:rsidRPr="007D2F6A" w:rsidRDefault="007D2F6A" w:rsidP="007D2F6A">
      <w:pPr>
        <w:spacing w:after="160"/>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3</w:t>
      </w:r>
      <w:r w:rsidRPr="007D2F6A">
        <w:rPr>
          <w:rFonts w:ascii="Arial" w:eastAsia="Calibri" w:hAnsi="Arial" w:cs="Arial"/>
          <w:b/>
        </w:rPr>
        <w:t>. Demographic Profile of the Respondents</w:t>
      </w:r>
    </w:p>
    <w:tbl>
      <w:tblPr>
        <w:tblW w:w="8100" w:type="dxa"/>
        <w:tblLook w:val="04A0" w:firstRow="1" w:lastRow="0" w:firstColumn="1" w:lastColumn="0" w:noHBand="0" w:noVBand="1"/>
      </w:tblPr>
      <w:tblGrid>
        <w:gridCol w:w="1080"/>
        <w:gridCol w:w="1350"/>
        <w:gridCol w:w="1530"/>
        <w:gridCol w:w="1350"/>
        <w:gridCol w:w="1260"/>
        <w:gridCol w:w="1530"/>
      </w:tblGrid>
      <w:tr w:rsidR="007D2F6A" w:rsidRPr="007D2F6A" w14:paraId="56E7C4F0" w14:textId="77777777" w:rsidTr="005D56B6">
        <w:trPr>
          <w:trHeight w:val="260"/>
        </w:trPr>
        <w:tc>
          <w:tcPr>
            <w:tcW w:w="1080" w:type="dxa"/>
            <w:vMerge w:val="restart"/>
            <w:tcBorders>
              <w:top w:val="single" w:sz="4" w:space="0" w:color="auto"/>
              <w:left w:val="nil"/>
              <w:right w:val="nil"/>
            </w:tcBorders>
            <w:shd w:val="clear" w:color="auto" w:fill="auto"/>
            <w:noWrap/>
            <w:vAlign w:val="bottom"/>
          </w:tcPr>
          <w:p w14:paraId="1631DE4A" w14:textId="77777777" w:rsidR="007D2F6A" w:rsidRPr="007D2F6A" w:rsidRDefault="007D2F6A" w:rsidP="007D2F6A">
            <w:pPr>
              <w:rPr>
                <w:rFonts w:ascii="Arial" w:hAnsi="Arial" w:cs="Arial"/>
                <w:color w:val="000000"/>
              </w:rPr>
            </w:pPr>
            <w:r w:rsidRPr="007D2F6A">
              <w:rPr>
                <w:rFonts w:ascii="Arial" w:hAnsi="Arial" w:cs="Arial"/>
                <w:color w:val="000000"/>
              </w:rPr>
              <w:t> </w:t>
            </w:r>
          </w:p>
        </w:tc>
        <w:tc>
          <w:tcPr>
            <w:tcW w:w="1350" w:type="dxa"/>
            <w:vMerge w:val="restart"/>
            <w:tcBorders>
              <w:top w:val="single" w:sz="4" w:space="0" w:color="auto"/>
              <w:left w:val="nil"/>
              <w:right w:val="nil"/>
            </w:tcBorders>
            <w:shd w:val="clear" w:color="auto" w:fill="auto"/>
            <w:noWrap/>
            <w:vAlign w:val="bottom"/>
          </w:tcPr>
          <w:p w14:paraId="12297229" w14:textId="77777777" w:rsidR="007D2F6A" w:rsidRPr="007D2F6A" w:rsidRDefault="007D2F6A" w:rsidP="007D2F6A">
            <w:pPr>
              <w:rPr>
                <w:rFonts w:ascii="Arial" w:hAnsi="Arial" w:cs="Arial"/>
                <w:color w:val="000000"/>
              </w:rPr>
            </w:pPr>
            <w:r w:rsidRPr="007D2F6A">
              <w:rPr>
                <w:rFonts w:ascii="Arial" w:hAnsi="Arial" w:cs="Arial"/>
                <w:color w:val="000000"/>
              </w:rPr>
              <w:t> </w:t>
            </w:r>
          </w:p>
        </w:tc>
        <w:tc>
          <w:tcPr>
            <w:tcW w:w="2880" w:type="dxa"/>
            <w:gridSpan w:val="2"/>
            <w:tcBorders>
              <w:top w:val="single" w:sz="4" w:space="0" w:color="auto"/>
              <w:left w:val="nil"/>
              <w:bottom w:val="single" w:sz="4" w:space="0" w:color="auto"/>
              <w:right w:val="nil"/>
            </w:tcBorders>
            <w:shd w:val="clear" w:color="auto" w:fill="auto"/>
            <w:noWrap/>
            <w:vAlign w:val="center"/>
          </w:tcPr>
          <w:p w14:paraId="5B0D47F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Groups</w:t>
            </w:r>
          </w:p>
        </w:tc>
        <w:tc>
          <w:tcPr>
            <w:tcW w:w="1260" w:type="dxa"/>
            <w:tcBorders>
              <w:top w:val="single" w:sz="4" w:space="0" w:color="auto"/>
              <w:left w:val="nil"/>
              <w:bottom w:val="single" w:sz="4" w:space="0" w:color="auto"/>
              <w:right w:val="nil"/>
            </w:tcBorders>
          </w:tcPr>
          <w:p w14:paraId="278F9E7C" w14:textId="77777777" w:rsidR="007D2F6A" w:rsidRPr="007D2F6A" w:rsidRDefault="007D2F6A" w:rsidP="007D2F6A">
            <w:pPr>
              <w:jc w:val="center"/>
              <w:rPr>
                <w:rFonts w:ascii="Arial" w:hAnsi="Arial" w:cs="Arial"/>
                <w:b/>
                <w:color w:val="000000"/>
              </w:rPr>
            </w:pPr>
            <w:r w:rsidRPr="007D2F6A">
              <w:rPr>
                <w:rFonts w:ascii="Arial" w:hAnsi="Arial" w:cs="Arial"/>
                <w:b/>
                <w:color w:val="000000"/>
              </w:rPr>
              <w:t>Frequency</w:t>
            </w:r>
          </w:p>
          <w:p w14:paraId="4BBFD243"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(n=60)</w:t>
            </w:r>
          </w:p>
        </w:tc>
        <w:tc>
          <w:tcPr>
            <w:tcW w:w="1530" w:type="dxa"/>
            <w:tcBorders>
              <w:top w:val="single" w:sz="4" w:space="0" w:color="auto"/>
              <w:left w:val="nil"/>
              <w:bottom w:val="single" w:sz="4" w:space="0" w:color="auto"/>
              <w:right w:val="nil"/>
            </w:tcBorders>
          </w:tcPr>
          <w:p w14:paraId="18F23EA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 xml:space="preserve">Percentage </w:t>
            </w:r>
          </w:p>
          <w:p w14:paraId="205ACFEF" w14:textId="77777777" w:rsidR="007D2F6A" w:rsidRPr="007D2F6A" w:rsidRDefault="007D2F6A" w:rsidP="007D2F6A">
            <w:pPr>
              <w:jc w:val="center"/>
              <w:rPr>
                <w:rFonts w:ascii="Arial" w:hAnsi="Arial" w:cs="Arial"/>
                <w:b/>
                <w:color w:val="000000"/>
              </w:rPr>
            </w:pPr>
            <w:r w:rsidRPr="007D2F6A">
              <w:rPr>
                <w:rFonts w:ascii="Arial" w:hAnsi="Arial" w:cs="Arial"/>
                <w:b/>
                <w:color w:val="000000"/>
              </w:rPr>
              <w:t>(100%)</w:t>
            </w:r>
          </w:p>
        </w:tc>
      </w:tr>
      <w:tr w:rsidR="007D2F6A" w:rsidRPr="007D2F6A" w14:paraId="2F6AEBCD" w14:textId="77777777" w:rsidTr="005D56B6">
        <w:trPr>
          <w:trHeight w:val="242"/>
        </w:trPr>
        <w:tc>
          <w:tcPr>
            <w:tcW w:w="1080" w:type="dxa"/>
            <w:vMerge/>
            <w:tcBorders>
              <w:left w:val="nil"/>
              <w:bottom w:val="single" w:sz="4" w:space="0" w:color="auto"/>
              <w:right w:val="nil"/>
            </w:tcBorders>
            <w:shd w:val="clear" w:color="auto" w:fill="auto"/>
            <w:noWrap/>
            <w:vAlign w:val="bottom"/>
            <w:hideMark/>
          </w:tcPr>
          <w:p w14:paraId="147AFF1C" w14:textId="77777777" w:rsidR="007D2F6A" w:rsidRPr="007D2F6A" w:rsidRDefault="007D2F6A" w:rsidP="007D2F6A">
            <w:pPr>
              <w:rPr>
                <w:rFonts w:ascii="Arial" w:hAnsi="Arial" w:cs="Arial"/>
                <w:color w:val="000000"/>
              </w:rPr>
            </w:pPr>
          </w:p>
        </w:tc>
        <w:tc>
          <w:tcPr>
            <w:tcW w:w="1350" w:type="dxa"/>
            <w:vMerge/>
            <w:tcBorders>
              <w:left w:val="nil"/>
              <w:bottom w:val="single" w:sz="4" w:space="0" w:color="auto"/>
              <w:right w:val="nil"/>
            </w:tcBorders>
            <w:shd w:val="clear" w:color="auto" w:fill="auto"/>
            <w:noWrap/>
            <w:vAlign w:val="bottom"/>
            <w:hideMark/>
          </w:tcPr>
          <w:p w14:paraId="4D99996E" w14:textId="77777777" w:rsidR="007D2F6A" w:rsidRPr="007D2F6A" w:rsidRDefault="007D2F6A" w:rsidP="007D2F6A">
            <w:pPr>
              <w:rPr>
                <w:rFonts w:ascii="Arial" w:hAnsi="Arial" w:cs="Arial"/>
                <w:color w:val="000000"/>
              </w:rPr>
            </w:pPr>
          </w:p>
        </w:tc>
        <w:tc>
          <w:tcPr>
            <w:tcW w:w="1530" w:type="dxa"/>
            <w:tcBorders>
              <w:top w:val="single" w:sz="4" w:space="0" w:color="auto"/>
              <w:left w:val="nil"/>
              <w:bottom w:val="single" w:sz="4" w:space="0" w:color="auto"/>
              <w:right w:val="nil"/>
            </w:tcBorders>
            <w:shd w:val="clear" w:color="auto" w:fill="auto"/>
            <w:noWrap/>
            <w:vAlign w:val="center"/>
            <w:hideMark/>
          </w:tcPr>
          <w:p w14:paraId="189FFD03" w14:textId="77777777" w:rsidR="007D2F6A" w:rsidRPr="007D2F6A" w:rsidRDefault="007D2F6A" w:rsidP="007D2F6A">
            <w:pPr>
              <w:jc w:val="center"/>
              <w:rPr>
                <w:rFonts w:ascii="Arial" w:hAnsi="Arial" w:cs="Arial"/>
                <w:b/>
                <w:color w:val="000000"/>
              </w:rPr>
            </w:pPr>
            <w:r w:rsidRPr="007D2F6A">
              <w:rPr>
                <w:rFonts w:ascii="Arial" w:hAnsi="Arial" w:cs="Arial"/>
                <w:b/>
                <w:color w:val="000000"/>
              </w:rPr>
              <w:t>Experimental</w:t>
            </w:r>
          </w:p>
          <w:p w14:paraId="4CBA0CB8"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(n=30)</w:t>
            </w:r>
          </w:p>
        </w:tc>
        <w:tc>
          <w:tcPr>
            <w:tcW w:w="1350" w:type="dxa"/>
            <w:tcBorders>
              <w:top w:val="single" w:sz="4" w:space="0" w:color="auto"/>
              <w:left w:val="nil"/>
              <w:bottom w:val="single" w:sz="4" w:space="0" w:color="auto"/>
              <w:right w:val="nil"/>
            </w:tcBorders>
            <w:shd w:val="clear" w:color="auto" w:fill="auto"/>
            <w:noWrap/>
            <w:vAlign w:val="center"/>
            <w:hideMark/>
          </w:tcPr>
          <w:p w14:paraId="1886C444" w14:textId="77777777" w:rsidR="007D2F6A" w:rsidRPr="007D2F6A" w:rsidRDefault="007D2F6A" w:rsidP="007D2F6A">
            <w:pPr>
              <w:jc w:val="center"/>
              <w:rPr>
                <w:rFonts w:ascii="Arial" w:hAnsi="Arial" w:cs="Arial"/>
                <w:b/>
                <w:color w:val="000000"/>
              </w:rPr>
            </w:pPr>
            <w:r w:rsidRPr="007D2F6A">
              <w:rPr>
                <w:rFonts w:ascii="Arial" w:hAnsi="Arial" w:cs="Arial"/>
                <w:b/>
                <w:color w:val="000000"/>
              </w:rPr>
              <w:t>Control</w:t>
            </w:r>
          </w:p>
          <w:p w14:paraId="05241AE1"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(n=30)</w:t>
            </w:r>
          </w:p>
        </w:tc>
        <w:tc>
          <w:tcPr>
            <w:tcW w:w="1260" w:type="dxa"/>
            <w:tcBorders>
              <w:top w:val="single" w:sz="4" w:space="0" w:color="auto"/>
              <w:left w:val="nil"/>
              <w:bottom w:val="single" w:sz="4" w:space="0" w:color="auto"/>
              <w:right w:val="nil"/>
            </w:tcBorders>
          </w:tcPr>
          <w:p w14:paraId="5527E9BA" w14:textId="77777777" w:rsidR="007D2F6A" w:rsidRPr="007D2F6A" w:rsidRDefault="007D2F6A" w:rsidP="007D2F6A">
            <w:pPr>
              <w:jc w:val="center"/>
              <w:rPr>
                <w:rFonts w:ascii="Arial" w:hAnsi="Arial" w:cs="Arial"/>
                <w:b/>
                <w:color w:val="000000"/>
              </w:rPr>
            </w:pPr>
          </w:p>
        </w:tc>
        <w:tc>
          <w:tcPr>
            <w:tcW w:w="1530" w:type="dxa"/>
            <w:tcBorders>
              <w:top w:val="single" w:sz="4" w:space="0" w:color="auto"/>
              <w:left w:val="nil"/>
              <w:bottom w:val="single" w:sz="4" w:space="0" w:color="auto"/>
              <w:right w:val="nil"/>
            </w:tcBorders>
          </w:tcPr>
          <w:p w14:paraId="773E630D" w14:textId="77777777" w:rsidR="007D2F6A" w:rsidRPr="007D2F6A" w:rsidRDefault="007D2F6A" w:rsidP="007D2F6A">
            <w:pPr>
              <w:jc w:val="center"/>
              <w:rPr>
                <w:rFonts w:ascii="Arial" w:hAnsi="Arial" w:cs="Arial"/>
                <w:b/>
                <w:color w:val="000000"/>
              </w:rPr>
            </w:pPr>
          </w:p>
        </w:tc>
      </w:tr>
      <w:tr w:rsidR="007D2F6A" w:rsidRPr="007D2F6A" w14:paraId="7F39B420" w14:textId="77777777" w:rsidTr="005D56B6">
        <w:trPr>
          <w:trHeight w:val="107"/>
        </w:trPr>
        <w:tc>
          <w:tcPr>
            <w:tcW w:w="1080" w:type="dxa"/>
            <w:vMerge w:val="restart"/>
            <w:tcBorders>
              <w:top w:val="nil"/>
              <w:left w:val="nil"/>
              <w:bottom w:val="nil"/>
              <w:right w:val="nil"/>
            </w:tcBorders>
            <w:shd w:val="clear" w:color="auto" w:fill="auto"/>
            <w:noWrap/>
            <w:vAlign w:val="center"/>
            <w:hideMark/>
          </w:tcPr>
          <w:p w14:paraId="33E4D78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Age</w:t>
            </w:r>
          </w:p>
        </w:tc>
        <w:tc>
          <w:tcPr>
            <w:tcW w:w="1350" w:type="dxa"/>
            <w:tcBorders>
              <w:top w:val="nil"/>
              <w:left w:val="nil"/>
              <w:bottom w:val="nil"/>
              <w:right w:val="nil"/>
            </w:tcBorders>
            <w:shd w:val="clear" w:color="auto" w:fill="auto"/>
            <w:noWrap/>
            <w:vAlign w:val="bottom"/>
            <w:hideMark/>
          </w:tcPr>
          <w:p w14:paraId="6D2D8838" w14:textId="77777777" w:rsidR="007D2F6A" w:rsidRPr="007D2F6A" w:rsidRDefault="007D2F6A" w:rsidP="007D2F6A">
            <w:pPr>
              <w:rPr>
                <w:rFonts w:ascii="Arial" w:hAnsi="Arial" w:cs="Arial"/>
                <w:color w:val="000000"/>
              </w:rPr>
            </w:pPr>
            <w:r w:rsidRPr="007D2F6A">
              <w:rPr>
                <w:rFonts w:ascii="Arial" w:hAnsi="Arial" w:cs="Arial"/>
                <w:color w:val="000000"/>
              </w:rPr>
              <w:t>13 years old</w:t>
            </w:r>
          </w:p>
        </w:tc>
        <w:tc>
          <w:tcPr>
            <w:tcW w:w="1530" w:type="dxa"/>
            <w:tcBorders>
              <w:top w:val="nil"/>
              <w:left w:val="nil"/>
              <w:bottom w:val="nil"/>
              <w:right w:val="nil"/>
            </w:tcBorders>
            <w:shd w:val="clear" w:color="auto" w:fill="auto"/>
            <w:noWrap/>
            <w:vAlign w:val="bottom"/>
          </w:tcPr>
          <w:p w14:paraId="06CFCA4D"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350" w:type="dxa"/>
            <w:tcBorders>
              <w:top w:val="nil"/>
              <w:left w:val="nil"/>
              <w:bottom w:val="nil"/>
              <w:right w:val="nil"/>
            </w:tcBorders>
            <w:shd w:val="clear" w:color="auto" w:fill="auto"/>
            <w:noWrap/>
            <w:vAlign w:val="bottom"/>
          </w:tcPr>
          <w:p w14:paraId="6C90AC7C"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260" w:type="dxa"/>
            <w:tcBorders>
              <w:top w:val="nil"/>
              <w:left w:val="nil"/>
              <w:bottom w:val="nil"/>
              <w:right w:val="nil"/>
            </w:tcBorders>
          </w:tcPr>
          <w:p w14:paraId="0535F9F3"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20</w:t>
            </w:r>
          </w:p>
        </w:tc>
        <w:tc>
          <w:tcPr>
            <w:tcW w:w="1530" w:type="dxa"/>
            <w:tcBorders>
              <w:top w:val="nil"/>
              <w:left w:val="nil"/>
              <w:bottom w:val="nil"/>
              <w:right w:val="nil"/>
            </w:tcBorders>
          </w:tcPr>
          <w:p w14:paraId="02C29E25"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33.33%</w:t>
            </w:r>
          </w:p>
        </w:tc>
      </w:tr>
      <w:tr w:rsidR="007D2F6A" w:rsidRPr="007D2F6A" w14:paraId="7265FF3D" w14:textId="77777777" w:rsidTr="005D56B6">
        <w:trPr>
          <w:trHeight w:val="270"/>
        </w:trPr>
        <w:tc>
          <w:tcPr>
            <w:tcW w:w="1080" w:type="dxa"/>
            <w:vMerge/>
            <w:tcBorders>
              <w:top w:val="nil"/>
              <w:left w:val="nil"/>
              <w:bottom w:val="nil"/>
              <w:right w:val="nil"/>
            </w:tcBorders>
            <w:vAlign w:val="center"/>
            <w:hideMark/>
          </w:tcPr>
          <w:p w14:paraId="63C022CA"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5D039731" w14:textId="77777777" w:rsidR="007D2F6A" w:rsidRPr="007D2F6A" w:rsidRDefault="007D2F6A" w:rsidP="007D2F6A">
            <w:pPr>
              <w:rPr>
                <w:rFonts w:ascii="Arial" w:hAnsi="Arial" w:cs="Arial"/>
                <w:color w:val="000000"/>
              </w:rPr>
            </w:pPr>
            <w:r w:rsidRPr="007D2F6A">
              <w:rPr>
                <w:rFonts w:ascii="Arial" w:hAnsi="Arial" w:cs="Arial"/>
                <w:color w:val="000000"/>
              </w:rPr>
              <w:t>14 years old</w:t>
            </w:r>
          </w:p>
        </w:tc>
        <w:tc>
          <w:tcPr>
            <w:tcW w:w="1530" w:type="dxa"/>
            <w:tcBorders>
              <w:top w:val="nil"/>
              <w:left w:val="nil"/>
              <w:bottom w:val="nil"/>
              <w:right w:val="nil"/>
            </w:tcBorders>
            <w:shd w:val="clear" w:color="auto" w:fill="auto"/>
            <w:noWrap/>
            <w:vAlign w:val="bottom"/>
          </w:tcPr>
          <w:p w14:paraId="6DCC1DA5"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13</w:t>
            </w:r>
          </w:p>
        </w:tc>
        <w:tc>
          <w:tcPr>
            <w:tcW w:w="1350" w:type="dxa"/>
            <w:tcBorders>
              <w:top w:val="nil"/>
              <w:left w:val="nil"/>
              <w:bottom w:val="nil"/>
              <w:right w:val="nil"/>
            </w:tcBorders>
            <w:shd w:val="clear" w:color="auto" w:fill="auto"/>
            <w:noWrap/>
            <w:vAlign w:val="bottom"/>
          </w:tcPr>
          <w:p w14:paraId="4A9A43E5"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16</w:t>
            </w:r>
          </w:p>
        </w:tc>
        <w:tc>
          <w:tcPr>
            <w:tcW w:w="1260" w:type="dxa"/>
            <w:tcBorders>
              <w:top w:val="nil"/>
              <w:left w:val="nil"/>
              <w:bottom w:val="nil"/>
              <w:right w:val="nil"/>
            </w:tcBorders>
          </w:tcPr>
          <w:p w14:paraId="1B2B72E6"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29</w:t>
            </w:r>
          </w:p>
        </w:tc>
        <w:tc>
          <w:tcPr>
            <w:tcW w:w="1530" w:type="dxa"/>
            <w:tcBorders>
              <w:top w:val="nil"/>
              <w:left w:val="nil"/>
              <w:bottom w:val="nil"/>
              <w:right w:val="nil"/>
            </w:tcBorders>
          </w:tcPr>
          <w:p w14:paraId="6CE398B3"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48.33%</w:t>
            </w:r>
          </w:p>
        </w:tc>
      </w:tr>
      <w:tr w:rsidR="007D2F6A" w:rsidRPr="007D2F6A" w14:paraId="23F53D9D" w14:textId="77777777" w:rsidTr="005D56B6">
        <w:trPr>
          <w:trHeight w:val="270"/>
        </w:trPr>
        <w:tc>
          <w:tcPr>
            <w:tcW w:w="1080" w:type="dxa"/>
            <w:vMerge/>
            <w:tcBorders>
              <w:top w:val="nil"/>
              <w:left w:val="nil"/>
              <w:bottom w:val="nil"/>
              <w:right w:val="nil"/>
            </w:tcBorders>
            <w:vAlign w:val="center"/>
            <w:hideMark/>
          </w:tcPr>
          <w:p w14:paraId="4DFDBCDF"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1A439EA4" w14:textId="77777777" w:rsidR="007D2F6A" w:rsidRPr="007D2F6A" w:rsidRDefault="007D2F6A" w:rsidP="007D2F6A">
            <w:pPr>
              <w:rPr>
                <w:rFonts w:ascii="Arial" w:hAnsi="Arial" w:cs="Arial"/>
                <w:color w:val="000000"/>
              </w:rPr>
            </w:pPr>
            <w:r w:rsidRPr="007D2F6A">
              <w:rPr>
                <w:rFonts w:ascii="Arial" w:hAnsi="Arial" w:cs="Arial"/>
                <w:color w:val="000000"/>
              </w:rPr>
              <w:t>15 years old</w:t>
            </w:r>
          </w:p>
        </w:tc>
        <w:tc>
          <w:tcPr>
            <w:tcW w:w="1530" w:type="dxa"/>
            <w:tcBorders>
              <w:top w:val="nil"/>
              <w:left w:val="nil"/>
              <w:bottom w:val="nil"/>
              <w:right w:val="nil"/>
            </w:tcBorders>
            <w:shd w:val="clear" w:color="auto" w:fill="auto"/>
            <w:noWrap/>
            <w:vAlign w:val="bottom"/>
          </w:tcPr>
          <w:p w14:paraId="2F29B513"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4</w:t>
            </w:r>
          </w:p>
        </w:tc>
        <w:tc>
          <w:tcPr>
            <w:tcW w:w="1350" w:type="dxa"/>
            <w:tcBorders>
              <w:top w:val="nil"/>
              <w:left w:val="nil"/>
              <w:bottom w:val="nil"/>
              <w:right w:val="nil"/>
            </w:tcBorders>
            <w:shd w:val="clear" w:color="auto" w:fill="auto"/>
            <w:noWrap/>
            <w:vAlign w:val="bottom"/>
          </w:tcPr>
          <w:p w14:paraId="6E1455EB"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3</w:t>
            </w:r>
          </w:p>
        </w:tc>
        <w:tc>
          <w:tcPr>
            <w:tcW w:w="1260" w:type="dxa"/>
            <w:tcBorders>
              <w:top w:val="nil"/>
              <w:left w:val="nil"/>
              <w:bottom w:val="nil"/>
              <w:right w:val="nil"/>
            </w:tcBorders>
          </w:tcPr>
          <w:p w14:paraId="1D31052B"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7</w:t>
            </w:r>
          </w:p>
        </w:tc>
        <w:tc>
          <w:tcPr>
            <w:tcW w:w="1530" w:type="dxa"/>
            <w:tcBorders>
              <w:top w:val="nil"/>
              <w:left w:val="nil"/>
              <w:bottom w:val="nil"/>
              <w:right w:val="nil"/>
            </w:tcBorders>
          </w:tcPr>
          <w:p w14:paraId="7CA01291"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11.67%</w:t>
            </w:r>
          </w:p>
        </w:tc>
      </w:tr>
      <w:tr w:rsidR="007D2F6A" w:rsidRPr="007D2F6A" w14:paraId="7C093DA1" w14:textId="77777777" w:rsidTr="005D56B6">
        <w:trPr>
          <w:trHeight w:val="180"/>
        </w:trPr>
        <w:tc>
          <w:tcPr>
            <w:tcW w:w="1080" w:type="dxa"/>
            <w:vMerge/>
            <w:tcBorders>
              <w:top w:val="nil"/>
              <w:left w:val="nil"/>
              <w:bottom w:val="nil"/>
              <w:right w:val="nil"/>
            </w:tcBorders>
            <w:vAlign w:val="center"/>
            <w:hideMark/>
          </w:tcPr>
          <w:p w14:paraId="12496A1C"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25785EE2" w14:textId="77777777" w:rsidR="007D2F6A" w:rsidRPr="007D2F6A" w:rsidRDefault="007D2F6A" w:rsidP="007D2F6A">
            <w:pPr>
              <w:rPr>
                <w:rFonts w:ascii="Arial" w:hAnsi="Arial" w:cs="Arial"/>
                <w:color w:val="000000"/>
              </w:rPr>
            </w:pPr>
            <w:r w:rsidRPr="007D2F6A">
              <w:rPr>
                <w:rFonts w:ascii="Arial" w:hAnsi="Arial" w:cs="Arial"/>
                <w:color w:val="000000"/>
              </w:rPr>
              <w:t>16 years old</w:t>
            </w:r>
          </w:p>
        </w:tc>
        <w:tc>
          <w:tcPr>
            <w:tcW w:w="1530" w:type="dxa"/>
            <w:tcBorders>
              <w:top w:val="nil"/>
              <w:left w:val="nil"/>
              <w:bottom w:val="nil"/>
              <w:right w:val="nil"/>
            </w:tcBorders>
            <w:shd w:val="clear" w:color="auto" w:fill="auto"/>
            <w:noWrap/>
            <w:vAlign w:val="bottom"/>
          </w:tcPr>
          <w:p w14:paraId="15DCCC1C"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3</w:t>
            </w:r>
          </w:p>
        </w:tc>
        <w:tc>
          <w:tcPr>
            <w:tcW w:w="1350" w:type="dxa"/>
            <w:tcBorders>
              <w:top w:val="nil"/>
              <w:left w:val="nil"/>
              <w:bottom w:val="nil"/>
              <w:right w:val="nil"/>
            </w:tcBorders>
            <w:shd w:val="clear" w:color="auto" w:fill="auto"/>
            <w:noWrap/>
            <w:vAlign w:val="bottom"/>
          </w:tcPr>
          <w:p w14:paraId="528F1700"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w:t>
            </w:r>
          </w:p>
        </w:tc>
        <w:tc>
          <w:tcPr>
            <w:tcW w:w="1260" w:type="dxa"/>
            <w:tcBorders>
              <w:top w:val="nil"/>
              <w:left w:val="nil"/>
              <w:bottom w:val="nil"/>
              <w:right w:val="nil"/>
            </w:tcBorders>
          </w:tcPr>
          <w:p w14:paraId="56724A1E"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w:t>
            </w:r>
          </w:p>
        </w:tc>
        <w:tc>
          <w:tcPr>
            <w:tcW w:w="1530" w:type="dxa"/>
            <w:tcBorders>
              <w:top w:val="nil"/>
              <w:left w:val="nil"/>
              <w:bottom w:val="nil"/>
              <w:right w:val="nil"/>
            </w:tcBorders>
          </w:tcPr>
          <w:p w14:paraId="7992490C"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6.67%</w:t>
            </w:r>
          </w:p>
        </w:tc>
      </w:tr>
      <w:tr w:rsidR="007D2F6A" w:rsidRPr="007D2F6A" w14:paraId="0410A3BD" w14:textId="77777777" w:rsidTr="005D56B6">
        <w:trPr>
          <w:trHeight w:val="74"/>
        </w:trPr>
        <w:tc>
          <w:tcPr>
            <w:tcW w:w="1080" w:type="dxa"/>
            <w:tcBorders>
              <w:top w:val="nil"/>
              <w:left w:val="nil"/>
              <w:bottom w:val="nil"/>
              <w:right w:val="nil"/>
            </w:tcBorders>
            <w:shd w:val="clear" w:color="auto" w:fill="auto"/>
            <w:noWrap/>
            <w:vAlign w:val="bottom"/>
            <w:hideMark/>
          </w:tcPr>
          <w:p w14:paraId="098E3577" w14:textId="77777777" w:rsidR="007D2F6A" w:rsidRPr="007D2F6A" w:rsidRDefault="007D2F6A" w:rsidP="007D2F6A">
            <w:pPr>
              <w:jc w:val="cente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2FA5BFF8" w14:textId="77777777" w:rsidR="007D2F6A" w:rsidRPr="007D2F6A" w:rsidRDefault="007D2F6A" w:rsidP="007D2F6A">
            <w:pPr>
              <w:rPr>
                <w:rFonts w:ascii="Arial" w:hAnsi="Arial" w:cs="Arial"/>
              </w:rPr>
            </w:pPr>
          </w:p>
        </w:tc>
        <w:tc>
          <w:tcPr>
            <w:tcW w:w="1530" w:type="dxa"/>
            <w:tcBorders>
              <w:top w:val="nil"/>
              <w:left w:val="nil"/>
              <w:bottom w:val="nil"/>
              <w:right w:val="nil"/>
            </w:tcBorders>
            <w:shd w:val="clear" w:color="auto" w:fill="auto"/>
            <w:noWrap/>
            <w:vAlign w:val="center"/>
          </w:tcPr>
          <w:p w14:paraId="04C2473E" w14:textId="77777777" w:rsidR="007D2F6A" w:rsidRPr="007D2F6A" w:rsidRDefault="007D2F6A" w:rsidP="007D2F6A">
            <w:pPr>
              <w:rPr>
                <w:rFonts w:ascii="Arial" w:hAnsi="Arial" w:cs="Arial"/>
              </w:rPr>
            </w:pPr>
          </w:p>
        </w:tc>
        <w:tc>
          <w:tcPr>
            <w:tcW w:w="1350" w:type="dxa"/>
            <w:tcBorders>
              <w:top w:val="nil"/>
              <w:left w:val="nil"/>
              <w:bottom w:val="nil"/>
              <w:right w:val="nil"/>
            </w:tcBorders>
            <w:shd w:val="clear" w:color="auto" w:fill="auto"/>
            <w:noWrap/>
            <w:vAlign w:val="center"/>
          </w:tcPr>
          <w:p w14:paraId="2C33C734" w14:textId="77777777" w:rsidR="007D2F6A" w:rsidRPr="007D2F6A" w:rsidRDefault="007D2F6A" w:rsidP="007D2F6A">
            <w:pPr>
              <w:jc w:val="center"/>
              <w:rPr>
                <w:rFonts w:ascii="Arial" w:hAnsi="Arial" w:cs="Arial"/>
              </w:rPr>
            </w:pPr>
          </w:p>
        </w:tc>
        <w:tc>
          <w:tcPr>
            <w:tcW w:w="1260" w:type="dxa"/>
            <w:tcBorders>
              <w:top w:val="nil"/>
              <w:left w:val="nil"/>
              <w:bottom w:val="nil"/>
              <w:right w:val="nil"/>
            </w:tcBorders>
          </w:tcPr>
          <w:p w14:paraId="596DD9C6" w14:textId="77777777" w:rsidR="007D2F6A" w:rsidRPr="007D2F6A" w:rsidRDefault="007D2F6A" w:rsidP="007D2F6A">
            <w:pPr>
              <w:jc w:val="center"/>
              <w:rPr>
                <w:rFonts w:ascii="Arial" w:hAnsi="Arial" w:cs="Arial"/>
              </w:rPr>
            </w:pPr>
          </w:p>
        </w:tc>
        <w:tc>
          <w:tcPr>
            <w:tcW w:w="1530" w:type="dxa"/>
            <w:tcBorders>
              <w:top w:val="nil"/>
              <w:left w:val="nil"/>
              <w:bottom w:val="nil"/>
              <w:right w:val="nil"/>
            </w:tcBorders>
          </w:tcPr>
          <w:p w14:paraId="6648707F" w14:textId="77777777" w:rsidR="007D2F6A" w:rsidRPr="007D2F6A" w:rsidRDefault="007D2F6A" w:rsidP="007D2F6A">
            <w:pPr>
              <w:jc w:val="center"/>
              <w:rPr>
                <w:rFonts w:ascii="Arial" w:hAnsi="Arial" w:cs="Arial"/>
              </w:rPr>
            </w:pPr>
          </w:p>
        </w:tc>
      </w:tr>
      <w:tr w:rsidR="007D2F6A" w:rsidRPr="007D2F6A" w14:paraId="50DE438F" w14:textId="77777777" w:rsidTr="005D56B6">
        <w:trPr>
          <w:trHeight w:val="74"/>
        </w:trPr>
        <w:tc>
          <w:tcPr>
            <w:tcW w:w="1080" w:type="dxa"/>
            <w:vMerge w:val="restart"/>
            <w:tcBorders>
              <w:top w:val="nil"/>
              <w:left w:val="nil"/>
              <w:bottom w:val="single" w:sz="4" w:space="0" w:color="000000"/>
              <w:right w:val="nil"/>
            </w:tcBorders>
            <w:shd w:val="clear" w:color="auto" w:fill="auto"/>
            <w:noWrap/>
            <w:vAlign w:val="center"/>
            <w:hideMark/>
          </w:tcPr>
          <w:p w14:paraId="0D6636D8" w14:textId="77777777" w:rsidR="007D2F6A" w:rsidRPr="007D2F6A" w:rsidRDefault="007D2F6A" w:rsidP="007D2F6A">
            <w:pPr>
              <w:jc w:val="center"/>
              <w:rPr>
                <w:rFonts w:ascii="Arial" w:hAnsi="Arial" w:cs="Arial"/>
                <w:b/>
                <w:color w:val="000000"/>
              </w:rPr>
            </w:pPr>
            <w:r w:rsidRPr="007D2F6A">
              <w:rPr>
                <w:rFonts w:ascii="Arial" w:hAnsi="Arial" w:cs="Arial"/>
                <w:b/>
                <w:color w:val="000000"/>
              </w:rPr>
              <w:t>Gender</w:t>
            </w:r>
          </w:p>
        </w:tc>
        <w:tc>
          <w:tcPr>
            <w:tcW w:w="1350" w:type="dxa"/>
            <w:tcBorders>
              <w:top w:val="nil"/>
              <w:left w:val="nil"/>
              <w:bottom w:val="nil"/>
              <w:right w:val="nil"/>
            </w:tcBorders>
            <w:shd w:val="clear" w:color="auto" w:fill="auto"/>
            <w:noWrap/>
            <w:vAlign w:val="bottom"/>
            <w:hideMark/>
          </w:tcPr>
          <w:p w14:paraId="2552C441" w14:textId="77777777" w:rsidR="007D2F6A" w:rsidRPr="007D2F6A" w:rsidRDefault="007D2F6A" w:rsidP="007D2F6A">
            <w:pPr>
              <w:rPr>
                <w:rFonts w:ascii="Arial" w:hAnsi="Arial" w:cs="Arial"/>
                <w:color w:val="000000"/>
              </w:rPr>
            </w:pPr>
            <w:r w:rsidRPr="007D2F6A">
              <w:rPr>
                <w:rFonts w:ascii="Arial" w:hAnsi="Arial" w:cs="Arial"/>
                <w:color w:val="000000"/>
              </w:rPr>
              <w:t>Male</w:t>
            </w:r>
          </w:p>
        </w:tc>
        <w:tc>
          <w:tcPr>
            <w:tcW w:w="1530" w:type="dxa"/>
            <w:tcBorders>
              <w:top w:val="nil"/>
              <w:left w:val="nil"/>
              <w:bottom w:val="nil"/>
              <w:right w:val="nil"/>
            </w:tcBorders>
            <w:shd w:val="clear" w:color="auto" w:fill="auto"/>
            <w:noWrap/>
            <w:vAlign w:val="bottom"/>
          </w:tcPr>
          <w:p w14:paraId="733FA589"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16</w:t>
            </w:r>
          </w:p>
        </w:tc>
        <w:tc>
          <w:tcPr>
            <w:tcW w:w="1350" w:type="dxa"/>
            <w:tcBorders>
              <w:top w:val="nil"/>
              <w:left w:val="nil"/>
              <w:bottom w:val="nil"/>
              <w:right w:val="nil"/>
            </w:tcBorders>
            <w:shd w:val="clear" w:color="auto" w:fill="auto"/>
            <w:noWrap/>
            <w:vAlign w:val="bottom"/>
          </w:tcPr>
          <w:p w14:paraId="6BBE7440"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20</w:t>
            </w:r>
          </w:p>
        </w:tc>
        <w:tc>
          <w:tcPr>
            <w:tcW w:w="1260" w:type="dxa"/>
            <w:tcBorders>
              <w:top w:val="nil"/>
              <w:left w:val="nil"/>
              <w:bottom w:val="nil"/>
              <w:right w:val="nil"/>
            </w:tcBorders>
          </w:tcPr>
          <w:p w14:paraId="047EA248"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36</w:t>
            </w:r>
          </w:p>
        </w:tc>
        <w:tc>
          <w:tcPr>
            <w:tcW w:w="1530" w:type="dxa"/>
            <w:tcBorders>
              <w:top w:val="nil"/>
              <w:left w:val="nil"/>
              <w:bottom w:val="nil"/>
              <w:right w:val="nil"/>
            </w:tcBorders>
          </w:tcPr>
          <w:p w14:paraId="09244E58"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60%</w:t>
            </w:r>
          </w:p>
        </w:tc>
      </w:tr>
      <w:tr w:rsidR="007D2F6A" w:rsidRPr="007D2F6A" w14:paraId="7CB61627" w14:textId="77777777" w:rsidTr="005D56B6">
        <w:trPr>
          <w:trHeight w:val="107"/>
        </w:trPr>
        <w:tc>
          <w:tcPr>
            <w:tcW w:w="1080" w:type="dxa"/>
            <w:vMerge/>
            <w:tcBorders>
              <w:top w:val="nil"/>
              <w:left w:val="nil"/>
              <w:bottom w:val="single" w:sz="4" w:space="0" w:color="000000"/>
              <w:right w:val="nil"/>
            </w:tcBorders>
            <w:vAlign w:val="center"/>
            <w:hideMark/>
          </w:tcPr>
          <w:p w14:paraId="79D2AAA0" w14:textId="77777777" w:rsidR="007D2F6A" w:rsidRPr="007D2F6A" w:rsidRDefault="007D2F6A" w:rsidP="007D2F6A">
            <w:pPr>
              <w:rPr>
                <w:rFonts w:ascii="Arial" w:hAnsi="Arial" w:cs="Arial"/>
                <w:color w:val="000000"/>
              </w:rPr>
            </w:pPr>
          </w:p>
        </w:tc>
        <w:tc>
          <w:tcPr>
            <w:tcW w:w="1350" w:type="dxa"/>
            <w:tcBorders>
              <w:top w:val="nil"/>
              <w:left w:val="nil"/>
              <w:bottom w:val="single" w:sz="4" w:space="0" w:color="auto"/>
              <w:right w:val="nil"/>
            </w:tcBorders>
            <w:shd w:val="clear" w:color="auto" w:fill="auto"/>
            <w:noWrap/>
            <w:vAlign w:val="bottom"/>
            <w:hideMark/>
          </w:tcPr>
          <w:p w14:paraId="21E8A8A0" w14:textId="77777777" w:rsidR="007D2F6A" w:rsidRPr="007D2F6A" w:rsidRDefault="007D2F6A" w:rsidP="007D2F6A">
            <w:pPr>
              <w:rPr>
                <w:rFonts w:ascii="Arial" w:hAnsi="Arial" w:cs="Arial"/>
                <w:color w:val="000000"/>
              </w:rPr>
            </w:pPr>
            <w:r w:rsidRPr="007D2F6A">
              <w:rPr>
                <w:rFonts w:ascii="Arial" w:hAnsi="Arial" w:cs="Arial"/>
                <w:color w:val="000000"/>
              </w:rPr>
              <w:t>Female</w:t>
            </w:r>
          </w:p>
        </w:tc>
        <w:tc>
          <w:tcPr>
            <w:tcW w:w="1530" w:type="dxa"/>
            <w:tcBorders>
              <w:top w:val="nil"/>
              <w:left w:val="nil"/>
              <w:bottom w:val="single" w:sz="4" w:space="0" w:color="auto"/>
              <w:right w:val="nil"/>
            </w:tcBorders>
            <w:shd w:val="clear" w:color="auto" w:fill="auto"/>
            <w:noWrap/>
            <w:vAlign w:val="bottom"/>
          </w:tcPr>
          <w:p w14:paraId="7599B632"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14</w:t>
            </w:r>
          </w:p>
        </w:tc>
        <w:tc>
          <w:tcPr>
            <w:tcW w:w="1350" w:type="dxa"/>
            <w:tcBorders>
              <w:top w:val="nil"/>
              <w:left w:val="nil"/>
              <w:bottom w:val="single" w:sz="4" w:space="0" w:color="auto"/>
              <w:right w:val="nil"/>
            </w:tcBorders>
            <w:shd w:val="clear" w:color="auto" w:fill="auto"/>
            <w:noWrap/>
            <w:vAlign w:val="bottom"/>
          </w:tcPr>
          <w:p w14:paraId="24EFA596"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260" w:type="dxa"/>
            <w:tcBorders>
              <w:top w:val="nil"/>
              <w:left w:val="nil"/>
              <w:bottom w:val="single" w:sz="4" w:space="0" w:color="auto"/>
              <w:right w:val="nil"/>
            </w:tcBorders>
          </w:tcPr>
          <w:p w14:paraId="18B02411"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24</w:t>
            </w:r>
          </w:p>
        </w:tc>
        <w:tc>
          <w:tcPr>
            <w:tcW w:w="1530" w:type="dxa"/>
            <w:tcBorders>
              <w:top w:val="nil"/>
              <w:left w:val="nil"/>
              <w:bottom w:val="single" w:sz="4" w:space="0" w:color="auto"/>
              <w:right w:val="nil"/>
            </w:tcBorders>
          </w:tcPr>
          <w:p w14:paraId="386458F9"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40%</w:t>
            </w:r>
          </w:p>
        </w:tc>
      </w:tr>
    </w:tbl>
    <w:p w14:paraId="707CE43B" w14:textId="77777777" w:rsidR="007D2F6A" w:rsidRPr="007D2F6A" w:rsidRDefault="007D2F6A" w:rsidP="007D2F6A">
      <w:pPr>
        <w:jc w:val="both"/>
        <w:rPr>
          <w:rFonts w:ascii="Arial" w:eastAsia="Calibri" w:hAnsi="Arial" w:cs="Arial"/>
        </w:rPr>
      </w:pPr>
    </w:p>
    <w:p w14:paraId="024C9443" w14:textId="254819E9"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3</w:t>
      </w:r>
      <w:r w:rsidRPr="007D2F6A">
        <w:rPr>
          <w:rFonts w:ascii="Arial" w:eastAsia="Calibri" w:hAnsi="Arial" w:cs="Arial"/>
        </w:rPr>
        <w:t xml:space="preserve"> presents the demographic profiles of the 60 student respondents,</w:t>
      </w:r>
      <w:r w:rsidR="00A31F23">
        <w:rPr>
          <w:rFonts w:ascii="Arial" w:eastAsia="Calibri" w:hAnsi="Arial" w:cs="Arial"/>
        </w:rPr>
        <w:t xml:space="preserve"> (30 </w:t>
      </w:r>
      <w:r w:rsidR="006F54D1">
        <w:rPr>
          <w:rFonts w:ascii="Arial" w:eastAsia="Calibri" w:hAnsi="Arial" w:cs="Arial"/>
        </w:rPr>
        <w:t>experim</w:t>
      </w:r>
      <w:r w:rsidR="00A31F23">
        <w:rPr>
          <w:rFonts w:ascii="Arial" w:eastAsia="Calibri" w:hAnsi="Arial" w:cs="Arial"/>
        </w:rPr>
        <w:t xml:space="preserve">ental group, 30 </w:t>
      </w:r>
      <w:r w:rsidR="006F54D1">
        <w:rPr>
          <w:rFonts w:ascii="Arial" w:eastAsia="Calibri" w:hAnsi="Arial" w:cs="Arial"/>
        </w:rPr>
        <w:t>control group</w:t>
      </w:r>
      <w:r w:rsidR="00A31F23">
        <w:rPr>
          <w:rFonts w:ascii="Arial" w:eastAsia="Calibri" w:hAnsi="Arial" w:cs="Arial"/>
        </w:rPr>
        <w:t xml:space="preserve">), </w:t>
      </w:r>
      <w:r w:rsidRPr="007D2F6A">
        <w:rPr>
          <w:rFonts w:ascii="Arial" w:eastAsia="Calibri" w:hAnsi="Arial" w:cs="Arial"/>
        </w:rPr>
        <w:t xml:space="preserve">highlighting their age and gender distribution. The majority of the students </w:t>
      </w:r>
      <w:r w:rsidR="00A31F23">
        <w:rPr>
          <w:rFonts w:ascii="Arial" w:eastAsia="Calibri" w:hAnsi="Arial" w:cs="Arial"/>
        </w:rPr>
        <w:t xml:space="preserve">in both groups </w:t>
      </w:r>
      <w:r w:rsidRPr="007D2F6A">
        <w:rPr>
          <w:rFonts w:ascii="Arial" w:eastAsia="Calibri" w:hAnsi="Arial" w:cs="Arial"/>
        </w:rPr>
        <w:t>were 14 years old</w:t>
      </w:r>
      <w:r w:rsidR="00A31F23">
        <w:rPr>
          <w:rFonts w:ascii="Arial" w:eastAsia="Calibri" w:hAnsi="Arial" w:cs="Arial"/>
        </w:rPr>
        <w:t xml:space="preserve"> with 13 participants and 16 participants for experimental and control group, respectively</w:t>
      </w:r>
      <w:r w:rsidRPr="007D2F6A">
        <w:rPr>
          <w:rFonts w:ascii="Arial" w:eastAsia="Calibri" w:hAnsi="Arial" w:cs="Arial"/>
        </w:rPr>
        <w:t>,</w:t>
      </w:r>
      <w:r w:rsidR="008158EE">
        <w:rPr>
          <w:rFonts w:ascii="Arial" w:eastAsia="Calibri" w:hAnsi="Arial" w:cs="Arial"/>
        </w:rPr>
        <w:t xml:space="preserve"> comprising 48.33% of the total.</w:t>
      </w:r>
      <w:r w:rsidRPr="007D2F6A">
        <w:rPr>
          <w:rFonts w:ascii="Arial" w:eastAsia="Calibri" w:hAnsi="Arial" w:cs="Arial"/>
        </w:rPr>
        <w:t xml:space="preserve"> </w:t>
      </w:r>
      <w:r w:rsidR="008158EE">
        <w:rPr>
          <w:rFonts w:ascii="Arial" w:eastAsia="Calibri" w:hAnsi="Arial" w:cs="Arial"/>
        </w:rPr>
        <w:t>I</w:t>
      </w:r>
      <w:r w:rsidRPr="007D2F6A">
        <w:rPr>
          <w:rFonts w:ascii="Arial" w:eastAsia="Calibri" w:hAnsi="Arial" w:cs="Arial"/>
        </w:rPr>
        <w:t xml:space="preserve">ndicating that most respondents were in the early adolescent stage, typically associated with junior high school levels. In terms of gender, </w:t>
      </w:r>
      <w:r w:rsidR="00A31F23">
        <w:rPr>
          <w:rFonts w:ascii="Arial" w:eastAsia="Calibri" w:hAnsi="Arial" w:cs="Arial"/>
        </w:rPr>
        <w:t>the experimental group consisted of 16 males and 14 females while the control group included 20 males and 10 females</w:t>
      </w:r>
      <w:r w:rsidR="008158EE">
        <w:rPr>
          <w:rFonts w:ascii="Arial" w:eastAsia="Calibri" w:hAnsi="Arial" w:cs="Arial"/>
        </w:rPr>
        <w:t>. With</w:t>
      </w:r>
      <w:r w:rsidR="00A31F23">
        <w:rPr>
          <w:rFonts w:ascii="Arial" w:eastAsia="Calibri" w:hAnsi="Arial" w:cs="Arial"/>
        </w:rPr>
        <w:t xml:space="preserve"> </w:t>
      </w:r>
      <w:r w:rsidR="009B6A84">
        <w:rPr>
          <w:rFonts w:ascii="Arial" w:eastAsia="Calibri" w:hAnsi="Arial" w:cs="Arial"/>
        </w:rPr>
        <w:t xml:space="preserve">60% male and 40% </w:t>
      </w:r>
      <w:r w:rsidRPr="007D2F6A">
        <w:rPr>
          <w:rFonts w:ascii="Arial" w:eastAsia="Calibri" w:hAnsi="Arial" w:cs="Arial"/>
        </w:rPr>
        <w:t xml:space="preserve">female, </w:t>
      </w:r>
      <w:r w:rsidR="008158EE">
        <w:rPr>
          <w:rFonts w:ascii="Arial" w:eastAsia="Calibri" w:hAnsi="Arial" w:cs="Arial"/>
        </w:rPr>
        <w:t>the data suggested</w:t>
      </w:r>
      <w:r w:rsidRPr="007D2F6A">
        <w:rPr>
          <w:rFonts w:ascii="Arial" w:eastAsia="Calibri" w:hAnsi="Arial" w:cs="Arial"/>
        </w:rPr>
        <w:t xml:space="preserve"> a male-dominated sample.</w:t>
      </w:r>
      <w:r w:rsidR="009B7D9E">
        <w:rPr>
          <w:rFonts w:ascii="Arial" w:eastAsia="Calibri" w:hAnsi="Arial" w:cs="Arial"/>
        </w:rPr>
        <w:t xml:space="preserve"> </w:t>
      </w:r>
      <w:r w:rsidR="009B6A84">
        <w:rPr>
          <w:rFonts w:ascii="Arial" w:eastAsia="Calibri" w:hAnsi="Arial" w:cs="Arial"/>
        </w:rPr>
        <w:t xml:space="preserve">Overall both groups </w:t>
      </w:r>
      <w:r w:rsidR="00D71169">
        <w:rPr>
          <w:rFonts w:ascii="Arial" w:eastAsia="Calibri" w:hAnsi="Arial" w:cs="Arial"/>
        </w:rPr>
        <w:t xml:space="preserve">showed comparable distributions in age and gender, supporting the assumption of group equivalence prior to the intervention. </w:t>
      </w:r>
    </w:p>
    <w:p w14:paraId="4EE08650" w14:textId="77777777" w:rsidR="00906A8C" w:rsidRDefault="00906A8C" w:rsidP="007D2F6A">
      <w:pPr>
        <w:jc w:val="both"/>
        <w:rPr>
          <w:rFonts w:ascii="Arial" w:eastAsia="Calibri" w:hAnsi="Arial" w:cs="Arial"/>
        </w:rPr>
      </w:pPr>
    </w:p>
    <w:p w14:paraId="168D78D8"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According to Ocampo et al. (2023), age emerges as a significant factor influencing students’ performance in mathematics. This finding is consistent with the earlier research that has established a correlation between age and mathematical achievement. For example, Xi &amp; Hamari (2019), reported that older students tend to perform better on mathematics assessments compared to their younger counterparts. Similarly, Corcoran &amp; O’ Flaherty (2022) found that age was a significant predictor of mathematics performance among Filipino students. </w:t>
      </w:r>
    </w:p>
    <w:p w14:paraId="4C61AF6A" w14:textId="77777777" w:rsidR="00906A8C" w:rsidRDefault="00906A8C" w:rsidP="007D2F6A">
      <w:pPr>
        <w:jc w:val="both"/>
        <w:rPr>
          <w:rFonts w:ascii="Arial" w:eastAsia="Calibri" w:hAnsi="Arial" w:cs="Arial"/>
        </w:rPr>
      </w:pPr>
    </w:p>
    <w:p w14:paraId="5A935125" w14:textId="77777777" w:rsidR="007D2F6A" w:rsidRPr="007D2F6A" w:rsidRDefault="007D2F6A" w:rsidP="007D2F6A">
      <w:pPr>
        <w:jc w:val="both"/>
        <w:rPr>
          <w:rFonts w:ascii="Arial" w:eastAsia="Calibri" w:hAnsi="Arial" w:cs="Arial"/>
        </w:rPr>
      </w:pPr>
      <w:r w:rsidRPr="007D2F6A">
        <w:rPr>
          <w:rFonts w:ascii="Arial" w:eastAsia="Calibri" w:hAnsi="Arial" w:cs="Arial"/>
        </w:rPr>
        <w:t>Awofala et al. (2020), identified gender as a significant factor influencing high school students’ performance in mathematics, with male students outperforming their female peers. This disparity may stem from societal gender stereotypes that portray males as naturally more competent in math. Such stereotypes can negatively affect females by increasing math-related anxiety and decreasing their confidence and interest in the subject (Xie &amp; Liu, 2023; Mozahem et al., 2021). However, contrary to these findings, Ocampo et al. (2023), reported no significant correlation between gender and arithmetic proficiency. These variations in performance are not universal and may be influenced by factors such as ethnicity, cultural background, and social context (Xie &amp; Liu, 2023; Wang et al., 2023).</w:t>
      </w:r>
    </w:p>
    <w:p w14:paraId="609CD7E6" w14:textId="77777777" w:rsidR="00906A8C" w:rsidRDefault="00906A8C" w:rsidP="007D2F6A">
      <w:pPr>
        <w:jc w:val="both"/>
        <w:rPr>
          <w:rFonts w:ascii="Arial" w:eastAsia="Calibri" w:hAnsi="Arial" w:cs="Arial"/>
        </w:rPr>
      </w:pPr>
    </w:p>
    <w:p w14:paraId="7C137C20" w14:textId="77777777" w:rsidR="007D2F6A" w:rsidRPr="007D2F6A" w:rsidRDefault="007D2F6A" w:rsidP="007D2F6A">
      <w:pPr>
        <w:jc w:val="both"/>
        <w:rPr>
          <w:rFonts w:ascii="Arial" w:eastAsia="Calibri" w:hAnsi="Arial" w:cs="Arial"/>
        </w:rPr>
      </w:pPr>
      <w:r w:rsidRPr="007D2F6A">
        <w:rPr>
          <w:rFonts w:ascii="Arial" w:eastAsia="Calibri" w:hAnsi="Arial" w:cs="Arial"/>
        </w:rPr>
        <w:lastRenderedPageBreak/>
        <w:t xml:space="preserve">When evaluating the effectiveness of an educational intervention like the mobile Damath game, considering learners’ characteristics - particularly age and gender - is crucial. These factors can significantly influence how students engage with and benefit from the game, as well as how they perform academically in mathematics. </w:t>
      </w:r>
    </w:p>
    <w:p w14:paraId="128DD535" w14:textId="77777777" w:rsidR="00906A8C" w:rsidRDefault="00906A8C" w:rsidP="007D2F6A">
      <w:pPr>
        <w:jc w:val="both"/>
        <w:rPr>
          <w:rFonts w:ascii="Arial" w:eastAsia="Calibri" w:hAnsi="Arial" w:cs="Arial"/>
        </w:rPr>
      </w:pPr>
    </w:p>
    <w:p w14:paraId="66391636" w14:textId="758DD101" w:rsidR="007D2F6A" w:rsidRPr="007D2F6A" w:rsidRDefault="007D2F6A" w:rsidP="007D2F6A">
      <w:pPr>
        <w:jc w:val="both"/>
        <w:rPr>
          <w:rFonts w:ascii="Bookman Old Style" w:eastAsia="Calibri" w:hAnsi="Bookman Old Style"/>
          <w:sz w:val="24"/>
          <w:szCs w:val="24"/>
        </w:rPr>
      </w:pPr>
      <w:r w:rsidRPr="007D2F6A">
        <w:rPr>
          <w:rFonts w:ascii="Arial" w:eastAsia="Calibri" w:hAnsi="Arial" w:cs="Arial"/>
        </w:rPr>
        <w:t xml:space="preserve">However, the data shows a higher number of male respondents compared to female, </w:t>
      </w:r>
      <w:bookmarkStart w:id="0" w:name="_Int_fXNl58IJ"/>
      <w:r w:rsidRPr="007D2F6A">
        <w:rPr>
          <w:rFonts w:ascii="Arial" w:eastAsia="Calibri" w:hAnsi="Arial" w:cs="Arial"/>
        </w:rPr>
        <w:t>indicating</w:t>
      </w:r>
      <w:bookmarkEnd w:id="0"/>
      <w:r w:rsidRPr="007D2F6A">
        <w:rPr>
          <w:rFonts w:ascii="Arial" w:eastAsia="Calibri" w:hAnsi="Arial" w:cs="Arial"/>
        </w:rPr>
        <w:t xml:space="preserve"> an uneven distribution due to the use of purposive sampling. Despite this, it is important to highlight that incorporating game-based strategies such as the mobile Damath game in teaching and learning can help bridge the gender gap in competitiveness. This is achieved by providing diverse engagement and motivational approaches that ca</w:t>
      </w:r>
      <w:r w:rsidR="00F60661">
        <w:rPr>
          <w:rFonts w:ascii="Arial" w:eastAsia="Calibri" w:hAnsi="Arial" w:cs="Arial"/>
        </w:rPr>
        <w:t>ter to both genders while</w:t>
      </w:r>
      <w:r w:rsidRPr="007D2F6A">
        <w:rPr>
          <w:rFonts w:ascii="Arial" w:eastAsia="Calibri" w:hAnsi="Arial" w:cs="Arial"/>
        </w:rPr>
        <w:t xml:space="preserve"> promoting collaboration over competition, minimizing the effects of gender stereotypes, and fostering equal participation among students.</w:t>
      </w:r>
      <w:r w:rsidRPr="007D2F6A">
        <w:rPr>
          <w:rFonts w:ascii="Bookman Old Style" w:eastAsia="Calibri" w:hAnsi="Bookman Old Style"/>
          <w:sz w:val="24"/>
          <w:szCs w:val="24"/>
        </w:rPr>
        <w:t xml:space="preserve"> </w:t>
      </w:r>
      <w:r w:rsidRPr="007D2F6A">
        <w:rPr>
          <w:rFonts w:ascii="Bookman Old Style" w:eastAsia="Calibri" w:hAnsi="Bookman Old Style"/>
          <w:sz w:val="24"/>
          <w:szCs w:val="24"/>
        </w:rPr>
        <w:tab/>
      </w:r>
    </w:p>
    <w:p w14:paraId="37160C28" w14:textId="77777777" w:rsidR="007D2F6A" w:rsidRPr="007D2F6A" w:rsidRDefault="007D2F6A" w:rsidP="007D2F6A">
      <w:pPr>
        <w:jc w:val="both"/>
        <w:rPr>
          <w:rFonts w:ascii="Arial" w:eastAsia="Calibri" w:hAnsi="Arial" w:cs="Arial"/>
        </w:rPr>
      </w:pPr>
    </w:p>
    <w:p w14:paraId="63DD1BA4"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Math Performance Level of Experimental and Control Groups in Terms of Pre-Test Results</w:t>
      </w:r>
    </w:p>
    <w:p w14:paraId="347A5CDD" w14:textId="77777777" w:rsidR="007D2F6A" w:rsidRPr="007D2F6A" w:rsidRDefault="007D2F6A" w:rsidP="007D2F6A">
      <w:pPr>
        <w:jc w:val="both"/>
        <w:rPr>
          <w:rFonts w:ascii="Arial" w:eastAsia="Calibri" w:hAnsi="Arial" w:cs="Arial"/>
        </w:rPr>
      </w:pPr>
    </w:p>
    <w:p w14:paraId="55494E8B" w14:textId="77777777" w:rsidR="007D2F6A" w:rsidRPr="007D2F6A" w:rsidRDefault="007D2F6A" w:rsidP="007D2F6A">
      <w:pPr>
        <w:jc w:val="both"/>
        <w:rPr>
          <w:rFonts w:ascii="Arial" w:eastAsia="Calibri" w:hAnsi="Arial" w:cs="Arial"/>
        </w:rPr>
      </w:pPr>
      <w:r w:rsidRPr="007D2F6A">
        <w:rPr>
          <w:rFonts w:ascii="Arial" w:eastAsia="Calibri" w:hAnsi="Arial" w:cs="Arial"/>
        </w:rPr>
        <w:t>In this study, the pre-test was used to establish the baseline knowledge of students in integers for both the experimental and control groups prior to the conduct of intervention. The post-test then assessed the student performance after the intervention was implemented for the experimental group and traditional instruction was provided to the control group. A total of 106 Grade 8 students participated in the pre-test. The researcher used a purposive sampling technique in identifying the study participants, selecting 60 students who scored the lowest in a 40-item test, with raw scores ranging from 4 – 18. The pre-test result is interpreted using mean percentage score as shown in the table.</w:t>
      </w:r>
    </w:p>
    <w:p w14:paraId="7857168A" w14:textId="77777777" w:rsidR="007D2F6A" w:rsidRPr="007D2F6A" w:rsidRDefault="007D2F6A" w:rsidP="007D2F6A">
      <w:pPr>
        <w:jc w:val="both"/>
        <w:rPr>
          <w:rFonts w:ascii="Arial" w:eastAsia="Calibri" w:hAnsi="Arial" w:cs="Arial"/>
        </w:rPr>
      </w:pPr>
    </w:p>
    <w:p w14:paraId="4008A97D" w14:textId="31F8B623" w:rsidR="007D2F6A" w:rsidRPr="007D2F6A" w:rsidRDefault="007D2F6A" w:rsidP="007D2F6A">
      <w:pPr>
        <w:spacing w:after="160"/>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4</w:t>
      </w:r>
      <w:r w:rsidRPr="007D2F6A">
        <w:rPr>
          <w:rFonts w:ascii="Arial" w:eastAsia="Calibri" w:hAnsi="Arial" w:cs="Arial"/>
          <w:b/>
        </w:rPr>
        <w:t>. Pre-test Results of Experimental and Control Groups</w:t>
      </w:r>
    </w:p>
    <w:tbl>
      <w:tblPr>
        <w:tblW w:w="9000" w:type="dxa"/>
        <w:tblLayout w:type="fixed"/>
        <w:tblLook w:val="04A0" w:firstRow="1" w:lastRow="0" w:firstColumn="1" w:lastColumn="0" w:noHBand="0" w:noVBand="1"/>
      </w:tblPr>
      <w:tblGrid>
        <w:gridCol w:w="1080"/>
        <w:gridCol w:w="1440"/>
        <w:gridCol w:w="1170"/>
        <w:gridCol w:w="1350"/>
        <w:gridCol w:w="810"/>
        <w:gridCol w:w="450"/>
        <w:gridCol w:w="720"/>
        <w:gridCol w:w="900"/>
        <w:gridCol w:w="1080"/>
      </w:tblGrid>
      <w:tr w:rsidR="007D2F6A" w:rsidRPr="007D2F6A" w14:paraId="7B143259" w14:textId="77777777" w:rsidTr="000850D1">
        <w:trPr>
          <w:trHeight w:val="463"/>
        </w:trPr>
        <w:tc>
          <w:tcPr>
            <w:tcW w:w="1080" w:type="dxa"/>
            <w:tcBorders>
              <w:top w:val="single" w:sz="8" w:space="0" w:color="auto"/>
              <w:left w:val="nil"/>
              <w:bottom w:val="single" w:sz="4" w:space="0" w:color="auto"/>
              <w:right w:val="nil"/>
            </w:tcBorders>
            <w:shd w:val="clear" w:color="auto" w:fill="auto"/>
            <w:noWrap/>
            <w:vAlign w:val="center"/>
          </w:tcPr>
          <w:p w14:paraId="275AF5E8" w14:textId="77777777" w:rsidR="007D2F6A" w:rsidRPr="007D2F6A" w:rsidRDefault="007D2F6A" w:rsidP="007D2F6A">
            <w:pPr>
              <w:jc w:val="center"/>
              <w:rPr>
                <w:rFonts w:ascii="Arial" w:hAnsi="Arial" w:cs="Arial"/>
                <w:iCs/>
                <w:color w:val="000000"/>
              </w:rPr>
            </w:pPr>
          </w:p>
        </w:tc>
        <w:tc>
          <w:tcPr>
            <w:tcW w:w="1440" w:type="dxa"/>
            <w:tcBorders>
              <w:top w:val="single" w:sz="8" w:space="0" w:color="auto"/>
              <w:left w:val="nil"/>
              <w:bottom w:val="single" w:sz="4" w:space="0" w:color="auto"/>
              <w:right w:val="nil"/>
            </w:tcBorders>
            <w:vAlign w:val="center"/>
          </w:tcPr>
          <w:p w14:paraId="6798826C"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Groups</w:t>
            </w:r>
          </w:p>
        </w:tc>
        <w:tc>
          <w:tcPr>
            <w:tcW w:w="1170" w:type="dxa"/>
            <w:tcBorders>
              <w:top w:val="single" w:sz="8" w:space="0" w:color="auto"/>
              <w:left w:val="nil"/>
              <w:bottom w:val="single" w:sz="4" w:space="0" w:color="auto"/>
              <w:right w:val="nil"/>
            </w:tcBorders>
            <w:shd w:val="clear" w:color="auto" w:fill="auto"/>
            <w:noWrap/>
            <w:vAlign w:val="center"/>
            <w:hideMark/>
          </w:tcPr>
          <w:p w14:paraId="60D04B7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Average</w:t>
            </w:r>
          </w:p>
        </w:tc>
        <w:tc>
          <w:tcPr>
            <w:tcW w:w="1350" w:type="dxa"/>
            <w:tcBorders>
              <w:top w:val="single" w:sz="8" w:space="0" w:color="auto"/>
              <w:left w:val="nil"/>
              <w:bottom w:val="single" w:sz="4" w:space="0" w:color="auto"/>
              <w:right w:val="nil"/>
            </w:tcBorders>
          </w:tcPr>
          <w:p w14:paraId="31EBF31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Proficiency Level</w:t>
            </w:r>
          </w:p>
        </w:tc>
        <w:tc>
          <w:tcPr>
            <w:tcW w:w="810" w:type="dxa"/>
            <w:tcBorders>
              <w:top w:val="single" w:sz="8" w:space="0" w:color="auto"/>
              <w:left w:val="nil"/>
              <w:bottom w:val="single" w:sz="4" w:space="0" w:color="auto"/>
              <w:right w:val="nil"/>
            </w:tcBorders>
            <w:shd w:val="clear" w:color="auto" w:fill="auto"/>
            <w:noWrap/>
            <w:vAlign w:val="center"/>
            <w:hideMark/>
          </w:tcPr>
          <w:p w14:paraId="43D9918C"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SD</w:t>
            </w:r>
          </w:p>
        </w:tc>
        <w:tc>
          <w:tcPr>
            <w:tcW w:w="450" w:type="dxa"/>
            <w:tcBorders>
              <w:top w:val="single" w:sz="8" w:space="0" w:color="auto"/>
              <w:left w:val="nil"/>
              <w:bottom w:val="single" w:sz="4" w:space="0" w:color="auto"/>
              <w:right w:val="nil"/>
            </w:tcBorders>
            <w:vAlign w:val="center"/>
          </w:tcPr>
          <w:p w14:paraId="0CB179AF"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df</w:t>
            </w:r>
          </w:p>
        </w:tc>
        <w:tc>
          <w:tcPr>
            <w:tcW w:w="720" w:type="dxa"/>
            <w:tcBorders>
              <w:top w:val="single" w:sz="8" w:space="0" w:color="auto"/>
              <w:left w:val="nil"/>
              <w:bottom w:val="single" w:sz="4" w:space="0" w:color="auto"/>
              <w:right w:val="nil"/>
            </w:tcBorders>
            <w:shd w:val="clear" w:color="auto" w:fill="auto"/>
            <w:noWrap/>
            <w:vAlign w:val="center"/>
            <w:hideMark/>
          </w:tcPr>
          <w:p w14:paraId="0F95EF8A"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t-stat</w:t>
            </w:r>
          </w:p>
        </w:tc>
        <w:tc>
          <w:tcPr>
            <w:tcW w:w="900" w:type="dxa"/>
            <w:tcBorders>
              <w:top w:val="single" w:sz="8" w:space="0" w:color="auto"/>
              <w:left w:val="nil"/>
              <w:bottom w:val="single" w:sz="4" w:space="0" w:color="auto"/>
              <w:right w:val="nil"/>
            </w:tcBorders>
            <w:shd w:val="clear" w:color="auto" w:fill="auto"/>
            <w:noWrap/>
            <w:vAlign w:val="center"/>
            <w:hideMark/>
          </w:tcPr>
          <w:p w14:paraId="0613471F"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P-value</w:t>
            </w:r>
          </w:p>
        </w:tc>
        <w:tc>
          <w:tcPr>
            <w:tcW w:w="1080" w:type="dxa"/>
            <w:tcBorders>
              <w:top w:val="single" w:sz="8" w:space="0" w:color="auto"/>
              <w:left w:val="nil"/>
              <w:bottom w:val="single" w:sz="4" w:space="0" w:color="auto"/>
              <w:right w:val="nil"/>
            </w:tcBorders>
            <w:vAlign w:val="center"/>
          </w:tcPr>
          <w:p w14:paraId="2C9C166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Cohen’s D</w:t>
            </w:r>
          </w:p>
        </w:tc>
      </w:tr>
      <w:tr w:rsidR="007D2F6A" w:rsidRPr="007D2F6A" w14:paraId="45C179C7" w14:textId="77777777" w:rsidTr="000850D1">
        <w:trPr>
          <w:trHeight w:val="647"/>
        </w:trPr>
        <w:tc>
          <w:tcPr>
            <w:tcW w:w="1080" w:type="dxa"/>
            <w:vMerge w:val="restart"/>
            <w:tcBorders>
              <w:left w:val="nil"/>
              <w:right w:val="nil"/>
            </w:tcBorders>
            <w:shd w:val="clear" w:color="auto" w:fill="auto"/>
            <w:noWrap/>
            <w:vAlign w:val="center"/>
          </w:tcPr>
          <w:p w14:paraId="50DC84BB" w14:textId="77777777" w:rsidR="007D2F6A" w:rsidRPr="007D2F6A" w:rsidRDefault="007D2F6A" w:rsidP="007D2F6A">
            <w:pPr>
              <w:rPr>
                <w:rFonts w:ascii="Arial" w:hAnsi="Arial" w:cs="Arial"/>
                <w:b/>
                <w:color w:val="000000"/>
              </w:rPr>
            </w:pPr>
            <w:r w:rsidRPr="007D2F6A">
              <w:rPr>
                <w:rFonts w:ascii="Arial" w:hAnsi="Arial" w:cs="Arial"/>
                <w:b/>
                <w:color w:val="000000"/>
              </w:rPr>
              <w:t>Pre-Test</w:t>
            </w:r>
          </w:p>
        </w:tc>
        <w:tc>
          <w:tcPr>
            <w:tcW w:w="1440" w:type="dxa"/>
            <w:tcBorders>
              <w:top w:val="nil"/>
              <w:left w:val="nil"/>
              <w:bottom w:val="nil"/>
              <w:right w:val="nil"/>
            </w:tcBorders>
            <w:vAlign w:val="center"/>
          </w:tcPr>
          <w:p w14:paraId="36DCD246" w14:textId="77777777" w:rsidR="007D2F6A" w:rsidRPr="007D2F6A" w:rsidRDefault="007D2F6A" w:rsidP="007D2F6A">
            <w:pPr>
              <w:jc w:val="center"/>
              <w:rPr>
                <w:rFonts w:ascii="Arial" w:hAnsi="Arial" w:cs="Arial"/>
                <w:color w:val="000000"/>
              </w:rPr>
            </w:pPr>
            <w:r w:rsidRPr="007D2F6A">
              <w:rPr>
                <w:rFonts w:ascii="Arial" w:hAnsi="Arial" w:cs="Arial"/>
                <w:color w:val="000000"/>
              </w:rPr>
              <w:t>Experimental</w:t>
            </w:r>
          </w:p>
        </w:tc>
        <w:tc>
          <w:tcPr>
            <w:tcW w:w="1170" w:type="dxa"/>
            <w:tcBorders>
              <w:top w:val="nil"/>
              <w:left w:val="nil"/>
              <w:bottom w:val="nil"/>
              <w:right w:val="nil"/>
            </w:tcBorders>
            <w:shd w:val="clear" w:color="auto" w:fill="auto"/>
            <w:noWrap/>
            <w:vAlign w:val="center"/>
          </w:tcPr>
          <w:p w14:paraId="507BA730" w14:textId="77777777" w:rsidR="007D2F6A" w:rsidRPr="007D2F6A" w:rsidRDefault="007D2F6A" w:rsidP="007D2F6A">
            <w:pPr>
              <w:jc w:val="center"/>
              <w:rPr>
                <w:rFonts w:ascii="Arial" w:hAnsi="Arial" w:cs="Arial"/>
                <w:color w:val="000000"/>
              </w:rPr>
            </w:pPr>
            <w:r w:rsidRPr="007D2F6A">
              <w:rPr>
                <w:rFonts w:ascii="Arial" w:hAnsi="Arial" w:cs="Arial"/>
                <w:color w:val="000000"/>
              </w:rPr>
              <w:t xml:space="preserve"> 64.29%</w:t>
            </w:r>
          </w:p>
        </w:tc>
        <w:tc>
          <w:tcPr>
            <w:tcW w:w="1350" w:type="dxa"/>
            <w:tcBorders>
              <w:top w:val="nil"/>
              <w:left w:val="nil"/>
              <w:bottom w:val="nil"/>
              <w:right w:val="nil"/>
            </w:tcBorders>
          </w:tcPr>
          <w:p w14:paraId="32C9BB86" w14:textId="77777777" w:rsidR="007D2F6A" w:rsidRPr="007D2F6A" w:rsidRDefault="007D2F6A" w:rsidP="007D2F6A">
            <w:pPr>
              <w:jc w:val="center"/>
              <w:rPr>
                <w:rFonts w:ascii="Arial" w:hAnsi="Arial" w:cs="Arial"/>
                <w:color w:val="000000"/>
                <w:sz w:val="10"/>
                <w:szCs w:val="10"/>
              </w:rPr>
            </w:pPr>
          </w:p>
          <w:p w14:paraId="002BCA6B"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nil"/>
              <w:right w:val="nil"/>
            </w:tcBorders>
            <w:shd w:val="clear" w:color="auto" w:fill="auto"/>
            <w:noWrap/>
            <w:vAlign w:val="center"/>
          </w:tcPr>
          <w:p w14:paraId="2B0109F8" w14:textId="77777777" w:rsidR="007D2F6A" w:rsidRPr="007D2F6A" w:rsidRDefault="007D2F6A" w:rsidP="007D2F6A">
            <w:pPr>
              <w:jc w:val="center"/>
              <w:rPr>
                <w:rFonts w:ascii="Arial" w:hAnsi="Arial" w:cs="Arial"/>
                <w:color w:val="000000"/>
              </w:rPr>
            </w:pPr>
            <w:r w:rsidRPr="007D2F6A">
              <w:rPr>
                <w:rFonts w:ascii="Arial" w:hAnsi="Arial" w:cs="Arial"/>
                <w:color w:val="000000"/>
              </w:rPr>
              <w:t>4.58</w:t>
            </w:r>
          </w:p>
        </w:tc>
        <w:tc>
          <w:tcPr>
            <w:tcW w:w="450" w:type="dxa"/>
            <w:vMerge w:val="restart"/>
            <w:tcBorders>
              <w:left w:val="nil"/>
              <w:right w:val="nil"/>
            </w:tcBorders>
            <w:vAlign w:val="center"/>
          </w:tcPr>
          <w:p w14:paraId="61E8312E" w14:textId="77777777" w:rsidR="007D2F6A" w:rsidRPr="007D2F6A" w:rsidRDefault="007D2F6A" w:rsidP="007D2F6A">
            <w:pPr>
              <w:jc w:val="center"/>
              <w:rPr>
                <w:rFonts w:ascii="Arial" w:hAnsi="Arial" w:cs="Arial"/>
                <w:color w:val="000000"/>
              </w:rPr>
            </w:pPr>
            <w:r w:rsidRPr="007D2F6A">
              <w:rPr>
                <w:rFonts w:ascii="Arial" w:hAnsi="Arial" w:cs="Arial"/>
                <w:color w:val="000000"/>
              </w:rPr>
              <w:t>58</w:t>
            </w:r>
          </w:p>
        </w:tc>
        <w:tc>
          <w:tcPr>
            <w:tcW w:w="720" w:type="dxa"/>
            <w:vMerge w:val="restart"/>
            <w:tcBorders>
              <w:left w:val="nil"/>
              <w:bottom w:val="single" w:sz="4" w:space="0" w:color="auto"/>
              <w:right w:val="nil"/>
            </w:tcBorders>
            <w:shd w:val="clear" w:color="auto" w:fill="auto"/>
            <w:noWrap/>
            <w:vAlign w:val="center"/>
          </w:tcPr>
          <w:p w14:paraId="23B3A1E1" w14:textId="77777777" w:rsidR="007D2F6A" w:rsidRPr="007D2F6A" w:rsidRDefault="007D2F6A" w:rsidP="007D2F6A">
            <w:pPr>
              <w:jc w:val="center"/>
              <w:rPr>
                <w:rFonts w:ascii="Arial" w:hAnsi="Arial" w:cs="Arial"/>
                <w:color w:val="000000"/>
              </w:rPr>
            </w:pPr>
            <w:r w:rsidRPr="007D2F6A">
              <w:rPr>
                <w:rFonts w:ascii="Arial" w:hAnsi="Arial" w:cs="Arial"/>
              </w:rPr>
              <w:t>0.223</w:t>
            </w:r>
          </w:p>
        </w:tc>
        <w:tc>
          <w:tcPr>
            <w:tcW w:w="900" w:type="dxa"/>
            <w:vMerge w:val="restart"/>
            <w:tcBorders>
              <w:left w:val="nil"/>
              <w:bottom w:val="single" w:sz="4" w:space="0" w:color="auto"/>
              <w:right w:val="nil"/>
            </w:tcBorders>
            <w:shd w:val="clear" w:color="auto" w:fill="auto"/>
            <w:noWrap/>
            <w:vAlign w:val="center"/>
          </w:tcPr>
          <w:p w14:paraId="3D560B5B" w14:textId="77777777" w:rsidR="007D2F6A" w:rsidRPr="007D2F6A" w:rsidRDefault="007D2F6A" w:rsidP="007D2F6A">
            <w:pPr>
              <w:jc w:val="center"/>
              <w:rPr>
                <w:rFonts w:ascii="Arial" w:hAnsi="Arial" w:cs="Arial"/>
              </w:rPr>
            </w:pPr>
            <w:r w:rsidRPr="007D2F6A">
              <w:rPr>
                <w:rFonts w:ascii="Arial" w:hAnsi="Arial" w:cs="Arial"/>
                <w:color w:val="000000"/>
              </w:rPr>
              <w:t>0.824</w:t>
            </w:r>
          </w:p>
        </w:tc>
        <w:tc>
          <w:tcPr>
            <w:tcW w:w="1080" w:type="dxa"/>
            <w:vMerge w:val="restart"/>
            <w:tcBorders>
              <w:left w:val="nil"/>
              <w:right w:val="nil"/>
            </w:tcBorders>
            <w:vAlign w:val="center"/>
          </w:tcPr>
          <w:p w14:paraId="28FE7B00" w14:textId="77777777" w:rsidR="007D2F6A" w:rsidRPr="007D2F6A" w:rsidRDefault="007D2F6A" w:rsidP="007D2F6A">
            <w:pPr>
              <w:jc w:val="center"/>
              <w:rPr>
                <w:rFonts w:ascii="Arial" w:hAnsi="Arial" w:cs="Arial"/>
                <w:color w:val="000000"/>
              </w:rPr>
            </w:pPr>
            <w:r w:rsidRPr="007D2F6A">
              <w:rPr>
                <w:rFonts w:ascii="Arial" w:hAnsi="Arial" w:cs="Arial"/>
                <w:color w:val="000000"/>
              </w:rPr>
              <w:t>0.058</w:t>
            </w:r>
          </w:p>
        </w:tc>
      </w:tr>
      <w:tr w:rsidR="007D2F6A" w:rsidRPr="007D2F6A" w14:paraId="456C5175" w14:textId="77777777" w:rsidTr="000850D1">
        <w:trPr>
          <w:trHeight w:val="621"/>
        </w:trPr>
        <w:tc>
          <w:tcPr>
            <w:tcW w:w="1080" w:type="dxa"/>
            <w:vMerge/>
            <w:tcBorders>
              <w:left w:val="nil"/>
              <w:bottom w:val="single" w:sz="4" w:space="0" w:color="auto"/>
              <w:right w:val="nil"/>
            </w:tcBorders>
            <w:shd w:val="clear" w:color="auto" w:fill="auto"/>
            <w:noWrap/>
            <w:vAlign w:val="bottom"/>
          </w:tcPr>
          <w:p w14:paraId="2A69ABC6" w14:textId="77777777" w:rsidR="007D2F6A" w:rsidRPr="007D2F6A" w:rsidRDefault="007D2F6A" w:rsidP="007D2F6A">
            <w:pPr>
              <w:rPr>
                <w:rFonts w:ascii="Arial" w:hAnsi="Arial" w:cs="Arial"/>
                <w:color w:val="000000"/>
              </w:rPr>
            </w:pPr>
          </w:p>
        </w:tc>
        <w:tc>
          <w:tcPr>
            <w:tcW w:w="1440" w:type="dxa"/>
            <w:tcBorders>
              <w:top w:val="nil"/>
              <w:left w:val="nil"/>
              <w:bottom w:val="single" w:sz="4" w:space="0" w:color="auto"/>
              <w:right w:val="nil"/>
            </w:tcBorders>
            <w:vAlign w:val="center"/>
          </w:tcPr>
          <w:p w14:paraId="32EF94A9" w14:textId="77777777" w:rsidR="007D2F6A" w:rsidRPr="007D2F6A" w:rsidRDefault="007D2F6A" w:rsidP="007D2F6A">
            <w:pPr>
              <w:jc w:val="center"/>
              <w:rPr>
                <w:rFonts w:ascii="Arial" w:hAnsi="Arial" w:cs="Arial"/>
                <w:color w:val="000000"/>
              </w:rPr>
            </w:pPr>
            <w:r w:rsidRPr="007D2F6A">
              <w:rPr>
                <w:rFonts w:ascii="Arial" w:hAnsi="Arial" w:cs="Arial"/>
                <w:color w:val="000000"/>
              </w:rPr>
              <w:t>Control</w:t>
            </w:r>
          </w:p>
        </w:tc>
        <w:tc>
          <w:tcPr>
            <w:tcW w:w="1170" w:type="dxa"/>
            <w:tcBorders>
              <w:top w:val="nil"/>
              <w:left w:val="nil"/>
              <w:bottom w:val="single" w:sz="4" w:space="0" w:color="auto"/>
              <w:right w:val="nil"/>
            </w:tcBorders>
            <w:shd w:val="clear" w:color="auto" w:fill="auto"/>
            <w:noWrap/>
            <w:vAlign w:val="center"/>
          </w:tcPr>
          <w:p w14:paraId="2C26E70B" w14:textId="77777777" w:rsidR="007D2F6A" w:rsidRPr="007D2F6A" w:rsidRDefault="007D2F6A" w:rsidP="007D2F6A">
            <w:pPr>
              <w:jc w:val="center"/>
              <w:rPr>
                <w:rFonts w:ascii="Arial" w:hAnsi="Arial" w:cs="Arial"/>
                <w:color w:val="000000"/>
              </w:rPr>
            </w:pPr>
            <w:r w:rsidRPr="007D2F6A">
              <w:rPr>
                <w:rFonts w:ascii="Arial" w:hAnsi="Arial" w:cs="Arial"/>
                <w:color w:val="000000"/>
              </w:rPr>
              <w:t xml:space="preserve"> 64.04%</w:t>
            </w:r>
          </w:p>
        </w:tc>
        <w:tc>
          <w:tcPr>
            <w:tcW w:w="1350" w:type="dxa"/>
            <w:tcBorders>
              <w:top w:val="nil"/>
              <w:left w:val="nil"/>
              <w:bottom w:val="single" w:sz="4" w:space="0" w:color="auto"/>
              <w:right w:val="nil"/>
            </w:tcBorders>
          </w:tcPr>
          <w:p w14:paraId="6B7A6E0E" w14:textId="77777777" w:rsidR="007D2F6A" w:rsidRPr="007D2F6A" w:rsidRDefault="007D2F6A" w:rsidP="007D2F6A">
            <w:pPr>
              <w:rPr>
                <w:rFonts w:ascii="Arial" w:hAnsi="Arial" w:cs="Arial"/>
                <w:color w:val="000000"/>
                <w:sz w:val="8"/>
                <w:szCs w:val="8"/>
              </w:rPr>
            </w:pPr>
          </w:p>
          <w:p w14:paraId="52DCFFDA"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single" w:sz="4" w:space="0" w:color="auto"/>
              <w:right w:val="nil"/>
            </w:tcBorders>
            <w:shd w:val="clear" w:color="auto" w:fill="auto"/>
            <w:noWrap/>
            <w:vAlign w:val="center"/>
          </w:tcPr>
          <w:p w14:paraId="03503646" w14:textId="77777777" w:rsidR="007D2F6A" w:rsidRPr="007D2F6A" w:rsidRDefault="007D2F6A" w:rsidP="007D2F6A">
            <w:pPr>
              <w:jc w:val="center"/>
              <w:rPr>
                <w:rFonts w:ascii="Arial" w:hAnsi="Arial" w:cs="Arial"/>
                <w:color w:val="000000"/>
              </w:rPr>
            </w:pPr>
            <w:r w:rsidRPr="007D2F6A">
              <w:rPr>
                <w:rFonts w:ascii="Arial" w:hAnsi="Arial" w:cs="Arial"/>
                <w:color w:val="000000"/>
              </w:rPr>
              <w:t>4.07</w:t>
            </w:r>
          </w:p>
        </w:tc>
        <w:tc>
          <w:tcPr>
            <w:tcW w:w="450" w:type="dxa"/>
            <w:vMerge/>
            <w:tcBorders>
              <w:left w:val="nil"/>
              <w:bottom w:val="single" w:sz="4" w:space="0" w:color="auto"/>
              <w:right w:val="nil"/>
            </w:tcBorders>
          </w:tcPr>
          <w:p w14:paraId="373EDA5F" w14:textId="77777777" w:rsidR="007D2F6A" w:rsidRPr="007D2F6A" w:rsidRDefault="007D2F6A" w:rsidP="007D2F6A">
            <w:pPr>
              <w:jc w:val="center"/>
              <w:rPr>
                <w:rFonts w:ascii="Arial" w:hAnsi="Arial" w:cs="Arial"/>
                <w:color w:val="000000"/>
              </w:rPr>
            </w:pPr>
          </w:p>
        </w:tc>
        <w:tc>
          <w:tcPr>
            <w:tcW w:w="720" w:type="dxa"/>
            <w:vMerge/>
            <w:tcBorders>
              <w:left w:val="nil"/>
              <w:bottom w:val="single" w:sz="4" w:space="0" w:color="auto"/>
              <w:right w:val="nil"/>
            </w:tcBorders>
            <w:shd w:val="clear" w:color="auto" w:fill="auto"/>
            <w:noWrap/>
            <w:vAlign w:val="center"/>
          </w:tcPr>
          <w:p w14:paraId="014C382C" w14:textId="77777777" w:rsidR="007D2F6A" w:rsidRPr="007D2F6A" w:rsidRDefault="007D2F6A" w:rsidP="007D2F6A">
            <w:pPr>
              <w:jc w:val="center"/>
              <w:rPr>
                <w:rFonts w:ascii="Arial" w:hAnsi="Arial" w:cs="Arial"/>
                <w:color w:val="000000"/>
              </w:rPr>
            </w:pPr>
          </w:p>
        </w:tc>
        <w:tc>
          <w:tcPr>
            <w:tcW w:w="900" w:type="dxa"/>
            <w:vMerge/>
            <w:tcBorders>
              <w:left w:val="nil"/>
              <w:bottom w:val="single" w:sz="4" w:space="0" w:color="auto"/>
              <w:right w:val="nil"/>
            </w:tcBorders>
            <w:shd w:val="clear" w:color="auto" w:fill="auto"/>
            <w:noWrap/>
            <w:vAlign w:val="center"/>
          </w:tcPr>
          <w:p w14:paraId="6413A94D" w14:textId="77777777" w:rsidR="007D2F6A" w:rsidRPr="007D2F6A" w:rsidRDefault="007D2F6A" w:rsidP="007D2F6A">
            <w:pPr>
              <w:jc w:val="center"/>
              <w:rPr>
                <w:rFonts w:ascii="Arial" w:hAnsi="Arial" w:cs="Arial"/>
              </w:rPr>
            </w:pPr>
          </w:p>
        </w:tc>
        <w:tc>
          <w:tcPr>
            <w:tcW w:w="1080" w:type="dxa"/>
            <w:vMerge/>
            <w:tcBorders>
              <w:left w:val="nil"/>
              <w:bottom w:val="single" w:sz="4" w:space="0" w:color="auto"/>
              <w:right w:val="nil"/>
            </w:tcBorders>
          </w:tcPr>
          <w:p w14:paraId="6152ED73" w14:textId="77777777" w:rsidR="007D2F6A" w:rsidRPr="007D2F6A" w:rsidRDefault="007D2F6A" w:rsidP="007D2F6A">
            <w:pPr>
              <w:jc w:val="center"/>
              <w:rPr>
                <w:rFonts w:ascii="Arial" w:hAnsi="Arial" w:cs="Arial"/>
              </w:rPr>
            </w:pPr>
          </w:p>
        </w:tc>
      </w:tr>
    </w:tbl>
    <w:p w14:paraId="677DD8EF" w14:textId="77777777" w:rsidR="007D2F6A" w:rsidRPr="007D2F6A" w:rsidRDefault="007D2F6A" w:rsidP="007D2F6A">
      <w:pPr>
        <w:rPr>
          <w:rFonts w:ascii="Arial" w:eastAsia="Calibri" w:hAnsi="Arial" w:cs="Arial"/>
        </w:rPr>
      </w:pPr>
    </w:p>
    <w:p w14:paraId="61F82416" w14:textId="6CF1A350"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4</w:t>
      </w:r>
      <w:r w:rsidRPr="007D2F6A">
        <w:rPr>
          <w:rFonts w:ascii="Arial" w:eastAsia="Calibri" w:hAnsi="Arial" w:cs="Arial"/>
        </w:rPr>
        <w:t xml:space="preserve"> illustrates the students</w:t>
      </w:r>
      <w:r w:rsidR="00A54275">
        <w:rPr>
          <w:rFonts w:ascii="Arial" w:eastAsia="Calibri" w:hAnsi="Arial" w:cs="Arial"/>
        </w:rPr>
        <w:t>’ performance in the</w:t>
      </w:r>
      <w:r w:rsidRPr="007D2F6A">
        <w:rPr>
          <w:rFonts w:ascii="Arial" w:eastAsia="Calibri" w:hAnsi="Arial" w:cs="Arial"/>
        </w:rPr>
        <w:t xml:space="preserve"> pre-test</w:t>
      </w:r>
      <w:r w:rsidR="00E87F94">
        <w:rPr>
          <w:rFonts w:ascii="Arial" w:eastAsia="Calibri" w:hAnsi="Arial" w:cs="Arial"/>
        </w:rPr>
        <w:t xml:space="preserve"> of both experimental and control groups.</w:t>
      </w:r>
      <w:r w:rsidRPr="007D2F6A">
        <w:rPr>
          <w:rFonts w:ascii="Arial" w:eastAsia="Calibri" w:hAnsi="Arial" w:cs="Arial"/>
        </w:rPr>
        <w:t xml:space="preserve"> The experimental group obtained a mean score of 64.29% with a standard deviation of 4.58, while the control group had a mean of 64.04% and a standard deviation of 4.07. An independent sample t-test revealed no statistically significant difference between the two groups, </w:t>
      </w:r>
      <w:proofErr w:type="gramStart"/>
      <w:r w:rsidRPr="007D2F6A">
        <w:rPr>
          <w:rFonts w:ascii="Arial" w:eastAsia="Calibri" w:hAnsi="Arial" w:cs="Arial"/>
          <w:i/>
          <w:iCs/>
        </w:rPr>
        <w:t>t</w:t>
      </w:r>
      <w:r w:rsidRPr="007D2F6A">
        <w:rPr>
          <w:rFonts w:ascii="Arial" w:eastAsia="Calibri" w:hAnsi="Arial" w:cs="Arial"/>
        </w:rPr>
        <w:t>(</w:t>
      </w:r>
      <w:proofErr w:type="gramEnd"/>
      <w:r w:rsidRPr="007D2F6A">
        <w:rPr>
          <w:rFonts w:ascii="Arial" w:eastAsia="Calibri" w:hAnsi="Arial" w:cs="Arial"/>
        </w:rPr>
        <w:t xml:space="preserve">58) = .223, </w:t>
      </w:r>
      <w:r w:rsidRPr="007D2F6A">
        <w:rPr>
          <w:rFonts w:ascii="Arial" w:eastAsia="Calibri" w:hAnsi="Arial" w:cs="Arial"/>
          <w:i/>
          <w:iCs/>
        </w:rPr>
        <w:t>P</w:t>
      </w:r>
      <w:r w:rsidRPr="007D2F6A">
        <w:rPr>
          <w:rFonts w:ascii="Arial" w:eastAsia="Calibri" w:hAnsi="Arial" w:cs="Arial"/>
        </w:rPr>
        <w:t xml:space="preserve"> = .824. The computed Cohen’s </w:t>
      </w:r>
      <w:r w:rsidRPr="007D2F6A">
        <w:rPr>
          <w:rFonts w:ascii="Arial" w:eastAsia="Calibri" w:hAnsi="Arial" w:cs="Arial"/>
          <w:i/>
          <w:iCs/>
        </w:rPr>
        <w:t>d</w:t>
      </w:r>
      <w:r w:rsidRPr="007D2F6A">
        <w:rPr>
          <w:rFonts w:ascii="Arial" w:eastAsia="Calibri" w:hAnsi="Arial" w:cs="Arial"/>
        </w:rPr>
        <w:t xml:space="preserve"> of 0.058 indicates a negligible effect size, suggesting that both groups had comparable levels of performance prior to the intervention. This implies that any subsequent differences in post-test outcomes are less likely to be attributed to pre-existing disparities in student p</w:t>
      </w:r>
      <w:r w:rsidR="00A54275">
        <w:rPr>
          <w:rFonts w:ascii="Arial" w:eastAsia="Calibri" w:hAnsi="Arial" w:cs="Arial"/>
        </w:rPr>
        <w:t>erformance. The results indicated</w:t>
      </w:r>
      <w:r w:rsidRPr="007D2F6A">
        <w:rPr>
          <w:rFonts w:ascii="Arial" w:eastAsia="Calibri" w:hAnsi="Arial" w:cs="Arial"/>
        </w:rPr>
        <w:t xml:space="preserve"> that</w:t>
      </w:r>
      <w:r w:rsidR="00A54275">
        <w:rPr>
          <w:rFonts w:ascii="Arial" w:eastAsia="Calibri" w:hAnsi="Arial" w:cs="Arial"/>
        </w:rPr>
        <w:t xml:space="preserve"> the</w:t>
      </w:r>
      <w:r w:rsidRPr="007D2F6A">
        <w:rPr>
          <w:rFonts w:ascii="Arial" w:eastAsia="Calibri" w:hAnsi="Arial" w:cs="Arial"/>
        </w:rPr>
        <w:t xml:space="preserve"> </w:t>
      </w:r>
      <w:r w:rsidR="00A54275" w:rsidRPr="007D2F6A">
        <w:rPr>
          <w:rFonts w:ascii="Arial" w:eastAsia="Calibri" w:hAnsi="Arial" w:cs="Arial"/>
        </w:rPr>
        <w:t>60 respondents fall within the "Beginning" level, correspon</w:t>
      </w:r>
      <w:r w:rsidR="00A54275">
        <w:rPr>
          <w:rFonts w:ascii="Arial" w:eastAsia="Calibri" w:hAnsi="Arial" w:cs="Arial"/>
        </w:rPr>
        <w:t>ding to scores of 74% and below. It further showed tha</w:t>
      </w:r>
      <w:r w:rsidR="00F82102">
        <w:rPr>
          <w:rFonts w:ascii="Arial" w:eastAsia="Calibri" w:hAnsi="Arial" w:cs="Arial"/>
        </w:rPr>
        <w:t>t</w:t>
      </w:r>
      <w:r w:rsidR="00A54275" w:rsidRPr="007D2F6A">
        <w:rPr>
          <w:rFonts w:ascii="Arial" w:eastAsia="Calibri" w:hAnsi="Arial" w:cs="Arial"/>
        </w:rPr>
        <w:t xml:space="preserve"> </w:t>
      </w:r>
      <w:r w:rsidRPr="007D2F6A">
        <w:rPr>
          <w:rFonts w:ascii="Arial" w:eastAsia="Calibri" w:hAnsi="Arial" w:cs="Arial"/>
        </w:rPr>
        <w:t xml:space="preserve">no students reached the "Developing," "Approaching Proficiency," "Proficient," or "Advanced" levels, indicating a general need for targeted instructional intervention to improve foundational mathematical skills across the cohort. </w:t>
      </w:r>
    </w:p>
    <w:p w14:paraId="078D42FA" w14:textId="77777777" w:rsidR="00906A8C" w:rsidRDefault="00906A8C" w:rsidP="007D2F6A">
      <w:pPr>
        <w:jc w:val="both"/>
        <w:rPr>
          <w:rFonts w:ascii="Arial" w:eastAsia="Calibri" w:hAnsi="Arial" w:cs="Arial"/>
        </w:rPr>
      </w:pPr>
    </w:p>
    <w:p w14:paraId="514F2246" w14:textId="77777777" w:rsidR="007D2F6A" w:rsidRPr="007D2F6A" w:rsidRDefault="007D2F6A" w:rsidP="007D2F6A">
      <w:pPr>
        <w:jc w:val="both"/>
        <w:rPr>
          <w:rFonts w:ascii="Arial" w:eastAsia="Calibri" w:hAnsi="Arial" w:cs="Arial"/>
        </w:rPr>
      </w:pPr>
      <w:r w:rsidRPr="007D2F6A">
        <w:rPr>
          <w:rFonts w:ascii="Arial" w:eastAsia="Calibri" w:hAnsi="Arial" w:cs="Arial"/>
        </w:rPr>
        <w:t>This result aligns with the findings of Martus et al. (2024) whose study on integers showed high school students had a pre-test mean score of 73%, placing them at the Beginning level. Similarly, Magsombol (2021) reported a 73% proficiency level in a pre-test, with respondents likewise falling under the Beginning category.</w:t>
      </w:r>
      <w:r w:rsidR="008A4B64">
        <w:rPr>
          <w:rFonts w:ascii="Arial" w:eastAsia="Calibri" w:hAnsi="Arial" w:cs="Arial"/>
        </w:rPr>
        <w:t xml:space="preserve"> Likewise, students from Grades 7-12 achieved very low result in the pre-test of both experimental and control groups (Buhay &amp; Tandog, 2025). </w:t>
      </w:r>
    </w:p>
    <w:p w14:paraId="63E2ACC5" w14:textId="77777777" w:rsidR="00906A8C" w:rsidRDefault="00906A8C" w:rsidP="007D2F6A">
      <w:pPr>
        <w:jc w:val="both"/>
        <w:rPr>
          <w:rFonts w:ascii="Arial" w:eastAsia="Calibri" w:hAnsi="Arial" w:cs="Arial"/>
        </w:rPr>
      </w:pPr>
    </w:p>
    <w:p w14:paraId="0A0AFD80"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 finding that the majority of the respondents scored within the beginning level (74% and below) in the pre-test suggests a significant gap in foundational mathematical understanding among the students. This underperformance in math reflect either a lack of prior mastery, ineffective instructional strategies, or possible learning gaps from earlier grade levels. As such, there is clear need for targeted interventions, such as differentiated instruction, remedial programs, or the integration of more engaging and context-based learning strategies to help students build a stronger conceptual understanding of integers. Addressing these deficiencies early on is crucial, as integer operations serve as a fundamental skill essential for more advanced math topics. </w:t>
      </w:r>
    </w:p>
    <w:p w14:paraId="62ABDB9C" w14:textId="77777777" w:rsidR="007D2F6A" w:rsidRPr="007D2F6A" w:rsidRDefault="007D2F6A" w:rsidP="007D2F6A">
      <w:pPr>
        <w:jc w:val="both"/>
        <w:rPr>
          <w:rFonts w:ascii="Arial" w:eastAsia="Calibri" w:hAnsi="Arial" w:cs="Arial"/>
        </w:rPr>
      </w:pPr>
    </w:p>
    <w:p w14:paraId="7614CDC7" w14:textId="77777777" w:rsidR="007D2F6A" w:rsidRDefault="00A2707B" w:rsidP="007D2F6A">
      <w:pPr>
        <w:jc w:val="both"/>
        <w:rPr>
          <w:rFonts w:ascii="Arial" w:eastAsia="Calibri" w:hAnsi="Arial" w:cs="Arial"/>
          <w:b/>
          <w:sz w:val="22"/>
          <w:szCs w:val="22"/>
        </w:rPr>
      </w:pPr>
      <w:r>
        <w:rPr>
          <w:rFonts w:ascii="Arial" w:eastAsia="Calibri" w:hAnsi="Arial" w:cs="Arial"/>
          <w:b/>
          <w:sz w:val="22"/>
          <w:szCs w:val="22"/>
        </w:rPr>
        <w:t>Participant</w:t>
      </w:r>
      <w:r w:rsidR="007D2F6A" w:rsidRPr="007D2F6A">
        <w:rPr>
          <w:rFonts w:ascii="Arial" w:eastAsia="Calibri" w:hAnsi="Arial" w:cs="Arial"/>
          <w:b/>
          <w:sz w:val="22"/>
          <w:szCs w:val="22"/>
        </w:rPr>
        <w:t>s’ Level of Engagement with the Mobile Damath Game</w:t>
      </w:r>
    </w:p>
    <w:p w14:paraId="172750E5" w14:textId="77777777" w:rsidR="00E97785" w:rsidRDefault="00E97785" w:rsidP="007D2F6A">
      <w:pPr>
        <w:jc w:val="both"/>
        <w:rPr>
          <w:rFonts w:ascii="Arial" w:eastAsia="Calibri" w:hAnsi="Arial" w:cs="Arial"/>
        </w:rPr>
      </w:pPr>
      <w:r>
        <w:rPr>
          <w:rFonts w:ascii="Arial" w:eastAsia="Calibri" w:hAnsi="Arial" w:cs="Arial"/>
        </w:rPr>
        <w:t xml:space="preserve">This section provides the information on the students’ participation with the learning intervention. It includes descriptive interpretation on the indicators in terms of attitude and motivation and the level of engagement with the game as measured by the mean and standard deviation. </w:t>
      </w:r>
    </w:p>
    <w:p w14:paraId="04707DEE" w14:textId="77777777" w:rsidR="00A54B49" w:rsidRDefault="00A54B49" w:rsidP="007D2F6A">
      <w:pPr>
        <w:jc w:val="both"/>
        <w:rPr>
          <w:rFonts w:ascii="Arial" w:eastAsia="Calibri" w:hAnsi="Arial" w:cs="Arial"/>
        </w:rPr>
      </w:pPr>
    </w:p>
    <w:p w14:paraId="6A9BCE5A" w14:textId="77777777" w:rsidR="00A54B49" w:rsidRPr="00E97785" w:rsidRDefault="00A54B49" w:rsidP="007D2F6A">
      <w:pPr>
        <w:jc w:val="both"/>
        <w:rPr>
          <w:rFonts w:ascii="Arial" w:eastAsia="Calibri" w:hAnsi="Arial" w:cs="Arial"/>
        </w:rPr>
      </w:pPr>
    </w:p>
    <w:p w14:paraId="5A570F92" w14:textId="77777777" w:rsidR="007D2F6A" w:rsidRPr="00E97785" w:rsidRDefault="007D2F6A" w:rsidP="007D2F6A">
      <w:pPr>
        <w:rPr>
          <w:rFonts w:ascii="Arial" w:eastAsia="Calibri" w:hAnsi="Arial" w:cs="Arial"/>
        </w:rPr>
      </w:pPr>
    </w:p>
    <w:p w14:paraId="58FD3E96" w14:textId="302A8BB6" w:rsidR="007D2F6A" w:rsidRPr="007D2F6A" w:rsidRDefault="007D2F6A" w:rsidP="007D2F6A">
      <w:pPr>
        <w:jc w:val="both"/>
        <w:rPr>
          <w:rFonts w:ascii="Arial" w:eastAsia="Calibri" w:hAnsi="Arial" w:cs="Arial"/>
          <w:b/>
        </w:rPr>
      </w:pPr>
      <w:r w:rsidRPr="007D2F6A">
        <w:rPr>
          <w:rFonts w:ascii="Arial" w:eastAsia="Calibri" w:hAnsi="Arial" w:cs="Arial"/>
          <w:b/>
        </w:rPr>
        <w:lastRenderedPageBreak/>
        <w:t xml:space="preserve">Table </w:t>
      </w:r>
      <w:r w:rsidR="0091625F">
        <w:rPr>
          <w:rFonts w:ascii="Arial" w:eastAsia="Calibri" w:hAnsi="Arial" w:cs="Arial"/>
          <w:b/>
        </w:rPr>
        <w:t>5</w:t>
      </w:r>
      <w:r w:rsidRPr="007D2F6A">
        <w:rPr>
          <w:rFonts w:ascii="Arial" w:eastAsia="Calibri" w:hAnsi="Arial" w:cs="Arial"/>
          <w:b/>
        </w:rPr>
        <w:t>. Level of Students’ Engagement with the Mobile Damath Game in terms of Attitude and Motivation.</w:t>
      </w:r>
    </w:p>
    <w:p w14:paraId="0656E593" w14:textId="77777777" w:rsidR="007D2F6A" w:rsidRPr="007D2F6A" w:rsidRDefault="007D2F6A" w:rsidP="007D2F6A">
      <w:pPr>
        <w:jc w:val="both"/>
        <w:rPr>
          <w:rFonts w:ascii="Arial" w:eastAsia="Calibri" w:hAnsi="Arial" w:cs="Arial"/>
          <w:b/>
        </w:rPr>
      </w:pPr>
    </w:p>
    <w:tbl>
      <w:tblPr>
        <w:tblW w:w="8640" w:type="dxa"/>
        <w:tblLook w:val="04A0" w:firstRow="1" w:lastRow="0" w:firstColumn="1" w:lastColumn="0" w:noHBand="0" w:noVBand="1"/>
      </w:tblPr>
      <w:tblGrid>
        <w:gridCol w:w="5034"/>
        <w:gridCol w:w="1045"/>
        <w:gridCol w:w="761"/>
        <w:gridCol w:w="1800"/>
      </w:tblGrid>
      <w:tr w:rsidR="007D2F6A" w:rsidRPr="007D2F6A" w14:paraId="6ACBB5A9" w14:textId="77777777" w:rsidTr="00AC27B1">
        <w:trPr>
          <w:trHeight w:val="253"/>
        </w:trPr>
        <w:tc>
          <w:tcPr>
            <w:tcW w:w="5034" w:type="dxa"/>
            <w:tcBorders>
              <w:top w:val="single" w:sz="4" w:space="0" w:color="auto"/>
              <w:left w:val="nil"/>
              <w:bottom w:val="single" w:sz="4" w:space="0" w:color="auto"/>
              <w:right w:val="nil"/>
            </w:tcBorders>
            <w:shd w:val="clear" w:color="auto" w:fill="auto"/>
            <w:noWrap/>
            <w:vAlign w:val="center"/>
            <w:hideMark/>
          </w:tcPr>
          <w:p w14:paraId="4EB1ED27" w14:textId="77777777" w:rsidR="007D2F6A" w:rsidRPr="007D2F6A" w:rsidRDefault="007D2F6A" w:rsidP="007D2F6A">
            <w:pPr>
              <w:jc w:val="center"/>
              <w:rPr>
                <w:rFonts w:ascii="Arial" w:hAnsi="Arial" w:cs="Arial"/>
              </w:rPr>
            </w:pPr>
          </w:p>
        </w:tc>
        <w:tc>
          <w:tcPr>
            <w:tcW w:w="1045" w:type="dxa"/>
            <w:tcBorders>
              <w:top w:val="single" w:sz="4" w:space="0" w:color="auto"/>
              <w:left w:val="nil"/>
              <w:bottom w:val="single" w:sz="4" w:space="0" w:color="auto"/>
              <w:right w:val="nil"/>
            </w:tcBorders>
            <w:shd w:val="clear" w:color="auto" w:fill="auto"/>
            <w:noWrap/>
            <w:vAlign w:val="center"/>
            <w:hideMark/>
          </w:tcPr>
          <w:p w14:paraId="1AE3C637"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Mean</w:t>
            </w:r>
          </w:p>
        </w:tc>
        <w:tc>
          <w:tcPr>
            <w:tcW w:w="761" w:type="dxa"/>
            <w:tcBorders>
              <w:top w:val="single" w:sz="4" w:space="0" w:color="auto"/>
              <w:left w:val="nil"/>
              <w:bottom w:val="single" w:sz="4" w:space="0" w:color="auto"/>
              <w:right w:val="nil"/>
            </w:tcBorders>
            <w:shd w:val="clear" w:color="auto" w:fill="auto"/>
            <w:noWrap/>
            <w:vAlign w:val="center"/>
            <w:hideMark/>
          </w:tcPr>
          <w:p w14:paraId="2F37E5A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SD</w:t>
            </w:r>
          </w:p>
        </w:tc>
        <w:tc>
          <w:tcPr>
            <w:tcW w:w="1800" w:type="dxa"/>
            <w:tcBorders>
              <w:top w:val="single" w:sz="4" w:space="0" w:color="auto"/>
              <w:left w:val="nil"/>
              <w:bottom w:val="single" w:sz="4" w:space="0" w:color="auto"/>
              <w:right w:val="nil"/>
            </w:tcBorders>
            <w:shd w:val="clear" w:color="auto" w:fill="auto"/>
            <w:noWrap/>
            <w:vAlign w:val="center"/>
            <w:hideMark/>
          </w:tcPr>
          <w:p w14:paraId="0E72F27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Descriptive Interpretation</w:t>
            </w:r>
          </w:p>
        </w:tc>
      </w:tr>
      <w:tr w:rsidR="007D2F6A" w:rsidRPr="007D2F6A" w14:paraId="4861BD91" w14:textId="77777777" w:rsidTr="00AC27B1">
        <w:trPr>
          <w:trHeight w:val="253"/>
        </w:trPr>
        <w:tc>
          <w:tcPr>
            <w:tcW w:w="5034" w:type="dxa"/>
            <w:tcBorders>
              <w:top w:val="single" w:sz="4" w:space="0" w:color="auto"/>
              <w:left w:val="nil"/>
              <w:bottom w:val="nil"/>
              <w:right w:val="nil"/>
            </w:tcBorders>
            <w:shd w:val="clear" w:color="auto" w:fill="auto"/>
            <w:noWrap/>
            <w:vAlign w:val="bottom"/>
            <w:hideMark/>
          </w:tcPr>
          <w:p w14:paraId="240501B8" w14:textId="77777777" w:rsidR="007D2F6A" w:rsidRPr="007D2F6A" w:rsidRDefault="007D2F6A" w:rsidP="007D2F6A">
            <w:pPr>
              <w:rPr>
                <w:rFonts w:ascii="Arial" w:hAnsi="Arial" w:cs="Arial"/>
                <w:b/>
                <w:i/>
                <w:color w:val="000000"/>
              </w:rPr>
            </w:pPr>
            <w:r w:rsidRPr="007D2F6A">
              <w:rPr>
                <w:rFonts w:ascii="Arial" w:hAnsi="Arial" w:cs="Arial"/>
                <w:b/>
                <w:i/>
                <w:color w:val="000000"/>
              </w:rPr>
              <w:t>Attitude</w:t>
            </w:r>
          </w:p>
        </w:tc>
        <w:tc>
          <w:tcPr>
            <w:tcW w:w="1045" w:type="dxa"/>
            <w:tcBorders>
              <w:top w:val="single" w:sz="4" w:space="0" w:color="auto"/>
              <w:left w:val="nil"/>
              <w:bottom w:val="nil"/>
              <w:right w:val="nil"/>
            </w:tcBorders>
            <w:shd w:val="clear" w:color="auto" w:fill="auto"/>
            <w:noWrap/>
            <w:vAlign w:val="bottom"/>
            <w:hideMark/>
          </w:tcPr>
          <w:p w14:paraId="6F1FA3EB" w14:textId="77777777" w:rsidR="007D2F6A" w:rsidRPr="007D2F6A" w:rsidRDefault="007D2F6A" w:rsidP="007D2F6A">
            <w:pPr>
              <w:rPr>
                <w:rFonts w:ascii="Arial" w:hAnsi="Arial" w:cs="Arial"/>
              </w:rPr>
            </w:pPr>
          </w:p>
        </w:tc>
        <w:tc>
          <w:tcPr>
            <w:tcW w:w="761" w:type="dxa"/>
            <w:tcBorders>
              <w:top w:val="single" w:sz="4" w:space="0" w:color="auto"/>
              <w:left w:val="nil"/>
              <w:bottom w:val="nil"/>
              <w:right w:val="nil"/>
            </w:tcBorders>
            <w:shd w:val="clear" w:color="auto" w:fill="auto"/>
            <w:noWrap/>
            <w:vAlign w:val="bottom"/>
            <w:hideMark/>
          </w:tcPr>
          <w:p w14:paraId="2BE0516E" w14:textId="77777777" w:rsidR="007D2F6A" w:rsidRPr="007D2F6A" w:rsidRDefault="007D2F6A" w:rsidP="007D2F6A">
            <w:pPr>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57A0A188" w14:textId="77777777" w:rsidR="007D2F6A" w:rsidRPr="007D2F6A" w:rsidRDefault="007D2F6A" w:rsidP="007D2F6A">
            <w:pPr>
              <w:rPr>
                <w:rFonts w:ascii="Arial" w:hAnsi="Arial" w:cs="Arial"/>
              </w:rPr>
            </w:pPr>
          </w:p>
        </w:tc>
      </w:tr>
      <w:tr w:rsidR="007D2F6A" w:rsidRPr="007D2F6A" w14:paraId="715059AF" w14:textId="77777777" w:rsidTr="00AC27B1">
        <w:trPr>
          <w:trHeight w:val="253"/>
        </w:trPr>
        <w:tc>
          <w:tcPr>
            <w:tcW w:w="5034" w:type="dxa"/>
            <w:tcBorders>
              <w:top w:val="nil"/>
              <w:left w:val="nil"/>
              <w:bottom w:val="nil"/>
              <w:right w:val="nil"/>
            </w:tcBorders>
            <w:shd w:val="clear" w:color="auto" w:fill="auto"/>
            <w:noWrap/>
            <w:vAlign w:val="bottom"/>
            <w:hideMark/>
          </w:tcPr>
          <w:p w14:paraId="68B23160" w14:textId="77777777" w:rsidR="007D2F6A" w:rsidRPr="007D2F6A" w:rsidRDefault="007D2F6A" w:rsidP="007D2F6A">
            <w:pPr>
              <w:rPr>
                <w:rFonts w:ascii="Arial" w:hAnsi="Arial" w:cs="Arial"/>
                <w:color w:val="000000"/>
              </w:rPr>
            </w:pPr>
            <w:r w:rsidRPr="007D2F6A">
              <w:rPr>
                <w:rFonts w:ascii="Arial" w:hAnsi="Arial" w:cs="Arial"/>
                <w:color w:val="000000"/>
              </w:rPr>
              <w:t>I regularly engage in the mobile Damath game as part of my daily routine</w:t>
            </w:r>
          </w:p>
        </w:tc>
        <w:tc>
          <w:tcPr>
            <w:tcW w:w="1045" w:type="dxa"/>
            <w:tcBorders>
              <w:top w:val="nil"/>
              <w:left w:val="nil"/>
              <w:bottom w:val="nil"/>
              <w:right w:val="nil"/>
            </w:tcBorders>
            <w:shd w:val="clear" w:color="auto" w:fill="auto"/>
            <w:noWrap/>
            <w:vAlign w:val="center"/>
            <w:hideMark/>
          </w:tcPr>
          <w:p w14:paraId="171D1794"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521E4B3A" w14:textId="77777777" w:rsidR="007D2F6A" w:rsidRPr="007D2F6A" w:rsidRDefault="007D2F6A" w:rsidP="007D2F6A">
            <w:pPr>
              <w:jc w:val="center"/>
              <w:rPr>
                <w:rFonts w:ascii="Arial" w:hAnsi="Arial" w:cs="Arial"/>
                <w:color w:val="000000"/>
              </w:rPr>
            </w:pPr>
            <w:r w:rsidRPr="007D2F6A">
              <w:rPr>
                <w:rFonts w:ascii="Arial" w:hAnsi="Arial" w:cs="Arial"/>
                <w:color w:val="000000"/>
              </w:rPr>
              <w:t>0.57</w:t>
            </w:r>
          </w:p>
        </w:tc>
        <w:tc>
          <w:tcPr>
            <w:tcW w:w="1800" w:type="dxa"/>
            <w:tcBorders>
              <w:top w:val="nil"/>
              <w:left w:val="nil"/>
              <w:bottom w:val="nil"/>
              <w:right w:val="nil"/>
            </w:tcBorders>
            <w:shd w:val="clear" w:color="auto" w:fill="auto"/>
            <w:noWrap/>
            <w:vAlign w:val="center"/>
            <w:hideMark/>
          </w:tcPr>
          <w:p w14:paraId="6F38CE54"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62E80B0" w14:textId="77777777" w:rsidTr="00AC27B1">
        <w:trPr>
          <w:trHeight w:val="253"/>
        </w:trPr>
        <w:tc>
          <w:tcPr>
            <w:tcW w:w="5034" w:type="dxa"/>
            <w:tcBorders>
              <w:top w:val="nil"/>
              <w:left w:val="nil"/>
              <w:bottom w:val="nil"/>
              <w:right w:val="nil"/>
            </w:tcBorders>
            <w:shd w:val="clear" w:color="auto" w:fill="auto"/>
            <w:noWrap/>
            <w:vAlign w:val="bottom"/>
            <w:hideMark/>
          </w:tcPr>
          <w:p w14:paraId="328D8171" w14:textId="77777777" w:rsidR="007D2F6A" w:rsidRPr="007D2F6A" w:rsidRDefault="007D2F6A" w:rsidP="007D2F6A">
            <w:pPr>
              <w:rPr>
                <w:rFonts w:ascii="Arial" w:hAnsi="Arial" w:cs="Arial"/>
                <w:color w:val="000000"/>
              </w:rPr>
            </w:pPr>
            <w:r w:rsidRPr="007D2F6A">
              <w:rPr>
                <w:rFonts w:ascii="Arial" w:hAnsi="Arial" w:cs="Arial"/>
                <w:color w:val="000000"/>
              </w:rPr>
              <w:t>I actively participate in the gameplay with others on a regular basis.</w:t>
            </w:r>
          </w:p>
        </w:tc>
        <w:tc>
          <w:tcPr>
            <w:tcW w:w="1045" w:type="dxa"/>
            <w:tcBorders>
              <w:top w:val="nil"/>
              <w:left w:val="nil"/>
              <w:bottom w:val="nil"/>
              <w:right w:val="nil"/>
            </w:tcBorders>
            <w:shd w:val="clear" w:color="auto" w:fill="auto"/>
            <w:noWrap/>
            <w:vAlign w:val="center"/>
            <w:hideMark/>
          </w:tcPr>
          <w:p w14:paraId="79AB910E" w14:textId="77777777" w:rsidR="007D2F6A" w:rsidRPr="007D2F6A" w:rsidRDefault="007D2F6A" w:rsidP="007D2F6A">
            <w:pPr>
              <w:jc w:val="center"/>
              <w:rPr>
                <w:rFonts w:ascii="Arial" w:hAnsi="Arial" w:cs="Arial"/>
                <w:color w:val="000000"/>
              </w:rPr>
            </w:pPr>
            <w:r w:rsidRPr="007D2F6A">
              <w:rPr>
                <w:rFonts w:ascii="Arial" w:hAnsi="Arial" w:cs="Arial"/>
                <w:color w:val="000000"/>
              </w:rPr>
              <w:t>4.37</w:t>
            </w:r>
          </w:p>
        </w:tc>
        <w:tc>
          <w:tcPr>
            <w:tcW w:w="761" w:type="dxa"/>
            <w:tcBorders>
              <w:top w:val="nil"/>
              <w:left w:val="nil"/>
              <w:bottom w:val="nil"/>
              <w:right w:val="nil"/>
            </w:tcBorders>
            <w:shd w:val="clear" w:color="auto" w:fill="auto"/>
            <w:noWrap/>
            <w:vAlign w:val="center"/>
            <w:hideMark/>
          </w:tcPr>
          <w:p w14:paraId="45E8D174" w14:textId="77777777" w:rsidR="007D2F6A" w:rsidRPr="007D2F6A" w:rsidRDefault="007D2F6A" w:rsidP="007D2F6A">
            <w:pPr>
              <w:jc w:val="center"/>
              <w:rPr>
                <w:rFonts w:ascii="Arial" w:hAnsi="Arial" w:cs="Arial"/>
                <w:color w:val="000000"/>
              </w:rPr>
            </w:pPr>
            <w:r w:rsidRPr="007D2F6A">
              <w:rPr>
                <w:rFonts w:ascii="Arial" w:hAnsi="Arial" w:cs="Arial"/>
                <w:color w:val="000000"/>
              </w:rPr>
              <w:t>0.61</w:t>
            </w:r>
          </w:p>
        </w:tc>
        <w:tc>
          <w:tcPr>
            <w:tcW w:w="1800" w:type="dxa"/>
            <w:tcBorders>
              <w:top w:val="nil"/>
              <w:left w:val="nil"/>
              <w:bottom w:val="nil"/>
              <w:right w:val="nil"/>
            </w:tcBorders>
            <w:shd w:val="clear" w:color="auto" w:fill="auto"/>
            <w:noWrap/>
            <w:vAlign w:val="center"/>
            <w:hideMark/>
          </w:tcPr>
          <w:p w14:paraId="0FB8234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A58ED05" w14:textId="77777777" w:rsidTr="00AC27B1">
        <w:trPr>
          <w:trHeight w:val="253"/>
        </w:trPr>
        <w:tc>
          <w:tcPr>
            <w:tcW w:w="5034" w:type="dxa"/>
            <w:tcBorders>
              <w:top w:val="nil"/>
              <w:left w:val="nil"/>
              <w:bottom w:val="nil"/>
              <w:right w:val="nil"/>
            </w:tcBorders>
            <w:shd w:val="clear" w:color="auto" w:fill="auto"/>
            <w:noWrap/>
            <w:vAlign w:val="bottom"/>
            <w:hideMark/>
          </w:tcPr>
          <w:p w14:paraId="610B9942" w14:textId="77777777" w:rsidR="007D2F6A" w:rsidRPr="007D2F6A" w:rsidRDefault="007D2F6A" w:rsidP="007D2F6A">
            <w:pPr>
              <w:rPr>
                <w:rFonts w:ascii="Arial" w:hAnsi="Arial" w:cs="Arial"/>
                <w:color w:val="000000"/>
              </w:rPr>
            </w:pPr>
            <w:r w:rsidRPr="007D2F6A">
              <w:rPr>
                <w:rFonts w:ascii="Arial" w:hAnsi="Arial" w:cs="Arial"/>
                <w:color w:val="000000"/>
              </w:rPr>
              <w:t>I prefer to play the game alone with an AI opponent</w:t>
            </w:r>
          </w:p>
        </w:tc>
        <w:tc>
          <w:tcPr>
            <w:tcW w:w="1045" w:type="dxa"/>
            <w:tcBorders>
              <w:top w:val="nil"/>
              <w:left w:val="nil"/>
              <w:bottom w:val="nil"/>
              <w:right w:val="nil"/>
            </w:tcBorders>
            <w:shd w:val="clear" w:color="auto" w:fill="auto"/>
            <w:noWrap/>
            <w:vAlign w:val="center"/>
            <w:hideMark/>
          </w:tcPr>
          <w:p w14:paraId="15035118" w14:textId="77777777" w:rsidR="007D2F6A" w:rsidRPr="007D2F6A" w:rsidRDefault="007D2F6A" w:rsidP="007D2F6A">
            <w:pPr>
              <w:jc w:val="center"/>
              <w:rPr>
                <w:rFonts w:ascii="Arial" w:hAnsi="Arial" w:cs="Arial"/>
                <w:color w:val="000000"/>
              </w:rPr>
            </w:pPr>
            <w:r w:rsidRPr="007D2F6A">
              <w:rPr>
                <w:rFonts w:ascii="Arial" w:hAnsi="Arial" w:cs="Arial"/>
                <w:color w:val="000000"/>
              </w:rPr>
              <w:t>4.53</w:t>
            </w:r>
          </w:p>
        </w:tc>
        <w:tc>
          <w:tcPr>
            <w:tcW w:w="761" w:type="dxa"/>
            <w:tcBorders>
              <w:top w:val="nil"/>
              <w:left w:val="nil"/>
              <w:bottom w:val="nil"/>
              <w:right w:val="nil"/>
            </w:tcBorders>
            <w:shd w:val="clear" w:color="auto" w:fill="auto"/>
            <w:noWrap/>
            <w:vAlign w:val="center"/>
            <w:hideMark/>
          </w:tcPr>
          <w:p w14:paraId="3B4AD093" w14:textId="77777777" w:rsidR="007D2F6A" w:rsidRPr="007D2F6A" w:rsidRDefault="007D2F6A" w:rsidP="007D2F6A">
            <w:pPr>
              <w:jc w:val="center"/>
              <w:rPr>
                <w:rFonts w:ascii="Arial" w:hAnsi="Arial" w:cs="Arial"/>
                <w:color w:val="000000"/>
              </w:rPr>
            </w:pPr>
            <w:r w:rsidRPr="007D2F6A">
              <w:rPr>
                <w:rFonts w:ascii="Arial" w:hAnsi="Arial" w:cs="Arial"/>
                <w:color w:val="000000"/>
              </w:rPr>
              <w:t>0.63</w:t>
            </w:r>
          </w:p>
        </w:tc>
        <w:tc>
          <w:tcPr>
            <w:tcW w:w="1800" w:type="dxa"/>
            <w:tcBorders>
              <w:top w:val="nil"/>
              <w:left w:val="nil"/>
              <w:bottom w:val="nil"/>
              <w:right w:val="nil"/>
            </w:tcBorders>
            <w:shd w:val="clear" w:color="auto" w:fill="auto"/>
            <w:noWrap/>
            <w:vAlign w:val="center"/>
            <w:hideMark/>
          </w:tcPr>
          <w:p w14:paraId="40305C7D"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5C528C97" w14:textId="77777777" w:rsidTr="00AC27B1">
        <w:trPr>
          <w:trHeight w:val="253"/>
        </w:trPr>
        <w:tc>
          <w:tcPr>
            <w:tcW w:w="5034" w:type="dxa"/>
            <w:tcBorders>
              <w:top w:val="nil"/>
              <w:left w:val="nil"/>
              <w:bottom w:val="nil"/>
              <w:right w:val="nil"/>
            </w:tcBorders>
            <w:shd w:val="clear" w:color="auto" w:fill="auto"/>
            <w:noWrap/>
            <w:vAlign w:val="bottom"/>
            <w:hideMark/>
          </w:tcPr>
          <w:p w14:paraId="6089A8D7" w14:textId="77777777" w:rsidR="007D2F6A" w:rsidRPr="007D2F6A" w:rsidRDefault="007D2F6A" w:rsidP="007D2F6A">
            <w:pPr>
              <w:rPr>
                <w:rFonts w:ascii="Arial" w:hAnsi="Arial" w:cs="Arial"/>
                <w:color w:val="000000"/>
              </w:rPr>
            </w:pPr>
            <w:r w:rsidRPr="007D2F6A">
              <w:rPr>
                <w:rFonts w:ascii="Arial" w:hAnsi="Arial" w:cs="Arial"/>
                <w:color w:val="000000"/>
              </w:rPr>
              <w:t>I am highly focused and attentive while playing the mobile Damath game</w:t>
            </w:r>
          </w:p>
        </w:tc>
        <w:tc>
          <w:tcPr>
            <w:tcW w:w="1045" w:type="dxa"/>
            <w:tcBorders>
              <w:top w:val="nil"/>
              <w:left w:val="nil"/>
              <w:bottom w:val="nil"/>
              <w:right w:val="nil"/>
            </w:tcBorders>
            <w:shd w:val="clear" w:color="auto" w:fill="auto"/>
            <w:noWrap/>
            <w:vAlign w:val="center"/>
            <w:hideMark/>
          </w:tcPr>
          <w:p w14:paraId="1C1F19A6" w14:textId="77777777" w:rsidR="007D2F6A" w:rsidRPr="007D2F6A" w:rsidRDefault="007D2F6A" w:rsidP="007D2F6A">
            <w:pPr>
              <w:jc w:val="center"/>
              <w:rPr>
                <w:rFonts w:ascii="Arial" w:hAnsi="Arial" w:cs="Arial"/>
                <w:color w:val="000000"/>
              </w:rPr>
            </w:pPr>
            <w:r w:rsidRPr="007D2F6A">
              <w:rPr>
                <w:rFonts w:ascii="Arial" w:hAnsi="Arial" w:cs="Arial"/>
                <w:color w:val="000000"/>
              </w:rPr>
              <w:t>4.43</w:t>
            </w:r>
          </w:p>
        </w:tc>
        <w:tc>
          <w:tcPr>
            <w:tcW w:w="761" w:type="dxa"/>
            <w:tcBorders>
              <w:top w:val="nil"/>
              <w:left w:val="nil"/>
              <w:bottom w:val="nil"/>
              <w:right w:val="nil"/>
            </w:tcBorders>
            <w:shd w:val="clear" w:color="auto" w:fill="auto"/>
            <w:noWrap/>
            <w:vAlign w:val="center"/>
            <w:hideMark/>
          </w:tcPr>
          <w:p w14:paraId="7027AB1A"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3CDBEE52"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592F156" w14:textId="77777777" w:rsidTr="00AC27B1">
        <w:trPr>
          <w:trHeight w:val="253"/>
        </w:trPr>
        <w:tc>
          <w:tcPr>
            <w:tcW w:w="5034" w:type="dxa"/>
            <w:tcBorders>
              <w:top w:val="nil"/>
              <w:left w:val="nil"/>
              <w:bottom w:val="nil"/>
              <w:right w:val="nil"/>
            </w:tcBorders>
            <w:shd w:val="clear" w:color="auto" w:fill="auto"/>
            <w:noWrap/>
            <w:vAlign w:val="bottom"/>
            <w:hideMark/>
          </w:tcPr>
          <w:p w14:paraId="65E85DA9" w14:textId="77777777" w:rsidR="007D2F6A" w:rsidRPr="007D2F6A" w:rsidRDefault="007D2F6A" w:rsidP="007D2F6A">
            <w:pPr>
              <w:rPr>
                <w:rFonts w:ascii="Arial" w:hAnsi="Arial" w:cs="Arial"/>
                <w:color w:val="000000"/>
              </w:rPr>
            </w:pPr>
            <w:r w:rsidRPr="007D2F6A">
              <w:rPr>
                <w:rFonts w:ascii="Arial" w:hAnsi="Arial" w:cs="Arial"/>
                <w:color w:val="000000"/>
              </w:rPr>
              <w:t>I enjoy competing and strategizing while playing the mobile Damath</w:t>
            </w:r>
            <w:r w:rsidRPr="007D2F6A">
              <w:rPr>
                <w:rFonts w:ascii="Arial" w:hAnsi="Arial" w:cs="Arial"/>
                <w:i/>
                <w:color w:val="000000"/>
              </w:rPr>
              <w:t xml:space="preserve"> </w:t>
            </w:r>
            <w:r w:rsidRPr="007D2F6A">
              <w:rPr>
                <w:rFonts w:ascii="Arial" w:hAnsi="Arial" w:cs="Arial"/>
                <w:color w:val="000000"/>
              </w:rPr>
              <w:t>game.</w:t>
            </w:r>
          </w:p>
        </w:tc>
        <w:tc>
          <w:tcPr>
            <w:tcW w:w="1045" w:type="dxa"/>
            <w:tcBorders>
              <w:top w:val="nil"/>
              <w:left w:val="nil"/>
              <w:bottom w:val="nil"/>
              <w:right w:val="nil"/>
            </w:tcBorders>
            <w:shd w:val="clear" w:color="auto" w:fill="auto"/>
            <w:noWrap/>
            <w:vAlign w:val="center"/>
            <w:hideMark/>
          </w:tcPr>
          <w:p w14:paraId="1E5E1050"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19A48077"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56E11FEF"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C0C81AC" w14:textId="77777777" w:rsidTr="00AC27B1">
        <w:trPr>
          <w:trHeight w:val="253"/>
        </w:trPr>
        <w:tc>
          <w:tcPr>
            <w:tcW w:w="5034" w:type="dxa"/>
            <w:tcBorders>
              <w:top w:val="nil"/>
              <w:left w:val="nil"/>
              <w:bottom w:val="nil"/>
              <w:right w:val="nil"/>
            </w:tcBorders>
            <w:shd w:val="clear" w:color="auto" w:fill="auto"/>
            <w:noWrap/>
            <w:vAlign w:val="bottom"/>
            <w:hideMark/>
          </w:tcPr>
          <w:p w14:paraId="41413E18" w14:textId="77777777" w:rsidR="007D2F6A" w:rsidRPr="007D2F6A" w:rsidRDefault="007D2F6A" w:rsidP="007D2F6A">
            <w:pPr>
              <w:rPr>
                <w:rFonts w:ascii="Arial" w:hAnsi="Arial" w:cs="Arial"/>
                <w:color w:val="000000"/>
              </w:rPr>
            </w:pPr>
            <w:r w:rsidRPr="007D2F6A">
              <w:rPr>
                <w:rFonts w:ascii="Arial" w:hAnsi="Arial" w:cs="Arial"/>
                <w:color w:val="000000"/>
              </w:rPr>
              <w:t>I keep track of my previous scores/record to monitor my progress</w:t>
            </w:r>
          </w:p>
        </w:tc>
        <w:tc>
          <w:tcPr>
            <w:tcW w:w="1045" w:type="dxa"/>
            <w:tcBorders>
              <w:top w:val="nil"/>
              <w:left w:val="nil"/>
              <w:bottom w:val="nil"/>
              <w:right w:val="nil"/>
            </w:tcBorders>
            <w:shd w:val="clear" w:color="auto" w:fill="auto"/>
            <w:noWrap/>
            <w:vAlign w:val="center"/>
            <w:hideMark/>
          </w:tcPr>
          <w:p w14:paraId="7EF7EDFD" w14:textId="77777777" w:rsidR="007D2F6A" w:rsidRPr="007D2F6A" w:rsidRDefault="007D2F6A" w:rsidP="007D2F6A">
            <w:pPr>
              <w:jc w:val="center"/>
              <w:rPr>
                <w:rFonts w:ascii="Arial" w:hAnsi="Arial" w:cs="Arial"/>
                <w:color w:val="000000"/>
              </w:rPr>
            </w:pPr>
            <w:r w:rsidRPr="007D2F6A">
              <w:rPr>
                <w:rFonts w:ascii="Arial" w:hAnsi="Arial" w:cs="Arial"/>
                <w:color w:val="000000"/>
              </w:rPr>
              <w:t>4.60</w:t>
            </w:r>
          </w:p>
        </w:tc>
        <w:tc>
          <w:tcPr>
            <w:tcW w:w="761" w:type="dxa"/>
            <w:tcBorders>
              <w:top w:val="nil"/>
              <w:left w:val="nil"/>
              <w:bottom w:val="nil"/>
              <w:right w:val="nil"/>
            </w:tcBorders>
            <w:shd w:val="clear" w:color="auto" w:fill="auto"/>
            <w:noWrap/>
            <w:vAlign w:val="center"/>
            <w:hideMark/>
          </w:tcPr>
          <w:p w14:paraId="087209DC"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19F0F5A5"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C57ED05" w14:textId="77777777" w:rsidTr="00AC27B1">
        <w:trPr>
          <w:trHeight w:val="513"/>
        </w:trPr>
        <w:tc>
          <w:tcPr>
            <w:tcW w:w="5034" w:type="dxa"/>
            <w:tcBorders>
              <w:top w:val="nil"/>
              <w:left w:val="nil"/>
              <w:bottom w:val="nil"/>
              <w:right w:val="nil"/>
            </w:tcBorders>
            <w:shd w:val="clear" w:color="auto" w:fill="auto"/>
            <w:noWrap/>
            <w:vAlign w:val="center"/>
            <w:hideMark/>
          </w:tcPr>
          <w:p w14:paraId="16D78F4F" w14:textId="77777777" w:rsidR="007D2F6A" w:rsidRPr="007D2F6A" w:rsidRDefault="007D2F6A" w:rsidP="007D2F6A">
            <w:pPr>
              <w:jc w:val="right"/>
              <w:rPr>
                <w:rFonts w:ascii="Arial" w:hAnsi="Arial" w:cs="Arial"/>
                <w:b/>
                <w:color w:val="000000"/>
              </w:rPr>
            </w:pPr>
            <w:r w:rsidRPr="007D2F6A">
              <w:rPr>
                <w:rFonts w:ascii="Arial" w:hAnsi="Arial" w:cs="Arial"/>
                <w:b/>
                <w:color w:val="000000"/>
              </w:rPr>
              <w:t>Overall</w:t>
            </w:r>
          </w:p>
        </w:tc>
        <w:tc>
          <w:tcPr>
            <w:tcW w:w="1045" w:type="dxa"/>
            <w:tcBorders>
              <w:top w:val="nil"/>
              <w:left w:val="nil"/>
              <w:bottom w:val="nil"/>
              <w:right w:val="nil"/>
            </w:tcBorders>
            <w:shd w:val="clear" w:color="auto" w:fill="auto"/>
            <w:noWrap/>
            <w:vAlign w:val="center"/>
            <w:hideMark/>
          </w:tcPr>
          <w:p w14:paraId="66A18BC9" w14:textId="77777777" w:rsidR="007D2F6A" w:rsidRPr="007D2F6A" w:rsidRDefault="007D2F6A" w:rsidP="007D2F6A">
            <w:pPr>
              <w:jc w:val="center"/>
              <w:rPr>
                <w:rFonts w:ascii="Arial" w:hAnsi="Arial" w:cs="Arial"/>
                <w:b/>
                <w:color w:val="000000"/>
              </w:rPr>
            </w:pPr>
            <w:r w:rsidRPr="007D2F6A">
              <w:rPr>
                <w:rFonts w:ascii="Arial" w:hAnsi="Arial" w:cs="Arial"/>
                <w:b/>
                <w:color w:val="000000"/>
              </w:rPr>
              <w:t>4.48</w:t>
            </w:r>
          </w:p>
        </w:tc>
        <w:tc>
          <w:tcPr>
            <w:tcW w:w="761" w:type="dxa"/>
            <w:tcBorders>
              <w:top w:val="nil"/>
              <w:left w:val="nil"/>
              <w:bottom w:val="nil"/>
              <w:right w:val="nil"/>
            </w:tcBorders>
            <w:shd w:val="clear" w:color="auto" w:fill="auto"/>
            <w:noWrap/>
            <w:vAlign w:val="center"/>
            <w:hideMark/>
          </w:tcPr>
          <w:p w14:paraId="5E7C7FC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0.28</w:t>
            </w:r>
          </w:p>
        </w:tc>
        <w:tc>
          <w:tcPr>
            <w:tcW w:w="1800" w:type="dxa"/>
            <w:tcBorders>
              <w:top w:val="nil"/>
              <w:left w:val="nil"/>
              <w:bottom w:val="nil"/>
              <w:right w:val="nil"/>
            </w:tcBorders>
            <w:shd w:val="clear" w:color="auto" w:fill="auto"/>
            <w:noWrap/>
            <w:vAlign w:val="center"/>
            <w:hideMark/>
          </w:tcPr>
          <w:p w14:paraId="693FB6E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Very High</w:t>
            </w:r>
          </w:p>
        </w:tc>
      </w:tr>
      <w:tr w:rsidR="007D2F6A" w:rsidRPr="007D2F6A" w14:paraId="41A0804D" w14:textId="77777777" w:rsidTr="00AC27B1">
        <w:trPr>
          <w:trHeight w:val="253"/>
        </w:trPr>
        <w:tc>
          <w:tcPr>
            <w:tcW w:w="5034" w:type="dxa"/>
            <w:tcBorders>
              <w:top w:val="nil"/>
              <w:left w:val="nil"/>
              <w:bottom w:val="nil"/>
              <w:right w:val="nil"/>
            </w:tcBorders>
            <w:shd w:val="clear" w:color="auto" w:fill="auto"/>
            <w:noWrap/>
            <w:vAlign w:val="bottom"/>
            <w:hideMark/>
          </w:tcPr>
          <w:p w14:paraId="642CA863" w14:textId="77777777" w:rsidR="007D2F6A" w:rsidRPr="007D2F6A" w:rsidRDefault="007D2F6A" w:rsidP="007D2F6A">
            <w:pPr>
              <w:rPr>
                <w:rFonts w:ascii="Arial" w:hAnsi="Arial" w:cs="Arial"/>
                <w:b/>
                <w:i/>
                <w:color w:val="000000"/>
              </w:rPr>
            </w:pPr>
            <w:r w:rsidRPr="007D2F6A">
              <w:rPr>
                <w:rFonts w:ascii="Arial" w:hAnsi="Arial" w:cs="Arial"/>
                <w:b/>
                <w:i/>
                <w:color w:val="000000"/>
              </w:rPr>
              <w:t xml:space="preserve">Motivation </w:t>
            </w:r>
          </w:p>
        </w:tc>
        <w:tc>
          <w:tcPr>
            <w:tcW w:w="1045" w:type="dxa"/>
            <w:tcBorders>
              <w:top w:val="nil"/>
              <w:left w:val="nil"/>
              <w:bottom w:val="nil"/>
              <w:right w:val="nil"/>
            </w:tcBorders>
            <w:shd w:val="clear" w:color="auto" w:fill="auto"/>
            <w:noWrap/>
            <w:vAlign w:val="center"/>
            <w:hideMark/>
          </w:tcPr>
          <w:p w14:paraId="2044DA6C" w14:textId="77777777" w:rsidR="007D2F6A" w:rsidRPr="007D2F6A" w:rsidRDefault="007D2F6A" w:rsidP="007D2F6A">
            <w:pPr>
              <w:jc w:val="center"/>
              <w:rPr>
                <w:rFonts w:ascii="Arial" w:hAnsi="Arial" w:cs="Arial"/>
              </w:rPr>
            </w:pPr>
          </w:p>
        </w:tc>
        <w:tc>
          <w:tcPr>
            <w:tcW w:w="761" w:type="dxa"/>
            <w:tcBorders>
              <w:top w:val="nil"/>
              <w:left w:val="nil"/>
              <w:bottom w:val="nil"/>
              <w:right w:val="nil"/>
            </w:tcBorders>
            <w:shd w:val="clear" w:color="auto" w:fill="auto"/>
            <w:noWrap/>
            <w:vAlign w:val="center"/>
            <w:hideMark/>
          </w:tcPr>
          <w:p w14:paraId="0C7C2FC3" w14:textId="77777777" w:rsidR="007D2F6A" w:rsidRPr="007D2F6A" w:rsidRDefault="007D2F6A" w:rsidP="007D2F6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13410D1B" w14:textId="77777777" w:rsidR="007D2F6A" w:rsidRPr="007D2F6A" w:rsidRDefault="007D2F6A" w:rsidP="007D2F6A">
            <w:pPr>
              <w:jc w:val="center"/>
              <w:rPr>
                <w:rFonts w:ascii="Arial" w:hAnsi="Arial" w:cs="Arial"/>
              </w:rPr>
            </w:pPr>
          </w:p>
        </w:tc>
      </w:tr>
      <w:tr w:rsidR="007D2F6A" w:rsidRPr="007D2F6A" w14:paraId="049CE3BB" w14:textId="77777777" w:rsidTr="00AC27B1">
        <w:trPr>
          <w:trHeight w:val="253"/>
        </w:trPr>
        <w:tc>
          <w:tcPr>
            <w:tcW w:w="5034" w:type="dxa"/>
            <w:tcBorders>
              <w:top w:val="nil"/>
              <w:left w:val="nil"/>
              <w:bottom w:val="nil"/>
              <w:right w:val="nil"/>
            </w:tcBorders>
            <w:shd w:val="clear" w:color="auto" w:fill="auto"/>
            <w:noWrap/>
            <w:vAlign w:val="bottom"/>
            <w:hideMark/>
          </w:tcPr>
          <w:p w14:paraId="4566EC5A" w14:textId="77777777" w:rsidR="007D2F6A" w:rsidRPr="007D2F6A" w:rsidRDefault="007D2F6A" w:rsidP="007D2F6A">
            <w:pPr>
              <w:rPr>
                <w:rFonts w:ascii="Arial" w:hAnsi="Arial" w:cs="Arial"/>
                <w:color w:val="000000"/>
              </w:rPr>
            </w:pPr>
            <w:r w:rsidRPr="007D2F6A">
              <w:rPr>
                <w:rFonts w:ascii="Arial" w:hAnsi="Arial" w:cs="Arial"/>
                <w:color w:val="000000"/>
              </w:rPr>
              <w:t>I play the mobile Damath game regularly to challenge myself and test my abilities.</w:t>
            </w:r>
          </w:p>
        </w:tc>
        <w:tc>
          <w:tcPr>
            <w:tcW w:w="1045" w:type="dxa"/>
            <w:tcBorders>
              <w:top w:val="nil"/>
              <w:left w:val="nil"/>
              <w:bottom w:val="nil"/>
              <w:right w:val="nil"/>
            </w:tcBorders>
            <w:shd w:val="clear" w:color="auto" w:fill="auto"/>
            <w:noWrap/>
            <w:vAlign w:val="center"/>
            <w:hideMark/>
          </w:tcPr>
          <w:p w14:paraId="1886257E" w14:textId="77777777" w:rsidR="007D2F6A" w:rsidRPr="007D2F6A" w:rsidRDefault="007D2F6A" w:rsidP="007D2F6A">
            <w:pPr>
              <w:jc w:val="center"/>
              <w:rPr>
                <w:rFonts w:ascii="Arial" w:hAnsi="Arial" w:cs="Arial"/>
                <w:color w:val="000000"/>
              </w:rPr>
            </w:pPr>
            <w:r w:rsidRPr="007D2F6A">
              <w:rPr>
                <w:rFonts w:ascii="Arial" w:hAnsi="Arial" w:cs="Arial"/>
                <w:color w:val="000000"/>
              </w:rPr>
              <w:t>4.03</w:t>
            </w:r>
          </w:p>
        </w:tc>
        <w:tc>
          <w:tcPr>
            <w:tcW w:w="761" w:type="dxa"/>
            <w:tcBorders>
              <w:top w:val="nil"/>
              <w:left w:val="nil"/>
              <w:bottom w:val="nil"/>
              <w:right w:val="nil"/>
            </w:tcBorders>
            <w:shd w:val="clear" w:color="auto" w:fill="auto"/>
            <w:noWrap/>
            <w:vAlign w:val="center"/>
            <w:hideMark/>
          </w:tcPr>
          <w:p w14:paraId="6D5922B8" w14:textId="77777777" w:rsidR="007D2F6A" w:rsidRPr="007D2F6A" w:rsidRDefault="007D2F6A" w:rsidP="007D2F6A">
            <w:pPr>
              <w:jc w:val="center"/>
              <w:rPr>
                <w:rFonts w:ascii="Arial" w:hAnsi="Arial" w:cs="Arial"/>
                <w:color w:val="000000"/>
              </w:rPr>
            </w:pPr>
            <w:r w:rsidRPr="007D2F6A">
              <w:rPr>
                <w:rFonts w:ascii="Arial" w:hAnsi="Arial" w:cs="Arial"/>
                <w:color w:val="000000"/>
              </w:rPr>
              <w:t>0.49</w:t>
            </w:r>
          </w:p>
        </w:tc>
        <w:tc>
          <w:tcPr>
            <w:tcW w:w="1800" w:type="dxa"/>
            <w:tcBorders>
              <w:top w:val="nil"/>
              <w:left w:val="nil"/>
              <w:bottom w:val="nil"/>
              <w:right w:val="nil"/>
            </w:tcBorders>
            <w:shd w:val="clear" w:color="auto" w:fill="auto"/>
            <w:noWrap/>
            <w:vAlign w:val="center"/>
            <w:hideMark/>
          </w:tcPr>
          <w:p w14:paraId="0F95E5C8" w14:textId="77777777" w:rsidR="007D2F6A" w:rsidRPr="007D2F6A" w:rsidRDefault="007D2F6A" w:rsidP="007D2F6A">
            <w:pPr>
              <w:jc w:val="center"/>
              <w:rPr>
                <w:rFonts w:ascii="Arial" w:hAnsi="Arial" w:cs="Arial"/>
                <w:color w:val="000000"/>
              </w:rPr>
            </w:pPr>
            <w:r w:rsidRPr="007D2F6A">
              <w:rPr>
                <w:rFonts w:ascii="Arial" w:hAnsi="Arial" w:cs="Arial"/>
                <w:color w:val="000000"/>
              </w:rPr>
              <w:t>High</w:t>
            </w:r>
          </w:p>
        </w:tc>
      </w:tr>
      <w:tr w:rsidR="007D2F6A" w:rsidRPr="007D2F6A" w14:paraId="273CA553" w14:textId="77777777" w:rsidTr="00AC27B1">
        <w:trPr>
          <w:trHeight w:val="253"/>
        </w:trPr>
        <w:tc>
          <w:tcPr>
            <w:tcW w:w="5034" w:type="dxa"/>
            <w:tcBorders>
              <w:top w:val="nil"/>
              <w:left w:val="nil"/>
              <w:bottom w:val="nil"/>
              <w:right w:val="nil"/>
            </w:tcBorders>
            <w:shd w:val="clear" w:color="auto" w:fill="auto"/>
            <w:noWrap/>
            <w:vAlign w:val="bottom"/>
            <w:hideMark/>
          </w:tcPr>
          <w:p w14:paraId="11D927A5" w14:textId="77777777" w:rsidR="007D2F6A" w:rsidRPr="007D2F6A" w:rsidRDefault="007D2F6A" w:rsidP="007D2F6A">
            <w:pPr>
              <w:rPr>
                <w:rFonts w:ascii="Arial" w:hAnsi="Arial" w:cs="Arial"/>
                <w:color w:val="000000"/>
              </w:rPr>
            </w:pPr>
            <w:r w:rsidRPr="007D2F6A">
              <w:rPr>
                <w:rFonts w:ascii="Arial" w:hAnsi="Arial" w:cs="Arial"/>
                <w:color w:val="000000"/>
              </w:rPr>
              <w:t>I am motivated to play the mobile Damath game because it is enjoyable and fun.</w:t>
            </w:r>
          </w:p>
        </w:tc>
        <w:tc>
          <w:tcPr>
            <w:tcW w:w="1045" w:type="dxa"/>
            <w:tcBorders>
              <w:top w:val="nil"/>
              <w:left w:val="nil"/>
              <w:bottom w:val="nil"/>
              <w:right w:val="nil"/>
            </w:tcBorders>
            <w:shd w:val="clear" w:color="auto" w:fill="auto"/>
            <w:noWrap/>
            <w:vAlign w:val="center"/>
            <w:hideMark/>
          </w:tcPr>
          <w:p w14:paraId="52D2ACF2" w14:textId="77777777" w:rsidR="007D2F6A" w:rsidRPr="007D2F6A" w:rsidRDefault="007D2F6A" w:rsidP="007D2F6A">
            <w:pPr>
              <w:jc w:val="center"/>
              <w:rPr>
                <w:rFonts w:ascii="Arial" w:hAnsi="Arial" w:cs="Arial"/>
                <w:color w:val="000000"/>
              </w:rPr>
            </w:pPr>
            <w:r w:rsidRPr="007D2F6A">
              <w:rPr>
                <w:rFonts w:ascii="Arial" w:hAnsi="Arial" w:cs="Arial"/>
                <w:color w:val="000000"/>
              </w:rPr>
              <w:t>4.43</w:t>
            </w:r>
          </w:p>
        </w:tc>
        <w:tc>
          <w:tcPr>
            <w:tcW w:w="761" w:type="dxa"/>
            <w:tcBorders>
              <w:top w:val="nil"/>
              <w:left w:val="nil"/>
              <w:bottom w:val="nil"/>
              <w:right w:val="nil"/>
            </w:tcBorders>
            <w:shd w:val="clear" w:color="auto" w:fill="auto"/>
            <w:noWrap/>
            <w:vAlign w:val="center"/>
            <w:hideMark/>
          </w:tcPr>
          <w:p w14:paraId="7741AF1B"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2DE78DEE"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031E1F3C" w14:textId="77777777" w:rsidTr="00AC27B1">
        <w:trPr>
          <w:trHeight w:val="253"/>
        </w:trPr>
        <w:tc>
          <w:tcPr>
            <w:tcW w:w="5034" w:type="dxa"/>
            <w:tcBorders>
              <w:top w:val="nil"/>
              <w:left w:val="nil"/>
              <w:bottom w:val="nil"/>
              <w:right w:val="nil"/>
            </w:tcBorders>
            <w:shd w:val="clear" w:color="auto" w:fill="auto"/>
            <w:noWrap/>
            <w:vAlign w:val="bottom"/>
            <w:hideMark/>
          </w:tcPr>
          <w:p w14:paraId="5C9F2E07" w14:textId="77777777" w:rsidR="007D2F6A" w:rsidRPr="007D2F6A" w:rsidRDefault="007D2F6A" w:rsidP="007D2F6A">
            <w:pPr>
              <w:rPr>
                <w:rFonts w:ascii="Arial" w:hAnsi="Arial" w:cs="Arial"/>
                <w:color w:val="000000"/>
              </w:rPr>
            </w:pPr>
            <w:r w:rsidRPr="007D2F6A">
              <w:rPr>
                <w:rFonts w:ascii="Arial" w:hAnsi="Arial" w:cs="Arial"/>
                <w:color w:val="000000"/>
              </w:rPr>
              <w:t>I enjoy playing the mobile Damath game because it allows me to compete with others.</w:t>
            </w:r>
          </w:p>
        </w:tc>
        <w:tc>
          <w:tcPr>
            <w:tcW w:w="1045" w:type="dxa"/>
            <w:tcBorders>
              <w:top w:val="nil"/>
              <w:left w:val="nil"/>
              <w:bottom w:val="nil"/>
              <w:right w:val="nil"/>
            </w:tcBorders>
            <w:shd w:val="clear" w:color="auto" w:fill="auto"/>
            <w:noWrap/>
            <w:vAlign w:val="center"/>
            <w:hideMark/>
          </w:tcPr>
          <w:p w14:paraId="61B5AA51" w14:textId="77777777" w:rsidR="007D2F6A" w:rsidRPr="007D2F6A" w:rsidRDefault="007D2F6A" w:rsidP="007D2F6A">
            <w:pPr>
              <w:jc w:val="center"/>
              <w:rPr>
                <w:rFonts w:ascii="Arial" w:hAnsi="Arial" w:cs="Arial"/>
                <w:color w:val="000000"/>
              </w:rPr>
            </w:pPr>
            <w:r w:rsidRPr="007D2F6A">
              <w:rPr>
                <w:rFonts w:ascii="Arial" w:hAnsi="Arial" w:cs="Arial"/>
                <w:color w:val="000000"/>
              </w:rPr>
              <w:t>4.23</w:t>
            </w:r>
          </w:p>
        </w:tc>
        <w:tc>
          <w:tcPr>
            <w:tcW w:w="761" w:type="dxa"/>
            <w:tcBorders>
              <w:top w:val="nil"/>
              <w:left w:val="nil"/>
              <w:bottom w:val="nil"/>
              <w:right w:val="nil"/>
            </w:tcBorders>
            <w:shd w:val="clear" w:color="auto" w:fill="auto"/>
            <w:noWrap/>
            <w:vAlign w:val="center"/>
            <w:hideMark/>
          </w:tcPr>
          <w:p w14:paraId="1153D539" w14:textId="77777777" w:rsidR="007D2F6A" w:rsidRPr="007D2F6A" w:rsidRDefault="007D2F6A" w:rsidP="007D2F6A">
            <w:pPr>
              <w:jc w:val="center"/>
              <w:rPr>
                <w:rFonts w:ascii="Arial" w:hAnsi="Arial" w:cs="Arial"/>
                <w:color w:val="000000"/>
              </w:rPr>
            </w:pPr>
            <w:r w:rsidRPr="007D2F6A">
              <w:rPr>
                <w:rFonts w:ascii="Arial" w:hAnsi="Arial" w:cs="Arial"/>
                <w:color w:val="000000"/>
              </w:rPr>
              <w:t>0.57</w:t>
            </w:r>
          </w:p>
        </w:tc>
        <w:tc>
          <w:tcPr>
            <w:tcW w:w="1800" w:type="dxa"/>
            <w:tcBorders>
              <w:top w:val="nil"/>
              <w:left w:val="nil"/>
              <w:bottom w:val="nil"/>
              <w:right w:val="nil"/>
            </w:tcBorders>
            <w:shd w:val="clear" w:color="auto" w:fill="auto"/>
            <w:noWrap/>
            <w:vAlign w:val="center"/>
            <w:hideMark/>
          </w:tcPr>
          <w:p w14:paraId="58279F7B"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B3C80A1" w14:textId="77777777" w:rsidTr="00AC27B1">
        <w:trPr>
          <w:trHeight w:val="253"/>
        </w:trPr>
        <w:tc>
          <w:tcPr>
            <w:tcW w:w="5034" w:type="dxa"/>
            <w:tcBorders>
              <w:top w:val="nil"/>
              <w:left w:val="nil"/>
              <w:bottom w:val="nil"/>
              <w:right w:val="nil"/>
            </w:tcBorders>
            <w:shd w:val="clear" w:color="auto" w:fill="auto"/>
            <w:noWrap/>
            <w:vAlign w:val="bottom"/>
            <w:hideMark/>
          </w:tcPr>
          <w:p w14:paraId="35A0E357" w14:textId="77777777" w:rsidR="007D2F6A" w:rsidRPr="007D2F6A" w:rsidRDefault="007D2F6A" w:rsidP="007D2F6A">
            <w:pPr>
              <w:rPr>
                <w:rFonts w:ascii="Arial" w:hAnsi="Arial" w:cs="Arial"/>
                <w:color w:val="000000"/>
              </w:rPr>
            </w:pPr>
            <w:r w:rsidRPr="007D2F6A">
              <w:rPr>
                <w:rFonts w:ascii="Arial" w:hAnsi="Arial" w:cs="Arial"/>
                <w:color w:val="000000"/>
              </w:rPr>
              <w:t>I am motivated to learn new strategies to improve my performance in the mobile Damath game.</w:t>
            </w:r>
          </w:p>
        </w:tc>
        <w:tc>
          <w:tcPr>
            <w:tcW w:w="1045" w:type="dxa"/>
            <w:tcBorders>
              <w:top w:val="nil"/>
              <w:left w:val="nil"/>
              <w:bottom w:val="nil"/>
              <w:right w:val="nil"/>
            </w:tcBorders>
            <w:shd w:val="clear" w:color="auto" w:fill="auto"/>
            <w:noWrap/>
            <w:vAlign w:val="center"/>
            <w:hideMark/>
          </w:tcPr>
          <w:p w14:paraId="783E5054" w14:textId="77777777" w:rsidR="007D2F6A" w:rsidRPr="007D2F6A" w:rsidRDefault="007D2F6A" w:rsidP="007D2F6A">
            <w:pPr>
              <w:jc w:val="center"/>
              <w:rPr>
                <w:rFonts w:ascii="Arial" w:hAnsi="Arial" w:cs="Arial"/>
                <w:color w:val="000000"/>
              </w:rPr>
            </w:pPr>
            <w:r w:rsidRPr="007D2F6A">
              <w:rPr>
                <w:rFonts w:ascii="Arial" w:hAnsi="Arial" w:cs="Arial"/>
                <w:color w:val="000000"/>
              </w:rPr>
              <w:t>4.30</w:t>
            </w:r>
          </w:p>
        </w:tc>
        <w:tc>
          <w:tcPr>
            <w:tcW w:w="761" w:type="dxa"/>
            <w:tcBorders>
              <w:top w:val="nil"/>
              <w:left w:val="nil"/>
              <w:bottom w:val="nil"/>
              <w:right w:val="nil"/>
            </w:tcBorders>
            <w:shd w:val="clear" w:color="auto" w:fill="auto"/>
            <w:noWrap/>
            <w:vAlign w:val="center"/>
            <w:hideMark/>
          </w:tcPr>
          <w:p w14:paraId="099CA18D" w14:textId="77777777" w:rsidR="007D2F6A" w:rsidRPr="007D2F6A" w:rsidRDefault="007D2F6A" w:rsidP="007D2F6A">
            <w:pPr>
              <w:jc w:val="center"/>
              <w:rPr>
                <w:rFonts w:ascii="Arial" w:hAnsi="Arial" w:cs="Arial"/>
                <w:color w:val="000000"/>
              </w:rPr>
            </w:pPr>
            <w:r w:rsidRPr="007D2F6A">
              <w:rPr>
                <w:rFonts w:ascii="Arial" w:hAnsi="Arial" w:cs="Arial"/>
                <w:color w:val="000000"/>
              </w:rPr>
              <w:t>0.65</w:t>
            </w:r>
          </w:p>
        </w:tc>
        <w:tc>
          <w:tcPr>
            <w:tcW w:w="1800" w:type="dxa"/>
            <w:tcBorders>
              <w:top w:val="nil"/>
              <w:left w:val="nil"/>
              <w:bottom w:val="nil"/>
              <w:right w:val="nil"/>
            </w:tcBorders>
            <w:shd w:val="clear" w:color="auto" w:fill="auto"/>
            <w:noWrap/>
            <w:vAlign w:val="center"/>
            <w:hideMark/>
          </w:tcPr>
          <w:p w14:paraId="58EE5B96"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0A2C871E" w14:textId="77777777" w:rsidTr="00AC27B1">
        <w:trPr>
          <w:trHeight w:val="253"/>
        </w:trPr>
        <w:tc>
          <w:tcPr>
            <w:tcW w:w="5034" w:type="dxa"/>
            <w:tcBorders>
              <w:top w:val="nil"/>
              <w:left w:val="nil"/>
              <w:bottom w:val="nil"/>
              <w:right w:val="nil"/>
            </w:tcBorders>
            <w:shd w:val="clear" w:color="auto" w:fill="auto"/>
            <w:noWrap/>
            <w:vAlign w:val="bottom"/>
            <w:hideMark/>
          </w:tcPr>
          <w:p w14:paraId="6B1F72FB" w14:textId="77777777" w:rsidR="007D2F6A" w:rsidRPr="007D2F6A" w:rsidRDefault="007D2F6A" w:rsidP="007D2F6A">
            <w:pPr>
              <w:rPr>
                <w:rFonts w:ascii="Arial" w:hAnsi="Arial" w:cs="Arial"/>
                <w:color w:val="000000"/>
              </w:rPr>
            </w:pPr>
            <w:r w:rsidRPr="007D2F6A">
              <w:rPr>
                <w:rFonts w:ascii="Arial" w:hAnsi="Arial" w:cs="Arial"/>
                <w:color w:val="000000"/>
              </w:rPr>
              <w:t>I enjoy the challenge of solving difficult problems in the mobile Damath game.</w:t>
            </w:r>
          </w:p>
        </w:tc>
        <w:tc>
          <w:tcPr>
            <w:tcW w:w="1045" w:type="dxa"/>
            <w:tcBorders>
              <w:top w:val="nil"/>
              <w:left w:val="nil"/>
              <w:bottom w:val="nil"/>
              <w:right w:val="nil"/>
            </w:tcBorders>
            <w:shd w:val="clear" w:color="auto" w:fill="auto"/>
            <w:noWrap/>
            <w:vAlign w:val="center"/>
            <w:hideMark/>
          </w:tcPr>
          <w:p w14:paraId="308B06DD" w14:textId="77777777" w:rsidR="007D2F6A" w:rsidRPr="007D2F6A" w:rsidRDefault="007D2F6A" w:rsidP="007D2F6A">
            <w:pPr>
              <w:jc w:val="center"/>
              <w:rPr>
                <w:rFonts w:ascii="Arial" w:hAnsi="Arial" w:cs="Arial"/>
                <w:color w:val="000000"/>
              </w:rPr>
            </w:pPr>
            <w:r w:rsidRPr="007D2F6A">
              <w:rPr>
                <w:rFonts w:ascii="Arial" w:hAnsi="Arial" w:cs="Arial"/>
                <w:color w:val="000000"/>
              </w:rPr>
              <w:t>4.37</w:t>
            </w:r>
          </w:p>
        </w:tc>
        <w:tc>
          <w:tcPr>
            <w:tcW w:w="761" w:type="dxa"/>
            <w:tcBorders>
              <w:top w:val="nil"/>
              <w:left w:val="nil"/>
              <w:bottom w:val="nil"/>
              <w:right w:val="nil"/>
            </w:tcBorders>
            <w:shd w:val="clear" w:color="auto" w:fill="auto"/>
            <w:noWrap/>
            <w:vAlign w:val="center"/>
            <w:hideMark/>
          </w:tcPr>
          <w:p w14:paraId="6093138A" w14:textId="77777777" w:rsidR="007D2F6A" w:rsidRPr="007D2F6A" w:rsidRDefault="007D2F6A" w:rsidP="007D2F6A">
            <w:pPr>
              <w:jc w:val="center"/>
              <w:rPr>
                <w:rFonts w:ascii="Arial" w:hAnsi="Arial" w:cs="Arial"/>
                <w:color w:val="000000"/>
              </w:rPr>
            </w:pPr>
            <w:r w:rsidRPr="007D2F6A">
              <w:rPr>
                <w:rFonts w:ascii="Arial" w:hAnsi="Arial" w:cs="Arial"/>
                <w:color w:val="000000"/>
              </w:rPr>
              <w:t>0.67</w:t>
            </w:r>
          </w:p>
        </w:tc>
        <w:tc>
          <w:tcPr>
            <w:tcW w:w="1800" w:type="dxa"/>
            <w:tcBorders>
              <w:top w:val="nil"/>
              <w:left w:val="nil"/>
              <w:bottom w:val="nil"/>
              <w:right w:val="nil"/>
            </w:tcBorders>
            <w:shd w:val="clear" w:color="auto" w:fill="auto"/>
            <w:noWrap/>
            <w:vAlign w:val="center"/>
            <w:hideMark/>
          </w:tcPr>
          <w:p w14:paraId="05618B60"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796A91A" w14:textId="77777777" w:rsidTr="00AC27B1">
        <w:trPr>
          <w:trHeight w:val="253"/>
        </w:trPr>
        <w:tc>
          <w:tcPr>
            <w:tcW w:w="5034" w:type="dxa"/>
            <w:tcBorders>
              <w:top w:val="nil"/>
              <w:left w:val="nil"/>
              <w:bottom w:val="nil"/>
              <w:right w:val="nil"/>
            </w:tcBorders>
            <w:shd w:val="clear" w:color="auto" w:fill="auto"/>
            <w:noWrap/>
            <w:vAlign w:val="bottom"/>
            <w:hideMark/>
          </w:tcPr>
          <w:p w14:paraId="694847F0" w14:textId="77777777" w:rsidR="007D2F6A" w:rsidRPr="007D2F6A" w:rsidRDefault="007D2F6A" w:rsidP="007D2F6A">
            <w:pPr>
              <w:rPr>
                <w:rFonts w:ascii="Arial" w:hAnsi="Arial" w:cs="Arial"/>
                <w:color w:val="000000"/>
              </w:rPr>
            </w:pPr>
            <w:r w:rsidRPr="007D2F6A">
              <w:rPr>
                <w:rFonts w:ascii="Arial" w:hAnsi="Arial" w:cs="Arial"/>
                <w:color w:val="000000"/>
              </w:rPr>
              <w:t>I feel overwhelmed every time I get high score over my opponent</w:t>
            </w:r>
          </w:p>
        </w:tc>
        <w:tc>
          <w:tcPr>
            <w:tcW w:w="1045" w:type="dxa"/>
            <w:tcBorders>
              <w:top w:val="nil"/>
              <w:left w:val="nil"/>
              <w:bottom w:val="nil"/>
              <w:right w:val="nil"/>
            </w:tcBorders>
            <w:shd w:val="clear" w:color="auto" w:fill="auto"/>
            <w:noWrap/>
            <w:vAlign w:val="center"/>
            <w:hideMark/>
          </w:tcPr>
          <w:p w14:paraId="14FCAB51" w14:textId="77777777" w:rsidR="007D2F6A" w:rsidRPr="007D2F6A" w:rsidRDefault="007D2F6A" w:rsidP="007D2F6A">
            <w:pPr>
              <w:jc w:val="center"/>
              <w:rPr>
                <w:rFonts w:ascii="Arial" w:hAnsi="Arial" w:cs="Arial"/>
                <w:color w:val="000000"/>
              </w:rPr>
            </w:pPr>
            <w:r w:rsidRPr="007D2F6A">
              <w:rPr>
                <w:rFonts w:ascii="Arial" w:hAnsi="Arial" w:cs="Arial"/>
                <w:color w:val="000000"/>
              </w:rPr>
              <w:t>4.53</w:t>
            </w:r>
          </w:p>
        </w:tc>
        <w:tc>
          <w:tcPr>
            <w:tcW w:w="761" w:type="dxa"/>
            <w:tcBorders>
              <w:top w:val="nil"/>
              <w:left w:val="nil"/>
              <w:bottom w:val="nil"/>
              <w:right w:val="nil"/>
            </w:tcBorders>
            <w:shd w:val="clear" w:color="auto" w:fill="auto"/>
            <w:noWrap/>
            <w:vAlign w:val="center"/>
            <w:hideMark/>
          </w:tcPr>
          <w:p w14:paraId="3C44EFD5"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3BB19B11"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604EB95" w14:textId="77777777" w:rsidTr="00AC27B1">
        <w:trPr>
          <w:trHeight w:val="253"/>
        </w:trPr>
        <w:tc>
          <w:tcPr>
            <w:tcW w:w="5034" w:type="dxa"/>
            <w:tcBorders>
              <w:top w:val="nil"/>
              <w:left w:val="nil"/>
              <w:bottom w:val="nil"/>
              <w:right w:val="nil"/>
            </w:tcBorders>
            <w:shd w:val="clear" w:color="auto" w:fill="auto"/>
            <w:noWrap/>
            <w:vAlign w:val="bottom"/>
            <w:hideMark/>
          </w:tcPr>
          <w:p w14:paraId="59E220B0" w14:textId="77777777" w:rsidR="007D2F6A" w:rsidRPr="007D2F6A" w:rsidRDefault="007D2F6A" w:rsidP="007D2F6A">
            <w:pPr>
              <w:rPr>
                <w:rFonts w:ascii="Arial" w:hAnsi="Arial" w:cs="Arial"/>
                <w:color w:val="000000"/>
              </w:rPr>
            </w:pPr>
            <w:r w:rsidRPr="007D2F6A">
              <w:rPr>
                <w:rFonts w:ascii="Arial" w:hAnsi="Arial" w:cs="Arial"/>
                <w:color w:val="000000"/>
              </w:rPr>
              <w:t>My progress in the mobile Damath game motivate me to play more</w:t>
            </w:r>
          </w:p>
        </w:tc>
        <w:tc>
          <w:tcPr>
            <w:tcW w:w="1045" w:type="dxa"/>
            <w:tcBorders>
              <w:top w:val="nil"/>
              <w:left w:val="nil"/>
              <w:bottom w:val="nil"/>
              <w:right w:val="nil"/>
            </w:tcBorders>
            <w:shd w:val="clear" w:color="auto" w:fill="auto"/>
            <w:noWrap/>
            <w:vAlign w:val="center"/>
            <w:hideMark/>
          </w:tcPr>
          <w:p w14:paraId="530CDC66" w14:textId="77777777" w:rsidR="007D2F6A" w:rsidRPr="007D2F6A" w:rsidRDefault="007D2F6A" w:rsidP="007D2F6A">
            <w:pPr>
              <w:jc w:val="center"/>
              <w:rPr>
                <w:rFonts w:ascii="Arial" w:hAnsi="Arial" w:cs="Arial"/>
                <w:color w:val="000000"/>
              </w:rPr>
            </w:pPr>
            <w:r w:rsidRPr="007D2F6A">
              <w:rPr>
                <w:rFonts w:ascii="Arial" w:hAnsi="Arial" w:cs="Arial"/>
                <w:color w:val="000000"/>
              </w:rPr>
              <w:t>4.40</w:t>
            </w:r>
          </w:p>
        </w:tc>
        <w:tc>
          <w:tcPr>
            <w:tcW w:w="761" w:type="dxa"/>
            <w:tcBorders>
              <w:top w:val="nil"/>
              <w:left w:val="nil"/>
              <w:bottom w:val="nil"/>
              <w:right w:val="nil"/>
            </w:tcBorders>
            <w:shd w:val="clear" w:color="auto" w:fill="auto"/>
            <w:noWrap/>
            <w:vAlign w:val="center"/>
            <w:hideMark/>
          </w:tcPr>
          <w:p w14:paraId="2F701471"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79CCEF4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B62E4DF" w14:textId="77777777" w:rsidTr="00AC27B1">
        <w:trPr>
          <w:trHeight w:val="253"/>
        </w:trPr>
        <w:tc>
          <w:tcPr>
            <w:tcW w:w="5034" w:type="dxa"/>
            <w:tcBorders>
              <w:top w:val="nil"/>
              <w:left w:val="nil"/>
              <w:bottom w:val="nil"/>
              <w:right w:val="nil"/>
            </w:tcBorders>
            <w:shd w:val="clear" w:color="auto" w:fill="auto"/>
            <w:noWrap/>
            <w:vAlign w:val="bottom"/>
            <w:hideMark/>
          </w:tcPr>
          <w:p w14:paraId="45CE9D27" w14:textId="77777777" w:rsidR="007D2F6A" w:rsidRPr="007D2F6A" w:rsidRDefault="007D2F6A" w:rsidP="007D2F6A">
            <w:pPr>
              <w:rPr>
                <w:rFonts w:ascii="Arial" w:hAnsi="Arial" w:cs="Arial"/>
                <w:color w:val="000000"/>
              </w:rPr>
            </w:pPr>
            <w:r w:rsidRPr="007D2F6A">
              <w:rPr>
                <w:rFonts w:ascii="Arial" w:hAnsi="Arial" w:cs="Arial"/>
                <w:color w:val="000000"/>
              </w:rPr>
              <w:t>I feel a sense of accomplishment when I complete a level in the game</w:t>
            </w:r>
          </w:p>
        </w:tc>
        <w:tc>
          <w:tcPr>
            <w:tcW w:w="1045" w:type="dxa"/>
            <w:tcBorders>
              <w:top w:val="nil"/>
              <w:left w:val="nil"/>
              <w:bottom w:val="nil"/>
              <w:right w:val="nil"/>
            </w:tcBorders>
            <w:shd w:val="clear" w:color="auto" w:fill="auto"/>
            <w:noWrap/>
            <w:vAlign w:val="center"/>
            <w:hideMark/>
          </w:tcPr>
          <w:p w14:paraId="226FBBD5"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3385ABFA"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2A23683E"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9C8F076" w14:textId="77777777" w:rsidTr="00AC27B1">
        <w:trPr>
          <w:trHeight w:val="253"/>
        </w:trPr>
        <w:tc>
          <w:tcPr>
            <w:tcW w:w="5034" w:type="dxa"/>
            <w:tcBorders>
              <w:top w:val="nil"/>
              <w:left w:val="nil"/>
              <w:right w:val="nil"/>
            </w:tcBorders>
            <w:shd w:val="clear" w:color="auto" w:fill="auto"/>
            <w:noWrap/>
            <w:vAlign w:val="bottom"/>
            <w:hideMark/>
          </w:tcPr>
          <w:p w14:paraId="0BF30A65" w14:textId="77777777" w:rsidR="007D2F6A" w:rsidRPr="007D2F6A" w:rsidRDefault="007D2F6A" w:rsidP="007D2F6A">
            <w:pPr>
              <w:rPr>
                <w:rFonts w:ascii="Arial" w:hAnsi="Arial" w:cs="Arial"/>
                <w:color w:val="000000"/>
              </w:rPr>
            </w:pPr>
            <w:r w:rsidRPr="007D2F6A">
              <w:rPr>
                <w:rFonts w:ascii="Arial" w:hAnsi="Arial" w:cs="Arial"/>
                <w:color w:val="000000"/>
              </w:rPr>
              <w:t>I am driven to understand the rules of the mobile Damath game deeply to improve my skills</w:t>
            </w:r>
          </w:p>
        </w:tc>
        <w:tc>
          <w:tcPr>
            <w:tcW w:w="1045" w:type="dxa"/>
            <w:tcBorders>
              <w:top w:val="nil"/>
              <w:left w:val="nil"/>
              <w:right w:val="nil"/>
            </w:tcBorders>
            <w:shd w:val="clear" w:color="auto" w:fill="auto"/>
            <w:noWrap/>
            <w:vAlign w:val="center"/>
            <w:hideMark/>
          </w:tcPr>
          <w:p w14:paraId="05E26DD5" w14:textId="77777777" w:rsidR="007D2F6A" w:rsidRPr="007D2F6A" w:rsidRDefault="007D2F6A" w:rsidP="007D2F6A">
            <w:pPr>
              <w:jc w:val="center"/>
              <w:rPr>
                <w:rFonts w:ascii="Arial" w:hAnsi="Arial" w:cs="Arial"/>
                <w:color w:val="000000"/>
              </w:rPr>
            </w:pPr>
            <w:r w:rsidRPr="007D2F6A">
              <w:rPr>
                <w:rFonts w:ascii="Arial" w:hAnsi="Arial" w:cs="Arial"/>
                <w:color w:val="000000"/>
              </w:rPr>
              <w:t>4.77</w:t>
            </w:r>
          </w:p>
        </w:tc>
        <w:tc>
          <w:tcPr>
            <w:tcW w:w="761" w:type="dxa"/>
            <w:tcBorders>
              <w:top w:val="nil"/>
              <w:left w:val="nil"/>
              <w:right w:val="nil"/>
            </w:tcBorders>
            <w:shd w:val="clear" w:color="auto" w:fill="auto"/>
            <w:noWrap/>
            <w:vAlign w:val="center"/>
            <w:hideMark/>
          </w:tcPr>
          <w:p w14:paraId="5A9C2D23" w14:textId="77777777" w:rsidR="007D2F6A" w:rsidRPr="007D2F6A" w:rsidRDefault="007D2F6A" w:rsidP="007D2F6A">
            <w:pPr>
              <w:jc w:val="center"/>
              <w:rPr>
                <w:rFonts w:ascii="Arial" w:hAnsi="Arial" w:cs="Arial"/>
                <w:color w:val="000000"/>
              </w:rPr>
            </w:pPr>
            <w:r w:rsidRPr="007D2F6A">
              <w:rPr>
                <w:rFonts w:ascii="Arial" w:hAnsi="Arial" w:cs="Arial"/>
                <w:color w:val="000000"/>
              </w:rPr>
              <w:t>0.43</w:t>
            </w:r>
          </w:p>
        </w:tc>
        <w:tc>
          <w:tcPr>
            <w:tcW w:w="1800" w:type="dxa"/>
            <w:tcBorders>
              <w:top w:val="nil"/>
              <w:left w:val="nil"/>
              <w:right w:val="nil"/>
            </w:tcBorders>
            <w:shd w:val="clear" w:color="auto" w:fill="auto"/>
            <w:noWrap/>
            <w:vAlign w:val="center"/>
            <w:hideMark/>
          </w:tcPr>
          <w:p w14:paraId="347C90B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0BBBF5F" w14:textId="77777777" w:rsidTr="00AC27B1">
        <w:trPr>
          <w:trHeight w:val="468"/>
        </w:trPr>
        <w:tc>
          <w:tcPr>
            <w:tcW w:w="5034" w:type="dxa"/>
            <w:tcBorders>
              <w:top w:val="nil"/>
              <w:left w:val="nil"/>
              <w:bottom w:val="single" w:sz="4" w:space="0" w:color="auto"/>
              <w:right w:val="nil"/>
            </w:tcBorders>
            <w:shd w:val="clear" w:color="auto" w:fill="auto"/>
            <w:noWrap/>
            <w:vAlign w:val="center"/>
            <w:hideMark/>
          </w:tcPr>
          <w:p w14:paraId="1CBD9DE2" w14:textId="77777777" w:rsidR="007D2F6A" w:rsidRPr="007D2F6A" w:rsidRDefault="007D2F6A" w:rsidP="007D2F6A">
            <w:pPr>
              <w:jc w:val="right"/>
              <w:rPr>
                <w:rFonts w:ascii="Arial" w:hAnsi="Arial" w:cs="Arial"/>
                <w:b/>
                <w:color w:val="000000"/>
              </w:rPr>
            </w:pPr>
            <w:r w:rsidRPr="007D2F6A">
              <w:rPr>
                <w:rFonts w:ascii="Arial" w:hAnsi="Arial" w:cs="Arial"/>
                <w:b/>
                <w:color w:val="000000"/>
              </w:rPr>
              <w:t>Overall</w:t>
            </w:r>
          </w:p>
        </w:tc>
        <w:tc>
          <w:tcPr>
            <w:tcW w:w="1045" w:type="dxa"/>
            <w:tcBorders>
              <w:top w:val="nil"/>
              <w:left w:val="nil"/>
              <w:bottom w:val="single" w:sz="4" w:space="0" w:color="auto"/>
              <w:right w:val="nil"/>
            </w:tcBorders>
            <w:shd w:val="clear" w:color="auto" w:fill="auto"/>
            <w:noWrap/>
            <w:vAlign w:val="center"/>
            <w:hideMark/>
          </w:tcPr>
          <w:p w14:paraId="315EB7B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4.47</w:t>
            </w:r>
          </w:p>
        </w:tc>
        <w:tc>
          <w:tcPr>
            <w:tcW w:w="761" w:type="dxa"/>
            <w:tcBorders>
              <w:top w:val="nil"/>
              <w:left w:val="nil"/>
              <w:bottom w:val="single" w:sz="4" w:space="0" w:color="auto"/>
              <w:right w:val="nil"/>
            </w:tcBorders>
            <w:shd w:val="clear" w:color="auto" w:fill="auto"/>
            <w:noWrap/>
            <w:vAlign w:val="center"/>
            <w:hideMark/>
          </w:tcPr>
          <w:p w14:paraId="19BB1F2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0.28</w:t>
            </w:r>
          </w:p>
        </w:tc>
        <w:tc>
          <w:tcPr>
            <w:tcW w:w="1800" w:type="dxa"/>
            <w:tcBorders>
              <w:top w:val="nil"/>
              <w:left w:val="nil"/>
              <w:bottom w:val="single" w:sz="4" w:space="0" w:color="auto"/>
              <w:right w:val="nil"/>
            </w:tcBorders>
            <w:shd w:val="clear" w:color="auto" w:fill="auto"/>
            <w:noWrap/>
            <w:vAlign w:val="center"/>
            <w:hideMark/>
          </w:tcPr>
          <w:p w14:paraId="3AA6168C" w14:textId="77777777" w:rsidR="007D2F6A" w:rsidRPr="007D2F6A" w:rsidRDefault="007D2F6A" w:rsidP="007D2F6A">
            <w:pPr>
              <w:jc w:val="center"/>
              <w:rPr>
                <w:rFonts w:ascii="Arial" w:hAnsi="Arial" w:cs="Arial"/>
                <w:b/>
                <w:color w:val="000000"/>
              </w:rPr>
            </w:pPr>
            <w:r w:rsidRPr="007D2F6A">
              <w:rPr>
                <w:rFonts w:ascii="Arial" w:hAnsi="Arial" w:cs="Arial"/>
                <w:b/>
                <w:color w:val="000000"/>
              </w:rPr>
              <w:t>Very High</w:t>
            </w:r>
          </w:p>
        </w:tc>
      </w:tr>
    </w:tbl>
    <w:p w14:paraId="0DA95012" w14:textId="77777777" w:rsidR="007D2F6A" w:rsidRPr="007D2F6A" w:rsidRDefault="007D2F6A" w:rsidP="007D2F6A">
      <w:pPr>
        <w:jc w:val="both"/>
        <w:rPr>
          <w:rFonts w:ascii="Arial" w:eastAsia="Calibri" w:hAnsi="Arial" w:cs="Arial"/>
          <w:b/>
        </w:rPr>
      </w:pPr>
    </w:p>
    <w:p w14:paraId="33716AA0" w14:textId="6E3CFE80"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5</w:t>
      </w:r>
      <w:r w:rsidRPr="007D2F6A">
        <w:rPr>
          <w:rFonts w:ascii="Arial" w:eastAsia="Calibri" w:hAnsi="Arial" w:cs="Arial"/>
        </w:rPr>
        <w:t xml:space="preserve"> presents the level</w:t>
      </w:r>
      <w:r w:rsidR="00F82102">
        <w:rPr>
          <w:rFonts w:ascii="Arial" w:eastAsia="Calibri" w:hAnsi="Arial" w:cs="Arial"/>
        </w:rPr>
        <w:t xml:space="preserve"> of students’ engagement with</w:t>
      </w:r>
      <w:r w:rsidRPr="007D2F6A">
        <w:rPr>
          <w:rFonts w:ascii="Arial" w:eastAsia="Calibri" w:hAnsi="Arial" w:cs="Arial"/>
        </w:rPr>
        <w:t xml:space="preserve"> the mobile Damath game in terms of attitude and motivation. Results show that students exhibited a </w:t>
      </w:r>
      <w:r w:rsidRPr="007D2F6A">
        <w:rPr>
          <w:rFonts w:ascii="Arial" w:eastAsia="Calibri" w:hAnsi="Arial" w:cs="Arial"/>
          <w:bCs/>
        </w:rPr>
        <w:t>very high level of engagement</w:t>
      </w:r>
      <w:r w:rsidRPr="007D2F6A">
        <w:rPr>
          <w:rFonts w:ascii="Arial" w:eastAsia="Calibri" w:hAnsi="Arial" w:cs="Arial"/>
        </w:rPr>
        <w:t xml:space="preserve"> across both dimensions. In terms of </w:t>
      </w:r>
      <w:r w:rsidRPr="007D2F6A">
        <w:rPr>
          <w:rFonts w:ascii="Arial" w:eastAsia="Calibri" w:hAnsi="Arial" w:cs="Arial"/>
          <w:bCs/>
        </w:rPr>
        <w:t>attitude</w:t>
      </w:r>
      <w:r w:rsidRPr="007D2F6A">
        <w:rPr>
          <w:rFonts w:ascii="Arial" w:eastAsia="Calibri" w:hAnsi="Arial" w:cs="Arial"/>
        </w:rPr>
        <w:t xml:space="preserve">, all items received mean scores ranging from 4.37 to 4.60, with an overall mean of 4.48 (SD = 0.28), indicating that students were highly enthusiastic, attentive, and consistent in playing the game. Similarly, in the area of </w:t>
      </w:r>
      <w:r w:rsidRPr="007D2F6A">
        <w:rPr>
          <w:rFonts w:ascii="Arial" w:eastAsia="Calibri" w:hAnsi="Arial" w:cs="Arial"/>
          <w:bCs/>
        </w:rPr>
        <w:t>motivation</w:t>
      </w:r>
      <w:r w:rsidRPr="007D2F6A">
        <w:rPr>
          <w:rFonts w:ascii="Arial" w:eastAsia="Calibri" w:hAnsi="Arial" w:cs="Arial"/>
        </w:rPr>
        <w:t xml:space="preserve">, most indicators also registered </w:t>
      </w:r>
      <w:r w:rsidRPr="007D2F6A">
        <w:rPr>
          <w:rFonts w:ascii="Arial" w:eastAsia="Calibri" w:hAnsi="Arial" w:cs="Arial"/>
          <w:bCs/>
        </w:rPr>
        <w:t>very high ratings</w:t>
      </w:r>
      <w:r w:rsidRPr="007D2F6A">
        <w:rPr>
          <w:rFonts w:ascii="Arial" w:eastAsia="Calibri" w:hAnsi="Arial" w:cs="Arial"/>
        </w:rPr>
        <w:t>, with mean scores between 4.03 and 4.77 and an overall mean of 4.47 (SD = 0.28). Notably, the highest motivation was seen in the students' drive to understand the game deeply (M = 4.77, SD = 0.43), while the item on playing for self-challenge showed the lowest but still high rating (M = 4.03, SD = 0.49). These findings suggest that the mobile Damath game effectively fosters positive attitudes and strong intrinsic motivation among students, supporting its potential as an engaging educational tool.</w:t>
      </w:r>
    </w:p>
    <w:p w14:paraId="21145CC9" w14:textId="77777777" w:rsidR="007D2F6A" w:rsidRPr="007D2F6A" w:rsidRDefault="007D2F6A" w:rsidP="007D2F6A">
      <w:pPr>
        <w:jc w:val="both"/>
        <w:rPr>
          <w:rFonts w:ascii="Arial" w:eastAsia="Calibri" w:hAnsi="Arial" w:cs="Arial"/>
          <w:b/>
        </w:rPr>
      </w:pPr>
    </w:p>
    <w:p w14:paraId="25384AA3" w14:textId="77777777" w:rsidR="007D2F6A" w:rsidRPr="007D2F6A" w:rsidRDefault="007D2F6A" w:rsidP="007D2F6A">
      <w:pPr>
        <w:spacing w:after="160"/>
        <w:jc w:val="both"/>
        <w:rPr>
          <w:rFonts w:ascii="Arial" w:eastAsia="Calibri" w:hAnsi="Arial" w:cs="Arial"/>
          <w:b/>
          <w:sz w:val="22"/>
        </w:rPr>
      </w:pPr>
      <w:r w:rsidRPr="007D2F6A">
        <w:rPr>
          <w:rFonts w:ascii="Arial" w:eastAsia="Calibri" w:hAnsi="Arial" w:cs="Arial"/>
          <w:b/>
          <w:sz w:val="22"/>
        </w:rPr>
        <w:t>Math Performance Level of Experimental and Control Groups in Terms of Post-Test Results</w:t>
      </w:r>
    </w:p>
    <w:p w14:paraId="7B940ADB" w14:textId="77777777" w:rsidR="007D2F6A" w:rsidRPr="007D2F6A" w:rsidRDefault="007D2F6A" w:rsidP="007D2F6A">
      <w:pPr>
        <w:spacing w:after="160"/>
        <w:jc w:val="both"/>
        <w:rPr>
          <w:rFonts w:ascii="Arial" w:eastAsia="Calibri" w:hAnsi="Arial" w:cs="Arial"/>
        </w:rPr>
      </w:pPr>
      <w:r w:rsidRPr="007D2F6A">
        <w:rPr>
          <w:rFonts w:ascii="Arial" w:eastAsia="Calibri" w:hAnsi="Arial" w:cs="Arial"/>
        </w:rPr>
        <w:t>The study was conducted over a period of three (3) weeks. During the implementation phase, both the experimental and control groups were allotted one (1) hour per day. Both classes were handled by the researcher herself to maintain consistency. In the experimental group, students engaged in activities involving the Damath game, which included an introduction to the game, a discussion to integer operations (addition, subtraction, multiplication, division), strategy development, and sharing of gameplay experiences. Meanwhile, the control group followed a traditional teaching approach focused solely on lectures and discussions about integers. After this period, a post-test was administered to the participants to evaluate the impact of the intervention and the traditional teaching method on the math performance of the experimental and control groups, respectively. The outcome of the post-test is presented in the table below.</w:t>
      </w:r>
    </w:p>
    <w:p w14:paraId="797163DF" w14:textId="0F89DAAF" w:rsidR="007D2F6A" w:rsidRPr="007D2F6A" w:rsidRDefault="007D2F6A" w:rsidP="007D2F6A">
      <w:pPr>
        <w:spacing w:after="160"/>
        <w:jc w:val="both"/>
        <w:rPr>
          <w:rFonts w:ascii="Arial" w:eastAsia="Calibri" w:hAnsi="Arial" w:cs="Arial"/>
          <w:b/>
        </w:rPr>
      </w:pPr>
      <w:r w:rsidRPr="007D2F6A">
        <w:rPr>
          <w:rFonts w:ascii="Arial" w:eastAsia="Calibri" w:hAnsi="Arial" w:cs="Arial"/>
          <w:b/>
        </w:rPr>
        <w:lastRenderedPageBreak/>
        <w:t xml:space="preserve">Table </w:t>
      </w:r>
      <w:r w:rsidR="0091625F">
        <w:rPr>
          <w:rFonts w:ascii="Arial" w:eastAsia="Calibri" w:hAnsi="Arial" w:cs="Arial"/>
          <w:b/>
        </w:rPr>
        <w:t>6</w:t>
      </w:r>
      <w:r w:rsidRPr="007D2F6A">
        <w:rPr>
          <w:rFonts w:ascii="Arial" w:eastAsia="Calibri" w:hAnsi="Arial" w:cs="Arial"/>
          <w:b/>
        </w:rPr>
        <w:t>. Post-test Results of Experimental and Control Groups</w:t>
      </w:r>
    </w:p>
    <w:tbl>
      <w:tblPr>
        <w:tblW w:w="8745" w:type="dxa"/>
        <w:tblLook w:val="04A0" w:firstRow="1" w:lastRow="0" w:firstColumn="1" w:lastColumn="0" w:noHBand="0" w:noVBand="1"/>
      </w:tblPr>
      <w:tblGrid>
        <w:gridCol w:w="1170"/>
        <w:gridCol w:w="1384"/>
        <w:gridCol w:w="1006"/>
        <w:gridCol w:w="1295"/>
        <w:gridCol w:w="810"/>
        <w:gridCol w:w="439"/>
        <w:gridCol w:w="810"/>
        <w:gridCol w:w="810"/>
        <w:gridCol w:w="1050"/>
      </w:tblGrid>
      <w:tr w:rsidR="00EE2BFF" w:rsidRPr="007D2F6A" w14:paraId="380D0A0A" w14:textId="77777777" w:rsidTr="00EE2BFF">
        <w:trPr>
          <w:trHeight w:val="358"/>
        </w:trPr>
        <w:tc>
          <w:tcPr>
            <w:tcW w:w="1170" w:type="dxa"/>
            <w:tcBorders>
              <w:top w:val="single" w:sz="8" w:space="0" w:color="auto"/>
              <w:left w:val="nil"/>
              <w:bottom w:val="single" w:sz="4" w:space="0" w:color="auto"/>
              <w:right w:val="nil"/>
            </w:tcBorders>
            <w:shd w:val="clear" w:color="auto" w:fill="auto"/>
            <w:noWrap/>
            <w:vAlign w:val="center"/>
          </w:tcPr>
          <w:p w14:paraId="0E116D02" w14:textId="77777777" w:rsidR="007D2F6A" w:rsidRPr="007D2F6A" w:rsidRDefault="007D2F6A" w:rsidP="007D2F6A">
            <w:pPr>
              <w:jc w:val="center"/>
              <w:rPr>
                <w:rFonts w:ascii="Arial" w:hAnsi="Arial" w:cs="Arial"/>
                <w:i/>
                <w:iCs/>
                <w:color w:val="000000"/>
              </w:rPr>
            </w:pPr>
          </w:p>
        </w:tc>
        <w:tc>
          <w:tcPr>
            <w:tcW w:w="1384" w:type="dxa"/>
            <w:tcBorders>
              <w:top w:val="single" w:sz="8" w:space="0" w:color="auto"/>
              <w:left w:val="nil"/>
              <w:bottom w:val="single" w:sz="4" w:space="0" w:color="auto"/>
              <w:right w:val="nil"/>
            </w:tcBorders>
            <w:vAlign w:val="center"/>
          </w:tcPr>
          <w:p w14:paraId="4D8F971B"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Groups</w:t>
            </w:r>
          </w:p>
        </w:tc>
        <w:tc>
          <w:tcPr>
            <w:tcW w:w="1006" w:type="dxa"/>
            <w:tcBorders>
              <w:top w:val="single" w:sz="8" w:space="0" w:color="auto"/>
              <w:left w:val="nil"/>
              <w:bottom w:val="single" w:sz="4" w:space="0" w:color="auto"/>
              <w:right w:val="nil"/>
            </w:tcBorders>
            <w:shd w:val="clear" w:color="auto" w:fill="auto"/>
            <w:noWrap/>
            <w:vAlign w:val="center"/>
            <w:hideMark/>
          </w:tcPr>
          <w:p w14:paraId="18A4B530"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Average</w:t>
            </w:r>
          </w:p>
        </w:tc>
        <w:tc>
          <w:tcPr>
            <w:tcW w:w="1300" w:type="dxa"/>
            <w:tcBorders>
              <w:top w:val="single" w:sz="8" w:space="0" w:color="auto"/>
              <w:left w:val="nil"/>
              <w:bottom w:val="single" w:sz="4" w:space="0" w:color="auto"/>
              <w:right w:val="nil"/>
            </w:tcBorders>
          </w:tcPr>
          <w:p w14:paraId="01C7A5C4"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Proficiency Level</w:t>
            </w:r>
          </w:p>
        </w:tc>
        <w:tc>
          <w:tcPr>
            <w:tcW w:w="810" w:type="dxa"/>
            <w:tcBorders>
              <w:top w:val="single" w:sz="8" w:space="0" w:color="auto"/>
              <w:left w:val="nil"/>
              <w:bottom w:val="single" w:sz="4" w:space="0" w:color="auto"/>
              <w:right w:val="nil"/>
            </w:tcBorders>
            <w:shd w:val="clear" w:color="auto" w:fill="auto"/>
            <w:noWrap/>
            <w:vAlign w:val="center"/>
            <w:hideMark/>
          </w:tcPr>
          <w:p w14:paraId="632F13F0"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SD</w:t>
            </w:r>
          </w:p>
        </w:tc>
        <w:tc>
          <w:tcPr>
            <w:tcW w:w="450" w:type="dxa"/>
            <w:tcBorders>
              <w:top w:val="single" w:sz="8" w:space="0" w:color="auto"/>
              <w:left w:val="nil"/>
              <w:bottom w:val="single" w:sz="4" w:space="0" w:color="auto"/>
              <w:right w:val="nil"/>
            </w:tcBorders>
            <w:vAlign w:val="center"/>
          </w:tcPr>
          <w:p w14:paraId="201CBFD3"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df</w:t>
            </w:r>
          </w:p>
        </w:tc>
        <w:tc>
          <w:tcPr>
            <w:tcW w:w="810" w:type="dxa"/>
            <w:tcBorders>
              <w:top w:val="single" w:sz="8" w:space="0" w:color="auto"/>
              <w:left w:val="nil"/>
              <w:bottom w:val="single" w:sz="4" w:space="0" w:color="auto"/>
              <w:right w:val="nil"/>
            </w:tcBorders>
            <w:shd w:val="clear" w:color="auto" w:fill="auto"/>
            <w:noWrap/>
            <w:vAlign w:val="center"/>
            <w:hideMark/>
          </w:tcPr>
          <w:p w14:paraId="09F7BFC6"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t-stat</w:t>
            </w:r>
          </w:p>
        </w:tc>
        <w:tc>
          <w:tcPr>
            <w:tcW w:w="810" w:type="dxa"/>
            <w:tcBorders>
              <w:top w:val="single" w:sz="8" w:space="0" w:color="auto"/>
              <w:left w:val="nil"/>
              <w:bottom w:val="single" w:sz="4" w:space="0" w:color="auto"/>
              <w:right w:val="nil"/>
            </w:tcBorders>
            <w:shd w:val="clear" w:color="auto" w:fill="auto"/>
            <w:noWrap/>
            <w:vAlign w:val="center"/>
            <w:hideMark/>
          </w:tcPr>
          <w:p w14:paraId="0084B24D"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P-value</w:t>
            </w:r>
          </w:p>
        </w:tc>
        <w:tc>
          <w:tcPr>
            <w:tcW w:w="1005" w:type="dxa"/>
            <w:tcBorders>
              <w:top w:val="single" w:sz="8" w:space="0" w:color="auto"/>
              <w:left w:val="nil"/>
              <w:bottom w:val="single" w:sz="4" w:space="0" w:color="auto"/>
              <w:right w:val="nil"/>
            </w:tcBorders>
            <w:vAlign w:val="center"/>
          </w:tcPr>
          <w:p w14:paraId="7DB8DD41" w14:textId="77777777" w:rsidR="007D2F6A" w:rsidRPr="007D2F6A" w:rsidRDefault="00AA2B40" w:rsidP="007D2F6A">
            <w:pPr>
              <w:jc w:val="center"/>
              <w:rPr>
                <w:rFonts w:ascii="Arial" w:hAnsi="Arial" w:cs="Arial"/>
                <w:b/>
                <w:iCs/>
                <w:color w:val="000000"/>
              </w:rPr>
            </w:pPr>
            <w:r>
              <w:rPr>
                <w:rFonts w:ascii="Arial" w:hAnsi="Arial" w:cs="Arial"/>
                <w:b/>
                <w:iCs/>
                <w:color w:val="000000"/>
              </w:rPr>
              <w:t xml:space="preserve">Decision on </w:t>
            </w:r>
            <w:r w:rsidRPr="00AA2B40">
              <w:rPr>
                <w:rFonts w:ascii="Arial" w:hAnsi="Arial" w:cs="Arial"/>
                <w:iCs/>
                <w:color w:val="000000"/>
              </w:rPr>
              <w:t>H</w:t>
            </w:r>
            <w:r w:rsidRPr="00AA2B40">
              <w:rPr>
                <w:rFonts w:ascii="Arial" w:hAnsi="Arial" w:cs="Arial"/>
                <w:iCs/>
                <w:color w:val="000000"/>
                <w:vertAlign w:val="subscript"/>
              </w:rPr>
              <w:t>o</w:t>
            </w:r>
          </w:p>
        </w:tc>
      </w:tr>
      <w:tr w:rsidR="00EE2BFF" w:rsidRPr="007D2F6A" w14:paraId="71DE3625" w14:textId="77777777" w:rsidTr="00EE2BFF">
        <w:trPr>
          <w:trHeight w:val="651"/>
        </w:trPr>
        <w:tc>
          <w:tcPr>
            <w:tcW w:w="1170" w:type="dxa"/>
            <w:vMerge w:val="restart"/>
            <w:tcBorders>
              <w:left w:val="nil"/>
              <w:right w:val="nil"/>
            </w:tcBorders>
            <w:shd w:val="clear" w:color="auto" w:fill="auto"/>
            <w:noWrap/>
            <w:vAlign w:val="center"/>
          </w:tcPr>
          <w:p w14:paraId="6746F793" w14:textId="77777777" w:rsidR="007D2F6A" w:rsidRPr="007D2F6A" w:rsidRDefault="007D2F6A" w:rsidP="007D2F6A">
            <w:pPr>
              <w:rPr>
                <w:rFonts w:ascii="Arial" w:hAnsi="Arial" w:cs="Arial"/>
                <w:b/>
                <w:color w:val="000000"/>
              </w:rPr>
            </w:pPr>
            <w:r w:rsidRPr="007D2F6A">
              <w:rPr>
                <w:rFonts w:ascii="Arial" w:hAnsi="Arial" w:cs="Arial"/>
                <w:b/>
                <w:color w:val="000000"/>
              </w:rPr>
              <w:t>Post-Test</w:t>
            </w:r>
          </w:p>
        </w:tc>
        <w:tc>
          <w:tcPr>
            <w:tcW w:w="1384" w:type="dxa"/>
            <w:tcBorders>
              <w:top w:val="nil"/>
              <w:left w:val="nil"/>
              <w:bottom w:val="nil"/>
              <w:right w:val="nil"/>
            </w:tcBorders>
            <w:vAlign w:val="center"/>
          </w:tcPr>
          <w:p w14:paraId="2894A95B" w14:textId="77777777" w:rsidR="007D2F6A" w:rsidRPr="007D2F6A" w:rsidRDefault="007D2F6A" w:rsidP="007D2F6A">
            <w:pPr>
              <w:jc w:val="center"/>
              <w:rPr>
                <w:rFonts w:ascii="Arial" w:hAnsi="Arial" w:cs="Arial"/>
                <w:color w:val="000000"/>
              </w:rPr>
            </w:pPr>
            <w:r w:rsidRPr="007D2F6A">
              <w:rPr>
                <w:rFonts w:ascii="Arial" w:hAnsi="Arial" w:cs="Arial"/>
                <w:color w:val="000000"/>
              </w:rPr>
              <w:t>Experimental</w:t>
            </w:r>
          </w:p>
        </w:tc>
        <w:tc>
          <w:tcPr>
            <w:tcW w:w="1006" w:type="dxa"/>
            <w:tcBorders>
              <w:top w:val="nil"/>
              <w:left w:val="nil"/>
              <w:bottom w:val="nil"/>
              <w:right w:val="nil"/>
            </w:tcBorders>
            <w:shd w:val="clear" w:color="auto" w:fill="auto"/>
            <w:noWrap/>
            <w:vAlign w:val="center"/>
          </w:tcPr>
          <w:p w14:paraId="6A31D190" w14:textId="77777777" w:rsidR="007D2F6A" w:rsidRPr="007D2F6A" w:rsidRDefault="007D2F6A" w:rsidP="007D2F6A">
            <w:pPr>
              <w:jc w:val="center"/>
              <w:rPr>
                <w:rFonts w:ascii="Arial" w:hAnsi="Arial" w:cs="Arial"/>
                <w:color w:val="000000"/>
              </w:rPr>
            </w:pPr>
            <w:r w:rsidRPr="007D2F6A">
              <w:rPr>
                <w:rFonts w:ascii="Arial" w:hAnsi="Arial" w:cs="Arial"/>
                <w:color w:val="000000"/>
              </w:rPr>
              <w:t>77.35%</w:t>
            </w:r>
          </w:p>
        </w:tc>
        <w:tc>
          <w:tcPr>
            <w:tcW w:w="1300" w:type="dxa"/>
            <w:tcBorders>
              <w:top w:val="nil"/>
              <w:left w:val="nil"/>
              <w:bottom w:val="nil"/>
              <w:right w:val="nil"/>
            </w:tcBorders>
          </w:tcPr>
          <w:p w14:paraId="1441626C" w14:textId="77777777" w:rsidR="007D2F6A" w:rsidRPr="007D2F6A" w:rsidRDefault="007D2F6A" w:rsidP="007D2F6A">
            <w:pPr>
              <w:jc w:val="center"/>
              <w:rPr>
                <w:rFonts w:ascii="Arial" w:hAnsi="Arial" w:cs="Arial"/>
                <w:color w:val="000000"/>
                <w:sz w:val="10"/>
                <w:szCs w:val="10"/>
              </w:rPr>
            </w:pPr>
          </w:p>
          <w:p w14:paraId="2B698C4C" w14:textId="77777777" w:rsidR="007D2F6A" w:rsidRPr="007D2F6A" w:rsidRDefault="007D2F6A" w:rsidP="007D2F6A">
            <w:pPr>
              <w:jc w:val="center"/>
              <w:rPr>
                <w:rFonts w:ascii="Arial" w:hAnsi="Arial" w:cs="Arial"/>
                <w:color w:val="000000"/>
              </w:rPr>
            </w:pPr>
            <w:r w:rsidRPr="007D2F6A">
              <w:rPr>
                <w:rFonts w:ascii="Arial" w:hAnsi="Arial" w:cs="Arial"/>
                <w:color w:val="000000"/>
              </w:rPr>
              <w:t>Developing Level</w:t>
            </w:r>
          </w:p>
        </w:tc>
        <w:tc>
          <w:tcPr>
            <w:tcW w:w="810" w:type="dxa"/>
            <w:tcBorders>
              <w:top w:val="nil"/>
              <w:left w:val="nil"/>
              <w:bottom w:val="nil"/>
              <w:right w:val="nil"/>
            </w:tcBorders>
            <w:shd w:val="clear" w:color="auto" w:fill="auto"/>
            <w:noWrap/>
            <w:vAlign w:val="center"/>
          </w:tcPr>
          <w:p w14:paraId="0B3808E5" w14:textId="77777777" w:rsidR="007D2F6A" w:rsidRPr="007D2F6A" w:rsidRDefault="007D2F6A" w:rsidP="007D2F6A">
            <w:pPr>
              <w:jc w:val="center"/>
              <w:rPr>
                <w:rFonts w:ascii="Arial" w:hAnsi="Arial" w:cs="Arial"/>
                <w:color w:val="000000"/>
              </w:rPr>
            </w:pPr>
            <w:r w:rsidRPr="007D2F6A">
              <w:rPr>
                <w:rFonts w:ascii="Arial" w:hAnsi="Arial" w:cs="Arial"/>
                <w:color w:val="000000"/>
              </w:rPr>
              <w:t>4.23</w:t>
            </w:r>
          </w:p>
        </w:tc>
        <w:tc>
          <w:tcPr>
            <w:tcW w:w="450" w:type="dxa"/>
            <w:vMerge w:val="restart"/>
            <w:tcBorders>
              <w:left w:val="nil"/>
              <w:right w:val="nil"/>
            </w:tcBorders>
            <w:vAlign w:val="center"/>
          </w:tcPr>
          <w:p w14:paraId="7FB9DF07" w14:textId="77777777" w:rsidR="007D2F6A" w:rsidRPr="007D2F6A" w:rsidRDefault="007D2F6A" w:rsidP="007D2F6A">
            <w:pPr>
              <w:jc w:val="center"/>
              <w:rPr>
                <w:rFonts w:ascii="Arial" w:hAnsi="Arial" w:cs="Arial"/>
                <w:color w:val="000000"/>
              </w:rPr>
            </w:pPr>
            <w:r w:rsidRPr="007D2F6A">
              <w:rPr>
                <w:rFonts w:ascii="Arial" w:hAnsi="Arial" w:cs="Arial"/>
                <w:color w:val="000000"/>
              </w:rPr>
              <w:t>58</w:t>
            </w:r>
          </w:p>
        </w:tc>
        <w:tc>
          <w:tcPr>
            <w:tcW w:w="810" w:type="dxa"/>
            <w:vMerge w:val="restart"/>
            <w:tcBorders>
              <w:left w:val="nil"/>
              <w:bottom w:val="single" w:sz="4" w:space="0" w:color="auto"/>
              <w:right w:val="nil"/>
            </w:tcBorders>
            <w:shd w:val="clear" w:color="auto" w:fill="auto"/>
            <w:noWrap/>
            <w:vAlign w:val="center"/>
          </w:tcPr>
          <w:p w14:paraId="18AE0555" w14:textId="77777777" w:rsidR="007D2F6A" w:rsidRPr="007D2F6A" w:rsidRDefault="007D2F6A" w:rsidP="007D2F6A">
            <w:pPr>
              <w:jc w:val="center"/>
              <w:rPr>
                <w:rFonts w:ascii="Arial" w:hAnsi="Arial" w:cs="Arial"/>
                <w:color w:val="000000"/>
              </w:rPr>
            </w:pPr>
            <w:r w:rsidRPr="007D2F6A">
              <w:rPr>
                <w:rFonts w:ascii="Arial" w:hAnsi="Arial" w:cs="Arial"/>
                <w:color w:val="000000"/>
              </w:rPr>
              <w:t>2.972</w:t>
            </w:r>
          </w:p>
        </w:tc>
        <w:tc>
          <w:tcPr>
            <w:tcW w:w="810" w:type="dxa"/>
            <w:vMerge w:val="restart"/>
            <w:tcBorders>
              <w:left w:val="nil"/>
              <w:bottom w:val="single" w:sz="4" w:space="0" w:color="auto"/>
              <w:right w:val="nil"/>
            </w:tcBorders>
            <w:shd w:val="clear" w:color="auto" w:fill="auto"/>
            <w:noWrap/>
            <w:vAlign w:val="center"/>
          </w:tcPr>
          <w:p w14:paraId="670F5608" w14:textId="77777777" w:rsidR="007D2F6A" w:rsidRPr="007D2F6A" w:rsidRDefault="007D2F6A" w:rsidP="007D2F6A">
            <w:pPr>
              <w:jc w:val="center"/>
              <w:rPr>
                <w:rFonts w:ascii="Arial" w:hAnsi="Arial" w:cs="Arial"/>
              </w:rPr>
            </w:pPr>
            <w:r w:rsidRPr="007D2F6A">
              <w:rPr>
                <w:rFonts w:ascii="Arial" w:hAnsi="Arial" w:cs="Arial"/>
              </w:rPr>
              <w:t>0.004</w:t>
            </w:r>
          </w:p>
        </w:tc>
        <w:tc>
          <w:tcPr>
            <w:tcW w:w="1005" w:type="dxa"/>
            <w:vMerge w:val="restart"/>
            <w:tcBorders>
              <w:left w:val="nil"/>
              <w:right w:val="nil"/>
            </w:tcBorders>
            <w:vAlign w:val="center"/>
          </w:tcPr>
          <w:p w14:paraId="52646E09" w14:textId="77777777" w:rsidR="007D2F6A" w:rsidRPr="007D2F6A" w:rsidRDefault="00AA2B40" w:rsidP="007D2F6A">
            <w:pPr>
              <w:jc w:val="center"/>
              <w:rPr>
                <w:rFonts w:ascii="Arial" w:hAnsi="Arial" w:cs="Arial"/>
                <w:color w:val="000000"/>
              </w:rPr>
            </w:pPr>
            <w:r>
              <w:rPr>
                <w:rFonts w:ascii="Arial" w:hAnsi="Arial" w:cs="Arial"/>
                <w:color w:val="000000"/>
              </w:rPr>
              <w:t>Reject</w:t>
            </w:r>
          </w:p>
        </w:tc>
      </w:tr>
      <w:tr w:rsidR="00EE2BFF" w:rsidRPr="007D2F6A" w14:paraId="4E8F7053" w14:textId="77777777" w:rsidTr="00EE2BFF">
        <w:trPr>
          <w:trHeight w:val="651"/>
        </w:trPr>
        <w:tc>
          <w:tcPr>
            <w:tcW w:w="1170" w:type="dxa"/>
            <w:vMerge/>
            <w:tcBorders>
              <w:left w:val="nil"/>
              <w:bottom w:val="single" w:sz="4" w:space="0" w:color="auto"/>
              <w:right w:val="nil"/>
            </w:tcBorders>
            <w:shd w:val="clear" w:color="auto" w:fill="auto"/>
            <w:noWrap/>
            <w:vAlign w:val="bottom"/>
          </w:tcPr>
          <w:p w14:paraId="74D01257" w14:textId="77777777" w:rsidR="007D2F6A" w:rsidRPr="007D2F6A" w:rsidRDefault="007D2F6A" w:rsidP="007D2F6A">
            <w:pPr>
              <w:rPr>
                <w:rFonts w:ascii="Arial" w:hAnsi="Arial" w:cs="Arial"/>
                <w:color w:val="000000"/>
              </w:rPr>
            </w:pPr>
          </w:p>
        </w:tc>
        <w:tc>
          <w:tcPr>
            <w:tcW w:w="1384" w:type="dxa"/>
            <w:tcBorders>
              <w:top w:val="nil"/>
              <w:left w:val="nil"/>
              <w:bottom w:val="single" w:sz="4" w:space="0" w:color="auto"/>
              <w:right w:val="nil"/>
            </w:tcBorders>
            <w:vAlign w:val="center"/>
          </w:tcPr>
          <w:p w14:paraId="6D5C78D5" w14:textId="77777777" w:rsidR="007D2F6A" w:rsidRPr="007D2F6A" w:rsidRDefault="007D2F6A" w:rsidP="007D2F6A">
            <w:pPr>
              <w:jc w:val="center"/>
              <w:rPr>
                <w:rFonts w:ascii="Arial" w:hAnsi="Arial" w:cs="Arial"/>
                <w:color w:val="000000"/>
              </w:rPr>
            </w:pPr>
            <w:r w:rsidRPr="007D2F6A">
              <w:rPr>
                <w:rFonts w:ascii="Arial" w:hAnsi="Arial" w:cs="Arial"/>
                <w:color w:val="000000"/>
              </w:rPr>
              <w:t>Control</w:t>
            </w:r>
          </w:p>
        </w:tc>
        <w:tc>
          <w:tcPr>
            <w:tcW w:w="1006" w:type="dxa"/>
            <w:tcBorders>
              <w:top w:val="nil"/>
              <w:left w:val="nil"/>
              <w:bottom w:val="single" w:sz="4" w:space="0" w:color="auto"/>
              <w:right w:val="nil"/>
            </w:tcBorders>
            <w:shd w:val="clear" w:color="auto" w:fill="auto"/>
            <w:noWrap/>
            <w:vAlign w:val="center"/>
          </w:tcPr>
          <w:p w14:paraId="0F946C82" w14:textId="77777777" w:rsidR="007D2F6A" w:rsidRPr="007D2F6A" w:rsidRDefault="007D2F6A" w:rsidP="007D2F6A">
            <w:pPr>
              <w:jc w:val="center"/>
              <w:rPr>
                <w:rFonts w:ascii="Arial" w:hAnsi="Arial" w:cs="Arial"/>
                <w:color w:val="000000"/>
              </w:rPr>
            </w:pPr>
            <w:r w:rsidRPr="007D2F6A">
              <w:rPr>
                <w:rFonts w:ascii="Arial" w:hAnsi="Arial" w:cs="Arial"/>
                <w:color w:val="000000"/>
              </w:rPr>
              <w:t>73.61%</w:t>
            </w:r>
          </w:p>
        </w:tc>
        <w:tc>
          <w:tcPr>
            <w:tcW w:w="1300" w:type="dxa"/>
            <w:tcBorders>
              <w:top w:val="nil"/>
              <w:left w:val="nil"/>
              <w:bottom w:val="single" w:sz="4" w:space="0" w:color="auto"/>
              <w:right w:val="nil"/>
            </w:tcBorders>
          </w:tcPr>
          <w:p w14:paraId="4C1364B5" w14:textId="77777777" w:rsidR="007D2F6A" w:rsidRPr="007D2F6A" w:rsidRDefault="007D2F6A" w:rsidP="007D2F6A">
            <w:pPr>
              <w:jc w:val="center"/>
              <w:rPr>
                <w:rFonts w:ascii="Arial" w:hAnsi="Arial" w:cs="Arial"/>
                <w:color w:val="000000"/>
                <w:sz w:val="10"/>
                <w:szCs w:val="10"/>
              </w:rPr>
            </w:pPr>
          </w:p>
          <w:p w14:paraId="1F0B5769"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single" w:sz="4" w:space="0" w:color="auto"/>
              <w:right w:val="nil"/>
            </w:tcBorders>
            <w:shd w:val="clear" w:color="auto" w:fill="auto"/>
            <w:noWrap/>
            <w:vAlign w:val="center"/>
          </w:tcPr>
          <w:p w14:paraId="112520F4" w14:textId="77777777" w:rsidR="007D2F6A" w:rsidRPr="007D2F6A" w:rsidRDefault="007D2F6A" w:rsidP="007D2F6A">
            <w:pPr>
              <w:jc w:val="center"/>
              <w:rPr>
                <w:rFonts w:ascii="Arial" w:hAnsi="Arial" w:cs="Arial"/>
                <w:color w:val="000000"/>
              </w:rPr>
            </w:pPr>
            <w:r w:rsidRPr="007D2F6A">
              <w:rPr>
                <w:rFonts w:ascii="Arial" w:hAnsi="Arial" w:cs="Arial"/>
                <w:color w:val="000000"/>
              </w:rPr>
              <w:t>5.44</w:t>
            </w:r>
          </w:p>
        </w:tc>
        <w:tc>
          <w:tcPr>
            <w:tcW w:w="450" w:type="dxa"/>
            <w:vMerge/>
            <w:tcBorders>
              <w:left w:val="nil"/>
              <w:bottom w:val="single" w:sz="4" w:space="0" w:color="auto"/>
              <w:right w:val="nil"/>
            </w:tcBorders>
          </w:tcPr>
          <w:p w14:paraId="586DE0E5" w14:textId="77777777" w:rsidR="007D2F6A" w:rsidRPr="007D2F6A" w:rsidRDefault="007D2F6A" w:rsidP="007D2F6A">
            <w:pPr>
              <w:jc w:val="center"/>
              <w:rPr>
                <w:rFonts w:ascii="Arial" w:hAnsi="Arial" w:cs="Arial"/>
                <w:color w:val="000000"/>
              </w:rPr>
            </w:pPr>
          </w:p>
        </w:tc>
        <w:tc>
          <w:tcPr>
            <w:tcW w:w="810" w:type="dxa"/>
            <w:vMerge/>
            <w:tcBorders>
              <w:left w:val="nil"/>
              <w:bottom w:val="single" w:sz="4" w:space="0" w:color="auto"/>
              <w:right w:val="nil"/>
            </w:tcBorders>
            <w:shd w:val="clear" w:color="auto" w:fill="auto"/>
            <w:noWrap/>
            <w:vAlign w:val="center"/>
          </w:tcPr>
          <w:p w14:paraId="0A598A23" w14:textId="77777777" w:rsidR="007D2F6A" w:rsidRPr="007D2F6A" w:rsidRDefault="007D2F6A" w:rsidP="007D2F6A">
            <w:pPr>
              <w:jc w:val="center"/>
              <w:rPr>
                <w:rFonts w:ascii="Arial" w:hAnsi="Arial" w:cs="Arial"/>
                <w:color w:val="000000"/>
              </w:rPr>
            </w:pPr>
          </w:p>
        </w:tc>
        <w:tc>
          <w:tcPr>
            <w:tcW w:w="810" w:type="dxa"/>
            <w:vMerge/>
            <w:tcBorders>
              <w:left w:val="nil"/>
              <w:bottom w:val="single" w:sz="4" w:space="0" w:color="auto"/>
              <w:right w:val="nil"/>
            </w:tcBorders>
            <w:shd w:val="clear" w:color="auto" w:fill="auto"/>
            <w:noWrap/>
            <w:vAlign w:val="center"/>
          </w:tcPr>
          <w:p w14:paraId="28150522" w14:textId="77777777" w:rsidR="007D2F6A" w:rsidRPr="007D2F6A" w:rsidRDefault="007D2F6A" w:rsidP="007D2F6A">
            <w:pPr>
              <w:jc w:val="center"/>
              <w:rPr>
                <w:rFonts w:ascii="Arial" w:hAnsi="Arial" w:cs="Arial"/>
              </w:rPr>
            </w:pPr>
          </w:p>
        </w:tc>
        <w:tc>
          <w:tcPr>
            <w:tcW w:w="1005" w:type="dxa"/>
            <w:vMerge/>
            <w:tcBorders>
              <w:left w:val="nil"/>
              <w:bottom w:val="single" w:sz="4" w:space="0" w:color="auto"/>
              <w:right w:val="nil"/>
            </w:tcBorders>
          </w:tcPr>
          <w:p w14:paraId="4972A778" w14:textId="77777777" w:rsidR="007D2F6A" w:rsidRPr="007D2F6A" w:rsidRDefault="007D2F6A" w:rsidP="007D2F6A">
            <w:pPr>
              <w:jc w:val="center"/>
              <w:rPr>
                <w:rFonts w:ascii="Arial" w:hAnsi="Arial" w:cs="Arial"/>
              </w:rPr>
            </w:pPr>
          </w:p>
        </w:tc>
      </w:tr>
    </w:tbl>
    <w:p w14:paraId="6FD4EFCC" w14:textId="77777777" w:rsidR="007D2F6A" w:rsidRPr="007D2F6A" w:rsidRDefault="007D2F6A" w:rsidP="007D2F6A">
      <w:pPr>
        <w:rPr>
          <w:rFonts w:ascii="Arial" w:eastAsia="Calibri" w:hAnsi="Arial" w:cs="Arial"/>
        </w:rPr>
      </w:pPr>
    </w:p>
    <w:p w14:paraId="57006888" w14:textId="5B32DD14" w:rsid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6</w:t>
      </w:r>
      <w:r w:rsidRPr="007D2F6A">
        <w:rPr>
          <w:rFonts w:ascii="Arial" w:eastAsia="Calibri" w:hAnsi="Arial" w:cs="Arial"/>
        </w:rPr>
        <w:t xml:space="preserve"> presents the students’ perfor</w:t>
      </w:r>
      <w:r w:rsidR="00F82102">
        <w:rPr>
          <w:rFonts w:ascii="Arial" w:eastAsia="Calibri" w:hAnsi="Arial" w:cs="Arial"/>
        </w:rPr>
        <w:t xml:space="preserve">mance in the post-test, </w:t>
      </w:r>
      <w:r w:rsidR="00F82102" w:rsidRPr="00F82102">
        <w:rPr>
          <w:rFonts w:ascii="Arial" w:eastAsia="Calibri" w:hAnsi="Arial" w:cs="Arial"/>
        </w:rPr>
        <w:t>show</w:t>
      </w:r>
      <w:r w:rsidR="00F82102">
        <w:rPr>
          <w:rFonts w:ascii="Arial" w:eastAsia="Calibri" w:hAnsi="Arial" w:cs="Arial"/>
        </w:rPr>
        <w:t>ing</w:t>
      </w:r>
      <w:r w:rsidR="00F82102" w:rsidRPr="00F82102">
        <w:rPr>
          <w:rFonts w:ascii="Arial" w:eastAsia="Calibri" w:hAnsi="Arial" w:cs="Arial"/>
        </w:rPr>
        <w:t xml:space="preserve"> a statistically significant difference in mathematics performance between the experimental and control groups, as revealed by an independent </w:t>
      </w:r>
      <w:r w:rsidR="006000E3">
        <w:rPr>
          <w:rFonts w:ascii="Arial" w:eastAsia="Calibri" w:hAnsi="Arial" w:cs="Arial"/>
        </w:rPr>
        <w:t xml:space="preserve">samples t-test, t(58) = 2.972, </w:t>
      </w:r>
      <w:r w:rsidR="006000E3" w:rsidRPr="006000E3">
        <w:rPr>
          <w:rFonts w:ascii="Arial" w:eastAsia="Calibri" w:hAnsi="Arial" w:cs="Arial"/>
          <w:i/>
        </w:rPr>
        <w:t>P</w:t>
      </w:r>
      <w:r w:rsidR="00F82102" w:rsidRPr="006000E3">
        <w:rPr>
          <w:rFonts w:ascii="Arial" w:eastAsia="Calibri" w:hAnsi="Arial" w:cs="Arial"/>
          <w:i/>
        </w:rPr>
        <w:t xml:space="preserve"> = 0.004</w:t>
      </w:r>
      <w:r w:rsidR="00F82102" w:rsidRPr="00F82102">
        <w:rPr>
          <w:rFonts w:ascii="Arial" w:eastAsia="Calibri" w:hAnsi="Arial" w:cs="Arial"/>
        </w:rPr>
        <w:t xml:space="preserve">. </w:t>
      </w:r>
      <w:r w:rsidR="005B225B">
        <w:rPr>
          <w:rFonts w:ascii="Arial" w:eastAsia="Calibri" w:hAnsi="Arial" w:cs="Arial"/>
        </w:rPr>
        <w:t xml:space="preserve">Further, the experimental group progressed from the Beginning level (64.29%) to Developing level (77.35%). </w:t>
      </w:r>
      <w:r w:rsidRPr="007D2F6A">
        <w:rPr>
          <w:rFonts w:ascii="Arial" w:eastAsia="Calibri" w:hAnsi="Arial" w:cs="Arial"/>
        </w:rPr>
        <w:t xml:space="preserve">Conversely, the control group still belongs to the Beginning level, indicating failed to meet the DepEd passing requirement of 75% yet still improved their performance from 64.04% to 73.61%. </w:t>
      </w:r>
      <w:r w:rsidR="003A168E">
        <w:rPr>
          <w:rFonts w:ascii="Arial" w:eastAsia="Calibri" w:hAnsi="Arial" w:cs="Arial"/>
        </w:rPr>
        <w:t>With t</w:t>
      </w:r>
      <w:r w:rsidR="003A168E" w:rsidRPr="00F82102">
        <w:rPr>
          <w:rFonts w:ascii="Arial" w:eastAsia="Calibri" w:hAnsi="Arial" w:cs="Arial"/>
        </w:rPr>
        <w:t>he computed effect size, Cohen’s d = 0.77, indicates a moderate to large practical significance</w:t>
      </w:r>
      <w:r w:rsidR="003A168E">
        <w:rPr>
          <w:rFonts w:ascii="Arial" w:eastAsia="Calibri" w:hAnsi="Arial" w:cs="Arial"/>
        </w:rPr>
        <w:t xml:space="preserve"> and t</w:t>
      </w:r>
      <w:r w:rsidRPr="007D2F6A">
        <w:rPr>
          <w:rFonts w:ascii="Arial" w:eastAsia="Calibri" w:hAnsi="Arial" w:cs="Arial"/>
        </w:rPr>
        <w:t xml:space="preserve">he increase in the post-test scores of both experimental and control groups – from an average of 64. 17% (beginning level) to 75.80% (developing level) – indicates that both the mobile Damath game and traditional teaching methods contributed positively to students’ understanding of integers. This improvement implies that targeted instruction, whether through game-based approaches or conventional teaching, can be effective in enhancing mathematical performance. </w:t>
      </w:r>
    </w:p>
    <w:p w14:paraId="45B71A53" w14:textId="77777777" w:rsidR="00524F6B" w:rsidRPr="005B225B" w:rsidRDefault="00524F6B" w:rsidP="007D2F6A">
      <w:pPr>
        <w:jc w:val="both"/>
        <w:rPr>
          <w:rFonts w:ascii="Arial" w:eastAsia="Calibri" w:hAnsi="Arial" w:cs="Arial"/>
          <w:sz w:val="24"/>
          <w:szCs w:val="24"/>
        </w:rPr>
      </w:pPr>
    </w:p>
    <w:p w14:paraId="1C79B1BB" w14:textId="77777777" w:rsidR="007D2F6A" w:rsidRDefault="00AF4FC4" w:rsidP="007D2F6A">
      <w:pPr>
        <w:jc w:val="both"/>
        <w:rPr>
          <w:rFonts w:ascii="Arial" w:eastAsia="Calibri" w:hAnsi="Arial" w:cs="Arial"/>
        </w:rPr>
      </w:pPr>
      <w:r>
        <w:rPr>
          <w:rFonts w:ascii="Arial" w:eastAsia="Calibri" w:hAnsi="Arial" w:cs="Arial"/>
        </w:rPr>
        <w:t>This f</w:t>
      </w:r>
      <w:r w:rsidR="007D2F6A" w:rsidRPr="007D2F6A">
        <w:rPr>
          <w:rFonts w:ascii="Arial" w:eastAsia="Calibri" w:hAnsi="Arial" w:cs="Arial"/>
        </w:rPr>
        <w:t>indings</w:t>
      </w:r>
      <w:r>
        <w:rPr>
          <w:rFonts w:ascii="Arial" w:eastAsia="Calibri" w:hAnsi="Arial" w:cs="Arial"/>
        </w:rPr>
        <w:t xml:space="preserve"> align with the result reported by Magsombol (2021), where </w:t>
      </w:r>
      <w:r w:rsidR="007D2F6A" w:rsidRPr="007D2F6A">
        <w:rPr>
          <w:rFonts w:ascii="Arial" w:eastAsia="Calibri" w:hAnsi="Arial" w:cs="Arial"/>
        </w:rPr>
        <w:t xml:space="preserve">the experimental </w:t>
      </w:r>
      <w:r>
        <w:rPr>
          <w:rFonts w:ascii="Arial" w:eastAsia="Calibri" w:hAnsi="Arial" w:cs="Arial"/>
        </w:rPr>
        <w:t xml:space="preserve">group </w:t>
      </w:r>
      <w:r w:rsidR="007D2F6A" w:rsidRPr="007D2F6A">
        <w:rPr>
          <w:rFonts w:ascii="Arial" w:eastAsia="Calibri" w:hAnsi="Arial" w:cs="Arial"/>
        </w:rPr>
        <w:t>attained</w:t>
      </w:r>
      <w:r w:rsidR="00C82D6B">
        <w:rPr>
          <w:rFonts w:ascii="Arial" w:eastAsia="Calibri" w:hAnsi="Arial" w:cs="Arial"/>
        </w:rPr>
        <w:t xml:space="preserve"> a mean of 26.73, higher than the average score of 20, while the control group attained a mean of 18.78, below the average score.</w:t>
      </w:r>
      <w:r w:rsidR="00F32BD3">
        <w:rPr>
          <w:rFonts w:ascii="Arial" w:eastAsia="Calibri" w:hAnsi="Arial" w:cs="Arial"/>
        </w:rPr>
        <w:t xml:space="preserve"> This showed an </w:t>
      </w:r>
      <w:r w:rsidR="00C82D6B">
        <w:rPr>
          <w:rFonts w:ascii="Arial" w:eastAsia="Calibri" w:hAnsi="Arial" w:cs="Arial"/>
        </w:rPr>
        <w:t xml:space="preserve">increase </w:t>
      </w:r>
      <w:r w:rsidR="00F32BD3">
        <w:rPr>
          <w:rFonts w:ascii="Arial" w:eastAsia="Calibri" w:hAnsi="Arial" w:cs="Arial"/>
        </w:rPr>
        <w:t xml:space="preserve">in </w:t>
      </w:r>
      <w:r w:rsidR="00C82D6B">
        <w:rPr>
          <w:rFonts w:ascii="Arial" w:eastAsia="Calibri" w:hAnsi="Arial" w:cs="Arial"/>
        </w:rPr>
        <w:t xml:space="preserve">the proficiency level </w:t>
      </w:r>
      <w:r w:rsidR="00F32BD3">
        <w:rPr>
          <w:rFonts w:ascii="Arial" w:eastAsia="Calibri" w:hAnsi="Arial" w:cs="Arial"/>
        </w:rPr>
        <w:t xml:space="preserve">of the experimental group </w:t>
      </w:r>
      <w:r w:rsidR="00C82D6B">
        <w:rPr>
          <w:rFonts w:ascii="Arial" w:eastAsia="Calibri" w:hAnsi="Arial" w:cs="Arial"/>
        </w:rPr>
        <w:t>from 73% (Beginning) to</w:t>
      </w:r>
      <w:r w:rsidR="007D2F6A" w:rsidRPr="007D2F6A">
        <w:rPr>
          <w:rFonts w:ascii="Arial" w:eastAsia="Calibri" w:hAnsi="Arial" w:cs="Arial"/>
        </w:rPr>
        <w:t xml:space="preserve"> </w:t>
      </w:r>
      <w:r w:rsidR="00C82D6B">
        <w:rPr>
          <w:rFonts w:ascii="Arial" w:eastAsia="Calibri" w:hAnsi="Arial" w:cs="Arial"/>
        </w:rPr>
        <w:t>84% (Developing)</w:t>
      </w:r>
      <w:r>
        <w:rPr>
          <w:rFonts w:ascii="Arial" w:eastAsia="Calibri" w:hAnsi="Arial" w:cs="Arial"/>
        </w:rPr>
        <w:t xml:space="preserve">. Also, Martus et al. (2024) reported an increase in the post test result of Grade 7 students from 73% to 81%. Suggesting the Damath game was effective. </w:t>
      </w:r>
      <w:r w:rsidR="003F62F0">
        <w:rPr>
          <w:rFonts w:ascii="Arial" w:eastAsia="Calibri" w:hAnsi="Arial" w:cs="Arial"/>
        </w:rPr>
        <w:t>Similar findings was also reported on the increase in the post-test scores of both experimental and control groups, showing the positive effect of Damath on the students’ performance on integer operations.</w:t>
      </w:r>
    </w:p>
    <w:p w14:paraId="03A402AB" w14:textId="77777777" w:rsidR="00C82D6B" w:rsidRPr="007D2F6A" w:rsidRDefault="00C82D6B" w:rsidP="007D2F6A">
      <w:pPr>
        <w:jc w:val="both"/>
        <w:rPr>
          <w:rFonts w:ascii="Arial" w:eastAsia="Calibri" w:hAnsi="Arial" w:cs="Arial"/>
        </w:rPr>
      </w:pPr>
    </w:p>
    <w:p w14:paraId="46070248"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However, the movement from beginning to developing level also suggests that while progress was made, students still have not yet reached the “proficient” level of mastery. This underscores the need for continuous instructional support and possibly integrating both traditional and digital game-based learning methods to reinforce concepts and engage learners more deeply. </w:t>
      </w:r>
    </w:p>
    <w:p w14:paraId="15EF6BC9" w14:textId="77777777" w:rsidR="007D2F6A" w:rsidRPr="007D2F6A" w:rsidRDefault="007D2F6A" w:rsidP="007D2F6A">
      <w:pPr>
        <w:jc w:val="both"/>
        <w:rPr>
          <w:rFonts w:ascii="Arial" w:eastAsia="Calibri" w:hAnsi="Arial" w:cs="Arial"/>
        </w:rPr>
      </w:pPr>
    </w:p>
    <w:p w14:paraId="1D06B984"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Comparison of the Post-Test Results between the Experimental and Control Groups</w:t>
      </w:r>
    </w:p>
    <w:p w14:paraId="2607B8F9" w14:textId="77777777" w:rsidR="007D2F6A" w:rsidRPr="007D2F6A" w:rsidRDefault="007D2F6A" w:rsidP="007D2F6A">
      <w:pPr>
        <w:jc w:val="both"/>
        <w:rPr>
          <w:rFonts w:ascii="Arial" w:eastAsia="Calibri" w:hAnsi="Arial" w:cs="Arial"/>
          <w:b/>
          <w:sz w:val="22"/>
        </w:rPr>
      </w:pPr>
    </w:p>
    <w:p w14:paraId="114FEEE5" w14:textId="77777777" w:rsidR="007D2F6A" w:rsidRPr="007D2F6A" w:rsidRDefault="007D2F6A" w:rsidP="007D2F6A">
      <w:pPr>
        <w:jc w:val="both"/>
        <w:rPr>
          <w:rFonts w:ascii="Arial" w:eastAsia="Calibri" w:hAnsi="Arial" w:cs="Arial"/>
        </w:rPr>
      </w:pPr>
      <w:bookmarkStart w:id="1" w:name="_Toc197682559"/>
      <w:r w:rsidRPr="007D2F6A">
        <w:rPr>
          <w:rFonts w:ascii="Arial" w:eastAsia="Calibri" w:hAnsi="Arial" w:cs="Arial"/>
        </w:rPr>
        <w:t xml:space="preserve">From the table above, the results show a statistically significant difference in mathematics performance between the experimental and control groups, as revealed by an independent samples t-test, </w:t>
      </w:r>
      <w:r w:rsidRPr="007D2F6A">
        <w:rPr>
          <w:rFonts w:ascii="Arial" w:eastAsia="Calibri" w:hAnsi="Arial" w:cs="Arial"/>
          <w:i/>
        </w:rPr>
        <w:t>t(58) = 2.972</w:t>
      </w:r>
      <w:r w:rsidRPr="007D2F6A">
        <w:rPr>
          <w:rFonts w:ascii="Arial" w:eastAsia="Calibri" w:hAnsi="Arial" w:cs="Arial"/>
        </w:rPr>
        <w:t xml:space="preserve">, </w:t>
      </w:r>
      <w:r w:rsidRPr="007D2F6A">
        <w:rPr>
          <w:rFonts w:ascii="Arial" w:eastAsia="Calibri" w:hAnsi="Arial" w:cs="Arial"/>
          <w:i/>
        </w:rPr>
        <w:t>P = .004</w:t>
      </w:r>
      <w:r w:rsidRPr="007D2F6A">
        <w:rPr>
          <w:rFonts w:ascii="Arial" w:eastAsia="Calibri" w:hAnsi="Arial" w:cs="Arial"/>
        </w:rPr>
        <w:t>. The experimental group (M = 77.35%, SD = 4.23) outperformed the control group (M = 73.61%, SD = 5.44), with a 95% confidence interval for the mean difference ranging from 1.23% to 6.25%. The computed effect size, Cohen’s d = 0.77, indicates a moderate to large practical significance, suggesting that the intervention had a meaningful and beneficial impact on students’ mathematics performance. As a result, the null hypothesis (Ho), which posits no significant difference in academic performance between the groups, is rejected. This suggests that the intervention or condition applied to the experimental group had a positive impact on their Mathematics performance.</w:t>
      </w:r>
    </w:p>
    <w:p w14:paraId="428C70C7" w14:textId="77777777" w:rsidR="00E15E51" w:rsidRDefault="00E15E51" w:rsidP="007D2F6A">
      <w:pPr>
        <w:jc w:val="both"/>
        <w:rPr>
          <w:rFonts w:ascii="Arial" w:eastAsia="Calibri" w:hAnsi="Arial" w:cs="Arial"/>
        </w:rPr>
      </w:pPr>
    </w:p>
    <w:p w14:paraId="20CF54DE" w14:textId="10953129" w:rsidR="007D2F6A" w:rsidRPr="007D2F6A" w:rsidRDefault="007D2F6A" w:rsidP="007D2F6A">
      <w:pPr>
        <w:jc w:val="both"/>
        <w:rPr>
          <w:rFonts w:ascii="Arial" w:eastAsia="Calibri" w:hAnsi="Arial" w:cs="Arial"/>
        </w:rPr>
      </w:pPr>
      <w:r w:rsidRPr="007D2F6A">
        <w:rPr>
          <w:rFonts w:ascii="Arial" w:eastAsia="Calibri" w:hAnsi="Arial" w:cs="Arial"/>
        </w:rPr>
        <w:t>Further, the post-test results reveal that while both the experimental group (mobile damath game) and the control group (traditional teaching) improved from the beginning level (average of 64.17%), the experimental group achieved a higher average score of 77.35% compared to 73.61% in the control group.  This suggests that while traditional teaching methods were effective in helping students progress to the developing level, the use of the mobile Damath game provided a more impactful and engaging learning experience that led to greater improvement in understanding integers. This finding reinforces the idea that game-based learning contributes to enhancing students’ academic performance. As hig</w:t>
      </w:r>
      <w:r w:rsidR="00E037AD">
        <w:rPr>
          <w:rFonts w:ascii="Arial" w:eastAsia="Calibri" w:hAnsi="Arial" w:cs="Arial"/>
        </w:rPr>
        <w:t>hlighted in the study by Jarrah et al. (2022</w:t>
      </w:r>
      <w:r w:rsidRPr="007D2F6A">
        <w:rPr>
          <w:rFonts w:ascii="Arial" w:eastAsia="Calibri" w:hAnsi="Arial" w:cs="Arial"/>
        </w:rPr>
        <w:t xml:space="preserve">), that game-based approaches implemented across various curricula has a more substantial impact on improving student achievement compared to conventional teaching methods. Nevertheless, a comparative study by Falasi (2024) highlighted that both traditional and modern teaching possess distinct advantages and limitations. Traditional methods provide structure and thorough content delivery, along with objective evaluation. On the other hand, modern approaches, like game-based learning, foster student engagement and cater diverse learning needs, but may not fully challenge students to develop higher order thinking skills. </w:t>
      </w:r>
    </w:p>
    <w:p w14:paraId="4CF78291" w14:textId="77777777" w:rsidR="00E15E51" w:rsidRDefault="00E15E51" w:rsidP="007D2F6A">
      <w:pPr>
        <w:jc w:val="both"/>
        <w:rPr>
          <w:rFonts w:ascii="Arial" w:eastAsia="Calibri" w:hAnsi="Arial" w:cs="Arial"/>
        </w:rPr>
      </w:pPr>
    </w:p>
    <w:p w14:paraId="4E58DE2D"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 implication of this finding is that game-based learning tools like the mobile Damath game can be a valuable supplement to traditional instruction – enhancing, rather than replacing conventional instruction, especially for students who struggle </w:t>
      </w:r>
      <w:r w:rsidRPr="007D2F6A">
        <w:rPr>
          <w:rFonts w:ascii="Arial" w:eastAsia="Calibri" w:hAnsi="Arial" w:cs="Arial"/>
        </w:rPr>
        <w:lastRenderedPageBreak/>
        <w:t xml:space="preserve">with abstract mathematical concepts. </w:t>
      </w:r>
      <w:r w:rsidRPr="007D2F6A">
        <w:rPr>
          <w:rFonts w:ascii="Arial" w:eastAsia="Bookman Old Style" w:hAnsi="Arial" w:cs="Arial"/>
        </w:rPr>
        <w:t>From a constructivist perspective, the game’s interactive format aligns with the principle that learners construct knowledge more effectively through active engagement, social interaction, and hands-on experience. The strategic gameplay encouraged students to apply prior knowledge, test hypotheses, and receive immediate feedback, thereby deepening their conceptual understanding of integers,</w:t>
      </w:r>
      <w:r w:rsidRPr="007D2F6A">
        <w:rPr>
          <w:rFonts w:ascii="Arial" w:eastAsia="Calibri" w:hAnsi="Arial" w:cs="Arial"/>
        </w:rPr>
        <w:t xml:space="preserve"> </w:t>
      </w:r>
      <w:r w:rsidRPr="007D2F6A">
        <w:rPr>
          <w:rFonts w:ascii="Arial" w:eastAsia="Bookman Old Style" w:hAnsi="Arial" w:cs="Arial"/>
        </w:rPr>
        <w:t xml:space="preserve">These experiences not only contributed to the greater gains observed in the experimental group but also hold potential for long-term retention and continued improvement, as students are more likely to internalize mathematical concepts through repeated, meaningful engagement. Over time, such game-based interventions may lead to more sustained academic progress, particularly in foundational topics like integers, which support higher-level mathematical learning. </w:t>
      </w:r>
    </w:p>
    <w:p w14:paraId="42503499" w14:textId="77777777" w:rsidR="007D2F6A" w:rsidRPr="007D2F6A" w:rsidRDefault="007D2F6A" w:rsidP="007D2F6A">
      <w:pPr>
        <w:jc w:val="both"/>
        <w:rPr>
          <w:rFonts w:ascii="Arial" w:eastAsia="Calibri" w:hAnsi="Arial" w:cs="Arial"/>
          <w:b/>
          <w:sz w:val="22"/>
          <w:szCs w:val="22"/>
        </w:rPr>
      </w:pPr>
    </w:p>
    <w:p w14:paraId="19FE99AA" w14:textId="77777777" w:rsidR="007D2F6A" w:rsidRPr="007D2F6A" w:rsidRDefault="007D2F6A" w:rsidP="007D2F6A">
      <w:pPr>
        <w:jc w:val="both"/>
        <w:rPr>
          <w:rFonts w:ascii="Arial" w:eastAsia="Calibri" w:hAnsi="Arial" w:cs="Arial"/>
          <w:b/>
          <w:sz w:val="22"/>
          <w:szCs w:val="22"/>
        </w:rPr>
      </w:pPr>
      <w:r w:rsidRPr="007D2F6A">
        <w:rPr>
          <w:rFonts w:ascii="Arial" w:eastAsia="Calibri" w:hAnsi="Arial" w:cs="Arial"/>
          <w:b/>
          <w:sz w:val="22"/>
          <w:szCs w:val="22"/>
        </w:rPr>
        <w:t>Relationship between Students’ Performance and Engagement in the Mobile Damath Game in Terms of Attitude and Motivation</w:t>
      </w:r>
      <w:bookmarkEnd w:id="1"/>
    </w:p>
    <w:p w14:paraId="5759DE8E" w14:textId="77777777" w:rsidR="007D2F6A" w:rsidRPr="007D2F6A" w:rsidRDefault="007D2F6A" w:rsidP="007D2F6A">
      <w:pPr>
        <w:jc w:val="both"/>
        <w:rPr>
          <w:rFonts w:ascii="Arial" w:eastAsia="Calibri" w:hAnsi="Arial" w:cs="Arial"/>
          <w:b/>
          <w:sz w:val="22"/>
          <w:szCs w:val="22"/>
        </w:rPr>
      </w:pPr>
    </w:p>
    <w:p w14:paraId="2DBBD896" w14:textId="77777777" w:rsidR="007D2F6A" w:rsidRDefault="007D2F6A" w:rsidP="00E15E51">
      <w:pPr>
        <w:jc w:val="both"/>
        <w:rPr>
          <w:rFonts w:ascii="Arial" w:eastAsia="Calibri" w:hAnsi="Arial" w:cs="Arial"/>
        </w:rPr>
      </w:pPr>
      <w:r w:rsidRPr="007D2F6A">
        <w:rPr>
          <w:rFonts w:ascii="Arial" w:eastAsia="Calibri" w:hAnsi="Arial" w:cs="Arial"/>
        </w:rPr>
        <w:t>This section explored the relationship between students’ performance in mathematics and their engagement with the mobile Damath game, focusing specifically on two key dimensions of engagement: attitude and motivation.</w:t>
      </w:r>
    </w:p>
    <w:p w14:paraId="1A70B4A8" w14:textId="77777777" w:rsidR="00E15E51" w:rsidRPr="007D2F6A" w:rsidRDefault="00E15E51" w:rsidP="00E15E51">
      <w:pPr>
        <w:jc w:val="both"/>
        <w:rPr>
          <w:rFonts w:ascii="Arial" w:eastAsia="Calibri" w:hAnsi="Arial" w:cs="Arial"/>
        </w:rPr>
      </w:pPr>
    </w:p>
    <w:p w14:paraId="70CF536A" w14:textId="0F7A9FAB" w:rsidR="007D2F6A" w:rsidRDefault="007D2F6A" w:rsidP="00E15E51">
      <w:pPr>
        <w:spacing w:line="259" w:lineRule="auto"/>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7</w:t>
      </w:r>
      <w:r w:rsidRPr="007D2F6A">
        <w:rPr>
          <w:rFonts w:ascii="Arial" w:eastAsia="Calibri" w:hAnsi="Arial" w:cs="Arial"/>
          <w:b/>
        </w:rPr>
        <w:t>. Correlation Analysis on Students’ Performance and Students’ Engagement with the mobile Damath Game in terms of Attitude and Motivation.</w:t>
      </w:r>
    </w:p>
    <w:p w14:paraId="5CC00729" w14:textId="77777777" w:rsidR="00E15E51" w:rsidRPr="007D2F6A" w:rsidRDefault="00E15E51" w:rsidP="00E15E51">
      <w:pPr>
        <w:spacing w:line="259" w:lineRule="auto"/>
        <w:rPr>
          <w:rFonts w:ascii="Arial" w:eastAsia="Calibri" w:hAnsi="Arial" w:cs="Arial"/>
          <w:b/>
        </w:rPr>
      </w:pPr>
    </w:p>
    <w:tbl>
      <w:tblPr>
        <w:tblW w:w="8550" w:type="dxa"/>
        <w:tblLayout w:type="fixed"/>
        <w:tblLook w:val="04A0" w:firstRow="1" w:lastRow="0" w:firstColumn="1" w:lastColumn="0" w:noHBand="0" w:noVBand="1"/>
      </w:tblPr>
      <w:tblGrid>
        <w:gridCol w:w="1957"/>
        <w:gridCol w:w="1068"/>
        <w:gridCol w:w="1025"/>
        <w:gridCol w:w="1260"/>
        <w:gridCol w:w="1800"/>
        <w:gridCol w:w="1440"/>
      </w:tblGrid>
      <w:tr w:rsidR="007D2F6A" w:rsidRPr="007D2F6A" w14:paraId="45AA98AD" w14:textId="77777777" w:rsidTr="00AA21F1">
        <w:trPr>
          <w:trHeight w:val="665"/>
        </w:trPr>
        <w:tc>
          <w:tcPr>
            <w:tcW w:w="3025" w:type="dxa"/>
            <w:gridSpan w:val="2"/>
            <w:tcBorders>
              <w:top w:val="single" w:sz="4" w:space="0" w:color="auto"/>
              <w:left w:val="nil"/>
              <w:bottom w:val="nil"/>
              <w:right w:val="nil"/>
            </w:tcBorders>
            <w:shd w:val="clear" w:color="auto" w:fill="auto"/>
            <w:vAlign w:val="center"/>
            <w:hideMark/>
          </w:tcPr>
          <w:p w14:paraId="4DDFA143" w14:textId="77777777" w:rsidR="007D2F6A" w:rsidRPr="007D2F6A" w:rsidRDefault="007D2F6A" w:rsidP="007D2F6A">
            <w:pPr>
              <w:jc w:val="center"/>
              <w:rPr>
                <w:rFonts w:ascii="Arial" w:hAnsi="Arial" w:cs="Arial"/>
                <w:color w:val="000000"/>
              </w:rPr>
            </w:pPr>
          </w:p>
        </w:tc>
        <w:tc>
          <w:tcPr>
            <w:tcW w:w="1025" w:type="dxa"/>
            <w:tcBorders>
              <w:top w:val="single" w:sz="4" w:space="0" w:color="auto"/>
              <w:left w:val="nil"/>
              <w:bottom w:val="nil"/>
              <w:right w:val="nil"/>
            </w:tcBorders>
            <w:shd w:val="clear" w:color="auto" w:fill="auto"/>
            <w:vAlign w:val="center"/>
            <w:hideMark/>
          </w:tcPr>
          <w:p w14:paraId="173A5A5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Attitude</w:t>
            </w:r>
          </w:p>
        </w:tc>
        <w:tc>
          <w:tcPr>
            <w:tcW w:w="1260" w:type="dxa"/>
            <w:tcBorders>
              <w:top w:val="single" w:sz="4" w:space="0" w:color="auto"/>
              <w:left w:val="nil"/>
              <w:bottom w:val="nil"/>
              <w:right w:val="nil"/>
            </w:tcBorders>
            <w:shd w:val="clear" w:color="auto" w:fill="auto"/>
            <w:vAlign w:val="center"/>
            <w:hideMark/>
          </w:tcPr>
          <w:p w14:paraId="34A95F27"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Motivation</w:t>
            </w:r>
          </w:p>
        </w:tc>
        <w:tc>
          <w:tcPr>
            <w:tcW w:w="1800" w:type="dxa"/>
            <w:tcBorders>
              <w:top w:val="single" w:sz="4" w:space="0" w:color="auto"/>
              <w:left w:val="nil"/>
              <w:bottom w:val="nil"/>
              <w:right w:val="nil"/>
            </w:tcBorders>
            <w:shd w:val="clear" w:color="auto" w:fill="auto"/>
            <w:vAlign w:val="center"/>
            <w:hideMark/>
          </w:tcPr>
          <w:p w14:paraId="60B42BF0" w14:textId="77777777" w:rsidR="007D2F6A" w:rsidRPr="007D2F6A" w:rsidRDefault="007D2F6A" w:rsidP="007D2F6A">
            <w:pPr>
              <w:jc w:val="center"/>
              <w:rPr>
                <w:rFonts w:ascii="Arial" w:hAnsi="Arial" w:cs="Arial"/>
                <w:b/>
                <w:color w:val="000000"/>
              </w:rPr>
            </w:pPr>
            <w:r w:rsidRPr="007D2F6A">
              <w:rPr>
                <w:rFonts w:ascii="Arial" w:hAnsi="Arial" w:cs="Arial"/>
                <w:b/>
                <w:color w:val="000000"/>
              </w:rPr>
              <w:t>Overall Student Engagement</w:t>
            </w:r>
          </w:p>
        </w:tc>
        <w:tc>
          <w:tcPr>
            <w:tcW w:w="1440" w:type="dxa"/>
            <w:tcBorders>
              <w:top w:val="single" w:sz="4" w:space="0" w:color="auto"/>
              <w:left w:val="nil"/>
              <w:bottom w:val="nil"/>
              <w:right w:val="nil"/>
            </w:tcBorders>
            <w:shd w:val="clear" w:color="auto" w:fill="auto"/>
            <w:vAlign w:val="center"/>
            <w:hideMark/>
          </w:tcPr>
          <w:p w14:paraId="7B068F0B"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Math Performance</w:t>
            </w:r>
          </w:p>
        </w:tc>
      </w:tr>
      <w:tr w:rsidR="007D2F6A" w:rsidRPr="007D2F6A" w14:paraId="6D4AA0FF" w14:textId="77777777" w:rsidTr="00AA21F1">
        <w:trPr>
          <w:trHeight w:val="434"/>
        </w:trPr>
        <w:tc>
          <w:tcPr>
            <w:tcW w:w="1957" w:type="dxa"/>
            <w:vMerge w:val="restart"/>
            <w:tcBorders>
              <w:top w:val="single" w:sz="4" w:space="0" w:color="auto"/>
              <w:left w:val="nil"/>
              <w:bottom w:val="nil"/>
              <w:right w:val="nil"/>
            </w:tcBorders>
            <w:shd w:val="clear" w:color="auto" w:fill="auto"/>
            <w:vAlign w:val="center"/>
            <w:hideMark/>
          </w:tcPr>
          <w:p w14:paraId="3CAFEC1B" w14:textId="77777777" w:rsidR="007D2F6A" w:rsidRPr="007D2F6A" w:rsidRDefault="007D2F6A" w:rsidP="00B36EDA">
            <w:pPr>
              <w:jc w:val="center"/>
              <w:rPr>
                <w:rFonts w:ascii="Arial" w:hAnsi="Arial" w:cs="Arial"/>
                <w:b/>
                <w:color w:val="000000"/>
              </w:rPr>
            </w:pPr>
            <w:r w:rsidRPr="007D2F6A">
              <w:rPr>
                <w:rFonts w:ascii="Arial" w:hAnsi="Arial" w:cs="Arial"/>
                <w:b/>
                <w:color w:val="000000"/>
              </w:rPr>
              <w:t>Attitude</w:t>
            </w:r>
          </w:p>
        </w:tc>
        <w:tc>
          <w:tcPr>
            <w:tcW w:w="1068" w:type="dxa"/>
            <w:tcBorders>
              <w:top w:val="single" w:sz="4" w:space="0" w:color="auto"/>
              <w:left w:val="nil"/>
              <w:bottom w:val="nil"/>
              <w:right w:val="nil"/>
            </w:tcBorders>
            <w:shd w:val="clear" w:color="auto" w:fill="auto"/>
            <w:vAlign w:val="center"/>
            <w:hideMark/>
          </w:tcPr>
          <w:p w14:paraId="440197AF"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single" w:sz="4" w:space="0" w:color="auto"/>
              <w:left w:val="nil"/>
              <w:bottom w:val="nil"/>
              <w:right w:val="nil"/>
            </w:tcBorders>
            <w:shd w:val="clear" w:color="auto" w:fill="auto"/>
            <w:noWrap/>
            <w:vAlign w:val="center"/>
            <w:hideMark/>
          </w:tcPr>
          <w:p w14:paraId="0C24E02E"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260" w:type="dxa"/>
            <w:tcBorders>
              <w:top w:val="single" w:sz="4" w:space="0" w:color="auto"/>
              <w:left w:val="nil"/>
              <w:bottom w:val="nil"/>
              <w:right w:val="nil"/>
            </w:tcBorders>
            <w:shd w:val="clear" w:color="auto" w:fill="auto"/>
            <w:noWrap/>
            <w:vAlign w:val="center"/>
            <w:hideMark/>
          </w:tcPr>
          <w:p w14:paraId="7DB902C0" w14:textId="77777777" w:rsidR="007D2F6A" w:rsidRPr="007D2F6A" w:rsidRDefault="007D2F6A" w:rsidP="00B36EDA">
            <w:pPr>
              <w:jc w:val="center"/>
              <w:rPr>
                <w:rFonts w:ascii="Arial" w:hAnsi="Arial" w:cs="Arial"/>
                <w:color w:val="000000"/>
              </w:rPr>
            </w:pPr>
            <w:r w:rsidRPr="007D2F6A">
              <w:rPr>
                <w:rFonts w:ascii="Arial" w:hAnsi="Arial" w:cs="Arial"/>
                <w:color w:val="000000"/>
              </w:rPr>
              <w:t>.371</w:t>
            </w:r>
          </w:p>
        </w:tc>
        <w:tc>
          <w:tcPr>
            <w:tcW w:w="1800" w:type="dxa"/>
            <w:tcBorders>
              <w:top w:val="single" w:sz="4" w:space="0" w:color="auto"/>
              <w:left w:val="nil"/>
              <w:bottom w:val="nil"/>
              <w:right w:val="nil"/>
            </w:tcBorders>
            <w:shd w:val="clear" w:color="auto" w:fill="auto"/>
            <w:noWrap/>
            <w:vAlign w:val="center"/>
            <w:hideMark/>
          </w:tcPr>
          <w:p w14:paraId="3DAB68E0" w14:textId="77777777" w:rsidR="007D2F6A" w:rsidRPr="007D2F6A" w:rsidRDefault="007D2F6A" w:rsidP="00B36EDA">
            <w:pPr>
              <w:jc w:val="center"/>
              <w:rPr>
                <w:rFonts w:ascii="Arial" w:hAnsi="Arial" w:cs="Arial"/>
                <w:color w:val="000000"/>
              </w:rPr>
            </w:pPr>
            <w:r w:rsidRPr="007D2F6A">
              <w:rPr>
                <w:rFonts w:ascii="Arial" w:hAnsi="Arial" w:cs="Arial"/>
                <w:color w:val="000000"/>
              </w:rPr>
              <w:t>.822</w:t>
            </w:r>
          </w:p>
        </w:tc>
        <w:tc>
          <w:tcPr>
            <w:tcW w:w="1440" w:type="dxa"/>
            <w:tcBorders>
              <w:top w:val="single" w:sz="4" w:space="0" w:color="auto"/>
              <w:left w:val="nil"/>
              <w:bottom w:val="nil"/>
              <w:right w:val="nil"/>
            </w:tcBorders>
            <w:shd w:val="clear" w:color="auto" w:fill="auto"/>
            <w:noWrap/>
            <w:vAlign w:val="center"/>
            <w:hideMark/>
          </w:tcPr>
          <w:p w14:paraId="73E32D38" w14:textId="77777777" w:rsidR="007D2F6A" w:rsidRPr="007D2F6A" w:rsidRDefault="007D2F6A" w:rsidP="00B36EDA">
            <w:pPr>
              <w:jc w:val="center"/>
              <w:rPr>
                <w:rFonts w:ascii="Arial" w:hAnsi="Arial" w:cs="Arial"/>
                <w:color w:val="000000"/>
              </w:rPr>
            </w:pPr>
            <w:r w:rsidRPr="007D2F6A">
              <w:rPr>
                <w:rFonts w:ascii="Arial" w:hAnsi="Arial" w:cs="Arial"/>
                <w:color w:val="000000"/>
              </w:rPr>
              <w:t>-.101</w:t>
            </w:r>
          </w:p>
        </w:tc>
      </w:tr>
      <w:tr w:rsidR="007D2F6A" w:rsidRPr="007D2F6A" w14:paraId="1BCB5568" w14:textId="77777777" w:rsidTr="00AA21F1">
        <w:trPr>
          <w:trHeight w:val="434"/>
        </w:trPr>
        <w:tc>
          <w:tcPr>
            <w:tcW w:w="1957" w:type="dxa"/>
            <w:vMerge/>
            <w:tcBorders>
              <w:top w:val="single" w:sz="4" w:space="0" w:color="auto"/>
              <w:left w:val="nil"/>
              <w:bottom w:val="nil"/>
              <w:right w:val="nil"/>
            </w:tcBorders>
            <w:vAlign w:val="center"/>
            <w:hideMark/>
          </w:tcPr>
          <w:p w14:paraId="630F46F4"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5C21E345"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vAlign w:val="center"/>
            <w:hideMark/>
          </w:tcPr>
          <w:p w14:paraId="1B18A5BC"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1B9AE4B5" w14:textId="77777777" w:rsidR="007D2F6A" w:rsidRPr="007D2F6A" w:rsidRDefault="007D2F6A" w:rsidP="00B36EDA">
            <w:pPr>
              <w:jc w:val="center"/>
              <w:rPr>
                <w:rFonts w:ascii="Arial" w:hAnsi="Arial" w:cs="Arial"/>
                <w:color w:val="000000"/>
              </w:rPr>
            </w:pPr>
            <w:r w:rsidRPr="007D2F6A">
              <w:rPr>
                <w:rFonts w:ascii="Arial" w:hAnsi="Arial" w:cs="Arial"/>
                <w:color w:val="000000"/>
              </w:rPr>
              <w:t>.044</w:t>
            </w:r>
          </w:p>
        </w:tc>
        <w:tc>
          <w:tcPr>
            <w:tcW w:w="1800" w:type="dxa"/>
            <w:tcBorders>
              <w:top w:val="nil"/>
              <w:left w:val="nil"/>
              <w:bottom w:val="nil"/>
              <w:right w:val="nil"/>
            </w:tcBorders>
            <w:shd w:val="clear" w:color="auto" w:fill="auto"/>
            <w:noWrap/>
            <w:vAlign w:val="center"/>
            <w:hideMark/>
          </w:tcPr>
          <w:p w14:paraId="2044AB34" w14:textId="77777777" w:rsidR="007D2F6A" w:rsidRPr="007D2F6A" w:rsidRDefault="007D2F6A" w:rsidP="00B36EDA">
            <w:pPr>
              <w:jc w:val="center"/>
              <w:rPr>
                <w:rFonts w:ascii="Arial" w:hAnsi="Arial" w:cs="Arial"/>
                <w:color w:val="000000"/>
              </w:rPr>
            </w:pPr>
            <w:r w:rsidRPr="007D2F6A">
              <w:rPr>
                <w:rFonts w:ascii="Arial" w:hAnsi="Arial" w:cs="Arial"/>
                <w:color w:val="000000"/>
              </w:rPr>
              <w:t>.001</w:t>
            </w:r>
          </w:p>
        </w:tc>
        <w:tc>
          <w:tcPr>
            <w:tcW w:w="1440" w:type="dxa"/>
            <w:tcBorders>
              <w:top w:val="nil"/>
              <w:left w:val="nil"/>
              <w:bottom w:val="nil"/>
              <w:right w:val="nil"/>
            </w:tcBorders>
            <w:shd w:val="clear" w:color="auto" w:fill="auto"/>
            <w:noWrap/>
            <w:vAlign w:val="center"/>
            <w:hideMark/>
          </w:tcPr>
          <w:p w14:paraId="0568AD41" w14:textId="77777777" w:rsidR="007D2F6A" w:rsidRPr="007D2F6A" w:rsidRDefault="007D2F6A" w:rsidP="00B36EDA">
            <w:pPr>
              <w:jc w:val="center"/>
              <w:rPr>
                <w:rFonts w:ascii="Arial" w:hAnsi="Arial" w:cs="Arial"/>
                <w:color w:val="000000"/>
              </w:rPr>
            </w:pPr>
            <w:r w:rsidRPr="007D2F6A">
              <w:rPr>
                <w:rFonts w:ascii="Arial" w:hAnsi="Arial" w:cs="Arial"/>
                <w:color w:val="000000"/>
              </w:rPr>
              <w:t>.594</w:t>
            </w:r>
          </w:p>
        </w:tc>
      </w:tr>
      <w:tr w:rsidR="007D2F6A" w:rsidRPr="007D2F6A" w14:paraId="5E3C398D" w14:textId="77777777" w:rsidTr="00AA21F1">
        <w:trPr>
          <w:trHeight w:val="434"/>
        </w:trPr>
        <w:tc>
          <w:tcPr>
            <w:tcW w:w="1957" w:type="dxa"/>
            <w:vMerge w:val="restart"/>
            <w:tcBorders>
              <w:top w:val="nil"/>
              <w:left w:val="nil"/>
              <w:bottom w:val="nil"/>
              <w:right w:val="nil"/>
            </w:tcBorders>
            <w:shd w:val="clear" w:color="auto" w:fill="auto"/>
            <w:vAlign w:val="center"/>
            <w:hideMark/>
          </w:tcPr>
          <w:p w14:paraId="6298327F" w14:textId="77777777" w:rsidR="007D2F6A" w:rsidRPr="007D2F6A" w:rsidRDefault="007D2F6A" w:rsidP="00B36EDA">
            <w:pPr>
              <w:jc w:val="center"/>
              <w:rPr>
                <w:rFonts w:ascii="Arial" w:hAnsi="Arial" w:cs="Arial"/>
                <w:b/>
                <w:color w:val="000000"/>
              </w:rPr>
            </w:pPr>
            <w:r w:rsidRPr="007D2F6A">
              <w:rPr>
                <w:rFonts w:ascii="Arial" w:hAnsi="Arial" w:cs="Arial"/>
                <w:b/>
                <w:color w:val="000000"/>
              </w:rPr>
              <w:t>Motivation</w:t>
            </w:r>
          </w:p>
        </w:tc>
        <w:tc>
          <w:tcPr>
            <w:tcW w:w="1068" w:type="dxa"/>
            <w:tcBorders>
              <w:top w:val="nil"/>
              <w:left w:val="nil"/>
              <w:bottom w:val="nil"/>
              <w:right w:val="nil"/>
            </w:tcBorders>
            <w:shd w:val="clear" w:color="auto" w:fill="auto"/>
            <w:vAlign w:val="center"/>
            <w:hideMark/>
          </w:tcPr>
          <w:p w14:paraId="03D6296D"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49FFF4AB"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7B5A1531"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800" w:type="dxa"/>
            <w:tcBorders>
              <w:top w:val="nil"/>
              <w:left w:val="nil"/>
              <w:bottom w:val="nil"/>
              <w:right w:val="nil"/>
            </w:tcBorders>
            <w:shd w:val="clear" w:color="auto" w:fill="auto"/>
            <w:noWrap/>
            <w:vAlign w:val="center"/>
            <w:hideMark/>
          </w:tcPr>
          <w:p w14:paraId="49EBE72B" w14:textId="77777777" w:rsidR="007D2F6A" w:rsidRPr="007D2F6A" w:rsidRDefault="007D2F6A" w:rsidP="00B36EDA">
            <w:pPr>
              <w:jc w:val="center"/>
              <w:rPr>
                <w:rFonts w:ascii="Arial" w:hAnsi="Arial" w:cs="Arial"/>
                <w:color w:val="000000"/>
              </w:rPr>
            </w:pPr>
            <w:r w:rsidRPr="007D2F6A">
              <w:rPr>
                <w:rFonts w:ascii="Arial" w:hAnsi="Arial" w:cs="Arial"/>
                <w:color w:val="000000"/>
              </w:rPr>
              <w:t>.833</w:t>
            </w:r>
          </w:p>
        </w:tc>
        <w:tc>
          <w:tcPr>
            <w:tcW w:w="1440" w:type="dxa"/>
            <w:tcBorders>
              <w:top w:val="nil"/>
              <w:left w:val="nil"/>
              <w:bottom w:val="nil"/>
              <w:right w:val="nil"/>
            </w:tcBorders>
            <w:shd w:val="clear" w:color="auto" w:fill="auto"/>
            <w:noWrap/>
            <w:vAlign w:val="center"/>
            <w:hideMark/>
          </w:tcPr>
          <w:p w14:paraId="7A104BE3" w14:textId="77777777" w:rsidR="007D2F6A" w:rsidRPr="007D2F6A" w:rsidRDefault="007D2F6A" w:rsidP="00B36EDA">
            <w:pPr>
              <w:jc w:val="center"/>
              <w:rPr>
                <w:rFonts w:ascii="Arial" w:hAnsi="Arial" w:cs="Arial"/>
                <w:color w:val="000000"/>
              </w:rPr>
            </w:pPr>
            <w:r w:rsidRPr="007D2F6A">
              <w:rPr>
                <w:rFonts w:ascii="Arial" w:hAnsi="Arial" w:cs="Arial"/>
                <w:color w:val="000000"/>
              </w:rPr>
              <w:t>-.045</w:t>
            </w:r>
          </w:p>
        </w:tc>
      </w:tr>
      <w:tr w:rsidR="007D2F6A" w:rsidRPr="007D2F6A" w14:paraId="544B9F04" w14:textId="77777777" w:rsidTr="00AA21F1">
        <w:trPr>
          <w:trHeight w:val="434"/>
        </w:trPr>
        <w:tc>
          <w:tcPr>
            <w:tcW w:w="1957" w:type="dxa"/>
            <w:vMerge/>
            <w:tcBorders>
              <w:top w:val="nil"/>
              <w:left w:val="nil"/>
              <w:bottom w:val="nil"/>
              <w:right w:val="nil"/>
            </w:tcBorders>
            <w:vAlign w:val="center"/>
            <w:hideMark/>
          </w:tcPr>
          <w:p w14:paraId="4778BA40"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7D8E15E5"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noWrap/>
            <w:vAlign w:val="center"/>
            <w:hideMark/>
          </w:tcPr>
          <w:p w14:paraId="4EEADA91"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vAlign w:val="center"/>
            <w:hideMark/>
          </w:tcPr>
          <w:p w14:paraId="22CFC791"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1827C5D1" w14:textId="77777777" w:rsidR="007D2F6A" w:rsidRPr="007D2F6A" w:rsidRDefault="007D2F6A" w:rsidP="00B36EDA">
            <w:pPr>
              <w:jc w:val="center"/>
              <w:rPr>
                <w:rFonts w:ascii="Arial" w:hAnsi="Arial" w:cs="Arial"/>
                <w:color w:val="000000"/>
              </w:rPr>
            </w:pPr>
            <w:r w:rsidRPr="007D2F6A">
              <w:rPr>
                <w:rFonts w:ascii="Arial" w:hAnsi="Arial" w:cs="Arial"/>
                <w:color w:val="000000"/>
              </w:rPr>
              <w:t>.000</w:t>
            </w:r>
          </w:p>
        </w:tc>
        <w:tc>
          <w:tcPr>
            <w:tcW w:w="1440" w:type="dxa"/>
            <w:tcBorders>
              <w:top w:val="nil"/>
              <w:left w:val="nil"/>
              <w:bottom w:val="nil"/>
              <w:right w:val="nil"/>
            </w:tcBorders>
            <w:shd w:val="clear" w:color="auto" w:fill="auto"/>
            <w:noWrap/>
            <w:vAlign w:val="center"/>
            <w:hideMark/>
          </w:tcPr>
          <w:p w14:paraId="48DCA8FC" w14:textId="77777777" w:rsidR="007D2F6A" w:rsidRPr="007D2F6A" w:rsidRDefault="007D2F6A" w:rsidP="00B36EDA">
            <w:pPr>
              <w:jc w:val="center"/>
              <w:rPr>
                <w:rFonts w:ascii="Arial" w:hAnsi="Arial" w:cs="Arial"/>
                <w:color w:val="000000"/>
              </w:rPr>
            </w:pPr>
            <w:r w:rsidRPr="007D2F6A">
              <w:rPr>
                <w:rFonts w:ascii="Arial" w:hAnsi="Arial" w:cs="Arial"/>
                <w:color w:val="000000"/>
              </w:rPr>
              <w:t>.814</w:t>
            </w:r>
          </w:p>
        </w:tc>
      </w:tr>
      <w:tr w:rsidR="007D2F6A" w:rsidRPr="007D2F6A" w14:paraId="1906B4FF" w14:textId="77777777" w:rsidTr="00AA21F1">
        <w:trPr>
          <w:trHeight w:val="434"/>
        </w:trPr>
        <w:tc>
          <w:tcPr>
            <w:tcW w:w="1957" w:type="dxa"/>
            <w:vMerge w:val="restart"/>
            <w:tcBorders>
              <w:top w:val="nil"/>
              <w:left w:val="nil"/>
              <w:bottom w:val="nil"/>
              <w:right w:val="nil"/>
            </w:tcBorders>
            <w:shd w:val="clear" w:color="auto" w:fill="auto"/>
            <w:vAlign w:val="center"/>
            <w:hideMark/>
          </w:tcPr>
          <w:p w14:paraId="742043A0" w14:textId="77777777" w:rsidR="007D2F6A" w:rsidRPr="007D2F6A" w:rsidRDefault="007D2F6A" w:rsidP="00B36EDA">
            <w:pPr>
              <w:jc w:val="center"/>
              <w:rPr>
                <w:rFonts w:ascii="Arial" w:hAnsi="Arial" w:cs="Arial"/>
                <w:b/>
                <w:color w:val="000000"/>
              </w:rPr>
            </w:pPr>
            <w:r w:rsidRPr="007D2F6A">
              <w:rPr>
                <w:rFonts w:ascii="Arial" w:hAnsi="Arial" w:cs="Arial"/>
                <w:b/>
                <w:color w:val="000000"/>
              </w:rPr>
              <w:t>Overall Student Engagement</w:t>
            </w:r>
          </w:p>
        </w:tc>
        <w:tc>
          <w:tcPr>
            <w:tcW w:w="1068" w:type="dxa"/>
            <w:tcBorders>
              <w:top w:val="nil"/>
              <w:left w:val="nil"/>
              <w:bottom w:val="nil"/>
              <w:right w:val="nil"/>
            </w:tcBorders>
            <w:shd w:val="clear" w:color="auto" w:fill="auto"/>
            <w:vAlign w:val="center"/>
            <w:hideMark/>
          </w:tcPr>
          <w:p w14:paraId="14CF55E7"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711F2D4C"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5419A728"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772E8EC2"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440" w:type="dxa"/>
            <w:tcBorders>
              <w:top w:val="nil"/>
              <w:left w:val="nil"/>
              <w:bottom w:val="nil"/>
              <w:right w:val="nil"/>
            </w:tcBorders>
            <w:shd w:val="clear" w:color="auto" w:fill="auto"/>
            <w:noWrap/>
            <w:vAlign w:val="center"/>
            <w:hideMark/>
          </w:tcPr>
          <w:p w14:paraId="50279186" w14:textId="77777777" w:rsidR="007D2F6A" w:rsidRPr="007D2F6A" w:rsidRDefault="007D2F6A" w:rsidP="00B36EDA">
            <w:pPr>
              <w:jc w:val="center"/>
              <w:rPr>
                <w:rFonts w:ascii="Arial" w:hAnsi="Arial" w:cs="Arial"/>
                <w:color w:val="000000"/>
              </w:rPr>
            </w:pPr>
            <w:r w:rsidRPr="007D2F6A">
              <w:rPr>
                <w:rFonts w:ascii="Arial" w:hAnsi="Arial" w:cs="Arial"/>
                <w:color w:val="000000"/>
              </w:rPr>
              <w:t>-.088</w:t>
            </w:r>
          </w:p>
        </w:tc>
      </w:tr>
      <w:tr w:rsidR="007D2F6A" w:rsidRPr="007D2F6A" w14:paraId="31CAA42C" w14:textId="77777777" w:rsidTr="00AA21F1">
        <w:trPr>
          <w:trHeight w:val="434"/>
        </w:trPr>
        <w:tc>
          <w:tcPr>
            <w:tcW w:w="1957" w:type="dxa"/>
            <w:vMerge/>
            <w:tcBorders>
              <w:top w:val="nil"/>
              <w:left w:val="nil"/>
              <w:bottom w:val="nil"/>
              <w:right w:val="nil"/>
            </w:tcBorders>
            <w:vAlign w:val="center"/>
            <w:hideMark/>
          </w:tcPr>
          <w:p w14:paraId="315A6305"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73957C1F"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noWrap/>
            <w:vAlign w:val="center"/>
            <w:hideMark/>
          </w:tcPr>
          <w:p w14:paraId="48C7B223"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3009D2BD"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vAlign w:val="center"/>
            <w:hideMark/>
          </w:tcPr>
          <w:p w14:paraId="03E67754" w14:textId="77777777" w:rsidR="007D2F6A" w:rsidRPr="007D2F6A" w:rsidRDefault="007D2F6A" w:rsidP="00B36EDA">
            <w:pPr>
              <w:jc w:val="center"/>
              <w:rPr>
                <w:rFonts w:ascii="Arial" w:hAnsi="Arial" w:cs="Arial"/>
              </w:rPr>
            </w:pPr>
          </w:p>
        </w:tc>
        <w:tc>
          <w:tcPr>
            <w:tcW w:w="1440" w:type="dxa"/>
            <w:tcBorders>
              <w:top w:val="nil"/>
              <w:left w:val="nil"/>
              <w:bottom w:val="nil"/>
              <w:right w:val="nil"/>
            </w:tcBorders>
            <w:shd w:val="clear" w:color="auto" w:fill="auto"/>
            <w:noWrap/>
            <w:vAlign w:val="center"/>
            <w:hideMark/>
          </w:tcPr>
          <w:p w14:paraId="3B7C7CC0" w14:textId="77777777" w:rsidR="007D2F6A" w:rsidRPr="007D2F6A" w:rsidRDefault="007D2F6A" w:rsidP="00B36EDA">
            <w:pPr>
              <w:jc w:val="center"/>
              <w:rPr>
                <w:rFonts w:ascii="Arial" w:hAnsi="Arial" w:cs="Arial"/>
                <w:color w:val="000000"/>
              </w:rPr>
            </w:pPr>
            <w:r w:rsidRPr="007D2F6A">
              <w:rPr>
                <w:rFonts w:ascii="Arial" w:hAnsi="Arial" w:cs="Arial"/>
                <w:color w:val="000000"/>
              </w:rPr>
              <w:t>.645</w:t>
            </w:r>
          </w:p>
        </w:tc>
      </w:tr>
      <w:tr w:rsidR="007D2F6A" w:rsidRPr="007D2F6A" w14:paraId="6DF3FA67" w14:textId="77777777" w:rsidTr="00AA21F1">
        <w:trPr>
          <w:trHeight w:val="434"/>
        </w:trPr>
        <w:tc>
          <w:tcPr>
            <w:tcW w:w="1957" w:type="dxa"/>
            <w:vMerge w:val="restart"/>
            <w:tcBorders>
              <w:top w:val="nil"/>
              <w:left w:val="nil"/>
              <w:bottom w:val="single" w:sz="4" w:space="0" w:color="000000"/>
              <w:right w:val="nil"/>
            </w:tcBorders>
            <w:shd w:val="clear" w:color="auto" w:fill="auto"/>
            <w:vAlign w:val="center"/>
            <w:hideMark/>
          </w:tcPr>
          <w:p w14:paraId="4608FE55" w14:textId="77777777" w:rsidR="007D2F6A" w:rsidRPr="007D2F6A" w:rsidRDefault="007D2F6A" w:rsidP="00B36EDA">
            <w:pPr>
              <w:jc w:val="center"/>
              <w:rPr>
                <w:rFonts w:ascii="Arial" w:hAnsi="Arial" w:cs="Arial"/>
                <w:b/>
                <w:color w:val="000000"/>
              </w:rPr>
            </w:pPr>
            <w:r w:rsidRPr="007D2F6A">
              <w:rPr>
                <w:rFonts w:ascii="Arial" w:hAnsi="Arial" w:cs="Arial"/>
                <w:b/>
                <w:color w:val="000000"/>
              </w:rPr>
              <w:t>Math Performance</w:t>
            </w:r>
          </w:p>
        </w:tc>
        <w:tc>
          <w:tcPr>
            <w:tcW w:w="1068" w:type="dxa"/>
            <w:tcBorders>
              <w:top w:val="nil"/>
              <w:left w:val="nil"/>
              <w:bottom w:val="nil"/>
              <w:right w:val="nil"/>
            </w:tcBorders>
            <w:shd w:val="clear" w:color="auto" w:fill="auto"/>
            <w:vAlign w:val="center"/>
            <w:hideMark/>
          </w:tcPr>
          <w:p w14:paraId="6211CE41"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60228979"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2800DC72"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4415D40F" w14:textId="77777777" w:rsidR="007D2F6A" w:rsidRPr="007D2F6A" w:rsidRDefault="007D2F6A" w:rsidP="00B36EDA">
            <w:pPr>
              <w:jc w:val="center"/>
              <w:rPr>
                <w:rFonts w:ascii="Arial" w:hAnsi="Arial" w:cs="Arial"/>
              </w:rPr>
            </w:pPr>
          </w:p>
        </w:tc>
        <w:tc>
          <w:tcPr>
            <w:tcW w:w="1440" w:type="dxa"/>
            <w:tcBorders>
              <w:top w:val="nil"/>
              <w:left w:val="nil"/>
              <w:bottom w:val="nil"/>
              <w:right w:val="nil"/>
            </w:tcBorders>
            <w:shd w:val="clear" w:color="auto" w:fill="auto"/>
            <w:noWrap/>
            <w:vAlign w:val="center"/>
            <w:hideMark/>
          </w:tcPr>
          <w:p w14:paraId="14752AB4"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r>
      <w:tr w:rsidR="007D2F6A" w:rsidRPr="007D2F6A" w14:paraId="4A174DC6" w14:textId="77777777" w:rsidTr="00AA21F1">
        <w:trPr>
          <w:trHeight w:val="434"/>
        </w:trPr>
        <w:tc>
          <w:tcPr>
            <w:tcW w:w="1957" w:type="dxa"/>
            <w:vMerge/>
            <w:tcBorders>
              <w:top w:val="nil"/>
              <w:left w:val="nil"/>
              <w:bottom w:val="single" w:sz="4" w:space="0" w:color="000000"/>
              <w:right w:val="nil"/>
            </w:tcBorders>
            <w:vAlign w:val="center"/>
            <w:hideMark/>
          </w:tcPr>
          <w:p w14:paraId="43DA3867" w14:textId="77777777" w:rsidR="007D2F6A" w:rsidRPr="007D2F6A" w:rsidRDefault="007D2F6A" w:rsidP="00B36EDA">
            <w:pPr>
              <w:jc w:val="center"/>
              <w:rPr>
                <w:rFonts w:ascii="Arial" w:hAnsi="Arial" w:cs="Arial"/>
                <w:color w:val="000000"/>
              </w:rPr>
            </w:pPr>
          </w:p>
        </w:tc>
        <w:tc>
          <w:tcPr>
            <w:tcW w:w="1068" w:type="dxa"/>
            <w:tcBorders>
              <w:top w:val="nil"/>
              <w:left w:val="nil"/>
              <w:bottom w:val="single" w:sz="4" w:space="0" w:color="auto"/>
              <w:right w:val="nil"/>
            </w:tcBorders>
            <w:shd w:val="clear" w:color="auto" w:fill="auto"/>
            <w:vAlign w:val="center"/>
            <w:hideMark/>
          </w:tcPr>
          <w:p w14:paraId="25B2B258"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single" w:sz="4" w:space="0" w:color="auto"/>
              <w:right w:val="nil"/>
            </w:tcBorders>
            <w:shd w:val="clear" w:color="auto" w:fill="auto"/>
            <w:noWrap/>
            <w:vAlign w:val="center"/>
            <w:hideMark/>
          </w:tcPr>
          <w:p w14:paraId="53709529" w14:textId="77777777" w:rsidR="007D2F6A" w:rsidRPr="007D2F6A" w:rsidRDefault="007D2F6A" w:rsidP="00B36EDA">
            <w:pPr>
              <w:jc w:val="center"/>
              <w:rPr>
                <w:rFonts w:ascii="Arial" w:hAnsi="Arial" w:cs="Arial"/>
                <w:color w:val="000000"/>
              </w:rPr>
            </w:pPr>
          </w:p>
        </w:tc>
        <w:tc>
          <w:tcPr>
            <w:tcW w:w="1260" w:type="dxa"/>
            <w:tcBorders>
              <w:top w:val="nil"/>
              <w:left w:val="nil"/>
              <w:bottom w:val="single" w:sz="4" w:space="0" w:color="auto"/>
              <w:right w:val="nil"/>
            </w:tcBorders>
            <w:shd w:val="clear" w:color="auto" w:fill="auto"/>
            <w:noWrap/>
            <w:vAlign w:val="center"/>
            <w:hideMark/>
          </w:tcPr>
          <w:p w14:paraId="211732C4" w14:textId="77777777" w:rsidR="007D2F6A" w:rsidRPr="007D2F6A" w:rsidRDefault="007D2F6A" w:rsidP="00B36EDA">
            <w:pPr>
              <w:jc w:val="center"/>
              <w:rPr>
                <w:rFonts w:ascii="Arial" w:hAnsi="Arial" w:cs="Arial"/>
                <w:color w:val="000000"/>
              </w:rPr>
            </w:pPr>
          </w:p>
        </w:tc>
        <w:tc>
          <w:tcPr>
            <w:tcW w:w="1800" w:type="dxa"/>
            <w:tcBorders>
              <w:top w:val="nil"/>
              <w:left w:val="nil"/>
              <w:bottom w:val="single" w:sz="4" w:space="0" w:color="auto"/>
              <w:right w:val="nil"/>
            </w:tcBorders>
            <w:shd w:val="clear" w:color="auto" w:fill="auto"/>
            <w:noWrap/>
            <w:vAlign w:val="center"/>
            <w:hideMark/>
          </w:tcPr>
          <w:p w14:paraId="12036020" w14:textId="77777777" w:rsidR="007D2F6A" w:rsidRPr="007D2F6A" w:rsidRDefault="007D2F6A" w:rsidP="00B36EDA">
            <w:pPr>
              <w:jc w:val="center"/>
              <w:rPr>
                <w:rFonts w:ascii="Arial" w:hAnsi="Arial" w:cs="Arial"/>
                <w:color w:val="000000"/>
              </w:rPr>
            </w:pPr>
          </w:p>
        </w:tc>
        <w:tc>
          <w:tcPr>
            <w:tcW w:w="1440" w:type="dxa"/>
            <w:tcBorders>
              <w:top w:val="nil"/>
              <w:left w:val="nil"/>
              <w:bottom w:val="single" w:sz="4" w:space="0" w:color="auto"/>
              <w:right w:val="nil"/>
            </w:tcBorders>
            <w:shd w:val="clear" w:color="auto" w:fill="auto"/>
            <w:vAlign w:val="center"/>
            <w:hideMark/>
          </w:tcPr>
          <w:p w14:paraId="268B53B7" w14:textId="77777777" w:rsidR="007D2F6A" w:rsidRPr="007D2F6A" w:rsidRDefault="007D2F6A" w:rsidP="00B36EDA">
            <w:pPr>
              <w:jc w:val="center"/>
              <w:rPr>
                <w:rFonts w:ascii="Arial" w:hAnsi="Arial" w:cs="Arial"/>
                <w:color w:val="000000"/>
              </w:rPr>
            </w:pPr>
          </w:p>
        </w:tc>
      </w:tr>
    </w:tbl>
    <w:p w14:paraId="7B0F8AE7" w14:textId="77777777" w:rsidR="007D2F6A" w:rsidRPr="007D2F6A" w:rsidRDefault="007D2F6A" w:rsidP="00B36EDA">
      <w:pPr>
        <w:rPr>
          <w:rFonts w:ascii="Arial" w:eastAsia="Calibri" w:hAnsi="Arial" w:cs="Arial"/>
        </w:rPr>
      </w:pPr>
    </w:p>
    <w:p w14:paraId="1E50C84A" w14:textId="13C54961" w:rsidR="007D2F6A" w:rsidRPr="007D2F6A" w:rsidRDefault="007D2F6A" w:rsidP="00906A8C">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7</w:t>
      </w:r>
      <w:r w:rsidRPr="007D2F6A">
        <w:rPr>
          <w:rFonts w:ascii="Arial" w:eastAsia="Calibri" w:hAnsi="Arial" w:cs="Arial"/>
        </w:rPr>
        <w:t xml:space="preserve"> displays the correlation analysis between students’ mathematics performance and their engagement in the Damath game, specifically in terms of attitude and motivation. A significant positive correlation is observed between attitude and motivation (r = .371, </w:t>
      </w:r>
      <w:r w:rsidRPr="007D2F6A">
        <w:rPr>
          <w:rFonts w:ascii="Arial" w:eastAsia="Calibri" w:hAnsi="Arial" w:cs="Arial"/>
          <w:i/>
        </w:rPr>
        <w:t>P = .044</w:t>
      </w:r>
      <w:r w:rsidRPr="007D2F6A">
        <w:rPr>
          <w:rFonts w:ascii="Arial" w:eastAsia="Calibri" w:hAnsi="Arial" w:cs="Arial"/>
        </w:rPr>
        <w:t xml:space="preserve">), and a stronger, highly significant correlation exists between both attitude and overall student engagement (r = .822, </w:t>
      </w:r>
      <w:r w:rsidRPr="007D2F6A">
        <w:rPr>
          <w:rFonts w:ascii="Arial" w:eastAsia="Calibri" w:hAnsi="Arial" w:cs="Arial"/>
          <w:i/>
        </w:rPr>
        <w:t>P = .001</w:t>
      </w:r>
      <w:r w:rsidRPr="007D2F6A">
        <w:rPr>
          <w:rFonts w:ascii="Arial" w:eastAsia="Calibri" w:hAnsi="Arial" w:cs="Arial"/>
        </w:rPr>
        <w:t xml:space="preserve">) and motivation and overall engagement (r = .833, </w:t>
      </w:r>
      <w:r w:rsidRPr="007D2F6A">
        <w:rPr>
          <w:rFonts w:ascii="Arial" w:eastAsia="Calibri" w:hAnsi="Arial" w:cs="Arial"/>
          <w:i/>
        </w:rPr>
        <w:t>P = .000</w:t>
      </w:r>
      <w:r w:rsidRPr="007D2F6A">
        <w:rPr>
          <w:rFonts w:ascii="Arial" w:eastAsia="Calibri" w:hAnsi="Arial" w:cs="Arial"/>
        </w:rPr>
        <w:t xml:space="preserve">). However, the correlation between math performance and attitude (r = -0.101, </w:t>
      </w:r>
      <w:r w:rsidRPr="007D2F6A">
        <w:rPr>
          <w:rFonts w:ascii="Arial" w:eastAsia="Calibri" w:hAnsi="Arial" w:cs="Arial"/>
          <w:i/>
        </w:rPr>
        <w:t>P = .594</w:t>
      </w:r>
      <w:r w:rsidRPr="007D2F6A">
        <w:rPr>
          <w:rFonts w:ascii="Arial" w:eastAsia="Calibri" w:hAnsi="Arial" w:cs="Arial"/>
        </w:rPr>
        <w:t xml:space="preserve">), motivation (r = -0.045, </w:t>
      </w:r>
      <w:r w:rsidRPr="007D2F6A">
        <w:rPr>
          <w:rFonts w:ascii="Arial" w:eastAsia="Calibri" w:hAnsi="Arial" w:cs="Arial"/>
          <w:i/>
        </w:rPr>
        <w:t>P = .814</w:t>
      </w:r>
      <w:r w:rsidRPr="007D2F6A">
        <w:rPr>
          <w:rFonts w:ascii="Arial" w:eastAsia="Calibri" w:hAnsi="Arial" w:cs="Arial"/>
        </w:rPr>
        <w:t xml:space="preserve">), and overall student engagement (r = -0.088, </w:t>
      </w:r>
      <w:r w:rsidRPr="007D2F6A">
        <w:rPr>
          <w:rFonts w:ascii="Arial" w:eastAsia="Calibri" w:hAnsi="Arial" w:cs="Arial"/>
          <w:i/>
        </w:rPr>
        <w:t>P = .645</w:t>
      </w:r>
      <w:r w:rsidRPr="007D2F6A">
        <w:rPr>
          <w:rFonts w:ascii="Arial" w:eastAsia="Calibri" w:hAnsi="Arial" w:cs="Arial"/>
        </w:rPr>
        <w:t>) is weak and not statistically significant. These findings suggest that while students' engagement components are closely interrelated, such engagement does not have a direct or significant correlation with their mathematics performance in this context. One possible reason for this is the short implementation period of only three weeks, which may not have been sufficient for engagement to significantly influence performance outcomes. Additionally, the Damath game may be more effective in influencing students’ attitude and motivation rather than immediately improving test scores.  Students in this said grade level might have been more engaged with the gameplay itself rather than deeply mastering the mathematical concepts.</w:t>
      </w:r>
    </w:p>
    <w:p w14:paraId="1C2088D7" w14:textId="77777777" w:rsidR="00906A8C" w:rsidRDefault="00906A8C" w:rsidP="007D2F6A">
      <w:pPr>
        <w:jc w:val="both"/>
        <w:rPr>
          <w:rFonts w:ascii="Arial" w:eastAsia="Calibri" w:hAnsi="Arial" w:cs="Arial"/>
        </w:rPr>
      </w:pPr>
    </w:p>
    <w:p w14:paraId="272E5E4C"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These results support the findings of Okigbo &amp; Onoshakpokaiye (2023), who reported no significant correlation between students’ motivation and math performance, as indicated by a p-value of 0.726. In contrast, Oluwadamilare et al. (2024), found a significant positive relationship, with the calculated </w:t>
      </w:r>
      <w:r w:rsidRPr="007D2F6A">
        <w:rPr>
          <w:rFonts w:ascii="Arial" w:eastAsia="Calibri" w:hAnsi="Arial" w:cs="Arial"/>
          <w:i/>
        </w:rPr>
        <w:t xml:space="preserve">r </w:t>
      </w:r>
      <w:r w:rsidRPr="007D2F6A">
        <w:rPr>
          <w:rFonts w:ascii="Arial" w:eastAsia="Calibri" w:hAnsi="Arial" w:cs="Arial"/>
        </w:rPr>
        <w:t xml:space="preserve">(1.33) exceeding the critical value (0.02), leading to the rejection of null hypothesis of there is no significant relationship between motivation and students’ academic performance in Mathematics. </w:t>
      </w:r>
      <w:r w:rsidRPr="007D2F6A">
        <w:rPr>
          <w:rFonts w:ascii="Arial" w:eastAsia="Calibri" w:hAnsi="Arial" w:cs="Arial"/>
          <w:bCs/>
          <w:color w:val="000000"/>
        </w:rPr>
        <w:t xml:space="preserve">The correlation between students’ attitude towards Mathematics achievement was positively significant (Hwang &amp; Son, 2021). However, the study has limitations. First, it may be biased or exaggerated since information gathered are based on students’ self-reported data. Second, the sample was limited to Singaporean eighth-grade students, so the results may not apply to other countries or grade level. Lastly, attitude towards mathematics explained just 7.8% of the variance in math achievement, limiting the generalizability of the findings. </w:t>
      </w:r>
    </w:p>
    <w:p w14:paraId="38E45A4F" w14:textId="77777777" w:rsidR="00E15E51" w:rsidRDefault="00E15E51" w:rsidP="007D2F6A">
      <w:pPr>
        <w:jc w:val="both"/>
        <w:rPr>
          <w:rFonts w:ascii="Arial" w:eastAsia="Calibri" w:hAnsi="Arial" w:cs="Arial"/>
        </w:rPr>
      </w:pPr>
    </w:p>
    <w:p w14:paraId="2B69543B"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Henceforth, the strong correlation between students’ attitude, motivation and overall engagement in the Damath game suggests that the game is effective in capturing learners’ interest and promoting active participation. However, the lack of a significant relationship between these engagement factors and actual mathematics performance indicates that positive engagement alone may not directly lead to improved academic outcomes. This implies that while game-based learning tools like the mobile Damath game can enhance the learning environment and foster student enthusiasm, additional instructional support and strategic integration are necessary to ensure that engagement is translated into deeper understanding and measurable improvement in mathematics performance. </w:t>
      </w:r>
    </w:p>
    <w:p w14:paraId="02D11283" w14:textId="77777777" w:rsidR="00E15E51" w:rsidRDefault="00E15E51" w:rsidP="004D17F0">
      <w:pPr>
        <w:jc w:val="both"/>
        <w:rPr>
          <w:rFonts w:ascii="Arial" w:eastAsia="Calibri" w:hAnsi="Arial" w:cs="Arial"/>
        </w:rPr>
      </w:pPr>
    </w:p>
    <w:p w14:paraId="29BFCC1C" w14:textId="77777777" w:rsidR="00E053D0" w:rsidRPr="004D17F0" w:rsidRDefault="007D2F6A" w:rsidP="004D17F0">
      <w:pPr>
        <w:jc w:val="both"/>
        <w:rPr>
          <w:rFonts w:ascii="Arial" w:eastAsia="Calibri" w:hAnsi="Arial" w:cs="Arial"/>
        </w:rPr>
      </w:pPr>
      <w:r w:rsidRPr="007D2F6A">
        <w:rPr>
          <w:rFonts w:ascii="Arial" w:eastAsia="Calibri" w:hAnsi="Arial" w:cs="Arial"/>
        </w:rPr>
        <w:t xml:space="preserve">To build on the findings of this study, future research could explore the long-term impact of using Damath on students’ mathematics performance by extending the duration of the intervention beyond three weeks. Moreover, including qualitative data, such as student reflections and interviews, could provide deeper insights as to how engagement influences learning. Further, it may also be beneficial to examine the effect of Damath on different math concepts, or to involve students from different grade levels to determine if certain groups benefit more from game-based learning. </w:t>
      </w:r>
    </w:p>
    <w:p w14:paraId="3E062192" w14:textId="77777777" w:rsidR="00790ADA" w:rsidRPr="00FB3A86" w:rsidRDefault="00790ADA" w:rsidP="00441B6F">
      <w:pPr>
        <w:pStyle w:val="Body"/>
        <w:spacing w:after="0"/>
        <w:rPr>
          <w:rFonts w:ascii="Arial" w:hAnsi="Arial" w:cs="Arial"/>
        </w:rPr>
      </w:pPr>
    </w:p>
    <w:p w14:paraId="0C42AEE4" w14:textId="77777777" w:rsidR="003D5520" w:rsidRDefault="003D5520" w:rsidP="00441B6F">
      <w:pPr>
        <w:pStyle w:val="ConcHead"/>
        <w:spacing w:after="0"/>
        <w:jc w:val="both"/>
        <w:rPr>
          <w:rFonts w:ascii="Arial" w:hAnsi="Arial" w:cs="Arial"/>
        </w:rPr>
      </w:pPr>
    </w:p>
    <w:p w14:paraId="753C13ED" w14:textId="77777777" w:rsidR="00B01FCD" w:rsidRDefault="00B01FCD" w:rsidP="00441B6F">
      <w:pPr>
        <w:pStyle w:val="ConcHead"/>
        <w:spacing w:after="0"/>
        <w:jc w:val="both"/>
        <w:rPr>
          <w:rFonts w:ascii="Arial" w:hAnsi="Arial" w:cs="Arial"/>
        </w:rPr>
      </w:pPr>
      <w:r w:rsidRPr="00FB3A86">
        <w:rPr>
          <w:rFonts w:ascii="Arial" w:hAnsi="Arial" w:cs="Arial"/>
        </w:rPr>
        <w:t>Conclusion</w:t>
      </w:r>
    </w:p>
    <w:p w14:paraId="1CD566A8" w14:textId="77777777" w:rsidR="00790ADA" w:rsidRPr="00FB3A86" w:rsidRDefault="00790ADA" w:rsidP="00441B6F">
      <w:pPr>
        <w:pStyle w:val="ConcHead"/>
        <w:spacing w:after="0"/>
        <w:jc w:val="both"/>
        <w:rPr>
          <w:rFonts w:ascii="Arial" w:hAnsi="Arial" w:cs="Arial"/>
        </w:rPr>
      </w:pPr>
    </w:p>
    <w:p w14:paraId="41D002BD"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This study examined the effectiveness of the mobile Damath game in enhancing students’ performance in integers and explored the relationship between student engagement – measured through attitude and motivation – and mathematics achievement. Findings revealed that while both traditional teaching and the mobile Damath game led to improved post-test results, the experimental group showed significantly better performance, as confirmed by t-test results. This suggests that the mobile Damath game can be an effective tool for supporting math learning, particularly among low-performing learners. </w:t>
      </w:r>
    </w:p>
    <w:p w14:paraId="6405DFFB" w14:textId="77777777" w:rsidR="004D17F0" w:rsidRPr="004D17F0" w:rsidRDefault="004D17F0" w:rsidP="004D17F0">
      <w:pPr>
        <w:jc w:val="both"/>
        <w:rPr>
          <w:rFonts w:ascii="Arial" w:eastAsia="Calibri" w:hAnsi="Arial" w:cs="Arial"/>
        </w:rPr>
      </w:pPr>
      <w:r w:rsidRPr="004D17F0">
        <w:rPr>
          <w:rFonts w:ascii="Arial" w:eastAsia="Calibri" w:hAnsi="Arial" w:cs="Arial"/>
        </w:rPr>
        <w:t>Interestingly, although students in the experimental group exhibited high levels of engagement – with strong positive correlations between attitude, motivation, and overall engagement – these affective factors did not significantly correlate with actual math performance. This indicates that while game-based learning can enhance interest and involvement, engagement alone may not be a sufficient predictor of academic success. It highlights the importance of using educational games in a well-planned and teaching-focused way to make sure students stay mentally engaged and meet learning goals.</w:t>
      </w:r>
    </w:p>
    <w:p w14:paraId="506E796C" w14:textId="7F575196" w:rsidR="004D17F0" w:rsidRPr="004D17F0" w:rsidRDefault="004D17F0" w:rsidP="004D17F0">
      <w:pPr>
        <w:jc w:val="both"/>
        <w:rPr>
          <w:rFonts w:ascii="Arial" w:eastAsia="Calibri" w:hAnsi="Arial" w:cs="Arial"/>
        </w:rPr>
      </w:pPr>
      <w:r w:rsidRPr="004D17F0">
        <w:rPr>
          <w:rFonts w:ascii="Arial" w:eastAsia="Calibri" w:hAnsi="Arial" w:cs="Arial"/>
        </w:rPr>
        <w:t>From a theoretical perspective, the findings were consistent with constructivist learning theory, which emphasizes the importance of active, student-centered learning experiences. The mobile Damath game reflected these principles by encouraging exploration, i</w:t>
      </w:r>
      <w:r w:rsidR="007935AB">
        <w:rPr>
          <w:rFonts w:ascii="Arial" w:eastAsia="Calibri" w:hAnsi="Arial" w:cs="Arial"/>
        </w:rPr>
        <w:t>nteraction, and problem solving.</w:t>
      </w:r>
    </w:p>
    <w:p w14:paraId="39350AE3" w14:textId="77777777" w:rsidR="006100B4" w:rsidRDefault="006100B4" w:rsidP="004D17F0">
      <w:pPr>
        <w:jc w:val="both"/>
        <w:rPr>
          <w:rFonts w:ascii="Arial" w:eastAsia="Calibri" w:hAnsi="Arial" w:cs="Arial"/>
        </w:rPr>
      </w:pPr>
    </w:p>
    <w:p w14:paraId="42EF7A76"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The broader educational implications of the study indicate that mobile and game-based tools, when thoughtfully integrated, complement traditional instruction and support differentiated learning. For struggling learners, such tools can provide a more engaging and supportive learning environment that fosters both skill development and positive attitudes toward Mathematics. To maximize their impact, however, teachers need to be equipped with the appropriate training and resources to implement game-based strategies effectively. </w:t>
      </w:r>
    </w:p>
    <w:p w14:paraId="7839CC18" w14:textId="77777777" w:rsidR="006100B4" w:rsidRDefault="006100B4" w:rsidP="004D17F0">
      <w:pPr>
        <w:jc w:val="both"/>
        <w:rPr>
          <w:rFonts w:ascii="Arial" w:eastAsia="Calibri" w:hAnsi="Arial" w:cs="Arial"/>
        </w:rPr>
      </w:pPr>
    </w:p>
    <w:p w14:paraId="5C579CA5"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In conclusion, the study provides empirical evidence that integrating mobile game-based tools such as Damath can enhance mathematics instruction for low-performing students. Rooted in constructivist theory, the intervention supports student-centered, interactive learning environments. The findings support further integration of educational games in the curriculum, teacher training for effective implementation, and further research to explore long-term impacts of engagement-driven digital tools on academic achievement. </w:t>
      </w:r>
    </w:p>
    <w:p w14:paraId="28213D62" w14:textId="77777777" w:rsidR="00B01FCD" w:rsidRDefault="00B01FCD" w:rsidP="00441B6F">
      <w:pPr>
        <w:pStyle w:val="Body"/>
        <w:spacing w:after="0"/>
        <w:rPr>
          <w:rFonts w:ascii="Arial" w:hAnsi="Arial" w:cs="Arial"/>
        </w:rPr>
      </w:pPr>
    </w:p>
    <w:p w14:paraId="1E3CB178" w14:textId="77777777" w:rsidR="00790ADA" w:rsidRPr="00FB3A86" w:rsidRDefault="00790ADA" w:rsidP="00441B6F">
      <w:pPr>
        <w:pStyle w:val="Body"/>
        <w:spacing w:after="0"/>
        <w:rPr>
          <w:rFonts w:ascii="Arial" w:hAnsi="Arial" w:cs="Arial"/>
        </w:rPr>
      </w:pPr>
    </w:p>
    <w:p w14:paraId="66E03F4D" w14:textId="77777777" w:rsidR="003078F6" w:rsidRPr="003078F6" w:rsidRDefault="003078F6" w:rsidP="003078F6">
      <w:pPr>
        <w:rPr>
          <w:rFonts w:ascii="Calibri" w:eastAsia="Calibri" w:hAnsi="Calibri"/>
          <w:b/>
          <w:kern w:val="2"/>
        </w:rPr>
      </w:pPr>
      <w:bookmarkStart w:id="2" w:name="_Hlk197682619"/>
      <w:bookmarkStart w:id="3" w:name="_Hlk180402183"/>
      <w:bookmarkStart w:id="4" w:name="_Hlk183680988"/>
    </w:p>
    <w:p w14:paraId="43E953ED" w14:textId="2FD3F71C" w:rsidR="003078F6" w:rsidRPr="003078F6" w:rsidRDefault="003078F6" w:rsidP="003078F6">
      <w:pPr>
        <w:rPr>
          <w:rFonts w:ascii="Calibri" w:eastAsia="Calibri" w:hAnsi="Calibri"/>
          <w:b/>
          <w:kern w:val="2"/>
        </w:rPr>
      </w:pPr>
      <w:r w:rsidRPr="003078F6">
        <w:rPr>
          <w:rFonts w:ascii="Calibri" w:eastAsia="Calibri" w:hAnsi="Calibri"/>
          <w:b/>
          <w:kern w:val="2"/>
        </w:rPr>
        <w:t>Consent</w:t>
      </w:r>
      <w:r>
        <w:rPr>
          <w:rFonts w:ascii="Calibri" w:eastAsia="Calibri" w:hAnsi="Calibri"/>
          <w:b/>
          <w:kern w:val="2"/>
        </w:rPr>
        <w:t xml:space="preserve">: </w:t>
      </w:r>
      <w:bookmarkStart w:id="5" w:name="_GoBack"/>
      <w:bookmarkEnd w:id="5"/>
    </w:p>
    <w:p w14:paraId="49E188D9" w14:textId="69458010" w:rsidR="003078F6" w:rsidRPr="003078F6" w:rsidRDefault="003078F6" w:rsidP="003078F6">
      <w:pPr>
        <w:rPr>
          <w:rFonts w:ascii="Calibri" w:eastAsia="Calibri" w:hAnsi="Calibri"/>
          <w:kern w:val="2"/>
          <w:highlight w:val="yellow"/>
        </w:rPr>
      </w:pPr>
      <w:r w:rsidRPr="003078F6">
        <w:rPr>
          <w:rFonts w:ascii="Calibri" w:eastAsia="Calibri" w:hAnsi="Calibri"/>
          <w:kern w:val="2"/>
        </w:rPr>
        <w:t>As per international standards, parental written consent has been collected and preserved by the author(s).</w:t>
      </w:r>
    </w:p>
    <w:p w14:paraId="3239C459" w14:textId="77777777" w:rsidR="003078F6" w:rsidRDefault="003078F6" w:rsidP="005D5B57">
      <w:pPr>
        <w:rPr>
          <w:rFonts w:ascii="Calibri" w:eastAsia="Calibri" w:hAnsi="Calibri"/>
          <w:b/>
          <w:kern w:val="2"/>
          <w:highlight w:val="yellow"/>
        </w:rPr>
      </w:pPr>
    </w:p>
    <w:p w14:paraId="24CEDFCD" w14:textId="77777777" w:rsidR="003078F6" w:rsidRDefault="003078F6" w:rsidP="005D5B57">
      <w:pPr>
        <w:rPr>
          <w:rFonts w:ascii="Calibri" w:eastAsia="Calibri" w:hAnsi="Calibri"/>
          <w:b/>
          <w:kern w:val="2"/>
          <w:highlight w:val="yellow"/>
        </w:rPr>
      </w:pPr>
    </w:p>
    <w:p w14:paraId="6FEE9AAB" w14:textId="77777777" w:rsidR="003078F6" w:rsidRDefault="003078F6" w:rsidP="005D5B57">
      <w:pPr>
        <w:rPr>
          <w:rFonts w:ascii="Calibri" w:eastAsia="Calibri" w:hAnsi="Calibri"/>
          <w:b/>
          <w:kern w:val="2"/>
          <w:highlight w:val="yellow"/>
        </w:rPr>
      </w:pPr>
    </w:p>
    <w:p w14:paraId="793081C6" w14:textId="2F6C7C70" w:rsidR="005D5B57" w:rsidRPr="003078F6" w:rsidRDefault="005D5B57" w:rsidP="005D5B57">
      <w:pPr>
        <w:rPr>
          <w:rFonts w:ascii="Calibri" w:eastAsia="Calibri" w:hAnsi="Calibri"/>
          <w:b/>
          <w:kern w:val="2"/>
          <w:highlight w:val="yellow"/>
        </w:rPr>
      </w:pPr>
      <w:r w:rsidRPr="003078F6">
        <w:rPr>
          <w:rFonts w:ascii="Calibri" w:eastAsia="Calibri" w:hAnsi="Calibri"/>
          <w:b/>
          <w:kern w:val="2"/>
          <w:highlight w:val="yellow"/>
        </w:rPr>
        <w:t>Disclaimer (Artificial intelligence)</w:t>
      </w:r>
    </w:p>
    <w:p w14:paraId="54EF883B"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 xml:space="preserve">Option 1: </w:t>
      </w:r>
    </w:p>
    <w:p w14:paraId="044A30A7"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2D393BC1"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 xml:space="preserve">Option 2: </w:t>
      </w:r>
    </w:p>
    <w:p w14:paraId="07B620BA"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12293A"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lastRenderedPageBreak/>
        <w:t>Details of the AI usage are given below:</w:t>
      </w:r>
    </w:p>
    <w:p w14:paraId="60C495F9"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1.</w:t>
      </w:r>
    </w:p>
    <w:p w14:paraId="70BA4DB1" w14:textId="77777777" w:rsidR="005D5B57" w:rsidRPr="009C5487" w:rsidRDefault="005D5B57" w:rsidP="005D5B57">
      <w:pPr>
        <w:rPr>
          <w:rFonts w:ascii="Calibri" w:eastAsia="Calibri" w:hAnsi="Calibri"/>
          <w:kern w:val="2"/>
          <w:highlight w:val="yellow"/>
        </w:rPr>
      </w:pPr>
      <w:r w:rsidRPr="009C5487">
        <w:rPr>
          <w:rFonts w:ascii="Calibri" w:eastAsia="Calibri" w:hAnsi="Calibri"/>
          <w:kern w:val="2"/>
          <w:highlight w:val="yellow"/>
        </w:rPr>
        <w:t>2.</w:t>
      </w:r>
    </w:p>
    <w:p w14:paraId="36437025" w14:textId="77777777" w:rsidR="005D5B57" w:rsidRPr="009C5487" w:rsidRDefault="005D5B57" w:rsidP="005D5B57">
      <w:pPr>
        <w:rPr>
          <w:rFonts w:ascii="Calibri" w:eastAsia="Calibri" w:hAnsi="Calibri"/>
          <w:kern w:val="2"/>
        </w:rPr>
      </w:pPr>
      <w:bookmarkStart w:id="6" w:name="_Hlk197682629"/>
      <w:bookmarkEnd w:id="2"/>
      <w:r w:rsidRPr="009C5487">
        <w:rPr>
          <w:rFonts w:ascii="Calibri" w:eastAsia="Calibri" w:hAnsi="Calibri"/>
          <w:kern w:val="2"/>
          <w:highlight w:val="yellow"/>
        </w:rPr>
        <w:t>3.</w:t>
      </w:r>
    </w:p>
    <w:bookmarkEnd w:id="3"/>
    <w:bookmarkEnd w:id="4"/>
    <w:bookmarkEnd w:id="6"/>
    <w:p w14:paraId="1CEE333E" w14:textId="77777777" w:rsidR="005D5B57" w:rsidRPr="0091625F" w:rsidRDefault="005D5B57" w:rsidP="0091625F">
      <w:pPr>
        <w:jc w:val="both"/>
        <w:rPr>
          <w:rFonts w:ascii="Arial" w:eastAsia="Calibri" w:hAnsi="Arial" w:cs="Arial"/>
        </w:rPr>
      </w:pPr>
    </w:p>
    <w:p w14:paraId="1EA4A66D" w14:textId="77777777" w:rsidR="0091625F" w:rsidRPr="0091625F" w:rsidRDefault="0091625F" w:rsidP="0091625F">
      <w:pPr>
        <w:jc w:val="both"/>
        <w:rPr>
          <w:rFonts w:ascii="Arial" w:eastAsia="Calibri" w:hAnsi="Arial" w:cs="Arial"/>
        </w:rPr>
      </w:pPr>
    </w:p>
    <w:p w14:paraId="391C5A25" w14:textId="77777777" w:rsidR="0091625F" w:rsidRPr="003D5520" w:rsidRDefault="0091625F" w:rsidP="003D5520">
      <w:pPr>
        <w:jc w:val="both"/>
        <w:rPr>
          <w:rFonts w:ascii="Arial" w:eastAsia="Calibri" w:hAnsi="Arial" w:cs="Arial"/>
        </w:rPr>
      </w:pPr>
    </w:p>
    <w:p w14:paraId="7F80ADEF" w14:textId="77777777" w:rsidR="00371FB6" w:rsidRDefault="00371FB6" w:rsidP="00441B6F">
      <w:pPr>
        <w:pStyle w:val="ReferHead"/>
        <w:spacing w:after="0"/>
        <w:jc w:val="both"/>
        <w:rPr>
          <w:rFonts w:ascii="Arial" w:hAnsi="Arial" w:cs="Arial"/>
          <w:b w:val="0"/>
          <w:caps w:val="0"/>
          <w:sz w:val="20"/>
        </w:rPr>
      </w:pPr>
    </w:p>
    <w:p w14:paraId="069DA83B" w14:textId="77777777" w:rsidR="003D5520" w:rsidRDefault="003D5520" w:rsidP="00441B6F">
      <w:pPr>
        <w:pStyle w:val="ReferHead"/>
        <w:spacing w:after="0"/>
        <w:jc w:val="both"/>
        <w:rPr>
          <w:rFonts w:ascii="Arial" w:hAnsi="Arial" w:cs="Arial"/>
          <w:b w:val="0"/>
          <w:caps w:val="0"/>
          <w:sz w:val="20"/>
        </w:rPr>
      </w:pPr>
    </w:p>
    <w:p w14:paraId="5AFC1319" w14:textId="682C89B0" w:rsidR="001A29D8" w:rsidRPr="00F469F0" w:rsidRDefault="001A29D8" w:rsidP="00254414">
      <w:pPr>
        <w:pStyle w:val="ReferHead"/>
        <w:spacing w:after="0"/>
        <w:jc w:val="both"/>
        <w:rPr>
          <w:rFonts w:ascii="Arial" w:hAnsi="Arial" w:cs="Arial"/>
          <w:b w:val="0"/>
          <w:caps w:val="0"/>
          <w:sz w:val="20"/>
          <w:u w:val="single"/>
        </w:rPr>
      </w:pPr>
    </w:p>
    <w:p w14:paraId="13759222" w14:textId="77777777" w:rsidR="001A29D8" w:rsidRDefault="001A29D8" w:rsidP="00441B6F">
      <w:pPr>
        <w:pStyle w:val="ReferHead"/>
        <w:spacing w:after="0"/>
        <w:jc w:val="both"/>
        <w:rPr>
          <w:rFonts w:ascii="Arial" w:hAnsi="Arial" w:cs="Arial"/>
          <w:b w:val="0"/>
          <w:caps w:val="0"/>
          <w:sz w:val="20"/>
        </w:rPr>
      </w:pPr>
    </w:p>
    <w:p w14:paraId="7386301F" w14:textId="77777777" w:rsidR="00F93107" w:rsidRDefault="00F93107" w:rsidP="00441B6F">
      <w:pPr>
        <w:pStyle w:val="ReferHead"/>
        <w:spacing w:after="0"/>
        <w:jc w:val="both"/>
        <w:rPr>
          <w:rFonts w:ascii="Arial" w:hAnsi="Arial" w:cs="Arial"/>
        </w:rPr>
      </w:pPr>
    </w:p>
    <w:p w14:paraId="7DF11BFB" w14:textId="77777777" w:rsidR="00F93107" w:rsidRDefault="00F93107" w:rsidP="00441B6F">
      <w:pPr>
        <w:pStyle w:val="ReferHead"/>
        <w:spacing w:after="0"/>
        <w:jc w:val="both"/>
        <w:rPr>
          <w:rFonts w:ascii="Arial" w:hAnsi="Arial" w:cs="Arial"/>
        </w:rPr>
      </w:pPr>
    </w:p>
    <w:p w14:paraId="25CB5C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B3FE9E" w14:textId="77777777" w:rsidR="00790ADA" w:rsidRPr="00FB3A86" w:rsidRDefault="00790ADA" w:rsidP="00441B6F">
      <w:pPr>
        <w:pStyle w:val="ReferHead"/>
        <w:spacing w:after="0"/>
        <w:jc w:val="both"/>
        <w:rPr>
          <w:rFonts w:ascii="Arial" w:hAnsi="Arial" w:cs="Arial"/>
        </w:rPr>
      </w:pPr>
    </w:p>
    <w:p w14:paraId="39B1F140" w14:textId="77777777" w:rsidR="00F84325" w:rsidRDefault="00F84325" w:rsidP="00870F0C">
      <w:pPr>
        <w:jc w:val="both"/>
        <w:rPr>
          <w:rFonts w:ascii="Arial" w:eastAsia="Calibri" w:hAnsi="Arial" w:cs="Arial"/>
        </w:rPr>
      </w:pPr>
    </w:p>
    <w:p w14:paraId="676B5A3A" w14:textId="3A2B5D69" w:rsidR="00F2500D" w:rsidRPr="00C95DF6" w:rsidRDefault="00F2500D" w:rsidP="00F2500D">
      <w:pPr>
        <w:jc w:val="both"/>
        <w:rPr>
          <w:rFonts w:ascii="Arial" w:hAnsi="Arial" w:cs="Arial"/>
        </w:rPr>
      </w:pPr>
      <w:r w:rsidRPr="00C95DF6">
        <w:rPr>
          <w:rFonts w:ascii="Arial" w:hAnsi="Arial" w:cs="Arial"/>
        </w:rPr>
        <w:t xml:space="preserve">Adipat, S., </w:t>
      </w:r>
      <w:proofErr w:type="spellStart"/>
      <w:r w:rsidRPr="00C95DF6">
        <w:rPr>
          <w:rFonts w:ascii="Arial" w:hAnsi="Arial" w:cs="Arial"/>
        </w:rPr>
        <w:t>Laksana</w:t>
      </w:r>
      <w:proofErr w:type="spellEnd"/>
      <w:r w:rsidRPr="00C95DF6">
        <w:rPr>
          <w:rFonts w:ascii="Arial" w:hAnsi="Arial" w:cs="Arial"/>
        </w:rPr>
        <w:t xml:space="preserve">, K., </w:t>
      </w:r>
      <w:proofErr w:type="spellStart"/>
      <w:r w:rsidRPr="00C95DF6">
        <w:rPr>
          <w:rFonts w:ascii="Arial" w:hAnsi="Arial" w:cs="Arial"/>
        </w:rPr>
        <w:t>Busayanon</w:t>
      </w:r>
      <w:proofErr w:type="spellEnd"/>
      <w:r w:rsidRPr="00C95DF6">
        <w:rPr>
          <w:rFonts w:ascii="Arial" w:hAnsi="Arial" w:cs="Arial"/>
        </w:rPr>
        <w:t xml:space="preserve">, K., </w:t>
      </w:r>
      <w:proofErr w:type="spellStart"/>
      <w:r w:rsidRPr="00C95DF6">
        <w:rPr>
          <w:rFonts w:ascii="Arial" w:hAnsi="Arial" w:cs="Arial"/>
        </w:rPr>
        <w:t>Asawasowan</w:t>
      </w:r>
      <w:proofErr w:type="spellEnd"/>
      <w:r w:rsidRPr="00C95DF6">
        <w:rPr>
          <w:rFonts w:ascii="Arial" w:hAnsi="Arial" w:cs="Arial"/>
        </w:rPr>
        <w:t xml:space="preserve">, A., &amp; Adipat, B. (2021). Engaging students in the learning process with game-based learning: The fundamental concepts. </w:t>
      </w:r>
      <w:r w:rsidRPr="00C95DF6">
        <w:rPr>
          <w:rFonts w:ascii="Arial" w:hAnsi="Arial" w:cs="Arial"/>
          <w:iCs/>
        </w:rPr>
        <w:t>International Journal of Technology in Education (IJTE), 4</w:t>
      </w:r>
      <w:r w:rsidR="008417A3">
        <w:rPr>
          <w:rFonts w:ascii="Arial" w:hAnsi="Arial" w:cs="Arial"/>
        </w:rPr>
        <w:t>(</w:t>
      </w:r>
      <w:r w:rsidR="00C95DF6">
        <w:rPr>
          <w:rFonts w:ascii="Arial" w:hAnsi="Arial" w:cs="Arial"/>
        </w:rPr>
        <w:t>3</w:t>
      </w:r>
      <w:r w:rsidR="008417A3">
        <w:rPr>
          <w:rFonts w:ascii="Arial" w:hAnsi="Arial" w:cs="Arial"/>
        </w:rPr>
        <w:t>),</w:t>
      </w:r>
      <w:r w:rsidRPr="00C95DF6">
        <w:rPr>
          <w:rFonts w:ascii="Arial" w:hAnsi="Arial" w:cs="Arial"/>
        </w:rPr>
        <w:t xml:space="preserve"> 542-552. </w:t>
      </w:r>
      <w:hyperlink r:id="rId11" w:history="1">
        <w:r w:rsidRPr="00C95DF6">
          <w:rPr>
            <w:rStyle w:val="Hyperlink"/>
            <w:rFonts w:ascii="Arial" w:hAnsi="Arial" w:cs="Arial"/>
          </w:rPr>
          <w:t>https://doi.org/10.46328/ijte.169</w:t>
        </w:r>
      </w:hyperlink>
    </w:p>
    <w:p w14:paraId="58D7BC9B" w14:textId="77777777" w:rsidR="00F2500D" w:rsidRDefault="00F2500D" w:rsidP="00870F0C">
      <w:pPr>
        <w:jc w:val="both"/>
        <w:rPr>
          <w:rFonts w:ascii="Arial" w:hAnsi="Arial" w:cs="Arial"/>
          <w:bCs/>
        </w:rPr>
      </w:pPr>
    </w:p>
    <w:p w14:paraId="0BA54C21" w14:textId="6326A538" w:rsidR="00C60969" w:rsidRPr="004643B6" w:rsidRDefault="00C60969" w:rsidP="00870F0C">
      <w:pPr>
        <w:jc w:val="both"/>
        <w:rPr>
          <w:rFonts w:ascii="Arial" w:hAnsi="Arial" w:cs="Arial"/>
        </w:rPr>
      </w:pPr>
      <w:r w:rsidRPr="004643B6">
        <w:rPr>
          <w:rFonts w:ascii="Arial" w:hAnsi="Arial" w:cs="Arial"/>
          <w:bCs/>
        </w:rPr>
        <w:t xml:space="preserve">Asanre, A., </w:t>
      </w:r>
      <w:proofErr w:type="spellStart"/>
      <w:r w:rsidRPr="004643B6">
        <w:rPr>
          <w:rFonts w:ascii="Arial" w:hAnsi="Arial" w:cs="Arial"/>
          <w:bCs/>
        </w:rPr>
        <w:t>Aviwe</w:t>
      </w:r>
      <w:proofErr w:type="spellEnd"/>
      <w:r w:rsidRPr="004643B6">
        <w:rPr>
          <w:rFonts w:ascii="Arial" w:hAnsi="Arial" w:cs="Arial"/>
          <w:bCs/>
        </w:rPr>
        <w:t>, S., &amp; Abiodun, T. (2024). Impact of interest and motivation on academic achievement of junior secondary school students in Mathematics. Journal of Mathematics Instruction, Social Research and Opinion (JMISRO), 3</w:t>
      </w:r>
      <w:r w:rsidR="00305B7A">
        <w:rPr>
          <w:rFonts w:ascii="Arial" w:hAnsi="Arial" w:cs="Arial"/>
          <w:bCs/>
        </w:rPr>
        <w:t>(</w:t>
      </w:r>
      <w:r w:rsidR="004643B6">
        <w:rPr>
          <w:rFonts w:ascii="Arial" w:hAnsi="Arial" w:cs="Arial"/>
          <w:bCs/>
        </w:rPr>
        <w:t>3</w:t>
      </w:r>
      <w:r w:rsidR="00305B7A">
        <w:rPr>
          <w:rFonts w:ascii="Arial" w:hAnsi="Arial" w:cs="Arial"/>
          <w:bCs/>
        </w:rPr>
        <w:t>)</w:t>
      </w:r>
      <w:r w:rsidR="00305B7A">
        <w:rPr>
          <w:rFonts w:ascii="Arial" w:hAnsi="Arial" w:cs="Arial"/>
        </w:rPr>
        <w:t>,</w:t>
      </w:r>
      <w:r w:rsidRPr="004643B6">
        <w:rPr>
          <w:rFonts w:ascii="Arial" w:hAnsi="Arial" w:cs="Arial"/>
        </w:rPr>
        <w:t xml:space="preserve"> 275 – 284. </w:t>
      </w:r>
      <w:hyperlink r:id="rId12" w:history="1">
        <w:r w:rsidRPr="004643B6">
          <w:rPr>
            <w:rStyle w:val="Hyperlink"/>
            <w:rFonts w:ascii="Arial" w:hAnsi="Arial" w:cs="Arial"/>
          </w:rPr>
          <w:t>https://doi.org/10.58421/misro.v3i3.269</w:t>
        </w:r>
      </w:hyperlink>
    </w:p>
    <w:p w14:paraId="7379A66A" w14:textId="77777777" w:rsidR="00C60969" w:rsidRDefault="00C60969" w:rsidP="00870F0C">
      <w:pPr>
        <w:jc w:val="both"/>
        <w:rPr>
          <w:rFonts w:ascii="Arial" w:eastAsia="Calibri" w:hAnsi="Arial" w:cs="Arial"/>
        </w:rPr>
      </w:pPr>
    </w:p>
    <w:p w14:paraId="7A80F3F8" w14:textId="77777777" w:rsidR="00A50EF7" w:rsidRDefault="00A50EF7" w:rsidP="00870F0C">
      <w:pPr>
        <w:jc w:val="both"/>
        <w:rPr>
          <w:rFonts w:ascii="Arial" w:eastAsia="Calibri" w:hAnsi="Arial" w:cs="Arial"/>
          <w:color w:val="0000FF"/>
          <w:u w:val="single"/>
        </w:rPr>
      </w:pPr>
      <w:r w:rsidRPr="00A50EF7">
        <w:rPr>
          <w:rFonts w:ascii="Arial" w:eastAsia="Calibri" w:hAnsi="Arial" w:cs="Arial"/>
        </w:rPr>
        <w:t xml:space="preserve">Awofala, A., Lawani, A., &amp; Adeyemi, O. (2020). Motivation to learning mathematics and gender as correlates of senior secondary school students’ performance in mathematics. Journal of </w:t>
      </w:r>
      <w:r w:rsidR="00671F1F">
        <w:rPr>
          <w:rFonts w:ascii="Arial" w:eastAsia="Calibri" w:hAnsi="Arial" w:cs="Arial"/>
        </w:rPr>
        <w:t>Educational Sciences</w:t>
      </w:r>
      <w:r w:rsidRPr="00A50EF7">
        <w:rPr>
          <w:rFonts w:ascii="Arial" w:eastAsia="Calibri" w:hAnsi="Arial" w:cs="Arial"/>
        </w:rPr>
        <w:t xml:space="preserve">, 4(2), 318-333. </w:t>
      </w:r>
      <w:r w:rsidRPr="00A50EF7">
        <w:rPr>
          <w:rFonts w:ascii="Arial" w:eastAsia="Calibri" w:hAnsi="Arial" w:cs="Arial"/>
          <w:color w:val="0000FF"/>
        </w:rPr>
        <w:t xml:space="preserve"> </w:t>
      </w:r>
      <w:hyperlink r:id="rId13" w:history="1">
        <w:r w:rsidRPr="00A50EF7">
          <w:rPr>
            <w:rStyle w:val="Hyperlink"/>
          </w:rPr>
          <w:t>https://jes.ejournal.unri.ac.id/index.php/JES</w:t>
        </w:r>
      </w:hyperlink>
    </w:p>
    <w:p w14:paraId="401C7B7D" w14:textId="77777777" w:rsidR="00A50EF7" w:rsidRPr="00A50EF7" w:rsidRDefault="00A50EF7" w:rsidP="00870F0C">
      <w:pPr>
        <w:jc w:val="both"/>
        <w:rPr>
          <w:rFonts w:ascii="Arial" w:eastAsia="Calibri" w:hAnsi="Arial" w:cs="Arial"/>
          <w:bCs/>
          <w:color w:val="000000"/>
        </w:rPr>
      </w:pPr>
    </w:p>
    <w:p w14:paraId="1FBA30C5" w14:textId="77777777" w:rsidR="00E362B7" w:rsidRPr="00E362B7" w:rsidRDefault="00E362B7" w:rsidP="00870F0C">
      <w:pPr>
        <w:jc w:val="both"/>
        <w:rPr>
          <w:rFonts w:ascii="Arial" w:eastAsia="Calibri" w:hAnsi="Arial" w:cs="Arial"/>
          <w:bCs/>
          <w:color w:val="0000FF"/>
          <w:u w:val="single"/>
        </w:rPr>
      </w:pPr>
      <w:r w:rsidRPr="00E362B7">
        <w:rPr>
          <w:rFonts w:ascii="Arial" w:eastAsia="Calibri" w:hAnsi="Arial" w:cs="Arial"/>
          <w:bCs/>
          <w:color w:val="000000"/>
        </w:rPr>
        <w:t>Baog, I., Bartolome, J., Hayo, M., Agbon, A., &amp; Roferos, G. (2024). Unlocking mathematical success: A qualitative case study on grade 10 learners' challenges and triumphs with the DAMATH strategy. International Journal of Research and Innov</w:t>
      </w:r>
      <w:r w:rsidR="0065789D">
        <w:rPr>
          <w:rFonts w:ascii="Arial" w:eastAsia="Calibri" w:hAnsi="Arial" w:cs="Arial"/>
          <w:bCs/>
          <w:color w:val="000000"/>
        </w:rPr>
        <w:t>ation in Social Science</w:t>
      </w:r>
      <w:r w:rsidRPr="00E362B7">
        <w:rPr>
          <w:rFonts w:ascii="Arial" w:eastAsia="Calibri" w:hAnsi="Arial" w:cs="Arial"/>
          <w:bCs/>
          <w:color w:val="000000"/>
        </w:rPr>
        <w:t xml:space="preserve">, 8(7), 1124-1133. </w:t>
      </w:r>
      <w:hyperlink r:id="rId14" w:history="1">
        <w:r w:rsidRPr="00E362B7">
          <w:rPr>
            <w:rStyle w:val="Hyperlink"/>
          </w:rPr>
          <w:t>https://dx.doi.org/10.47772/IJRISS.2024.807092</w:t>
        </w:r>
      </w:hyperlink>
    </w:p>
    <w:p w14:paraId="20139100" w14:textId="77777777" w:rsidR="00E450C3" w:rsidRDefault="00E450C3" w:rsidP="002C0B1F">
      <w:pPr>
        <w:jc w:val="both"/>
        <w:rPr>
          <w:rFonts w:ascii="Arial" w:eastAsia="Calibri" w:hAnsi="Arial" w:cs="Arial"/>
        </w:rPr>
      </w:pPr>
    </w:p>
    <w:p w14:paraId="2736AB03" w14:textId="774B4C9B" w:rsidR="0091216F" w:rsidRPr="000558CE" w:rsidRDefault="0091216F" w:rsidP="002C0B1F">
      <w:pPr>
        <w:jc w:val="both"/>
        <w:rPr>
          <w:rStyle w:val="Hyperlink"/>
          <w:rFonts w:ascii="Arial" w:hAnsi="Arial" w:cs="Arial"/>
          <w:shd w:val="clear" w:color="auto" w:fill="FFFFFF"/>
        </w:rPr>
      </w:pPr>
      <w:r w:rsidRPr="000558CE">
        <w:rPr>
          <w:rFonts w:ascii="Arial" w:hAnsi="Arial" w:cs="Arial"/>
          <w:shd w:val="clear" w:color="auto" w:fill="FFFFFF"/>
        </w:rPr>
        <w:t>Bayeck, R. Y. (2020). Examining board gameplay and learning: A multidisciplinary review of recent research. </w:t>
      </w:r>
      <w:r w:rsidRPr="00C344BE">
        <w:rPr>
          <w:rStyle w:val="Emphasis"/>
          <w:rFonts w:ascii="Arial" w:hAnsi="Arial" w:cs="Arial"/>
          <w:i w:val="0"/>
          <w:shd w:val="clear" w:color="auto" w:fill="FFFFFF"/>
        </w:rPr>
        <w:t>Simulation &amp; Gaming, 51</w:t>
      </w:r>
      <w:r w:rsidRPr="000558CE">
        <w:rPr>
          <w:rFonts w:ascii="Arial" w:hAnsi="Arial" w:cs="Arial"/>
          <w:shd w:val="clear" w:color="auto" w:fill="FFFFFF"/>
        </w:rPr>
        <w:t>(4), 411–431. </w:t>
      </w:r>
      <w:hyperlink r:id="rId15" w:tgtFrame="_blank" w:history="1">
        <w:r w:rsidRPr="000558CE">
          <w:rPr>
            <w:rStyle w:val="Hyperlink"/>
            <w:rFonts w:ascii="Arial" w:hAnsi="Arial" w:cs="Arial"/>
            <w:shd w:val="clear" w:color="auto" w:fill="FFFFFF"/>
          </w:rPr>
          <w:t>https://doi.org/10.1177/1046878119901286</w:t>
        </w:r>
      </w:hyperlink>
    </w:p>
    <w:p w14:paraId="1EC6D131" w14:textId="77777777" w:rsidR="0091216F" w:rsidRDefault="0091216F" w:rsidP="002C0B1F">
      <w:pPr>
        <w:jc w:val="both"/>
        <w:rPr>
          <w:rFonts w:ascii="Arial" w:eastAsia="Calibri" w:hAnsi="Arial" w:cs="Arial"/>
        </w:rPr>
      </w:pPr>
    </w:p>
    <w:p w14:paraId="44EDBE8C" w14:textId="77777777" w:rsidR="002C0B1F" w:rsidRPr="002C0B1F" w:rsidRDefault="002C0B1F" w:rsidP="002C0B1F">
      <w:pPr>
        <w:jc w:val="both"/>
        <w:rPr>
          <w:rFonts w:ascii="Arial" w:eastAsia="Calibri" w:hAnsi="Arial" w:cs="Arial"/>
          <w:color w:val="FF6699"/>
          <w:u w:val="single"/>
        </w:rPr>
      </w:pPr>
      <w:proofErr w:type="spellStart"/>
      <w:r w:rsidRPr="002C0B1F">
        <w:rPr>
          <w:rFonts w:ascii="Arial" w:eastAsia="Calibri" w:hAnsi="Arial" w:cs="Arial"/>
        </w:rPr>
        <w:t>Buhay</w:t>
      </w:r>
      <w:proofErr w:type="spellEnd"/>
      <w:r w:rsidRPr="002C0B1F">
        <w:rPr>
          <w:rFonts w:ascii="Arial" w:eastAsia="Calibri" w:hAnsi="Arial" w:cs="Arial"/>
        </w:rPr>
        <w:t xml:space="preserve">, C. &amp; Tandog, L. (2025). </w:t>
      </w:r>
      <w:r w:rsidRPr="002C0B1F">
        <w:rPr>
          <w:rFonts w:ascii="Arial" w:eastAsia="Calibri" w:hAnsi="Arial" w:cs="Arial"/>
          <w:shd w:val="clear" w:color="auto" w:fill="FFFFFF"/>
        </w:rPr>
        <w:t xml:space="preserve">The application of enhanced Damath </w:t>
      </w:r>
      <w:r w:rsidR="00FE1EEA">
        <w:rPr>
          <w:rFonts w:ascii="Arial" w:eastAsia="Calibri" w:hAnsi="Arial" w:cs="Arial"/>
          <w:shd w:val="clear" w:color="auto" w:fill="FFFFFF"/>
        </w:rPr>
        <w:t>in</w:t>
      </w:r>
      <w:r w:rsidRPr="002C0B1F">
        <w:rPr>
          <w:rFonts w:ascii="Arial" w:eastAsia="Calibri" w:hAnsi="Arial" w:cs="Arial"/>
          <w:shd w:val="clear" w:color="auto" w:fill="FFFFFF"/>
        </w:rPr>
        <w:t xml:space="preserve"> learning operations on integers and developing strategic thinking</w:t>
      </w:r>
      <w:r w:rsidRPr="002C0B1F">
        <w:rPr>
          <w:rFonts w:ascii="Arial" w:eastAsia="Calibri" w:hAnsi="Arial" w:cs="Arial"/>
        </w:rPr>
        <w:t xml:space="preserve">. Journal of Effective Teaching Methods (JETM), 3(2), 90-102. </w:t>
      </w:r>
      <w:r w:rsidRPr="002C0B1F">
        <w:rPr>
          <w:rFonts w:ascii="Arial" w:eastAsia="Calibri" w:hAnsi="Arial" w:cs="Arial"/>
          <w:color w:val="FF3399"/>
          <w:u w:val="single"/>
        </w:rPr>
        <w:t>https://doi.org/10.59652/jetm.v3i2.522</w:t>
      </w:r>
    </w:p>
    <w:p w14:paraId="6FB3D78C" w14:textId="77777777" w:rsidR="00E362B7" w:rsidRPr="002C0B1F" w:rsidRDefault="00E362B7" w:rsidP="00870F0C">
      <w:pPr>
        <w:rPr>
          <w:rFonts w:eastAsia="Calibri"/>
          <w:color w:val="FF6699"/>
          <w:u w:val="single"/>
        </w:rPr>
      </w:pPr>
    </w:p>
    <w:p w14:paraId="039ABA56" w14:textId="77777777" w:rsidR="00B15A1D" w:rsidRPr="00B15A1D" w:rsidRDefault="00B15A1D" w:rsidP="00B15A1D">
      <w:pPr>
        <w:jc w:val="both"/>
        <w:rPr>
          <w:rFonts w:ascii="Arial" w:hAnsi="Arial" w:cs="Arial"/>
          <w:bCs/>
        </w:rPr>
      </w:pPr>
      <w:r w:rsidRPr="00B15A1D">
        <w:rPr>
          <w:rFonts w:ascii="Arial" w:hAnsi="Arial" w:cs="Arial"/>
          <w:iCs/>
        </w:rPr>
        <w:t>Campilla, J., &amp; Casta</w:t>
      </w:r>
      <w:r w:rsidRPr="00B15A1D">
        <w:rPr>
          <w:rFonts w:ascii="Arial" w:hAnsi="Arial" w:cs="Arial"/>
          <w:color w:val="000000"/>
        </w:rPr>
        <w:t xml:space="preserve">ñaga, V. (2021). </w:t>
      </w:r>
      <w:r w:rsidRPr="00B15A1D">
        <w:rPr>
          <w:rFonts w:ascii="Arial" w:hAnsi="Arial" w:cs="Arial"/>
          <w:bCs/>
          <w:color w:val="000000"/>
        </w:rPr>
        <w:t>Teaching strategies utilized by mathematics teachers in the 21st-ce</w:t>
      </w:r>
      <w:r w:rsidRPr="00866792">
        <w:rPr>
          <w:rFonts w:ascii="Arial" w:hAnsi="Arial" w:cs="Arial"/>
          <w:bCs/>
          <w:color w:val="000000"/>
        </w:rPr>
        <w:t>ntury.</w:t>
      </w:r>
      <w:r w:rsidRPr="00866792">
        <w:rPr>
          <w:rFonts w:ascii="Arial" w:hAnsi="Arial" w:cs="Arial"/>
          <w:b/>
          <w:bCs/>
          <w:color w:val="0000FF"/>
        </w:rPr>
        <w:t xml:space="preserve"> </w:t>
      </w:r>
      <w:r w:rsidRPr="00866792">
        <w:rPr>
          <w:rFonts w:ascii="Arial" w:hAnsi="Arial" w:cs="Arial"/>
          <w:bCs/>
        </w:rPr>
        <w:t>International Journal of Sciences: Basic and Applied Research (IJSBAR), 59</w:t>
      </w:r>
      <w:r w:rsidRPr="00B15A1D">
        <w:rPr>
          <w:rFonts w:ascii="Arial" w:hAnsi="Arial" w:cs="Arial"/>
          <w:bCs/>
        </w:rPr>
        <w:t>(2),</w:t>
      </w:r>
      <w:r w:rsidRPr="00B15A1D">
        <w:rPr>
          <w:rFonts w:ascii="Arial" w:hAnsi="Arial" w:cs="Arial"/>
          <w:bCs/>
          <w:i/>
        </w:rPr>
        <w:t xml:space="preserve"> </w:t>
      </w:r>
      <w:r w:rsidRPr="00B15A1D">
        <w:rPr>
          <w:rFonts w:ascii="Arial" w:hAnsi="Arial" w:cs="Arial"/>
          <w:iCs/>
          <w:color w:val="000000"/>
        </w:rPr>
        <w:t xml:space="preserve">140-160. </w:t>
      </w:r>
    </w:p>
    <w:p w14:paraId="147FBDA2" w14:textId="77777777" w:rsidR="00B15A1D" w:rsidRDefault="00B15A1D" w:rsidP="00870F0C">
      <w:pPr>
        <w:rPr>
          <w:rFonts w:eastAsia="Calibri"/>
          <w:color w:val="000000"/>
        </w:rPr>
      </w:pPr>
    </w:p>
    <w:p w14:paraId="61611C21" w14:textId="77777777" w:rsidR="00141918" w:rsidRPr="008D4AF3" w:rsidRDefault="00141918" w:rsidP="00870F0C">
      <w:pPr>
        <w:rPr>
          <w:rFonts w:eastAsia="Calibri"/>
        </w:rPr>
      </w:pPr>
      <w:r w:rsidRPr="00141918">
        <w:rPr>
          <w:rFonts w:eastAsia="Calibri"/>
          <w:color w:val="000000"/>
        </w:rPr>
        <w:t xml:space="preserve">Chong, W., Shahrill, M., Asamoah, D., &amp; Latif, S. (2022). Non-digital card game and year 8 students’ performance in integers. </w:t>
      </w:r>
      <w:r w:rsidRPr="00141918">
        <w:rPr>
          <w:rFonts w:eastAsia="Calibri"/>
          <w:iCs/>
          <w:color w:val="000000"/>
        </w:rPr>
        <w:t>Journal of Mathematics and Science Teacher, 2</w:t>
      </w:r>
      <w:r w:rsidR="00B61202">
        <w:rPr>
          <w:rFonts w:eastAsia="Calibri"/>
          <w:color w:val="000000"/>
        </w:rPr>
        <w:t>, 1</w:t>
      </w:r>
      <w:r w:rsidRPr="00141918">
        <w:rPr>
          <w:rFonts w:eastAsia="Calibri"/>
          <w:color w:val="000000"/>
        </w:rPr>
        <w:t xml:space="preserve">. </w:t>
      </w:r>
      <w:hyperlink r:id="rId16" w:history="1">
        <w:r w:rsidRPr="008D4AF3">
          <w:rPr>
            <w:rStyle w:val="Hyperlink"/>
            <w:rFonts w:eastAsia="Calibri"/>
          </w:rPr>
          <w:t>https://doi.org/10.29333/mathsciteacher/11928</w:t>
        </w:r>
      </w:hyperlink>
    </w:p>
    <w:p w14:paraId="65810B02" w14:textId="77777777" w:rsidR="00141918" w:rsidRPr="008D4AF3" w:rsidRDefault="00141918" w:rsidP="00870F0C">
      <w:pPr>
        <w:rPr>
          <w:rFonts w:eastAsia="Calibri"/>
        </w:rPr>
      </w:pPr>
    </w:p>
    <w:p w14:paraId="22903095" w14:textId="77777777" w:rsidR="005A4522" w:rsidRDefault="005A4522" w:rsidP="00870F0C">
      <w:pPr>
        <w:jc w:val="both"/>
        <w:rPr>
          <w:rFonts w:ascii="Arial" w:eastAsia="Calibri" w:hAnsi="Arial" w:cs="Arial"/>
        </w:rPr>
      </w:pPr>
      <w:r>
        <w:rPr>
          <w:rFonts w:ascii="Arial" w:eastAsia="Calibri" w:hAnsi="Arial" w:cs="Arial"/>
        </w:rPr>
        <w:t xml:space="preserve">Cipriano, </w:t>
      </w:r>
      <w:r w:rsidRPr="005A4522">
        <w:rPr>
          <w:rFonts w:ascii="Arial" w:eastAsia="Calibri" w:hAnsi="Arial" w:cs="Arial"/>
        </w:rPr>
        <w:t>N. (2023). Exploring mathematics education in the 21st century. Journal for Educators, Teachers and Trainers, 14(3), 749-758. DOI: 10.47750/jett.2023.14.03.086</w:t>
      </w:r>
    </w:p>
    <w:p w14:paraId="10A48A57" w14:textId="77777777" w:rsidR="00445A05" w:rsidRDefault="00445A05" w:rsidP="00870F0C">
      <w:pPr>
        <w:jc w:val="both"/>
        <w:rPr>
          <w:rFonts w:ascii="Arial" w:eastAsia="Calibri" w:hAnsi="Arial" w:cs="Arial"/>
        </w:rPr>
      </w:pPr>
    </w:p>
    <w:p w14:paraId="135BE6A7" w14:textId="77777777" w:rsidR="00445A05" w:rsidRDefault="00445A05" w:rsidP="00870F0C">
      <w:pPr>
        <w:jc w:val="both"/>
      </w:pPr>
      <w:r w:rsidRPr="00445A05">
        <w:rPr>
          <w:rFonts w:ascii="Arial" w:eastAsia="Calibri" w:hAnsi="Arial" w:cs="Arial"/>
          <w:color w:val="000000"/>
        </w:rPr>
        <w:t xml:space="preserve">Corcoran, R. P., &amp; O'Flaherty, J. (2022). Social and emotional learning in teacher preparation: Pre-service teacher well-being. </w:t>
      </w:r>
      <w:r w:rsidRPr="00445A05">
        <w:rPr>
          <w:rFonts w:ascii="Arial" w:eastAsia="Calibri" w:hAnsi="Arial" w:cs="Arial"/>
          <w:iCs/>
          <w:color w:val="000000"/>
        </w:rPr>
        <w:t>Teaching and Teacher Education</w:t>
      </w:r>
      <w:r w:rsidRPr="00445A05">
        <w:rPr>
          <w:rFonts w:ascii="Arial" w:eastAsia="Calibri" w:hAnsi="Arial" w:cs="Arial"/>
          <w:color w:val="000000"/>
        </w:rPr>
        <w:t xml:space="preserve">, </w:t>
      </w:r>
      <w:r w:rsidRPr="00445A05">
        <w:rPr>
          <w:rFonts w:ascii="Arial" w:eastAsia="Calibri" w:hAnsi="Arial" w:cs="Arial"/>
          <w:iCs/>
          <w:color w:val="000000"/>
        </w:rPr>
        <w:t>110</w:t>
      </w:r>
      <w:r w:rsidRPr="00445A05">
        <w:rPr>
          <w:rFonts w:ascii="Arial" w:eastAsia="Calibri" w:hAnsi="Arial" w:cs="Arial"/>
          <w:color w:val="000000"/>
        </w:rPr>
        <w:t xml:space="preserve">. </w:t>
      </w:r>
      <w:hyperlink r:id="rId17" w:history="1">
        <w:r w:rsidRPr="00445A05">
          <w:rPr>
            <w:rStyle w:val="Hyperlink"/>
          </w:rPr>
          <w:t>https://doi.org/10.1016/j.tate.2021.103563</w:t>
        </w:r>
      </w:hyperlink>
    </w:p>
    <w:p w14:paraId="47AC4D3D" w14:textId="77777777" w:rsidR="005B22E5" w:rsidRDefault="005B22E5" w:rsidP="00870F0C">
      <w:pPr>
        <w:jc w:val="both"/>
      </w:pPr>
    </w:p>
    <w:p w14:paraId="2BA66080" w14:textId="77777777" w:rsidR="00E450C3" w:rsidRPr="00E450C3" w:rsidRDefault="00E450C3" w:rsidP="00E450C3">
      <w:pPr>
        <w:jc w:val="both"/>
        <w:rPr>
          <w:rFonts w:ascii="Arial" w:hAnsi="Arial" w:cs="Arial"/>
        </w:rPr>
      </w:pPr>
      <w:r w:rsidRPr="00E450C3">
        <w:rPr>
          <w:rFonts w:ascii="Arial" w:hAnsi="Arial" w:cs="Arial"/>
        </w:rPr>
        <w:t xml:space="preserve">Davadas, S. D., &amp; Lay, Y. F. (2020). Contributing factors of secondary students’ attitude towards Mathematics. </w:t>
      </w:r>
      <w:r w:rsidRPr="00E450C3">
        <w:rPr>
          <w:rFonts w:ascii="Arial" w:hAnsi="Arial" w:cs="Arial"/>
          <w:i/>
        </w:rPr>
        <w:t>European Journal of Educational Research,</w:t>
      </w:r>
      <w:r w:rsidRPr="00E450C3">
        <w:rPr>
          <w:rFonts w:ascii="Arial" w:hAnsi="Arial" w:cs="Arial"/>
        </w:rPr>
        <w:t xml:space="preserve"> 9(2), 489-498. </w:t>
      </w:r>
      <w:r w:rsidRPr="00770DCB">
        <w:rPr>
          <w:color w:val="FF0066"/>
          <w:u w:val="single"/>
        </w:rPr>
        <w:t>https://doi.org/10.12973/eu-jer.9.2.489</w:t>
      </w:r>
    </w:p>
    <w:p w14:paraId="49F08836" w14:textId="77777777" w:rsidR="00E450C3" w:rsidRDefault="00E450C3" w:rsidP="00870F0C">
      <w:pPr>
        <w:spacing w:line="259" w:lineRule="auto"/>
        <w:jc w:val="both"/>
        <w:rPr>
          <w:rFonts w:ascii="Arial" w:eastAsia="Calibri" w:hAnsi="Arial" w:cs="Arial"/>
        </w:rPr>
      </w:pPr>
    </w:p>
    <w:p w14:paraId="381BFC52" w14:textId="77777777" w:rsidR="00445A05" w:rsidRPr="00870F0C" w:rsidRDefault="005B22E5" w:rsidP="00870F0C">
      <w:pPr>
        <w:spacing w:line="259" w:lineRule="auto"/>
        <w:jc w:val="both"/>
        <w:rPr>
          <w:rFonts w:ascii="Arial" w:eastAsia="Calibri" w:hAnsi="Arial" w:cs="Arial"/>
          <w:color w:val="000000"/>
        </w:rPr>
      </w:pPr>
      <w:proofErr w:type="spellStart"/>
      <w:r w:rsidRPr="005B22E5">
        <w:rPr>
          <w:rFonts w:ascii="Arial" w:eastAsia="Calibri" w:hAnsi="Arial" w:cs="Arial"/>
        </w:rPr>
        <w:t>Falasi</w:t>
      </w:r>
      <w:proofErr w:type="spellEnd"/>
      <w:r w:rsidRPr="005B22E5">
        <w:rPr>
          <w:rFonts w:ascii="Arial" w:eastAsia="Calibri" w:hAnsi="Arial" w:cs="Arial"/>
        </w:rPr>
        <w:t xml:space="preserve">, M. (2024). Innovative pedagogies: A comparative analysis of traditional and modern teaching methods. </w:t>
      </w:r>
      <w:r w:rsidRPr="005B22E5">
        <w:rPr>
          <w:rFonts w:ascii="Arial" w:eastAsia="Calibri" w:hAnsi="Arial" w:cs="Arial"/>
          <w:iCs/>
          <w:color w:val="000000"/>
        </w:rPr>
        <w:t>Academy of Educational Leadership Journal, 28</w:t>
      </w:r>
      <w:r>
        <w:rPr>
          <w:rFonts w:ascii="Arial" w:eastAsia="Calibri" w:hAnsi="Arial" w:cs="Arial"/>
          <w:color w:val="000000"/>
        </w:rPr>
        <w:t>(</w:t>
      </w:r>
      <w:r w:rsidRPr="005B22E5">
        <w:rPr>
          <w:rFonts w:ascii="Arial" w:eastAsia="Calibri" w:hAnsi="Arial" w:cs="Arial"/>
          <w:color w:val="000000"/>
        </w:rPr>
        <w:t xml:space="preserve">1), 1-2. </w:t>
      </w:r>
    </w:p>
    <w:p w14:paraId="24ABA37E" w14:textId="77777777" w:rsidR="00C11F94" w:rsidRPr="00C11F94" w:rsidRDefault="00C11F94" w:rsidP="00870F0C">
      <w:pPr>
        <w:jc w:val="both"/>
        <w:rPr>
          <w:rFonts w:ascii="Arial" w:eastAsia="Calibri" w:hAnsi="Arial" w:cs="Arial"/>
        </w:rPr>
      </w:pPr>
    </w:p>
    <w:p w14:paraId="67ABDA1C" w14:textId="77777777" w:rsidR="005A4522" w:rsidRPr="00C11F94" w:rsidRDefault="00C11F94" w:rsidP="00870F0C">
      <w:pPr>
        <w:spacing w:line="259" w:lineRule="auto"/>
        <w:jc w:val="both"/>
        <w:rPr>
          <w:rFonts w:ascii="Arial" w:eastAsia="Calibri" w:hAnsi="Arial" w:cs="Arial"/>
          <w:color w:val="0070C0"/>
          <w:u w:val="single"/>
        </w:rPr>
      </w:pPr>
      <w:r w:rsidRPr="00C11F94">
        <w:rPr>
          <w:rFonts w:ascii="Arial" w:eastAsia="Calibri" w:hAnsi="Arial" w:cs="Arial"/>
          <w:color w:val="000000"/>
        </w:rPr>
        <w:t xml:space="preserve">Godoy Jr., C. (2020). </w:t>
      </w:r>
      <w:r w:rsidRPr="00C11F94">
        <w:rPr>
          <w:rFonts w:ascii="Arial" w:eastAsia="Calibri" w:hAnsi="Arial" w:cs="Arial"/>
          <w:bCs/>
          <w:color w:val="262626"/>
        </w:rPr>
        <w:t xml:space="preserve">A Review of game-based mobile e-learning applications. </w:t>
      </w:r>
      <w:r w:rsidRPr="00C11F94">
        <w:rPr>
          <w:rFonts w:ascii="Arial" w:eastAsia="Calibri" w:hAnsi="Arial" w:cs="Arial"/>
        </w:rPr>
        <w:t>International Journal of Computing Sciences Research</w:t>
      </w:r>
      <w:r>
        <w:rPr>
          <w:rFonts w:ascii="Arial" w:eastAsia="Calibri" w:hAnsi="Arial" w:cs="Arial"/>
        </w:rPr>
        <w:t xml:space="preserve">, </w:t>
      </w:r>
      <w:r w:rsidR="00B36EDA">
        <w:rPr>
          <w:rFonts w:ascii="Arial" w:eastAsia="Calibri" w:hAnsi="Arial" w:cs="Arial"/>
        </w:rPr>
        <w:t>4(3), 340-350. DOI</w:t>
      </w:r>
      <w:r w:rsidRPr="00C11F94">
        <w:rPr>
          <w:rFonts w:ascii="Arial" w:eastAsia="Calibri" w:hAnsi="Arial" w:cs="Arial"/>
        </w:rPr>
        <w:t>: 10.25147/ijcsr.2017.001.1.45</w:t>
      </w:r>
    </w:p>
    <w:p w14:paraId="46DB4CFF" w14:textId="77777777" w:rsidR="00870F0C" w:rsidRDefault="00870F0C" w:rsidP="00870F0C">
      <w:pPr>
        <w:pStyle w:val="Body"/>
        <w:spacing w:after="0"/>
        <w:rPr>
          <w:rFonts w:ascii="Arial" w:hAnsi="Arial" w:cs="Arial"/>
        </w:rPr>
      </w:pPr>
    </w:p>
    <w:p w14:paraId="58B9387C" w14:textId="28C3DD52" w:rsidR="00B00802" w:rsidRPr="00B00802" w:rsidRDefault="00B00802" w:rsidP="00B00802">
      <w:pPr>
        <w:jc w:val="both"/>
        <w:rPr>
          <w:rFonts w:ascii="Arial" w:hAnsi="Arial" w:cs="Arial"/>
        </w:rPr>
      </w:pPr>
      <w:r w:rsidRPr="00B00802">
        <w:rPr>
          <w:rFonts w:ascii="Arial" w:hAnsi="Arial" w:cs="Arial"/>
          <w:shd w:val="clear" w:color="auto" w:fill="FFFFFF"/>
        </w:rPr>
        <w:lastRenderedPageBreak/>
        <w:t xml:space="preserve">Hillmayr, D., </w:t>
      </w:r>
      <w:proofErr w:type="spellStart"/>
      <w:r w:rsidRPr="00B00802">
        <w:rPr>
          <w:rFonts w:ascii="Arial" w:hAnsi="Arial" w:cs="Arial"/>
          <w:shd w:val="clear" w:color="auto" w:fill="FFFFFF"/>
        </w:rPr>
        <w:t>Ziernwald</w:t>
      </w:r>
      <w:proofErr w:type="spellEnd"/>
      <w:r w:rsidRPr="00B00802">
        <w:rPr>
          <w:rFonts w:ascii="Arial" w:hAnsi="Arial" w:cs="Arial"/>
          <w:shd w:val="clear" w:color="auto" w:fill="FFFFFF"/>
        </w:rPr>
        <w:t xml:space="preserve">, L., Reinhold, F., &amp; Hofer, S., Reiss, K. (2020). </w:t>
      </w:r>
      <w:r w:rsidRPr="00B00802">
        <w:rPr>
          <w:rFonts w:ascii="Arial" w:hAnsi="Arial" w:cs="Arial"/>
        </w:rPr>
        <w:t xml:space="preserve">The potential of digital tools to enhance mathematics and science learning in secondary schools: A context-specific meta-analysis. </w:t>
      </w:r>
      <w:r w:rsidRPr="009F516F">
        <w:rPr>
          <w:rFonts w:ascii="Arial" w:hAnsi="Arial" w:cs="Arial"/>
        </w:rPr>
        <w:t>Elsevier Ltd,</w:t>
      </w:r>
      <w:r w:rsidR="009F516F">
        <w:rPr>
          <w:rFonts w:ascii="Arial" w:hAnsi="Arial" w:cs="Arial"/>
        </w:rPr>
        <w:t xml:space="preserve"> </w:t>
      </w:r>
      <w:r w:rsidRPr="00B00802">
        <w:rPr>
          <w:rFonts w:ascii="Arial" w:hAnsi="Arial" w:cs="Arial"/>
        </w:rPr>
        <w:t xml:space="preserve">1-25. </w:t>
      </w:r>
      <w:hyperlink r:id="rId18" w:history="1">
        <w:r w:rsidRPr="00B00802">
          <w:rPr>
            <w:rStyle w:val="Hyperlink"/>
            <w:rFonts w:ascii="Arial" w:hAnsi="Arial" w:cs="Arial"/>
          </w:rPr>
          <w:t>https://doi.org/10.1016/j.compedu.2020.103897</w:t>
        </w:r>
      </w:hyperlink>
    </w:p>
    <w:p w14:paraId="6F67621A" w14:textId="77777777" w:rsidR="00B00802" w:rsidRDefault="00B00802" w:rsidP="00870F0C">
      <w:pPr>
        <w:pStyle w:val="Body"/>
        <w:spacing w:after="0"/>
        <w:rPr>
          <w:rFonts w:ascii="Arial" w:hAnsi="Arial" w:cs="Arial"/>
        </w:rPr>
      </w:pPr>
    </w:p>
    <w:p w14:paraId="6625B0E5" w14:textId="77777777" w:rsidR="007D25FB" w:rsidRDefault="00420756" w:rsidP="00870F0C">
      <w:pPr>
        <w:pStyle w:val="Body"/>
        <w:spacing w:after="0"/>
        <w:rPr>
          <w:rFonts w:ascii="Arial" w:hAnsi="Arial" w:cs="Arial"/>
        </w:rPr>
      </w:pPr>
      <w:r w:rsidRPr="007D25FB">
        <w:rPr>
          <w:rFonts w:ascii="Arial" w:hAnsi="Arial" w:cs="Arial"/>
        </w:rPr>
        <w:t>Hussein, H. (2023). Global trends in mathematics education research. International Journal of Research in Educational Sciences, 6(2), 309-319.</w:t>
      </w:r>
      <w:r w:rsidR="00B83D07" w:rsidRPr="007D25FB">
        <w:rPr>
          <w:rFonts w:ascii="Arial" w:hAnsi="Arial" w:cs="Arial"/>
        </w:rPr>
        <w:t xml:space="preserve"> DOI:10.29009/ijres.6.2.9</w:t>
      </w:r>
    </w:p>
    <w:p w14:paraId="4F002E5D" w14:textId="77777777" w:rsidR="006725CF" w:rsidRDefault="006725CF" w:rsidP="00870F0C">
      <w:pPr>
        <w:pStyle w:val="Body"/>
        <w:spacing w:after="0"/>
        <w:rPr>
          <w:rFonts w:ascii="Arial" w:hAnsi="Arial" w:cs="Arial"/>
        </w:rPr>
      </w:pPr>
    </w:p>
    <w:p w14:paraId="54FF7236" w14:textId="77777777" w:rsidR="006725CF" w:rsidRPr="005F5842" w:rsidRDefault="006725CF" w:rsidP="005F5842">
      <w:pPr>
        <w:spacing w:line="259" w:lineRule="auto"/>
        <w:jc w:val="both"/>
        <w:rPr>
          <w:rFonts w:ascii="Arial" w:eastAsia="Calibri" w:hAnsi="Arial" w:cs="Arial"/>
          <w:color w:val="0000CC"/>
          <w:u w:val="single"/>
        </w:rPr>
      </w:pPr>
      <w:r w:rsidRPr="006725CF">
        <w:rPr>
          <w:rFonts w:ascii="Arial" w:eastAsia="Calibri" w:hAnsi="Arial" w:cs="Arial"/>
        </w:rPr>
        <w:t>Hwang, S., &amp; Son, T. (2021). Students’ attitude towards mathematics and its relationship with mathematics achievement. Journal of Education and e-Learning Research, 8(3), 272-280. doi: 10.20448/journal.509.2021.83.272.280</w:t>
      </w:r>
      <w:r w:rsidRPr="006725CF">
        <w:rPr>
          <w:rFonts w:ascii="Arial" w:eastAsia="Calibri" w:hAnsi="Arial" w:cs="Arial"/>
          <w:u w:val="single"/>
        </w:rPr>
        <w:t xml:space="preserve"> </w:t>
      </w:r>
    </w:p>
    <w:p w14:paraId="66CD65F2" w14:textId="77777777" w:rsidR="00867F17" w:rsidRDefault="00867F17" w:rsidP="00870F0C">
      <w:pPr>
        <w:pStyle w:val="Body"/>
        <w:spacing w:after="0"/>
        <w:rPr>
          <w:rFonts w:ascii="Arial" w:hAnsi="Arial" w:cs="Arial"/>
        </w:rPr>
      </w:pPr>
    </w:p>
    <w:p w14:paraId="0A6A0238" w14:textId="77777777" w:rsidR="00794938" w:rsidRPr="00794938" w:rsidRDefault="00794938" w:rsidP="00794938">
      <w:pPr>
        <w:jc w:val="both"/>
        <w:rPr>
          <w:rStyle w:val="Hyperlink"/>
          <w:rFonts w:ascii="Arial" w:hAnsi="Arial" w:cs="Arial"/>
        </w:rPr>
      </w:pPr>
      <w:r w:rsidRPr="00794938">
        <w:rPr>
          <w:rStyle w:val="Hyperlink"/>
          <w:rFonts w:ascii="Arial" w:hAnsi="Arial" w:cs="Arial"/>
        </w:rPr>
        <w:t xml:space="preserve">Jarrah, A., </w:t>
      </w:r>
      <w:proofErr w:type="spellStart"/>
      <w:r w:rsidRPr="00794938">
        <w:rPr>
          <w:rStyle w:val="Hyperlink"/>
          <w:rFonts w:ascii="Arial" w:hAnsi="Arial" w:cs="Arial"/>
        </w:rPr>
        <w:t>Almassri</w:t>
      </w:r>
      <w:proofErr w:type="spellEnd"/>
      <w:r w:rsidRPr="00794938">
        <w:rPr>
          <w:rStyle w:val="Hyperlink"/>
          <w:rFonts w:ascii="Arial" w:hAnsi="Arial" w:cs="Arial"/>
        </w:rPr>
        <w:t xml:space="preserve">, H., Johnson, J., &amp; </w:t>
      </w:r>
      <w:proofErr w:type="spellStart"/>
      <w:r w:rsidRPr="00794938">
        <w:rPr>
          <w:rStyle w:val="Hyperlink"/>
          <w:rFonts w:ascii="Arial" w:hAnsi="Arial" w:cs="Arial"/>
        </w:rPr>
        <w:t>Wardat</w:t>
      </w:r>
      <w:proofErr w:type="spellEnd"/>
      <w:r w:rsidRPr="00794938">
        <w:rPr>
          <w:rStyle w:val="Hyperlink"/>
          <w:rFonts w:ascii="Arial" w:hAnsi="Arial" w:cs="Arial"/>
        </w:rPr>
        <w:t xml:space="preserve">, Y. (2022). </w:t>
      </w:r>
      <w:r w:rsidRPr="00794938">
        <w:rPr>
          <w:rFonts w:ascii="Arial" w:hAnsi="Arial" w:cs="Arial"/>
          <w:bCs/>
        </w:rPr>
        <w:t xml:space="preserve">Assessing the impact of digital games-based learning on students’ performance in learning fractions using (ABACUS) software application. </w:t>
      </w:r>
      <w:r w:rsidRPr="00F739CF">
        <w:rPr>
          <w:rFonts w:ascii="Arial" w:hAnsi="Arial" w:cs="Arial"/>
        </w:rPr>
        <w:t>EURASIA Journal of Mathematics, Science and Technology Education (EJMSTE), 18(</w:t>
      </w:r>
      <w:r w:rsidRPr="00794938">
        <w:rPr>
          <w:rFonts w:ascii="Arial" w:hAnsi="Arial" w:cs="Arial"/>
        </w:rPr>
        <w:t xml:space="preserve">10), 1-10. </w:t>
      </w:r>
      <w:hyperlink r:id="rId19" w:history="1">
        <w:r w:rsidRPr="00794938">
          <w:rPr>
            <w:rStyle w:val="Hyperlink"/>
            <w:rFonts w:ascii="Arial" w:hAnsi="Arial" w:cs="Arial"/>
          </w:rPr>
          <w:t>https://doi.org/10.29333/ejmste/12421</w:t>
        </w:r>
      </w:hyperlink>
    </w:p>
    <w:p w14:paraId="2E5174B9" w14:textId="77777777" w:rsidR="00794938" w:rsidRDefault="00794938" w:rsidP="00870F0C">
      <w:pPr>
        <w:spacing w:line="259" w:lineRule="auto"/>
        <w:jc w:val="both"/>
        <w:rPr>
          <w:rFonts w:ascii="Arial" w:eastAsia="Calibri" w:hAnsi="Arial" w:cs="Arial"/>
        </w:rPr>
      </w:pPr>
    </w:p>
    <w:p w14:paraId="70CCD711" w14:textId="7E5D1CCF" w:rsidR="001C6F0E" w:rsidRPr="00C80E7A" w:rsidRDefault="00867F17" w:rsidP="00870F0C">
      <w:pPr>
        <w:spacing w:line="259" w:lineRule="auto"/>
        <w:jc w:val="both"/>
        <w:rPr>
          <w:rFonts w:ascii="Arial" w:eastAsia="Calibri" w:hAnsi="Arial" w:cs="Arial"/>
        </w:rPr>
      </w:pPr>
      <w:r w:rsidRPr="00867F17">
        <w:rPr>
          <w:rFonts w:ascii="Arial" w:eastAsia="Calibri" w:hAnsi="Arial" w:cs="Arial"/>
        </w:rPr>
        <w:t>Larita, S., Gajo, R., Larita, R., Cabanes, V., &amp; Villanueva, G. (2024). Using of DAMATH in remedial class in improving pupils numeracy skills in key stage 1: Inputs to the In-service training plan. International Multidisciplinary Journal of Research for Innovation, Sustainability and Excellence</w:t>
      </w:r>
      <w:r>
        <w:rPr>
          <w:rFonts w:ascii="Arial" w:eastAsia="Calibri" w:hAnsi="Arial" w:cs="Arial"/>
        </w:rPr>
        <w:t>,</w:t>
      </w:r>
      <w:r w:rsidR="00554B93">
        <w:rPr>
          <w:rFonts w:ascii="Arial" w:eastAsia="Calibri" w:hAnsi="Arial" w:cs="Arial"/>
        </w:rPr>
        <w:t xml:space="preserve"> </w:t>
      </w:r>
      <w:r w:rsidRPr="00867F17">
        <w:rPr>
          <w:rFonts w:ascii="Arial" w:eastAsia="Calibri" w:hAnsi="Arial" w:cs="Arial"/>
        </w:rPr>
        <w:t>1(10), 248-253. doi: 10.5281/zenodo.13913720</w:t>
      </w:r>
    </w:p>
    <w:p w14:paraId="7D63A56D" w14:textId="77777777" w:rsidR="00870F0C" w:rsidRDefault="00870F0C" w:rsidP="00870F0C">
      <w:pPr>
        <w:spacing w:line="259" w:lineRule="auto"/>
        <w:jc w:val="both"/>
        <w:rPr>
          <w:rFonts w:ascii="Arial" w:eastAsia="Calibri" w:hAnsi="Arial" w:cs="Arial"/>
        </w:rPr>
      </w:pPr>
    </w:p>
    <w:p w14:paraId="72CE4958" w14:textId="77777777" w:rsidR="004B2EF7" w:rsidRPr="005C69CD" w:rsidRDefault="001C6F0E" w:rsidP="00870F0C">
      <w:pPr>
        <w:spacing w:line="259" w:lineRule="auto"/>
        <w:jc w:val="both"/>
        <w:rPr>
          <w:rFonts w:ascii="Bookman Old Style" w:eastAsia="Calibri" w:hAnsi="Bookman Old Style"/>
          <w:sz w:val="24"/>
          <w:szCs w:val="24"/>
        </w:rPr>
      </w:pPr>
      <w:r w:rsidRPr="001C6F0E">
        <w:rPr>
          <w:rFonts w:ascii="Arial" w:eastAsia="Calibri" w:hAnsi="Arial" w:cs="Arial"/>
        </w:rPr>
        <w:t xml:space="preserve">Magsombol, E. (2021). The effectiveness </w:t>
      </w:r>
      <w:r w:rsidRPr="001C6F0E">
        <w:rPr>
          <w:rFonts w:ascii="Arial" w:eastAsia="Calibri" w:hAnsi="Arial" w:cs="Arial"/>
          <w:color w:val="000000"/>
        </w:rPr>
        <w:t xml:space="preserve">of DAMATH in enhancing the earning process of four fundamental operations of whole numbers in Mathematics for elementary pupils. </w:t>
      </w:r>
      <w:r w:rsidRPr="001C6F0E">
        <w:rPr>
          <w:rFonts w:ascii="Arial" w:eastAsia="Calibri" w:hAnsi="Arial" w:cs="Arial"/>
          <w:bCs/>
          <w:color w:val="000000"/>
        </w:rPr>
        <w:t>International Journal of Academic Multidisciplinary Research, 5(1), 133-136</w:t>
      </w:r>
      <w:r w:rsidRPr="001C6F0E">
        <w:rPr>
          <w:rFonts w:ascii="Bookman Old Style" w:eastAsia="Calibri" w:hAnsi="Bookman Old Style"/>
          <w:bCs/>
          <w:color w:val="000000"/>
          <w:sz w:val="24"/>
          <w:szCs w:val="24"/>
        </w:rPr>
        <w:t xml:space="preserve">. </w:t>
      </w:r>
    </w:p>
    <w:p w14:paraId="6EE0B3D2" w14:textId="77777777" w:rsidR="00870F0C" w:rsidRDefault="00870F0C" w:rsidP="006F271A">
      <w:pPr>
        <w:jc w:val="both"/>
        <w:rPr>
          <w:rFonts w:ascii="Arial" w:eastAsia="Calibri" w:hAnsi="Arial" w:cs="Arial"/>
        </w:rPr>
      </w:pPr>
    </w:p>
    <w:p w14:paraId="3D5F6D0F" w14:textId="77777777" w:rsidR="007D25FB" w:rsidRDefault="004B2EF7" w:rsidP="006F271A">
      <w:pPr>
        <w:jc w:val="both"/>
        <w:rPr>
          <w:rFonts w:ascii="Arial" w:eastAsia="Calibri" w:hAnsi="Arial" w:cs="Arial"/>
        </w:rPr>
      </w:pPr>
      <w:r w:rsidRPr="004B2EF7">
        <w:rPr>
          <w:rFonts w:ascii="Arial" w:eastAsia="Calibri" w:hAnsi="Arial" w:cs="Arial"/>
        </w:rPr>
        <w:t xml:space="preserve">Martus, J., Alburo, C., Carangue, P., Dayupay, C., Lapay, J., Calinao, J., Gorres, S., &amp; Cano Jr., A. (2024). </w:t>
      </w:r>
      <w:r w:rsidRPr="004B2EF7">
        <w:rPr>
          <w:rFonts w:ascii="Arial" w:eastAsia="Calibri" w:hAnsi="Arial" w:cs="Arial"/>
          <w:bCs/>
          <w:color w:val="000000"/>
        </w:rPr>
        <w:t xml:space="preserve">DAMATH integration in teaching mathematics: Inputs on teaching styles. </w:t>
      </w:r>
      <w:r w:rsidRPr="004B2EF7">
        <w:rPr>
          <w:rFonts w:ascii="Arial" w:eastAsia="Calibri" w:hAnsi="Arial" w:cs="Arial"/>
          <w:iCs/>
          <w:color w:val="000000"/>
        </w:rPr>
        <w:t>Psych Educ</w:t>
      </w:r>
      <w:r w:rsidRPr="004B2EF7">
        <w:rPr>
          <w:rFonts w:ascii="Arial" w:eastAsia="Calibri" w:hAnsi="Arial" w:cs="Arial"/>
          <w:color w:val="000000"/>
        </w:rPr>
        <w:t xml:space="preserve">, </w:t>
      </w:r>
      <w:r w:rsidRPr="004B2EF7">
        <w:rPr>
          <w:rFonts w:ascii="Arial" w:eastAsia="Calibri" w:hAnsi="Arial" w:cs="Arial"/>
          <w:bCs/>
          <w:color w:val="000000"/>
        </w:rPr>
        <w:t>19</w:t>
      </w:r>
      <w:r w:rsidRPr="004B2EF7">
        <w:rPr>
          <w:rFonts w:ascii="Arial" w:eastAsia="Calibri" w:hAnsi="Arial" w:cs="Arial"/>
          <w:color w:val="000000"/>
        </w:rPr>
        <w:t xml:space="preserve">(7), 852-863. </w:t>
      </w:r>
      <w:r w:rsidRPr="004B2EF7">
        <w:rPr>
          <w:rFonts w:ascii="Arial" w:eastAsia="Calibri" w:hAnsi="Arial" w:cs="Arial"/>
        </w:rPr>
        <w:t>doi:10.5281/zenodo.11173321</w:t>
      </w:r>
    </w:p>
    <w:p w14:paraId="5D01D85F" w14:textId="77777777" w:rsidR="006F271A" w:rsidRDefault="006F271A" w:rsidP="006F271A">
      <w:pPr>
        <w:pStyle w:val="NormalWeb"/>
        <w:spacing w:beforeAutospacing="0" w:afterAutospacing="0"/>
        <w:jc w:val="both"/>
        <w:rPr>
          <w:rFonts w:ascii="Arial" w:hAnsi="Arial" w:cs="Arial"/>
          <w:sz w:val="20"/>
          <w:szCs w:val="20"/>
        </w:rPr>
      </w:pPr>
    </w:p>
    <w:p w14:paraId="74F585C5" w14:textId="0A19C2FE" w:rsidR="006F271A" w:rsidRDefault="006F271A" w:rsidP="006F271A">
      <w:pPr>
        <w:pStyle w:val="NormalWeb"/>
        <w:spacing w:beforeAutospacing="0" w:afterAutospacing="0"/>
        <w:jc w:val="both"/>
        <w:rPr>
          <w:rFonts w:ascii="Arial" w:eastAsiaTheme="minorHAnsi" w:hAnsi="Arial" w:cs="Arial"/>
          <w:sz w:val="20"/>
          <w:szCs w:val="20"/>
          <w:lang w:eastAsia="en-US"/>
        </w:rPr>
      </w:pPr>
      <w:r w:rsidRPr="006F271A">
        <w:rPr>
          <w:rFonts w:ascii="Arial" w:hAnsi="Arial" w:cs="Arial"/>
          <w:sz w:val="20"/>
          <w:szCs w:val="20"/>
        </w:rPr>
        <w:t xml:space="preserve">Mbarute, E S., &amp; Ntivuguruzwa, C. (2022). </w:t>
      </w:r>
      <w:r w:rsidRPr="006F271A">
        <w:rPr>
          <w:rFonts w:ascii="Arial" w:eastAsiaTheme="minorHAnsi" w:hAnsi="Arial" w:cs="Arial"/>
          <w:bCs/>
          <w:sz w:val="20"/>
          <w:szCs w:val="20"/>
          <w:lang w:eastAsia="en-US"/>
        </w:rPr>
        <w:t xml:space="preserve">Factors Affecting Students’ Performance in Mathematics in Upper Secondary Schools in </w:t>
      </w:r>
      <w:proofErr w:type="spellStart"/>
      <w:r w:rsidRPr="006F271A">
        <w:rPr>
          <w:rFonts w:ascii="Arial" w:eastAsiaTheme="minorHAnsi" w:hAnsi="Arial" w:cs="Arial"/>
          <w:bCs/>
          <w:sz w:val="20"/>
          <w:szCs w:val="20"/>
          <w:lang w:eastAsia="en-US"/>
        </w:rPr>
        <w:t>Gicumbi</w:t>
      </w:r>
      <w:proofErr w:type="spellEnd"/>
      <w:r w:rsidRPr="006F271A">
        <w:rPr>
          <w:rFonts w:ascii="Arial" w:eastAsiaTheme="minorHAnsi" w:hAnsi="Arial" w:cs="Arial"/>
          <w:bCs/>
          <w:sz w:val="20"/>
          <w:szCs w:val="20"/>
          <w:lang w:eastAsia="en-US"/>
        </w:rPr>
        <w:t xml:space="preserve"> District, Rwanda</w:t>
      </w:r>
      <w:r w:rsidRPr="004F35E8">
        <w:rPr>
          <w:rFonts w:ascii="Arial" w:eastAsiaTheme="minorHAnsi" w:hAnsi="Arial" w:cs="Arial"/>
          <w:bCs/>
          <w:sz w:val="20"/>
          <w:szCs w:val="20"/>
          <w:lang w:eastAsia="en-US"/>
        </w:rPr>
        <w:t>. Journal Research Innovation and Implication in Education (JRIIE),</w:t>
      </w:r>
      <w:r w:rsidRPr="006F271A">
        <w:rPr>
          <w:rFonts w:ascii="Arial" w:eastAsiaTheme="minorHAnsi" w:hAnsi="Arial" w:cs="Arial"/>
          <w:bCs/>
          <w:i/>
          <w:sz w:val="20"/>
          <w:szCs w:val="20"/>
          <w:lang w:eastAsia="en-US"/>
        </w:rPr>
        <w:t xml:space="preserve"> </w:t>
      </w:r>
      <w:r w:rsidRPr="006F271A">
        <w:rPr>
          <w:rFonts w:ascii="Arial" w:eastAsiaTheme="minorHAnsi" w:hAnsi="Arial" w:cs="Arial"/>
          <w:i/>
          <w:sz w:val="20"/>
          <w:szCs w:val="20"/>
          <w:lang w:eastAsia="en-US"/>
        </w:rPr>
        <w:t>6</w:t>
      </w:r>
      <w:r w:rsidRPr="006F271A">
        <w:rPr>
          <w:rFonts w:ascii="Arial" w:eastAsiaTheme="minorHAnsi" w:hAnsi="Arial" w:cs="Arial"/>
          <w:sz w:val="20"/>
          <w:szCs w:val="20"/>
          <w:lang w:eastAsia="en-US"/>
        </w:rPr>
        <w:t>(3), 13 – 17.</w:t>
      </w:r>
    </w:p>
    <w:p w14:paraId="195A3775" w14:textId="77777777" w:rsidR="006F271A" w:rsidRPr="006F271A" w:rsidRDefault="006F271A" w:rsidP="006F271A">
      <w:pPr>
        <w:pStyle w:val="NormalWeb"/>
        <w:spacing w:beforeAutospacing="0" w:afterAutospacing="0"/>
        <w:jc w:val="both"/>
        <w:rPr>
          <w:rFonts w:ascii="Arial" w:eastAsiaTheme="minorHAnsi" w:hAnsi="Arial" w:cs="Arial"/>
          <w:sz w:val="20"/>
          <w:szCs w:val="20"/>
          <w:lang w:eastAsia="en-US"/>
        </w:rPr>
      </w:pPr>
    </w:p>
    <w:p w14:paraId="244ACB93" w14:textId="77777777" w:rsidR="009B5F67" w:rsidRDefault="009B5F67" w:rsidP="00870F0C">
      <w:pPr>
        <w:spacing w:line="259" w:lineRule="auto"/>
        <w:jc w:val="both"/>
        <w:rPr>
          <w:rFonts w:ascii="Arial" w:eastAsia="Calibri" w:hAnsi="Arial" w:cs="Arial"/>
        </w:rPr>
      </w:pPr>
      <w:r w:rsidRPr="009B5F67">
        <w:rPr>
          <w:rFonts w:ascii="Arial" w:eastAsia="Calibri" w:hAnsi="Arial" w:cs="Arial"/>
        </w:rPr>
        <w:t xml:space="preserve">Mozahem, N., Boulad, F., &amp; Ghanem, C. (2021). Secondary school students and self-efficacy in mathematics: Gender and age differences. </w:t>
      </w:r>
      <w:r w:rsidRPr="009B5F67">
        <w:rPr>
          <w:rFonts w:ascii="Arial" w:eastAsia="Calibri" w:hAnsi="Arial" w:cs="Arial"/>
          <w:color w:val="000000"/>
        </w:rPr>
        <w:t>International Journal of School &amp; Educational Psychology, 9(1), 142–152.</w:t>
      </w:r>
      <w:r w:rsidRPr="009B5F67">
        <w:rPr>
          <w:rFonts w:ascii="Arial" w:eastAsia="Calibri" w:hAnsi="Arial" w:cs="Arial"/>
          <w:color w:val="000000"/>
        </w:rPr>
        <w:br/>
      </w:r>
      <w:r w:rsidRPr="009B5F67">
        <w:rPr>
          <w:rFonts w:ascii="Arial" w:eastAsia="Calibri" w:hAnsi="Arial" w:cs="Arial"/>
          <w:color w:val="FF0066"/>
          <w:u w:val="single"/>
        </w:rPr>
        <w:t>https://doi.org/10.1080/21683603.2020.1763877</w:t>
      </w:r>
    </w:p>
    <w:p w14:paraId="64708112" w14:textId="77777777" w:rsidR="00D85137" w:rsidRPr="00D85137" w:rsidRDefault="00D85137" w:rsidP="00870F0C">
      <w:pPr>
        <w:spacing w:line="259" w:lineRule="auto"/>
        <w:jc w:val="both"/>
        <w:rPr>
          <w:rFonts w:ascii="Arial" w:eastAsia="Calibri" w:hAnsi="Arial" w:cs="Arial"/>
          <w:color w:val="0070C0"/>
          <w:u w:val="single"/>
        </w:rPr>
      </w:pPr>
    </w:p>
    <w:p w14:paraId="4B1471FF" w14:textId="77777777" w:rsidR="007D25FB" w:rsidRPr="008D4AF3" w:rsidRDefault="007D25FB" w:rsidP="00870F0C">
      <w:pPr>
        <w:pStyle w:val="Body"/>
        <w:spacing w:after="0"/>
      </w:pPr>
      <w:r w:rsidRPr="007D25FB">
        <w:rPr>
          <w:rFonts w:ascii="Arial" w:eastAsia="SimSun" w:hAnsi="Arial" w:cs="Arial"/>
          <w:lang w:eastAsia="zh-CN"/>
        </w:rPr>
        <w:t xml:space="preserve">Mullis, I., Martin, M., Foy, P., Kelly, D., &amp; Fishbein, B. (2020). </w:t>
      </w:r>
      <w:r w:rsidRPr="00B77504">
        <w:rPr>
          <w:rFonts w:ascii="Arial" w:eastAsia="SimSun" w:hAnsi="Arial" w:cs="Arial"/>
          <w:iCs/>
          <w:lang w:eastAsia="zh-CN"/>
        </w:rPr>
        <w:t>TIMSS 2019 International Results in Mathematics and Science</w:t>
      </w:r>
      <w:r w:rsidRPr="007D25FB">
        <w:rPr>
          <w:rFonts w:ascii="Arial" w:eastAsia="SimSun" w:hAnsi="Arial" w:cs="Arial"/>
          <w:lang w:eastAsia="zh-CN"/>
        </w:rPr>
        <w:t xml:space="preserve">. TIMSS &amp; PIRLS International Study Center, Boston College. </w:t>
      </w:r>
      <w:hyperlink r:id="rId20" w:tgtFrame="_new" w:history="1">
        <w:r w:rsidRPr="008D4AF3">
          <w:rPr>
            <w:rStyle w:val="Hyperlink"/>
            <w:lang w:eastAsia="zh-CN"/>
          </w:rPr>
          <w:t>https://timssandpirls.bc.edu/timss2019/international-results/</w:t>
        </w:r>
      </w:hyperlink>
    </w:p>
    <w:p w14:paraId="6A661109" w14:textId="77777777" w:rsidR="008B459E" w:rsidRPr="002C57D2" w:rsidRDefault="008B459E" w:rsidP="00870F0C">
      <w:pPr>
        <w:pStyle w:val="Body"/>
        <w:spacing w:after="0"/>
        <w:rPr>
          <w:rFonts w:ascii="Arial" w:hAnsi="Arial" w:cs="Arial"/>
        </w:rPr>
      </w:pPr>
    </w:p>
    <w:p w14:paraId="68A87875" w14:textId="77777777" w:rsidR="00F9718C" w:rsidRDefault="00F9718C" w:rsidP="00870F0C">
      <w:pPr>
        <w:spacing w:line="259" w:lineRule="auto"/>
        <w:jc w:val="both"/>
      </w:pPr>
      <w:r w:rsidRPr="00F9718C">
        <w:rPr>
          <w:rFonts w:ascii="Arial" w:eastAsia="Calibri" w:hAnsi="Arial" w:cs="Arial"/>
          <w:spacing w:val="-8"/>
          <w:shd w:val="clear" w:color="auto" w:fill="FFFFFF"/>
        </w:rPr>
        <w:t xml:space="preserve">OECD (2023), </w:t>
      </w:r>
      <w:r w:rsidRPr="00F9718C">
        <w:rPr>
          <w:rFonts w:ascii="Arial" w:hAnsi="Arial" w:cs="Arial"/>
          <w:bCs/>
          <w:spacing w:val="-6"/>
          <w:bdr w:val="none" w:sz="0" w:space="0" w:color="auto" w:frame="1"/>
        </w:rPr>
        <w:t>PISA 2022 Results (Volume I and II) - Country notes: Philippines</w:t>
      </w:r>
      <w:r w:rsidRPr="00F9718C">
        <w:rPr>
          <w:rFonts w:ascii="Arial" w:eastAsia="Calibri" w:hAnsi="Arial" w:cs="Arial"/>
          <w:color w:val="586179"/>
          <w:spacing w:val="-8"/>
          <w:shd w:val="clear" w:color="auto" w:fill="FFFFFF"/>
        </w:rPr>
        <w:t xml:space="preserve">, </w:t>
      </w:r>
      <w:r w:rsidRPr="00F9718C">
        <w:rPr>
          <w:rFonts w:ascii="Arial" w:eastAsia="Calibri" w:hAnsi="Arial" w:cs="Arial"/>
          <w:spacing w:val="-8"/>
          <w:shd w:val="clear" w:color="auto" w:fill="FFFFFF"/>
        </w:rPr>
        <w:t>PISA, OECD Publishing, Paris</w:t>
      </w:r>
      <w:r w:rsidRPr="00F9718C">
        <w:rPr>
          <w:rFonts w:ascii="Arial" w:eastAsia="Calibri" w:hAnsi="Arial" w:cs="Arial"/>
          <w:color w:val="586179"/>
          <w:spacing w:val="-8"/>
          <w:shd w:val="clear" w:color="auto" w:fill="FFFFFF"/>
        </w:rPr>
        <w:t xml:space="preserve">. </w:t>
      </w:r>
      <w:hyperlink r:id="rId21" w:history="1">
        <w:r w:rsidRPr="008D4AF3">
          <w:rPr>
            <w:rStyle w:val="Hyperlink"/>
          </w:rPr>
          <w:t>https://www.oecd.org/en/publications/pisa-2022-results-volume-i-and-ii-country-notes_ed6fbcc5-en/philippines_a0882a2d-en.html</w:t>
        </w:r>
      </w:hyperlink>
    </w:p>
    <w:p w14:paraId="222219D1" w14:textId="77777777" w:rsidR="00C80E7A" w:rsidRDefault="00C80E7A" w:rsidP="00870F0C">
      <w:pPr>
        <w:spacing w:line="259" w:lineRule="auto"/>
        <w:jc w:val="both"/>
      </w:pPr>
    </w:p>
    <w:p w14:paraId="11451D54" w14:textId="77777777" w:rsidR="009D3E1E" w:rsidRDefault="00C80E7A" w:rsidP="00870F0C">
      <w:pPr>
        <w:jc w:val="both"/>
        <w:rPr>
          <w:rFonts w:eastAsiaTheme="minorHAnsi"/>
          <w:color w:val="FF0066"/>
          <w:u w:val="single"/>
        </w:rPr>
      </w:pPr>
      <w:r w:rsidRPr="00C80E7A">
        <w:rPr>
          <w:rFonts w:ascii="Arial" w:eastAsia="SimSun" w:hAnsi="Arial" w:cs="Arial"/>
          <w:lang w:eastAsia="zh-CN"/>
        </w:rPr>
        <w:t xml:space="preserve">Ocampo, E., Mobo, F., &amp; Cutillas, A. (2023). </w:t>
      </w:r>
      <w:r w:rsidRPr="00C80E7A">
        <w:rPr>
          <w:rFonts w:ascii="Arial" w:eastAsia="Calibri" w:hAnsi="Arial" w:cs="Arial"/>
          <w:bCs/>
          <w:color w:val="000000"/>
        </w:rPr>
        <w:t xml:space="preserve">Exploring the relationship between mathematics performance and learning style among Grade 8 students. International Journal of Multidisciplinary: Applied Business and Education Research, </w:t>
      </w:r>
      <w:r w:rsidRPr="00C80E7A">
        <w:rPr>
          <w:rFonts w:ascii="Arial" w:eastAsia="Calibri" w:hAnsi="Arial" w:cs="Arial"/>
          <w:color w:val="000000"/>
        </w:rPr>
        <w:t xml:space="preserve">4(4), 1165 – 1172. </w:t>
      </w:r>
      <w:hyperlink r:id="rId22" w:history="1">
        <w:r w:rsidR="00A77C8A" w:rsidRPr="00315D9E">
          <w:rPr>
            <w:rStyle w:val="Hyperlink"/>
            <w:rFonts w:eastAsiaTheme="minorHAnsi"/>
          </w:rPr>
          <w:t>http://dx.doi.org/10.11594/ijmaber.04.04.14</w:t>
        </w:r>
      </w:hyperlink>
    </w:p>
    <w:p w14:paraId="2382CE0C" w14:textId="77777777" w:rsidR="00870F0C" w:rsidRDefault="00870F0C" w:rsidP="00870F0C">
      <w:pPr>
        <w:jc w:val="both"/>
        <w:rPr>
          <w:rFonts w:ascii="Arial" w:eastAsia="Calibri" w:hAnsi="Arial" w:cs="Arial"/>
          <w:iCs/>
          <w:color w:val="242021"/>
        </w:rPr>
      </w:pPr>
    </w:p>
    <w:p w14:paraId="6C27747A" w14:textId="77777777" w:rsidR="00A77C8A" w:rsidRDefault="00A77C8A" w:rsidP="00870F0C">
      <w:pPr>
        <w:jc w:val="both"/>
        <w:rPr>
          <w:rFonts w:ascii="Arial" w:hAnsi="Arial" w:cs="Arial"/>
        </w:rPr>
      </w:pPr>
      <w:r w:rsidRPr="00A77C8A">
        <w:rPr>
          <w:rFonts w:ascii="Arial" w:eastAsia="Calibri" w:hAnsi="Arial" w:cs="Arial"/>
          <w:iCs/>
          <w:color w:val="242021"/>
        </w:rPr>
        <w:t xml:space="preserve">Okigbo, E. C., &amp; Onoshakpokaiye, E. O. (2023). </w:t>
      </w:r>
      <w:r w:rsidRPr="00A77C8A">
        <w:rPr>
          <w:rFonts w:ascii="Arial" w:eastAsia="Calibri" w:hAnsi="Arial" w:cs="Arial"/>
          <w:bCs/>
          <w:color w:val="262626"/>
        </w:rPr>
        <w:t xml:space="preserve">Relationship between academic motivation and academic performance of secondary school students in Mathematics. </w:t>
      </w:r>
      <w:r w:rsidRPr="00A77C8A">
        <w:rPr>
          <w:rFonts w:ascii="Arial" w:eastAsia="Calibri" w:hAnsi="Arial" w:cs="Arial"/>
          <w:color w:val="000000"/>
        </w:rPr>
        <w:t>Indonesian Journal of Learning Education and Counseling</w:t>
      </w:r>
      <w:r>
        <w:rPr>
          <w:rFonts w:ascii="Arial" w:eastAsia="Calibri" w:hAnsi="Arial" w:cs="Arial"/>
          <w:color w:val="000000"/>
        </w:rPr>
        <w:t xml:space="preserve">, </w:t>
      </w:r>
      <w:r w:rsidRPr="00A77C8A">
        <w:rPr>
          <w:rFonts w:ascii="Arial" w:eastAsia="Calibri" w:hAnsi="Arial" w:cs="Arial"/>
          <w:color w:val="000000"/>
        </w:rPr>
        <w:t xml:space="preserve">6(1), 10-16. </w:t>
      </w:r>
      <w:r w:rsidRPr="00A77C8A">
        <w:rPr>
          <w:rFonts w:ascii="Arial" w:hAnsi="Arial" w:cs="Arial"/>
        </w:rPr>
        <w:t>doi.org/10.31960/ijolec.V6i1.2058</w:t>
      </w:r>
    </w:p>
    <w:p w14:paraId="40AC6F85" w14:textId="77777777" w:rsidR="002F2DA9" w:rsidRPr="00A77C8A" w:rsidRDefault="002F2DA9" w:rsidP="00870F0C">
      <w:pPr>
        <w:jc w:val="both"/>
        <w:rPr>
          <w:rFonts w:ascii="Arial" w:hAnsi="Arial" w:cs="Arial"/>
          <w:color w:val="1346AD"/>
          <w:u w:val="single"/>
        </w:rPr>
      </w:pPr>
    </w:p>
    <w:p w14:paraId="323F1D41" w14:textId="77777777" w:rsidR="002F2DA9" w:rsidRPr="002F2DA9" w:rsidRDefault="002F2DA9" w:rsidP="00870F0C">
      <w:pPr>
        <w:spacing w:line="259" w:lineRule="auto"/>
        <w:jc w:val="both"/>
        <w:rPr>
          <w:rFonts w:ascii="Arial" w:eastAsia="Calibri" w:hAnsi="Arial" w:cs="Arial"/>
          <w:iCs/>
          <w:color w:val="242021"/>
        </w:rPr>
      </w:pPr>
      <w:r w:rsidRPr="002F2DA9">
        <w:rPr>
          <w:rFonts w:ascii="Arial" w:eastAsia="Calibri" w:hAnsi="Arial" w:cs="Arial"/>
          <w:iCs/>
          <w:color w:val="242021"/>
        </w:rPr>
        <w:t xml:space="preserve">Oluwadamilare, A., Olufemi, S., &amp; Oluwadaisi, O. (2024). </w:t>
      </w:r>
      <w:r w:rsidRPr="002F2DA9">
        <w:rPr>
          <w:rFonts w:ascii="Arial" w:eastAsia="Calibri" w:hAnsi="Arial" w:cs="Arial"/>
          <w:bCs/>
          <w:color w:val="000000"/>
        </w:rPr>
        <w:t xml:space="preserve">Effects of Motivation on Students’ Academic Performance in Mathematics in Lagos Metropolis. </w:t>
      </w:r>
      <w:r w:rsidRPr="002F2DA9">
        <w:rPr>
          <w:rFonts w:ascii="Arial" w:eastAsia="Calibri" w:hAnsi="Arial" w:cs="Arial"/>
          <w:bCs/>
          <w:iCs/>
          <w:color w:val="000000"/>
        </w:rPr>
        <w:t>Al-Hikmah Journal of Education, 11(1), 32-38.</w:t>
      </w:r>
    </w:p>
    <w:p w14:paraId="3A521B95" w14:textId="77777777" w:rsidR="00870F0C" w:rsidRDefault="00870F0C" w:rsidP="00870F0C">
      <w:pPr>
        <w:spacing w:line="259" w:lineRule="auto"/>
        <w:jc w:val="both"/>
        <w:rPr>
          <w:rFonts w:ascii="Arial" w:eastAsia="Calibri" w:hAnsi="Arial" w:cs="Arial"/>
          <w:shd w:val="clear" w:color="auto" w:fill="FFFFFF"/>
        </w:rPr>
      </w:pPr>
    </w:p>
    <w:p w14:paraId="54AFC3D1" w14:textId="77777777" w:rsidR="00E450C3" w:rsidRDefault="00E450C3" w:rsidP="00E450C3">
      <w:pPr>
        <w:jc w:val="both"/>
        <w:rPr>
          <w:rFonts w:ascii="Arial" w:hAnsi="Arial" w:cs="Arial"/>
        </w:rPr>
      </w:pPr>
      <w:r w:rsidRPr="00E450C3">
        <w:rPr>
          <w:rFonts w:ascii="Arial" w:hAnsi="Arial" w:cs="Arial"/>
          <w:iCs/>
        </w:rPr>
        <w:t xml:space="preserve">Pina, V., </w:t>
      </w:r>
      <w:proofErr w:type="spellStart"/>
      <w:r w:rsidRPr="00E450C3">
        <w:rPr>
          <w:rFonts w:ascii="Arial" w:hAnsi="Arial" w:cs="Arial"/>
          <w:iCs/>
        </w:rPr>
        <w:t>Martella</w:t>
      </w:r>
      <w:proofErr w:type="spellEnd"/>
      <w:r w:rsidRPr="00E450C3">
        <w:rPr>
          <w:rFonts w:ascii="Arial" w:hAnsi="Arial" w:cs="Arial"/>
          <w:iCs/>
        </w:rPr>
        <w:t xml:space="preserve">, D., </w:t>
      </w:r>
      <w:proofErr w:type="spellStart"/>
      <w:r w:rsidRPr="00E450C3">
        <w:rPr>
          <w:rFonts w:ascii="Arial" w:hAnsi="Arial" w:cs="Arial"/>
          <w:iCs/>
        </w:rPr>
        <w:t>Moscoso</w:t>
      </w:r>
      <w:proofErr w:type="spellEnd"/>
      <w:r w:rsidRPr="00E450C3">
        <w:rPr>
          <w:rFonts w:ascii="Arial" w:hAnsi="Arial" w:cs="Arial"/>
          <w:iCs/>
        </w:rPr>
        <w:t xml:space="preserve">, S., </w:t>
      </w:r>
      <w:proofErr w:type="spellStart"/>
      <w:r w:rsidRPr="00E450C3">
        <w:rPr>
          <w:rFonts w:ascii="Arial" w:hAnsi="Arial" w:cs="Arial"/>
          <w:iCs/>
        </w:rPr>
        <w:t>Saracostti</w:t>
      </w:r>
      <w:proofErr w:type="spellEnd"/>
      <w:r w:rsidRPr="00E450C3">
        <w:rPr>
          <w:rFonts w:ascii="Arial" w:hAnsi="Arial" w:cs="Arial"/>
          <w:iCs/>
        </w:rPr>
        <w:t xml:space="preserve">, M., &amp; Cortes, J. (2021). </w:t>
      </w:r>
      <w:r w:rsidRPr="00E450C3">
        <w:rPr>
          <w:rFonts w:ascii="Arial" w:hAnsi="Arial" w:cs="Arial"/>
          <w:bCs/>
        </w:rPr>
        <w:t>Gender-based performance in mathematical facts and calculations in two elementary school samples from Chile and Spain: An exploratory study</w:t>
      </w:r>
      <w:r w:rsidRPr="00E50BE8">
        <w:rPr>
          <w:rFonts w:ascii="Arial" w:hAnsi="Arial" w:cs="Arial"/>
          <w:bCs/>
        </w:rPr>
        <w:t xml:space="preserve">. </w:t>
      </w:r>
      <w:r w:rsidRPr="00E50BE8">
        <w:rPr>
          <w:rFonts w:ascii="Arial" w:hAnsi="Arial" w:cs="Arial"/>
          <w:iCs/>
        </w:rPr>
        <w:t>Front. Psychol.</w:t>
      </w:r>
      <w:r w:rsidRPr="00E450C3">
        <w:rPr>
          <w:rFonts w:ascii="Arial" w:hAnsi="Arial" w:cs="Arial"/>
          <w:i/>
          <w:iCs/>
        </w:rPr>
        <w:t xml:space="preserve"> 12:703580</w:t>
      </w:r>
      <w:r w:rsidRPr="00E450C3">
        <w:rPr>
          <w:rFonts w:ascii="Arial" w:hAnsi="Arial" w:cs="Arial"/>
        </w:rPr>
        <w:t xml:space="preserve">. </w:t>
      </w:r>
      <w:proofErr w:type="spellStart"/>
      <w:r w:rsidRPr="00E450C3">
        <w:rPr>
          <w:rFonts w:ascii="Arial" w:hAnsi="Arial" w:cs="Arial"/>
        </w:rPr>
        <w:t>doi</w:t>
      </w:r>
      <w:proofErr w:type="spellEnd"/>
      <w:r w:rsidRPr="00E450C3">
        <w:rPr>
          <w:rFonts w:ascii="Arial" w:hAnsi="Arial" w:cs="Arial"/>
        </w:rPr>
        <w:t>: 10.3389/fpsyg.2021.703580</w:t>
      </w:r>
    </w:p>
    <w:p w14:paraId="13D86E86" w14:textId="77777777" w:rsidR="00FA5E6E" w:rsidRDefault="00FA5E6E" w:rsidP="00E450C3">
      <w:pPr>
        <w:jc w:val="both"/>
        <w:rPr>
          <w:rFonts w:ascii="Arial" w:hAnsi="Arial" w:cs="Arial"/>
        </w:rPr>
      </w:pPr>
    </w:p>
    <w:p w14:paraId="4750ADDA" w14:textId="77777777" w:rsidR="00FA5E6E" w:rsidRPr="00FA5E6E" w:rsidRDefault="00FA5E6E" w:rsidP="00FA5E6E">
      <w:pPr>
        <w:jc w:val="both"/>
        <w:rPr>
          <w:rFonts w:ascii="Arial" w:hAnsi="Arial" w:cs="Arial"/>
        </w:rPr>
      </w:pPr>
      <w:r w:rsidRPr="00FA5E6E">
        <w:rPr>
          <w:rFonts w:ascii="Arial" w:hAnsi="Arial" w:cs="Arial"/>
        </w:rPr>
        <w:t xml:space="preserve">Ramirez, C. L., &amp; Mercado, H. A. R. (2023). Mathematical achievements with or without games in </w:t>
      </w:r>
      <w:proofErr w:type="spellStart"/>
      <w:r w:rsidRPr="00FA5E6E">
        <w:rPr>
          <w:rFonts w:ascii="Arial" w:hAnsi="Arial" w:cs="Arial"/>
        </w:rPr>
        <w:t>Hinangutdan</w:t>
      </w:r>
      <w:proofErr w:type="spellEnd"/>
      <w:r w:rsidRPr="00FA5E6E">
        <w:rPr>
          <w:rFonts w:ascii="Arial" w:hAnsi="Arial" w:cs="Arial"/>
        </w:rPr>
        <w:t xml:space="preserve"> Public Secondary High School, Samar, Philippines. </w:t>
      </w:r>
      <w:proofErr w:type="spellStart"/>
      <w:r w:rsidRPr="0068744D">
        <w:rPr>
          <w:rFonts w:ascii="Arial" w:hAnsi="Arial" w:cs="Arial"/>
          <w:iCs/>
        </w:rPr>
        <w:t>Jurnal</w:t>
      </w:r>
      <w:proofErr w:type="spellEnd"/>
      <w:r w:rsidRPr="0068744D">
        <w:rPr>
          <w:rFonts w:ascii="Arial" w:hAnsi="Arial" w:cs="Arial"/>
          <w:iCs/>
        </w:rPr>
        <w:t xml:space="preserve"> Pendidikan </w:t>
      </w:r>
      <w:proofErr w:type="spellStart"/>
      <w:r w:rsidRPr="0068744D">
        <w:rPr>
          <w:rFonts w:ascii="Arial" w:hAnsi="Arial" w:cs="Arial"/>
          <w:iCs/>
        </w:rPr>
        <w:t>Progresif</w:t>
      </w:r>
      <w:proofErr w:type="spellEnd"/>
      <w:r w:rsidRPr="0068744D">
        <w:rPr>
          <w:rFonts w:ascii="Arial" w:hAnsi="Arial" w:cs="Arial"/>
        </w:rPr>
        <w:t xml:space="preserve">, </w:t>
      </w:r>
      <w:r w:rsidRPr="0068744D">
        <w:rPr>
          <w:rFonts w:ascii="Arial" w:hAnsi="Arial" w:cs="Arial"/>
          <w:iCs/>
        </w:rPr>
        <w:t>13</w:t>
      </w:r>
      <w:r w:rsidRPr="0068744D">
        <w:rPr>
          <w:rFonts w:ascii="Arial" w:hAnsi="Arial" w:cs="Arial"/>
        </w:rPr>
        <w:t>(2), 461</w:t>
      </w:r>
      <w:r w:rsidRPr="00FA5E6E">
        <w:rPr>
          <w:rFonts w:ascii="Arial" w:hAnsi="Arial" w:cs="Arial"/>
        </w:rPr>
        <w:t xml:space="preserve">-470. </w:t>
      </w:r>
      <w:proofErr w:type="spellStart"/>
      <w:r w:rsidRPr="00FA5E6E">
        <w:rPr>
          <w:rFonts w:ascii="Arial" w:hAnsi="Arial" w:cs="Arial"/>
        </w:rPr>
        <w:t>doi</w:t>
      </w:r>
      <w:proofErr w:type="spellEnd"/>
      <w:r w:rsidRPr="00FA5E6E">
        <w:rPr>
          <w:rFonts w:ascii="Arial" w:hAnsi="Arial" w:cs="Arial"/>
        </w:rPr>
        <w:t>: 10.23960/</w:t>
      </w:r>
      <w:proofErr w:type="gramStart"/>
      <w:r w:rsidRPr="00FA5E6E">
        <w:rPr>
          <w:rFonts w:ascii="Arial" w:hAnsi="Arial" w:cs="Arial"/>
        </w:rPr>
        <w:t>jpp.v13.i</w:t>
      </w:r>
      <w:proofErr w:type="gramEnd"/>
      <w:r w:rsidRPr="00FA5E6E">
        <w:rPr>
          <w:rFonts w:ascii="Arial" w:hAnsi="Arial" w:cs="Arial"/>
        </w:rPr>
        <w:t>2.202323.</w:t>
      </w:r>
    </w:p>
    <w:p w14:paraId="7114D588" w14:textId="77777777" w:rsidR="00FA5E6E" w:rsidRDefault="00FA5E6E" w:rsidP="00E450C3">
      <w:pPr>
        <w:jc w:val="both"/>
        <w:rPr>
          <w:rFonts w:ascii="Arial" w:hAnsi="Arial" w:cs="Arial"/>
        </w:rPr>
      </w:pPr>
    </w:p>
    <w:p w14:paraId="7A331ACA" w14:textId="77777777" w:rsidR="00C67D8E" w:rsidRDefault="00C67D8E" w:rsidP="00E450C3">
      <w:pPr>
        <w:jc w:val="both"/>
        <w:rPr>
          <w:rFonts w:ascii="Arial" w:hAnsi="Arial" w:cs="Arial"/>
        </w:rPr>
      </w:pPr>
    </w:p>
    <w:p w14:paraId="7036CFCD" w14:textId="47117A2F" w:rsidR="00DE155E" w:rsidRPr="00EE65A3" w:rsidRDefault="00DE155E" w:rsidP="00DE155E">
      <w:pPr>
        <w:jc w:val="both"/>
        <w:rPr>
          <w:rFonts w:ascii="Arial" w:hAnsi="Arial" w:cs="Arial"/>
        </w:rPr>
      </w:pPr>
      <w:r w:rsidRPr="00DE155E">
        <w:rPr>
          <w:rFonts w:ascii="Arial" w:hAnsi="Arial" w:cs="Arial"/>
        </w:rPr>
        <w:lastRenderedPageBreak/>
        <w:t>Ramos, S., Legaspi, I</w:t>
      </w:r>
      <w:r>
        <w:rPr>
          <w:rFonts w:ascii="Arial" w:hAnsi="Arial" w:cs="Arial"/>
        </w:rPr>
        <w:t xml:space="preserve">., Sabal, J., &amp; </w:t>
      </w:r>
      <w:proofErr w:type="spellStart"/>
      <w:r>
        <w:rPr>
          <w:rFonts w:ascii="Arial" w:hAnsi="Arial" w:cs="Arial"/>
        </w:rPr>
        <w:t>Doroja</w:t>
      </w:r>
      <w:proofErr w:type="spellEnd"/>
      <w:r>
        <w:rPr>
          <w:rFonts w:ascii="Arial" w:hAnsi="Arial" w:cs="Arial"/>
        </w:rPr>
        <w:t>, G. (2018</w:t>
      </w:r>
      <w:r w:rsidRPr="00DE155E">
        <w:rPr>
          <w:rFonts w:ascii="Arial" w:hAnsi="Arial" w:cs="Arial"/>
        </w:rPr>
        <w:t xml:space="preserve">). Mobile </w:t>
      </w:r>
      <w:proofErr w:type="spellStart"/>
      <w:r w:rsidRPr="00DE155E">
        <w:rPr>
          <w:rFonts w:ascii="Arial" w:hAnsi="Arial" w:cs="Arial"/>
        </w:rPr>
        <w:t>DaMath</w:t>
      </w:r>
      <w:proofErr w:type="spellEnd"/>
      <w:r w:rsidRPr="00DE155E">
        <w:rPr>
          <w:rFonts w:ascii="Arial" w:hAnsi="Arial" w:cs="Arial"/>
        </w:rPr>
        <w:t xml:space="preserve">: A game for basic numeracy </w:t>
      </w:r>
      <w:r w:rsidRPr="00EE65A3">
        <w:rPr>
          <w:rFonts w:ascii="Arial" w:hAnsi="Arial" w:cs="Arial"/>
        </w:rPr>
        <w:t xml:space="preserve">exercise. </w:t>
      </w:r>
      <w:r w:rsidRPr="00EE65A3">
        <w:rPr>
          <w:rFonts w:ascii="Arial" w:hAnsi="Arial" w:cs="Arial"/>
          <w:iCs/>
        </w:rPr>
        <w:t>Int. J. Arts and Technology (IJAT)</w:t>
      </w:r>
      <w:r w:rsidRPr="00EE65A3">
        <w:rPr>
          <w:rFonts w:ascii="Arial" w:hAnsi="Arial" w:cs="Arial"/>
        </w:rPr>
        <w:t>, 6(3), 246–254.</w:t>
      </w:r>
    </w:p>
    <w:p w14:paraId="3FD8836D" w14:textId="77777777" w:rsidR="00DE155E" w:rsidRDefault="00DE155E" w:rsidP="00E450C3">
      <w:pPr>
        <w:jc w:val="both"/>
        <w:rPr>
          <w:rFonts w:ascii="Arial" w:hAnsi="Arial" w:cs="Arial"/>
        </w:rPr>
      </w:pPr>
    </w:p>
    <w:p w14:paraId="1597B198" w14:textId="228AD941" w:rsidR="00C67D8E" w:rsidRPr="00DD2928" w:rsidRDefault="00C67D8E" w:rsidP="00E450C3">
      <w:pPr>
        <w:jc w:val="both"/>
        <w:rPr>
          <w:rFonts w:ascii="Arial" w:hAnsi="Arial" w:cs="Arial"/>
          <w:color w:val="FF0080"/>
          <w:u w:val="single"/>
        </w:rPr>
      </w:pPr>
      <w:r w:rsidRPr="00C67D8E">
        <w:rPr>
          <w:rFonts w:ascii="Arial" w:hAnsi="Arial" w:cs="Arial"/>
        </w:rPr>
        <w:t xml:space="preserve">Shah, N. H., Nazir, N., Arshad, M., &amp; Akhter, K. (2023). </w:t>
      </w:r>
      <w:r w:rsidRPr="00C67D8E">
        <w:rPr>
          <w:rFonts w:ascii="Arial" w:hAnsi="Arial" w:cs="Arial"/>
          <w:bCs/>
        </w:rPr>
        <w:t>Effect of students’ attitude towards Mathematics on their mathematical achievement at secondary school level</w:t>
      </w:r>
      <w:r w:rsidRPr="00DD2928">
        <w:rPr>
          <w:rFonts w:ascii="Arial" w:hAnsi="Arial" w:cs="Arial"/>
          <w:bCs/>
        </w:rPr>
        <w:t xml:space="preserve">. International Journal of Engineering and Technology (IJET), 18(12), 178-191. </w:t>
      </w:r>
      <w:r w:rsidRPr="00DD2928">
        <w:rPr>
          <w:rFonts w:ascii="Arial" w:hAnsi="Arial" w:cs="Arial"/>
        </w:rPr>
        <w:t>https://doi.org/10.3991/ijet.v18i12.38765</w:t>
      </w:r>
    </w:p>
    <w:p w14:paraId="2580AE69" w14:textId="77777777" w:rsidR="00E450C3" w:rsidRDefault="00E450C3" w:rsidP="00870F0C">
      <w:pPr>
        <w:spacing w:line="259" w:lineRule="auto"/>
        <w:jc w:val="both"/>
        <w:rPr>
          <w:rFonts w:ascii="Arial" w:eastAsia="Calibri" w:hAnsi="Arial" w:cs="Arial"/>
          <w:shd w:val="clear" w:color="auto" w:fill="FFFFFF"/>
        </w:rPr>
      </w:pPr>
    </w:p>
    <w:p w14:paraId="4201D9D3" w14:textId="77777777" w:rsidR="00933C0D" w:rsidRPr="00532CEE" w:rsidRDefault="00933C0D" w:rsidP="00933C0D">
      <w:pPr>
        <w:jc w:val="both"/>
        <w:rPr>
          <w:rStyle w:val="Hyperlink"/>
          <w:rFonts w:ascii="Arial" w:hAnsi="Arial" w:cs="Arial"/>
        </w:rPr>
      </w:pPr>
      <w:r w:rsidRPr="00933C0D">
        <w:rPr>
          <w:rStyle w:val="Hyperlink"/>
          <w:rFonts w:ascii="Arial" w:hAnsi="Arial" w:cs="Arial"/>
          <w:color w:val="auto"/>
          <w:u w:val="none"/>
        </w:rPr>
        <w:t xml:space="preserve">Sun, L., Chen, X., &amp; </w:t>
      </w:r>
      <w:proofErr w:type="spellStart"/>
      <w:r w:rsidRPr="00933C0D">
        <w:rPr>
          <w:rStyle w:val="Hyperlink"/>
          <w:rFonts w:ascii="Arial" w:hAnsi="Arial" w:cs="Arial"/>
          <w:color w:val="auto"/>
          <w:u w:val="none"/>
        </w:rPr>
        <w:t>Ruokamo</w:t>
      </w:r>
      <w:proofErr w:type="spellEnd"/>
      <w:r w:rsidRPr="00933C0D">
        <w:rPr>
          <w:rStyle w:val="Hyperlink"/>
          <w:rFonts w:ascii="Arial" w:hAnsi="Arial" w:cs="Arial"/>
          <w:color w:val="auto"/>
          <w:u w:val="none"/>
        </w:rPr>
        <w:t>, H. (2021). Digital game-based pedagogical activities in primary education. A review of ten years’ studies</w:t>
      </w:r>
      <w:r w:rsidRPr="00532CEE">
        <w:rPr>
          <w:rStyle w:val="Hyperlink"/>
          <w:rFonts w:ascii="Arial" w:hAnsi="Arial" w:cs="Arial"/>
          <w:color w:val="auto"/>
          <w:u w:val="none"/>
        </w:rPr>
        <w:t xml:space="preserve">. International Journal of Technology in Teaching and Learning (IJTTL), 16(2), 78-92. </w:t>
      </w:r>
      <w:hyperlink r:id="rId23" w:history="1">
        <w:r w:rsidRPr="00532CEE">
          <w:rPr>
            <w:rStyle w:val="Hyperlink"/>
            <w:rFonts w:ascii="Arial" w:hAnsi="Arial" w:cs="Arial"/>
          </w:rPr>
          <w:t>https://jitp.commons.gc.cuny.edu/issues/</w:t>
        </w:r>
      </w:hyperlink>
    </w:p>
    <w:p w14:paraId="1A4E1ED7" w14:textId="77777777" w:rsidR="00933C0D" w:rsidRDefault="00933C0D" w:rsidP="00870F0C">
      <w:pPr>
        <w:spacing w:line="259" w:lineRule="auto"/>
        <w:jc w:val="both"/>
        <w:rPr>
          <w:rFonts w:ascii="Arial" w:eastAsia="Calibri" w:hAnsi="Arial" w:cs="Arial"/>
          <w:shd w:val="clear" w:color="auto" w:fill="FFFFFF"/>
        </w:rPr>
      </w:pPr>
    </w:p>
    <w:p w14:paraId="7AF8FC37" w14:textId="77777777" w:rsidR="00A77C8A" w:rsidRPr="00870F0C" w:rsidRDefault="00870F0C" w:rsidP="00870F0C">
      <w:pPr>
        <w:spacing w:line="259" w:lineRule="auto"/>
        <w:jc w:val="both"/>
        <w:rPr>
          <w:rFonts w:ascii="Arial" w:eastAsia="Calibri" w:hAnsi="Arial" w:cs="Arial"/>
          <w:shd w:val="clear" w:color="auto" w:fill="FFFFFF"/>
        </w:rPr>
      </w:pPr>
      <w:r w:rsidRPr="00870F0C">
        <w:rPr>
          <w:rFonts w:ascii="Arial" w:eastAsia="Calibri" w:hAnsi="Arial" w:cs="Arial"/>
          <w:shd w:val="clear" w:color="auto" w:fill="FFFFFF"/>
        </w:rPr>
        <w:t>Taber, K. S. (2018). The use of Cronbach’s alpha when developing and reporting research instruments in science education. </w:t>
      </w:r>
      <w:r w:rsidRPr="00870F0C">
        <w:rPr>
          <w:rFonts w:ascii="Arial" w:eastAsia="Calibri" w:hAnsi="Arial" w:cs="Arial"/>
          <w:iCs/>
          <w:shd w:val="clear" w:color="auto" w:fill="FFFFFF"/>
        </w:rPr>
        <w:t>Research in science education</w:t>
      </w:r>
      <w:r w:rsidRPr="00870F0C">
        <w:rPr>
          <w:rFonts w:ascii="Arial" w:eastAsia="Calibri" w:hAnsi="Arial" w:cs="Arial"/>
          <w:shd w:val="clear" w:color="auto" w:fill="FFFFFF"/>
        </w:rPr>
        <w:t>, </w:t>
      </w:r>
      <w:r w:rsidRPr="00870F0C">
        <w:rPr>
          <w:rFonts w:ascii="Arial" w:eastAsia="Calibri" w:hAnsi="Arial" w:cs="Arial"/>
          <w:iCs/>
          <w:shd w:val="clear" w:color="auto" w:fill="FFFFFF"/>
        </w:rPr>
        <w:t>48</w:t>
      </w:r>
      <w:r w:rsidRPr="00870F0C">
        <w:rPr>
          <w:rFonts w:ascii="Arial" w:eastAsia="Calibri" w:hAnsi="Arial" w:cs="Arial"/>
          <w:shd w:val="clear" w:color="auto" w:fill="FFFFFF"/>
        </w:rPr>
        <w:t>(6), 1273-1296.</w:t>
      </w:r>
    </w:p>
    <w:p w14:paraId="3CF0C90F" w14:textId="77777777" w:rsidR="00870F0C" w:rsidRDefault="00870F0C" w:rsidP="00870F0C">
      <w:pPr>
        <w:jc w:val="both"/>
        <w:rPr>
          <w:rFonts w:ascii="Arial" w:hAnsi="Arial" w:cs="Arial"/>
          <w:shd w:val="clear" w:color="auto" w:fill="FFFFFF"/>
        </w:rPr>
      </w:pPr>
    </w:p>
    <w:p w14:paraId="7C5E20AF" w14:textId="77777777" w:rsidR="008D4AF3" w:rsidRDefault="008D4AF3" w:rsidP="00870F0C">
      <w:pPr>
        <w:jc w:val="both"/>
        <w:rPr>
          <w:rStyle w:val="Hyperlink"/>
          <w:rFonts w:ascii="Arial" w:hAnsi="Arial" w:cs="Arial"/>
          <w:shd w:val="clear" w:color="auto" w:fill="FFFFFF"/>
        </w:rPr>
      </w:pPr>
      <w:r w:rsidRPr="008D4AF3">
        <w:rPr>
          <w:rFonts w:ascii="Arial" w:hAnsi="Arial" w:cs="Arial"/>
          <w:shd w:val="clear" w:color="auto" w:fill="FFFFFF"/>
        </w:rPr>
        <w:t>Tanghal, A. (2020). IGC: A Play-based Approach to Improve Concept and Operations on Integers. </w:t>
      </w:r>
      <w:r w:rsidRPr="008D4AF3">
        <w:rPr>
          <w:rFonts w:ascii="Arial" w:hAnsi="Arial" w:cs="Arial"/>
          <w:iCs/>
          <w:shd w:val="clear" w:color="auto" w:fill="FFFFFF"/>
        </w:rPr>
        <w:t>ASEAN Multidisciplinary Research Journal</w:t>
      </w:r>
      <w:r w:rsidRPr="008D4AF3">
        <w:rPr>
          <w:rFonts w:ascii="Arial" w:hAnsi="Arial" w:cs="Arial"/>
          <w:shd w:val="clear" w:color="auto" w:fill="FFFFFF"/>
        </w:rPr>
        <w:t>, </w:t>
      </w:r>
      <w:r w:rsidRPr="008D4AF3">
        <w:rPr>
          <w:rFonts w:ascii="Arial" w:hAnsi="Arial" w:cs="Arial"/>
          <w:iCs/>
          <w:shd w:val="clear" w:color="auto" w:fill="FFFFFF"/>
        </w:rPr>
        <w:t>6</w:t>
      </w:r>
      <w:r w:rsidRPr="008D4AF3">
        <w:rPr>
          <w:rFonts w:ascii="Arial" w:hAnsi="Arial" w:cs="Arial"/>
          <w:shd w:val="clear" w:color="auto" w:fill="FFFFFF"/>
        </w:rPr>
        <w:t xml:space="preserve">. </w:t>
      </w:r>
      <w:hyperlink r:id="rId24" w:history="1">
        <w:r w:rsidRPr="008D4AF3">
          <w:rPr>
            <w:rStyle w:val="Hyperlink"/>
            <w:rFonts w:ascii="Arial" w:hAnsi="Arial" w:cs="Arial"/>
            <w:shd w:val="clear" w:color="auto" w:fill="FFFFFF"/>
          </w:rPr>
          <w:t>https://www.paressu.org/online/index.php/aseanmrj/article/view/259</w:t>
        </w:r>
      </w:hyperlink>
    </w:p>
    <w:p w14:paraId="4218CA6B" w14:textId="77777777" w:rsidR="00870F0C" w:rsidRDefault="00870F0C" w:rsidP="00870F0C">
      <w:pPr>
        <w:jc w:val="both"/>
        <w:rPr>
          <w:rStyle w:val="Hyperlink"/>
          <w:rFonts w:ascii="Arial" w:hAnsi="Arial" w:cs="Arial"/>
          <w:shd w:val="clear" w:color="auto" w:fill="FFFFFF"/>
        </w:rPr>
      </w:pPr>
    </w:p>
    <w:p w14:paraId="4C1A33A0" w14:textId="77777777" w:rsidR="00617ACD" w:rsidRPr="00EA06D0" w:rsidRDefault="00870F0C" w:rsidP="00870F0C">
      <w:pPr>
        <w:spacing w:line="259" w:lineRule="auto"/>
        <w:jc w:val="both"/>
        <w:rPr>
          <w:rStyle w:val="Hyperlink"/>
          <w:rFonts w:ascii="Arial" w:eastAsia="Calibri" w:hAnsi="Arial" w:cs="Arial"/>
          <w:color w:val="auto"/>
          <w:u w:val="none"/>
        </w:rPr>
      </w:pPr>
      <w:r w:rsidRPr="00870F0C">
        <w:rPr>
          <w:rFonts w:ascii="Arial" w:eastAsia="Calibri" w:hAnsi="Arial" w:cs="Arial"/>
          <w:shd w:val="clear" w:color="auto" w:fill="FFFFFF"/>
        </w:rPr>
        <w:t xml:space="preserve">Tavakol, M., &amp; Dennick, R. (2011). Making </w:t>
      </w:r>
      <w:r w:rsidRPr="00EA06D0">
        <w:rPr>
          <w:rFonts w:ascii="Arial" w:eastAsia="Calibri" w:hAnsi="Arial" w:cs="Arial"/>
          <w:shd w:val="clear" w:color="auto" w:fill="FFFFFF"/>
        </w:rPr>
        <w:t>sense of Cronbach's alpha. </w:t>
      </w:r>
      <w:r w:rsidRPr="00EA06D0">
        <w:rPr>
          <w:rFonts w:ascii="Arial" w:eastAsia="Calibri" w:hAnsi="Arial" w:cs="Arial"/>
          <w:iCs/>
          <w:shd w:val="clear" w:color="auto" w:fill="FFFFFF"/>
        </w:rPr>
        <w:t>International journal of medical education</w:t>
      </w:r>
      <w:r w:rsidRPr="00EA06D0">
        <w:rPr>
          <w:rFonts w:ascii="Arial" w:eastAsia="Calibri" w:hAnsi="Arial" w:cs="Arial"/>
          <w:shd w:val="clear" w:color="auto" w:fill="FFFFFF"/>
        </w:rPr>
        <w:t>, </w:t>
      </w:r>
      <w:r w:rsidRPr="00EA06D0">
        <w:rPr>
          <w:rFonts w:ascii="Arial" w:eastAsia="Calibri" w:hAnsi="Arial" w:cs="Arial"/>
          <w:iCs/>
          <w:shd w:val="clear" w:color="auto" w:fill="FFFFFF"/>
        </w:rPr>
        <w:t>2</w:t>
      </w:r>
      <w:r w:rsidRPr="00EA06D0">
        <w:rPr>
          <w:rFonts w:ascii="Arial" w:eastAsia="Calibri" w:hAnsi="Arial" w:cs="Arial"/>
          <w:shd w:val="clear" w:color="auto" w:fill="FFFFFF"/>
        </w:rPr>
        <w:t>, 53.</w:t>
      </w:r>
    </w:p>
    <w:p w14:paraId="493E8B6F" w14:textId="77777777" w:rsidR="00D662D7" w:rsidRDefault="00D662D7" w:rsidP="00870F0C">
      <w:pPr>
        <w:spacing w:line="259" w:lineRule="auto"/>
        <w:jc w:val="both"/>
        <w:rPr>
          <w:rFonts w:ascii="Arial" w:hAnsi="Arial" w:cs="Arial"/>
          <w:iCs/>
        </w:rPr>
      </w:pPr>
    </w:p>
    <w:p w14:paraId="4EA780CC" w14:textId="77777777" w:rsidR="000C5540" w:rsidRPr="00243682" w:rsidRDefault="000C5540" w:rsidP="000C5540">
      <w:pPr>
        <w:jc w:val="both"/>
        <w:rPr>
          <w:rStyle w:val="Hyperlink"/>
          <w:rFonts w:ascii="Arial" w:hAnsi="Arial" w:cs="Arial"/>
          <w:color w:val="auto"/>
          <w:u w:val="none"/>
        </w:rPr>
      </w:pPr>
      <w:r w:rsidRPr="004E1F58">
        <w:rPr>
          <w:rStyle w:val="Hyperlink"/>
          <w:rFonts w:ascii="Arial" w:hAnsi="Arial" w:cs="Arial"/>
          <w:color w:val="auto"/>
          <w:u w:val="none"/>
        </w:rPr>
        <w:t xml:space="preserve">Triantafyllou, S. (2022). Constructivist learning </w:t>
      </w:r>
      <w:r w:rsidRPr="00243682">
        <w:rPr>
          <w:rStyle w:val="Hyperlink"/>
          <w:rFonts w:ascii="Arial" w:hAnsi="Arial" w:cs="Arial"/>
          <w:color w:val="auto"/>
          <w:u w:val="none"/>
        </w:rPr>
        <w:t>environments. 5</w:t>
      </w:r>
      <w:r w:rsidRPr="00243682">
        <w:rPr>
          <w:rStyle w:val="Hyperlink"/>
          <w:rFonts w:ascii="Arial" w:hAnsi="Arial" w:cs="Arial"/>
          <w:color w:val="auto"/>
          <w:u w:val="none"/>
          <w:vertAlign w:val="superscript"/>
        </w:rPr>
        <w:t>th</w:t>
      </w:r>
      <w:r w:rsidRPr="00243682">
        <w:rPr>
          <w:rStyle w:val="Hyperlink"/>
          <w:rFonts w:ascii="Arial" w:hAnsi="Arial" w:cs="Arial"/>
          <w:color w:val="auto"/>
          <w:u w:val="none"/>
        </w:rPr>
        <w:t xml:space="preserve"> International Conference on Advanced Research in Teaching and Education. 1-6.</w:t>
      </w:r>
    </w:p>
    <w:p w14:paraId="08DEE2D8" w14:textId="77777777" w:rsidR="000C5540" w:rsidRDefault="000C5540" w:rsidP="004B3829">
      <w:pPr>
        <w:jc w:val="both"/>
        <w:rPr>
          <w:rFonts w:ascii="Arial" w:hAnsi="Arial" w:cs="Arial"/>
          <w:bCs/>
        </w:rPr>
      </w:pPr>
    </w:p>
    <w:p w14:paraId="550FB355" w14:textId="77777777" w:rsidR="004B3829" w:rsidRPr="00424DFA" w:rsidRDefault="004B3829" w:rsidP="004B3829">
      <w:pPr>
        <w:jc w:val="both"/>
        <w:rPr>
          <w:rStyle w:val="Hyperlink"/>
          <w:rFonts w:ascii="Arial" w:hAnsi="Arial" w:cs="Arial"/>
        </w:rPr>
      </w:pPr>
      <w:proofErr w:type="spellStart"/>
      <w:r w:rsidRPr="004B3829">
        <w:rPr>
          <w:rFonts w:ascii="Arial" w:hAnsi="Arial" w:cs="Arial"/>
          <w:bCs/>
        </w:rPr>
        <w:t>Türkoğlu</w:t>
      </w:r>
      <w:proofErr w:type="spellEnd"/>
      <w:r w:rsidRPr="004B3829">
        <w:rPr>
          <w:rFonts w:ascii="Arial" w:hAnsi="Arial" w:cs="Arial"/>
          <w:bCs/>
        </w:rPr>
        <w:t xml:space="preserve">, B. (2019). A mixed method research study on the effectiveness of board game based cognitive training </w:t>
      </w:r>
      <w:proofErr w:type="spellStart"/>
      <w:r w:rsidRPr="004B3829">
        <w:rPr>
          <w:rFonts w:ascii="Arial" w:hAnsi="Arial" w:cs="Arial"/>
          <w:bCs/>
        </w:rPr>
        <w:t>programme</w:t>
      </w:r>
      <w:proofErr w:type="spellEnd"/>
      <w:r w:rsidRPr="00424DFA">
        <w:rPr>
          <w:rFonts w:ascii="Arial" w:hAnsi="Arial" w:cs="Arial"/>
          <w:bCs/>
        </w:rPr>
        <w:t xml:space="preserve">. </w:t>
      </w:r>
      <w:r w:rsidRPr="00424DFA">
        <w:rPr>
          <w:rFonts w:ascii="Arial" w:hAnsi="Arial" w:cs="Arial"/>
        </w:rPr>
        <w:t xml:space="preserve">International Journal of Progressive Education (IJPE), 15(5), 315-344. </w:t>
      </w:r>
      <w:proofErr w:type="spellStart"/>
      <w:r w:rsidRPr="00424DFA">
        <w:rPr>
          <w:rFonts w:ascii="Arial" w:hAnsi="Arial" w:cs="Arial"/>
          <w:bCs/>
        </w:rPr>
        <w:t>doi</w:t>
      </w:r>
      <w:proofErr w:type="spellEnd"/>
      <w:r w:rsidRPr="00424DFA">
        <w:rPr>
          <w:rFonts w:ascii="Arial" w:hAnsi="Arial" w:cs="Arial"/>
          <w:bCs/>
        </w:rPr>
        <w:t xml:space="preserve">: </w:t>
      </w:r>
      <w:r w:rsidRPr="00424DFA">
        <w:rPr>
          <w:rFonts w:ascii="Arial" w:hAnsi="Arial" w:cs="Arial"/>
        </w:rPr>
        <w:t>10.29329/ijpe.2019.212.21</w:t>
      </w:r>
    </w:p>
    <w:p w14:paraId="47F9CBE4" w14:textId="77777777" w:rsidR="004B3829" w:rsidRPr="00424DFA" w:rsidRDefault="004B3829" w:rsidP="00D662D7">
      <w:pPr>
        <w:jc w:val="both"/>
        <w:rPr>
          <w:rFonts w:ascii="Arial" w:hAnsi="Arial" w:cs="Arial"/>
          <w:iCs/>
        </w:rPr>
      </w:pPr>
    </w:p>
    <w:p w14:paraId="3BAB8C3F" w14:textId="765CE1D2" w:rsidR="00D662D7" w:rsidRPr="00D662D7" w:rsidRDefault="00D662D7" w:rsidP="00D662D7">
      <w:pPr>
        <w:jc w:val="both"/>
        <w:rPr>
          <w:rFonts w:ascii="Arial" w:hAnsi="Arial" w:cs="Arial"/>
          <w:iCs/>
        </w:rPr>
      </w:pPr>
      <w:r w:rsidRPr="00D662D7">
        <w:rPr>
          <w:rFonts w:ascii="Arial" w:hAnsi="Arial" w:cs="Arial"/>
          <w:iCs/>
        </w:rPr>
        <w:t xml:space="preserve">Wakhata, R., </w:t>
      </w:r>
      <w:proofErr w:type="spellStart"/>
      <w:r w:rsidRPr="00D662D7">
        <w:rPr>
          <w:rFonts w:ascii="Arial" w:hAnsi="Arial" w:cs="Arial"/>
          <w:iCs/>
        </w:rPr>
        <w:t>Mutarutinya</w:t>
      </w:r>
      <w:proofErr w:type="spellEnd"/>
      <w:r w:rsidRPr="00D662D7">
        <w:rPr>
          <w:rFonts w:ascii="Arial" w:hAnsi="Arial" w:cs="Arial"/>
          <w:iCs/>
        </w:rPr>
        <w:t xml:space="preserve">, V., &amp; </w:t>
      </w:r>
      <w:proofErr w:type="spellStart"/>
      <w:r w:rsidRPr="00D662D7">
        <w:rPr>
          <w:rFonts w:ascii="Arial" w:hAnsi="Arial" w:cs="Arial"/>
          <w:iCs/>
        </w:rPr>
        <w:t>Balimuttajjo</w:t>
      </w:r>
      <w:proofErr w:type="spellEnd"/>
      <w:r w:rsidRPr="00D662D7">
        <w:rPr>
          <w:rFonts w:ascii="Arial" w:hAnsi="Arial" w:cs="Arial"/>
          <w:iCs/>
        </w:rPr>
        <w:t xml:space="preserve">, S. (2023). </w:t>
      </w:r>
      <w:r w:rsidRPr="00D662D7">
        <w:rPr>
          <w:rFonts w:ascii="Arial" w:hAnsi="Arial" w:cs="Arial"/>
        </w:rPr>
        <w:t>Secondary school students’ attitude towards mathematics word problems</w:t>
      </w:r>
      <w:r w:rsidRPr="007014C9">
        <w:rPr>
          <w:rFonts w:ascii="Arial" w:hAnsi="Arial" w:cs="Arial"/>
        </w:rPr>
        <w:t>. Humanities and Social Sciences Communications</w:t>
      </w:r>
      <w:r w:rsidRPr="00D662D7">
        <w:rPr>
          <w:rFonts w:ascii="Arial" w:hAnsi="Arial" w:cs="Arial"/>
          <w:i/>
        </w:rPr>
        <w:t xml:space="preserve">, </w:t>
      </w:r>
      <w:r w:rsidRPr="00D662D7">
        <w:rPr>
          <w:rFonts w:ascii="Arial" w:hAnsi="Arial" w:cs="Arial"/>
        </w:rPr>
        <w:t>1-11. https://doi.org/10.1057/s41599-022-01449-1</w:t>
      </w:r>
    </w:p>
    <w:p w14:paraId="7F780D84" w14:textId="77777777" w:rsidR="00D662D7" w:rsidRDefault="00D662D7" w:rsidP="00870F0C">
      <w:pPr>
        <w:spacing w:line="259" w:lineRule="auto"/>
        <w:jc w:val="both"/>
        <w:rPr>
          <w:rFonts w:ascii="Arial" w:hAnsi="Arial" w:cs="Arial"/>
          <w:iCs/>
        </w:rPr>
      </w:pPr>
    </w:p>
    <w:p w14:paraId="243B6947" w14:textId="77777777" w:rsidR="00617ACD" w:rsidRPr="00617ACD" w:rsidRDefault="00617ACD" w:rsidP="00870F0C">
      <w:pPr>
        <w:spacing w:line="259" w:lineRule="auto"/>
        <w:jc w:val="both"/>
        <w:rPr>
          <w:rFonts w:ascii="Arial" w:eastAsia="Calibri" w:hAnsi="Arial" w:cs="Arial"/>
          <w:color w:val="1346AD"/>
          <w:u w:val="single"/>
        </w:rPr>
      </w:pPr>
      <w:r w:rsidRPr="00617ACD">
        <w:rPr>
          <w:rFonts w:ascii="Arial" w:hAnsi="Arial" w:cs="Arial"/>
          <w:iCs/>
        </w:rPr>
        <w:t xml:space="preserve">Wang, X., Perry, L., Malpique, A., &amp; Ide, T. (2023). </w:t>
      </w:r>
      <w:r w:rsidRPr="00617ACD">
        <w:rPr>
          <w:rFonts w:ascii="Arial" w:eastAsia="Calibri" w:hAnsi="Arial" w:cs="Arial"/>
        </w:rPr>
        <w:t xml:space="preserve">Factors predicting mathematics achievement in PISA: A systematic review. </w:t>
      </w:r>
      <w:r w:rsidRPr="00617ACD">
        <w:rPr>
          <w:rFonts w:ascii="Arial" w:eastAsia="Calibri" w:hAnsi="Arial" w:cs="Arial"/>
          <w:iCs/>
          <w:color w:val="000000"/>
        </w:rPr>
        <w:t xml:space="preserve">Large-scale Assessments in Education, 11(24), 1-24. </w:t>
      </w:r>
      <w:hyperlink r:id="rId25" w:history="1">
        <w:r w:rsidRPr="00617ACD">
          <w:rPr>
            <w:rStyle w:val="Hyperlink"/>
          </w:rPr>
          <w:t>https://doi.org/10.1186/s40536-023-00174-8</w:t>
        </w:r>
      </w:hyperlink>
    </w:p>
    <w:p w14:paraId="16428EB4" w14:textId="77777777" w:rsidR="00BA3134" w:rsidRDefault="00BA3134" w:rsidP="00870F0C">
      <w:pPr>
        <w:jc w:val="both"/>
        <w:rPr>
          <w:rStyle w:val="Hyperlink"/>
          <w:rFonts w:ascii="Arial" w:hAnsi="Arial" w:cs="Arial"/>
          <w:shd w:val="clear" w:color="auto" w:fill="FFFFFF"/>
        </w:rPr>
      </w:pPr>
    </w:p>
    <w:p w14:paraId="126954ED" w14:textId="77777777" w:rsidR="00BA3134" w:rsidRPr="00870F0C" w:rsidRDefault="00BA3134" w:rsidP="00870F0C">
      <w:pPr>
        <w:spacing w:line="259" w:lineRule="auto"/>
        <w:jc w:val="both"/>
        <w:rPr>
          <w:rFonts w:ascii="Arial" w:eastAsia="Calibri" w:hAnsi="Arial" w:cs="Arial"/>
          <w:color w:val="1346AD"/>
          <w:u w:val="single"/>
        </w:rPr>
      </w:pPr>
      <w:r w:rsidRPr="00BA3134">
        <w:rPr>
          <w:rFonts w:ascii="Arial" w:eastAsia="Calibri" w:hAnsi="Arial" w:cs="Arial"/>
          <w:color w:val="000000"/>
        </w:rPr>
        <w:t xml:space="preserve">Xie, G., &amp; Liu, X. (2023). Gender in mathematics: How gender role perception influences mathematical capability in junior high school. </w:t>
      </w:r>
      <w:r>
        <w:rPr>
          <w:rFonts w:ascii="Arial" w:eastAsia="Calibri" w:hAnsi="Arial" w:cs="Arial"/>
          <w:iCs/>
          <w:color w:val="000000"/>
        </w:rPr>
        <w:t>The Journal of Chinese Sociology</w:t>
      </w:r>
      <w:r w:rsidRPr="00BA3134">
        <w:rPr>
          <w:rFonts w:ascii="Arial" w:eastAsia="Calibri" w:hAnsi="Arial" w:cs="Arial"/>
          <w:iCs/>
          <w:color w:val="000000"/>
        </w:rPr>
        <w:t>,</w:t>
      </w:r>
      <w:r w:rsidRPr="00BA3134">
        <w:rPr>
          <w:rFonts w:ascii="Arial" w:eastAsia="Calibri" w:hAnsi="Arial" w:cs="Arial"/>
          <w:i/>
          <w:iCs/>
          <w:color w:val="000000"/>
        </w:rPr>
        <w:t xml:space="preserve"> </w:t>
      </w:r>
      <w:r w:rsidRPr="00BA3134">
        <w:rPr>
          <w:rFonts w:ascii="Arial" w:eastAsia="Calibri" w:hAnsi="Arial" w:cs="Arial"/>
          <w:iCs/>
          <w:color w:val="000000"/>
        </w:rPr>
        <w:t xml:space="preserve">10(10), 1-23. </w:t>
      </w:r>
      <w:r w:rsidRPr="009B5F67">
        <w:rPr>
          <w:color w:val="FF0066"/>
          <w:u w:val="single"/>
        </w:rPr>
        <w:t>https://doi.org/10.1186/s40711-023-00188-3</w:t>
      </w:r>
    </w:p>
    <w:p w14:paraId="6DEBD126" w14:textId="77777777" w:rsidR="008D4AF3" w:rsidRPr="00F9718C" w:rsidRDefault="008D4AF3" w:rsidP="00870F0C">
      <w:pPr>
        <w:spacing w:line="259" w:lineRule="auto"/>
        <w:jc w:val="both"/>
        <w:rPr>
          <w:rFonts w:ascii="Arial" w:eastAsia="Calibri" w:hAnsi="Arial" w:cs="Arial"/>
          <w:color w:val="0000FF"/>
          <w:u w:val="single"/>
        </w:rPr>
      </w:pPr>
    </w:p>
    <w:p w14:paraId="0AC3A2D5" w14:textId="77777777" w:rsidR="00B01FCD" w:rsidRPr="00F93107" w:rsidRDefault="00323C70" w:rsidP="00F93107">
      <w:pPr>
        <w:jc w:val="both"/>
        <w:rPr>
          <w:rFonts w:ascii="Arial" w:hAnsi="Arial" w:cs="Arial"/>
          <w:color w:val="FF0080"/>
          <w:u w:val="single"/>
        </w:rPr>
      </w:pPr>
      <w:r w:rsidRPr="00323C70">
        <w:rPr>
          <w:rFonts w:ascii="Arial" w:hAnsi="Arial" w:cs="Arial"/>
          <w:color w:val="000000"/>
        </w:rPr>
        <w:t xml:space="preserve">Xi, N., &amp; Hamari, J. (2019). Does gamification satisfy needs? A study on the relationship between gamification features and intrinsic need satisfaction. </w:t>
      </w:r>
      <w:r w:rsidRPr="00323C70">
        <w:rPr>
          <w:rFonts w:ascii="Arial" w:hAnsi="Arial" w:cs="Arial"/>
          <w:iCs/>
          <w:color w:val="000000"/>
        </w:rPr>
        <w:t>International Journal of Information Management</w:t>
      </w:r>
      <w:r w:rsidRPr="00323C70">
        <w:rPr>
          <w:rFonts w:ascii="Arial" w:hAnsi="Arial" w:cs="Arial"/>
          <w:color w:val="000000"/>
        </w:rPr>
        <w:t xml:space="preserve">, </w:t>
      </w:r>
      <w:r w:rsidRPr="00323C70">
        <w:rPr>
          <w:rFonts w:ascii="Arial" w:hAnsi="Arial" w:cs="Arial"/>
          <w:iCs/>
          <w:color w:val="000000"/>
        </w:rPr>
        <w:t>46</w:t>
      </w:r>
      <w:r w:rsidRPr="00323C70">
        <w:rPr>
          <w:rFonts w:ascii="Arial" w:hAnsi="Arial" w:cs="Arial"/>
          <w:color w:val="000000"/>
        </w:rPr>
        <w:t xml:space="preserve">, 210-221. </w:t>
      </w:r>
      <w:r w:rsidRPr="006905EE">
        <w:rPr>
          <w:color w:val="FF0066"/>
          <w:u w:val="single"/>
        </w:rPr>
        <w:t>https://doi.org/10.1016/j.ijinfomgt.2018.12.002</w:t>
      </w:r>
    </w:p>
    <w:sectPr w:rsidR="00B01FCD" w:rsidRPr="00F93107" w:rsidSect="00DE73B2">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F494" w14:textId="77777777" w:rsidR="000D1ECB" w:rsidRDefault="000D1ECB" w:rsidP="00C37E61">
      <w:r>
        <w:separator/>
      </w:r>
    </w:p>
  </w:endnote>
  <w:endnote w:type="continuationSeparator" w:id="0">
    <w:p w14:paraId="24EE2D0D" w14:textId="77777777" w:rsidR="000D1ECB" w:rsidRDefault="000D1E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9A2F" w14:textId="77777777" w:rsidR="00382E02" w:rsidRPr="00C37E61" w:rsidRDefault="00382E0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907B6" w14:textId="77777777" w:rsidR="000D1ECB" w:rsidRDefault="000D1ECB" w:rsidP="00C37E61">
      <w:r>
        <w:separator/>
      </w:r>
    </w:p>
  </w:footnote>
  <w:footnote w:type="continuationSeparator" w:id="0">
    <w:p w14:paraId="430A35D0" w14:textId="77777777" w:rsidR="000D1ECB" w:rsidRDefault="000D1E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D748" w14:textId="4512009E" w:rsidR="00382E02" w:rsidRDefault="000D1ECB">
    <w:pPr>
      <w:pStyle w:val="Header"/>
    </w:pPr>
    <w:r>
      <w:rPr>
        <w:noProof/>
      </w:rPr>
      <w:pict w14:anchorId="25BFA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83A6" w14:textId="432F4B94" w:rsidR="00382E02" w:rsidRDefault="000D1ECB">
    <w:pPr>
      <w:pStyle w:val="Header"/>
    </w:pPr>
    <w:r>
      <w:rPr>
        <w:noProof/>
      </w:rPr>
      <w:pict w14:anchorId="1019A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32F8" w14:textId="3FBE055D" w:rsidR="00382E02" w:rsidRPr="00296529" w:rsidRDefault="000D1ECB" w:rsidP="00296529">
    <w:pPr>
      <w:ind w:left="2160"/>
      <w:jc w:val="center"/>
      <w:rPr>
        <w:rFonts w:ascii="Times New Roman" w:eastAsia="Calibri" w:hAnsi="Times New Roman"/>
        <w:i/>
        <w:sz w:val="18"/>
        <w:szCs w:val="22"/>
      </w:rPr>
    </w:pPr>
    <w:r>
      <w:rPr>
        <w:noProof/>
      </w:rPr>
      <w:pict w14:anchorId="41A3B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8B447D" w14:textId="77777777" w:rsidR="00382E02" w:rsidRPr="00296529" w:rsidRDefault="00382E0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ECF3492" w14:textId="77777777" w:rsidR="00382E02" w:rsidRPr="00296529" w:rsidRDefault="00382E0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20919D" w14:textId="77777777" w:rsidR="00382E02" w:rsidRPr="00296529" w:rsidRDefault="00382E0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7F264E" w14:textId="77777777" w:rsidR="00382E02" w:rsidRDefault="00382E0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ED31E4" w14:textId="77777777" w:rsidR="00382E02" w:rsidRDefault="00382E0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9FAA1A" w14:textId="77777777" w:rsidR="00382E02" w:rsidRDefault="00382E0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F912" w14:textId="6D11A6DD" w:rsidR="00382E02" w:rsidRDefault="000D1ECB">
    <w:pPr>
      <w:pStyle w:val="Header"/>
    </w:pPr>
    <w:r>
      <w:rPr>
        <w:noProof/>
      </w:rPr>
      <w:pict w14:anchorId="6240D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0E9B" w14:textId="30994686" w:rsidR="00382E02" w:rsidRDefault="000D1ECB">
    <w:pPr>
      <w:pStyle w:val="Header"/>
    </w:pPr>
    <w:r>
      <w:rPr>
        <w:noProof/>
      </w:rPr>
      <w:pict w14:anchorId="1D8FC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1151" w14:textId="3B68ACD3" w:rsidR="00382E02" w:rsidRDefault="000D1ECB">
    <w:pPr>
      <w:pStyle w:val="Header"/>
    </w:pPr>
    <w:r>
      <w:rPr>
        <w:noProof/>
      </w:rPr>
      <w:pict w14:anchorId="22C35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9B7324"/>
    <w:multiLevelType w:val="hybridMultilevel"/>
    <w:tmpl w:val="C83A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18FB"/>
    <w:rsid w:val="00030174"/>
    <w:rsid w:val="00034FF4"/>
    <w:rsid w:val="00042EA6"/>
    <w:rsid w:val="0004579C"/>
    <w:rsid w:val="000558CE"/>
    <w:rsid w:val="000850D1"/>
    <w:rsid w:val="000A47FA"/>
    <w:rsid w:val="000A65D3"/>
    <w:rsid w:val="000B1E33"/>
    <w:rsid w:val="000C5106"/>
    <w:rsid w:val="000C5540"/>
    <w:rsid w:val="000D1ECB"/>
    <w:rsid w:val="000D5CF9"/>
    <w:rsid w:val="000D689F"/>
    <w:rsid w:val="000D7D08"/>
    <w:rsid w:val="000E20A3"/>
    <w:rsid w:val="000E7B7B"/>
    <w:rsid w:val="000E7D62"/>
    <w:rsid w:val="00103357"/>
    <w:rsid w:val="00123C9F"/>
    <w:rsid w:val="00126190"/>
    <w:rsid w:val="00130F17"/>
    <w:rsid w:val="001320BF"/>
    <w:rsid w:val="00141918"/>
    <w:rsid w:val="00142213"/>
    <w:rsid w:val="0014793C"/>
    <w:rsid w:val="0015223B"/>
    <w:rsid w:val="00163BC4"/>
    <w:rsid w:val="001674F3"/>
    <w:rsid w:val="00185019"/>
    <w:rsid w:val="00190064"/>
    <w:rsid w:val="00191062"/>
    <w:rsid w:val="00192B72"/>
    <w:rsid w:val="001A0C74"/>
    <w:rsid w:val="001A29D8"/>
    <w:rsid w:val="001A5CAA"/>
    <w:rsid w:val="001B0427"/>
    <w:rsid w:val="001C6F0E"/>
    <w:rsid w:val="001D3A51"/>
    <w:rsid w:val="001E10D2"/>
    <w:rsid w:val="001E25B4"/>
    <w:rsid w:val="001E44FE"/>
    <w:rsid w:val="00200595"/>
    <w:rsid w:val="00204835"/>
    <w:rsid w:val="00210A6D"/>
    <w:rsid w:val="0022532A"/>
    <w:rsid w:val="00231920"/>
    <w:rsid w:val="0023195C"/>
    <w:rsid w:val="0024282C"/>
    <w:rsid w:val="00243682"/>
    <w:rsid w:val="002460DC"/>
    <w:rsid w:val="00250985"/>
    <w:rsid w:val="00254414"/>
    <w:rsid w:val="002556F6"/>
    <w:rsid w:val="00261E3A"/>
    <w:rsid w:val="00264CBD"/>
    <w:rsid w:val="00270FC7"/>
    <w:rsid w:val="00283105"/>
    <w:rsid w:val="00284C4C"/>
    <w:rsid w:val="00285005"/>
    <w:rsid w:val="00287E68"/>
    <w:rsid w:val="002917B5"/>
    <w:rsid w:val="00296529"/>
    <w:rsid w:val="002B0948"/>
    <w:rsid w:val="002B27FB"/>
    <w:rsid w:val="002B685A"/>
    <w:rsid w:val="002C0B1F"/>
    <w:rsid w:val="002C57D2"/>
    <w:rsid w:val="002C622F"/>
    <w:rsid w:val="002E0D56"/>
    <w:rsid w:val="002F2DA9"/>
    <w:rsid w:val="0030090D"/>
    <w:rsid w:val="00305B7A"/>
    <w:rsid w:val="003078F6"/>
    <w:rsid w:val="003142C9"/>
    <w:rsid w:val="00315186"/>
    <w:rsid w:val="00323C70"/>
    <w:rsid w:val="0033343E"/>
    <w:rsid w:val="003512C2"/>
    <w:rsid w:val="00356BBF"/>
    <w:rsid w:val="00371FB6"/>
    <w:rsid w:val="003763C1"/>
    <w:rsid w:val="00376BBE"/>
    <w:rsid w:val="00382E02"/>
    <w:rsid w:val="003835FD"/>
    <w:rsid w:val="0039224F"/>
    <w:rsid w:val="00392736"/>
    <w:rsid w:val="00393D10"/>
    <w:rsid w:val="003A168E"/>
    <w:rsid w:val="003A3E86"/>
    <w:rsid w:val="003A43A4"/>
    <w:rsid w:val="003A7E18"/>
    <w:rsid w:val="003C4C86"/>
    <w:rsid w:val="003C502F"/>
    <w:rsid w:val="003C6258"/>
    <w:rsid w:val="003D5520"/>
    <w:rsid w:val="003E2213"/>
    <w:rsid w:val="003E2904"/>
    <w:rsid w:val="003F62F0"/>
    <w:rsid w:val="00401927"/>
    <w:rsid w:val="00404DD4"/>
    <w:rsid w:val="0041027F"/>
    <w:rsid w:val="00412475"/>
    <w:rsid w:val="00420756"/>
    <w:rsid w:val="00421A52"/>
    <w:rsid w:val="00423244"/>
    <w:rsid w:val="00423789"/>
    <w:rsid w:val="00424DFA"/>
    <w:rsid w:val="0044070B"/>
    <w:rsid w:val="00440F43"/>
    <w:rsid w:val="00441B6F"/>
    <w:rsid w:val="00445A05"/>
    <w:rsid w:val="00446221"/>
    <w:rsid w:val="00450B2B"/>
    <w:rsid w:val="00450E62"/>
    <w:rsid w:val="004539DB"/>
    <w:rsid w:val="00454566"/>
    <w:rsid w:val="004643B6"/>
    <w:rsid w:val="00471A80"/>
    <w:rsid w:val="00480D19"/>
    <w:rsid w:val="004A0933"/>
    <w:rsid w:val="004A292E"/>
    <w:rsid w:val="004B2090"/>
    <w:rsid w:val="004B2EF7"/>
    <w:rsid w:val="004B3829"/>
    <w:rsid w:val="004B4054"/>
    <w:rsid w:val="004D17F0"/>
    <w:rsid w:val="004D305E"/>
    <w:rsid w:val="004D4277"/>
    <w:rsid w:val="004E1F58"/>
    <w:rsid w:val="004F35E8"/>
    <w:rsid w:val="004F712B"/>
    <w:rsid w:val="005001CE"/>
    <w:rsid w:val="00502516"/>
    <w:rsid w:val="0050498A"/>
    <w:rsid w:val="00505F06"/>
    <w:rsid w:val="00506828"/>
    <w:rsid w:val="005119D8"/>
    <w:rsid w:val="00524F6B"/>
    <w:rsid w:val="00527C04"/>
    <w:rsid w:val="0053056E"/>
    <w:rsid w:val="00531CCB"/>
    <w:rsid w:val="00532CEE"/>
    <w:rsid w:val="00554B93"/>
    <w:rsid w:val="00554FDA"/>
    <w:rsid w:val="00566D34"/>
    <w:rsid w:val="005A4522"/>
    <w:rsid w:val="005B225B"/>
    <w:rsid w:val="005B22E5"/>
    <w:rsid w:val="005B2E44"/>
    <w:rsid w:val="005C69CD"/>
    <w:rsid w:val="005C784C"/>
    <w:rsid w:val="005D17F6"/>
    <w:rsid w:val="005D56B6"/>
    <w:rsid w:val="005D5B57"/>
    <w:rsid w:val="005E058D"/>
    <w:rsid w:val="005E5539"/>
    <w:rsid w:val="005F299B"/>
    <w:rsid w:val="005F5842"/>
    <w:rsid w:val="006000E3"/>
    <w:rsid w:val="00602BF5"/>
    <w:rsid w:val="006100B4"/>
    <w:rsid w:val="00617ACD"/>
    <w:rsid w:val="00617FDD"/>
    <w:rsid w:val="00623817"/>
    <w:rsid w:val="00633614"/>
    <w:rsid w:val="00633F68"/>
    <w:rsid w:val="00635CEF"/>
    <w:rsid w:val="00636EB2"/>
    <w:rsid w:val="006375B8"/>
    <w:rsid w:val="0064055A"/>
    <w:rsid w:val="0065789D"/>
    <w:rsid w:val="0066510A"/>
    <w:rsid w:val="00671F1F"/>
    <w:rsid w:val="006725CF"/>
    <w:rsid w:val="00673F9F"/>
    <w:rsid w:val="00686953"/>
    <w:rsid w:val="0068744D"/>
    <w:rsid w:val="00687DEA"/>
    <w:rsid w:val="00687E67"/>
    <w:rsid w:val="006905EE"/>
    <w:rsid w:val="006967F7"/>
    <w:rsid w:val="006A250C"/>
    <w:rsid w:val="006B21D3"/>
    <w:rsid w:val="006B57D0"/>
    <w:rsid w:val="006C5737"/>
    <w:rsid w:val="006D30FF"/>
    <w:rsid w:val="006D6940"/>
    <w:rsid w:val="006E50E6"/>
    <w:rsid w:val="006F11EC"/>
    <w:rsid w:val="006F1B22"/>
    <w:rsid w:val="006F271A"/>
    <w:rsid w:val="006F54D1"/>
    <w:rsid w:val="00700380"/>
    <w:rsid w:val="0070082C"/>
    <w:rsid w:val="007014C9"/>
    <w:rsid w:val="00730BE0"/>
    <w:rsid w:val="00736397"/>
    <w:rsid w:val="007369E6"/>
    <w:rsid w:val="00745DDB"/>
    <w:rsid w:val="00746E59"/>
    <w:rsid w:val="00754C9A"/>
    <w:rsid w:val="0075599A"/>
    <w:rsid w:val="00761D52"/>
    <w:rsid w:val="00770DCB"/>
    <w:rsid w:val="0077749E"/>
    <w:rsid w:val="00790ADA"/>
    <w:rsid w:val="007935AB"/>
    <w:rsid w:val="00794938"/>
    <w:rsid w:val="007D2288"/>
    <w:rsid w:val="007D25FB"/>
    <w:rsid w:val="007D2F6A"/>
    <w:rsid w:val="007D3483"/>
    <w:rsid w:val="007D424B"/>
    <w:rsid w:val="007E088F"/>
    <w:rsid w:val="007E3238"/>
    <w:rsid w:val="007F4D20"/>
    <w:rsid w:val="007F7B32"/>
    <w:rsid w:val="00804BC2"/>
    <w:rsid w:val="0081431A"/>
    <w:rsid w:val="008158EE"/>
    <w:rsid w:val="0083216F"/>
    <w:rsid w:val="008417A3"/>
    <w:rsid w:val="00860000"/>
    <w:rsid w:val="0086234A"/>
    <w:rsid w:val="00863BD3"/>
    <w:rsid w:val="008641ED"/>
    <w:rsid w:val="00866792"/>
    <w:rsid w:val="00866D66"/>
    <w:rsid w:val="008671C6"/>
    <w:rsid w:val="00867F17"/>
    <w:rsid w:val="00870F0C"/>
    <w:rsid w:val="00874BCB"/>
    <w:rsid w:val="00875803"/>
    <w:rsid w:val="00875B36"/>
    <w:rsid w:val="008928E2"/>
    <w:rsid w:val="008A4B64"/>
    <w:rsid w:val="008A613F"/>
    <w:rsid w:val="008B440B"/>
    <w:rsid w:val="008B459E"/>
    <w:rsid w:val="008D4AF3"/>
    <w:rsid w:val="008D6A98"/>
    <w:rsid w:val="008E13AE"/>
    <w:rsid w:val="008E1506"/>
    <w:rsid w:val="008E3736"/>
    <w:rsid w:val="008E482B"/>
    <w:rsid w:val="008E710C"/>
    <w:rsid w:val="008F0ABF"/>
    <w:rsid w:val="008F69D6"/>
    <w:rsid w:val="00902823"/>
    <w:rsid w:val="00906A8C"/>
    <w:rsid w:val="0091216F"/>
    <w:rsid w:val="00915CA6"/>
    <w:rsid w:val="0091625F"/>
    <w:rsid w:val="00927834"/>
    <w:rsid w:val="00933C0D"/>
    <w:rsid w:val="00937DA2"/>
    <w:rsid w:val="009500A6"/>
    <w:rsid w:val="00957C18"/>
    <w:rsid w:val="009659BA"/>
    <w:rsid w:val="00983040"/>
    <w:rsid w:val="00996AAF"/>
    <w:rsid w:val="009B3FB9"/>
    <w:rsid w:val="009B5F67"/>
    <w:rsid w:val="009B6A84"/>
    <w:rsid w:val="009B7D9E"/>
    <w:rsid w:val="009C2465"/>
    <w:rsid w:val="009D35A0"/>
    <w:rsid w:val="009D3E1E"/>
    <w:rsid w:val="009D7EB7"/>
    <w:rsid w:val="009E048A"/>
    <w:rsid w:val="009E08E9"/>
    <w:rsid w:val="009E37BE"/>
    <w:rsid w:val="009E3DB9"/>
    <w:rsid w:val="009E6E35"/>
    <w:rsid w:val="009F0EDA"/>
    <w:rsid w:val="009F4ECE"/>
    <w:rsid w:val="009F516F"/>
    <w:rsid w:val="00A0279E"/>
    <w:rsid w:val="00A03605"/>
    <w:rsid w:val="00A03B96"/>
    <w:rsid w:val="00A05B19"/>
    <w:rsid w:val="00A1134E"/>
    <w:rsid w:val="00A24E7E"/>
    <w:rsid w:val="00A258C3"/>
    <w:rsid w:val="00A2707B"/>
    <w:rsid w:val="00A31F23"/>
    <w:rsid w:val="00A32BEB"/>
    <w:rsid w:val="00A347C0"/>
    <w:rsid w:val="00A41C26"/>
    <w:rsid w:val="00A50EF7"/>
    <w:rsid w:val="00A51431"/>
    <w:rsid w:val="00A539AD"/>
    <w:rsid w:val="00A53E4A"/>
    <w:rsid w:val="00A53F4C"/>
    <w:rsid w:val="00A54275"/>
    <w:rsid w:val="00A54B49"/>
    <w:rsid w:val="00A57D60"/>
    <w:rsid w:val="00A64A07"/>
    <w:rsid w:val="00A77C8A"/>
    <w:rsid w:val="00A82D83"/>
    <w:rsid w:val="00A94063"/>
    <w:rsid w:val="00AA21F1"/>
    <w:rsid w:val="00AA2B2B"/>
    <w:rsid w:val="00AA2B40"/>
    <w:rsid w:val="00AA6219"/>
    <w:rsid w:val="00AA74E0"/>
    <w:rsid w:val="00AB0FD6"/>
    <w:rsid w:val="00AB703F"/>
    <w:rsid w:val="00AC27B1"/>
    <w:rsid w:val="00AC6BB8"/>
    <w:rsid w:val="00AD0546"/>
    <w:rsid w:val="00AD1A0D"/>
    <w:rsid w:val="00AD2587"/>
    <w:rsid w:val="00AE008F"/>
    <w:rsid w:val="00AE1065"/>
    <w:rsid w:val="00AE5223"/>
    <w:rsid w:val="00AF4FC4"/>
    <w:rsid w:val="00B00802"/>
    <w:rsid w:val="00B01FCD"/>
    <w:rsid w:val="00B06A12"/>
    <w:rsid w:val="00B13055"/>
    <w:rsid w:val="00B15A1D"/>
    <w:rsid w:val="00B1776C"/>
    <w:rsid w:val="00B21578"/>
    <w:rsid w:val="00B31F73"/>
    <w:rsid w:val="00B360F8"/>
    <w:rsid w:val="00B36EDA"/>
    <w:rsid w:val="00B450DB"/>
    <w:rsid w:val="00B471D6"/>
    <w:rsid w:val="00B52583"/>
    <w:rsid w:val="00B52896"/>
    <w:rsid w:val="00B55791"/>
    <w:rsid w:val="00B61202"/>
    <w:rsid w:val="00B620CD"/>
    <w:rsid w:val="00B77504"/>
    <w:rsid w:val="00B83D07"/>
    <w:rsid w:val="00B860C7"/>
    <w:rsid w:val="00B93A42"/>
    <w:rsid w:val="00B95236"/>
    <w:rsid w:val="00B96BD9"/>
    <w:rsid w:val="00BA1B01"/>
    <w:rsid w:val="00BA2641"/>
    <w:rsid w:val="00BA3134"/>
    <w:rsid w:val="00BA7073"/>
    <w:rsid w:val="00BB0C74"/>
    <w:rsid w:val="00BB37AA"/>
    <w:rsid w:val="00BC50E3"/>
    <w:rsid w:val="00BC53A0"/>
    <w:rsid w:val="00BE62AD"/>
    <w:rsid w:val="00BF069A"/>
    <w:rsid w:val="00BF121F"/>
    <w:rsid w:val="00BF1F80"/>
    <w:rsid w:val="00BF5127"/>
    <w:rsid w:val="00C11F94"/>
    <w:rsid w:val="00C166EF"/>
    <w:rsid w:val="00C17EB0"/>
    <w:rsid w:val="00C27F5F"/>
    <w:rsid w:val="00C30A0F"/>
    <w:rsid w:val="00C344BE"/>
    <w:rsid w:val="00C37E61"/>
    <w:rsid w:val="00C60969"/>
    <w:rsid w:val="00C62451"/>
    <w:rsid w:val="00C67D8E"/>
    <w:rsid w:val="00C70DC0"/>
    <w:rsid w:val="00C70F1B"/>
    <w:rsid w:val="00C71A47"/>
    <w:rsid w:val="00C7464C"/>
    <w:rsid w:val="00C80C69"/>
    <w:rsid w:val="00C80E7A"/>
    <w:rsid w:val="00C82D6B"/>
    <w:rsid w:val="00C85588"/>
    <w:rsid w:val="00C9263D"/>
    <w:rsid w:val="00C95DF6"/>
    <w:rsid w:val="00CC040D"/>
    <w:rsid w:val="00CD3F97"/>
    <w:rsid w:val="00CD6755"/>
    <w:rsid w:val="00CD6856"/>
    <w:rsid w:val="00CE0089"/>
    <w:rsid w:val="00CE2B80"/>
    <w:rsid w:val="00CE793C"/>
    <w:rsid w:val="00CF193C"/>
    <w:rsid w:val="00D07C09"/>
    <w:rsid w:val="00D1674F"/>
    <w:rsid w:val="00D173F1"/>
    <w:rsid w:val="00D42A6F"/>
    <w:rsid w:val="00D662D7"/>
    <w:rsid w:val="00D71169"/>
    <w:rsid w:val="00D73E3F"/>
    <w:rsid w:val="00D74CB0"/>
    <w:rsid w:val="00D7684A"/>
    <w:rsid w:val="00D8295D"/>
    <w:rsid w:val="00D83B5D"/>
    <w:rsid w:val="00D85137"/>
    <w:rsid w:val="00DA01A0"/>
    <w:rsid w:val="00DB01F7"/>
    <w:rsid w:val="00DC2A65"/>
    <w:rsid w:val="00DD2928"/>
    <w:rsid w:val="00DE155E"/>
    <w:rsid w:val="00DE15F0"/>
    <w:rsid w:val="00DE5663"/>
    <w:rsid w:val="00DE73B2"/>
    <w:rsid w:val="00DE78AA"/>
    <w:rsid w:val="00E037AD"/>
    <w:rsid w:val="00E053D0"/>
    <w:rsid w:val="00E15994"/>
    <w:rsid w:val="00E15E51"/>
    <w:rsid w:val="00E3114E"/>
    <w:rsid w:val="00E31564"/>
    <w:rsid w:val="00E31A70"/>
    <w:rsid w:val="00E35B02"/>
    <w:rsid w:val="00E362B7"/>
    <w:rsid w:val="00E40564"/>
    <w:rsid w:val="00E450C3"/>
    <w:rsid w:val="00E50BE8"/>
    <w:rsid w:val="00E6230B"/>
    <w:rsid w:val="00E63BBA"/>
    <w:rsid w:val="00E65C12"/>
    <w:rsid w:val="00E66496"/>
    <w:rsid w:val="00E66B35"/>
    <w:rsid w:val="00E66E10"/>
    <w:rsid w:val="00E75013"/>
    <w:rsid w:val="00E769F6"/>
    <w:rsid w:val="00E8407C"/>
    <w:rsid w:val="00E84F3C"/>
    <w:rsid w:val="00E87F94"/>
    <w:rsid w:val="00E91AC8"/>
    <w:rsid w:val="00E97785"/>
    <w:rsid w:val="00EA012C"/>
    <w:rsid w:val="00EA06D0"/>
    <w:rsid w:val="00EB2DCA"/>
    <w:rsid w:val="00EB70D5"/>
    <w:rsid w:val="00EC6A55"/>
    <w:rsid w:val="00ED0288"/>
    <w:rsid w:val="00ED057E"/>
    <w:rsid w:val="00ED7E32"/>
    <w:rsid w:val="00EE2BFF"/>
    <w:rsid w:val="00EE52CB"/>
    <w:rsid w:val="00EE65A3"/>
    <w:rsid w:val="00EF581D"/>
    <w:rsid w:val="00EF5F3C"/>
    <w:rsid w:val="00EF7FD8"/>
    <w:rsid w:val="00F05CEC"/>
    <w:rsid w:val="00F06F59"/>
    <w:rsid w:val="00F11A5A"/>
    <w:rsid w:val="00F17988"/>
    <w:rsid w:val="00F235B1"/>
    <w:rsid w:val="00F2500D"/>
    <w:rsid w:val="00F32BD3"/>
    <w:rsid w:val="00F424A8"/>
    <w:rsid w:val="00F469A1"/>
    <w:rsid w:val="00F469F0"/>
    <w:rsid w:val="00F47DAD"/>
    <w:rsid w:val="00F53273"/>
    <w:rsid w:val="00F60661"/>
    <w:rsid w:val="00F739CF"/>
    <w:rsid w:val="00F755E4"/>
    <w:rsid w:val="00F77D02"/>
    <w:rsid w:val="00F811A5"/>
    <w:rsid w:val="00F82102"/>
    <w:rsid w:val="00F84325"/>
    <w:rsid w:val="00F872AE"/>
    <w:rsid w:val="00F93107"/>
    <w:rsid w:val="00F9718C"/>
    <w:rsid w:val="00FA5E6E"/>
    <w:rsid w:val="00FB3A86"/>
    <w:rsid w:val="00FD09D6"/>
    <w:rsid w:val="00FD36C8"/>
    <w:rsid w:val="00FE1EEA"/>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F5A32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86234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1CCB"/>
    <w:rPr>
      <w:color w:val="605E5C"/>
      <w:shd w:val="clear" w:color="auto" w:fill="E1DFDD"/>
    </w:rPr>
  </w:style>
  <w:style w:type="paragraph" w:styleId="ListParagraph">
    <w:name w:val="List Paragraph"/>
    <w:basedOn w:val="Normal"/>
    <w:uiPriority w:val="34"/>
    <w:qFormat/>
    <w:rsid w:val="006C5737"/>
    <w:pPr>
      <w:ind w:left="720"/>
      <w:contextualSpacing/>
    </w:pPr>
  </w:style>
  <w:style w:type="paragraph" w:customStyle="1" w:styleId="NoSpacing1">
    <w:name w:val="No Spacing1"/>
    <w:next w:val="NoSpacing"/>
    <w:uiPriority w:val="1"/>
    <w:qFormat/>
    <w:rsid w:val="005119D8"/>
    <w:rPr>
      <w:rFonts w:ascii="Calibri" w:eastAsia="Calibri" w:hAnsi="Calibri"/>
      <w:sz w:val="22"/>
      <w:szCs w:val="22"/>
    </w:rPr>
  </w:style>
  <w:style w:type="paragraph" w:styleId="NoSpacing">
    <w:name w:val="No Spacing"/>
    <w:uiPriority w:val="1"/>
    <w:qFormat/>
    <w:rsid w:val="005119D8"/>
    <w:rPr>
      <w:rFonts w:ascii="Helvetica" w:hAnsi="Helvetica"/>
    </w:rPr>
  </w:style>
  <w:style w:type="paragraph" w:styleId="NormalWeb">
    <w:name w:val="Normal (Web)"/>
    <w:uiPriority w:val="99"/>
    <w:unhideWhenUsed/>
    <w:qFormat/>
    <w:rsid w:val="006F271A"/>
    <w:pPr>
      <w:spacing w:beforeAutospacing="1" w:afterAutospacing="1"/>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es.ejournal.unri.ac.id/index.php/JES" TargetMode="External"/><Relationship Id="rId18" Type="http://schemas.openxmlformats.org/officeDocument/2006/relationships/hyperlink" Target="https://doi.org/10.1016/j.compedu.2020.103897"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oecd.org/en/publications/pisa-2022-results-volume-i-and-ii-country-notes_ed6fbcc5-en/philippines_a0882a2d-en.html" TargetMode="External"/><Relationship Id="rId7" Type="http://schemas.openxmlformats.org/officeDocument/2006/relationships/endnotes" Target="endnotes.xml"/><Relationship Id="rId12" Type="http://schemas.openxmlformats.org/officeDocument/2006/relationships/hyperlink" Target="https://doi.org/10.58421/misro.v3i3.269" TargetMode="External"/><Relationship Id="rId17" Type="http://schemas.openxmlformats.org/officeDocument/2006/relationships/hyperlink" Target="https://doi.org/10.1016/j.tate.2021.103563" TargetMode="External"/><Relationship Id="rId25" Type="http://schemas.openxmlformats.org/officeDocument/2006/relationships/hyperlink" Target="https://doi.org/10.1186/s40536-023-00174-8" TargetMode="External"/><Relationship Id="rId2" Type="http://schemas.openxmlformats.org/officeDocument/2006/relationships/numbering" Target="numbering.xml"/><Relationship Id="rId16" Type="http://schemas.openxmlformats.org/officeDocument/2006/relationships/hyperlink" Target="https://doi.org/10.29333/mathsciteacher/11928" TargetMode="External"/><Relationship Id="rId20" Type="http://schemas.openxmlformats.org/officeDocument/2006/relationships/hyperlink" Target="https://timssandpirls.bc.edu/timss2019/international-result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328/ijte.169" TargetMode="External"/><Relationship Id="rId24" Type="http://schemas.openxmlformats.org/officeDocument/2006/relationships/hyperlink" Target="https://www.paressu.org/online/index.php/aseanmrj/article/view/259" TargetMode="External"/><Relationship Id="rId5" Type="http://schemas.openxmlformats.org/officeDocument/2006/relationships/webSettings" Target="webSettings.xml"/><Relationship Id="rId15" Type="http://schemas.openxmlformats.org/officeDocument/2006/relationships/hyperlink" Target="https://psycnet.apa.org/doi/10.1177/1046878119901286" TargetMode="External"/><Relationship Id="rId23" Type="http://schemas.openxmlformats.org/officeDocument/2006/relationships/hyperlink" Target="https://jitp.commons.gc.cuny.edu/issues/" TargetMode="External"/><Relationship Id="rId28" Type="http://schemas.openxmlformats.org/officeDocument/2006/relationships/footer" Target="footer1.xml"/><Relationship Id="rId10" Type="http://schemas.openxmlformats.org/officeDocument/2006/relationships/header" Target="header3.xml"/><Relationship Id="rId19" Type="http://schemas.openxmlformats.org/officeDocument/2006/relationships/hyperlink" Target="https://doi.org/10.29333/ejmste/124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x.doi.org/10.47772/IJRISS.2024.807092" TargetMode="External"/><Relationship Id="rId22" Type="http://schemas.openxmlformats.org/officeDocument/2006/relationships/hyperlink" Target="http://dx.doi.org/10.11594/ijmaber.04.04.14"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4694-FFF7-4724-8165-C39B0755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805</TotalTime>
  <Pages>15</Pages>
  <Words>9576</Words>
  <Characters>54587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64035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230</cp:revision>
  <cp:lastPrinted>1999-07-06T11:00:00Z</cp:lastPrinted>
  <dcterms:created xsi:type="dcterms:W3CDTF">2025-05-27T02:43:00Z</dcterms:created>
  <dcterms:modified xsi:type="dcterms:W3CDTF">2025-06-09T09:50:00Z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fad2f7ec-fa30-4c83-b6da-e970230743c6</vt:lpwstr>
  </property>
</Properties>
</file>