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176F4" w14:textId="77777777" w:rsidR="00754C9A" w:rsidRDefault="00754C9A" w:rsidP="00441B6F">
      <w:pPr>
        <w:pStyle w:val="Title"/>
        <w:spacing w:after="0"/>
        <w:jc w:val="both"/>
        <w:rPr>
          <w:rFonts w:ascii="Arial" w:hAnsi="Arial" w:cs="Arial"/>
        </w:rPr>
      </w:pPr>
    </w:p>
    <w:p w14:paraId="3D4D4C60" w14:textId="24957B02" w:rsidR="00163BC4" w:rsidRPr="00163BC4" w:rsidRDefault="00EA361B" w:rsidP="00441B6F">
      <w:pPr>
        <w:pStyle w:val="Author"/>
        <w:spacing w:line="240" w:lineRule="auto"/>
        <w:rPr>
          <w:rFonts w:ascii="Arial" w:hAnsi="Arial" w:cs="Arial"/>
          <w:bCs/>
          <w:iCs/>
          <w:kern w:val="28"/>
          <w:sz w:val="36"/>
        </w:rPr>
      </w:pPr>
      <w:r>
        <w:rPr>
          <w:rFonts w:ascii="Arial" w:hAnsi="Arial" w:cs="Arial"/>
          <w:bCs/>
          <w:iCs/>
          <w:kern w:val="28"/>
          <w:sz w:val="36"/>
        </w:rPr>
        <w:t>Investigating Professional Development and Teaching Efficacy among the Master of Science Graduates in Mathematics’ Curriculum</w:t>
      </w:r>
    </w:p>
    <w:p w14:paraId="5977E1A1" w14:textId="77777777" w:rsidR="00A258C3" w:rsidRPr="00790ADA" w:rsidRDefault="00A258C3" w:rsidP="00441B6F">
      <w:pPr>
        <w:pStyle w:val="Author"/>
        <w:spacing w:line="240" w:lineRule="auto"/>
        <w:jc w:val="both"/>
        <w:rPr>
          <w:rFonts w:ascii="Arial" w:hAnsi="Arial" w:cs="Arial"/>
          <w:sz w:val="36"/>
        </w:rPr>
      </w:pPr>
    </w:p>
    <w:p w14:paraId="6A59F43C" w14:textId="77777777" w:rsidR="00790ADA" w:rsidRDefault="00790ADA" w:rsidP="00441B6F">
      <w:pPr>
        <w:pStyle w:val="Affiliation"/>
        <w:spacing w:after="0" w:line="240" w:lineRule="auto"/>
        <w:jc w:val="both"/>
        <w:rPr>
          <w:rFonts w:ascii="Arial" w:hAnsi="Arial" w:cs="Arial"/>
        </w:rPr>
      </w:pPr>
    </w:p>
    <w:p w14:paraId="17FBA30D" w14:textId="77777777" w:rsidR="002C57D2" w:rsidRPr="00FB3A86" w:rsidRDefault="002C57D2" w:rsidP="00441B6F">
      <w:pPr>
        <w:pStyle w:val="Affiliation"/>
        <w:spacing w:after="0" w:line="240" w:lineRule="auto"/>
        <w:jc w:val="both"/>
        <w:rPr>
          <w:rFonts w:ascii="Arial" w:hAnsi="Arial" w:cs="Arial"/>
        </w:rPr>
      </w:pPr>
    </w:p>
    <w:p w14:paraId="2BAAE9DD" w14:textId="215D2F7E" w:rsidR="00B01FCD" w:rsidRPr="00FB3A86" w:rsidRDefault="00AF08A9"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7C8EB6F9" wp14:editId="7EB5D945">
                <wp:extent cx="5303520" cy="635"/>
                <wp:effectExtent l="15240" t="10795" r="15240"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1B164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6DA8958" w14:textId="5EB93FD7" w:rsidR="00B01FCD" w:rsidRDefault="00B01FCD" w:rsidP="00441B6F">
      <w:pPr>
        <w:pStyle w:val="AbstHead"/>
        <w:spacing w:after="0"/>
        <w:jc w:val="both"/>
        <w:rPr>
          <w:rFonts w:ascii="Arial" w:hAnsi="Arial" w:cs="Arial"/>
        </w:rPr>
      </w:pPr>
      <w:r w:rsidRPr="00FB3A86">
        <w:rPr>
          <w:rFonts w:ascii="Arial" w:hAnsi="Arial" w:cs="Arial"/>
        </w:rPr>
        <w:t>ABSTRACT</w:t>
      </w:r>
    </w:p>
    <w:p w14:paraId="18D3C8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B3277BE" w14:textId="77777777" w:rsidTr="001E44FE">
        <w:tc>
          <w:tcPr>
            <w:tcW w:w="9576" w:type="dxa"/>
            <w:shd w:val="clear" w:color="auto" w:fill="F2F2F2"/>
          </w:tcPr>
          <w:p w14:paraId="0C6C20C9" w14:textId="1BE51460" w:rsidR="00505F06" w:rsidRPr="0069571C" w:rsidRDefault="009C721F" w:rsidP="00770A2E">
            <w:pPr>
              <w:spacing w:before="100" w:beforeAutospacing="1" w:after="100" w:afterAutospacing="1"/>
              <w:jc w:val="both"/>
              <w:rPr>
                <w:rFonts w:ascii="Arial" w:hAnsi="Arial" w:cs="Arial"/>
                <w:szCs w:val="24"/>
                <w:lang w:eastAsia="en-PH"/>
              </w:rPr>
            </w:pPr>
            <w:r w:rsidRPr="0069571C">
              <w:rPr>
                <w:rFonts w:ascii="Arial" w:hAnsi="Arial" w:cs="Arial"/>
                <w:szCs w:val="24"/>
                <w:lang w:eastAsia="en-PH"/>
              </w:rPr>
              <w:t>This study aimed to determine the level of professional development (PD) and teaching efficacy (TE) and examine their relationship among Master of Science in Teaching (MST), major in Mathematics graduates of Davao Oriental State University. Addressing the need for evidence-based evaluation of teacher preparation programs, the research was grounded in Social Cognitive Theory, which emphasizes the interplay between personal, behavioral, and environmental influences and explored how ongoing training and development activities influence teaching confidence and classroom effectiveness. Utilizing a quantitative approach through a descriptive-correlational design,</w:t>
            </w:r>
            <w:r w:rsidR="00424489" w:rsidRPr="0069571C">
              <w:rPr>
                <w:rFonts w:ascii="Arial" w:hAnsi="Arial" w:cs="Arial"/>
                <w:szCs w:val="24"/>
                <w:lang w:eastAsia="en-PH"/>
              </w:rPr>
              <w:t xml:space="preserve"> the study collected data through a survey questionnaire answered by 25 Master of Science Teaching Mathematics graduates. Results showed a generally high level of </w:t>
            </w:r>
            <w:r w:rsidR="00BE7C78" w:rsidRPr="0069571C">
              <w:rPr>
                <w:rFonts w:ascii="Arial" w:hAnsi="Arial" w:cs="Arial"/>
                <w:szCs w:val="24"/>
                <w:lang w:eastAsia="en-PH"/>
              </w:rPr>
              <w:t>PD</w:t>
            </w:r>
            <w:r w:rsidR="00424489" w:rsidRPr="0069571C">
              <w:rPr>
                <w:rFonts w:ascii="Arial" w:hAnsi="Arial" w:cs="Arial"/>
                <w:szCs w:val="24"/>
                <w:lang w:eastAsia="en-PH"/>
              </w:rPr>
              <w:t xml:space="preserve"> (</w:t>
            </w:r>
            <m:oMath>
              <m:acc>
                <m:accPr>
                  <m:chr m:val="̅"/>
                  <m:ctrlPr>
                    <w:rPr>
                      <w:rFonts w:ascii="Cambria Math" w:hAnsi="Cambria Math" w:cs="Arial"/>
                      <w:i/>
                      <w:iCs/>
                      <w:szCs w:val="24"/>
                      <w:lang w:eastAsia="en-PH"/>
                    </w:rPr>
                  </m:ctrlPr>
                </m:accPr>
                <m:e>
                  <m:r>
                    <w:rPr>
                      <w:rFonts w:ascii="Cambria Math" w:hAnsi="Cambria Math" w:cs="Arial"/>
                      <w:szCs w:val="24"/>
                      <w:lang w:eastAsia="en-PH"/>
                    </w:rPr>
                    <m:t>x</m:t>
                  </m:r>
                </m:e>
              </m:acc>
              <m:r>
                <w:rPr>
                  <w:rFonts w:ascii="Cambria Math" w:hAnsi="Cambria Math" w:cs="Arial"/>
                  <w:szCs w:val="24"/>
                  <w:lang w:eastAsia="en-PH"/>
                </w:rPr>
                <m:t>=4.33</m:t>
              </m:r>
            </m:oMath>
            <w:r w:rsidR="009302C4" w:rsidRPr="0069571C">
              <w:rPr>
                <w:rFonts w:ascii="Arial" w:hAnsi="Arial" w:cs="Arial"/>
                <w:szCs w:val="24"/>
                <w:lang w:eastAsia="en-PH"/>
              </w:rPr>
              <w:t>,</w:t>
            </w:r>
            <m:oMath>
              <m:r>
                <w:rPr>
                  <w:rFonts w:ascii="Cambria Math" w:hAnsi="Cambria Math" w:cs="Arial"/>
                  <w:szCs w:val="24"/>
                  <w:lang w:eastAsia="en-PH"/>
                </w:rPr>
                <m:t>s=0.41</m:t>
              </m:r>
            </m:oMath>
            <w:r w:rsidR="00424489" w:rsidRPr="0069571C">
              <w:rPr>
                <w:rFonts w:ascii="Arial" w:hAnsi="Arial" w:cs="Arial"/>
                <w:szCs w:val="24"/>
                <w:lang w:eastAsia="en-PH"/>
              </w:rPr>
              <w:t xml:space="preserve">) and </w:t>
            </w:r>
            <w:r w:rsidR="00BE7C78" w:rsidRPr="0069571C">
              <w:rPr>
                <w:rFonts w:ascii="Arial" w:hAnsi="Arial" w:cs="Arial"/>
                <w:szCs w:val="24"/>
                <w:lang w:eastAsia="en-PH"/>
              </w:rPr>
              <w:t>TE</w:t>
            </w:r>
            <w:r w:rsidR="00424489" w:rsidRPr="0069571C">
              <w:rPr>
                <w:rFonts w:ascii="Arial" w:hAnsi="Arial" w:cs="Arial"/>
                <w:szCs w:val="24"/>
                <w:lang w:eastAsia="en-PH"/>
              </w:rPr>
              <w:t xml:space="preserve"> (</w:t>
            </w:r>
            <m:oMath>
              <m:acc>
                <m:accPr>
                  <m:chr m:val="̅"/>
                  <m:ctrlPr>
                    <w:rPr>
                      <w:rFonts w:ascii="Cambria Math" w:hAnsi="Cambria Math" w:cs="Arial"/>
                      <w:i/>
                      <w:iCs/>
                      <w:szCs w:val="24"/>
                      <w:lang w:eastAsia="en-PH"/>
                    </w:rPr>
                  </m:ctrlPr>
                </m:accPr>
                <m:e>
                  <m:r>
                    <w:rPr>
                      <w:rFonts w:ascii="Cambria Math" w:hAnsi="Cambria Math" w:cs="Arial"/>
                      <w:szCs w:val="24"/>
                      <w:lang w:eastAsia="en-PH"/>
                    </w:rPr>
                    <m:t>x</m:t>
                  </m:r>
                </m:e>
              </m:acc>
              <m:r>
                <w:rPr>
                  <w:rFonts w:ascii="Cambria Math" w:hAnsi="Cambria Math" w:cs="Arial"/>
                  <w:szCs w:val="24"/>
                  <w:lang w:eastAsia="en-PH"/>
                </w:rPr>
                <m:t xml:space="preserve">=4.46 </m:t>
              </m:r>
            </m:oMath>
            <w:r w:rsidR="009302C4" w:rsidRPr="0069571C">
              <w:rPr>
                <w:rFonts w:ascii="Arial" w:hAnsi="Arial" w:cs="Arial"/>
                <w:szCs w:val="24"/>
                <w:lang w:eastAsia="en-PH"/>
              </w:rPr>
              <w:t>,</w:t>
            </w:r>
            <m:oMath>
              <m:r>
                <w:rPr>
                  <w:rFonts w:ascii="Cambria Math" w:hAnsi="Cambria Math" w:cs="Arial"/>
                  <w:szCs w:val="24"/>
                  <w:lang w:eastAsia="en-PH"/>
                </w:rPr>
                <m:t>s=0.42</m:t>
              </m:r>
            </m:oMath>
            <w:r w:rsidR="00424489" w:rsidRPr="0069571C">
              <w:rPr>
                <w:rFonts w:ascii="Arial" w:hAnsi="Arial" w:cs="Arial"/>
                <w:szCs w:val="24"/>
                <w:lang w:eastAsia="en-PH"/>
              </w:rPr>
              <w:t xml:space="preserve">) among respondents. The findings also revealed a moderate positive correlation </w:t>
            </w:r>
            <w:r w:rsidR="00CE31C6" w:rsidRPr="0069571C">
              <w:rPr>
                <w:rFonts w:ascii="Arial" w:hAnsi="Arial" w:cs="Arial"/>
                <w:szCs w:val="24"/>
                <w:lang w:eastAsia="en-PH"/>
              </w:rPr>
              <w:t>(</w:t>
            </w:r>
            <m:oMath>
              <m:r>
                <w:rPr>
                  <w:rFonts w:ascii="Cambria Math" w:hAnsi="Cambria Math" w:cs="Arial"/>
                  <w:szCs w:val="24"/>
                  <w:lang w:eastAsia="en-PH"/>
                </w:rPr>
                <m:t>r = 0.35</m:t>
              </m:r>
            </m:oMath>
            <w:r w:rsidR="00CE31C6" w:rsidRPr="0069571C">
              <w:rPr>
                <w:rFonts w:ascii="Arial" w:hAnsi="Arial" w:cs="Arial"/>
                <w:szCs w:val="24"/>
                <w:lang w:eastAsia="en-PH"/>
              </w:rPr>
              <w:t xml:space="preserve">, </w:t>
            </w:r>
            <m:oMath>
              <m:r>
                <w:rPr>
                  <w:rFonts w:ascii="Cambria Math" w:hAnsi="Cambria Math" w:cs="Arial"/>
                  <w:szCs w:val="24"/>
                  <w:lang w:eastAsia="en-PH"/>
                </w:rPr>
                <m:t>P= 0.09</m:t>
              </m:r>
            </m:oMath>
            <w:r w:rsidR="00CE31C6" w:rsidRPr="0069571C">
              <w:rPr>
                <w:rFonts w:ascii="Arial" w:hAnsi="Arial" w:cs="Arial"/>
                <w:szCs w:val="24"/>
                <w:lang w:eastAsia="en-PH"/>
              </w:rPr>
              <w:t>)</w:t>
            </w:r>
            <w:r w:rsidR="00424489" w:rsidRPr="0069571C">
              <w:rPr>
                <w:rFonts w:ascii="Arial" w:hAnsi="Arial" w:cs="Arial"/>
                <w:szCs w:val="24"/>
                <w:lang w:eastAsia="en-PH"/>
              </w:rPr>
              <w:t xml:space="preserve"> between </w:t>
            </w:r>
            <w:r w:rsidR="00BE7C78" w:rsidRPr="0069571C">
              <w:rPr>
                <w:rFonts w:ascii="Arial" w:hAnsi="Arial" w:cs="Arial"/>
                <w:szCs w:val="24"/>
                <w:lang w:eastAsia="en-PH"/>
              </w:rPr>
              <w:t>PD</w:t>
            </w:r>
            <w:r w:rsidR="00424489" w:rsidRPr="0069571C">
              <w:rPr>
                <w:rFonts w:ascii="Arial" w:hAnsi="Arial" w:cs="Arial"/>
                <w:szCs w:val="24"/>
                <w:lang w:eastAsia="en-PH"/>
              </w:rPr>
              <w:t xml:space="preserve"> and </w:t>
            </w:r>
            <w:r w:rsidR="00BE7C78" w:rsidRPr="0069571C">
              <w:rPr>
                <w:rFonts w:ascii="Arial" w:hAnsi="Arial" w:cs="Arial"/>
                <w:szCs w:val="24"/>
                <w:lang w:eastAsia="en-PH"/>
              </w:rPr>
              <w:t>TE</w:t>
            </w:r>
            <w:r w:rsidR="00424489" w:rsidRPr="0069571C">
              <w:rPr>
                <w:rFonts w:ascii="Arial" w:hAnsi="Arial" w:cs="Arial"/>
                <w:szCs w:val="24"/>
                <w:lang w:eastAsia="en-PH"/>
              </w:rPr>
              <w:t xml:space="preserve">, </w:t>
            </w:r>
            <w:r w:rsidR="0069571C" w:rsidRPr="0069571C">
              <w:rPr>
                <w:rFonts w:ascii="Arial" w:hAnsi="Arial" w:cs="Arial"/>
                <w:szCs w:val="24"/>
                <w:lang w:eastAsia="en-PH"/>
              </w:rPr>
              <w:t>indicates</w:t>
            </w:r>
            <w:r w:rsidR="00424489" w:rsidRPr="0069571C">
              <w:rPr>
                <w:rFonts w:ascii="Arial" w:hAnsi="Arial" w:cs="Arial"/>
                <w:szCs w:val="24"/>
                <w:lang w:eastAsia="en-PH"/>
              </w:rPr>
              <w:t xml:space="preserve"> that teachers who engage more in relevant training tend to feel more effective in their teaching roles. Further analysis showed no significant differences in </w:t>
            </w:r>
            <w:r w:rsidR="00BE7C78" w:rsidRPr="0069571C">
              <w:rPr>
                <w:rFonts w:ascii="Arial" w:hAnsi="Arial" w:cs="Arial"/>
                <w:szCs w:val="24"/>
                <w:lang w:eastAsia="en-PH"/>
              </w:rPr>
              <w:t>PD</w:t>
            </w:r>
            <w:r w:rsidR="009302C4" w:rsidRPr="0069571C">
              <w:rPr>
                <w:rFonts w:ascii="Arial" w:hAnsi="Arial" w:cs="Arial"/>
                <w:szCs w:val="24"/>
                <w:lang w:eastAsia="en-PH"/>
              </w:rPr>
              <w:t xml:space="preserve"> and </w:t>
            </w:r>
            <w:r w:rsidR="00BE7C78" w:rsidRPr="0069571C">
              <w:rPr>
                <w:rFonts w:ascii="Arial" w:hAnsi="Arial" w:cs="Arial"/>
                <w:szCs w:val="24"/>
                <w:lang w:eastAsia="en-PH"/>
              </w:rPr>
              <w:t>TE</w:t>
            </w:r>
            <w:r w:rsidR="00424489" w:rsidRPr="0069571C">
              <w:rPr>
                <w:rFonts w:ascii="Arial" w:hAnsi="Arial" w:cs="Arial"/>
                <w:szCs w:val="24"/>
                <w:lang w:eastAsia="en-PH"/>
              </w:rPr>
              <w:t xml:space="preserve"> when </w:t>
            </w:r>
            <w:r w:rsidR="009302C4" w:rsidRPr="0069571C">
              <w:rPr>
                <w:rFonts w:ascii="Arial" w:hAnsi="Arial" w:cs="Arial"/>
                <w:szCs w:val="24"/>
                <w:lang w:eastAsia="en-PH"/>
              </w:rPr>
              <w:t xml:space="preserve">respondents </w:t>
            </w:r>
            <w:r w:rsidR="00E146C1" w:rsidRPr="0069571C">
              <w:rPr>
                <w:rFonts w:ascii="Arial" w:hAnsi="Arial" w:cs="Arial"/>
                <w:szCs w:val="24"/>
                <w:lang w:eastAsia="en-PH"/>
              </w:rPr>
              <w:t>were</w:t>
            </w:r>
            <w:r w:rsidR="009302C4" w:rsidRPr="0069571C">
              <w:rPr>
                <w:rFonts w:ascii="Arial" w:hAnsi="Arial" w:cs="Arial"/>
                <w:szCs w:val="24"/>
                <w:lang w:eastAsia="en-PH"/>
              </w:rPr>
              <w:t xml:space="preserve"> </w:t>
            </w:r>
            <w:r w:rsidR="00424489" w:rsidRPr="0069571C">
              <w:rPr>
                <w:rFonts w:ascii="Arial" w:hAnsi="Arial" w:cs="Arial"/>
                <w:szCs w:val="24"/>
                <w:lang w:eastAsia="en-PH"/>
              </w:rPr>
              <w:t>grouped by age</w:t>
            </w:r>
            <w:r w:rsidRPr="0069571C">
              <w:rPr>
                <w:rFonts w:ascii="Arial" w:hAnsi="Arial" w:cs="Arial"/>
                <w:szCs w:val="24"/>
                <w:lang w:eastAsia="en-PH"/>
              </w:rPr>
              <w:t xml:space="preserve"> </w:t>
            </w:r>
            <w:r w:rsidR="00424489" w:rsidRPr="0069571C">
              <w:rPr>
                <w:rFonts w:ascii="Arial" w:hAnsi="Arial" w:cs="Arial"/>
                <w:szCs w:val="24"/>
                <w:lang w:eastAsia="en-PH"/>
              </w:rPr>
              <w:t>and years of teaching experience</w:t>
            </w:r>
            <w:r w:rsidRPr="0069571C">
              <w:rPr>
                <w:rFonts w:ascii="Arial" w:hAnsi="Arial" w:cs="Arial"/>
                <w:szCs w:val="24"/>
                <w:lang w:eastAsia="en-PH"/>
              </w:rPr>
              <w:t xml:space="preserve">. </w:t>
            </w:r>
            <w:r w:rsidR="00BE7C78" w:rsidRPr="0069571C">
              <w:rPr>
                <w:rFonts w:ascii="Arial" w:hAnsi="Arial" w:cs="Arial"/>
                <w:szCs w:val="24"/>
                <w:lang w:eastAsia="en-PH"/>
              </w:rPr>
              <w:t xml:space="preserve">However, there </w:t>
            </w:r>
            <w:r w:rsidR="00E146C1" w:rsidRPr="0069571C">
              <w:rPr>
                <w:rFonts w:ascii="Arial" w:hAnsi="Arial" w:cs="Arial"/>
                <w:szCs w:val="24"/>
                <w:lang w:eastAsia="en-PH"/>
              </w:rPr>
              <w:t>was</w:t>
            </w:r>
            <w:r w:rsidR="00BE7C78" w:rsidRPr="0069571C">
              <w:rPr>
                <w:rFonts w:ascii="Arial" w:hAnsi="Arial" w:cs="Arial"/>
                <w:szCs w:val="24"/>
                <w:lang w:eastAsia="en-PH"/>
              </w:rPr>
              <w:t xml:space="preserve"> a significant difference in PD when respondents are categorized </w:t>
            </w:r>
            <w:r w:rsidR="00725A05" w:rsidRPr="0069571C">
              <w:rPr>
                <w:rFonts w:ascii="Arial" w:hAnsi="Arial" w:cs="Arial"/>
                <w:szCs w:val="24"/>
                <w:lang w:eastAsia="en-PH"/>
              </w:rPr>
              <w:t xml:space="preserve">based </w:t>
            </w:r>
            <w:r w:rsidR="00BE7C78" w:rsidRPr="0069571C">
              <w:rPr>
                <w:rFonts w:ascii="Arial" w:hAnsi="Arial" w:cs="Arial"/>
                <w:szCs w:val="24"/>
                <w:lang w:eastAsia="en-PH"/>
              </w:rPr>
              <w:t xml:space="preserve">on gender </w:t>
            </w:r>
            <w:r w:rsidR="00EB3DB0" w:rsidRPr="0069571C">
              <w:rPr>
                <w:rFonts w:ascii="Arial" w:hAnsi="Arial" w:cs="Arial"/>
                <w:szCs w:val="24"/>
                <w:lang w:eastAsia="en-PH"/>
              </w:rPr>
              <w:t xml:space="preserve">but not in TE. </w:t>
            </w:r>
            <w:r w:rsidR="0069571C" w:rsidRPr="0069571C">
              <w:rPr>
                <w:rFonts w:ascii="Arial" w:hAnsi="Arial" w:cs="Arial"/>
                <w:szCs w:val="24"/>
                <w:lang w:eastAsia="en-PH"/>
              </w:rPr>
              <w:t>These results reflect that ongoing professional development contributes to teachers’ confidence and effectiveness in the classroom, while factors such as gender may influence the extent of professional development engagement.</w:t>
            </w:r>
          </w:p>
        </w:tc>
      </w:tr>
    </w:tbl>
    <w:p w14:paraId="4A287AC1" w14:textId="77777777" w:rsidR="00636EB2" w:rsidRDefault="00636EB2" w:rsidP="00441B6F">
      <w:pPr>
        <w:pStyle w:val="Body"/>
        <w:spacing w:after="0"/>
        <w:rPr>
          <w:rFonts w:ascii="Arial" w:hAnsi="Arial" w:cs="Arial"/>
          <w:i/>
        </w:rPr>
      </w:pPr>
    </w:p>
    <w:p w14:paraId="3E897173" w14:textId="77777777" w:rsidR="00EB23E4" w:rsidRDefault="00A24E7E" w:rsidP="00441B6F">
      <w:pPr>
        <w:pStyle w:val="Body"/>
        <w:spacing w:after="0"/>
        <w:rPr>
          <w:rFonts w:ascii="Arial" w:hAnsi="Arial" w:cs="Arial"/>
          <w:i/>
        </w:rPr>
      </w:pPr>
      <w:r>
        <w:rPr>
          <w:rFonts w:ascii="Arial" w:hAnsi="Arial" w:cs="Arial"/>
          <w:i/>
        </w:rPr>
        <w:t xml:space="preserve">Keywords: </w:t>
      </w:r>
      <w:r w:rsidR="00EB23E4">
        <w:rPr>
          <w:rFonts w:ascii="Arial" w:hAnsi="Arial" w:cs="Arial"/>
          <w:i/>
        </w:rPr>
        <w:t xml:space="preserve">master of science teaching mathematics, professional development, teaching      </w:t>
      </w:r>
    </w:p>
    <w:p w14:paraId="0DFA29F0" w14:textId="18AE6938" w:rsidR="00A24E7E" w:rsidRDefault="00EB23E4" w:rsidP="00441B6F">
      <w:pPr>
        <w:pStyle w:val="Body"/>
        <w:spacing w:after="0"/>
        <w:rPr>
          <w:rFonts w:ascii="Arial" w:hAnsi="Arial" w:cs="Arial"/>
          <w:i/>
        </w:rPr>
      </w:pPr>
      <w:r>
        <w:rPr>
          <w:rFonts w:ascii="Arial" w:hAnsi="Arial" w:cs="Arial"/>
          <w:i/>
        </w:rPr>
        <w:t xml:space="preserve">                  </w:t>
      </w:r>
      <w:r w:rsidR="007C0850">
        <w:rPr>
          <w:rFonts w:ascii="Arial" w:hAnsi="Arial" w:cs="Arial"/>
          <w:i/>
        </w:rPr>
        <w:t>E</w:t>
      </w:r>
      <w:r>
        <w:rPr>
          <w:rFonts w:ascii="Arial" w:hAnsi="Arial" w:cs="Arial"/>
          <w:i/>
        </w:rPr>
        <w:t>fficacy</w:t>
      </w:r>
      <w:r w:rsidR="007C0850">
        <w:rPr>
          <w:rFonts w:ascii="Arial" w:hAnsi="Arial" w:cs="Arial"/>
          <w:i/>
        </w:rPr>
        <w:t xml:space="preserve">, </w:t>
      </w:r>
      <w:r w:rsidR="007C0850" w:rsidRPr="007C0850">
        <w:rPr>
          <w:rFonts w:ascii="Arial" w:hAnsi="Arial" w:cs="Arial"/>
          <w:i/>
        </w:rPr>
        <w:t>classroom effectiveness</w:t>
      </w:r>
    </w:p>
    <w:p w14:paraId="13320B72" w14:textId="77777777" w:rsidR="0024282C" w:rsidRDefault="0024282C" w:rsidP="00441B6F">
      <w:pPr>
        <w:pStyle w:val="Body"/>
        <w:spacing w:after="0"/>
        <w:rPr>
          <w:rFonts w:ascii="Arial" w:hAnsi="Arial" w:cs="Arial"/>
          <w:i/>
          <w:sz w:val="18"/>
        </w:rPr>
      </w:pPr>
    </w:p>
    <w:p w14:paraId="01EDC426" w14:textId="77777777" w:rsidR="00505F06" w:rsidRPr="00A24E7E" w:rsidRDefault="00505F06" w:rsidP="00441B6F">
      <w:pPr>
        <w:pStyle w:val="Body"/>
        <w:spacing w:after="0"/>
        <w:rPr>
          <w:rFonts w:ascii="Arial" w:hAnsi="Arial" w:cs="Arial"/>
          <w:i/>
        </w:rPr>
      </w:pPr>
    </w:p>
    <w:p w14:paraId="198A8DF8" w14:textId="2B06FAF6" w:rsidR="007F7B32" w:rsidRDefault="00902823" w:rsidP="00EB23E4">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CE31C6">
        <w:rPr>
          <w:rFonts w:ascii="Arial" w:hAnsi="Arial" w:cs="Arial"/>
        </w:rPr>
        <w:t xml:space="preserve"> </w:t>
      </w:r>
    </w:p>
    <w:p w14:paraId="7375245B" w14:textId="77777777" w:rsidR="00790ADA" w:rsidRPr="00FB3A86" w:rsidRDefault="00790ADA" w:rsidP="00441B6F">
      <w:pPr>
        <w:pStyle w:val="AbstHead"/>
        <w:spacing w:after="0"/>
        <w:jc w:val="both"/>
        <w:rPr>
          <w:rFonts w:ascii="Arial" w:hAnsi="Arial" w:cs="Arial"/>
        </w:rPr>
      </w:pPr>
    </w:p>
    <w:p w14:paraId="30B687DD" w14:textId="77777777" w:rsidR="00501D32" w:rsidRPr="00501D32" w:rsidRDefault="00501D32" w:rsidP="00501D32">
      <w:pPr>
        <w:pStyle w:val="Body"/>
        <w:ind w:firstLine="720"/>
        <w:rPr>
          <w:rFonts w:ascii="Arial" w:hAnsi="Arial" w:cs="Arial"/>
          <w:szCs w:val="24"/>
          <w:lang w:eastAsia="en-PH"/>
        </w:rPr>
      </w:pPr>
      <w:r w:rsidRPr="00501D32">
        <w:rPr>
          <w:rFonts w:ascii="Arial" w:hAnsi="Arial" w:cs="Arial"/>
          <w:szCs w:val="24"/>
          <w:lang w:eastAsia="en-PH"/>
        </w:rPr>
        <w:t xml:space="preserve">Mathematics education continues to pose challenges globally, with international assessments such as the </w:t>
      </w:r>
      <w:proofErr w:type="spellStart"/>
      <w:r w:rsidRPr="00501D32">
        <w:rPr>
          <w:rFonts w:ascii="Arial" w:hAnsi="Arial" w:cs="Arial"/>
          <w:szCs w:val="24"/>
          <w:lang w:eastAsia="en-PH"/>
        </w:rPr>
        <w:t>Programme</w:t>
      </w:r>
      <w:proofErr w:type="spellEnd"/>
      <w:r w:rsidRPr="00501D32">
        <w:rPr>
          <w:rFonts w:ascii="Arial" w:hAnsi="Arial" w:cs="Arial"/>
          <w:szCs w:val="24"/>
          <w:lang w:eastAsia="en-PH"/>
        </w:rPr>
        <w:t xml:space="preserve"> for International Student Assessment (PISA) and the Trends in International Mathematics and Science Study (TIMSS) consistently showing low levels of student proficiency in mathematics (OECD, 2019). In the Philippines, this concern is more critical. Filipino students have ranked among the lowest in mathematics literacy, reflecting systemic issues including outdated pedagogical approaches, inadequate teacher preparation, and limited access to quality instructional resources (</w:t>
      </w:r>
      <w:proofErr w:type="spellStart"/>
      <w:r w:rsidRPr="00501D32">
        <w:rPr>
          <w:rFonts w:ascii="Arial" w:hAnsi="Arial" w:cs="Arial"/>
          <w:szCs w:val="24"/>
          <w:lang w:eastAsia="en-PH"/>
        </w:rPr>
        <w:t>Acido</w:t>
      </w:r>
      <w:proofErr w:type="spellEnd"/>
      <w:r w:rsidRPr="00501D32">
        <w:rPr>
          <w:rFonts w:ascii="Arial" w:hAnsi="Arial" w:cs="Arial"/>
          <w:szCs w:val="24"/>
          <w:lang w:eastAsia="en-PH"/>
        </w:rPr>
        <w:t xml:space="preserve"> &amp; </w:t>
      </w:r>
      <w:proofErr w:type="spellStart"/>
      <w:r w:rsidRPr="00501D32">
        <w:rPr>
          <w:rFonts w:ascii="Arial" w:hAnsi="Arial" w:cs="Arial"/>
          <w:szCs w:val="24"/>
          <w:lang w:eastAsia="en-PH"/>
        </w:rPr>
        <w:t>Caballes</w:t>
      </w:r>
      <w:proofErr w:type="spellEnd"/>
      <w:r w:rsidRPr="00501D32">
        <w:rPr>
          <w:rFonts w:ascii="Arial" w:hAnsi="Arial" w:cs="Arial"/>
          <w:szCs w:val="24"/>
          <w:lang w:eastAsia="en-PH"/>
        </w:rPr>
        <w:t xml:space="preserve">, 2024; </w:t>
      </w:r>
      <w:proofErr w:type="spellStart"/>
      <w:r w:rsidRPr="00501D32">
        <w:rPr>
          <w:rFonts w:ascii="Arial" w:hAnsi="Arial" w:cs="Arial"/>
          <w:szCs w:val="24"/>
          <w:lang w:eastAsia="en-PH"/>
        </w:rPr>
        <w:t>Cabural</w:t>
      </w:r>
      <w:proofErr w:type="spellEnd"/>
      <w:r w:rsidRPr="00501D32">
        <w:rPr>
          <w:rFonts w:ascii="Arial" w:hAnsi="Arial" w:cs="Arial"/>
          <w:szCs w:val="24"/>
          <w:lang w:eastAsia="en-PH"/>
        </w:rPr>
        <w:t>, 2024; Trinidad, 2020). These findings underscore the urgent need to improve how mathematics is taught and how teachers are supported in developing their professional competencies.</w:t>
      </w:r>
    </w:p>
    <w:p w14:paraId="4E2610A9" w14:textId="77777777" w:rsidR="00501D32" w:rsidRDefault="00501D32" w:rsidP="003D18D7">
      <w:pPr>
        <w:pStyle w:val="Body"/>
        <w:spacing w:after="0"/>
        <w:ind w:firstLine="720"/>
        <w:rPr>
          <w:rFonts w:ascii="Arial" w:hAnsi="Arial" w:cs="Arial"/>
          <w:szCs w:val="24"/>
          <w:lang w:eastAsia="en-PH"/>
        </w:rPr>
      </w:pPr>
      <w:r w:rsidRPr="00501D32">
        <w:rPr>
          <w:rFonts w:ascii="Arial" w:hAnsi="Arial" w:cs="Arial"/>
          <w:szCs w:val="24"/>
          <w:lang w:eastAsia="en-PH"/>
        </w:rPr>
        <w:t xml:space="preserve">At the heart of improving mathematics education are teachers, whose knowledge, confidence, and classroom strategies significantly shape student learning outcomes (López-Martín et al., 2023). Professional development (PD) plays a pivotal role in enhancing these </w:t>
      </w:r>
      <w:r w:rsidRPr="00501D32">
        <w:rPr>
          <w:rFonts w:ascii="Arial" w:hAnsi="Arial" w:cs="Arial"/>
          <w:szCs w:val="24"/>
          <w:lang w:eastAsia="en-PH"/>
        </w:rPr>
        <w:lastRenderedPageBreak/>
        <w:t xml:space="preserve">capacities by offering structured opportunities for educators to deepen subject mastery, reflect on their practice, and collaborate with peers (Ng et al., 2019; </w:t>
      </w:r>
      <w:proofErr w:type="spellStart"/>
      <w:r w:rsidRPr="00501D32">
        <w:rPr>
          <w:rFonts w:ascii="Arial" w:hAnsi="Arial" w:cs="Arial"/>
          <w:szCs w:val="24"/>
          <w:lang w:eastAsia="en-PH"/>
        </w:rPr>
        <w:t>Babu</w:t>
      </w:r>
      <w:proofErr w:type="spellEnd"/>
      <w:r w:rsidRPr="00501D32">
        <w:rPr>
          <w:rFonts w:ascii="Arial" w:hAnsi="Arial" w:cs="Arial"/>
          <w:szCs w:val="24"/>
          <w:lang w:eastAsia="en-PH"/>
        </w:rPr>
        <w:t xml:space="preserve"> &amp; Venkatesan, 2023). Equally important is teaching efficacy (TE)—teachers' belief in their ability to promote student learning—which has been positively linked to classroom management, instructional delivery, and learner engagement (Na &amp; Isa, 2024; Zeb et al., 2024). When teachers perceive themselves as capable, they are more likely to adopt effective instructional strategies and persist in the face of challenges.</w:t>
      </w:r>
    </w:p>
    <w:p w14:paraId="06D4DCB5" w14:textId="5A99823C" w:rsidR="00501D32" w:rsidRPr="00501D32" w:rsidRDefault="00501D32" w:rsidP="003D18D7">
      <w:pPr>
        <w:pStyle w:val="Body"/>
        <w:spacing w:after="0"/>
        <w:ind w:firstLine="720"/>
        <w:rPr>
          <w:rFonts w:ascii="Arial" w:hAnsi="Arial" w:cs="Arial"/>
          <w:szCs w:val="24"/>
          <w:lang w:eastAsia="en-PH"/>
        </w:rPr>
      </w:pPr>
      <w:r w:rsidRPr="00501D32">
        <w:rPr>
          <w:rFonts w:ascii="Arial" w:hAnsi="Arial" w:cs="Arial"/>
          <w:szCs w:val="24"/>
          <w:lang w:eastAsia="en-PH"/>
        </w:rPr>
        <w:t>While the connection between PD and TE is well-established in international literature (Liu &amp; Liao, 2019), little is known about how this relationship unfolds in local contexts. In particular, there is a noticeable gap in studies examining how these factors interact among graduates of specific teacher education programs in the Philippines. For institutions like Davao Oriental State University (</w:t>
      </w:r>
      <w:proofErr w:type="spellStart"/>
      <w:r w:rsidRPr="00501D32">
        <w:rPr>
          <w:rFonts w:ascii="Arial" w:hAnsi="Arial" w:cs="Arial"/>
          <w:szCs w:val="24"/>
          <w:lang w:eastAsia="en-PH"/>
        </w:rPr>
        <w:t>DOrSU</w:t>
      </w:r>
      <w:proofErr w:type="spellEnd"/>
      <w:r w:rsidRPr="00501D32">
        <w:rPr>
          <w:rFonts w:ascii="Arial" w:hAnsi="Arial" w:cs="Arial"/>
          <w:szCs w:val="24"/>
          <w:lang w:eastAsia="en-PH"/>
        </w:rPr>
        <w:t>), understanding this relationship is essential for assessing the effectiveness of their teacher preparation programs and making data-driven improvements.</w:t>
      </w:r>
    </w:p>
    <w:p w14:paraId="2E9C2CF2" w14:textId="2CB170E0" w:rsidR="00191397" w:rsidRDefault="00501D32" w:rsidP="003D18D7">
      <w:pPr>
        <w:pStyle w:val="Body"/>
        <w:spacing w:after="0"/>
        <w:ind w:firstLine="720"/>
        <w:rPr>
          <w:rFonts w:ascii="Arial" w:hAnsi="Arial" w:cs="Arial"/>
        </w:rPr>
      </w:pPr>
      <w:r w:rsidRPr="00501D32">
        <w:rPr>
          <w:rFonts w:ascii="Arial" w:hAnsi="Arial" w:cs="Arial"/>
          <w:szCs w:val="24"/>
          <w:lang w:eastAsia="en-PH"/>
        </w:rPr>
        <w:t>This study addresses that gap by evaluating the Master of Science</w:t>
      </w:r>
      <w:r w:rsidR="003D18D7">
        <w:rPr>
          <w:rFonts w:ascii="Arial" w:hAnsi="Arial" w:cs="Arial"/>
          <w:szCs w:val="24"/>
          <w:lang w:eastAsia="en-PH"/>
        </w:rPr>
        <w:t xml:space="preserve"> </w:t>
      </w:r>
      <w:r w:rsidRPr="00501D32">
        <w:rPr>
          <w:rFonts w:ascii="Arial" w:hAnsi="Arial" w:cs="Arial"/>
          <w:szCs w:val="24"/>
          <w:lang w:eastAsia="en-PH"/>
        </w:rPr>
        <w:t xml:space="preserve">Teaching (MST) Mathematics program at </w:t>
      </w:r>
      <w:proofErr w:type="spellStart"/>
      <w:r w:rsidRPr="00501D32">
        <w:rPr>
          <w:rFonts w:ascii="Arial" w:hAnsi="Arial" w:cs="Arial"/>
          <w:szCs w:val="24"/>
          <w:lang w:eastAsia="en-PH"/>
        </w:rPr>
        <w:t>DOrSU</w:t>
      </w:r>
      <w:proofErr w:type="spellEnd"/>
      <w:r w:rsidRPr="00501D32">
        <w:rPr>
          <w:rFonts w:ascii="Arial" w:hAnsi="Arial" w:cs="Arial"/>
          <w:szCs w:val="24"/>
          <w:lang w:eastAsia="en-PH"/>
        </w:rPr>
        <w:t xml:space="preserve">. It aims to assess the level of professional development and teaching efficacy among its graduates, and examine how these dimensions relate to one another. By exploring how well the program equips future educators for the demands of classroom practice, the study provides insights into how teacher education can be strengthened to better meet both national education standards and the specific learning needs of </w:t>
      </w:r>
      <w:r w:rsidR="003D18D7">
        <w:rPr>
          <w:rFonts w:ascii="Arial" w:hAnsi="Arial" w:cs="Arial"/>
          <w:szCs w:val="24"/>
          <w:lang w:eastAsia="en-PH"/>
        </w:rPr>
        <w:t>the</w:t>
      </w:r>
      <w:r w:rsidRPr="00501D32">
        <w:rPr>
          <w:rFonts w:ascii="Arial" w:hAnsi="Arial" w:cs="Arial"/>
          <w:szCs w:val="24"/>
          <w:lang w:eastAsia="en-PH"/>
        </w:rPr>
        <w:t xml:space="preserve"> students.</w:t>
      </w:r>
    </w:p>
    <w:p w14:paraId="3ADF018F" w14:textId="5512F8E4" w:rsidR="00191397" w:rsidRDefault="00191397" w:rsidP="00191397">
      <w:pPr>
        <w:pStyle w:val="Body"/>
        <w:spacing w:after="0"/>
        <w:ind w:firstLine="720"/>
        <w:rPr>
          <w:rFonts w:ascii="Arial" w:hAnsi="Arial" w:cs="Arial"/>
        </w:rPr>
      </w:pPr>
    </w:p>
    <w:p w14:paraId="53E32941" w14:textId="77777777" w:rsidR="00191397" w:rsidRPr="00191397" w:rsidRDefault="00191397" w:rsidP="00191397">
      <w:pPr>
        <w:pStyle w:val="Body"/>
        <w:spacing w:after="0"/>
        <w:ind w:firstLine="720"/>
        <w:rPr>
          <w:rFonts w:ascii="Arial" w:hAnsi="Arial" w:cs="Arial"/>
        </w:rPr>
      </w:pPr>
    </w:p>
    <w:p w14:paraId="14862955" w14:textId="74CE09A0" w:rsidR="007F7B32" w:rsidRDefault="00902823" w:rsidP="00CD2DC5">
      <w:pPr>
        <w:pStyle w:val="AbstHead"/>
        <w:spacing w:after="0"/>
        <w:rPr>
          <w:rFonts w:ascii="Arial" w:hAnsi="Arial" w:cs="Arial"/>
        </w:rPr>
      </w:pPr>
      <w:r>
        <w:rPr>
          <w:rFonts w:ascii="Arial" w:hAnsi="Arial" w:cs="Arial"/>
        </w:rPr>
        <w:t xml:space="preserve">2. </w:t>
      </w:r>
      <w:r w:rsidR="00B9544A">
        <w:rPr>
          <w:rFonts w:ascii="Arial" w:hAnsi="Arial" w:cs="Arial"/>
        </w:rPr>
        <w:t xml:space="preserve">OBJECTIVES </w:t>
      </w:r>
    </w:p>
    <w:p w14:paraId="79EC5CD8" w14:textId="77777777" w:rsidR="00790ADA" w:rsidRPr="00FB3A86" w:rsidRDefault="00790ADA" w:rsidP="00441B6F">
      <w:pPr>
        <w:pStyle w:val="AbstHead"/>
        <w:spacing w:after="0"/>
        <w:jc w:val="both"/>
        <w:rPr>
          <w:rFonts w:ascii="Arial" w:hAnsi="Arial" w:cs="Arial"/>
        </w:rPr>
      </w:pPr>
    </w:p>
    <w:p w14:paraId="59EE05DC" w14:textId="77777777" w:rsidR="00B9544A" w:rsidRPr="00B9544A" w:rsidRDefault="00B9544A" w:rsidP="00B9544A">
      <w:pPr>
        <w:pStyle w:val="Body"/>
        <w:spacing w:after="0"/>
        <w:ind w:firstLine="720"/>
        <w:rPr>
          <w:rFonts w:ascii="Arial" w:hAnsi="Arial" w:cs="Arial"/>
          <w:lang w:val="en-PH"/>
        </w:rPr>
      </w:pPr>
      <w:r w:rsidRPr="00B9544A">
        <w:rPr>
          <w:rFonts w:ascii="Arial" w:hAnsi="Arial" w:cs="Arial"/>
          <w:lang w:val="en-PH"/>
        </w:rPr>
        <w:t>This paper focused on investigating the contribution of the Master of Science Teaching (MST) major in Mathematics program of Davao Oriental State University (</w:t>
      </w:r>
      <w:proofErr w:type="spellStart"/>
      <w:r w:rsidRPr="00B9544A">
        <w:rPr>
          <w:rFonts w:ascii="Arial" w:hAnsi="Arial" w:cs="Arial"/>
          <w:lang w:val="en-PH"/>
        </w:rPr>
        <w:t>DOrSU</w:t>
      </w:r>
      <w:proofErr w:type="spellEnd"/>
      <w:r w:rsidRPr="00B9544A">
        <w:rPr>
          <w:rFonts w:ascii="Arial" w:hAnsi="Arial" w:cs="Arial"/>
          <w:lang w:val="en-PH"/>
        </w:rPr>
        <w:t xml:space="preserve">) in the efforts of its graduates currently teaching Mathematics in high school. Such teachers' professional development, strategies of teaching, and efficacy in the teaching of mathematics high school level students are under scrutiny. In this regard, it sought to address the following objectives: </w:t>
      </w:r>
    </w:p>
    <w:p w14:paraId="1B639F2B" w14:textId="2DA814D4" w:rsidR="00B9544A" w:rsidRPr="00B9544A" w:rsidRDefault="00B9544A" w:rsidP="00B9544A">
      <w:pPr>
        <w:pStyle w:val="Body"/>
        <w:numPr>
          <w:ilvl w:val="0"/>
          <w:numId w:val="31"/>
        </w:numPr>
        <w:spacing w:after="0"/>
        <w:rPr>
          <w:rFonts w:ascii="Arial" w:hAnsi="Arial" w:cs="Arial"/>
          <w:lang w:val="en-PH"/>
        </w:rPr>
      </w:pPr>
      <w:r w:rsidRPr="00B9544A">
        <w:rPr>
          <w:rFonts w:ascii="Arial" w:hAnsi="Arial" w:cs="Arial"/>
          <w:lang w:val="en-PH"/>
        </w:rPr>
        <w:t xml:space="preserve">To determine the level of professional development </w:t>
      </w:r>
      <w:r w:rsidR="004D1FBB">
        <w:rPr>
          <w:rFonts w:ascii="Arial" w:hAnsi="Arial" w:cs="Arial"/>
          <w:lang w:val="en-PH"/>
        </w:rPr>
        <w:t>and teaching efficacy among MSTM graduates</w:t>
      </w:r>
      <w:r w:rsidR="00C230EF">
        <w:rPr>
          <w:rFonts w:ascii="Arial" w:hAnsi="Arial" w:cs="Arial"/>
          <w:lang w:val="en-PH"/>
        </w:rPr>
        <w:t>;</w:t>
      </w:r>
    </w:p>
    <w:p w14:paraId="77827439" w14:textId="7D1A9DCE" w:rsidR="00B9544A" w:rsidRPr="00B9544A" w:rsidRDefault="00B9544A" w:rsidP="00B9544A">
      <w:pPr>
        <w:pStyle w:val="Body"/>
        <w:numPr>
          <w:ilvl w:val="0"/>
          <w:numId w:val="31"/>
        </w:numPr>
        <w:spacing w:after="0"/>
        <w:rPr>
          <w:rFonts w:ascii="Arial" w:hAnsi="Arial" w:cs="Arial"/>
          <w:lang w:val="en-PH"/>
        </w:rPr>
      </w:pPr>
      <w:r w:rsidRPr="00B9544A">
        <w:rPr>
          <w:rFonts w:ascii="Arial" w:hAnsi="Arial" w:cs="Arial"/>
          <w:lang w:val="en-PH"/>
        </w:rPr>
        <w:t xml:space="preserve">To </w:t>
      </w:r>
      <w:r w:rsidR="00110481">
        <w:rPr>
          <w:rFonts w:ascii="Arial" w:hAnsi="Arial" w:cs="Arial"/>
          <w:lang w:val="en-PH"/>
        </w:rPr>
        <w:t>assess</w:t>
      </w:r>
      <w:r w:rsidRPr="00B9544A">
        <w:rPr>
          <w:rFonts w:ascii="Arial" w:hAnsi="Arial" w:cs="Arial"/>
          <w:lang w:val="en-PH"/>
        </w:rPr>
        <w:t xml:space="preserve"> if there is significant relationship of professional development and teaching efficacy</w:t>
      </w:r>
      <w:r w:rsidR="00C230EF">
        <w:rPr>
          <w:rFonts w:ascii="Arial" w:hAnsi="Arial" w:cs="Arial"/>
          <w:lang w:val="en-PH"/>
        </w:rPr>
        <w:t>;</w:t>
      </w:r>
    </w:p>
    <w:p w14:paraId="62B1B7AD" w14:textId="1E118FF9" w:rsidR="00B9544A" w:rsidRPr="00B9544A" w:rsidRDefault="00B9544A" w:rsidP="00B9544A">
      <w:pPr>
        <w:pStyle w:val="Body"/>
        <w:numPr>
          <w:ilvl w:val="0"/>
          <w:numId w:val="31"/>
        </w:numPr>
        <w:spacing w:after="0"/>
        <w:rPr>
          <w:rFonts w:ascii="Arial" w:hAnsi="Arial" w:cs="Arial"/>
          <w:lang w:val="en-PH"/>
        </w:rPr>
      </w:pPr>
      <w:r w:rsidRPr="00B9544A">
        <w:rPr>
          <w:rFonts w:ascii="Arial" w:hAnsi="Arial" w:cs="Arial"/>
          <w:lang w:val="en-PH"/>
        </w:rPr>
        <w:t xml:space="preserve">To </w:t>
      </w:r>
      <w:r w:rsidR="00110481">
        <w:rPr>
          <w:rFonts w:ascii="Arial" w:hAnsi="Arial" w:cs="Arial"/>
          <w:lang w:val="en-PH"/>
        </w:rPr>
        <w:t>analyze</w:t>
      </w:r>
      <w:r w:rsidRPr="00B9544A">
        <w:rPr>
          <w:rFonts w:ascii="Arial" w:hAnsi="Arial" w:cs="Arial"/>
          <w:lang w:val="en-PH"/>
        </w:rPr>
        <w:t xml:space="preserve"> if there is </w:t>
      </w:r>
      <w:r w:rsidR="004D1FBB">
        <w:rPr>
          <w:rFonts w:ascii="Arial" w:hAnsi="Arial" w:cs="Arial"/>
          <w:lang w:val="en-PH"/>
        </w:rPr>
        <w:t xml:space="preserve">any </w:t>
      </w:r>
      <w:r w:rsidRPr="00B9544A">
        <w:rPr>
          <w:rFonts w:ascii="Arial" w:hAnsi="Arial" w:cs="Arial"/>
          <w:lang w:val="en-PH"/>
        </w:rPr>
        <w:t xml:space="preserve">significant difference of professional development when </w:t>
      </w:r>
      <w:r w:rsidR="004D1FBB">
        <w:rPr>
          <w:rFonts w:ascii="Arial" w:hAnsi="Arial" w:cs="Arial"/>
          <w:lang w:val="en-PH"/>
        </w:rPr>
        <w:t>respondents are grouped according age, gender and teaching experience</w:t>
      </w:r>
      <w:r w:rsidR="00C230EF">
        <w:rPr>
          <w:rFonts w:ascii="Arial" w:hAnsi="Arial" w:cs="Arial"/>
          <w:lang w:val="en-PH"/>
        </w:rPr>
        <w:t>;</w:t>
      </w:r>
      <w:r w:rsidR="00CC7A6E">
        <w:rPr>
          <w:rFonts w:ascii="Arial" w:hAnsi="Arial" w:cs="Arial"/>
          <w:lang w:val="en-PH"/>
        </w:rPr>
        <w:t xml:space="preserve"> and</w:t>
      </w:r>
    </w:p>
    <w:p w14:paraId="56E0432F" w14:textId="70346B58" w:rsidR="00B9544A" w:rsidRPr="00B9544A" w:rsidRDefault="004D1FBB" w:rsidP="00B9544A">
      <w:pPr>
        <w:pStyle w:val="Body"/>
        <w:numPr>
          <w:ilvl w:val="0"/>
          <w:numId w:val="31"/>
        </w:numPr>
        <w:spacing w:after="0"/>
        <w:rPr>
          <w:rFonts w:ascii="Arial" w:hAnsi="Arial" w:cs="Arial"/>
          <w:lang w:val="en-PH"/>
        </w:rPr>
      </w:pPr>
      <w:r w:rsidRPr="00B9544A">
        <w:rPr>
          <w:rFonts w:ascii="Arial" w:hAnsi="Arial" w:cs="Arial"/>
          <w:lang w:val="en-PH"/>
        </w:rPr>
        <w:t xml:space="preserve">To </w:t>
      </w:r>
      <w:r w:rsidR="00110481">
        <w:rPr>
          <w:rFonts w:ascii="Arial" w:hAnsi="Arial" w:cs="Arial"/>
          <w:lang w:val="en-PH"/>
        </w:rPr>
        <w:t>examine</w:t>
      </w:r>
      <w:r w:rsidRPr="00B9544A">
        <w:rPr>
          <w:rFonts w:ascii="Arial" w:hAnsi="Arial" w:cs="Arial"/>
          <w:lang w:val="en-PH"/>
        </w:rPr>
        <w:t xml:space="preserve"> if there is </w:t>
      </w:r>
      <w:r>
        <w:rPr>
          <w:rFonts w:ascii="Arial" w:hAnsi="Arial" w:cs="Arial"/>
          <w:lang w:val="en-PH"/>
        </w:rPr>
        <w:t xml:space="preserve">any </w:t>
      </w:r>
      <w:r w:rsidRPr="00B9544A">
        <w:rPr>
          <w:rFonts w:ascii="Arial" w:hAnsi="Arial" w:cs="Arial"/>
          <w:lang w:val="en-PH"/>
        </w:rPr>
        <w:t xml:space="preserve">significant difference of </w:t>
      </w:r>
      <w:r>
        <w:rPr>
          <w:rFonts w:ascii="Arial" w:hAnsi="Arial" w:cs="Arial"/>
          <w:lang w:val="en-PH"/>
        </w:rPr>
        <w:t>teaching efficacy</w:t>
      </w:r>
      <w:r w:rsidRPr="00B9544A">
        <w:rPr>
          <w:rFonts w:ascii="Arial" w:hAnsi="Arial" w:cs="Arial"/>
          <w:lang w:val="en-PH"/>
        </w:rPr>
        <w:t xml:space="preserve"> when </w:t>
      </w:r>
      <w:r>
        <w:rPr>
          <w:rFonts w:ascii="Arial" w:hAnsi="Arial" w:cs="Arial"/>
          <w:lang w:val="en-PH"/>
        </w:rPr>
        <w:t>respondents are grouped according age, gender and teaching experience</w:t>
      </w:r>
      <w:r w:rsidR="00CC7A6E">
        <w:rPr>
          <w:rFonts w:ascii="Arial" w:hAnsi="Arial" w:cs="Arial"/>
          <w:lang w:val="en-PH"/>
        </w:rPr>
        <w:t>.</w:t>
      </w:r>
    </w:p>
    <w:p w14:paraId="14E16F8C" w14:textId="4E6B8478" w:rsidR="002E0D56" w:rsidRDefault="002E0D56" w:rsidP="00441B6F">
      <w:pPr>
        <w:pStyle w:val="Body"/>
        <w:spacing w:after="0"/>
        <w:rPr>
          <w:rFonts w:ascii="Arial" w:hAnsi="Arial" w:cs="Arial"/>
        </w:rPr>
      </w:pPr>
    </w:p>
    <w:p w14:paraId="398FB79A" w14:textId="48B03DBA" w:rsidR="008B00BB" w:rsidRDefault="00B9544A" w:rsidP="00CD2DC5">
      <w:pPr>
        <w:pStyle w:val="Body"/>
        <w:spacing w:after="0"/>
        <w:jc w:val="left"/>
        <w:rPr>
          <w:rFonts w:ascii="Arial" w:hAnsi="Arial" w:cs="Arial"/>
          <w:b/>
          <w:bCs/>
          <w:sz w:val="22"/>
          <w:szCs w:val="22"/>
        </w:rPr>
      </w:pPr>
      <w:r>
        <w:rPr>
          <w:rFonts w:ascii="Arial" w:hAnsi="Arial" w:cs="Arial"/>
          <w:b/>
          <w:bCs/>
          <w:sz w:val="22"/>
          <w:szCs w:val="22"/>
        </w:rPr>
        <w:t xml:space="preserve">3. </w:t>
      </w:r>
      <w:r w:rsidR="008B00BB">
        <w:rPr>
          <w:rFonts w:ascii="Arial" w:hAnsi="Arial" w:cs="Arial"/>
          <w:b/>
          <w:bCs/>
          <w:sz w:val="22"/>
          <w:szCs w:val="22"/>
        </w:rPr>
        <w:t>REVIEW OF RELATED LITERATURE</w:t>
      </w:r>
    </w:p>
    <w:p w14:paraId="2C3CDB38" w14:textId="47048045" w:rsidR="008B00BB" w:rsidRDefault="008B00BB" w:rsidP="00CD2DC5">
      <w:pPr>
        <w:pStyle w:val="Body"/>
        <w:spacing w:after="0"/>
        <w:jc w:val="left"/>
        <w:rPr>
          <w:rFonts w:ascii="Arial" w:hAnsi="Arial" w:cs="Arial"/>
          <w:b/>
          <w:bCs/>
          <w:sz w:val="22"/>
          <w:szCs w:val="22"/>
        </w:rPr>
      </w:pPr>
    </w:p>
    <w:p w14:paraId="51A2BE40" w14:textId="7F49462E" w:rsidR="008B00BB" w:rsidRDefault="008B00BB" w:rsidP="008B00BB">
      <w:pPr>
        <w:pStyle w:val="Body"/>
        <w:spacing w:after="0"/>
        <w:ind w:firstLine="720"/>
        <w:rPr>
          <w:rFonts w:ascii="Arial" w:hAnsi="Arial" w:cs="Arial"/>
        </w:rPr>
      </w:pPr>
      <w:r w:rsidRPr="00C468CE">
        <w:rPr>
          <w:rFonts w:ascii="Arial" w:hAnsi="Arial" w:cs="Arial"/>
        </w:rPr>
        <w:t>Teacher professional development and teaching efficacy are vital for effective mathematics education in today’s rapidly changing academic environment. Professional development equips teachers with up-to-date skills and reflective practices, while teaching efficacy—the belief in one’s ability to facilitate learning—shapes instructional decisions and student engagement. The strong connection between these two factors is well documented, yet there is limited research on this relationship among graduates of specialized programs like the Master of Science Teaching (MST) in Mathematics. This study aims to fill that gap by examining the levels of professional development and teaching efficacy among MST Mathematics graduates and exploring how demographic factors may influence these areas.</w:t>
      </w:r>
    </w:p>
    <w:p w14:paraId="39165E01" w14:textId="1820A190" w:rsidR="008B00BB" w:rsidRDefault="008B00BB" w:rsidP="008B00BB">
      <w:pPr>
        <w:pStyle w:val="Body"/>
        <w:spacing w:after="0"/>
        <w:rPr>
          <w:rFonts w:ascii="Arial" w:hAnsi="Arial" w:cs="Arial"/>
        </w:rPr>
      </w:pPr>
    </w:p>
    <w:p w14:paraId="36E2D5DF" w14:textId="3876CCE3" w:rsidR="008B00BB" w:rsidRDefault="008B00BB" w:rsidP="008B00BB">
      <w:pPr>
        <w:pStyle w:val="Body"/>
        <w:spacing w:after="0"/>
        <w:rPr>
          <w:rFonts w:ascii="Arial" w:hAnsi="Arial" w:cs="Arial"/>
          <w:b/>
          <w:bCs/>
        </w:rPr>
      </w:pPr>
      <w:r>
        <w:rPr>
          <w:rFonts w:ascii="Arial" w:hAnsi="Arial" w:cs="Arial"/>
          <w:b/>
          <w:bCs/>
        </w:rPr>
        <w:lastRenderedPageBreak/>
        <w:t xml:space="preserve">3.1. </w:t>
      </w:r>
      <w:r w:rsidRPr="008B00BB">
        <w:rPr>
          <w:rFonts w:ascii="Arial" w:hAnsi="Arial" w:cs="Arial"/>
          <w:b/>
          <w:bCs/>
        </w:rPr>
        <w:t>Level of Professional Development and Teaching Efficacy of MST Mathematics Graduates</w:t>
      </w:r>
    </w:p>
    <w:p w14:paraId="409EE21A" w14:textId="56BF1CBA" w:rsidR="008B00BB" w:rsidRDefault="008B00BB" w:rsidP="008B00BB">
      <w:pPr>
        <w:pStyle w:val="Body"/>
        <w:spacing w:after="0"/>
        <w:rPr>
          <w:rFonts w:ascii="Arial" w:hAnsi="Arial" w:cs="Arial"/>
          <w:b/>
          <w:bCs/>
        </w:rPr>
      </w:pPr>
    </w:p>
    <w:p w14:paraId="7CBDDCDD" w14:textId="3AD071EF" w:rsidR="008B00BB" w:rsidRDefault="008B00BB" w:rsidP="008B00BB">
      <w:pPr>
        <w:pStyle w:val="Body"/>
        <w:spacing w:after="0"/>
        <w:rPr>
          <w:rFonts w:ascii="Arial" w:hAnsi="Arial" w:cs="Arial"/>
        </w:rPr>
      </w:pPr>
      <w:r>
        <w:rPr>
          <w:rFonts w:ascii="Arial" w:hAnsi="Arial" w:cs="Arial"/>
          <w:b/>
          <w:bCs/>
        </w:rPr>
        <w:tab/>
      </w:r>
      <w:r w:rsidRPr="008B00BB">
        <w:rPr>
          <w:rFonts w:ascii="Arial" w:hAnsi="Arial" w:cs="Arial"/>
        </w:rPr>
        <w:t>Professional development (PD) is essential in equipping teachers with current skills to address evolving educational demands and improve student outcomes (Ho et al., 2023). Studies emphasize the alignment of PD with authentic classroom practices, especially in mathematics education, where innovative strategies such as problem-based learning are vital (</w:t>
      </w:r>
      <w:proofErr w:type="spellStart"/>
      <w:r w:rsidRPr="008B00BB">
        <w:rPr>
          <w:rFonts w:ascii="Arial" w:hAnsi="Arial" w:cs="Arial"/>
        </w:rPr>
        <w:t>Juma</w:t>
      </w:r>
      <w:proofErr w:type="spellEnd"/>
      <w:r w:rsidRPr="008B00BB">
        <w:rPr>
          <w:rFonts w:ascii="Arial" w:hAnsi="Arial" w:cs="Arial"/>
        </w:rPr>
        <w:t xml:space="preserve">, 2024; Mustafa &amp; </w:t>
      </w:r>
      <w:proofErr w:type="spellStart"/>
      <w:r w:rsidRPr="008B00BB">
        <w:rPr>
          <w:rFonts w:ascii="Arial" w:hAnsi="Arial" w:cs="Arial"/>
        </w:rPr>
        <w:t>Paçariz</w:t>
      </w:r>
      <w:proofErr w:type="spellEnd"/>
      <w:r w:rsidRPr="008B00BB">
        <w:rPr>
          <w:rFonts w:ascii="Arial" w:hAnsi="Arial" w:cs="Arial"/>
        </w:rPr>
        <w:t xml:space="preserve">, 2021; </w:t>
      </w:r>
      <w:proofErr w:type="spellStart"/>
      <w:r w:rsidRPr="008B00BB">
        <w:rPr>
          <w:rFonts w:ascii="Arial" w:hAnsi="Arial" w:cs="Arial"/>
        </w:rPr>
        <w:t>Gradini</w:t>
      </w:r>
      <w:proofErr w:type="spellEnd"/>
      <w:r w:rsidRPr="008B00BB">
        <w:rPr>
          <w:rFonts w:ascii="Arial" w:hAnsi="Arial" w:cs="Arial"/>
        </w:rPr>
        <w:t xml:space="preserve"> et al., 2024). Reflection and continuous professional growth are identified as key factors in teacher development, although challenges in institutional support persist (</w:t>
      </w:r>
      <w:proofErr w:type="spellStart"/>
      <w:r w:rsidRPr="008B00BB">
        <w:rPr>
          <w:rFonts w:ascii="Arial" w:hAnsi="Arial" w:cs="Arial"/>
        </w:rPr>
        <w:t>Alnijres</w:t>
      </w:r>
      <w:proofErr w:type="spellEnd"/>
      <w:r w:rsidRPr="008B00BB">
        <w:rPr>
          <w:rFonts w:ascii="Arial" w:hAnsi="Arial" w:cs="Arial"/>
        </w:rPr>
        <w:t xml:space="preserve">, 2024; Zakaria, 2020; </w:t>
      </w:r>
      <w:proofErr w:type="spellStart"/>
      <w:r w:rsidRPr="008B00BB">
        <w:rPr>
          <w:rFonts w:ascii="Arial" w:hAnsi="Arial" w:cs="Arial"/>
        </w:rPr>
        <w:t>Machost</w:t>
      </w:r>
      <w:proofErr w:type="spellEnd"/>
      <w:r w:rsidRPr="008B00BB">
        <w:rPr>
          <w:rFonts w:ascii="Arial" w:hAnsi="Arial" w:cs="Arial"/>
        </w:rPr>
        <w:t xml:space="preserve"> &amp; Stains, 2023). Collaboration and peer learning further enhance instructional practices; however, their effectiveness can be limited by time constraints and insufficient support (Wagner et al., 2019; Pannell et al., 2019). The sustainability and impact of PD require ongoing support and well-established implementation frameworks (</w:t>
      </w:r>
      <w:proofErr w:type="spellStart"/>
      <w:r w:rsidRPr="008B00BB">
        <w:rPr>
          <w:rFonts w:ascii="Arial" w:hAnsi="Arial" w:cs="Arial"/>
        </w:rPr>
        <w:t>Sandholtz</w:t>
      </w:r>
      <w:proofErr w:type="spellEnd"/>
      <w:r w:rsidRPr="008B00BB">
        <w:rPr>
          <w:rFonts w:ascii="Arial" w:hAnsi="Arial" w:cs="Arial"/>
        </w:rPr>
        <w:t xml:space="preserve"> et al., 2023; Lee et al., 2024; Qazi, 2017).</w:t>
      </w:r>
    </w:p>
    <w:p w14:paraId="69AFAD05" w14:textId="5B0D758E" w:rsidR="008B00BB" w:rsidRDefault="008B00BB" w:rsidP="008B00BB">
      <w:pPr>
        <w:pStyle w:val="Body"/>
        <w:spacing w:after="0"/>
        <w:rPr>
          <w:rFonts w:ascii="Arial" w:hAnsi="Arial" w:cs="Arial"/>
        </w:rPr>
      </w:pPr>
      <w:r>
        <w:rPr>
          <w:rFonts w:ascii="Arial" w:hAnsi="Arial" w:cs="Arial"/>
        </w:rPr>
        <w:tab/>
      </w:r>
      <w:r w:rsidRPr="008B00BB">
        <w:rPr>
          <w:rFonts w:ascii="Arial" w:hAnsi="Arial" w:cs="Arial"/>
        </w:rPr>
        <w:t>Teaching efficacy, defined as teachers’ belief in their capability to facilitate student learning, is closely associated with effective classroom management, instructional strategies, and student engagement (</w:t>
      </w:r>
      <w:proofErr w:type="spellStart"/>
      <w:r w:rsidRPr="008B00BB">
        <w:rPr>
          <w:rFonts w:ascii="Arial" w:hAnsi="Arial" w:cs="Arial"/>
        </w:rPr>
        <w:t>Küçükalioğlu</w:t>
      </w:r>
      <w:proofErr w:type="spellEnd"/>
      <w:r w:rsidRPr="008B00BB">
        <w:rPr>
          <w:rFonts w:ascii="Arial" w:hAnsi="Arial" w:cs="Arial"/>
        </w:rPr>
        <w:t xml:space="preserve"> &amp; </w:t>
      </w:r>
      <w:proofErr w:type="spellStart"/>
      <w:r w:rsidRPr="008B00BB">
        <w:rPr>
          <w:rFonts w:ascii="Arial" w:hAnsi="Arial" w:cs="Arial"/>
        </w:rPr>
        <w:t>Tuluk</w:t>
      </w:r>
      <w:proofErr w:type="spellEnd"/>
      <w:r w:rsidRPr="008B00BB">
        <w:rPr>
          <w:rFonts w:ascii="Arial" w:hAnsi="Arial" w:cs="Arial"/>
        </w:rPr>
        <w:t>, 2021). Effective classroom management contributes to improved learning outcomes by minimizing disruptions and maintaining student focus (</w:t>
      </w:r>
      <w:proofErr w:type="spellStart"/>
      <w:r w:rsidRPr="008B00BB">
        <w:rPr>
          <w:rFonts w:ascii="Arial" w:hAnsi="Arial" w:cs="Arial"/>
        </w:rPr>
        <w:t>Paulines</w:t>
      </w:r>
      <w:proofErr w:type="spellEnd"/>
      <w:r w:rsidRPr="008B00BB">
        <w:rPr>
          <w:rFonts w:ascii="Arial" w:hAnsi="Arial" w:cs="Arial"/>
        </w:rPr>
        <w:t xml:space="preserve"> &amp; </w:t>
      </w:r>
      <w:proofErr w:type="spellStart"/>
      <w:r w:rsidRPr="008B00BB">
        <w:rPr>
          <w:rFonts w:ascii="Arial" w:hAnsi="Arial" w:cs="Arial"/>
        </w:rPr>
        <w:t>Tantiado</w:t>
      </w:r>
      <w:proofErr w:type="spellEnd"/>
      <w:r w:rsidRPr="008B00BB">
        <w:rPr>
          <w:rFonts w:ascii="Arial" w:hAnsi="Arial" w:cs="Arial"/>
        </w:rPr>
        <w:t xml:space="preserve">, 2024; </w:t>
      </w:r>
      <w:proofErr w:type="spellStart"/>
      <w:r w:rsidRPr="008B00BB">
        <w:rPr>
          <w:rFonts w:ascii="Arial" w:hAnsi="Arial" w:cs="Arial"/>
        </w:rPr>
        <w:t>Varszegi</w:t>
      </w:r>
      <w:proofErr w:type="spellEnd"/>
      <w:r w:rsidRPr="008B00BB">
        <w:rPr>
          <w:rFonts w:ascii="Arial" w:hAnsi="Arial" w:cs="Arial"/>
        </w:rPr>
        <w:t>, 2022; Shah, 2023; Yadav, 2021). Teachers with high efficacy are more likely to implement innovative instructional methods such as inquiry-based and collaborative learning, which are particularly beneficial in mathematics education (</w:t>
      </w:r>
      <w:proofErr w:type="spellStart"/>
      <w:r w:rsidRPr="008B00BB">
        <w:rPr>
          <w:rFonts w:ascii="Arial" w:hAnsi="Arial" w:cs="Arial"/>
        </w:rPr>
        <w:t>Jagnandan</w:t>
      </w:r>
      <w:proofErr w:type="spellEnd"/>
      <w:r w:rsidRPr="008B00BB">
        <w:rPr>
          <w:rFonts w:ascii="Arial" w:hAnsi="Arial" w:cs="Arial"/>
        </w:rPr>
        <w:t xml:space="preserve"> et al., 2024; Lee &amp; Paul, 2023; Hettinger et al., 2022; </w:t>
      </w:r>
      <w:proofErr w:type="spellStart"/>
      <w:r w:rsidRPr="008B00BB">
        <w:rPr>
          <w:rFonts w:ascii="Arial" w:hAnsi="Arial" w:cs="Arial"/>
        </w:rPr>
        <w:t>Bachtiar</w:t>
      </w:r>
      <w:proofErr w:type="spellEnd"/>
      <w:r w:rsidRPr="008B00BB">
        <w:rPr>
          <w:rFonts w:ascii="Arial" w:hAnsi="Arial" w:cs="Arial"/>
        </w:rPr>
        <w:t>, 2024). Additionally, teacher self-efficacy fosters student motivation and engagement through interactive and student-centered approaches (</w:t>
      </w:r>
      <w:proofErr w:type="spellStart"/>
      <w:r w:rsidRPr="008B00BB">
        <w:rPr>
          <w:rFonts w:ascii="Arial" w:hAnsi="Arial" w:cs="Arial"/>
        </w:rPr>
        <w:t>Zimu</w:t>
      </w:r>
      <w:proofErr w:type="spellEnd"/>
      <w:r w:rsidRPr="008B00BB">
        <w:rPr>
          <w:rFonts w:ascii="Arial" w:hAnsi="Arial" w:cs="Arial"/>
        </w:rPr>
        <w:t xml:space="preserve">, 2024; </w:t>
      </w:r>
      <w:proofErr w:type="spellStart"/>
      <w:r w:rsidRPr="008B00BB">
        <w:rPr>
          <w:rFonts w:ascii="Arial" w:hAnsi="Arial" w:cs="Arial"/>
        </w:rPr>
        <w:t>Hidayatullah</w:t>
      </w:r>
      <w:proofErr w:type="spellEnd"/>
      <w:r w:rsidRPr="008B00BB">
        <w:rPr>
          <w:rFonts w:ascii="Arial" w:hAnsi="Arial" w:cs="Arial"/>
        </w:rPr>
        <w:t xml:space="preserve"> et al., 2024). Formative assessment practices, integral to effective teaching, enable adjustments to instruction that better address student needs (Tashiro et al., 2021; Lumpkin, 2022; Oliveira &amp; Henriques, 2021; </w:t>
      </w:r>
      <w:proofErr w:type="spellStart"/>
      <w:r w:rsidRPr="008B00BB">
        <w:rPr>
          <w:rFonts w:ascii="Arial" w:hAnsi="Arial" w:cs="Arial"/>
        </w:rPr>
        <w:t>Gallavan</w:t>
      </w:r>
      <w:proofErr w:type="spellEnd"/>
      <w:r w:rsidRPr="008B00BB">
        <w:rPr>
          <w:rFonts w:ascii="Arial" w:hAnsi="Arial" w:cs="Arial"/>
        </w:rPr>
        <w:t>, 2020). Despite graduates’ confidence in addressing diverse learners, resource limitations and the complexity of inclusive teaching remain ongoing challenges (Ranbir &amp; Education, 2024; Meng, 2024; Devi, 2023).</w:t>
      </w:r>
    </w:p>
    <w:p w14:paraId="2E63AB32" w14:textId="2777A060" w:rsidR="008B00BB" w:rsidRDefault="008B00BB" w:rsidP="008B00BB">
      <w:pPr>
        <w:pStyle w:val="Body"/>
        <w:spacing w:after="0"/>
        <w:rPr>
          <w:rFonts w:ascii="Arial" w:hAnsi="Arial" w:cs="Arial"/>
        </w:rPr>
      </w:pPr>
    </w:p>
    <w:p w14:paraId="335042A4" w14:textId="291B9EFA" w:rsidR="008B00BB" w:rsidRPr="008B00BB" w:rsidRDefault="008B00BB" w:rsidP="008B00BB">
      <w:pPr>
        <w:pStyle w:val="Body"/>
        <w:spacing w:after="0"/>
        <w:rPr>
          <w:rFonts w:ascii="Arial" w:hAnsi="Arial" w:cs="Arial"/>
          <w:b/>
          <w:bCs/>
        </w:rPr>
      </w:pPr>
      <w:r w:rsidRPr="008B00BB">
        <w:rPr>
          <w:rFonts w:ascii="Arial" w:hAnsi="Arial" w:cs="Arial"/>
          <w:b/>
          <w:bCs/>
        </w:rPr>
        <w:t>3.2. The Synergistic Relationship Between Professional Development and Teaching Efficacy</w:t>
      </w:r>
    </w:p>
    <w:p w14:paraId="12B9C30B" w14:textId="12AE1673" w:rsidR="008B00BB" w:rsidRDefault="008B00BB" w:rsidP="00CD2DC5">
      <w:pPr>
        <w:pStyle w:val="Body"/>
        <w:spacing w:after="0"/>
        <w:jc w:val="left"/>
        <w:rPr>
          <w:rFonts w:ascii="Arial" w:hAnsi="Arial" w:cs="Arial"/>
          <w:sz w:val="22"/>
          <w:szCs w:val="22"/>
        </w:rPr>
      </w:pPr>
    </w:p>
    <w:p w14:paraId="3B9FEBFB" w14:textId="027E894B" w:rsidR="008B00BB" w:rsidRDefault="008B00BB" w:rsidP="008B00BB">
      <w:pPr>
        <w:pStyle w:val="Body"/>
        <w:spacing w:after="0"/>
        <w:rPr>
          <w:rFonts w:ascii="Arial" w:hAnsi="Arial" w:cs="Arial"/>
        </w:rPr>
      </w:pPr>
      <w:r>
        <w:rPr>
          <w:rFonts w:ascii="Arial" w:hAnsi="Arial" w:cs="Arial"/>
          <w:sz w:val="22"/>
          <w:szCs w:val="22"/>
        </w:rPr>
        <w:tab/>
      </w:r>
      <w:r w:rsidRPr="008B00BB">
        <w:rPr>
          <w:rFonts w:ascii="Arial" w:hAnsi="Arial" w:cs="Arial"/>
        </w:rPr>
        <w:t>The interaction between professional development and teaching efficacy is deeply synergistic. Darling-Hammond et al. (2020) assert that effective PD not only improves instructional competencies but also enhances teacher confidence and job satisfaction. Liu and Liao (2019) note that while PD equips teachers with technical strategies, efficacy determines how effectively these strategies are integrated into classroom practice. Walters (2023) adds that meaningful PD programs must be practical, collaborative, and sustained, as these qualities enhance both learning transfer and teacher motivation.</w:t>
      </w:r>
    </w:p>
    <w:p w14:paraId="4B65C4DB" w14:textId="1B2CDD01" w:rsidR="008B00BB" w:rsidRDefault="008B00BB" w:rsidP="008B00BB">
      <w:pPr>
        <w:pStyle w:val="Body"/>
        <w:spacing w:after="0"/>
        <w:rPr>
          <w:rFonts w:ascii="Arial" w:hAnsi="Arial" w:cs="Arial"/>
        </w:rPr>
      </w:pPr>
      <w:r>
        <w:rPr>
          <w:rFonts w:ascii="Arial" w:hAnsi="Arial" w:cs="Arial"/>
        </w:rPr>
        <w:tab/>
      </w:r>
      <w:r w:rsidRPr="008B00BB">
        <w:rPr>
          <w:rFonts w:ascii="Arial" w:hAnsi="Arial" w:cs="Arial"/>
        </w:rPr>
        <w:t xml:space="preserve">In mathematics education, where conceptual understanding and problem-solving are central, the need for aligned PD is even more pressing. </w:t>
      </w:r>
      <w:proofErr w:type="spellStart"/>
      <w:r w:rsidRPr="008B00BB">
        <w:rPr>
          <w:rFonts w:ascii="Arial" w:hAnsi="Arial" w:cs="Arial"/>
        </w:rPr>
        <w:t>Cevik</w:t>
      </w:r>
      <w:proofErr w:type="spellEnd"/>
      <w:r w:rsidRPr="008B00BB">
        <w:rPr>
          <w:rFonts w:ascii="Arial" w:hAnsi="Arial" w:cs="Arial"/>
        </w:rPr>
        <w:t xml:space="preserve"> et al. (2021) found that mathematics teachers who engaged in PD workshops on technology integration and problem-solving techniques not only improved their skills but also felt more empowered to apply them in class. Wang (2023) affirms that teaching efficacy acts as the psychological foundation that enables the successful application of newly acquired knowledge. Teachers with higher self-efficacy are more likely to persist in challenging situations and adopt innovative teaching practices (Yang, 2019; </w:t>
      </w:r>
      <w:proofErr w:type="spellStart"/>
      <w:r w:rsidRPr="008B00BB">
        <w:rPr>
          <w:rFonts w:ascii="Arial" w:hAnsi="Arial" w:cs="Arial"/>
        </w:rPr>
        <w:t>Perera</w:t>
      </w:r>
      <w:proofErr w:type="spellEnd"/>
      <w:r w:rsidRPr="008B00BB">
        <w:rPr>
          <w:rFonts w:ascii="Arial" w:hAnsi="Arial" w:cs="Arial"/>
        </w:rPr>
        <w:t xml:space="preserve"> &amp; John, 2020).</w:t>
      </w:r>
    </w:p>
    <w:p w14:paraId="23273546" w14:textId="0B3F6100" w:rsidR="008B00BB" w:rsidRDefault="008B00BB" w:rsidP="008B00BB">
      <w:pPr>
        <w:pStyle w:val="Body"/>
        <w:spacing w:after="0"/>
        <w:rPr>
          <w:rFonts w:ascii="Arial" w:hAnsi="Arial" w:cs="Arial"/>
        </w:rPr>
      </w:pPr>
      <w:r>
        <w:rPr>
          <w:rFonts w:ascii="Arial" w:hAnsi="Arial" w:cs="Arial"/>
        </w:rPr>
        <w:tab/>
      </w:r>
      <w:r w:rsidRPr="008B00BB">
        <w:rPr>
          <w:rFonts w:ascii="Arial" w:hAnsi="Arial" w:cs="Arial"/>
        </w:rPr>
        <w:t xml:space="preserve">Collaborative PD models that include peer mentoring and reflective practice further enhance this relationship. </w:t>
      </w:r>
      <w:proofErr w:type="spellStart"/>
      <w:r w:rsidRPr="008B00BB">
        <w:rPr>
          <w:rFonts w:ascii="Arial" w:hAnsi="Arial" w:cs="Arial"/>
        </w:rPr>
        <w:t>Boukhari</w:t>
      </w:r>
      <w:proofErr w:type="spellEnd"/>
      <w:r w:rsidRPr="008B00BB">
        <w:rPr>
          <w:rFonts w:ascii="Arial" w:hAnsi="Arial" w:cs="Arial"/>
        </w:rPr>
        <w:t xml:space="preserve"> (2021) and </w:t>
      </w:r>
      <w:proofErr w:type="spellStart"/>
      <w:r w:rsidRPr="008B00BB">
        <w:rPr>
          <w:rFonts w:ascii="Arial" w:hAnsi="Arial" w:cs="Arial"/>
        </w:rPr>
        <w:t>Juma</w:t>
      </w:r>
      <w:proofErr w:type="spellEnd"/>
      <w:r w:rsidRPr="008B00BB">
        <w:rPr>
          <w:rFonts w:ascii="Arial" w:hAnsi="Arial" w:cs="Arial"/>
        </w:rPr>
        <w:t xml:space="preserve"> (2024) both emphasize that shared learning environments foster a sense of community and collective responsibility, reinforcing individual efficacy and professional growth. Despite growing international research in this </w:t>
      </w:r>
      <w:r w:rsidRPr="008B00BB">
        <w:rPr>
          <w:rFonts w:ascii="Arial" w:hAnsi="Arial" w:cs="Arial"/>
        </w:rPr>
        <w:lastRenderedPageBreak/>
        <w:t>area, localized studies remain limited, especially within the context of institutions like Davao Oriental State University (</w:t>
      </w:r>
      <w:proofErr w:type="spellStart"/>
      <w:r w:rsidRPr="008B00BB">
        <w:rPr>
          <w:rFonts w:ascii="Arial" w:hAnsi="Arial" w:cs="Arial"/>
        </w:rPr>
        <w:t>DOrSU</w:t>
      </w:r>
      <w:proofErr w:type="spellEnd"/>
      <w:r w:rsidRPr="008B00BB">
        <w:rPr>
          <w:rFonts w:ascii="Arial" w:hAnsi="Arial" w:cs="Arial"/>
        </w:rPr>
        <w:t>). This research thus seeks to fill that gap by examining the link between PD and teaching efficacy among MSTM graduates.</w:t>
      </w:r>
    </w:p>
    <w:p w14:paraId="1978FFB0" w14:textId="1A7F4F1B" w:rsidR="008B00BB" w:rsidRDefault="008B00BB" w:rsidP="008B00BB">
      <w:pPr>
        <w:pStyle w:val="Body"/>
        <w:spacing w:after="0"/>
        <w:rPr>
          <w:rFonts w:ascii="Arial" w:hAnsi="Arial" w:cs="Arial"/>
        </w:rPr>
      </w:pPr>
    </w:p>
    <w:p w14:paraId="210A773B" w14:textId="78A9A445" w:rsidR="008B00BB" w:rsidRDefault="008B00BB" w:rsidP="008B00BB">
      <w:pPr>
        <w:pStyle w:val="Body"/>
        <w:spacing w:after="0"/>
        <w:rPr>
          <w:rFonts w:ascii="Arial" w:hAnsi="Arial" w:cs="Arial"/>
          <w:b/>
          <w:bCs/>
        </w:rPr>
      </w:pPr>
      <w:r w:rsidRPr="008B00BB">
        <w:rPr>
          <w:rFonts w:ascii="Arial" w:hAnsi="Arial" w:cs="Arial"/>
          <w:b/>
          <w:bCs/>
        </w:rPr>
        <w:t>3.3. Demographic Influences on Professional Development and Teaching Efficacy</w:t>
      </w:r>
    </w:p>
    <w:p w14:paraId="1F0FF623" w14:textId="6E58C981" w:rsidR="008B00BB" w:rsidRDefault="008B00BB" w:rsidP="008B00BB">
      <w:pPr>
        <w:pStyle w:val="Body"/>
        <w:spacing w:after="0"/>
        <w:rPr>
          <w:rFonts w:ascii="Arial" w:hAnsi="Arial" w:cs="Arial"/>
          <w:b/>
          <w:bCs/>
        </w:rPr>
      </w:pPr>
    </w:p>
    <w:p w14:paraId="5F374024" w14:textId="14CEAD22" w:rsidR="008B00BB" w:rsidRDefault="008B00BB" w:rsidP="008B00BB">
      <w:pPr>
        <w:pStyle w:val="Body"/>
        <w:spacing w:after="0"/>
        <w:rPr>
          <w:rFonts w:ascii="Arial" w:hAnsi="Arial" w:cs="Arial"/>
        </w:rPr>
      </w:pPr>
      <w:r>
        <w:rPr>
          <w:rFonts w:ascii="Arial" w:hAnsi="Arial" w:cs="Arial"/>
          <w:sz w:val="22"/>
          <w:szCs w:val="22"/>
        </w:rPr>
        <w:tab/>
      </w:r>
      <w:r w:rsidRPr="008B00BB">
        <w:rPr>
          <w:rFonts w:ascii="Arial" w:hAnsi="Arial" w:cs="Arial"/>
        </w:rPr>
        <w:t xml:space="preserve">While demographic factors such as age, gender, and teaching experience are commonly analyzed in relation to PD and teaching efficacy, their influence remains debated. Yoon and Kim (2022) suggest that while demographics provide context, they are not definitive predictors of teacher development or efficacy. Some studies, like </w:t>
      </w:r>
      <w:proofErr w:type="spellStart"/>
      <w:r w:rsidRPr="008B00BB">
        <w:rPr>
          <w:rFonts w:ascii="Arial" w:hAnsi="Arial" w:cs="Arial"/>
        </w:rPr>
        <w:t>Figland</w:t>
      </w:r>
      <w:proofErr w:type="spellEnd"/>
      <w:r w:rsidRPr="008B00BB">
        <w:rPr>
          <w:rFonts w:ascii="Arial" w:hAnsi="Arial" w:cs="Arial"/>
        </w:rPr>
        <w:t xml:space="preserve"> et al. (2019), argue that professional needs vary by career stage. However, </w:t>
      </w:r>
      <w:proofErr w:type="spellStart"/>
      <w:r w:rsidRPr="008B00BB">
        <w:rPr>
          <w:rFonts w:ascii="Arial" w:hAnsi="Arial" w:cs="Arial"/>
        </w:rPr>
        <w:t>Coppe</w:t>
      </w:r>
      <w:proofErr w:type="spellEnd"/>
      <w:r w:rsidRPr="008B00BB">
        <w:rPr>
          <w:rFonts w:ascii="Arial" w:hAnsi="Arial" w:cs="Arial"/>
        </w:rPr>
        <w:t xml:space="preserve"> et al. (2024) and Kim et al. (2023) contend that instructional challenges are generally universal, and effective PD should address these broadly rather than segmenting based on age or experience.</w:t>
      </w:r>
    </w:p>
    <w:p w14:paraId="57D4B3F6" w14:textId="49A6CC02" w:rsidR="008B00BB" w:rsidRDefault="008B00BB" w:rsidP="008B00BB">
      <w:pPr>
        <w:pStyle w:val="Body"/>
        <w:spacing w:after="0"/>
        <w:rPr>
          <w:rFonts w:ascii="Arial" w:hAnsi="Arial" w:cs="Arial"/>
        </w:rPr>
      </w:pPr>
      <w:r>
        <w:rPr>
          <w:rFonts w:ascii="Arial" w:hAnsi="Arial" w:cs="Arial"/>
        </w:rPr>
        <w:tab/>
      </w:r>
      <w:r w:rsidRPr="008B00BB">
        <w:rPr>
          <w:rFonts w:ascii="Arial" w:hAnsi="Arial" w:cs="Arial"/>
        </w:rPr>
        <w:t xml:space="preserve">Teaching efficacy appears to be shaped more by mastery experiences and supportive environments than by demographic characteristics. </w:t>
      </w:r>
      <w:proofErr w:type="spellStart"/>
      <w:r w:rsidRPr="008B00BB">
        <w:rPr>
          <w:rFonts w:ascii="Arial" w:hAnsi="Arial" w:cs="Arial"/>
        </w:rPr>
        <w:t>Kleppang</w:t>
      </w:r>
      <w:proofErr w:type="spellEnd"/>
      <w:r w:rsidRPr="008B00BB">
        <w:rPr>
          <w:rFonts w:ascii="Arial" w:hAnsi="Arial" w:cs="Arial"/>
        </w:rPr>
        <w:t xml:space="preserve"> et al. (2023) and </w:t>
      </w:r>
      <w:proofErr w:type="spellStart"/>
      <w:r w:rsidRPr="008B00BB">
        <w:rPr>
          <w:rFonts w:ascii="Arial" w:hAnsi="Arial" w:cs="Arial"/>
        </w:rPr>
        <w:t>Yoo</w:t>
      </w:r>
      <w:proofErr w:type="spellEnd"/>
      <w:r w:rsidRPr="008B00BB">
        <w:rPr>
          <w:rFonts w:ascii="Arial" w:hAnsi="Arial" w:cs="Arial"/>
        </w:rPr>
        <w:t xml:space="preserve"> (2016) maintain that ongoing professional learning and systemic support play a more crucial role than tenure or age in shaping efficacy beliefs. Clark and Newberry (2018), referencing Bandura’s theory, further argue that efficacy is more influenced by environmental and experiential factors than by demographic ones.</w:t>
      </w:r>
    </w:p>
    <w:p w14:paraId="1EED4424" w14:textId="7189A033" w:rsidR="008B00BB" w:rsidRDefault="008B00BB" w:rsidP="008B00BB">
      <w:pPr>
        <w:pStyle w:val="Body"/>
        <w:spacing w:after="0"/>
        <w:rPr>
          <w:rFonts w:ascii="Arial" w:hAnsi="Arial" w:cs="Arial"/>
        </w:rPr>
      </w:pPr>
      <w:r>
        <w:rPr>
          <w:rFonts w:ascii="Arial" w:hAnsi="Arial" w:cs="Arial"/>
        </w:rPr>
        <w:tab/>
      </w:r>
      <w:r w:rsidRPr="008B00BB">
        <w:rPr>
          <w:rFonts w:ascii="Arial" w:hAnsi="Arial" w:cs="Arial"/>
        </w:rPr>
        <w:t>Gender-related findings are more nuanced. Mitton-</w:t>
      </w:r>
      <w:proofErr w:type="spellStart"/>
      <w:r w:rsidRPr="008B00BB">
        <w:rPr>
          <w:rFonts w:ascii="Arial" w:hAnsi="Arial" w:cs="Arial"/>
        </w:rPr>
        <w:t>Kukner</w:t>
      </w:r>
      <w:proofErr w:type="spellEnd"/>
      <w:r w:rsidRPr="008B00BB">
        <w:rPr>
          <w:rFonts w:ascii="Arial" w:hAnsi="Arial" w:cs="Arial"/>
        </w:rPr>
        <w:t xml:space="preserve"> (2020) and </w:t>
      </w:r>
      <w:proofErr w:type="spellStart"/>
      <w:r w:rsidRPr="008B00BB">
        <w:rPr>
          <w:rFonts w:ascii="Arial" w:hAnsi="Arial" w:cs="Arial"/>
        </w:rPr>
        <w:t>Godara</w:t>
      </w:r>
      <w:proofErr w:type="spellEnd"/>
      <w:r w:rsidRPr="008B00BB">
        <w:rPr>
          <w:rFonts w:ascii="Arial" w:hAnsi="Arial" w:cs="Arial"/>
        </w:rPr>
        <w:t xml:space="preserve"> (2024) suggest that gender roles and societal expectations can impact access to PD opportunities and influence confidence levels. Conversely, studies like </w:t>
      </w:r>
      <w:proofErr w:type="spellStart"/>
      <w:r w:rsidRPr="008B00BB">
        <w:rPr>
          <w:rFonts w:ascii="Arial" w:hAnsi="Arial" w:cs="Arial"/>
        </w:rPr>
        <w:t>Lysinge</w:t>
      </w:r>
      <w:proofErr w:type="spellEnd"/>
      <w:r w:rsidRPr="008B00BB">
        <w:rPr>
          <w:rFonts w:ascii="Arial" w:hAnsi="Arial" w:cs="Arial"/>
        </w:rPr>
        <w:t xml:space="preserve"> (2019) and </w:t>
      </w:r>
      <w:proofErr w:type="spellStart"/>
      <w:r w:rsidRPr="008B00BB">
        <w:rPr>
          <w:rFonts w:ascii="Arial" w:hAnsi="Arial" w:cs="Arial"/>
        </w:rPr>
        <w:t>Haverback</w:t>
      </w:r>
      <w:proofErr w:type="spellEnd"/>
      <w:r w:rsidRPr="008B00BB">
        <w:rPr>
          <w:rFonts w:ascii="Arial" w:hAnsi="Arial" w:cs="Arial"/>
        </w:rPr>
        <w:t xml:space="preserve"> (2022) report no significant gender-based differences in efficacy levels, reinforcing Bandura’s assertion that self-efficacy stems from universally accessible experiences such as modeling, feedback, and personal mastery.</w:t>
      </w:r>
    </w:p>
    <w:p w14:paraId="47D3B18C" w14:textId="0A72DA74" w:rsidR="008B00BB" w:rsidRDefault="008B00BB" w:rsidP="008B00BB">
      <w:pPr>
        <w:pStyle w:val="Body"/>
        <w:spacing w:after="0"/>
        <w:rPr>
          <w:rFonts w:ascii="Arial" w:hAnsi="Arial" w:cs="Arial"/>
        </w:rPr>
      </w:pPr>
      <w:r>
        <w:rPr>
          <w:rFonts w:ascii="Arial" w:hAnsi="Arial" w:cs="Arial"/>
        </w:rPr>
        <w:tab/>
      </w:r>
      <w:r w:rsidRPr="008B00BB">
        <w:rPr>
          <w:rFonts w:ascii="Arial" w:hAnsi="Arial" w:cs="Arial"/>
        </w:rPr>
        <w:t>Although demographic variables may offer useful insights, Law (2023) and Brien et al. (2023) emphasize that they are not the strongest determinants of professional development or teaching efficacy. Instead, access to reflective, collaborative, and sustained learning environments plays a more significant role (Marshall et al., 2022). Given this, the present study investigates not only the level and relationship of professional development and teaching efficacy but also whether significant differences exist across demographic subgroups among MSTM graduates.</w:t>
      </w:r>
    </w:p>
    <w:p w14:paraId="733357CC" w14:textId="77777777" w:rsidR="008B00BB" w:rsidRPr="008B00BB" w:rsidRDefault="008B00BB" w:rsidP="008B00BB">
      <w:pPr>
        <w:pStyle w:val="Body"/>
        <w:spacing w:after="0"/>
        <w:rPr>
          <w:rFonts w:ascii="Arial" w:hAnsi="Arial" w:cs="Arial"/>
          <w:sz w:val="22"/>
          <w:szCs w:val="22"/>
        </w:rPr>
      </w:pPr>
    </w:p>
    <w:p w14:paraId="0DC5CAA3" w14:textId="301365B2" w:rsidR="00B9544A" w:rsidRDefault="008B00BB" w:rsidP="00CD2DC5">
      <w:pPr>
        <w:pStyle w:val="Body"/>
        <w:spacing w:after="0"/>
        <w:jc w:val="left"/>
        <w:rPr>
          <w:rFonts w:ascii="Arial" w:hAnsi="Arial" w:cs="Arial"/>
          <w:b/>
          <w:bCs/>
          <w:sz w:val="22"/>
          <w:szCs w:val="22"/>
        </w:rPr>
      </w:pPr>
      <w:r>
        <w:rPr>
          <w:rFonts w:ascii="Arial" w:hAnsi="Arial" w:cs="Arial"/>
          <w:b/>
          <w:bCs/>
          <w:sz w:val="22"/>
          <w:szCs w:val="22"/>
        </w:rPr>
        <w:t>4.</w:t>
      </w:r>
      <w:r w:rsidR="00B9544A">
        <w:rPr>
          <w:rFonts w:ascii="Arial" w:hAnsi="Arial" w:cs="Arial"/>
          <w:b/>
          <w:bCs/>
          <w:sz w:val="22"/>
          <w:szCs w:val="22"/>
        </w:rPr>
        <w:t>MATERIALS AND METHODS</w:t>
      </w:r>
    </w:p>
    <w:p w14:paraId="55A80B72" w14:textId="64A82BEA" w:rsidR="00152230" w:rsidRDefault="00110481" w:rsidP="00110481">
      <w:pPr>
        <w:pStyle w:val="Body"/>
        <w:spacing w:after="0"/>
        <w:ind w:firstLine="720"/>
        <w:rPr>
          <w:rFonts w:ascii="Arial" w:hAnsi="Arial" w:cs="Arial"/>
        </w:rPr>
      </w:pPr>
      <w:r w:rsidRPr="00110481">
        <w:rPr>
          <w:rFonts w:ascii="Arial" w:hAnsi="Arial" w:cs="Arial"/>
        </w:rPr>
        <w:t>This section outlines the research design, instruments, participants, and procedures used to examine the relationship between professional development and teaching efficacy among Master of Science in Teaching Mathematics graduates of Davao Oriental State University. A structured and ethical approach was applied to ensure the reliability and validity of the data collected and analyzed.</w:t>
      </w:r>
    </w:p>
    <w:p w14:paraId="22A98B7F" w14:textId="2503C0AA" w:rsidR="00110481" w:rsidRDefault="00110481" w:rsidP="00110481">
      <w:pPr>
        <w:pStyle w:val="Body"/>
        <w:spacing w:after="0"/>
        <w:ind w:firstLine="720"/>
        <w:rPr>
          <w:rFonts w:ascii="Arial" w:hAnsi="Arial" w:cs="Arial"/>
        </w:rPr>
      </w:pPr>
    </w:p>
    <w:p w14:paraId="1C02EEE2" w14:textId="77777777" w:rsidR="00110481" w:rsidRPr="00110481" w:rsidRDefault="00110481" w:rsidP="00110481">
      <w:pPr>
        <w:pStyle w:val="Body"/>
        <w:spacing w:after="0"/>
        <w:ind w:firstLine="720"/>
        <w:rPr>
          <w:rFonts w:ascii="Arial" w:hAnsi="Arial" w:cs="Arial"/>
        </w:rPr>
      </w:pPr>
    </w:p>
    <w:p w14:paraId="1CDD33F6" w14:textId="140CC4C9" w:rsidR="00152230" w:rsidRPr="00152230" w:rsidRDefault="00152230" w:rsidP="008B00BB">
      <w:pPr>
        <w:pStyle w:val="Body"/>
        <w:numPr>
          <w:ilvl w:val="1"/>
          <w:numId w:val="31"/>
        </w:numPr>
        <w:spacing w:after="0"/>
        <w:jc w:val="left"/>
        <w:rPr>
          <w:rFonts w:ascii="Arial" w:hAnsi="Arial" w:cs="Arial"/>
          <w:b/>
          <w:bCs/>
        </w:rPr>
      </w:pPr>
      <w:r w:rsidRPr="00152230">
        <w:rPr>
          <w:rFonts w:ascii="Arial" w:hAnsi="Arial" w:cs="Arial"/>
          <w:b/>
          <w:bCs/>
        </w:rPr>
        <w:t>Research Design</w:t>
      </w:r>
    </w:p>
    <w:p w14:paraId="403BE57A" w14:textId="7E123902" w:rsidR="00152230" w:rsidRDefault="00152230" w:rsidP="00152230">
      <w:pPr>
        <w:pBdr>
          <w:top w:val="nil"/>
          <w:left w:val="nil"/>
          <w:bottom w:val="nil"/>
          <w:right w:val="nil"/>
          <w:between w:val="nil"/>
        </w:pBdr>
        <w:ind w:firstLine="720"/>
        <w:jc w:val="both"/>
        <w:rPr>
          <w:rFonts w:ascii="Arial" w:eastAsia="Arial" w:hAnsi="Arial" w:cs="Arial"/>
          <w:color w:val="000000"/>
          <w:lang w:eastAsia="en-PH"/>
        </w:rPr>
      </w:pPr>
      <w:r w:rsidRPr="00152230">
        <w:rPr>
          <w:rFonts w:ascii="Arial" w:eastAsia="Arial" w:hAnsi="Arial" w:cs="Arial"/>
          <w:color w:val="000000"/>
          <w:lang w:eastAsia="en-PH"/>
        </w:rPr>
        <w:t xml:space="preserve">This study used a descriptive-correlational design </w:t>
      </w:r>
      <w:r w:rsidRPr="00152230">
        <w:rPr>
          <w:rFonts w:ascii="Arial" w:eastAsia="Arial" w:hAnsi="Arial" w:cs="Arial"/>
          <w:color w:val="000000"/>
          <w:lang w:val="en-PH" w:eastAsia="en-PH"/>
        </w:rPr>
        <w:t>aimed at understanding the characteristics of variables and exploring the relationships between them (</w:t>
      </w:r>
      <w:bookmarkStart w:id="0" w:name="_Hlk182335055"/>
      <w:proofErr w:type="spellStart"/>
      <w:r w:rsidR="00E87B6C">
        <w:rPr>
          <w:rFonts w:ascii="Arial" w:eastAsia="Arial" w:hAnsi="Arial" w:cs="Arial"/>
          <w:color w:val="000000"/>
          <w:lang w:val="en-PH" w:eastAsia="en-PH"/>
        </w:rPr>
        <w:t>Panniamogan</w:t>
      </w:r>
      <w:proofErr w:type="spellEnd"/>
      <w:r w:rsidR="00E87B6C">
        <w:rPr>
          <w:rFonts w:ascii="Arial" w:eastAsia="Arial" w:hAnsi="Arial" w:cs="Arial"/>
          <w:color w:val="000000"/>
          <w:lang w:val="en-PH" w:eastAsia="en-PH"/>
        </w:rPr>
        <w:t xml:space="preserve"> &amp; </w:t>
      </w:r>
      <w:proofErr w:type="spellStart"/>
      <w:r w:rsidR="00E87B6C">
        <w:rPr>
          <w:rFonts w:ascii="Arial" w:eastAsia="Arial" w:hAnsi="Arial" w:cs="Arial"/>
          <w:color w:val="000000"/>
          <w:lang w:val="en-PH" w:eastAsia="en-PH"/>
        </w:rPr>
        <w:t>Dioso</w:t>
      </w:r>
      <w:proofErr w:type="spellEnd"/>
      <w:r w:rsidRPr="00152230">
        <w:rPr>
          <w:rFonts w:ascii="Arial" w:eastAsia="Arial" w:hAnsi="Arial" w:cs="Arial"/>
          <w:color w:val="000000"/>
          <w:lang w:val="en-PH" w:eastAsia="en-PH"/>
        </w:rPr>
        <w:t>, 20</w:t>
      </w:r>
      <w:bookmarkEnd w:id="0"/>
      <w:r w:rsidR="00E87B6C">
        <w:rPr>
          <w:rFonts w:ascii="Arial" w:eastAsia="Arial" w:hAnsi="Arial" w:cs="Arial"/>
          <w:color w:val="000000"/>
          <w:lang w:val="en-PH" w:eastAsia="en-PH"/>
        </w:rPr>
        <w:t>24</w:t>
      </w:r>
      <w:r w:rsidRPr="00152230">
        <w:rPr>
          <w:rFonts w:ascii="Arial" w:eastAsia="Arial" w:hAnsi="Arial" w:cs="Arial"/>
          <w:color w:val="000000"/>
          <w:lang w:val="en-PH" w:eastAsia="en-PH"/>
        </w:rPr>
        <w:t xml:space="preserve">). </w:t>
      </w:r>
      <w:r w:rsidRPr="00152230">
        <w:rPr>
          <w:rFonts w:ascii="Arial" w:eastAsia="Arial" w:hAnsi="Arial" w:cs="Arial"/>
          <w:color w:val="000000"/>
          <w:lang w:eastAsia="en-PH"/>
        </w:rPr>
        <w:t xml:space="preserve">The primary focus was to determine the significant relationship between </w:t>
      </w:r>
      <w:r>
        <w:rPr>
          <w:rFonts w:ascii="Arial" w:eastAsia="Arial" w:hAnsi="Arial" w:cs="Arial"/>
          <w:color w:val="000000"/>
          <w:lang w:eastAsia="en-PH"/>
        </w:rPr>
        <w:t>professional development and teaching efficacy of Master of Science Teaching Mathematics graduates of Davao Oriental State University</w:t>
      </w:r>
      <w:r w:rsidRPr="00152230">
        <w:rPr>
          <w:rFonts w:ascii="Arial" w:eastAsia="Arial" w:hAnsi="Arial" w:cs="Arial"/>
          <w:color w:val="000000"/>
          <w:lang w:eastAsia="en-PH"/>
        </w:rPr>
        <w:t xml:space="preserve">. Data collection involved descriptive surveys, using questionnaires to assess </w:t>
      </w:r>
      <w:r>
        <w:rPr>
          <w:rFonts w:ascii="Arial" w:eastAsia="Arial" w:hAnsi="Arial" w:cs="Arial"/>
          <w:color w:val="000000"/>
          <w:lang w:eastAsia="en-PH"/>
        </w:rPr>
        <w:t>graduates</w:t>
      </w:r>
      <w:r w:rsidRPr="00152230">
        <w:rPr>
          <w:rFonts w:ascii="Arial" w:eastAsia="Arial" w:hAnsi="Arial" w:cs="Arial"/>
          <w:color w:val="000000"/>
          <w:lang w:eastAsia="en-PH"/>
        </w:rPr>
        <w:t xml:space="preserve">’ </w:t>
      </w:r>
      <w:r>
        <w:rPr>
          <w:rFonts w:ascii="Arial" w:eastAsia="Arial" w:hAnsi="Arial" w:cs="Arial"/>
          <w:color w:val="000000"/>
          <w:lang w:eastAsia="en-PH"/>
        </w:rPr>
        <w:t>professional development and their teaching eff</w:t>
      </w:r>
      <w:r w:rsidR="00C0429E">
        <w:rPr>
          <w:rFonts w:ascii="Arial" w:eastAsia="Arial" w:hAnsi="Arial" w:cs="Arial"/>
          <w:color w:val="000000"/>
          <w:lang w:eastAsia="en-PH"/>
        </w:rPr>
        <w:t>i</w:t>
      </w:r>
      <w:r>
        <w:rPr>
          <w:rFonts w:ascii="Arial" w:eastAsia="Arial" w:hAnsi="Arial" w:cs="Arial"/>
          <w:color w:val="000000"/>
          <w:lang w:eastAsia="en-PH"/>
        </w:rPr>
        <w:t>cacy</w:t>
      </w:r>
      <w:r w:rsidRPr="00152230">
        <w:rPr>
          <w:rFonts w:ascii="Arial" w:eastAsia="Arial" w:hAnsi="Arial" w:cs="Arial"/>
          <w:color w:val="000000"/>
          <w:lang w:eastAsia="en-PH"/>
        </w:rPr>
        <w:t>.</w:t>
      </w:r>
    </w:p>
    <w:p w14:paraId="1A315C85" w14:textId="77777777" w:rsidR="00790ADA" w:rsidRPr="00502516" w:rsidRDefault="00790ADA" w:rsidP="00441B6F">
      <w:pPr>
        <w:pStyle w:val="Body"/>
        <w:spacing w:after="0"/>
        <w:rPr>
          <w:rFonts w:ascii="Arial" w:hAnsi="Arial" w:cs="Arial"/>
        </w:rPr>
      </w:pPr>
    </w:p>
    <w:p w14:paraId="016C559B" w14:textId="1BB64223" w:rsidR="00C0429E" w:rsidRPr="00C0429E" w:rsidRDefault="00C0429E" w:rsidP="008B00BB">
      <w:pPr>
        <w:pStyle w:val="Body"/>
        <w:numPr>
          <w:ilvl w:val="1"/>
          <w:numId w:val="31"/>
        </w:numPr>
        <w:spacing w:after="0"/>
        <w:jc w:val="left"/>
        <w:rPr>
          <w:rFonts w:ascii="Arial" w:hAnsi="Arial" w:cs="Arial"/>
          <w:b/>
          <w:bCs/>
        </w:rPr>
      </w:pPr>
      <w:r>
        <w:rPr>
          <w:rFonts w:ascii="Arial" w:hAnsi="Arial" w:cs="Arial"/>
          <w:b/>
          <w:bCs/>
        </w:rPr>
        <w:t>Research Instrument</w:t>
      </w:r>
    </w:p>
    <w:p w14:paraId="57CE874F" w14:textId="1D8F4E0B" w:rsidR="00F422E4" w:rsidRDefault="00811DEF" w:rsidP="00811DEF">
      <w:pPr>
        <w:pStyle w:val="Body"/>
        <w:spacing w:after="0"/>
        <w:ind w:firstLine="720"/>
        <w:rPr>
          <w:rFonts w:ascii="Arial" w:hAnsi="Arial" w:cs="Arial"/>
        </w:rPr>
      </w:pPr>
      <w:r w:rsidRPr="00811DEF">
        <w:rPr>
          <w:rFonts w:ascii="Arial" w:hAnsi="Arial" w:cs="Arial"/>
        </w:rPr>
        <w:lastRenderedPageBreak/>
        <w:t xml:space="preserve">Two sets of questionnaires were used in this study. The questionnaire for professional development was based on five indicators—relevance to teaching practice, improvement in teaching skills, reflection and growth, collaboration and peer learning, and support and implementation—and was adapted from </w:t>
      </w:r>
      <w:proofErr w:type="spellStart"/>
      <w:r w:rsidRPr="00811DEF">
        <w:rPr>
          <w:rFonts w:ascii="Arial" w:hAnsi="Arial" w:cs="Arial"/>
        </w:rPr>
        <w:t>Mallilin</w:t>
      </w:r>
      <w:proofErr w:type="spellEnd"/>
      <w:r w:rsidRPr="00811DEF">
        <w:rPr>
          <w:rFonts w:ascii="Arial" w:hAnsi="Arial" w:cs="Arial"/>
        </w:rPr>
        <w:t xml:space="preserve"> and Laurel (2022). The questionnaire for teaching efficacy was also anchored on five indicators—classroom management efficacy, instructional strategies efficacy, student engagement efficacy, efficacy in assessing student understanding, and efficacy in meeting diverse student needs—and was adapted from Mohammad et al. (2011). In both questionnaires, respondents were asked to place a check mark in the box corresponding to their degree of agreement, ranging from 1 (Strongly Disagree) to 5 (Strongly Agree).</w:t>
      </w:r>
    </w:p>
    <w:p w14:paraId="782DC1A6" w14:textId="77777777" w:rsidR="00A03B96" w:rsidRDefault="00A03B96" w:rsidP="00441B6F">
      <w:pPr>
        <w:pStyle w:val="Body"/>
        <w:spacing w:after="0"/>
        <w:rPr>
          <w:rFonts w:ascii="Arial" w:hAnsi="Arial" w:cs="Arial"/>
        </w:rPr>
      </w:pPr>
    </w:p>
    <w:p w14:paraId="061EDBAD" w14:textId="26178DC7" w:rsidR="00F422E4" w:rsidRPr="00F422E4" w:rsidRDefault="00F422E4" w:rsidP="008B00BB">
      <w:pPr>
        <w:pStyle w:val="Body"/>
        <w:numPr>
          <w:ilvl w:val="1"/>
          <w:numId w:val="31"/>
        </w:numPr>
        <w:spacing w:after="0"/>
        <w:jc w:val="left"/>
        <w:rPr>
          <w:rFonts w:ascii="Arial" w:hAnsi="Arial" w:cs="Arial"/>
          <w:b/>
          <w:bCs/>
        </w:rPr>
      </w:pPr>
      <w:r>
        <w:rPr>
          <w:rFonts w:ascii="Arial" w:hAnsi="Arial" w:cs="Arial"/>
          <w:b/>
          <w:bCs/>
        </w:rPr>
        <w:t>Respondents of the Study</w:t>
      </w:r>
    </w:p>
    <w:p w14:paraId="0655913F" w14:textId="37FCB55C" w:rsidR="00505F06" w:rsidRPr="00B22104" w:rsidRDefault="00BC1A1B" w:rsidP="00BC1A1B">
      <w:pPr>
        <w:pBdr>
          <w:top w:val="nil"/>
          <w:left w:val="nil"/>
          <w:bottom w:val="nil"/>
          <w:right w:val="nil"/>
          <w:between w:val="nil"/>
        </w:pBdr>
        <w:ind w:firstLine="720"/>
        <w:jc w:val="both"/>
        <w:rPr>
          <w:rFonts w:ascii="Arial" w:hAnsi="Arial" w:cs="Arial"/>
        </w:rPr>
      </w:pPr>
      <w:r w:rsidRPr="00BC1A1B">
        <w:rPr>
          <w:rFonts w:ascii="Arial" w:eastAsia="Arial" w:hAnsi="Arial" w:cs="Arial"/>
          <w:color w:val="000000"/>
        </w:rPr>
        <w:t>There are 65 graduates of the Master of Science in Teaching Mathematics (MSTM) program at Davao Oriental State University (</w:t>
      </w:r>
      <w:proofErr w:type="spellStart"/>
      <w:r w:rsidRPr="00BC1A1B">
        <w:rPr>
          <w:rFonts w:ascii="Arial" w:eastAsia="Arial" w:hAnsi="Arial" w:cs="Arial"/>
          <w:color w:val="000000"/>
        </w:rPr>
        <w:t>DOrSU</w:t>
      </w:r>
      <w:proofErr w:type="spellEnd"/>
      <w:r w:rsidRPr="00BC1A1B">
        <w:rPr>
          <w:rFonts w:ascii="Arial" w:eastAsia="Arial" w:hAnsi="Arial" w:cs="Arial"/>
          <w:color w:val="000000"/>
        </w:rPr>
        <w:t>) from 2003 to 2024. However, only 25 graduates were successfully reached and agreed to participate in the study. This deviation from the total population is acceptable in cases involving small population sizes (Saunders, Lewis, &amp; Thornhill, 2019).</w:t>
      </w:r>
    </w:p>
    <w:p w14:paraId="4C416D44" w14:textId="77777777" w:rsidR="00F349D8" w:rsidRDefault="00F349D8" w:rsidP="00441B6F">
      <w:pPr>
        <w:pStyle w:val="Body"/>
        <w:spacing w:after="0"/>
        <w:rPr>
          <w:rFonts w:ascii="Arial" w:hAnsi="Arial" w:cs="Arial"/>
        </w:rPr>
      </w:pPr>
    </w:p>
    <w:p w14:paraId="1BB1C84C" w14:textId="6693BAAC" w:rsidR="00AA74E0" w:rsidRPr="002E6DC0" w:rsidRDefault="002E6DC0" w:rsidP="008B00BB">
      <w:pPr>
        <w:pStyle w:val="Body"/>
        <w:numPr>
          <w:ilvl w:val="1"/>
          <w:numId w:val="31"/>
        </w:numPr>
        <w:spacing w:after="0"/>
        <w:rPr>
          <w:rFonts w:ascii="Arial" w:hAnsi="Arial" w:cs="Arial"/>
        </w:rPr>
      </w:pPr>
      <w:r>
        <w:rPr>
          <w:rFonts w:ascii="Arial" w:hAnsi="Arial" w:cs="Arial"/>
          <w:b/>
        </w:rPr>
        <w:t>Data Gathering</w:t>
      </w:r>
    </w:p>
    <w:p w14:paraId="6D87B874" w14:textId="77777777" w:rsidR="00D51E9F" w:rsidRPr="00380CBB" w:rsidRDefault="00D51E9F" w:rsidP="00D51E9F">
      <w:pPr>
        <w:widowControl w:val="0"/>
        <w:autoSpaceDE w:val="0"/>
        <w:autoSpaceDN w:val="0"/>
        <w:ind w:firstLine="720"/>
        <w:jc w:val="both"/>
        <w:rPr>
          <w:rFonts w:ascii="Arial" w:hAnsi="Arial" w:cs="Arial"/>
          <w:color w:val="000000" w:themeColor="text1"/>
          <w:szCs w:val="24"/>
        </w:rPr>
      </w:pPr>
      <w:r w:rsidRPr="00380CBB">
        <w:rPr>
          <w:rFonts w:ascii="Arial" w:hAnsi="Arial" w:cs="Arial"/>
          <w:color w:val="000000" w:themeColor="text1"/>
          <w:szCs w:val="24"/>
        </w:rPr>
        <w:t>This study employed a systematic procedure to ensure the accurate collection and analysis of data. The process began with securing clearance from the Research Ethics Board, which reviewed and validated the ethical considerations of the survey instrument. Following this, a formal letter of request was prepared and submitted to obtain permission to conduct the study. This letter, requiring an official signature, signified authorization to proceed and ensured that participants were adequately informed and protected throughout the research process.</w:t>
      </w:r>
    </w:p>
    <w:p w14:paraId="716A9B79" w14:textId="631F5296" w:rsidR="00D51E9F" w:rsidRPr="00380CBB" w:rsidRDefault="00D51E9F" w:rsidP="00D51E9F">
      <w:pPr>
        <w:widowControl w:val="0"/>
        <w:autoSpaceDE w:val="0"/>
        <w:autoSpaceDN w:val="0"/>
        <w:ind w:firstLine="720"/>
        <w:jc w:val="both"/>
        <w:rPr>
          <w:rFonts w:ascii="Arial" w:hAnsi="Arial" w:cs="Arial"/>
          <w:color w:val="000000" w:themeColor="text1"/>
          <w:szCs w:val="24"/>
        </w:rPr>
      </w:pPr>
      <w:r w:rsidRPr="00380CBB">
        <w:rPr>
          <w:rFonts w:ascii="Arial" w:hAnsi="Arial" w:cs="Arial"/>
          <w:color w:val="000000" w:themeColor="text1"/>
          <w:szCs w:val="24"/>
        </w:rPr>
        <w:t xml:space="preserve">Upon receiving approval, the survey questionnaires were distributed to </w:t>
      </w:r>
      <w:r w:rsidR="00770A2E" w:rsidRPr="00380CBB">
        <w:rPr>
          <w:rFonts w:ascii="Arial" w:hAnsi="Arial" w:cs="Arial"/>
          <w:color w:val="000000" w:themeColor="text1"/>
          <w:szCs w:val="24"/>
        </w:rPr>
        <w:t>identified</w:t>
      </w:r>
      <w:r w:rsidRPr="00380CBB">
        <w:rPr>
          <w:rFonts w:ascii="Arial" w:hAnsi="Arial" w:cs="Arial"/>
          <w:color w:val="000000" w:themeColor="text1"/>
          <w:szCs w:val="24"/>
        </w:rPr>
        <w:t xml:space="preserve"> graduates of the Master of Science in Teaching (MST) program majoring in Mathematics. The data collected from the completed questionnaires underwent thorough analysis, utilizing appropriate statistical and analytical methods. The researcher systematically described and summarized the data to ensure clarity, accuracy, and comprehensiveness.</w:t>
      </w:r>
    </w:p>
    <w:p w14:paraId="4D80300E" w14:textId="785ABD0A" w:rsidR="002E6DC0" w:rsidRPr="00380CBB" w:rsidRDefault="00D51E9F" w:rsidP="00D51E9F">
      <w:pPr>
        <w:widowControl w:val="0"/>
        <w:autoSpaceDE w:val="0"/>
        <w:autoSpaceDN w:val="0"/>
        <w:ind w:firstLine="720"/>
        <w:jc w:val="both"/>
        <w:rPr>
          <w:rFonts w:ascii="Arial" w:hAnsi="Arial" w:cs="Arial"/>
          <w:color w:val="000000" w:themeColor="text1"/>
          <w:szCs w:val="24"/>
        </w:rPr>
      </w:pPr>
      <w:r w:rsidRPr="00380CBB">
        <w:rPr>
          <w:rFonts w:ascii="Arial" w:hAnsi="Arial" w:cs="Arial"/>
          <w:color w:val="000000" w:themeColor="text1"/>
          <w:szCs w:val="24"/>
        </w:rPr>
        <w:t xml:space="preserve">Findings were presented objectively, without manipulation, and organized in a manner that promotes transparency and ease of interpretation. This rigorous and </w:t>
      </w:r>
      <w:bookmarkStart w:id="1" w:name="_GoBack"/>
      <w:r w:rsidRPr="00380CBB">
        <w:rPr>
          <w:rFonts w:ascii="Arial" w:hAnsi="Arial" w:cs="Arial"/>
          <w:color w:val="000000" w:themeColor="text1"/>
          <w:szCs w:val="24"/>
        </w:rPr>
        <w:t>ethic</w:t>
      </w:r>
      <w:bookmarkEnd w:id="1"/>
      <w:r w:rsidRPr="00380CBB">
        <w:rPr>
          <w:rFonts w:ascii="Arial" w:hAnsi="Arial" w:cs="Arial"/>
          <w:color w:val="000000" w:themeColor="text1"/>
          <w:szCs w:val="24"/>
        </w:rPr>
        <w:t>al approach to data collection and analysis reinforces the integrity of the research process and supports the reliability of its results.</w:t>
      </w:r>
    </w:p>
    <w:p w14:paraId="28CC11E2" w14:textId="77777777" w:rsidR="00790ADA" w:rsidRPr="002E6DC0" w:rsidRDefault="00790ADA" w:rsidP="00441B6F">
      <w:pPr>
        <w:pStyle w:val="Body"/>
        <w:spacing w:after="0"/>
        <w:rPr>
          <w:rFonts w:ascii="Arial" w:hAnsi="Arial" w:cs="Arial"/>
          <w:iCs/>
        </w:rPr>
      </w:pPr>
    </w:p>
    <w:p w14:paraId="37D6DAFA" w14:textId="1720E8FD" w:rsidR="00902823" w:rsidRDefault="00FD31F7" w:rsidP="00441B6F">
      <w:pPr>
        <w:pStyle w:val="Head1"/>
        <w:spacing w:after="0"/>
        <w:jc w:val="both"/>
        <w:rPr>
          <w:rFonts w:ascii="Arial" w:hAnsi="Arial" w:cs="Arial"/>
        </w:rPr>
      </w:pPr>
      <w:r>
        <w:rPr>
          <w:rFonts w:ascii="Arial" w:hAnsi="Arial" w:cs="Arial"/>
        </w:rPr>
        <w:t>5</w:t>
      </w:r>
      <w:r w:rsidR="00902823">
        <w:rPr>
          <w:rFonts w:ascii="Arial" w:hAnsi="Arial" w:cs="Arial"/>
        </w:rPr>
        <w:t xml:space="preserve">. </w:t>
      </w:r>
      <w:r w:rsidR="00000F8F">
        <w:rPr>
          <w:rFonts w:ascii="Arial" w:hAnsi="Arial" w:cs="Arial"/>
        </w:rPr>
        <w:t>results and discussion</w:t>
      </w:r>
    </w:p>
    <w:p w14:paraId="734B5BC4" w14:textId="77777777" w:rsidR="00B151A8" w:rsidRDefault="00B151A8" w:rsidP="00B151A8">
      <w:pPr>
        <w:pStyle w:val="Head1"/>
        <w:spacing w:after="0"/>
        <w:ind w:firstLine="720"/>
        <w:jc w:val="both"/>
        <w:rPr>
          <w:rFonts w:ascii="Arial" w:hAnsi="Arial" w:cs="Arial"/>
          <w:b w:val="0"/>
          <w:bCs/>
          <w:caps w:val="0"/>
          <w:sz w:val="20"/>
          <w:szCs w:val="18"/>
        </w:rPr>
      </w:pPr>
    </w:p>
    <w:p w14:paraId="489B746C" w14:textId="72F9A022" w:rsidR="00790ADA" w:rsidRPr="00B151A8" w:rsidRDefault="00B151A8" w:rsidP="00B151A8">
      <w:pPr>
        <w:pStyle w:val="Head1"/>
        <w:spacing w:after="0"/>
        <w:ind w:firstLine="720"/>
        <w:jc w:val="both"/>
        <w:rPr>
          <w:rFonts w:ascii="Arial" w:hAnsi="Arial" w:cs="Arial"/>
          <w:b w:val="0"/>
          <w:bCs/>
          <w:sz w:val="20"/>
          <w:szCs w:val="18"/>
        </w:rPr>
      </w:pPr>
      <w:r w:rsidRPr="00B151A8">
        <w:rPr>
          <w:rFonts w:ascii="Arial" w:hAnsi="Arial" w:cs="Arial"/>
          <w:b w:val="0"/>
          <w:bCs/>
          <w:caps w:val="0"/>
          <w:sz w:val="20"/>
          <w:szCs w:val="18"/>
        </w:rPr>
        <w:t xml:space="preserve">This chapter presents the findings of the study based on the data gathered from the </w:t>
      </w:r>
      <w:r>
        <w:rPr>
          <w:rFonts w:ascii="Arial" w:hAnsi="Arial" w:cs="Arial"/>
          <w:b w:val="0"/>
          <w:bCs/>
          <w:caps w:val="0"/>
          <w:sz w:val="20"/>
          <w:szCs w:val="18"/>
        </w:rPr>
        <w:t>MSTM</w:t>
      </w:r>
      <w:r w:rsidRPr="00B151A8">
        <w:rPr>
          <w:rFonts w:ascii="Arial" w:hAnsi="Arial" w:cs="Arial"/>
          <w:b w:val="0"/>
          <w:bCs/>
          <w:caps w:val="0"/>
          <w:sz w:val="20"/>
          <w:szCs w:val="18"/>
        </w:rPr>
        <w:t xml:space="preserve"> graduates of </w:t>
      </w:r>
      <w:r>
        <w:rPr>
          <w:rFonts w:ascii="Arial" w:hAnsi="Arial" w:cs="Arial"/>
          <w:b w:val="0"/>
          <w:bCs/>
          <w:caps w:val="0"/>
          <w:sz w:val="20"/>
          <w:szCs w:val="18"/>
        </w:rPr>
        <w:t>D</w:t>
      </w:r>
      <w:r w:rsidRPr="00B151A8">
        <w:rPr>
          <w:rFonts w:ascii="Arial" w:hAnsi="Arial" w:cs="Arial"/>
          <w:b w:val="0"/>
          <w:bCs/>
          <w:caps w:val="0"/>
          <w:sz w:val="20"/>
          <w:szCs w:val="18"/>
        </w:rPr>
        <w:t xml:space="preserve">avao </w:t>
      </w:r>
      <w:r>
        <w:rPr>
          <w:rFonts w:ascii="Arial" w:hAnsi="Arial" w:cs="Arial"/>
          <w:b w:val="0"/>
          <w:bCs/>
          <w:caps w:val="0"/>
          <w:sz w:val="20"/>
          <w:szCs w:val="18"/>
        </w:rPr>
        <w:t>O</w:t>
      </w:r>
      <w:r w:rsidRPr="00B151A8">
        <w:rPr>
          <w:rFonts w:ascii="Arial" w:hAnsi="Arial" w:cs="Arial"/>
          <w:b w:val="0"/>
          <w:bCs/>
          <w:caps w:val="0"/>
          <w:sz w:val="20"/>
          <w:szCs w:val="18"/>
        </w:rPr>
        <w:t xml:space="preserve">riental </w:t>
      </w:r>
      <w:r>
        <w:rPr>
          <w:rFonts w:ascii="Arial" w:hAnsi="Arial" w:cs="Arial"/>
          <w:b w:val="0"/>
          <w:bCs/>
          <w:caps w:val="0"/>
          <w:sz w:val="20"/>
          <w:szCs w:val="18"/>
        </w:rPr>
        <w:t>S</w:t>
      </w:r>
      <w:r w:rsidRPr="00B151A8">
        <w:rPr>
          <w:rFonts w:ascii="Arial" w:hAnsi="Arial" w:cs="Arial"/>
          <w:b w:val="0"/>
          <w:bCs/>
          <w:caps w:val="0"/>
          <w:sz w:val="20"/>
          <w:szCs w:val="18"/>
        </w:rPr>
        <w:t xml:space="preserve">tate </w:t>
      </w:r>
      <w:r>
        <w:rPr>
          <w:rFonts w:ascii="Arial" w:hAnsi="Arial" w:cs="Arial"/>
          <w:b w:val="0"/>
          <w:bCs/>
          <w:caps w:val="0"/>
          <w:sz w:val="20"/>
          <w:szCs w:val="18"/>
        </w:rPr>
        <w:t>U</w:t>
      </w:r>
      <w:r w:rsidRPr="00B151A8">
        <w:rPr>
          <w:rFonts w:ascii="Arial" w:hAnsi="Arial" w:cs="Arial"/>
          <w:b w:val="0"/>
          <w:bCs/>
          <w:caps w:val="0"/>
          <w:sz w:val="20"/>
          <w:szCs w:val="18"/>
        </w:rPr>
        <w:t>niversity. The results are organized according to the research objectives, highlighting the levels of professional development and teaching efficacy, the relationship between these variables, and the influence of demographic factors such as age, gender, and teaching experience.</w:t>
      </w:r>
    </w:p>
    <w:p w14:paraId="18395158" w14:textId="7A8C34AC" w:rsidR="00790ADA" w:rsidRDefault="00790ADA" w:rsidP="00441B6F">
      <w:pPr>
        <w:pStyle w:val="Body"/>
        <w:spacing w:after="0"/>
        <w:rPr>
          <w:rFonts w:ascii="Arial" w:hAnsi="Arial" w:cs="Arial"/>
        </w:rPr>
      </w:pPr>
    </w:p>
    <w:p w14:paraId="6FCDB71F" w14:textId="0D536369" w:rsidR="00FD31F7" w:rsidRDefault="00FD31F7" w:rsidP="00441B6F">
      <w:pPr>
        <w:pStyle w:val="Body"/>
        <w:spacing w:after="0"/>
        <w:rPr>
          <w:rFonts w:ascii="Arial" w:hAnsi="Arial" w:cs="Arial"/>
          <w:b/>
          <w:bCs/>
          <w:sz w:val="22"/>
          <w:szCs w:val="22"/>
        </w:rPr>
      </w:pPr>
      <w:r w:rsidRPr="00FD31F7">
        <w:rPr>
          <w:rFonts w:ascii="Arial" w:hAnsi="Arial" w:cs="Arial"/>
          <w:b/>
          <w:bCs/>
          <w:sz w:val="22"/>
          <w:szCs w:val="22"/>
        </w:rPr>
        <w:t>5.1. RESULTS</w:t>
      </w:r>
    </w:p>
    <w:p w14:paraId="531968CB" w14:textId="5AD1FE8F" w:rsidR="00FD31F7" w:rsidRDefault="00FD31F7" w:rsidP="00441B6F">
      <w:pPr>
        <w:pStyle w:val="Body"/>
        <w:spacing w:after="0"/>
        <w:rPr>
          <w:rFonts w:ascii="Arial" w:hAnsi="Arial" w:cs="Arial"/>
          <w:b/>
          <w:bCs/>
          <w:sz w:val="22"/>
          <w:szCs w:val="22"/>
        </w:rPr>
      </w:pPr>
    </w:p>
    <w:p w14:paraId="451F8B51" w14:textId="0BDF0FF8" w:rsidR="00FD31F7" w:rsidRPr="00FD31F7" w:rsidRDefault="00FD31F7" w:rsidP="00441B6F">
      <w:pPr>
        <w:pStyle w:val="Body"/>
        <w:spacing w:after="0"/>
        <w:rPr>
          <w:rFonts w:ascii="Arial" w:hAnsi="Arial" w:cs="Arial"/>
        </w:rPr>
      </w:pPr>
      <w:r>
        <w:rPr>
          <w:rFonts w:ascii="Arial" w:hAnsi="Arial" w:cs="Arial"/>
          <w:b/>
          <w:bCs/>
          <w:sz w:val="22"/>
          <w:szCs w:val="22"/>
        </w:rPr>
        <w:tab/>
      </w:r>
      <w:r w:rsidRPr="00FD31F7">
        <w:rPr>
          <w:rFonts w:ascii="Arial" w:hAnsi="Arial" w:cs="Arial"/>
        </w:rPr>
        <w:t>This section presents the analyzed data collected from MSTM graduates of Davao Oriental State University. The results are systematically arranged according to the study’s objectives, detailing the levels of professional development and teaching efficacy, the correlation between the two variables, and the differences observed across demographic groups. Descriptive and inferential statistics are used to summarize and interpret the findings.</w:t>
      </w:r>
    </w:p>
    <w:p w14:paraId="02029604" w14:textId="7961BB26" w:rsidR="00F2124F" w:rsidRPr="00F2124F" w:rsidRDefault="00FD31F7" w:rsidP="00F2124F">
      <w:pPr>
        <w:pStyle w:val="Body"/>
        <w:spacing w:after="0"/>
        <w:jc w:val="center"/>
        <w:rPr>
          <w:rFonts w:ascii="Arial" w:hAnsi="Arial" w:cs="Arial"/>
          <w:b/>
          <w:bCs/>
        </w:rPr>
      </w:pPr>
      <w:r>
        <w:rPr>
          <w:rFonts w:ascii="Arial" w:hAnsi="Arial" w:cs="Arial"/>
          <w:b/>
          <w:bCs/>
        </w:rPr>
        <w:t xml:space="preserve">5.1.1. </w:t>
      </w:r>
      <w:r w:rsidR="00F2124F">
        <w:rPr>
          <w:rFonts w:ascii="Arial" w:hAnsi="Arial" w:cs="Arial"/>
          <w:b/>
          <w:bCs/>
        </w:rPr>
        <w:t xml:space="preserve">Level </w:t>
      </w:r>
      <w:r w:rsidR="00632968">
        <w:rPr>
          <w:rFonts w:ascii="Arial" w:hAnsi="Arial" w:cs="Arial"/>
          <w:b/>
          <w:bCs/>
        </w:rPr>
        <w:t xml:space="preserve">of </w:t>
      </w:r>
      <w:r w:rsidR="00F2124F">
        <w:rPr>
          <w:rFonts w:ascii="Arial" w:hAnsi="Arial" w:cs="Arial"/>
          <w:b/>
          <w:bCs/>
        </w:rPr>
        <w:t xml:space="preserve">Professional </w:t>
      </w:r>
      <w:r w:rsidR="00632968">
        <w:rPr>
          <w:rFonts w:ascii="Arial" w:hAnsi="Arial" w:cs="Arial"/>
          <w:b/>
          <w:bCs/>
        </w:rPr>
        <w:t>D</w:t>
      </w:r>
      <w:r w:rsidR="00F2124F">
        <w:rPr>
          <w:rFonts w:ascii="Arial" w:hAnsi="Arial" w:cs="Arial"/>
          <w:b/>
          <w:bCs/>
        </w:rPr>
        <w:t xml:space="preserve">evelopment </w:t>
      </w:r>
    </w:p>
    <w:p w14:paraId="69F24A60" w14:textId="0DFCF392" w:rsidR="00502516" w:rsidRDefault="00502516" w:rsidP="00441B6F">
      <w:pPr>
        <w:pStyle w:val="Body"/>
        <w:spacing w:after="0"/>
        <w:rPr>
          <w:rFonts w:ascii="Arial" w:hAnsi="Arial" w:cs="Arial"/>
        </w:rPr>
      </w:pPr>
    </w:p>
    <w:p w14:paraId="2362E098" w14:textId="09E5941C" w:rsidR="007C38DF" w:rsidRDefault="001B7D13" w:rsidP="00441B6F">
      <w:pPr>
        <w:pStyle w:val="Body"/>
        <w:spacing w:after="0"/>
        <w:rPr>
          <w:rFonts w:ascii="Arial" w:hAnsi="Arial" w:cs="Arial"/>
        </w:rPr>
      </w:pPr>
      <w:r>
        <w:rPr>
          <w:rFonts w:ascii="Arial" w:hAnsi="Arial" w:cs="Arial"/>
        </w:rPr>
        <w:tab/>
      </w:r>
      <w:r w:rsidR="007C38DF">
        <w:rPr>
          <w:rFonts w:ascii="Arial" w:hAnsi="Arial" w:cs="Arial"/>
        </w:rPr>
        <w:t>T</w:t>
      </w:r>
      <w:r w:rsidR="007C38DF" w:rsidRPr="007C38DF">
        <w:rPr>
          <w:rFonts w:ascii="Arial" w:hAnsi="Arial" w:cs="Arial"/>
        </w:rPr>
        <w:t>able 1 presents the summary of the professional development of MST Mathematics graduates based on the survey conducted by the researcher. The table includes five indicators: relevance to teaching practice; improvement in teaching skills; reflection and growth; collaboration and peer learning; and support and implementation. Frequencies and percentages per response category were also considered to provide a more detailed view of participants’ responses</w:t>
      </w:r>
      <w:r w:rsidR="00F2124F" w:rsidRPr="002D797F">
        <w:rPr>
          <w:rFonts w:ascii="Arial" w:hAnsi="Arial" w:cs="Arial"/>
        </w:rPr>
        <w:t xml:space="preserve">. </w:t>
      </w:r>
    </w:p>
    <w:p w14:paraId="6C4A0ACE" w14:textId="509C9DE9" w:rsidR="00985DEA" w:rsidRPr="002D797F" w:rsidRDefault="00B27DED" w:rsidP="007C38DF">
      <w:pPr>
        <w:pStyle w:val="Body"/>
        <w:spacing w:after="0"/>
        <w:ind w:firstLine="720"/>
        <w:rPr>
          <w:rFonts w:ascii="Arial" w:hAnsi="Arial" w:cs="Arial"/>
        </w:rPr>
      </w:pPr>
      <w:r w:rsidRPr="002D797F">
        <w:rPr>
          <w:rFonts w:ascii="Arial" w:hAnsi="Arial" w:cs="Arial"/>
        </w:rPr>
        <w:t>The findings reveal that the overall level of professional development among MST Mathematics graduates is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4.33</m:t>
        </m:r>
      </m:oMath>
      <w:r w:rsidR="001B7D13" w:rsidRPr="002D797F">
        <w:rPr>
          <w:rFonts w:ascii="Arial" w:hAnsi="Arial" w:cs="Arial"/>
        </w:rPr>
        <w:t>,</w:t>
      </w:r>
      <m:oMath>
        <m:r>
          <w:rPr>
            <w:rFonts w:ascii="Cambria Math" w:hAnsi="Cambria Math" w:cs="Arial"/>
          </w:rPr>
          <m:t>s=0.41</m:t>
        </m:r>
      </m:oMath>
      <w:r w:rsidRPr="002D797F">
        <w:rPr>
          <w:rFonts w:ascii="Arial" w:hAnsi="Arial" w:cs="Arial"/>
        </w:rPr>
        <w:t>), indicating that the measures described in the items were man</w:t>
      </w:r>
      <w:proofErr w:type="spellStart"/>
      <w:r w:rsidRPr="002D797F">
        <w:rPr>
          <w:rFonts w:ascii="Arial" w:hAnsi="Arial" w:cs="Arial"/>
        </w:rPr>
        <w:t>ifested</w:t>
      </w:r>
      <w:proofErr w:type="spellEnd"/>
      <w:r w:rsidRPr="002D797F">
        <w:rPr>
          <w:rFonts w:ascii="Arial" w:hAnsi="Arial" w:cs="Arial"/>
        </w:rPr>
        <w:t xml:space="preserve"> at all </w:t>
      </w:r>
      <w:r w:rsidR="00985DEA" w:rsidRPr="002D797F">
        <w:rPr>
          <w:rFonts w:ascii="Arial" w:hAnsi="Arial" w:cs="Arial"/>
        </w:rPr>
        <w:t>times</w:t>
      </w:r>
      <w:r w:rsidRPr="002D797F">
        <w:rPr>
          <w:rFonts w:ascii="Arial" w:hAnsi="Arial" w:cs="Arial"/>
        </w:rPr>
        <w:t>. This result is consistent with Ho et al. (2023), who emphasized the importance of equipping teachers with up-to-date skills to meet evolving educational demands and improve student outcomes.</w:t>
      </w:r>
    </w:p>
    <w:p w14:paraId="7BABD829" w14:textId="3CE9F26A" w:rsidR="004C646D" w:rsidRPr="002D797F" w:rsidRDefault="004C646D" w:rsidP="004C646D">
      <w:pPr>
        <w:pStyle w:val="Body"/>
        <w:spacing w:after="0"/>
        <w:ind w:firstLine="720"/>
        <w:rPr>
          <w:rFonts w:ascii="Arial" w:hAnsi="Arial" w:cs="Arial"/>
        </w:rPr>
      </w:pPr>
      <w:r w:rsidRPr="002D797F">
        <w:rPr>
          <w:rFonts w:ascii="Arial" w:hAnsi="Arial" w:cs="Arial"/>
        </w:rPr>
        <w:t>Results revealed that relevance to teaching practice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4.41</m:t>
        </m:r>
      </m:oMath>
      <w:r w:rsidRPr="002D797F">
        <w:rPr>
          <w:rFonts w:ascii="Arial" w:hAnsi="Arial" w:cs="Arial"/>
        </w:rPr>
        <w:t xml:space="preserve">, </w:t>
      </w:r>
      <m:oMath>
        <m:r>
          <w:rPr>
            <w:rFonts w:ascii="Cambria Math" w:hAnsi="Cambria Math" w:cs="Arial"/>
          </w:rPr>
          <m:t>s=0 .50</m:t>
        </m:r>
      </m:oMath>
      <w:r w:rsidRPr="002D797F">
        <w:rPr>
          <w:rFonts w:ascii="Arial" w:hAnsi="Arial" w:cs="Arial"/>
        </w:rPr>
        <w:t>) and improvement in teaching skills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4.40</m:t>
        </m:r>
      </m:oMath>
      <w:r w:rsidRPr="002D797F">
        <w:rPr>
          <w:rFonts w:ascii="Arial" w:hAnsi="Arial" w:cs="Arial"/>
        </w:rPr>
        <w:t xml:space="preserve">, </w:t>
      </w:r>
      <m:oMath>
        <m:r>
          <w:rPr>
            <w:rFonts w:ascii="Cambria Math" w:hAnsi="Cambria Math" w:cs="Arial"/>
          </w:rPr>
          <m:t>s = 0.52</m:t>
        </m:r>
      </m:oMath>
      <w:r w:rsidRPr="002D797F">
        <w:rPr>
          <w:rFonts w:ascii="Arial" w:hAnsi="Arial" w:cs="Arial"/>
        </w:rPr>
        <w:t xml:space="preserve">) were rated very high, indicating that the professional development (PD) activities were timely and aligned with instructional needs. This supports the findings of Juma (2024) and Mustafa &amp; </w:t>
      </w:r>
      <w:proofErr w:type="spellStart"/>
      <w:r w:rsidRPr="002D797F">
        <w:rPr>
          <w:rFonts w:ascii="Arial" w:hAnsi="Arial" w:cs="Arial"/>
        </w:rPr>
        <w:t>Paçariz</w:t>
      </w:r>
      <w:proofErr w:type="spellEnd"/>
      <w:r w:rsidRPr="002D797F">
        <w:rPr>
          <w:rFonts w:ascii="Arial" w:hAnsi="Arial" w:cs="Arial"/>
        </w:rPr>
        <w:t xml:space="preserve"> (2021), who emphasized the importance of aligning PD with classroom realities, particularly in mathematics education, where innovative strategies like problem-based learning are essential (</w:t>
      </w:r>
      <w:proofErr w:type="spellStart"/>
      <w:r w:rsidRPr="002D797F">
        <w:rPr>
          <w:rFonts w:ascii="Arial" w:hAnsi="Arial" w:cs="Arial"/>
        </w:rPr>
        <w:t>Gradini</w:t>
      </w:r>
      <w:proofErr w:type="spellEnd"/>
      <w:r w:rsidRPr="002D797F">
        <w:rPr>
          <w:rFonts w:ascii="Arial" w:hAnsi="Arial" w:cs="Arial"/>
        </w:rPr>
        <w:t xml:space="preserve"> et al., 2024).</w:t>
      </w:r>
    </w:p>
    <w:p w14:paraId="54709AA2" w14:textId="289D866B" w:rsidR="00985DEA" w:rsidRPr="002D797F" w:rsidRDefault="004C646D" w:rsidP="00441B6F">
      <w:pPr>
        <w:pStyle w:val="Body"/>
        <w:spacing w:after="0"/>
        <w:rPr>
          <w:rFonts w:ascii="Arial" w:hAnsi="Arial" w:cs="Arial"/>
        </w:rPr>
      </w:pPr>
      <w:r w:rsidRPr="002D797F">
        <w:rPr>
          <w:rFonts w:ascii="Arial" w:hAnsi="Arial" w:cs="Arial"/>
        </w:rPr>
        <w:tab/>
        <w:t>Reflection and growth received the highest rating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4.44</m:t>
        </m:r>
      </m:oMath>
      <w:r w:rsidRPr="002D797F">
        <w:rPr>
          <w:rFonts w:ascii="Arial" w:hAnsi="Arial" w:cs="Arial"/>
        </w:rPr>
        <w:t xml:space="preserve">, </w:t>
      </w:r>
      <m:oMath>
        <m:r>
          <w:rPr>
            <w:rFonts w:ascii="Cambria Math" w:hAnsi="Cambria Math" w:cs="Arial"/>
          </w:rPr>
          <m:t>s= 0.43</m:t>
        </m:r>
      </m:oMath>
      <w:r w:rsidRPr="002D797F">
        <w:rPr>
          <w:rFonts w:ascii="Arial" w:hAnsi="Arial" w:cs="Arial"/>
        </w:rPr>
        <w:t>), highlighting the graduates’ strong commitment to continuous improvement. This is consistent with Alnijres (2024) and Zakaria (2020), who identified reflection as a key factor in teacher developme</w:t>
      </w:r>
      <w:proofErr w:type="spellStart"/>
      <w:r w:rsidRPr="002D797F">
        <w:rPr>
          <w:rFonts w:ascii="Arial" w:hAnsi="Arial" w:cs="Arial"/>
        </w:rPr>
        <w:t>nt</w:t>
      </w:r>
      <w:proofErr w:type="spellEnd"/>
      <w:r w:rsidRPr="002D797F">
        <w:rPr>
          <w:rFonts w:ascii="Arial" w:hAnsi="Arial" w:cs="Arial"/>
        </w:rPr>
        <w:t>, though challenges in institutional support persist (</w:t>
      </w:r>
      <w:proofErr w:type="spellStart"/>
      <w:r w:rsidRPr="002D797F">
        <w:rPr>
          <w:rFonts w:ascii="Arial" w:hAnsi="Arial" w:cs="Arial"/>
        </w:rPr>
        <w:t>Machost</w:t>
      </w:r>
      <w:proofErr w:type="spellEnd"/>
      <w:r w:rsidRPr="002D797F">
        <w:rPr>
          <w:rFonts w:ascii="Arial" w:hAnsi="Arial" w:cs="Arial"/>
        </w:rPr>
        <w:t xml:space="preserve"> &amp; Stains, 2023).</w:t>
      </w:r>
    </w:p>
    <w:p w14:paraId="3963536C" w14:textId="21A424AF" w:rsidR="004C646D" w:rsidRPr="002D797F" w:rsidRDefault="004C646D" w:rsidP="00441B6F">
      <w:pPr>
        <w:pStyle w:val="Body"/>
        <w:spacing w:after="0"/>
        <w:rPr>
          <w:rFonts w:ascii="Arial" w:hAnsi="Arial" w:cs="Arial"/>
        </w:rPr>
      </w:pPr>
      <w:r w:rsidRPr="002D797F">
        <w:rPr>
          <w:rFonts w:ascii="Arial" w:hAnsi="Arial" w:cs="Arial"/>
        </w:rPr>
        <w:tab/>
        <w:t>Collaboration and peer learning also scored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4.35</m:t>
        </m:r>
      </m:oMath>
      <w:r w:rsidRPr="002D797F">
        <w:rPr>
          <w:rFonts w:ascii="Arial" w:hAnsi="Arial" w:cs="Arial"/>
        </w:rPr>
        <w:t xml:space="preserve">, </w:t>
      </w:r>
      <m:oMath>
        <m:r>
          <w:rPr>
            <w:rFonts w:ascii="Cambria Math" w:hAnsi="Cambria Math" w:cs="Arial"/>
          </w:rPr>
          <m:t>s = 0.44</m:t>
        </m:r>
      </m:oMath>
      <w:r w:rsidRPr="002D797F">
        <w:rPr>
          <w:rFonts w:ascii="Arial" w:hAnsi="Arial" w:cs="Arial"/>
        </w:rPr>
        <w:t>), affirming the value of professional dialogue in enhancing teaching practices (Wagner et al., 2019). H</w:t>
      </w:r>
      <w:proofErr w:type="spellStart"/>
      <w:r w:rsidRPr="002D797F">
        <w:rPr>
          <w:rFonts w:ascii="Arial" w:hAnsi="Arial" w:cs="Arial"/>
        </w:rPr>
        <w:t>owever</w:t>
      </w:r>
      <w:proofErr w:type="spellEnd"/>
      <w:r w:rsidRPr="002D797F">
        <w:rPr>
          <w:rFonts w:ascii="Arial" w:hAnsi="Arial" w:cs="Arial"/>
        </w:rPr>
        <w:t>, institutional constraints like time and support can limit its effectiveness (Pannell et al., 2019).</w:t>
      </w:r>
    </w:p>
    <w:p w14:paraId="1B5B133E" w14:textId="2BA62AD2" w:rsidR="004C646D" w:rsidRPr="002D797F" w:rsidRDefault="004C646D" w:rsidP="00441B6F">
      <w:pPr>
        <w:pStyle w:val="Body"/>
        <w:spacing w:after="0"/>
        <w:rPr>
          <w:rFonts w:ascii="Arial" w:hAnsi="Arial" w:cs="Arial"/>
        </w:rPr>
      </w:pPr>
      <w:r w:rsidRPr="002D797F">
        <w:rPr>
          <w:rFonts w:ascii="Arial" w:hAnsi="Arial" w:cs="Arial"/>
        </w:rPr>
        <w:tab/>
        <w:t>Support and implementation received the lowest, though still high, rating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4.04</m:t>
        </m:r>
      </m:oMath>
      <w:r w:rsidRPr="002D797F">
        <w:rPr>
          <w:rFonts w:ascii="Arial" w:hAnsi="Arial" w:cs="Arial"/>
        </w:rPr>
        <w:t xml:space="preserve">, </w:t>
      </w:r>
      <m:oMath>
        <m:r>
          <w:rPr>
            <w:rFonts w:ascii="Cambria Math" w:hAnsi="Cambria Math" w:cs="Arial"/>
          </w:rPr>
          <m:t>s = 0.78</m:t>
        </m:r>
      </m:oMath>
      <w:r w:rsidRPr="002D797F">
        <w:rPr>
          <w:rFonts w:ascii="Arial" w:hAnsi="Arial" w:cs="Arial"/>
        </w:rPr>
        <w:t xml:space="preserve">), indicating a gap in sustained follow-up. This aligns with </w:t>
      </w:r>
      <w:proofErr w:type="spellStart"/>
      <w:r w:rsidRPr="002D797F">
        <w:rPr>
          <w:rFonts w:ascii="Arial" w:hAnsi="Arial" w:cs="Arial"/>
        </w:rPr>
        <w:t>Sandholtz</w:t>
      </w:r>
      <w:proofErr w:type="spellEnd"/>
      <w:r w:rsidRPr="002D797F">
        <w:rPr>
          <w:rFonts w:ascii="Arial" w:hAnsi="Arial" w:cs="Arial"/>
        </w:rPr>
        <w:t xml:space="preserve"> et al. (2023), who stressed that without continuous support, the impact of PD often diminishes. Strengthening implementation structures remains essential (Lee et al., 2024; Qazi, 2017).</w:t>
      </w:r>
    </w:p>
    <w:p w14:paraId="1D904791" w14:textId="1337E19D" w:rsidR="00F92613" w:rsidRDefault="00F92613" w:rsidP="00AF21B5">
      <w:pPr>
        <w:pStyle w:val="Body"/>
        <w:spacing w:after="0"/>
        <w:rPr>
          <w:rFonts w:ascii="Arial" w:hAnsi="Arial" w:cs="Arial"/>
        </w:rPr>
      </w:pPr>
    </w:p>
    <w:p w14:paraId="61D6FE2E" w14:textId="303E3C1F" w:rsidR="00F92613" w:rsidRPr="00F92613" w:rsidRDefault="001B7D13" w:rsidP="00AF21B5">
      <w:pPr>
        <w:pStyle w:val="Body"/>
        <w:spacing w:after="0"/>
        <w:rPr>
          <w:rFonts w:ascii="Arial" w:hAnsi="Arial" w:cs="Arial"/>
        </w:rPr>
      </w:pPr>
      <w:r>
        <w:rPr>
          <w:rFonts w:ascii="Arial" w:hAnsi="Arial" w:cs="Arial"/>
        </w:rPr>
        <w:t>Table 1</w:t>
      </w:r>
      <w:r w:rsidR="00F92613">
        <w:rPr>
          <w:rFonts w:ascii="Arial" w:hAnsi="Arial" w:cs="Arial"/>
        </w:rPr>
        <w:t xml:space="preserve">. </w:t>
      </w:r>
      <w:r>
        <w:rPr>
          <w:rFonts w:ascii="Arial" w:hAnsi="Arial" w:cs="Arial"/>
        </w:rPr>
        <w:t>Level of the P</w:t>
      </w:r>
      <w:r w:rsidR="00F92613">
        <w:rPr>
          <w:rFonts w:ascii="Arial" w:hAnsi="Arial" w:cs="Arial"/>
        </w:rPr>
        <w:t>rofessional Development</w:t>
      </w:r>
      <w:r w:rsidR="007C38DF">
        <w:rPr>
          <w:rFonts w:ascii="Arial" w:hAnsi="Arial" w:cs="Arial"/>
        </w:rPr>
        <w:t xml:space="preserve"> based on various </w:t>
      </w:r>
      <w:r w:rsidR="00B162C7">
        <w:rPr>
          <w:rFonts w:ascii="Arial" w:hAnsi="Arial" w:cs="Arial"/>
        </w:rPr>
        <w:t>indicators</w:t>
      </w:r>
      <w:r w:rsidR="007C38DF">
        <w:rPr>
          <w:rFonts w:ascii="Arial" w:hAnsi="Arial" w:cs="Arial"/>
        </w:rPr>
        <w:t xml:space="preserve"> (n = 25)</w:t>
      </w:r>
    </w:p>
    <w:tbl>
      <w:tblPr>
        <w:tblW w:w="8549" w:type="dxa"/>
        <w:tblInd w:w="93" w:type="dxa"/>
        <w:tblLook w:val="04A0" w:firstRow="1" w:lastRow="0" w:firstColumn="1" w:lastColumn="0" w:noHBand="0" w:noVBand="1"/>
      </w:tblPr>
      <w:tblGrid>
        <w:gridCol w:w="1584"/>
        <w:gridCol w:w="1174"/>
        <w:gridCol w:w="1120"/>
        <w:gridCol w:w="528"/>
        <w:gridCol w:w="639"/>
        <w:gridCol w:w="528"/>
        <w:gridCol w:w="639"/>
        <w:gridCol w:w="528"/>
        <w:gridCol w:w="639"/>
        <w:gridCol w:w="1505"/>
      </w:tblGrid>
      <w:tr w:rsidR="007C38DF" w:rsidRPr="00F2124F" w14:paraId="3FDF9F50" w14:textId="77777777" w:rsidTr="007C38DF">
        <w:trPr>
          <w:trHeight w:val="357"/>
        </w:trPr>
        <w:tc>
          <w:tcPr>
            <w:tcW w:w="3168" w:type="dxa"/>
            <w:tcBorders>
              <w:top w:val="single" w:sz="4" w:space="0" w:color="auto"/>
              <w:bottom w:val="single" w:sz="4" w:space="0" w:color="auto"/>
            </w:tcBorders>
            <w:shd w:val="clear" w:color="auto" w:fill="auto"/>
            <w:vAlign w:val="center"/>
            <w:hideMark/>
          </w:tcPr>
          <w:p w14:paraId="5BCB83BF" w14:textId="77777777" w:rsidR="007C38DF" w:rsidRPr="007C38DF" w:rsidRDefault="007C38DF" w:rsidP="00C00B5B">
            <w:pPr>
              <w:pStyle w:val="Body"/>
              <w:spacing w:after="0"/>
              <w:rPr>
                <w:rFonts w:ascii="Arial" w:hAnsi="Arial" w:cs="Arial"/>
                <w:b/>
                <w:bCs/>
                <w:lang w:val="en-PH"/>
              </w:rPr>
            </w:pPr>
            <w:r w:rsidRPr="007C38DF">
              <w:rPr>
                <w:rFonts w:ascii="Arial" w:hAnsi="Arial" w:cs="Arial"/>
                <w:b/>
                <w:bCs/>
                <w:lang w:val="en-PH"/>
              </w:rPr>
              <w:t>Factors of Professional Development</w:t>
            </w:r>
          </w:p>
        </w:tc>
        <w:tc>
          <w:tcPr>
            <w:tcW w:w="1174" w:type="dxa"/>
            <w:tcBorders>
              <w:top w:val="single" w:sz="4" w:space="0" w:color="auto"/>
              <w:bottom w:val="single" w:sz="4" w:space="0" w:color="auto"/>
            </w:tcBorders>
            <w:shd w:val="clear" w:color="auto" w:fill="auto"/>
            <w:vAlign w:val="center"/>
            <w:hideMark/>
          </w:tcPr>
          <w:p w14:paraId="298A25F5"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Mean</w:t>
            </w:r>
          </w:p>
          <w:p w14:paraId="33DEED3D"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w:t>
            </w:r>
            <m:oMath>
              <m:acc>
                <m:accPr>
                  <m:chr m:val="̅"/>
                  <m:ctrlPr>
                    <w:rPr>
                      <w:rFonts w:ascii="Cambria Math" w:hAnsi="Cambria Math" w:cs="Arial"/>
                      <w:b/>
                      <w:bCs/>
                      <w:i/>
                      <w:lang w:val="en-PH"/>
                    </w:rPr>
                  </m:ctrlPr>
                </m:accPr>
                <m:e>
                  <m:r>
                    <m:rPr>
                      <m:sty m:val="bi"/>
                    </m:rPr>
                    <w:rPr>
                      <w:rFonts w:ascii="Cambria Math" w:hAnsi="Cambria Math" w:cs="Arial"/>
                      <w:lang w:val="en-PH"/>
                    </w:rPr>
                    <m:t>x</m:t>
                  </m:r>
                </m:e>
              </m:acc>
            </m:oMath>
            <w:r w:rsidRPr="007C38DF">
              <w:rPr>
                <w:rFonts w:ascii="Arial" w:hAnsi="Arial" w:cs="Arial"/>
                <w:b/>
                <w:bCs/>
                <w:lang w:val="en-PH"/>
              </w:rPr>
              <w:t>)</w:t>
            </w:r>
          </w:p>
        </w:tc>
        <w:tc>
          <w:tcPr>
            <w:tcW w:w="1120" w:type="dxa"/>
            <w:tcBorders>
              <w:top w:val="single" w:sz="4" w:space="0" w:color="auto"/>
              <w:bottom w:val="single" w:sz="4" w:space="0" w:color="auto"/>
            </w:tcBorders>
            <w:shd w:val="clear" w:color="auto" w:fill="auto"/>
            <w:vAlign w:val="center"/>
            <w:hideMark/>
          </w:tcPr>
          <w:p w14:paraId="0A4010B5"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Std. Deviation (</w:t>
            </w:r>
            <m:oMath>
              <m:r>
                <m:rPr>
                  <m:sty m:val="bi"/>
                </m:rPr>
                <w:rPr>
                  <w:rFonts w:ascii="Cambria Math" w:hAnsi="Cambria Math" w:cs="Arial"/>
                  <w:lang w:val="en-PH"/>
                </w:rPr>
                <m:t>s</m:t>
              </m:r>
            </m:oMath>
            <w:r w:rsidRPr="007C38DF">
              <w:rPr>
                <w:rFonts w:ascii="Arial" w:hAnsi="Arial" w:cs="Arial"/>
                <w:b/>
                <w:bCs/>
                <w:lang w:val="en-PH"/>
              </w:rPr>
              <w:t>)</w:t>
            </w:r>
          </w:p>
        </w:tc>
        <w:tc>
          <w:tcPr>
            <w:tcW w:w="236" w:type="dxa"/>
            <w:tcBorders>
              <w:top w:val="single" w:sz="4" w:space="0" w:color="auto"/>
              <w:bottom w:val="single" w:sz="4" w:space="0" w:color="auto"/>
            </w:tcBorders>
            <w:shd w:val="clear" w:color="auto" w:fill="auto"/>
            <w:vAlign w:val="center"/>
            <w:hideMark/>
          </w:tcPr>
          <w:p w14:paraId="56CDB789" w14:textId="77777777" w:rsidR="007C38DF" w:rsidRPr="007C38DF" w:rsidRDefault="007C38DF" w:rsidP="00C00B5B">
            <w:pPr>
              <w:pStyle w:val="Body"/>
              <w:spacing w:after="0"/>
              <w:jc w:val="center"/>
              <w:rPr>
                <w:rFonts w:ascii="Arial" w:hAnsi="Arial" w:cs="Arial"/>
                <w:b/>
                <w:bCs/>
                <w:lang w:val="en-PH"/>
              </w:rPr>
            </w:pPr>
            <w:proofErr w:type="gramStart"/>
            <w:r w:rsidRPr="007C38DF">
              <w:rPr>
                <w:rFonts w:ascii="Arial" w:hAnsi="Arial" w:cs="Arial"/>
                <w:b/>
                <w:bCs/>
                <w:lang w:val="en-PH"/>
              </w:rPr>
              <w:t>f(</w:t>
            </w:r>
            <w:proofErr w:type="gramEnd"/>
            <w:r w:rsidRPr="007C38DF">
              <w:rPr>
                <w:rFonts w:ascii="Arial" w:hAnsi="Arial" w:cs="Arial"/>
                <w:b/>
                <w:bCs/>
                <w:lang w:val="en-PH"/>
              </w:rPr>
              <w:t>5)</w:t>
            </w:r>
          </w:p>
        </w:tc>
        <w:tc>
          <w:tcPr>
            <w:tcW w:w="235" w:type="dxa"/>
            <w:tcBorders>
              <w:top w:val="single" w:sz="4" w:space="0" w:color="auto"/>
              <w:bottom w:val="single" w:sz="4" w:space="0" w:color="auto"/>
            </w:tcBorders>
            <w:shd w:val="clear" w:color="auto" w:fill="auto"/>
            <w:vAlign w:val="center"/>
          </w:tcPr>
          <w:p w14:paraId="2D06DD0F" w14:textId="77777777" w:rsidR="007C38DF" w:rsidRPr="007C38DF" w:rsidRDefault="007C38DF" w:rsidP="00C00B5B">
            <w:pPr>
              <w:pStyle w:val="Body"/>
              <w:spacing w:after="0"/>
              <w:jc w:val="center"/>
              <w:rPr>
                <w:rFonts w:ascii="Arial" w:hAnsi="Arial" w:cs="Arial"/>
                <w:b/>
                <w:bCs/>
                <w:lang w:val="en-PH"/>
              </w:rPr>
            </w:pPr>
            <w:proofErr w:type="gramStart"/>
            <w:r w:rsidRPr="007C38DF">
              <w:rPr>
                <w:rFonts w:ascii="Arial" w:hAnsi="Arial" w:cs="Arial"/>
                <w:b/>
                <w:bCs/>
                <w:lang w:val="en-PH"/>
              </w:rPr>
              <w:t>%(</w:t>
            </w:r>
            <w:proofErr w:type="gramEnd"/>
            <w:r w:rsidRPr="007C38DF">
              <w:rPr>
                <w:rFonts w:ascii="Arial" w:hAnsi="Arial" w:cs="Arial"/>
                <w:b/>
                <w:bCs/>
                <w:lang w:val="en-PH"/>
              </w:rPr>
              <w:t>5)</w:t>
            </w:r>
          </w:p>
        </w:tc>
        <w:tc>
          <w:tcPr>
            <w:tcW w:w="235" w:type="dxa"/>
            <w:tcBorders>
              <w:top w:val="single" w:sz="4" w:space="0" w:color="auto"/>
              <w:bottom w:val="single" w:sz="4" w:space="0" w:color="auto"/>
            </w:tcBorders>
            <w:shd w:val="clear" w:color="auto" w:fill="auto"/>
            <w:vAlign w:val="center"/>
          </w:tcPr>
          <w:p w14:paraId="7B5B5D91" w14:textId="77777777" w:rsidR="007C38DF" w:rsidRPr="007C38DF" w:rsidRDefault="007C38DF" w:rsidP="00C00B5B">
            <w:pPr>
              <w:pStyle w:val="Body"/>
              <w:spacing w:after="0"/>
              <w:jc w:val="center"/>
              <w:rPr>
                <w:rFonts w:ascii="Arial" w:hAnsi="Arial" w:cs="Arial"/>
                <w:b/>
                <w:bCs/>
                <w:lang w:val="en-PH"/>
              </w:rPr>
            </w:pPr>
            <w:proofErr w:type="gramStart"/>
            <w:r w:rsidRPr="007C38DF">
              <w:rPr>
                <w:rFonts w:ascii="Arial" w:hAnsi="Arial" w:cs="Arial"/>
                <w:b/>
                <w:bCs/>
                <w:lang w:val="en-PH"/>
              </w:rPr>
              <w:t>f(</w:t>
            </w:r>
            <w:proofErr w:type="gramEnd"/>
            <w:r w:rsidRPr="007C38DF">
              <w:rPr>
                <w:rFonts w:ascii="Arial" w:hAnsi="Arial" w:cs="Arial"/>
                <w:b/>
                <w:bCs/>
                <w:lang w:val="en-PH"/>
              </w:rPr>
              <w:t>4)</w:t>
            </w:r>
          </w:p>
        </w:tc>
        <w:tc>
          <w:tcPr>
            <w:tcW w:w="235" w:type="dxa"/>
            <w:tcBorders>
              <w:top w:val="single" w:sz="4" w:space="0" w:color="auto"/>
              <w:bottom w:val="single" w:sz="4" w:space="0" w:color="auto"/>
            </w:tcBorders>
            <w:shd w:val="clear" w:color="auto" w:fill="auto"/>
            <w:vAlign w:val="center"/>
          </w:tcPr>
          <w:p w14:paraId="7B216AB3" w14:textId="77777777" w:rsidR="007C38DF" w:rsidRPr="007C38DF" w:rsidRDefault="007C38DF" w:rsidP="00C00B5B">
            <w:pPr>
              <w:pStyle w:val="Body"/>
              <w:spacing w:after="0"/>
              <w:jc w:val="center"/>
              <w:rPr>
                <w:rFonts w:ascii="Arial" w:hAnsi="Arial" w:cs="Arial"/>
                <w:b/>
                <w:bCs/>
                <w:lang w:val="en-PH"/>
              </w:rPr>
            </w:pPr>
            <w:proofErr w:type="gramStart"/>
            <w:r w:rsidRPr="007C38DF">
              <w:rPr>
                <w:rFonts w:ascii="Arial" w:hAnsi="Arial" w:cs="Arial"/>
                <w:b/>
                <w:bCs/>
                <w:lang w:val="en-PH"/>
              </w:rPr>
              <w:t>%(</w:t>
            </w:r>
            <w:proofErr w:type="gramEnd"/>
            <w:r w:rsidRPr="007C38DF">
              <w:rPr>
                <w:rFonts w:ascii="Arial" w:hAnsi="Arial" w:cs="Arial"/>
                <w:b/>
                <w:bCs/>
                <w:lang w:val="en-PH"/>
              </w:rPr>
              <w:t>4)</w:t>
            </w:r>
          </w:p>
        </w:tc>
        <w:tc>
          <w:tcPr>
            <w:tcW w:w="235" w:type="dxa"/>
            <w:tcBorders>
              <w:top w:val="single" w:sz="4" w:space="0" w:color="auto"/>
              <w:bottom w:val="single" w:sz="4" w:space="0" w:color="auto"/>
            </w:tcBorders>
            <w:shd w:val="clear" w:color="auto" w:fill="auto"/>
            <w:vAlign w:val="center"/>
          </w:tcPr>
          <w:p w14:paraId="4C074BF0" w14:textId="77777777" w:rsidR="007C38DF" w:rsidRPr="007C38DF" w:rsidRDefault="007C38DF" w:rsidP="00C00B5B">
            <w:pPr>
              <w:pStyle w:val="Body"/>
              <w:spacing w:after="0"/>
              <w:jc w:val="center"/>
              <w:rPr>
                <w:rFonts w:ascii="Arial" w:hAnsi="Arial" w:cs="Arial"/>
                <w:b/>
                <w:bCs/>
                <w:lang w:val="en-PH"/>
              </w:rPr>
            </w:pPr>
            <w:proofErr w:type="gramStart"/>
            <w:r w:rsidRPr="007C38DF">
              <w:rPr>
                <w:rFonts w:ascii="Arial" w:hAnsi="Arial" w:cs="Arial"/>
                <w:b/>
                <w:bCs/>
                <w:lang w:val="en-PH"/>
              </w:rPr>
              <w:t>f(</w:t>
            </w:r>
            <w:proofErr w:type="gramEnd"/>
            <w:r w:rsidRPr="007C38DF">
              <w:rPr>
                <w:rFonts w:ascii="Arial" w:hAnsi="Arial" w:cs="Arial"/>
                <w:b/>
                <w:bCs/>
                <w:lang w:val="en-PH"/>
              </w:rPr>
              <w:t>3)</w:t>
            </w:r>
          </w:p>
        </w:tc>
        <w:tc>
          <w:tcPr>
            <w:tcW w:w="236" w:type="dxa"/>
            <w:tcBorders>
              <w:top w:val="single" w:sz="4" w:space="0" w:color="auto"/>
              <w:bottom w:val="single" w:sz="4" w:space="0" w:color="auto"/>
            </w:tcBorders>
            <w:shd w:val="clear" w:color="auto" w:fill="auto"/>
            <w:vAlign w:val="center"/>
          </w:tcPr>
          <w:p w14:paraId="4EF91A37" w14:textId="77777777" w:rsidR="007C38DF" w:rsidRPr="007C38DF" w:rsidRDefault="007C38DF" w:rsidP="00C00B5B">
            <w:pPr>
              <w:pStyle w:val="Body"/>
              <w:spacing w:after="0"/>
              <w:jc w:val="center"/>
              <w:rPr>
                <w:rFonts w:ascii="Arial" w:hAnsi="Arial" w:cs="Arial"/>
                <w:b/>
                <w:bCs/>
                <w:lang w:val="en-PH"/>
              </w:rPr>
            </w:pPr>
            <w:proofErr w:type="gramStart"/>
            <w:r w:rsidRPr="007C38DF">
              <w:rPr>
                <w:rFonts w:ascii="Arial" w:hAnsi="Arial" w:cs="Arial"/>
                <w:b/>
                <w:bCs/>
                <w:lang w:val="en-PH"/>
              </w:rPr>
              <w:t>%(</w:t>
            </w:r>
            <w:proofErr w:type="gramEnd"/>
            <w:r w:rsidRPr="007C38DF">
              <w:rPr>
                <w:rFonts w:ascii="Arial" w:hAnsi="Arial" w:cs="Arial"/>
                <w:b/>
                <w:bCs/>
                <w:lang w:val="en-PH"/>
              </w:rPr>
              <w:t>3)</w:t>
            </w:r>
          </w:p>
        </w:tc>
        <w:tc>
          <w:tcPr>
            <w:tcW w:w="1675" w:type="dxa"/>
            <w:tcBorders>
              <w:top w:val="single" w:sz="4" w:space="0" w:color="auto"/>
              <w:bottom w:val="single" w:sz="4" w:space="0" w:color="auto"/>
            </w:tcBorders>
            <w:shd w:val="clear" w:color="auto" w:fill="auto"/>
            <w:vAlign w:val="center"/>
          </w:tcPr>
          <w:p w14:paraId="456F9CA0"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 xml:space="preserve">Level of </w:t>
            </w:r>
          </w:p>
          <w:p w14:paraId="65D88E80"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Manifestation</w:t>
            </w:r>
          </w:p>
        </w:tc>
      </w:tr>
      <w:tr w:rsidR="007C38DF" w:rsidRPr="00F2124F" w14:paraId="52662DAC" w14:textId="77777777" w:rsidTr="007C38DF">
        <w:trPr>
          <w:trHeight w:val="133"/>
        </w:trPr>
        <w:tc>
          <w:tcPr>
            <w:tcW w:w="3168" w:type="dxa"/>
            <w:tcBorders>
              <w:top w:val="single" w:sz="4" w:space="0" w:color="auto"/>
            </w:tcBorders>
            <w:shd w:val="clear" w:color="auto" w:fill="auto"/>
            <w:hideMark/>
          </w:tcPr>
          <w:p w14:paraId="00EF9F9A" w14:textId="646FCA55" w:rsidR="007C38DF" w:rsidRPr="007C38DF" w:rsidRDefault="007C38DF" w:rsidP="007C38DF">
            <w:pPr>
              <w:pStyle w:val="Body"/>
              <w:spacing w:after="0"/>
              <w:jc w:val="left"/>
              <w:rPr>
                <w:rFonts w:ascii="Arial" w:hAnsi="Arial" w:cs="Arial"/>
                <w:lang w:val="en-PH"/>
              </w:rPr>
            </w:pPr>
            <w:r w:rsidRPr="007C38DF">
              <w:rPr>
                <w:rFonts w:ascii="Arial" w:hAnsi="Arial" w:cs="Arial"/>
                <w:lang w:val="en-PH"/>
              </w:rPr>
              <w:t>A. Relevance to Teaching Practice</w:t>
            </w:r>
          </w:p>
        </w:tc>
        <w:tc>
          <w:tcPr>
            <w:tcW w:w="1174" w:type="dxa"/>
            <w:tcBorders>
              <w:top w:val="single" w:sz="4" w:space="0" w:color="auto"/>
            </w:tcBorders>
            <w:shd w:val="clear" w:color="auto" w:fill="auto"/>
            <w:noWrap/>
            <w:vAlign w:val="center"/>
            <w:hideMark/>
          </w:tcPr>
          <w:p w14:paraId="03CA7AC4"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4.41</w:t>
            </w:r>
          </w:p>
        </w:tc>
        <w:tc>
          <w:tcPr>
            <w:tcW w:w="1120" w:type="dxa"/>
            <w:tcBorders>
              <w:top w:val="single" w:sz="4" w:space="0" w:color="auto"/>
            </w:tcBorders>
            <w:shd w:val="clear" w:color="auto" w:fill="auto"/>
            <w:noWrap/>
            <w:vAlign w:val="center"/>
            <w:hideMark/>
          </w:tcPr>
          <w:p w14:paraId="09D45DF1"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0.50</w:t>
            </w:r>
          </w:p>
        </w:tc>
        <w:tc>
          <w:tcPr>
            <w:tcW w:w="236" w:type="dxa"/>
            <w:tcBorders>
              <w:top w:val="single" w:sz="4" w:space="0" w:color="auto"/>
            </w:tcBorders>
            <w:shd w:val="clear" w:color="auto" w:fill="auto"/>
            <w:noWrap/>
            <w:vAlign w:val="center"/>
            <w:hideMark/>
          </w:tcPr>
          <w:p w14:paraId="33249005"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13</w:t>
            </w:r>
          </w:p>
        </w:tc>
        <w:tc>
          <w:tcPr>
            <w:tcW w:w="235" w:type="dxa"/>
            <w:tcBorders>
              <w:top w:val="single" w:sz="4" w:space="0" w:color="auto"/>
            </w:tcBorders>
            <w:shd w:val="clear" w:color="auto" w:fill="auto"/>
            <w:vAlign w:val="center"/>
          </w:tcPr>
          <w:p w14:paraId="1CB5E37F"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52%</w:t>
            </w:r>
          </w:p>
        </w:tc>
        <w:tc>
          <w:tcPr>
            <w:tcW w:w="235" w:type="dxa"/>
            <w:tcBorders>
              <w:top w:val="single" w:sz="4" w:space="0" w:color="auto"/>
            </w:tcBorders>
            <w:shd w:val="clear" w:color="auto" w:fill="auto"/>
            <w:vAlign w:val="center"/>
          </w:tcPr>
          <w:p w14:paraId="08E5365D"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11</w:t>
            </w:r>
          </w:p>
        </w:tc>
        <w:tc>
          <w:tcPr>
            <w:tcW w:w="235" w:type="dxa"/>
            <w:tcBorders>
              <w:top w:val="single" w:sz="4" w:space="0" w:color="auto"/>
            </w:tcBorders>
            <w:shd w:val="clear" w:color="auto" w:fill="auto"/>
            <w:vAlign w:val="center"/>
          </w:tcPr>
          <w:p w14:paraId="5C633C3D"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44%</w:t>
            </w:r>
          </w:p>
        </w:tc>
        <w:tc>
          <w:tcPr>
            <w:tcW w:w="235" w:type="dxa"/>
            <w:tcBorders>
              <w:top w:val="single" w:sz="4" w:space="0" w:color="auto"/>
            </w:tcBorders>
            <w:shd w:val="clear" w:color="auto" w:fill="auto"/>
            <w:vAlign w:val="center"/>
          </w:tcPr>
          <w:p w14:paraId="660AE1AD"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w:t>
            </w:r>
          </w:p>
        </w:tc>
        <w:tc>
          <w:tcPr>
            <w:tcW w:w="236" w:type="dxa"/>
            <w:tcBorders>
              <w:top w:val="single" w:sz="4" w:space="0" w:color="auto"/>
            </w:tcBorders>
            <w:shd w:val="clear" w:color="auto" w:fill="auto"/>
            <w:vAlign w:val="center"/>
          </w:tcPr>
          <w:p w14:paraId="4A808ACE"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w:t>
            </w:r>
          </w:p>
        </w:tc>
        <w:tc>
          <w:tcPr>
            <w:tcW w:w="1675" w:type="dxa"/>
            <w:tcBorders>
              <w:top w:val="single" w:sz="4" w:space="0" w:color="auto"/>
            </w:tcBorders>
            <w:shd w:val="clear" w:color="auto" w:fill="auto"/>
          </w:tcPr>
          <w:p w14:paraId="09A28B74" w14:textId="77777777" w:rsidR="007C38DF" w:rsidRDefault="007C38DF" w:rsidP="00C00B5B">
            <w:pPr>
              <w:pStyle w:val="Body"/>
              <w:spacing w:after="0"/>
              <w:jc w:val="center"/>
              <w:rPr>
                <w:rFonts w:ascii="Arial" w:hAnsi="Arial" w:cs="Arial"/>
                <w:lang w:val="en-PH"/>
              </w:rPr>
            </w:pPr>
          </w:p>
          <w:p w14:paraId="4059DC53" w14:textId="3817F1C3"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Very High</w:t>
            </w:r>
          </w:p>
        </w:tc>
      </w:tr>
      <w:tr w:rsidR="007C38DF" w:rsidRPr="00F2124F" w14:paraId="550353E3" w14:textId="77777777" w:rsidTr="007C38DF">
        <w:trPr>
          <w:trHeight w:val="224"/>
        </w:trPr>
        <w:tc>
          <w:tcPr>
            <w:tcW w:w="3168" w:type="dxa"/>
            <w:shd w:val="clear" w:color="auto" w:fill="auto"/>
            <w:hideMark/>
          </w:tcPr>
          <w:p w14:paraId="34F3114D" w14:textId="40767270" w:rsidR="007C38DF" w:rsidRPr="007C38DF" w:rsidRDefault="007C38DF" w:rsidP="007C38DF">
            <w:pPr>
              <w:pStyle w:val="Body"/>
              <w:spacing w:after="0"/>
              <w:jc w:val="left"/>
              <w:rPr>
                <w:rFonts w:ascii="Arial" w:hAnsi="Arial" w:cs="Arial"/>
                <w:lang w:val="en-PH"/>
              </w:rPr>
            </w:pPr>
            <w:r w:rsidRPr="007C38DF">
              <w:rPr>
                <w:rFonts w:ascii="Arial" w:hAnsi="Arial" w:cs="Arial"/>
                <w:lang w:val="en-PH"/>
              </w:rPr>
              <w:t>B. Improvement in Teaching Skills</w:t>
            </w:r>
          </w:p>
        </w:tc>
        <w:tc>
          <w:tcPr>
            <w:tcW w:w="1174" w:type="dxa"/>
            <w:shd w:val="clear" w:color="auto" w:fill="auto"/>
            <w:noWrap/>
            <w:vAlign w:val="center"/>
            <w:hideMark/>
          </w:tcPr>
          <w:p w14:paraId="6BEB8D70"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4.40</w:t>
            </w:r>
          </w:p>
        </w:tc>
        <w:tc>
          <w:tcPr>
            <w:tcW w:w="1120" w:type="dxa"/>
            <w:shd w:val="clear" w:color="auto" w:fill="auto"/>
            <w:noWrap/>
            <w:vAlign w:val="center"/>
            <w:hideMark/>
          </w:tcPr>
          <w:p w14:paraId="469DF30E"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0.52</w:t>
            </w:r>
          </w:p>
        </w:tc>
        <w:tc>
          <w:tcPr>
            <w:tcW w:w="236" w:type="dxa"/>
            <w:shd w:val="clear" w:color="auto" w:fill="auto"/>
            <w:noWrap/>
            <w:vAlign w:val="center"/>
            <w:hideMark/>
          </w:tcPr>
          <w:p w14:paraId="3482332F"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13</w:t>
            </w:r>
          </w:p>
        </w:tc>
        <w:tc>
          <w:tcPr>
            <w:tcW w:w="235" w:type="dxa"/>
            <w:shd w:val="clear" w:color="auto" w:fill="auto"/>
            <w:vAlign w:val="center"/>
          </w:tcPr>
          <w:p w14:paraId="01F2566A"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52%</w:t>
            </w:r>
          </w:p>
        </w:tc>
        <w:tc>
          <w:tcPr>
            <w:tcW w:w="235" w:type="dxa"/>
            <w:shd w:val="clear" w:color="auto" w:fill="auto"/>
            <w:vAlign w:val="center"/>
          </w:tcPr>
          <w:p w14:paraId="48E9C6CC"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11</w:t>
            </w:r>
          </w:p>
        </w:tc>
        <w:tc>
          <w:tcPr>
            <w:tcW w:w="235" w:type="dxa"/>
            <w:shd w:val="clear" w:color="auto" w:fill="auto"/>
            <w:vAlign w:val="center"/>
          </w:tcPr>
          <w:p w14:paraId="4B7C52FB"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44%</w:t>
            </w:r>
          </w:p>
        </w:tc>
        <w:tc>
          <w:tcPr>
            <w:tcW w:w="235" w:type="dxa"/>
            <w:shd w:val="clear" w:color="auto" w:fill="auto"/>
            <w:vAlign w:val="center"/>
          </w:tcPr>
          <w:p w14:paraId="7B8853FA"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w:t>
            </w:r>
          </w:p>
        </w:tc>
        <w:tc>
          <w:tcPr>
            <w:tcW w:w="236" w:type="dxa"/>
            <w:shd w:val="clear" w:color="auto" w:fill="auto"/>
            <w:vAlign w:val="center"/>
          </w:tcPr>
          <w:p w14:paraId="380A9422"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w:t>
            </w:r>
          </w:p>
        </w:tc>
        <w:tc>
          <w:tcPr>
            <w:tcW w:w="1675" w:type="dxa"/>
            <w:shd w:val="clear" w:color="auto" w:fill="auto"/>
          </w:tcPr>
          <w:p w14:paraId="0B748821" w14:textId="77777777" w:rsidR="007C38DF" w:rsidRDefault="007C38DF" w:rsidP="00C00B5B">
            <w:pPr>
              <w:pStyle w:val="Body"/>
              <w:spacing w:after="0"/>
              <w:jc w:val="center"/>
              <w:rPr>
                <w:rFonts w:ascii="Arial" w:hAnsi="Arial" w:cs="Arial"/>
                <w:lang w:val="en-PH"/>
              </w:rPr>
            </w:pPr>
          </w:p>
          <w:p w14:paraId="08E1AF00" w14:textId="5D07B340"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Very High</w:t>
            </w:r>
          </w:p>
        </w:tc>
      </w:tr>
      <w:tr w:rsidR="007C38DF" w:rsidRPr="00F2124F" w14:paraId="2D8F270D" w14:textId="77777777" w:rsidTr="007C38DF">
        <w:trPr>
          <w:trHeight w:val="141"/>
        </w:trPr>
        <w:tc>
          <w:tcPr>
            <w:tcW w:w="3168" w:type="dxa"/>
            <w:shd w:val="clear" w:color="auto" w:fill="auto"/>
            <w:vAlign w:val="center"/>
            <w:hideMark/>
          </w:tcPr>
          <w:p w14:paraId="7BB610D7" w14:textId="5C21C84E" w:rsidR="007C38DF" w:rsidRPr="007C38DF" w:rsidRDefault="007C38DF" w:rsidP="007C38DF">
            <w:pPr>
              <w:pStyle w:val="Body"/>
              <w:spacing w:after="0"/>
              <w:jc w:val="left"/>
              <w:rPr>
                <w:rFonts w:ascii="Arial" w:hAnsi="Arial" w:cs="Arial"/>
                <w:lang w:val="en-PH"/>
              </w:rPr>
            </w:pPr>
            <w:r w:rsidRPr="007C38DF">
              <w:rPr>
                <w:rFonts w:ascii="Arial" w:hAnsi="Arial" w:cs="Arial"/>
                <w:lang w:val="en-PH"/>
              </w:rPr>
              <w:t>C. Reflection and Growth</w:t>
            </w:r>
          </w:p>
        </w:tc>
        <w:tc>
          <w:tcPr>
            <w:tcW w:w="1174" w:type="dxa"/>
            <w:shd w:val="clear" w:color="auto" w:fill="auto"/>
            <w:noWrap/>
            <w:vAlign w:val="center"/>
            <w:hideMark/>
          </w:tcPr>
          <w:p w14:paraId="12B0FF18"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4.44</w:t>
            </w:r>
          </w:p>
        </w:tc>
        <w:tc>
          <w:tcPr>
            <w:tcW w:w="1120" w:type="dxa"/>
            <w:shd w:val="clear" w:color="auto" w:fill="auto"/>
            <w:noWrap/>
            <w:vAlign w:val="center"/>
            <w:hideMark/>
          </w:tcPr>
          <w:p w14:paraId="2B370048"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0.43</w:t>
            </w:r>
          </w:p>
        </w:tc>
        <w:tc>
          <w:tcPr>
            <w:tcW w:w="236" w:type="dxa"/>
            <w:shd w:val="clear" w:color="auto" w:fill="auto"/>
            <w:noWrap/>
            <w:vAlign w:val="center"/>
            <w:hideMark/>
          </w:tcPr>
          <w:p w14:paraId="78128559"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9</w:t>
            </w:r>
          </w:p>
        </w:tc>
        <w:tc>
          <w:tcPr>
            <w:tcW w:w="235" w:type="dxa"/>
            <w:shd w:val="clear" w:color="auto" w:fill="auto"/>
            <w:vAlign w:val="center"/>
          </w:tcPr>
          <w:p w14:paraId="79929433"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36%</w:t>
            </w:r>
          </w:p>
        </w:tc>
        <w:tc>
          <w:tcPr>
            <w:tcW w:w="235" w:type="dxa"/>
            <w:shd w:val="clear" w:color="auto" w:fill="auto"/>
            <w:vAlign w:val="center"/>
          </w:tcPr>
          <w:p w14:paraId="074C65E3"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15</w:t>
            </w:r>
          </w:p>
        </w:tc>
        <w:tc>
          <w:tcPr>
            <w:tcW w:w="235" w:type="dxa"/>
            <w:shd w:val="clear" w:color="auto" w:fill="auto"/>
            <w:vAlign w:val="center"/>
          </w:tcPr>
          <w:p w14:paraId="18ED6499"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60%</w:t>
            </w:r>
          </w:p>
        </w:tc>
        <w:tc>
          <w:tcPr>
            <w:tcW w:w="235" w:type="dxa"/>
            <w:shd w:val="clear" w:color="auto" w:fill="auto"/>
            <w:vAlign w:val="center"/>
          </w:tcPr>
          <w:p w14:paraId="6638FEB9"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w:t>
            </w:r>
          </w:p>
        </w:tc>
        <w:tc>
          <w:tcPr>
            <w:tcW w:w="236" w:type="dxa"/>
            <w:shd w:val="clear" w:color="auto" w:fill="auto"/>
            <w:vAlign w:val="center"/>
          </w:tcPr>
          <w:p w14:paraId="3390E170"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w:t>
            </w:r>
          </w:p>
        </w:tc>
        <w:tc>
          <w:tcPr>
            <w:tcW w:w="1675" w:type="dxa"/>
            <w:shd w:val="clear" w:color="auto" w:fill="auto"/>
          </w:tcPr>
          <w:p w14:paraId="4AF58684" w14:textId="77777777" w:rsidR="007C38DF" w:rsidRDefault="007C38DF" w:rsidP="00C00B5B">
            <w:pPr>
              <w:pStyle w:val="Body"/>
              <w:spacing w:after="0"/>
              <w:jc w:val="center"/>
              <w:rPr>
                <w:rFonts w:ascii="Arial" w:hAnsi="Arial" w:cs="Arial"/>
                <w:lang w:val="en-PH"/>
              </w:rPr>
            </w:pPr>
          </w:p>
          <w:p w14:paraId="5825648C" w14:textId="416E9922"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Very High</w:t>
            </w:r>
          </w:p>
        </w:tc>
      </w:tr>
      <w:tr w:rsidR="007C38DF" w:rsidRPr="00F2124F" w14:paraId="66115151" w14:textId="77777777" w:rsidTr="007C38DF">
        <w:trPr>
          <w:trHeight w:val="146"/>
        </w:trPr>
        <w:tc>
          <w:tcPr>
            <w:tcW w:w="3168" w:type="dxa"/>
            <w:shd w:val="clear" w:color="auto" w:fill="auto"/>
            <w:hideMark/>
          </w:tcPr>
          <w:p w14:paraId="67D9EF8B" w14:textId="449DEB13" w:rsidR="007C38DF" w:rsidRPr="007C38DF" w:rsidRDefault="007C38DF" w:rsidP="007C38DF">
            <w:pPr>
              <w:pStyle w:val="Body"/>
              <w:spacing w:after="0"/>
              <w:jc w:val="left"/>
              <w:rPr>
                <w:rFonts w:ascii="Arial" w:hAnsi="Arial" w:cs="Arial"/>
                <w:lang w:val="en-PH"/>
              </w:rPr>
            </w:pPr>
            <w:r w:rsidRPr="007C38DF">
              <w:rPr>
                <w:rFonts w:ascii="Arial" w:hAnsi="Arial" w:cs="Arial"/>
                <w:lang w:val="en-PH"/>
              </w:rPr>
              <w:t>D. Collaboration and Peer Learning</w:t>
            </w:r>
          </w:p>
        </w:tc>
        <w:tc>
          <w:tcPr>
            <w:tcW w:w="1174" w:type="dxa"/>
            <w:shd w:val="clear" w:color="auto" w:fill="auto"/>
            <w:noWrap/>
            <w:vAlign w:val="center"/>
            <w:hideMark/>
          </w:tcPr>
          <w:p w14:paraId="2EC78ED3"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4.35</w:t>
            </w:r>
          </w:p>
        </w:tc>
        <w:tc>
          <w:tcPr>
            <w:tcW w:w="1120" w:type="dxa"/>
            <w:shd w:val="clear" w:color="auto" w:fill="auto"/>
            <w:noWrap/>
            <w:vAlign w:val="center"/>
            <w:hideMark/>
          </w:tcPr>
          <w:p w14:paraId="38BEFAA3"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0.44</w:t>
            </w:r>
          </w:p>
        </w:tc>
        <w:tc>
          <w:tcPr>
            <w:tcW w:w="236" w:type="dxa"/>
            <w:shd w:val="clear" w:color="auto" w:fill="auto"/>
            <w:noWrap/>
            <w:vAlign w:val="center"/>
            <w:hideMark/>
          </w:tcPr>
          <w:p w14:paraId="11A20BB8"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10</w:t>
            </w:r>
          </w:p>
        </w:tc>
        <w:tc>
          <w:tcPr>
            <w:tcW w:w="235" w:type="dxa"/>
            <w:shd w:val="clear" w:color="auto" w:fill="auto"/>
            <w:vAlign w:val="center"/>
          </w:tcPr>
          <w:p w14:paraId="10A856C8"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40</w:t>
            </w:r>
          </w:p>
        </w:tc>
        <w:tc>
          <w:tcPr>
            <w:tcW w:w="235" w:type="dxa"/>
            <w:shd w:val="clear" w:color="auto" w:fill="auto"/>
            <w:vAlign w:val="center"/>
          </w:tcPr>
          <w:p w14:paraId="2515EE54"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15</w:t>
            </w:r>
          </w:p>
        </w:tc>
        <w:tc>
          <w:tcPr>
            <w:tcW w:w="235" w:type="dxa"/>
            <w:shd w:val="clear" w:color="auto" w:fill="auto"/>
            <w:vAlign w:val="center"/>
          </w:tcPr>
          <w:p w14:paraId="5564E4C8"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60%</w:t>
            </w:r>
          </w:p>
        </w:tc>
        <w:tc>
          <w:tcPr>
            <w:tcW w:w="235" w:type="dxa"/>
            <w:shd w:val="clear" w:color="auto" w:fill="auto"/>
            <w:vAlign w:val="center"/>
          </w:tcPr>
          <w:p w14:paraId="1AA9A573"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0</w:t>
            </w:r>
          </w:p>
        </w:tc>
        <w:tc>
          <w:tcPr>
            <w:tcW w:w="236" w:type="dxa"/>
            <w:shd w:val="clear" w:color="auto" w:fill="auto"/>
            <w:vAlign w:val="center"/>
          </w:tcPr>
          <w:p w14:paraId="793CE99E"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0</w:t>
            </w:r>
          </w:p>
        </w:tc>
        <w:tc>
          <w:tcPr>
            <w:tcW w:w="1675" w:type="dxa"/>
            <w:shd w:val="clear" w:color="auto" w:fill="auto"/>
          </w:tcPr>
          <w:p w14:paraId="428DBA50" w14:textId="77777777" w:rsidR="007C38DF" w:rsidRDefault="007C38DF" w:rsidP="00C00B5B">
            <w:pPr>
              <w:pStyle w:val="Body"/>
              <w:spacing w:after="0"/>
              <w:jc w:val="center"/>
              <w:rPr>
                <w:rFonts w:ascii="Arial" w:hAnsi="Arial" w:cs="Arial"/>
                <w:lang w:val="en-PH"/>
              </w:rPr>
            </w:pPr>
          </w:p>
          <w:p w14:paraId="7724D261" w14:textId="77777777" w:rsidR="007C38DF" w:rsidRDefault="007C38DF" w:rsidP="00C00B5B">
            <w:pPr>
              <w:pStyle w:val="Body"/>
              <w:spacing w:after="0"/>
              <w:jc w:val="center"/>
              <w:rPr>
                <w:rFonts w:ascii="Arial" w:hAnsi="Arial" w:cs="Arial"/>
                <w:lang w:val="en-PH"/>
              </w:rPr>
            </w:pPr>
          </w:p>
          <w:p w14:paraId="30DB3F1F" w14:textId="3A4B55BC"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Very High</w:t>
            </w:r>
          </w:p>
        </w:tc>
      </w:tr>
      <w:tr w:rsidR="007C38DF" w:rsidRPr="00F2124F" w14:paraId="4459280A" w14:textId="77777777" w:rsidTr="007C38DF">
        <w:trPr>
          <w:trHeight w:val="175"/>
        </w:trPr>
        <w:tc>
          <w:tcPr>
            <w:tcW w:w="3168" w:type="dxa"/>
            <w:tcBorders>
              <w:bottom w:val="single" w:sz="4" w:space="0" w:color="auto"/>
            </w:tcBorders>
            <w:shd w:val="clear" w:color="auto" w:fill="auto"/>
            <w:hideMark/>
          </w:tcPr>
          <w:p w14:paraId="41696E16" w14:textId="77777777" w:rsidR="007C38DF" w:rsidRPr="007C38DF" w:rsidRDefault="007C38DF" w:rsidP="007C38DF">
            <w:pPr>
              <w:pStyle w:val="Body"/>
              <w:spacing w:after="0"/>
              <w:jc w:val="left"/>
              <w:rPr>
                <w:rFonts w:ascii="Arial" w:hAnsi="Arial" w:cs="Arial"/>
                <w:lang w:val="en-PH"/>
              </w:rPr>
            </w:pPr>
            <w:r w:rsidRPr="007C38DF">
              <w:rPr>
                <w:rFonts w:ascii="Arial" w:hAnsi="Arial" w:cs="Arial"/>
                <w:lang w:val="en-PH"/>
              </w:rPr>
              <w:t>E. Support and Implementation</w:t>
            </w:r>
          </w:p>
        </w:tc>
        <w:tc>
          <w:tcPr>
            <w:tcW w:w="1174" w:type="dxa"/>
            <w:tcBorders>
              <w:bottom w:val="single" w:sz="4" w:space="0" w:color="auto"/>
            </w:tcBorders>
            <w:shd w:val="clear" w:color="auto" w:fill="auto"/>
            <w:noWrap/>
            <w:vAlign w:val="center"/>
            <w:hideMark/>
          </w:tcPr>
          <w:p w14:paraId="04B11DC9"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4.04</w:t>
            </w:r>
          </w:p>
        </w:tc>
        <w:tc>
          <w:tcPr>
            <w:tcW w:w="1120" w:type="dxa"/>
            <w:tcBorders>
              <w:bottom w:val="single" w:sz="4" w:space="0" w:color="auto"/>
            </w:tcBorders>
            <w:shd w:val="clear" w:color="auto" w:fill="auto"/>
            <w:noWrap/>
            <w:vAlign w:val="center"/>
            <w:hideMark/>
          </w:tcPr>
          <w:p w14:paraId="19D048B1"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0.78</w:t>
            </w:r>
          </w:p>
        </w:tc>
        <w:tc>
          <w:tcPr>
            <w:tcW w:w="236" w:type="dxa"/>
            <w:tcBorders>
              <w:bottom w:val="single" w:sz="4" w:space="0" w:color="auto"/>
            </w:tcBorders>
            <w:shd w:val="clear" w:color="auto" w:fill="auto"/>
            <w:noWrap/>
            <w:vAlign w:val="center"/>
            <w:hideMark/>
          </w:tcPr>
          <w:p w14:paraId="66816944"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7</w:t>
            </w:r>
          </w:p>
        </w:tc>
        <w:tc>
          <w:tcPr>
            <w:tcW w:w="235" w:type="dxa"/>
            <w:tcBorders>
              <w:bottom w:val="single" w:sz="4" w:space="0" w:color="auto"/>
            </w:tcBorders>
            <w:shd w:val="clear" w:color="auto" w:fill="auto"/>
            <w:vAlign w:val="center"/>
          </w:tcPr>
          <w:p w14:paraId="0DB05409"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28%</w:t>
            </w:r>
          </w:p>
        </w:tc>
        <w:tc>
          <w:tcPr>
            <w:tcW w:w="235" w:type="dxa"/>
            <w:tcBorders>
              <w:bottom w:val="single" w:sz="4" w:space="0" w:color="auto"/>
            </w:tcBorders>
            <w:shd w:val="clear" w:color="auto" w:fill="auto"/>
            <w:vAlign w:val="center"/>
          </w:tcPr>
          <w:p w14:paraId="40949A30"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12</w:t>
            </w:r>
          </w:p>
        </w:tc>
        <w:tc>
          <w:tcPr>
            <w:tcW w:w="235" w:type="dxa"/>
            <w:tcBorders>
              <w:bottom w:val="single" w:sz="4" w:space="0" w:color="auto"/>
            </w:tcBorders>
            <w:shd w:val="clear" w:color="auto" w:fill="auto"/>
            <w:vAlign w:val="center"/>
          </w:tcPr>
          <w:p w14:paraId="1FEBF0C4"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48%</w:t>
            </w:r>
          </w:p>
        </w:tc>
        <w:tc>
          <w:tcPr>
            <w:tcW w:w="235" w:type="dxa"/>
            <w:tcBorders>
              <w:bottom w:val="single" w:sz="4" w:space="0" w:color="auto"/>
            </w:tcBorders>
            <w:shd w:val="clear" w:color="auto" w:fill="auto"/>
            <w:vAlign w:val="center"/>
          </w:tcPr>
          <w:p w14:paraId="39805410"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6</w:t>
            </w:r>
          </w:p>
        </w:tc>
        <w:tc>
          <w:tcPr>
            <w:tcW w:w="236" w:type="dxa"/>
            <w:tcBorders>
              <w:bottom w:val="single" w:sz="4" w:space="0" w:color="auto"/>
            </w:tcBorders>
            <w:shd w:val="clear" w:color="auto" w:fill="auto"/>
            <w:vAlign w:val="center"/>
          </w:tcPr>
          <w:p w14:paraId="0B25C0E2"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24%</w:t>
            </w:r>
          </w:p>
        </w:tc>
        <w:tc>
          <w:tcPr>
            <w:tcW w:w="1675" w:type="dxa"/>
            <w:tcBorders>
              <w:bottom w:val="single" w:sz="4" w:space="0" w:color="auto"/>
            </w:tcBorders>
            <w:shd w:val="clear" w:color="auto" w:fill="auto"/>
            <w:vAlign w:val="center"/>
          </w:tcPr>
          <w:p w14:paraId="42655420" w14:textId="77777777" w:rsidR="007C38DF" w:rsidRPr="007C38DF" w:rsidRDefault="007C38DF" w:rsidP="00C00B5B">
            <w:pPr>
              <w:pStyle w:val="Body"/>
              <w:spacing w:after="0"/>
              <w:jc w:val="center"/>
              <w:rPr>
                <w:rFonts w:ascii="Arial" w:hAnsi="Arial" w:cs="Arial"/>
                <w:lang w:val="en-PH"/>
              </w:rPr>
            </w:pPr>
            <w:r w:rsidRPr="007C38DF">
              <w:rPr>
                <w:rFonts w:ascii="Arial" w:hAnsi="Arial" w:cs="Arial"/>
                <w:lang w:val="en-PH"/>
              </w:rPr>
              <w:t>High</w:t>
            </w:r>
          </w:p>
        </w:tc>
      </w:tr>
      <w:tr w:rsidR="007C38DF" w:rsidRPr="00F2124F" w14:paraId="46266D86" w14:textId="77777777" w:rsidTr="007C38DF">
        <w:trPr>
          <w:trHeight w:val="213"/>
        </w:trPr>
        <w:tc>
          <w:tcPr>
            <w:tcW w:w="3168" w:type="dxa"/>
            <w:tcBorders>
              <w:top w:val="single" w:sz="4" w:space="0" w:color="auto"/>
              <w:bottom w:val="single" w:sz="4" w:space="0" w:color="auto"/>
            </w:tcBorders>
            <w:shd w:val="clear" w:color="auto" w:fill="auto"/>
            <w:hideMark/>
          </w:tcPr>
          <w:p w14:paraId="2B61EE5C" w14:textId="77777777" w:rsidR="007C38DF" w:rsidRPr="007C38DF" w:rsidRDefault="007C38DF" w:rsidP="00C00B5B">
            <w:pPr>
              <w:pStyle w:val="Body"/>
              <w:spacing w:after="0"/>
              <w:jc w:val="left"/>
              <w:rPr>
                <w:rFonts w:ascii="Arial" w:hAnsi="Arial" w:cs="Arial"/>
                <w:b/>
                <w:bCs/>
                <w:lang w:val="en-PH"/>
              </w:rPr>
            </w:pPr>
            <w:r w:rsidRPr="007C38DF">
              <w:rPr>
                <w:rFonts w:ascii="Arial" w:hAnsi="Arial" w:cs="Arial"/>
                <w:b/>
                <w:bCs/>
                <w:lang w:val="en-PH"/>
              </w:rPr>
              <w:t>Overall Professional Development</w:t>
            </w:r>
          </w:p>
        </w:tc>
        <w:tc>
          <w:tcPr>
            <w:tcW w:w="1174" w:type="dxa"/>
            <w:tcBorders>
              <w:top w:val="single" w:sz="4" w:space="0" w:color="auto"/>
              <w:bottom w:val="single" w:sz="4" w:space="0" w:color="auto"/>
            </w:tcBorders>
            <w:shd w:val="clear" w:color="auto" w:fill="auto"/>
            <w:noWrap/>
            <w:vAlign w:val="center"/>
            <w:hideMark/>
          </w:tcPr>
          <w:p w14:paraId="67021A62"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4.33</w:t>
            </w:r>
          </w:p>
        </w:tc>
        <w:tc>
          <w:tcPr>
            <w:tcW w:w="1120" w:type="dxa"/>
            <w:tcBorders>
              <w:top w:val="single" w:sz="4" w:space="0" w:color="auto"/>
              <w:bottom w:val="single" w:sz="4" w:space="0" w:color="auto"/>
            </w:tcBorders>
            <w:shd w:val="clear" w:color="auto" w:fill="auto"/>
            <w:noWrap/>
            <w:vAlign w:val="center"/>
            <w:hideMark/>
          </w:tcPr>
          <w:p w14:paraId="56BB0F12"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0.41</w:t>
            </w:r>
          </w:p>
        </w:tc>
        <w:tc>
          <w:tcPr>
            <w:tcW w:w="236" w:type="dxa"/>
            <w:tcBorders>
              <w:top w:val="single" w:sz="4" w:space="0" w:color="auto"/>
              <w:bottom w:val="single" w:sz="4" w:space="0" w:color="auto"/>
            </w:tcBorders>
            <w:shd w:val="clear" w:color="auto" w:fill="auto"/>
            <w:noWrap/>
            <w:vAlign w:val="center"/>
            <w:hideMark/>
          </w:tcPr>
          <w:p w14:paraId="613E0DD6"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w:t>
            </w:r>
          </w:p>
        </w:tc>
        <w:tc>
          <w:tcPr>
            <w:tcW w:w="235" w:type="dxa"/>
            <w:tcBorders>
              <w:top w:val="single" w:sz="4" w:space="0" w:color="auto"/>
              <w:bottom w:val="single" w:sz="4" w:space="0" w:color="auto"/>
            </w:tcBorders>
            <w:shd w:val="clear" w:color="auto" w:fill="auto"/>
            <w:vAlign w:val="center"/>
          </w:tcPr>
          <w:p w14:paraId="24A5C4F4"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w:t>
            </w:r>
          </w:p>
        </w:tc>
        <w:tc>
          <w:tcPr>
            <w:tcW w:w="235" w:type="dxa"/>
            <w:tcBorders>
              <w:top w:val="single" w:sz="4" w:space="0" w:color="auto"/>
              <w:bottom w:val="single" w:sz="4" w:space="0" w:color="auto"/>
            </w:tcBorders>
            <w:shd w:val="clear" w:color="auto" w:fill="auto"/>
            <w:vAlign w:val="center"/>
          </w:tcPr>
          <w:p w14:paraId="068181F0"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w:t>
            </w:r>
          </w:p>
        </w:tc>
        <w:tc>
          <w:tcPr>
            <w:tcW w:w="235" w:type="dxa"/>
            <w:tcBorders>
              <w:top w:val="single" w:sz="4" w:space="0" w:color="auto"/>
              <w:bottom w:val="single" w:sz="4" w:space="0" w:color="auto"/>
            </w:tcBorders>
            <w:shd w:val="clear" w:color="auto" w:fill="auto"/>
            <w:vAlign w:val="center"/>
          </w:tcPr>
          <w:p w14:paraId="316277A1"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w:t>
            </w:r>
          </w:p>
        </w:tc>
        <w:tc>
          <w:tcPr>
            <w:tcW w:w="235" w:type="dxa"/>
            <w:tcBorders>
              <w:top w:val="single" w:sz="4" w:space="0" w:color="auto"/>
              <w:bottom w:val="single" w:sz="4" w:space="0" w:color="auto"/>
            </w:tcBorders>
            <w:shd w:val="clear" w:color="auto" w:fill="auto"/>
            <w:vAlign w:val="center"/>
          </w:tcPr>
          <w:p w14:paraId="2994321B"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w:t>
            </w:r>
          </w:p>
        </w:tc>
        <w:tc>
          <w:tcPr>
            <w:tcW w:w="236" w:type="dxa"/>
            <w:tcBorders>
              <w:top w:val="single" w:sz="4" w:space="0" w:color="auto"/>
              <w:bottom w:val="single" w:sz="4" w:space="0" w:color="auto"/>
            </w:tcBorders>
            <w:shd w:val="clear" w:color="auto" w:fill="auto"/>
            <w:vAlign w:val="center"/>
          </w:tcPr>
          <w:p w14:paraId="35530EC0"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w:t>
            </w:r>
          </w:p>
        </w:tc>
        <w:tc>
          <w:tcPr>
            <w:tcW w:w="1675" w:type="dxa"/>
            <w:tcBorders>
              <w:top w:val="single" w:sz="4" w:space="0" w:color="auto"/>
              <w:bottom w:val="single" w:sz="4" w:space="0" w:color="auto"/>
            </w:tcBorders>
            <w:shd w:val="clear" w:color="auto" w:fill="auto"/>
            <w:vAlign w:val="center"/>
          </w:tcPr>
          <w:p w14:paraId="4E69A687" w14:textId="77777777" w:rsidR="007C38DF" w:rsidRPr="007C38DF" w:rsidRDefault="007C38DF" w:rsidP="00C00B5B">
            <w:pPr>
              <w:pStyle w:val="Body"/>
              <w:spacing w:after="0"/>
              <w:jc w:val="center"/>
              <w:rPr>
                <w:rFonts w:ascii="Arial" w:hAnsi="Arial" w:cs="Arial"/>
                <w:b/>
                <w:bCs/>
                <w:lang w:val="en-PH"/>
              </w:rPr>
            </w:pPr>
            <w:r w:rsidRPr="007C38DF">
              <w:rPr>
                <w:rFonts w:ascii="Arial" w:hAnsi="Arial" w:cs="Arial"/>
                <w:b/>
                <w:bCs/>
                <w:lang w:val="en-PH"/>
              </w:rPr>
              <w:t>Very High</w:t>
            </w:r>
          </w:p>
        </w:tc>
      </w:tr>
    </w:tbl>
    <w:p w14:paraId="19198A76" w14:textId="0793D16C" w:rsidR="00F2124F" w:rsidRDefault="007C38DF" w:rsidP="00441B6F">
      <w:pPr>
        <w:pStyle w:val="Body"/>
        <w:spacing w:after="0"/>
        <w:rPr>
          <w:rFonts w:ascii="Arial" w:hAnsi="Arial" w:cs="Arial"/>
        </w:rPr>
      </w:pPr>
      <w:r w:rsidRPr="00BB7C8C">
        <w:rPr>
          <w:rFonts w:ascii="Arial" w:hAnsi="Arial" w:cs="Arial"/>
          <w:i/>
          <w:iCs/>
        </w:rPr>
        <w:lastRenderedPageBreak/>
        <w:t>Note:</w:t>
      </w:r>
      <w:r>
        <w:rPr>
          <w:rFonts w:ascii="Arial" w:hAnsi="Arial" w:cs="Arial"/>
        </w:rPr>
        <w:t xml:space="preserve"> </w:t>
      </w:r>
      <w:r w:rsidRPr="007A1E58">
        <w:rPr>
          <w:rFonts w:ascii="Arial" w:hAnsi="Arial" w:cs="Arial"/>
          <w:i/>
          <w:iCs/>
        </w:rPr>
        <w:t>No respondents selected scale points 2 (Disagree) or 1 (Strongly Disagree), hence these are not shown.</w:t>
      </w:r>
    </w:p>
    <w:p w14:paraId="0F1C2191" w14:textId="2E08B7A0" w:rsidR="00790ADA" w:rsidRDefault="00790ADA" w:rsidP="00770A2E">
      <w:pPr>
        <w:pStyle w:val="Body"/>
        <w:spacing w:after="0"/>
        <w:jc w:val="left"/>
        <w:rPr>
          <w:rFonts w:ascii="Arial" w:hAnsi="Arial" w:cs="Arial"/>
        </w:rPr>
      </w:pPr>
    </w:p>
    <w:p w14:paraId="1F79453A" w14:textId="77777777" w:rsidR="00B162C7" w:rsidRDefault="00B162C7" w:rsidP="00770A2E">
      <w:pPr>
        <w:pStyle w:val="Body"/>
        <w:spacing w:after="0"/>
        <w:jc w:val="left"/>
        <w:rPr>
          <w:rFonts w:ascii="Arial" w:hAnsi="Arial" w:cs="Arial"/>
        </w:rPr>
      </w:pPr>
    </w:p>
    <w:p w14:paraId="32D7410A" w14:textId="1DEE56E8" w:rsidR="008B09CD" w:rsidRDefault="00FD31F7" w:rsidP="008B09CD">
      <w:pPr>
        <w:pStyle w:val="Body"/>
        <w:spacing w:after="0"/>
        <w:jc w:val="center"/>
        <w:rPr>
          <w:rFonts w:ascii="Arial" w:hAnsi="Arial" w:cs="Arial"/>
          <w:b/>
          <w:bCs/>
        </w:rPr>
      </w:pPr>
      <w:r>
        <w:rPr>
          <w:rFonts w:ascii="Arial" w:hAnsi="Arial" w:cs="Arial"/>
          <w:b/>
          <w:bCs/>
        </w:rPr>
        <w:t xml:space="preserve">5.1.2. </w:t>
      </w:r>
      <w:r w:rsidR="008B09CD">
        <w:rPr>
          <w:rFonts w:ascii="Arial" w:hAnsi="Arial" w:cs="Arial"/>
          <w:b/>
          <w:bCs/>
        </w:rPr>
        <w:t xml:space="preserve">The Level of Teaching Efficacy </w:t>
      </w:r>
    </w:p>
    <w:p w14:paraId="34E12FEC" w14:textId="122E43C2" w:rsidR="00895188" w:rsidRDefault="00895188" w:rsidP="008B09CD">
      <w:pPr>
        <w:pStyle w:val="Body"/>
        <w:spacing w:after="0"/>
        <w:jc w:val="center"/>
        <w:rPr>
          <w:rFonts w:ascii="Arial" w:hAnsi="Arial" w:cs="Arial"/>
          <w:b/>
          <w:bCs/>
        </w:rPr>
      </w:pPr>
    </w:p>
    <w:p w14:paraId="7C9E16DC" w14:textId="77777777" w:rsidR="00B162C7" w:rsidRPr="00B162C7" w:rsidRDefault="00770A2E" w:rsidP="006434BE">
      <w:pPr>
        <w:pStyle w:val="Body"/>
        <w:spacing w:after="0"/>
        <w:rPr>
          <w:rFonts w:ascii="Arial" w:hAnsi="Arial" w:cs="Arial"/>
        </w:rPr>
      </w:pPr>
      <w:r>
        <w:rPr>
          <w:rFonts w:ascii="Arial" w:hAnsi="Arial" w:cs="Arial"/>
        </w:rPr>
        <w:tab/>
        <w:t>Table 2</w:t>
      </w:r>
      <w:r w:rsidR="00895188">
        <w:rPr>
          <w:rFonts w:ascii="Arial" w:hAnsi="Arial" w:cs="Arial"/>
        </w:rPr>
        <w:t xml:space="preserve"> illustrates the summary of the teaching efficacy. I</w:t>
      </w:r>
      <w:r w:rsidR="00751CEA">
        <w:rPr>
          <w:rFonts w:ascii="Arial" w:hAnsi="Arial" w:cs="Arial"/>
        </w:rPr>
        <w:t>t</w:t>
      </w:r>
      <w:r w:rsidR="00895188">
        <w:rPr>
          <w:rFonts w:ascii="Arial" w:hAnsi="Arial" w:cs="Arial"/>
        </w:rPr>
        <w:t xml:space="preserve"> also has five indicators</w:t>
      </w:r>
      <w:r w:rsidR="00751CEA">
        <w:rPr>
          <w:rFonts w:ascii="Arial" w:hAnsi="Arial" w:cs="Arial"/>
        </w:rPr>
        <w:t xml:space="preserve"> specifically classroom management, instructional strategies, student engagement, </w:t>
      </w:r>
      <w:r w:rsidR="008B2566">
        <w:rPr>
          <w:rFonts w:ascii="Arial" w:hAnsi="Arial" w:cs="Arial"/>
        </w:rPr>
        <w:t>assessing student understanding and meeting diverse student needs.</w:t>
      </w:r>
      <w:r w:rsidR="008B2566" w:rsidRPr="008B2566">
        <w:t xml:space="preserve"> </w:t>
      </w:r>
      <w:r w:rsidR="00B162C7" w:rsidRPr="00B162C7">
        <w:rPr>
          <w:rFonts w:ascii="Arial" w:hAnsi="Arial" w:cs="Arial"/>
        </w:rPr>
        <w:t>The results were presented using descriptive statistics—mean and standard deviation—alongside frequency and percentage distributions for the response categories 5 (Strongly Agree), 4 (Agree), and 3 (Neutral). No responses were recorded for categories 2 (Disagree) and 1 (Strongly Disagree).</w:t>
      </w:r>
    </w:p>
    <w:p w14:paraId="36E5D40F" w14:textId="4A8F7591" w:rsidR="003F036F" w:rsidRDefault="008B2566" w:rsidP="00B162C7">
      <w:pPr>
        <w:pStyle w:val="Body"/>
        <w:spacing w:after="0"/>
        <w:ind w:firstLine="720"/>
        <w:rPr>
          <w:rFonts w:ascii="Arial" w:hAnsi="Arial" w:cs="Arial"/>
        </w:rPr>
      </w:pPr>
      <w:r w:rsidRPr="008B2566">
        <w:rPr>
          <w:rFonts w:ascii="Arial" w:hAnsi="Arial" w:cs="Arial"/>
        </w:rPr>
        <w:t>The results indicate that the overall teaching efficacy of MST Mathematics graduates is very high</w:t>
      </w:r>
      <w:r>
        <w:rPr>
          <w:rFonts w:ascii="Arial" w:hAnsi="Arial" w:cs="Arial"/>
        </w:rPr>
        <w:t xml:space="preserve"> (</w:t>
      </w:r>
      <m:oMath>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x</m:t>
            </m:r>
          </m:e>
        </m:acc>
        <m:r>
          <w:rPr>
            <w:rFonts w:ascii="Cambria Math" w:hAnsi="Cambria Math" w:cs="Arial"/>
          </w:rPr>
          <m:t>= 4.46</m:t>
        </m:r>
      </m:oMath>
      <w:r>
        <w:rPr>
          <w:rFonts w:ascii="Arial" w:hAnsi="Arial" w:cs="Arial"/>
        </w:rPr>
        <w:t xml:space="preserve">, </w:t>
      </w:r>
      <m:oMath>
        <m:r>
          <w:rPr>
            <w:rFonts w:ascii="Cambria Math" w:hAnsi="Cambria Math" w:cs="Arial"/>
          </w:rPr>
          <m:t>s = .42</m:t>
        </m:r>
      </m:oMath>
      <w:r>
        <w:rPr>
          <w:rFonts w:ascii="Arial" w:hAnsi="Arial" w:cs="Arial"/>
        </w:rPr>
        <w:t>)</w:t>
      </w:r>
      <w:r w:rsidRPr="008B2566">
        <w:rPr>
          <w:rFonts w:ascii="Arial" w:hAnsi="Arial" w:cs="Arial"/>
        </w:rPr>
        <w:t>, with all indicators scoring high to very high levels of manifestation. This suggests that the graduates possess strong self-beliefs in their ability to effectively teach and support student learning—an essential factor in academic achievement, especially in mathematics (</w:t>
      </w:r>
      <w:proofErr w:type="spellStart"/>
      <w:r w:rsidRPr="008B2566">
        <w:rPr>
          <w:rFonts w:ascii="Arial" w:hAnsi="Arial" w:cs="Arial"/>
        </w:rPr>
        <w:t>Küçükalioğlu</w:t>
      </w:r>
      <w:proofErr w:type="spellEnd"/>
      <w:r w:rsidRPr="008B2566">
        <w:rPr>
          <w:rFonts w:ascii="Arial" w:hAnsi="Arial" w:cs="Arial"/>
        </w:rPr>
        <w:t xml:space="preserve"> &amp; </w:t>
      </w:r>
      <w:proofErr w:type="spellStart"/>
      <w:r w:rsidRPr="008B2566">
        <w:rPr>
          <w:rFonts w:ascii="Arial" w:hAnsi="Arial" w:cs="Arial"/>
        </w:rPr>
        <w:t>Tuluk</w:t>
      </w:r>
      <w:proofErr w:type="spellEnd"/>
      <w:r w:rsidRPr="008B2566">
        <w:rPr>
          <w:rFonts w:ascii="Arial" w:hAnsi="Arial" w:cs="Arial"/>
        </w:rPr>
        <w:t>, 2021).</w:t>
      </w:r>
    </w:p>
    <w:p w14:paraId="05B60898" w14:textId="5AFD46A6"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Classroom management was rated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4.49,  s = .52</m:t>
        </m:r>
      </m:oMath>
      <w:r w:rsidRPr="004C646D">
        <w:rPr>
          <w:rFonts w:ascii="Arial" w:hAnsi="Arial" w:cs="Arial"/>
        </w:rPr>
        <w:t>), aligning with studies that link effective classroom control to improved student engagement and learning outcomes (</w:t>
      </w:r>
      <w:proofErr w:type="spellStart"/>
      <w:r w:rsidRPr="004C646D">
        <w:rPr>
          <w:rFonts w:ascii="Arial" w:hAnsi="Arial" w:cs="Arial"/>
        </w:rPr>
        <w:t>Paulines</w:t>
      </w:r>
      <w:proofErr w:type="spellEnd"/>
      <w:r w:rsidRPr="004C646D">
        <w:rPr>
          <w:rFonts w:ascii="Arial" w:hAnsi="Arial" w:cs="Arial"/>
        </w:rPr>
        <w:t xml:space="preserve"> &amp; </w:t>
      </w:r>
      <w:proofErr w:type="spellStart"/>
      <w:r w:rsidRPr="004C646D">
        <w:rPr>
          <w:rFonts w:ascii="Arial" w:hAnsi="Arial" w:cs="Arial"/>
        </w:rPr>
        <w:t>Tantiado</w:t>
      </w:r>
      <w:proofErr w:type="spellEnd"/>
      <w:r w:rsidRPr="004C646D">
        <w:rPr>
          <w:rFonts w:ascii="Arial" w:hAnsi="Arial" w:cs="Arial"/>
        </w:rPr>
        <w:t xml:space="preserve">, 2024; </w:t>
      </w:r>
      <w:proofErr w:type="spellStart"/>
      <w:r w:rsidRPr="004C646D">
        <w:rPr>
          <w:rFonts w:ascii="Arial" w:hAnsi="Arial" w:cs="Arial"/>
        </w:rPr>
        <w:t>Varszegi</w:t>
      </w:r>
      <w:proofErr w:type="spellEnd"/>
      <w:r w:rsidRPr="004C646D">
        <w:rPr>
          <w:rFonts w:ascii="Arial" w:hAnsi="Arial" w:cs="Arial"/>
        </w:rPr>
        <w:t>, 2022). High classroom management skills also reflect stronger teacher efficacy, which helps minimize disruptions and maintain focus, especially in mathematics classes (Shah, 2023; Yadav, 2021).</w:t>
      </w:r>
    </w:p>
    <w:p w14:paraId="095A6E24" w14:textId="7B2820F4"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Instructional strategies also received a very high rating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4.52,  s = .45</m:t>
        </m:r>
      </m:oMath>
      <w:r w:rsidRPr="004C646D">
        <w:rPr>
          <w:rFonts w:ascii="Arial" w:hAnsi="Arial" w:cs="Arial"/>
        </w:rPr>
        <w:t>), supporting findings that confident teachers tend to use innovative methods such as inquiry-based and co</w:t>
      </w:r>
      <w:proofErr w:type="spellStart"/>
      <w:r w:rsidRPr="004C646D">
        <w:rPr>
          <w:rFonts w:ascii="Arial" w:hAnsi="Arial" w:cs="Arial"/>
        </w:rPr>
        <w:t>llaborative</w:t>
      </w:r>
      <w:proofErr w:type="spellEnd"/>
      <w:r w:rsidRPr="004C646D">
        <w:rPr>
          <w:rFonts w:ascii="Arial" w:hAnsi="Arial" w:cs="Arial"/>
        </w:rPr>
        <w:t xml:space="preserve"> learning (</w:t>
      </w:r>
      <w:proofErr w:type="spellStart"/>
      <w:r w:rsidRPr="004C646D">
        <w:rPr>
          <w:rFonts w:ascii="Arial" w:hAnsi="Arial" w:cs="Arial"/>
        </w:rPr>
        <w:t>Jagnandan</w:t>
      </w:r>
      <w:proofErr w:type="spellEnd"/>
      <w:r w:rsidRPr="004C646D">
        <w:rPr>
          <w:rFonts w:ascii="Arial" w:hAnsi="Arial" w:cs="Arial"/>
        </w:rPr>
        <w:t xml:space="preserve"> et al., 2024; Lee &amp; Paul, 2023). These strategies are particularly valuable in mathematics, where engaging tools and differentiation enhance understanding (Hettinger et al., 2022; </w:t>
      </w:r>
      <w:proofErr w:type="spellStart"/>
      <w:r w:rsidRPr="004C646D">
        <w:rPr>
          <w:rFonts w:ascii="Arial" w:hAnsi="Arial" w:cs="Arial"/>
        </w:rPr>
        <w:t>Bachtiar</w:t>
      </w:r>
      <w:proofErr w:type="spellEnd"/>
      <w:r w:rsidRPr="004C646D">
        <w:rPr>
          <w:rFonts w:ascii="Arial" w:hAnsi="Arial" w:cs="Arial"/>
        </w:rPr>
        <w:t>, 2024).</w:t>
      </w:r>
    </w:p>
    <w:p w14:paraId="09573ADF" w14:textId="4450A99E"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Student engagement scored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4.45,  s = .54</m:t>
        </m:r>
      </m:oMath>
      <w:r w:rsidRPr="004C646D">
        <w:rPr>
          <w:rFonts w:ascii="Arial" w:hAnsi="Arial" w:cs="Arial"/>
        </w:rPr>
        <w:t>), consistent with evidence that teacher self-efficacy drives student motivation and participation (Zimu, 2024). Highly efficacious teachers often adopt interactive, student-centered approaches that boost interest and retention in math (</w:t>
      </w:r>
      <w:proofErr w:type="spellStart"/>
      <w:r w:rsidRPr="004C646D">
        <w:rPr>
          <w:rFonts w:ascii="Arial" w:hAnsi="Arial" w:cs="Arial"/>
        </w:rPr>
        <w:t>Hidayatullah</w:t>
      </w:r>
      <w:proofErr w:type="spellEnd"/>
      <w:r w:rsidRPr="004C646D">
        <w:rPr>
          <w:rFonts w:ascii="Arial" w:hAnsi="Arial" w:cs="Arial"/>
        </w:rPr>
        <w:t xml:space="preserve"> et al., 2024).</w:t>
      </w:r>
    </w:p>
    <w:p w14:paraId="1D878A0E" w14:textId="31B62D1D"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Assessing student understanding was also rated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4.37,  s = .55</m:t>
        </m:r>
      </m:oMath>
      <w:r w:rsidRPr="004C646D">
        <w:rPr>
          <w:rFonts w:ascii="Arial" w:hAnsi="Arial" w:cs="Arial"/>
        </w:rPr>
        <w:t xml:space="preserve">), reinforcing the importance of formative assessments and authentic evaluation practices (Tashiro et al., 2021; Lumpkin, 2022). When used effectively, these tools help teachers adjust instruction to meet learners’ needs (Oliveira &amp; Henriques, 2021; </w:t>
      </w:r>
      <w:proofErr w:type="spellStart"/>
      <w:r w:rsidRPr="004C646D">
        <w:rPr>
          <w:rFonts w:ascii="Arial" w:hAnsi="Arial" w:cs="Arial"/>
        </w:rPr>
        <w:t>Gallavan</w:t>
      </w:r>
      <w:proofErr w:type="spellEnd"/>
      <w:r w:rsidRPr="004C646D">
        <w:rPr>
          <w:rFonts w:ascii="Arial" w:hAnsi="Arial" w:cs="Arial"/>
        </w:rPr>
        <w:t>, 2020).</w:t>
      </w:r>
    </w:p>
    <w:p w14:paraId="102CEFEC" w14:textId="58772748" w:rsidR="004C646D" w:rsidRDefault="004C646D" w:rsidP="006434BE">
      <w:pPr>
        <w:pStyle w:val="Body"/>
        <w:spacing w:after="0"/>
        <w:rPr>
          <w:rFonts w:ascii="Arial" w:hAnsi="Arial" w:cs="Arial"/>
        </w:rPr>
      </w:pPr>
      <w:r>
        <w:rPr>
          <w:rFonts w:ascii="Arial" w:hAnsi="Arial" w:cs="Arial"/>
        </w:rPr>
        <w:tab/>
      </w:r>
      <w:r w:rsidRPr="004C646D">
        <w:rPr>
          <w:rFonts w:ascii="Arial" w:hAnsi="Arial" w:cs="Arial"/>
        </w:rPr>
        <w:t>Efficacy in meeting diverse student needs scored very high (</w:t>
      </w:r>
      <m:oMath>
        <m:acc>
          <m:accPr>
            <m:chr m:val="̅"/>
            <m:ctrlPr>
              <w:rPr>
                <w:rFonts w:ascii="Cambria Math" w:hAnsi="Cambria Math" w:cs="Arial"/>
                <w:i/>
              </w:rPr>
            </m:ctrlPr>
          </m:accPr>
          <m:e>
            <m:r>
              <w:rPr>
                <w:rFonts w:ascii="Cambria Math" w:hAnsi="Cambria Math" w:cs="Arial"/>
              </w:rPr>
              <m:t>x</m:t>
            </m:r>
          </m:e>
        </m:acc>
        <m:r>
          <w:rPr>
            <w:rFonts w:ascii="Cambria Math" w:hAnsi="Cambria Math" w:cs="Arial"/>
          </w:rPr>
          <m:t xml:space="preserve"> = 4.47,  s = .54</m:t>
        </m:r>
      </m:oMath>
      <w:r w:rsidRPr="004C646D">
        <w:rPr>
          <w:rFonts w:ascii="Arial" w:hAnsi="Arial" w:cs="Arial"/>
        </w:rPr>
        <w:t>), indicating graduates’ confidence in handling varied learners. However, this area remains challenging due to resource constraints and the complexity of inclusive teaching (Ranbir &amp; Education, 2024; Meng, 2024). Addressing diverse needs requires differentiated strategies and systemic support (Devi, 2023).</w:t>
      </w:r>
    </w:p>
    <w:p w14:paraId="6F59D3AC" w14:textId="77777777" w:rsidR="004C646D" w:rsidRPr="006434BE" w:rsidRDefault="004C646D" w:rsidP="006434BE">
      <w:pPr>
        <w:pStyle w:val="Body"/>
        <w:spacing w:after="0"/>
        <w:rPr>
          <w:rFonts w:ascii="Arial" w:hAnsi="Arial" w:cs="Arial"/>
        </w:rPr>
      </w:pPr>
    </w:p>
    <w:p w14:paraId="169AF034" w14:textId="25605DCA" w:rsidR="008B09CD" w:rsidRPr="00895188" w:rsidRDefault="00770A2E" w:rsidP="00895188">
      <w:pPr>
        <w:pStyle w:val="Body"/>
        <w:spacing w:after="0"/>
        <w:jc w:val="left"/>
        <w:rPr>
          <w:rFonts w:ascii="Arial" w:hAnsi="Arial" w:cs="Arial"/>
        </w:rPr>
      </w:pPr>
      <w:r>
        <w:rPr>
          <w:rFonts w:ascii="Arial" w:hAnsi="Arial" w:cs="Arial"/>
        </w:rPr>
        <w:t>Table 2</w:t>
      </w:r>
      <w:r w:rsidR="00895188">
        <w:rPr>
          <w:rFonts w:ascii="Arial" w:hAnsi="Arial" w:cs="Arial"/>
        </w:rPr>
        <w:t xml:space="preserve">. </w:t>
      </w:r>
      <w:r>
        <w:rPr>
          <w:rFonts w:ascii="Arial" w:hAnsi="Arial" w:cs="Arial"/>
        </w:rPr>
        <w:t xml:space="preserve">Level </w:t>
      </w:r>
      <w:r w:rsidR="00895188">
        <w:rPr>
          <w:rFonts w:ascii="Arial" w:hAnsi="Arial" w:cs="Arial"/>
        </w:rPr>
        <w:t>of Teaching Efficacy</w:t>
      </w:r>
      <w:r w:rsidR="00B162C7">
        <w:rPr>
          <w:rFonts w:ascii="Arial" w:hAnsi="Arial" w:cs="Arial"/>
        </w:rPr>
        <w:t xml:space="preserve"> based on various indicators (n = 25)</w:t>
      </w:r>
    </w:p>
    <w:tbl>
      <w:tblPr>
        <w:tblW w:w="9257" w:type="dxa"/>
        <w:tblInd w:w="93" w:type="dxa"/>
        <w:tblLayout w:type="fixed"/>
        <w:tblLook w:val="04A0" w:firstRow="1" w:lastRow="0" w:firstColumn="1" w:lastColumn="0" w:noHBand="0" w:noVBand="1"/>
      </w:tblPr>
      <w:tblGrid>
        <w:gridCol w:w="1631"/>
        <w:gridCol w:w="965"/>
        <w:gridCol w:w="992"/>
        <w:gridCol w:w="917"/>
        <w:gridCol w:w="675"/>
        <w:gridCol w:w="555"/>
        <w:gridCol w:w="675"/>
        <w:gridCol w:w="555"/>
        <w:gridCol w:w="675"/>
        <w:gridCol w:w="1617"/>
      </w:tblGrid>
      <w:tr w:rsidR="00B162C7" w:rsidRPr="00C45AA5" w14:paraId="3877A297" w14:textId="77777777" w:rsidTr="00B162C7">
        <w:trPr>
          <w:trHeight w:val="633"/>
        </w:trPr>
        <w:tc>
          <w:tcPr>
            <w:tcW w:w="1631" w:type="dxa"/>
            <w:tcBorders>
              <w:top w:val="single" w:sz="4" w:space="0" w:color="auto"/>
              <w:bottom w:val="single" w:sz="4" w:space="0" w:color="auto"/>
            </w:tcBorders>
            <w:shd w:val="clear" w:color="auto" w:fill="auto"/>
            <w:vAlign w:val="center"/>
            <w:hideMark/>
          </w:tcPr>
          <w:p w14:paraId="3D6AF220" w14:textId="77777777" w:rsidR="00B162C7" w:rsidRPr="00C45AA5" w:rsidRDefault="00B162C7" w:rsidP="00B162C7">
            <w:pPr>
              <w:rPr>
                <w:rFonts w:ascii="Arial" w:hAnsi="Arial" w:cs="Arial"/>
                <w:b/>
                <w:bCs/>
                <w:color w:val="000000"/>
                <w:lang w:eastAsia="en-PH"/>
              </w:rPr>
            </w:pPr>
            <w:r w:rsidRPr="00C45AA5">
              <w:rPr>
                <w:rFonts w:ascii="Arial" w:hAnsi="Arial" w:cs="Arial"/>
                <w:b/>
                <w:bCs/>
                <w:color w:val="000000"/>
                <w:lang w:eastAsia="en-PH"/>
              </w:rPr>
              <w:t>Indicator</w:t>
            </w:r>
          </w:p>
        </w:tc>
        <w:tc>
          <w:tcPr>
            <w:tcW w:w="965" w:type="dxa"/>
            <w:tcBorders>
              <w:top w:val="single" w:sz="4" w:space="0" w:color="auto"/>
              <w:bottom w:val="single" w:sz="4" w:space="0" w:color="auto"/>
            </w:tcBorders>
            <w:shd w:val="clear" w:color="auto" w:fill="auto"/>
            <w:vAlign w:val="center"/>
            <w:hideMark/>
          </w:tcPr>
          <w:p w14:paraId="4AD77982" w14:textId="77777777" w:rsidR="00B162C7" w:rsidRPr="00C45AA5" w:rsidRDefault="00B162C7" w:rsidP="00B162C7">
            <w:pPr>
              <w:jc w:val="center"/>
              <w:rPr>
                <w:rFonts w:ascii="Arial" w:hAnsi="Arial" w:cs="Arial"/>
                <w:b/>
                <w:bCs/>
                <w:color w:val="000000"/>
                <w:lang w:eastAsia="en-PH"/>
              </w:rPr>
            </w:pPr>
            <w:r w:rsidRPr="00C45AA5">
              <w:rPr>
                <w:rFonts w:ascii="Arial" w:hAnsi="Arial" w:cs="Arial"/>
                <w:b/>
                <w:bCs/>
                <w:color w:val="000000"/>
                <w:lang w:eastAsia="en-PH"/>
              </w:rPr>
              <w:t>Mean</w:t>
            </w:r>
          </w:p>
          <w:p w14:paraId="475D5FCB" w14:textId="77777777" w:rsidR="00B162C7" w:rsidRPr="00C45AA5" w:rsidRDefault="00B162C7" w:rsidP="00B162C7">
            <w:pPr>
              <w:jc w:val="center"/>
              <w:rPr>
                <w:rFonts w:ascii="Arial" w:hAnsi="Arial" w:cs="Arial"/>
                <w:b/>
                <w:bCs/>
                <w:color w:val="000000"/>
                <w:lang w:eastAsia="en-PH"/>
              </w:rPr>
            </w:pPr>
            <w:r w:rsidRPr="00C45AA5">
              <w:rPr>
                <w:rFonts w:ascii="Arial" w:hAnsi="Arial" w:cs="Arial"/>
                <w:b/>
                <w:bCs/>
                <w:lang w:val="en-PH"/>
              </w:rPr>
              <w:t>(</w:t>
            </w:r>
            <m:oMath>
              <m:acc>
                <m:accPr>
                  <m:chr m:val="̅"/>
                  <m:ctrlPr>
                    <w:rPr>
                      <w:rFonts w:ascii="Cambria Math" w:hAnsi="Cambria Math" w:cs="Arial"/>
                      <w:b/>
                      <w:bCs/>
                      <w:i/>
                      <w:lang w:val="en-PH"/>
                    </w:rPr>
                  </m:ctrlPr>
                </m:accPr>
                <m:e>
                  <m:r>
                    <m:rPr>
                      <m:sty m:val="bi"/>
                    </m:rPr>
                    <w:rPr>
                      <w:rFonts w:ascii="Cambria Math" w:hAnsi="Cambria Math" w:cs="Arial"/>
                      <w:lang w:val="en-PH"/>
                    </w:rPr>
                    <m:t>x</m:t>
                  </m:r>
                </m:e>
              </m:acc>
            </m:oMath>
            <w:r w:rsidRPr="00C45AA5">
              <w:rPr>
                <w:rFonts w:ascii="Arial" w:hAnsi="Arial" w:cs="Arial"/>
                <w:b/>
                <w:bCs/>
                <w:lang w:val="en-PH"/>
              </w:rPr>
              <w:t>)</w:t>
            </w:r>
          </w:p>
        </w:tc>
        <w:tc>
          <w:tcPr>
            <w:tcW w:w="992" w:type="dxa"/>
            <w:tcBorders>
              <w:top w:val="single" w:sz="4" w:space="0" w:color="auto"/>
              <w:bottom w:val="single" w:sz="4" w:space="0" w:color="auto"/>
            </w:tcBorders>
            <w:shd w:val="clear" w:color="auto" w:fill="auto"/>
            <w:vAlign w:val="center"/>
            <w:hideMark/>
          </w:tcPr>
          <w:p w14:paraId="6430DA57" w14:textId="77777777" w:rsidR="00B162C7" w:rsidRPr="00B162C7" w:rsidRDefault="00B162C7" w:rsidP="00B162C7">
            <w:pPr>
              <w:jc w:val="center"/>
              <w:rPr>
                <w:rFonts w:ascii="Arial" w:hAnsi="Arial" w:cs="Arial"/>
                <w:b/>
                <w:bCs/>
                <w:color w:val="000000"/>
                <w:sz w:val="16"/>
                <w:szCs w:val="16"/>
                <w:lang w:eastAsia="en-PH"/>
              </w:rPr>
            </w:pPr>
            <w:r w:rsidRPr="00B162C7">
              <w:rPr>
                <w:rFonts w:ascii="Arial" w:hAnsi="Arial" w:cs="Arial"/>
                <w:b/>
                <w:bCs/>
                <w:color w:val="000000"/>
                <w:sz w:val="16"/>
                <w:szCs w:val="16"/>
                <w:lang w:eastAsia="en-PH"/>
              </w:rPr>
              <w:t>Std. Deviation</w:t>
            </w:r>
          </w:p>
          <w:p w14:paraId="41353584" w14:textId="77777777" w:rsidR="00B162C7" w:rsidRPr="00C45AA5" w:rsidRDefault="00B162C7" w:rsidP="00B162C7">
            <w:pPr>
              <w:jc w:val="center"/>
              <w:rPr>
                <w:rFonts w:ascii="Arial" w:hAnsi="Arial" w:cs="Arial"/>
                <w:b/>
                <w:bCs/>
                <w:color w:val="000000"/>
                <w:lang w:eastAsia="en-PH"/>
              </w:rPr>
            </w:pPr>
            <w:r w:rsidRPr="00C45AA5">
              <w:rPr>
                <w:rFonts w:ascii="Arial" w:hAnsi="Arial" w:cs="Arial"/>
                <w:b/>
                <w:bCs/>
                <w:lang w:val="en-PH"/>
              </w:rPr>
              <w:t>(</w:t>
            </w:r>
            <m:oMath>
              <m:r>
                <m:rPr>
                  <m:sty m:val="bi"/>
                </m:rPr>
                <w:rPr>
                  <w:rFonts w:ascii="Cambria Math" w:hAnsi="Cambria Math" w:cs="Arial"/>
                  <w:lang w:val="en-PH"/>
                </w:rPr>
                <m:t>s</m:t>
              </m:r>
            </m:oMath>
            <w:r w:rsidRPr="00C45AA5">
              <w:rPr>
                <w:rFonts w:ascii="Arial" w:hAnsi="Arial" w:cs="Arial"/>
                <w:b/>
                <w:bCs/>
                <w:lang w:val="en-PH"/>
              </w:rPr>
              <w:t>)</w:t>
            </w:r>
          </w:p>
        </w:tc>
        <w:tc>
          <w:tcPr>
            <w:tcW w:w="917" w:type="dxa"/>
            <w:tcBorders>
              <w:top w:val="single" w:sz="4" w:space="0" w:color="auto"/>
              <w:bottom w:val="single" w:sz="4" w:space="0" w:color="auto"/>
            </w:tcBorders>
            <w:shd w:val="clear" w:color="auto" w:fill="auto"/>
            <w:noWrap/>
            <w:vAlign w:val="center"/>
            <w:hideMark/>
          </w:tcPr>
          <w:p w14:paraId="3152D0BC" w14:textId="77777777" w:rsidR="00B162C7" w:rsidRPr="00C45AA5" w:rsidRDefault="00B162C7" w:rsidP="00B162C7">
            <w:pPr>
              <w:jc w:val="center"/>
              <w:rPr>
                <w:rFonts w:ascii="Arial" w:hAnsi="Arial" w:cs="Arial"/>
                <w:b/>
                <w:bCs/>
                <w:lang w:eastAsia="en-PH"/>
              </w:rPr>
            </w:pPr>
            <w:proofErr w:type="gramStart"/>
            <w:r w:rsidRPr="00C45AA5">
              <w:rPr>
                <w:rFonts w:ascii="Arial" w:hAnsi="Arial" w:cs="Arial"/>
                <w:b/>
                <w:bCs/>
                <w:lang w:eastAsia="en-PH"/>
              </w:rPr>
              <w:t>f(</w:t>
            </w:r>
            <w:proofErr w:type="gramEnd"/>
            <w:r w:rsidRPr="00C45AA5">
              <w:rPr>
                <w:rFonts w:ascii="Arial" w:hAnsi="Arial" w:cs="Arial"/>
                <w:b/>
                <w:bCs/>
                <w:lang w:eastAsia="en-PH"/>
              </w:rPr>
              <w:t>5)</w:t>
            </w:r>
          </w:p>
        </w:tc>
        <w:tc>
          <w:tcPr>
            <w:tcW w:w="675" w:type="dxa"/>
            <w:tcBorders>
              <w:top w:val="single" w:sz="4" w:space="0" w:color="auto"/>
              <w:bottom w:val="single" w:sz="4" w:space="0" w:color="auto"/>
            </w:tcBorders>
            <w:shd w:val="clear" w:color="auto" w:fill="auto"/>
            <w:vAlign w:val="center"/>
          </w:tcPr>
          <w:p w14:paraId="511E9696" w14:textId="77777777" w:rsidR="00B162C7" w:rsidRPr="00C45AA5" w:rsidRDefault="00B162C7" w:rsidP="00B162C7">
            <w:pPr>
              <w:spacing w:after="160" w:line="259" w:lineRule="auto"/>
              <w:jc w:val="center"/>
              <w:rPr>
                <w:rFonts w:ascii="Arial" w:hAnsi="Arial" w:cs="Arial"/>
                <w:b/>
                <w:bCs/>
                <w:lang w:eastAsia="en-PH"/>
              </w:rPr>
            </w:pPr>
            <w:proofErr w:type="gramStart"/>
            <w:r w:rsidRPr="00C45AA5">
              <w:rPr>
                <w:rFonts w:ascii="Arial" w:hAnsi="Arial" w:cs="Arial"/>
                <w:b/>
                <w:bCs/>
                <w:lang w:eastAsia="en-PH"/>
              </w:rPr>
              <w:t>%(</w:t>
            </w:r>
            <w:proofErr w:type="gramEnd"/>
            <w:r w:rsidRPr="00C45AA5">
              <w:rPr>
                <w:rFonts w:ascii="Arial" w:hAnsi="Arial" w:cs="Arial"/>
                <w:b/>
                <w:bCs/>
                <w:lang w:eastAsia="en-PH"/>
              </w:rPr>
              <w:t>5)</w:t>
            </w:r>
          </w:p>
        </w:tc>
        <w:tc>
          <w:tcPr>
            <w:tcW w:w="555" w:type="dxa"/>
            <w:tcBorders>
              <w:top w:val="single" w:sz="4" w:space="0" w:color="auto"/>
              <w:bottom w:val="single" w:sz="4" w:space="0" w:color="auto"/>
            </w:tcBorders>
            <w:shd w:val="clear" w:color="auto" w:fill="auto"/>
            <w:vAlign w:val="center"/>
          </w:tcPr>
          <w:p w14:paraId="1D83CD9D" w14:textId="77777777" w:rsidR="00B162C7" w:rsidRPr="00C45AA5" w:rsidRDefault="00B162C7" w:rsidP="00B162C7">
            <w:pPr>
              <w:spacing w:after="160" w:line="259" w:lineRule="auto"/>
              <w:jc w:val="center"/>
              <w:rPr>
                <w:rFonts w:ascii="Arial" w:hAnsi="Arial" w:cs="Arial"/>
                <w:b/>
                <w:bCs/>
                <w:lang w:eastAsia="en-PH"/>
              </w:rPr>
            </w:pPr>
            <w:proofErr w:type="gramStart"/>
            <w:r w:rsidRPr="00C45AA5">
              <w:rPr>
                <w:rFonts w:ascii="Arial" w:hAnsi="Arial" w:cs="Arial"/>
                <w:b/>
                <w:bCs/>
                <w:lang w:eastAsia="en-PH"/>
              </w:rPr>
              <w:t>f(</w:t>
            </w:r>
            <w:proofErr w:type="gramEnd"/>
            <w:r w:rsidRPr="00C45AA5">
              <w:rPr>
                <w:rFonts w:ascii="Arial" w:hAnsi="Arial" w:cs="Arial"/>
                <w:b/>
                <w:bCs/>
                <w:lang w:eastAsia="en-PH"/>
              </w:rPr>
              <w:t>4)</w:t>
            </w:r>
          </w:p>
        </w:tc>
        <w:tc>
          <w:tcPr>
            <w:tcW w:w="675" w:type="dxa"/>
            <w:tcBorders>
              <w:top w:val="single" w:sz="4" w:space="0" w:color="auto"/>
              <w:bottom w:val="single" w:sz="4" w:space="0" w:color="auto"/>
            </w:tcBorders>
            <w:shd w:val="clear" w:color="auto" w:fill="auto"/>
            <w:vAlign w:val="center"/>
          </w:tcPr>
          <w:p w14:paraId="6473C0B2" w14:textId="77777777" w:rsidR="00B162C7" w:rsidRPr="00C45AA5" w:rsidRDefault="00B162C7" w:rsidP="00B162C7">
            <w:pPr>
              <w:spacing w:after="160" w:line="259" w:lineRule="auto"/>
              <w:jc w:val="center"/>
              <w:rPr>
                <w:rFonts w:ascii="Arial" w:hAnsi="Arial" w:cs="Arial"/>
                <w:b/>
                <w:bCs/>
                <w:lang w:eastAsia="en-PH"/>
              </w:rPr>
            </w:pPr>
            <w:proofErr w:type="gramStart"/>
            <w:r w:rsidRPr="00C45AA5">
              <w:rPr>
                <w:rFonts w:ascii="Arial" w:hAnsi="Arial" w:cs="Arial"/>
                <w:b/>
                <w:bCs/>
                <w:lang w:eastAsia="en-PH"/>
              </w:rPr>
              <w:t>%(</w:t>
            </w:r>
            <w:proofErr w:type="gramEnd"/>
            <w:r w:rsidRPr="00C45AA5">
              <w:rPr>
                <w:rFonts w:ascii="Arial" w:hAnsi="Arial" w:cs="Arial"/>
                <w:b/>
                <w:bCs/>
                <w:lang w:eastAsia="en-PH"/>
              </w:rPr>
              <w:t>4)</w:t>
            </w:r>
          </w:p>
        </w:tc>
        <w:tc>
          <w:tcPr>
            <w:tcW w:w="555" w:type="dxa"/>
            <w:tcBorders>
              <w:top w:val="single" w:sz="4" w:space="0" w:color="auto"/>
              <w:bottom w:val="single" w:sz="4" w:space="0" w:color="auto"/>
            </w:tcBorders>
            <w:shd w:val="clear" w:color="auto" w:fill="auto"/>
            <w:vAlign w:val="center"/>
          </w:tcPr>
          <w:p w14:paraId="47B46380" w14:textId="77777777" w:rsidR="00B162C7" w:rsidRPr="00C45AA5" w:rsidRDefault="00B162C7" w:rsidP="00B162C7">
            <w:pPr>
              <w:spacing w:after="160" w:line="259" w:lineRule="auto"/>
              <w:jc w:val="center"/>
              <w:rPr>
                <w:rFonts w:ascii="Arial" w:hAnsi="Arial" w:cs="Arial"/>
                <w:b/>
                <w:bCs/>
                <w:lang w:eastAsia="en-PH"/>
              </w:rPr>
            </w:pPr>
            <w:proofErr w:type="gramStart"/>
            <w:r w:rsidRPr="00C45AA5">
              <w:rPr>
                <w:rFonts w:ascii="Arial" w:hAnsi="Arial" w:cs="Arial"/>
                <w:b/>
                <w:bCs/>
                <w:lang w:eastAsia="en-PH"/>
              </w:rPr>
              <w:t>f(</w:t>
            </w:r>
            <w:proofErr w:type="gramEnd"/>
            <w:r w:rsidRPr="00C45AA5">
              <w:rPr>
                <w:rFonts w:ascii="Arial" w:hAnsi="Arial" w:cs="Arial"/>
                <w:b/>
                <w:bCs/>
                <w:lang w:eastAsia="en-PH"/>
              </w:rPr>
              <w:t>3)</w:t>
            </w:r>
          </w:p>
        </w:tc>
        <w:tc>
          <w:tcPr>
            <w:tcW w:w="675" w:type="dxa"/>
            <w:tcBorders>
              <w:top w:val="single" w:sz="4" w:space="0" w:color="auto"/>
              <w:bottom w:val="single" w:sz="4" w:space="0" w:color="auto"/>
            </w:tcBorders>
            <w:shd w:val="clear" w:color="auto" w:fill="auto"/>
            <w:vAlign w:val="center"/>
          </w:tcPr>
          <w:p w14:paraId="6E5A027C" w14:textId="77777777" w:rsidR="00B162C7" w:rsidRPr="00C45AA5" w:rsidRDefault="00B162C7" w:rsidP="00B162C7">
            <w:pPr>
              <w:spacing w:after="160" w:line="259" w:lineRule="auto"/>
              <w:jc w:val="center"/>
              <w:rPr>
                <w:rFonts w:ascii="Arial" w:hAnsi="Arial" w:cs="Arial"/>
                <w:b/>
                <w:bCs/>
                <w:lang w:eastAsia="en-PH"/>
              </w:rPr>
            </w:pPr>
            <w:proofErr w:type="gramStart"/>
            <w:r w:rsidRPr="00C45AA5">
              <w:rPr>
                <w:rFonts w:ascii="Arial" w:hAnsi="Arial" w:cs="Arial"/>
                <w:b/>
                <w:bCs/>
                <w:lang w:eastAsia="en-PH"/>
              </w:rPr>
              <w:t>%(</w:t>
            </w:r>
            <w:proofErr w:type="gramEnd"/>
            <w:r w:rsidRPr="00C45AA5">
              <w:rPr>
                <w:rFonts w:ascii="Arial" w:hAnsi="Arial" w:cs="Arial"/>
                <w:b/>
                <w:bCs/>
                <w:lang w:eastAsia="en-PH"/>
              </w:rPr>
              <w:t>3)</w:t>
            </w:r>
          </w:p>
        </w:tc>
        <w:tc>
          <w:tcPr>
            <w:tcW w:w="1617" w:type="dxa"/>
            <w:tcBorders>
              <w:top w:val="single" w:sz="4" w:space="0" w:color="auto"/>
              <w:bottom w:val="single" w:sz="4" w:space="0" w:color="auto"/>
            </w:tcBorders>
            <w:shd w:val="clear" w:color="auto" w:fill="auto"/>
            <w:vAlign w:val="center"/>
          </w:tcPr>
          <w:p w14:paraId="0E1E38D9" w14:textId="77777777" w:rsidR="00B162C7" w:rsidRPr="00C45AA5" w:rsidRDefault="00B162C7" w:rsidP="00B162C7">
            <w:pPr>
              <w:spacing w:after="160" w:line="259" w:lineRule="auto"/>
              <w:jc w:val="center"/>
              <w:rPr>
                <w:rFonts w:ascii="Arial" w:hAnsi="Arial" w:cs="Arial"/>
                <w:b/>
                <w:bCs/>
                <w:lang w:eastAsia="en-PH"/>
              </w:rPr>
            </w:pPr>
            <w:r w:rsidRPr="00C45AA5">
              <w:rPr>
                <w:rFonts w:ascii="Arial" w:hAnsi="Arial" w:cs="Arial"/>
                <w:b/>
                <w:bCs/>
                <w:lang w:eastAsia="en-PH"/>
              </w:rPr>
              <w:t>Level of Manifestation</w:t>
            </w:r>
          </w:p>
        </w:tc>
      </w:tr>
      <w:tr w:rsidR="00B162C7" w:rsidRPr="00C45AA5" w14:paraId="63901D41" w14:textId="77777777" w:rsidTr="00B162C7">
        <w:trPr>
          <w:trHeight w:val="394"/>
        </w:trPr>
        <w:tc>
          <w:tcPr>
            <w:tcW w:w="1631" w:type="dxa"/>
            <w:tcBorders>
              <w:top w:val="single" w:sz="4" w:space="0" w:color="auto"/>
            </w:tcBorders>
            <w:shd w:val="clear" w:color="auto" w:fill="auto"/>
            <w:vAlign w:val="center"/>
            <w:hideMark/>
          </w:tcPr>
          <w:p w14:paraId="60A558D0" w14:textId="77777777" w:rsidR="00B162C7" w:rsidRPr="00C45AA5" w:rsidRDefault="00B162C7" w:rsidP="00B162C7">
            <w:pPr>
              <w:rPr>
                <w:rFonts w:ascii="Arial" w:hAnsi="Arial" w:cs="Arial"/>
                <w:color w:val="000000"/>
                <w:lang w:eastAsia="en-PH"/>
              </w:rPr>
            </w:pPr>
            <w:r w:rsidRPr="00C45AA5">
              <w:rPr>
                <w:rFonts w:ascii="Arial" w:hAnsi="Arial" w:cs="Arial"/>
                <w:color w:val="000000"/>
                <w:lang w:eastAsia="en-PH"/>
              </w:rPr>
              <w:t>A. Classroom Management</w:t>
            </w:r>
          </w:p>
        </w:tc>
        <w:tc>
          <w:tcPr>
            <w:tcW w:w="965" w:type="dxa"/>
            <w:tcBorders>
              <w:top w:val="single" w:sz="4" w:space="0" w:color="auto"/>
            </w:tcBorders>
            <w:shd w:val="clear" w:color="auto" w:fill="auto"/>
            <w:noWrap/>
            <w:vAlign w:val="center"/>
            <w:hideMark/>
          </w:tcPr>
          <w:p w14:paraId="424D1B39"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t>4.49</w:t>
            </w:r>
          </w:p>
        </w:tc>
        <w:tc>
          <w:tcPr>
            <w:tcW w:w="992" w:type="dxa"/>
            <w:tcBorders>
              <w:top w:val="single" w:sz="4" w:space="0" w:color="auto"/>
            </w:tcBorders>
            <w:shd w:val="clear" w:color="auto" w:fill="auto"/>
            <w:noWrap/>
            <w:vAlign w:val="center"/>
            <w:hideMark/>
          </w:tcPr>
          <w:p w14:paraId="231A369F"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t>.52</w:t>
            </w:r>
          </w:p>
        </w:tc>
        <w:tc>
          <w:tcPr>
            <w:tcW w:w="917" w:type="dxa"/>
            <w:tcBorders>
              <w:top w:val="single" w:sz="4" w:space="0" w:color="auto"/>
            </w:tcBorders>
            <w:shd w:val="clear" w:color="auto" w:fill="auto"/>
            <w:noWrap/>
            <w:vAlign w:val="center"/>
            <w:hideMark/>
          </w:tcPr>
          <w:p w14:paraId="3FAE2E3B" w14:textId="77777777" w:rsidR="00B162C7" w:rsidRPr="00C45AA5" w:rsidRDefault="00B162C7" w:rsidP="00B162C7">
            <w:pPr>
              <w:jc w:val="center"/>
              <w:rPr>
                <w:rFonts w:ascii="Arial" w:hAnsi="Arial" w:cs="Arial"/>
                <w:lang w:eastAsia="en-PH"/>
              </w:rPr>
            </w:pPr>
            <w:r>
              <w:rPr>
                <w:rFonts w:ascii="Arial" w:hAnsi="Arial" w:cs="Arial"/>
                <w:lang w:eastAsia="en-PH"/>
              </w:rPr>
              <w:t>15</w:t>
            </w:r>
          </w:p>
        </w:tc>
        <w:tc>
          <w:tcPr>
            <w:tcW w:w="675" w:type="dxa"/>
            <w:tcBorders>
              <w:top w:val="single" w:sz="4" w:space="0" w:color="auto"/>
            </w:tcBorders>
            <w:shd w:val="clear" w:color="auto" w:fill="auto"/>
            <w:vAlign w:val="center"/>
          </w:tcPr>
          <w:p w14:paraId="18305751" w14:textId="777BB3FE"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60%</w:t>
            </w:r>
          </w:p>
        </w:tc>
        <w:tc>
          <w:tcPr>
            <w:tcW w:w="555" w:type="dxa"/>
            <w:tcBorders>
              <w:top w:val="single" w:sz="4" w:space="0" w:color="auto"/>
            </w:tcBorders>
            <w:shd w:val="clear" w:color="auto" w:fill="auto"/>
            <w:vAlign w:val="center"/>
          </w:tcPr>
          <w:p w14:paraId="119275A7"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9</w:t>
            </w:r>
          </w:p>
        </w:tc>
        <w:tc>
          <w:tcPr>
            <w:tcW w:w="675" w:type="dxa"/>
            <w:tcBorders>
              <w:top w:val="single" w:sz="4" w:space="0" w:color="auto"/>
            </w:tcBorders>
            <w:shd w:val="clear" w:color="auto" w:fill="auto"/>
            <w:vAlign w:val="center"/>
          </w:tcPr>
          <w:p w14:paraId="3AB83620"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36%</w:t>
            </w:r>
          </w:p>
        </w:tc>
        <w:tc>
          <w:tcPr>
            <w:tcW w:w="555" w:type="dxa"/>
            <w:tcBorders>
              <w:top w:val="single" w:sz="4" w:space="0" w:color="auto"/>
            </w:tcBorders>
            <w:shd w:val="clear" w:color="auto" w:fill="auto"/>
            <w:vAlign w:val="center"/>
          </w:tcPr>
          <w:p w14:paraId="480134C7"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1</w:t>
            </w:r>
          </w:p>
        </w:tc>
        <w:tc>
          <w:tcPr>
            <w:tcW w:w="675" w:type="dxa"/>
            <w:tcBorders>
              <w:top w:val="single" w:sz="4" w:space="0" w:color="auto"/>
            </w:tcBorders>
            <w:shd w:val="clear" w:color="auto" w:fill="auto"/>
            <w:vAlign w:val="center"/>
          </w:tcPr>
          <w:p w14:paraId="7152973F"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4%</w:t>
            </w:r>
          </w:p>
        </w:tc>
        <w:tc>
          <w:tcPr>
            <w:tcW w:w="1617" w:type="dxa"/>
            <w:tcBorders>
              <w:top w:val="single" w:sz="4" w:space="0" w:color="auto"/>
            </w:tcBorders>
            <w:shd w:val="clear" w:color="auto" w:fill="auto"/>
            <w:vAlign w:val="center"/>
          </w:tcPr>
          <w:p w14:paraId="08814DBE" w14:textId="77777777" w:rsidR="00B162C7" w:rsidRPr="00C45AA5" w:rsidRDefault="00B162C7" w:rsidP="00B162C7">
            <w:pPr>
              <w:spacing w:after="160" w:line="259" w:lineRule="auto"/>
              <w:jc w:val="center"/>
              <w:rPr>
                <w:rFonts w:ascii="Arial" w:hAnsi="Arial" w:cs="Arial"/>
                <w:lang w:eastAsia="en-PH"/>
              </w:rPr>
            </w:pPr>
            <w:r w:rsidRPr="00C45AA5">
              <w:rPr>
                <w:rFonts w:ascii="Arial" w:hAnsi="Arial" w:cs="Arial"/>
                <w:lang w:eastAsia="en-PH"/>
              </w:rPr>
              <w:t>Very High</w:t>
            </w:r>
          </w:p>
        </w:tc>
      </w:tr>
      <w:tr w:rsidR="00B162C7" w:rsidRPr="00C45AA5" w14:paraId="2DD2B7D8" w14:textId="77777777" w:rsidTr="00B162C7">
        <w:trPr>
          <w:trHeight w:val="414"/>
        </w:trPr>
        <w:tc>
          <w:tcPr>
            <w:tcW w:w="1631" w:type="dxa"/>
            <w:shd w:val="clear" w:color="auto" w:fill="auto"/>
            <w:vAlign w:val="center"/>
            <w:hideMark/>
          </w:tcPr>
          <w:p w14:paraId="2ABF3F66" w14:textId="77777777" w:rsidR="00B162C7" w:rsidRPr="00C45AA5" w:rsidRDefault="00B162C7" w:rsidP="00B162C7">
            <w:pPr>
              <w:rPr>
                <w:rFonts w:ascii="Arial" w:hAnsi="Arial" w:cs="Arial"/>
                <w:color w:val="000000"/>
                <w:lang w:eastAsia="en-PH"/>
              </w:rPr>
            </w:pPr>
            <w:r w:rsidRPr="00C45AA5">
              <w:rPr>
                <w:rFonts w:ascii="Arial" w:hAnsi="Arial" w:cs="Arial"/>
                <w:color w:val="000000"/>
                <w:lang w:eastAsia="en-PH"/>
              </w:rPr>
              <w:t>B. Instructional Strategies</w:t>
            </w:r>
          </w:p>
        </w:tc>
        <w:tc>
          <w:tcPr>
            <w:tcW w:w="965" w:type="dxa"/>
            <w:shd w:val="clear" w:color="auto" w:fill="auto"/>
            <w:noWrap/>
            <w:vAlign w:val="center"/>
            <w:hideMark/>
          </w:tcPr>
          <w:p w14:paraId="05EFFE68"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t>4.52</w:t>
            </w:r>
          </w:p>
        </w:tc>
        <w:tc>
          <w:tcPr>
            <w:tcW w:w="992" w:type="dxa"/>
            <w:shd w:val="clear" w:color="auto" w:fill="auto"/>
            <w:noWrap/>
            <w:vAlign w:val="center"/>
            <w:hideMark/>
          </w:tcPr>
          <w:p w14:paraId="62FF80CB"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t>.45</w:t>
            </w:r>
          </w:p>
        </w:tc>
        <w:tc>
          <w:tcPr>
            <w:tcW w:w="917" w:type="dxa"/>
            <w:shd w:val="clear" w:color="auto" w:fill="auto"/>
            <w:noWrap/>
            <w:vAlign w:val="center"/>
            <w:hideMark/>
          </w:tcPr>
          <w:p w14:paraId="7EFCE19B" w14:textId="77777777" w:rsidR="00B162C7" w:rsidRPr="00C45AA5" w:rsidRDefault="00B162C7" w:rsidP="00B162C7">
            <w:pPr>
              <w:jc w:val="center"/>
              <w:rPr>
                <w:rFonts w:ascii="Arial" w:hAnsi="Arial" w:cs="Arial"/>
                <w:lang w:eastAsia="en-PH"/>
              </w:rPr>
            </w:pPr>
            <w:r>
              <w:rPr>
                <w:rFonts w:ascii="Arial" w:hAnsi="Arial" w:cs="Arial"/>
                <w:lang w:eastAsia="en-PH"/>
              </w:rPr>
              <w:t>12</w:t>
            </w:r>
          </w:p>
        </w:tc>
        <w:tc>
          <w:tcPr>
            <w:tcW w:w="675" w:type="dxa"/>
            <w:shd w:val="clear" w:color="auto" w:fill="auto"/>
            <w:vAlign w:val="center"/>
          </w:tcPr>
          <w:p w14:paraId="4667ECCC"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48%</w:t>
            </w:r>
          </w:p>
        </w:tc>
        <w:tc>
          <w:tcPr>
            <w:tcW w:w="555" w:type="dxa"/>
            <w:shd w:val="clear" w:color="auto" w:fill="auto"/>
            <w:vAlign w:val="center"/>
          </w:tcPr>
          <w:p w14:paraId="1BF420C2"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12</w:t>
            </w:r>
          </w:p>
        </w:tc>
        <w:tc>
          <w:tcPr>
            <w:tcW w:w="675" w:type="dxa"/>
            <w:shd w:val="clear" w:color="auto" w:fill="auto"/>
            <w:vAlign w:val="center"/>
          </w:tcPr>
          <w:p w14:paraId="7F99735C"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48%</w:t>
            </w:r>
          </w:p>
        </w:tc>
        <w:tc>
          <w:tcPr>
            <w:tcW w:w="555" w:type="dxa"/>
            <w:shd w:val="clear" w:color="auto" w:fill="auto"/>
            <w:vAlign w:val="center"/>
          </w:tcPr>
          <w:p w14:paraId="3CEB9C2A"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1</w:t>
            </w:r>
          </w:p>
        </w:tc>
        <w:tc>
          <w:tcPr>
            <w:tcW w:w="675" w:type="dxa"/>
            <w:shd w:val="clear" w:color="auto" w:fill="auto"/>
            <w:vAlign w:val="center"/>
          </w:tcPr>
          <w:p w14:paraId="35D2C7F5"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4%</w:t>
            </w:r>
          </w:p>
        </w:tc>
        <w:tc>
          <w:tcPr>
            <w:tcW w:w="1617" w:type="dxa"/>
            <w:shd w:val="clear" w:color="auto" w:fill="auto"/>
            <w:vAlign w:val="center"/>
          </w:tcPr>
          <w:p w14:paraId="724DCD87" w14:textId="77777777" w:rsidR="00B162C7" w:rsidRPr="00C45AA5" w:rsidRDefault="00B162C7" w:rsidP="00B162C7">
            <w:pPr>
              <w:spacing w:after="160" w:line="259" w:lineRule="auto"/>
              <w:jc w:val="center"/>
              <w:rPr>
                <w:rFonts w:ascii="Arial" w:hAnsi="Arial" w:cs="Arial"/>
                <w:lang w:eastAsia="en-PH"/>
              </w:rPr>
            </w:pPr>
            <w:r w:rsidRPr="00C45AA5">
              <w:rPr>
                <w:rFonts w:ascii="Arial" w:hAnsi="Arial" w:cs="Arial"/>
                <w:lang w:eastAsia="en-PH"/>
              </w:rPr>
              <w:t>Very High</w:t>
            </w:r>
          </w:p>
        </w:tc>
      </w:tr>
      <w:tr w:rsidR="00B162C7" w:rsidRPr="00C45AA5" w14:paraId="159835D8" w14:textId="77777777" w:rsidTr="00B162C7">
        <w:trPr>
          <w:trHeight w:val="420"/>
        </w:trPr>
        <w:tc>
          <w:tcPr>
            <w:tcW w:w="1631" w:type="dxa"/>
            <w:shd w:val="clear" w:color="auto" w:fill="auto"/>
            <w:vAlign w:val="center"/>
            <w:hideMark/>
          </w:tcPr>
          <w:p w14:paraId="07E3A06E" w14:textId="77777777" w:rsidR="00B162C7" w:rsidRPr="00C45AA5" w:rsidRDefault="00B162C7" w:rsidP="00B162C7">
            <w:pPr>
              <w:rPr>
                <w:rFonts w:ascii="Arial" w:hAnsi="Arial" w:cs="Arial"/>
                <w:color w:val="000000"/>
                <w:lang w:eastAsia="en-PH"/>
              </w:rPr>
            </w:pPr>
            <w:r w:rsidRPr="00C45AA5">
              <w:rPr>
                <w:rFonts w:ascii="Arial" w:hAnsi="Arial" w:cs="Arial"/>
                <w:color w:val="000000"/>
                <w:lang w:eastAsia="en-PH"/>
              </w:rPr>
              <w:t>C. Student Engagement</w:t>
            </w:r>
          </w:p>
        </w:tc>
        <w:tc>
          <w:tcPr>
            <w:tcW w:w="965" w:type="dxa"/>
            <w:shd w:val="clear" w:color="auto" w:fill="auto"/>
            <w:noWrap/>
            <w:vAlign w:val="center"/>
            <w:hideMark/>
          </w:tcPr>
          <w:p w14:paraId="428E4FF6"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t>4.45</w:t>
            </w:r>
          </w:p>
        </w:tc>
        <w:tc>
          <w:tcPr>
            <w:tcW w:w="992" w:type="dxa"/>
            <w:shd w:val="clear" w:color="auto" w:fill="auto"/>
            <w:noWrap/>
            <w:vAlign w:val="center"/>
            <w:hideMark/>
          </w:tcPr>
          <w:p w14:paraId="689E6C74"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t>.54</w:t>
            </w:r>
          </w:p>
        </w:tc>
        <w:tc>
          <w:tcPr>
            <w:tcW w:w="917" w:type="dxa"/>
            <w:shd w:val="clear" w:color="auto" w:fill="auto"/>
            <w:noWrap/>
            <w:vAlign w:val="center"/>
            <w:hideMark/>
          </w:tcPr>
          <w:p w14:paraId="20B3810C" w14:textId="77777777" w:rsidR="00B162C7" w:rsidRPr="00C45AA5" w:rsidRDefault="00B162C7" w:rsidP="00B162C7">
            <w:pPr>
              <w:jc w:val="center"/>
              <w:rPr>
                <w:rFonts w:ascii="Arial" w:hAnsi="Arial" w:cs="Arial"/>
                <w:lang w:eastAsia="en-PH"/>
              </w:rPr>
            </w:pPr>
            <w:r>
              <w:rPr>
                <w:rFonts w:ascii="Arial" w:hAnsi="Arial" w:cs="Arial"/>
                <w:lang w:eastAsia="en-PH"/>
              </w:rPr>
              <w:t>16</w:t>
            </w:r>
          </w:p>
        </w:tc>
        <w:tc>
          <w:tcPr>
            <w:tcW w:w="675" w:type="dxa"/>
            <w:shd w:val="clear" w:color="auto" w:fill="auto"/>
            <w:vAlign w:val="center"/>
          </w:tcPr>
          <w:p w14:paraId="216A7A36"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64%</w:t>
            </w:r>
          </w:p>
        </w:tc>
        <w:tc>
          <w:tcPr>
            <w:tcW w:w="555" w:type="dxa"/>
            <w:shd w:val="clear" w:color="auto" w:fill="auto"/>
            <w:vAlign w:val="center"/>
          </w:tcPr>
          <w:p w14:paraId="0CDF1CB9"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8</w:t>
            </w:r>
          </w:p>
        </w:tc>
        <w:tc>
          <w:tcPr>
            <w:tcW w:w="675" w:type="dxa"/>
            <w:shd w:val="clear" w:color="auto" w:fill="auto"/>
            <w:vAlign w:val="center"/>
          </w:tcPr>
          <w:p w14:paraId="665D9409"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32%</w:t>
            </w:r>
          </w:p>
        </w:tc>
        <w:tc>
          <w:tcPr>
            <w:tcW w:w="555" w:type="dxa"/>
            <w:shd w:val="clear" w:color="auto" w:fill="auto"/>
            <w:vAlign w:val="center"/>
          </w:tcPr>
          <w:p w14:paraId="2F050B44"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1</w:t>
            </w:r>
          </w:p>
        </w:tc>
        <w:tc>
          <w:tcPr>
            <w:tcW w:w="675" w:type="dxa"/>
            <w:shd w:val="clear" w:color="auto" w:fill="auto"/>
            <w:vAlign w:val="center"/>
          </w:tcPr>
          <w:p w14:paraId="6F8DFC0D"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4%</w:t>
            </w:r>
          </w:p>
        </w:tc>
        <w:tc>
          <w:tcPr>
            <w:tcW w:w="1617" w:type="dxa"/>
            <w:shd w:val="clear" w:color="auto" w:fill="auto"/>
            <w:vAlign w:val="center"/>
          </w:tcPr>
          <w:p w14:paraId="350B8273" w14:textId="77777777" w:rsidR="00B162C7" w:rsidRPr="00C45AA5" w:rsidRDefault="00B162C7" w:rsidP="00B162C7">
            <w:pPr>
              <w:spacing w:after="160" w:line="259" w:lineRule="auto"/>
              <w:jc w:val="center"/>
              <w:rPr>
                <w:rFonts w:ascii="Arial" w:hAnsi="Arial" w:cs="Arial"/>
                <w:lang w:eastAsia="en-PH"/>
              </w:rPr>
            </w:pPr>
            <w:r w:rsidRPr="00C45AA5">
              <w:rPr>
                <w:rFonts w:ascii="Arial" w:hAnsi="Arial" w:cs="Arial"/>
                <w:lang w:eastAsia="en-PH"/>
              </w:rPr>
              <w:t>Very High</w:t>
            </w:r>
          </w:p>
        </w:tc>
      </w:tr>
      <w:tr w:rsidR="00B162C7" w:rsidRPr="00C45AA5" w14:paraId="6D8DEA0B" w14:textId="77777777" w:rsidTr="00B162C7">
        <w:trPr>
          <w:trHeight w:val="271"/>
        </w:trPr>
        <w:tc>
          <w:tcPr>
            <w:tcW w:w="1631" w:type="dxa"/>
            <w:shd w:val="clear" w:color="auto" w:fill="auto"/>
            <w:vAlign w:val="center"/>
            <w:hideMark/>
          </w:tcPr>
          <w:p w14:paraId="0B565E90" w14:textId="77777777" w:rsidR="00B162C7" w:rsidRPr="00C45AA5" w:rsidRDefault="00B162C7" w:rsidP="00B162C7">
            <w:pPr>
              <w:rPr>
                <w:rFonts w:ascii="Arial" w:hAnsi="Arial" w:cs="Arial"/>
                <w:color w:val="000000"/>
                <w:lang w:eastAsia="en-PH"/>
              </w:rPr>
            </w:pPr>
            <w:r w:rsidRPr="00C45AA5">
              <w:rPr>
                <w:rFonts w:ascii="Arial" w:hAnsi="Arial" w:cs="Arial"/>
                <w:color w:val="000000"/>
                <w:lang w:eastAsia="en-PH"/>
              </w:rPr>
              <w:t xml:space="preserve">D. Assessing </w:t>
            </w:r>
            <w:r w:rsidRPr="00C45AA5">
              <w:rPr>
                <w:rFonts w:ascii="Arial" w:hAnsi="Arial" w:cs="Arial"/>
                <w:color w:val="000000"/>
                <w:lang w:eastAsia="en-PH"/>
              </w:rPr>
              <w:lastRenderedPageBreak/>
              <w:t>Student Understanding</w:t>
            </w:r>
          </w:p>
        </w:tc>
        <w:tc>
          <w:tcPr>
            <w:tcW w:w="965" w:type="dxa"/>
            <w:shd w:val="clear" w:color="auto" w:fill="auto"/>
            <w:noWrap/>
            <w:vAlign w:val="center"/>
            <w:hideMark/>
          </w:tcPr>
          <w:p w14:paraId="0B766B8B"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lastRenderedPageBreak/>
              <w:t>4.37</w:t>
            </w:r>
          </w:p>
        </w:tc>
        <w:tc>
          <w:tcPr>
            <w:tcW w:w="992" w:type="dxa"/>
            <w:shd w:val="clear" w:color="auto" w:fill="auto"/>
            <w:noWrap/>
            <w:vAlign w:val="center"/>
            <w:hideMark/>
          </w:tcPr>
          <w:p w14:paraId="590873EF"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t>.55</w:t>
            </w:r>
          </w:p>
        </w:tc>
        <w:tc>
          <w:tcPr>
            <w:tcW w:w="917" w:type="dxa"/>
            <w:shd w:val="clear" w:color="auto" w:fill="auto"/>
            <w:noWrap/>
            <w:vAlign w:val="center"/>
            <w:hideMark/>
          </w:tcPr>
          <w:p w14:paraId="345479C2" w14:textId="77777777" w:rsidR="00B162C7" w:rsidRPr="00C45AA5" w:rsidRDefault="00B162C7" w:rsidP="00B162C7">
            <w:pPr>
              <w:jc w:val="center"/>
              <w:rPr>
                <w:rFonts w:ascii="Arial" w:hAnsi="Arial" w:cs="Arial"/>
                <w:lang w:eastAsia="en-PH"/>
              </w:rPr>
            </w:pPr>
            <w:r>
              <w:rPr>
                <w:rFonts w:ascii="Arial" w:hAnsi="Arial" w:cs="Arial"/>
                <w:lang w:eastAsia="en-PH"/>
              </w:rPr>
              <w:t>10</w:t>
            </w:r>
          </w:p>
        </w:tc>
        <w:tc>
          <w:tcPr>
            <w:tcW w:w="675" w:type="dxa"/>
            <w:shd w:val="clear" w:color="auto" w:fill="auto"/>
            <w:vAlign w:val="center"/>
          </w:tcPr>
          <w:p w14:paraId="27CFCA77"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40%</w:t>
            </w:r>
          </w:p>
        </w:tc>
        <w:tc>
          <w:tcPr>
            <w:tcW w:w="555" w:type="dxa"/>
            <w:shd w:val="clear" w:color="auto" w:fill="auto"/>
            <w:vAlign w:val="center"/>
          </w:tcPr>
          <w:p w14:paraId="6996F98A"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12</w:t>
            </w:r>
          </w:p>
        </w:tc>
        <w:tc>
          <w:tcPr>
            <w:tcW w:w="675" w:type="dxa"/>
            <w:shd w:val="clear" w:color="auto" w:fill="auto"/>
            <w:vAlign w:val="center"/>
          </w:tcPr>
          <w:p w14:paraId="5FF019D1"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48%</w:t>
            </w:r>
          </w:p>
        </w:tc>
        <w:tc>
          <w:tcPr>
            <w:tcW w:w="555" w:type="dxa"/>
            <w:shd w:val="clear" w:color="auto" w:fill="auto"/>
            <w:vAlign w:val="center"/>
          </w:tcPr>
          <w:p w14:paraId="191B5C57"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3</w:t>
            </w:r>
          </w:p>
        </w:tc>
        <w:tc>
          <w:tcPr>
            <w:tcW w:w="675" w:type="dxa"/>
            <w:shd w:val="clear" w:color="auto" w:fill="auto"/>
            <w:vAlign w:val="center"/>
          </w:tcPr>
          <w:p w14:paraId="49B24148"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12%</w:t>
            </w:r>
          </w:p>
        </w:tc>
        <w:tc>
          <w:tcPr>
            <w:tcW w:w="1617" w:type="dxa"/>
            <w:shd w:val="clear" w:color="auto" w:fill="auto"/>
            <w:vAlign w:val="center"/>
          </w:tcPr>
          <w:p w14:paraId="567F5287" w14:textId="77777777" w:rsidR="00B162C7" w:rsidRPr="00C45AA5" w:rsidRDefault="00B162C7" w:rsidP="00B162C7">
            <w:pPr>
              <w:spacing w:after="160" w:line="259" w:lineRule="auto"/>
              <w:jc w:val="center"/>
              <w:rPr>
                <w:rFonts w:ascii="Arial" w:hAnsi="Arial" w:cs="Arial"/>
                <w:lang w:eastAsia="en-PH"/>
              </w:rPr>
            </w:pPr>
            <w:r w:rsidRPr="00C45AA5">
              <w:rPr>
                <w:rFonts w:ascii="Arial" w:hAnsi="Arial" w:cs="Arial"/>
                <w:lang w:eastAsia="en-PH"/>
              </w:rPr>
              <w:t>Very High</w:t>
            </w:r>
          </w:p>
        </w:tc>
      </w:tr>
      <w:tr w:rsidR="00B162C7" w:rsidRPr="00C45AA5" w14:paraId="2F6800AB" w14:textId="77777777" w:rsidTr="00B162C7">
        <w:trPr>
          <w:trHeight w:val="362"/>
        </w:trPr>
        <w:tc>
          <w:tcPr>
            <w:tcW w:w="1631" w:type="dxa"/>
            <w:tcBorders>
              <w:bottom w:val="single" w:sz="4" w:space="0" w:color="auto"/>
            </w:tcBorders>
            <w:shd w:val="clear" w:color="auto" w:fill="auto"/>
            <w:vAlign w:val="center"/>
            <w:hideMark/>
          </w:tcPr>
          <w:p w14:paraId="7858A280" w14:textId="77777777" w:rsidR="00B162C7" w:rsidRPr="00C45AA5" w:rsidRDefault="00B162C7" w:rsidP="00B162C7">
            <w:pPr>
              <w:rPr>
                <w:rFonts w:ascii="Arial" w:hAnsi="Arial" w:cs="Arial"/>
                <w:color w:val="000000"/>
                <w:lang w:eastAsia="en-PH"/>
              </w:rPr>
            </w:pPr>
            <w:r w:rsidRPr="00C45AA5">
              <w:rPr>
                <w:rFonts w:ascii="Arial" w:hAnsi="Arial" w:cs="Arial"/>
                <w:color w:val="000000"/>
                <w:lang w:eastAsia="en-PH"/>
              </w:rPr>
              <w:t>E. Meeting Diverse Student Needs</w:t>
            </w:r>
          </w:p>
        </w:tc>
        <w:tc>
          <w:tcPr>
            <w:tcW w:w="965" w:type="dxa"/>
            <w:tcBorders>
              <w:bottom w:val="single" w:sz="4" w:space="0" w:color="auto"/>
            </w:tcBorders>
            <w:shd w:val="clear" w:color="auto" w:fill="auto"/>
            <w:noWrap/>
            <w:vAlign w:val="center"/>
            <w:hideMark/>
          </w:tcPr>
          <w:p w14:paraId="7B5F0819"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t>4.47</w:t>
            </w:r>
          </w:p>
        </w:tc>
        <w:tc>
          <w:tcPr>
            <w:tcW w:w="992" w:type="dxa"/>
            <w:tcBorders>
              <w:bottom w:val="single" w:sz="4" w:space="0" w:color="auto"/>
            </w:tcBorders>
            <w:shd w:val="clear" w:color="auto" w:fill="auto"/>
            <w:noWrap/>
            <w:vAlign w:val="center"/>
            <w:hideMark/>
          </w:tcPr>
          <w:p w14:paraId="07C6B42D" w14:textId="77777777" w:rsidR="00B162C7" w:rsidRPr="00C45AA5" w:rsidRDefault="00B162C7" w:rsidP="00B162C7">
            <w:pPr>
              <w:jc w:val="center"/>
              <w:rPr>
                <w:rFonts w:ascii="Arial" w:hAnsi="Arial" w:cs="Arial"/>
                <w:color w:val="000000"/>
                <w:lang w:eastAsia="en-PH"/>
              </w:rPr>
            </w:pPr>
            <w:r w:rsidRPr="00C45AA5">
              <w:rPr>
                <w:rFonts w:ascii="Arial" w:hAnsi="Arial" w:cs="Arial"/>
                <w:color w:val="000000"/>
                <w:lang w:eastAsia="en-PH"/>
              </w:rPr>
              <w:t>.54</w:t>
            </w:r>
          </w:p>
        </w:tc>
        <w:tc>
          <w:tcPr>
            <w:tcW w:w="917" w:type="dxa"/>
            <w:tcBorders>
              <w:bottom w:val="single" w:sz="4" w:space="0" w:color="auto"/>
            </w:tcBorders>
            <w:shd w:val="clear" w:color="auto" w:fill="auto"/>
            <w:noWrap/>
            <w:vAlign w:val="center"/>
            <w:hideMark/>
          </w:tcPr>
          <w:p w14:paraId="6CFAD705" w14:textId="77777777" w:rsidR="00B162C7" w:rsidRPr="00C45AA5" w:rsidRDefault="00B162C7" w:rsidP="00B162C7">
            <w:pPr>
              <w:jc w:val="center"/>
              <w:rPr>
                <w:rFonts w:ascii="Arial" w:hAnsi="Arial" w:cs="Arial"/>
                <w:lang w:eastAsia="en-PH"/>
              </w:rPr>
            </w:pPr>
            <w:r>
              <w:rPr>
                <w:rFonts w:ascii="Arial" w:hAnsi="Arial" w:cs="Arial"/>
                <w:lang w:eastAsia="en-PH"/>
              </w:rPr>
              <w:t>13</w:t>
            </w:r>
          </w:p>
        </w:tc>
        <w:tc>
          <w:tcPr>
            <w:tcW w:w="675" w:type="dxa"/>
            <w:tcBorders>
              <w:bottom w:val="single" w:sz="4" w:space="0" w:color="auto"/>
            </w:tcBorders>
            <w:shd w:val="clear" w:color="auto" w:fill="auto"/>
            <w:vAlign w:val="center"/>
          </w:tcPr>
          <w:p w14:paraId="6E17CF41"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52%</w:t>
            </w:r>
          </w:p>
        </w:tc>
        <w:tc>
          <w:tcPr>
            <w:tcW w:w="555" w:type="dxa"/>
            <w:tcBorders>
              <w:bottom w:val="single" w:sz="4" w:space="0" w:color="auto"/>
            </w:tcBorders>
            <w:shd w:val="clear" w:color="auto" w:fill="auto"/>
            <w:vAlign w:val="center"/>
          </w:tcPr>
          <w:p w14:paraId="2276D4F2"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11</w:t>
            </w:r>
          </w:p>
        </w:tc>
        <w:tc>
          <w:tcPr>
            <w:tcW w:w="675" w:type="dxa"/>
            <w:tcBorders>
              <w:bottom w:val="single" w:sz="4" w:space="0" w:color="auto"/>
            </w:tcBorders>
            <w:shd w:val="clear" w:color="auto" w:fill="auto"/>
            <w:vAlign w:val="center"/>
          </w:tcPr>
          <w:p w14:paraId="43D403C8"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44%</w:t>
            </w:r>
          </w:p>
        </w:tc>
        <w:tc>
          <w:tcPr>
            <w:tcW w:w="555" w:type="dxa"/>
            <w:tcBorders>
              <w:bottom w:val="single" w:sz="4" w:space="0" w:color="auto"/>
            </w:tcBorders>
            <w:shd w:val="clear" w:color="auto" w:fill="auto"/>
            <w:vAlign w:val="center"/>
          </w:tcPr>
          <w:p w14:paraId="37A1EE84"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1</w:t>
            </w:r>
          </w:p>
        </w:tc>
        <w:tc>
          <w:tcPr>
            <w:tcW w:w="675" w:type="dxa"/>
            <w:tcBorders>
              <w:bottom w:val="single" w:sz="4" w:space="0" w:color="auto"/>
            </w:tcBorders>
            <w:shd w:val="clear" w:color="auto" w:fill="auto"/>
            <w:vAlign w:val="center"/>
          </w:tcPr>
          <w:p w14:paraId="5A481624" w14:textId="77777777" w:rsidR="00B162C7" w:rsidRPr="00C45AA5" w:rsidRDefault="00B162C7" w:rsidP="00B162C7">
            <w:pPr>
              <w:spacing w:after="160" w:line="259" w:lineRule="auto"/>
              <w:jc w:val="center"/>
              <w:rPr>
                <w:rFonts w:ascii="Arial" w:hAnsi="Arial" w:cs="Arial"/>
                <w:lang w:eastAsia="en-PH"/>
              </w:rPr>
            </w:pPr>
            <w:r>
              <w:rPr>
                <w:rFonts w:ascii="Arial" w:hAnsi="Arial" w:cs="Arial"/>
                <w:lang w:eastAsia="en-PH"/>
              </w:rPr>
              <w:t>4%</w:t>
            </w:r>
          </w:p>
        </w:tc>
        <w:tc>
          <w:tcPr>
            <w:tcW w:w="1617" w:type="dxa"/>
            <w:tcBorders>
              <w:bottom w:val="single" w:sz="4" w:space="0" w:color="auto"/>
            </w:tcBorders>
            <w:shd w:val="clear" w:color="auto" w:fill="auto"/>
            <w:vAlign w:val="center"/>
          </w:tcPr>
          <w:p w14:paraId="1A865B44" w14:textId="77777777" w:rsidR="00B162C7" w:rsidRPr="00C45AA5" w:rsidRDefault="00B162C7" w:rsidP="00B162C7">
            <w:pPr>
              <w:spacing w:after="160" w:line="259" w:lineRule="auto"/>
              <w:jc w:val="center"/>
              <w:rPr>
                <w:rFonts w:ascii="Arial" w:hAnsi="Arial" w:cs="Arial"/>
                <w:lang w:eastAsia="en-PH"/>
              </w:rPr>
            </w:pPr>
            <w:r w:rsidRPr="00C45AA5">
              <w:rPr>
                <w:rFonts w:ascii="Arial" w:hAnsi="Arial" w:cs="Arial"/>
                <w:lang w:eastAsia="en-PH"/>
              </w:rPr>
              <w:t>Very High</w:t>
            </w:r>
          </w:p>
        </w:tc>
      </w:tr>
      <w:tr w:rsidR="00B162C7" w:rsidRPr="00C45AA5" w14:paraId="4DC1877A" w14:textId="77777777" w:rsidTr="00B162C7">
        <w:trPr>
          <w:trHeight w:val="424"/>
        </w:trPr>
        <w:tc>
          <w:tcPr>
            <w:tcW w:w="1631" w:type="dxa"/>
            <w:tcBorders>
              <w:top w:val="single" w:sz="4" w:space="0" w:color="auto"/>
              <w:bottom w:val="single" w:sz="4" w:space="0" w:color="auto"/>
            </w:tcBorders>
            <w:shd w:val="clear" w:color="auto" w:fill="auto"/>
            <w:vAlign w:val="center"/>
            <w:hideMark/>
          </w:tcPr>
          <w:p w14:paraId="43EE661B" w14:textId="77777777" w:rsidR="00B162C7" w:rsidRPr="00C45AA5" w:rsidRDefault="00B162C7" w:rsidP="00B162C7">
            <w:pPr>
              <w:rPr>
                <w:rFonts w:ascii="Arial" w:hAnsi="Arial" w:cs="Arial"/>
                <w:b/>
                <w:bCs/>
                <w:color w:val="000000"/>
                <w:lang w:eastAsia="en-PH"/>
              </w:rPr>
            </w:pPr>
            <w:r w:rsidRPr="00C45AA5">
              <w:rPr>
                <w:rFonts w:ascii="Arial" w:hAnsi="Arial" w:cs="Arial"/>
                <w:b/>
                <w:bCs/>
                <w:color w:val="000000"/>
                <w:lang w:eastAsia="en-PH"/>
              </w:rPr>
              <w:t>Overall Teaching Efficacy</w:t>
            </w:r>
          </w:p>
        </w:tc>
        <w:tc>
          <w:tcPr>
            <w:tcW w:w="965" w:type="dxa"/>
            <w:tcBorders>
              <w:top w:val="single" w:sz="4" w:space="0" w:color="auto"/>
              <w:bottom w:val="single" w:sz="4" w:space="0" w:color="auto"/>
            </w:tcBorders>
            <w:shd w:val="clear" w:color="auto" w:fill="auto"/>
            <w:noWrap/>
            <w:vAlign w:val="center"/>
            <w:hideMark/>
          </w:tcPr>
          <w:p w14:paraId="2BCFE650" w14:textId="77777777" w:rsidR="00B162C7" w:rsidRPr="00C45AA5" w:rsidRDefault="00B162C7" w:rsidP="00B162C7">
            <w:pPr>
              <w:jc w:val="center"/>
              <w:rPr>
                <w:rFonts w:ascii="Arial" w:hAnsi="Arial" w:cs="Arial"/>
                <w:b/>
                <w:bCs/>
                <w:color w:val="000000"/>
                <w:lang w:eastAsia="en-PH"/>
              </w:rPr>
            </w:pPr>
            <w:r w:rsidRPr="00C45AA5">
              <w:rPr>
                <w:rFonts w:ascii="Arial" w:hAnsi="Arial" w:cs="Arial"/>
                <w:b/>
                <w:bCs/>
                <w:color w:val="000000"/>
                <w:lang w:eastAsia="en-PH"/>
              </w:rPr>
              <w:t>4.46</w:t>
            </w:r>
          </w:p>
        </w:tc>
        <w:tc>
          <w:tcPr>
            <w:tcW w:w="992" w:type="dxa"/>
            <w:tcBorders>
              <w:top w:val="single" w:sz="4" w:space="0" w:color="auto"/>
              <w:bottom w:val="single" w:sz="4" w:space="0" w:color="auto"/>
            </w:tcBorders>
            <w:shd w:val="clear" w:color="auto" w:fill="auto"/>
            <w:noWrap/>
            <w:vAlign w:val="center"/>
            <w:hideMark/>
          </w:tcPr>
          <w:p w14:paraId="61C34FFF" w14:textId="77777777" w:rsidR="00B162C7" w:rsidRPr="00C45AA5" w:rsidRDefault="00B162C7" w:rsidP="00B162C7">
            <w:pPr>
              <w:jc w:val="center"/>
              <w:rPr>
                <w:rFonts w:ascii="Arial" w:hAnsi="Arial" w:cs="Arial"/>
                <w:b/>
                <w:bCs/>
                <w:color w:val="000000"/>
                <w:lang w:eastAsia="en-PH"/>
              </w:rPr>
            </w:pPr>
            <w:r w:rsidRPr="00C45AA5">
              <w:rPr>
                <w:rFonts w:ascii="Arial" w:hAnsi="Arial" w:cs="Arial"/>
                <w:b/>
                <w:bCs/>
                <w:color w:val="000000"/>
                <w:lang w:eastAsia="en-PH"/>
              </w:rPr>
              <w:t>.42</w:t>
            </w:r>
          </w:p>
        </w:tc>
        <w:tc>
          <w:tcPr>
            <w:tcW w:w="917" w:type="dxa"/>
            <w:tcBorders>
              <w:top w:val="single" w:sz="4" w:space="0" w:color="auto"/>
              <w:bottom w:val="single" w:sz="4" w:space="0" w:color="auto"/>
            </w:tcBorders>
            <w:shd w:val="clear" w:color="auto" w:fill="auto"/>
            <w:noWrap/>
            <w:vAlign w:val="center"/>
            <w:hideMark/>
          </w:tcPr>
          <w:p w14:paraId="1CE0C7AD" w14:textId="77777777" w:rsidR="00B162C7" w:rsidRPr="00C45AA5" w:rsidRDefault="00B162C7" w:rsidP="00B162C7">
            <w:pPr>
              <w:jc w:val="center"/>
              <w:rPr>
                <w:rFonts w:ascii="Arial" w:hAnsi="Arial" w:cs="Arial"/>
                <w:b/>
                <w:bCs/>
                <w:lang w:eastAsia="en-PH"/>
              </w:rPr>
            </w:pPr>
            <w:r>
              <w:rPr>
                <w:rFonts w:ascii="Arial" w:hAnsi="Arial" w:cs="Arial"/>
                <w:b/>
                <w:bCs/>
                <w:lang w:eastAsia="en-PH"/>
              </w:rPr>
              <w:t>--</w:t>
            </w:r>
          </w:p>
        </w:tc>
        <w:tc>
          <w:tcPr>
            <w:tcW w:w="675" w:type="dxa"/>
            <w:tcBorders>
              <w:top w:val="single" w:sz="4" w:space="0" w:color="auto"/>
              <w:bottom w:val="single" w:sz="4" w:space="0" w:color="auto"/>
            </w:tcBorders>
            <w:shd w:val="clear" w:color="auto" w:fill="auto"/>
            <w:vAlign w:val="center"/>
          </w:tcPr>
          <w:p w14:paraId="7658E9BF" w14:textId="77777777" w:rsidR="00B162C7" w:rsidRPr="00C45AA5" w:rsidRDefault="00B162C7" w:rsidP="00B162C7">
            <w:pPr>
              <w:spacing w:after="160" w:line="259" w:lineRule="auto"/>
              <w:jc w:val="center"/>
              <w:rPr>
                <w:rFonts w:ascii="Arial" w:hAnsi="Arial" w:cs="Arial"/>
                <w:b/>
                <w:bCs/>
                <w:lang w:eastAsia="en-PH"/>
              </w:rPr>
            </w:pPr>
            <w:r>
              <w:rPr>
                <w:rFonts w:ascii="Arial" w:hAnsi="Arial" w:cs="Arial"/>
                <w:b/>
                <w:bCs/>
                <w:lang w:eastAsia="en-PH"/>
              </w:rPr>
              <w:t>--</w:t>
            </w:r>
          </w:p>
        </w:tc>
        <w:tc>
          <w:tcPr>
            <w:tcW w:w="555" w:type="dxa"/>
            <w:tcBorders>
              <w:top w:val="single" w:sz="4" w:space="0" w:color="auto"/>
              <w:bottom w:val="single" w:sz="4" w:space="0" w:color="auto"/>
            </w:tcBorders>
            <w:shd w:val="clear" w:color="auto" w:fill="auto"/>
            <w:vAlign w:val="center"/>
          </w:tcPr>
          <w:p w14:paraId="4C0C438A" w14:textId="77777777" w:rsidR="00B162C7" w:rsidRPr="00C45AA5" w:rsidRDefault="00B162C7" w:rsidP="00B162C7">
            <w:pPr>
              <w:spacing w:after="160" w:line="259" w:lineRule="auto"/>
              <w:jc w:val="center"/>
              <w:rPr>
                <w:rFonts w:ascii="Arial" w:hAnsi="Arial" w:cs="Arial"/>
                <w:b/>
                <w:bCs/>
                <w:lang w:eastAsia="en-PH"/>
              </w:rPr>
            </w:pPr>
            <w:r>
              <w:rPr>
                <w:rFonts w:ascii="Arial" w:hAnsi="Arial" w:cs="Arial"/>
                <w:b/>
                <w:bCs/>
                <w:lang w:eastAsia="en-PH"/>
              </w:rPr>
              <w:t>--</w:t>
            </w:r>
          </w:p>
        </w:tc>
        <w:tc>
          <w:tcPr>
            <w:tcW w:w="675" w:type="dxa"/>
            <w:tcBorders>
              <w:top w:val="single" w:sz="4" w:space="0" w:color="auto"/>
              <w:bottom w:val="single" w:sz="4" w:space="0" w:color="auto"/>
            </w:tcBorders>
            <w:shd w:val="clear" w:color="auto" w:fill="auto"/>
            <w:vAlign w:val="center"/>
          </w:tcPr>
          <w:p w14:paraId="0D87E86B" w14:textId="77777777" w:rsidR="00B162C7" w:rsidRPr="00C45AA5" w:rsidRDefault="00B162C7" w:rsidP="00B162C7">
            <w:pPr>
              <w:spacing w:after="160" w:line="259" w:lineRule="auto"/>
              <w:jc w:val="center"/>
              <w:rPr>
                <w:rFonts w:ascii="Arial" w:hAnsi="Arial" w:cs="Arial"/>
                <w:b/>
                <w:bCs/>
                <w:lang w:eastAsia="en-PH"/>
              </w:rPr>
            </w:pPr>
            <w:r>
              <w:rPr>
                <w:rFonts w:ascii="Arial" w:hAnsi="Arial" w:cs="Arial"/>
                <w:b/>
                <w:bCs/>
                <w:lang w:eastAsia="en-PH"/>
              </w:rPr>
              <w:t>--</w:t>
            </w:r>
          </w:p>
        </w:tc>
        <w:tc>
          <w:tcPr>
            <w:tcW w:w="555" w:type="dxa"/>
            <w:tcBorders>
              <w:top w:val="single" w:sz="4" w:space="0" w:color="auto"/>
              <w:bottom w:val="single" w:sz="4" w:space="0" w:color="auto"/>
            </w:tcBorders>
            <w:shd w:val="clear" w:color="auto" w:fill="auto"/>
            <w:vAlign w:val="center"/>
          </w:tcPr>
          <w:p w14:paraId="31EBF7D6" w14:textId="77777777" w:rsidR="00B162C7" w:rsidRPr="00C45AA5" w:rsidRDefault="00B162C7" w:rsidP="00B162C7">
            <w:pPr>
              <w:spacing w:after="160" w:line="259" w:lineRule="auto"/>
              <w:jc w:val="center"/>
              <w:rPr>
                <w:rFonts w:ascii="Arial" w:hAnsi="Arial" w:cs="Arial"/>
                <w:b/>
                <w:bCs/>
                <w:lang w:eastAsia="en-PH"/>
              </w:rPr>
            </w:pPr>
            <w:r>
              <w:rPr>
                <w:rFonts w:ascii="Arial" w:hAnsi="Arial" w:cs="Arial"/>
                <w:b/>
                <w:bCs/>
                <w:lang w:eastAsia="en-PH"/>
              </w:rPr>
              <w:t>--</w:t>
            </w:r>
          </w:p>
        </w:tc>
        <w:tc>
          <w:tcPr>
            <w:tcW w:w="675" w:type="dxa"/>
            <w:tcBorders>
              <w:top w:val="single" w:sz="4" w:space="0" w:color="auto"/>
              <w:bottom w:val="single" w:sz="4" w:space="0" w:color="auto"/>
            </w:tcBorders>
            <w:shd w:val="clear" w:color="auto" w:fill="auto"/>
            <w:vAlign w:val="center"/>
          </w:tcPr>
          <w:p w14:paraId="448F919A" w14:textId="77777777" w:rsidR="00B162C7" w:rsidRPr="00C45AA5" w:rsidRDefault="00B162C7" w:rsidP="00B162C7">
            <w:pPr>
              <w:spacing w:after="160" w:line="259" w:lineRule="auto"/>
              <w:jc w:val="center"/>
              <w:rPr>
                <w:rFonts w:ascii="Arial" w:hAnsi="Arial" w:cs="Arial"/>
                <w:b/>
                <w:bCs/>
                <w:lang w:eastAsia="en-PH"/>
              </w:rPr>
            </w:pPr>
            <w:r>
              <w:rPr>
                <w:rFonts w:ascii="Arial" w:hAnsi="Arial" w:cs="Arial"/>
                <w:b/>
                <w:bCs/>
                <w:lang w:eastAsia="en-PH"/>
              </w:rPr>
              <w:t>--</w:t>
            </w:r>
          </w:p>
        </w:tc>
        <w:tc>
          <w:tcPr>
            <w:tcW w:w="1617" w:type="dxa"/>
            <w:tcBorders>
              <w:top w:val="single" w:sz="4" w:space="0" w:color="auto"/>
              <w:bottom w:val="single" w:sz="4" w:space="0" w:color="auto"/>
            </w:tcBorders>
            <w:shd w:val="clear" w:color="auto" w:fill="auto"/>
            <w:vAlign w:val="center"/>
          </w:tcPr>
          <w:p w14:paraId="52D19803" w14:textId="77777777" w:rsidR="00B162C7" w:rsidRPr="00C45AA5" w:rsidRDefault="00B162C7" w:rsidP="00B162C7">
            <w:pPr>
              <w:spacing w:after="160" w:line="259" w:lineRule="auto"/>
              <w:jc w:val="center"/>
              <w:rPr>
                <w:rFonts w:ascii="Arial" w:hAnsi="Arial" w:cs="Arial"/>
                <w:b/>
                <w:bCs/>
                <w:lang w:eastAsia="en-PH"/>
              </w:rPr>
            </w:pPr>
            <w:r w:rsidRPr="00C45AA5">
              <w:rPr>
                <w:rFonts w:ascii="Arial" w:hAnsi="Arial" w:cs="Arial"/>
                <w:b/>
                <w:bCs/>
                <w:lang w:eastAsia="en-PH"/>
              </w:rPr>
              <w:t>Very High</w:t>
            </w:r>
          </w:p>
        </w:tc>
      </w:tr>
    </w:tbl>
    <w:p w14:paraId="65C3C884" w14:textId="1520E0B1" w:rsidR="00895188" w:rsidRPr="007A1E58" w:rsidRDefault="00B162C7" w:rsidP="00B162C7">
      <w:pPr>
        <w:pStyle w:val="Body"/>
        <w:spacing w:after="0"/>
        <w:rPr>
          <w:rFonts w:ascii="Arial" w:hAnsi="Arial" w:cs="Arial"/>
          <w:i/>
          <w:iCs/>
        </w:rPr>
      </w:pPr>
      <w:r w:rsidRPr="00B162C7">
        <w:rPr>
          <w:rFonts w:ascii="Arial" w:hAnsi="Arial" w:cs="Arial"/>
          <w:i/>
          <w:iCs/>
        </w:rPr>
        <w:t>Note:</w:t>
      </w:r>
      <w:r w:rsidRPr="00B162C7">
        <w:rPr>
          <w:rFonts w:ascii="Arial" w:hAnsi="Arial" w:cs="Arial"/>
        </w:rPr>
        <w:t xml:space="preserve"> </w:t>
      </w:r>
      <w:r w:rsidRPr="007A1E58">
        <w:rPr>
          <w:rFonts w:ascii="Arial" w:hAnsi="Arial" w:cs="Arial"/>
          <w:i/>
          <w:iCs/>
        </w:rPr>
        <w:t>No respondents selected scale points 2 (Disagree) or 1 (Strongly Disagree), hence these are not shown in the table.</w:t>
      </w:r>
    </w:p>
    <w:p w14:paraId="64DDBDD6" w14:textId="5B5E438B" w:rsidR="003F036F" w:rsidRDefault="003F036F" w:rsidP="008B09CD">
      <w:pPr>
        <w:pStyle w:val="Body"/>
        <w:spacing w:after="0"/>
        <w:jc w:val="center"/>
        <w:rPr>
          <w:rFonts w:ascii="Arial" w:hAnsi="Arial" w:cs="Arial"/>
          <w:b/>
          <w:bCs/>
        </w:rPr>
      </w:pPr>
    </w:p>
    <w:p w14:paraId="4A5216F1" w14:textId="77777777" w:rsidR="00B162C7" w:rsidRDefault="00B162C7" w:rsidP="008B09CD">
      <w:pPr>
        <w:pStyle w:val="Body"/>
        <w:spacing w:after="0"/>
        <w:jc w:val="center"/>
        <w:rPr>
          <w:rFonts w:ascii="Arial" w:hAnsi="Arial" w:cs="Arial"/>
          <w:b/>
          <w:bCs/>
        </w:rPr>
      </w:pPr>
    </w:p>
    <w:p w14:paraId="623D76D3" w14:textId="0CC111FD" w:rsidR="003F036F" w:rsidRDefault="00FD31F7" w:rsidP="008B09CD">
      <w:pPr>
        <w:pStyle w:val="Body"/>
        <w:spacing w:after="0"/>
        <w:jc w:val="center"/>
        <w:rPr>
          <w:rFonts w:ascii="Arial" w:hAnsi="Arial" w:cs="Arial"/>
          <w:b/>
          <w:bCs/>
        </w:rPr>
      </w:pPr>
      <w:r>
        <w:rPr>
          <w:rFonts w:ascii="Arial" w:hAnsi="Arial" w:cs="Arial"/>
          <w:b/>
          <w:bCs/>
        </w:rPr>
        <w:t xml:space="preserve">5.1.3. </w:t>
      </w:r>
      <w:r w:rsidR="003F036F">
        <w:rPr>
          <w:rFonts w:ascii="Arial" w:hAnsi="Arial" w:cs="Arial"/>
          <w:b/>
          <w:bCs/>
        </w:rPr>
        <w:t>The Relationship Between Professional Development and Teaching Efficacy</w:t>
      </w:r>
    </w:p>
    <w:p w14:paraId="09433B03" w14:textId="453BDE1E" w:rsidR="003F036F" w:rsidRDefault="003F036F" w:rsidP="008B09CD">
      <w:pPr>
        <w:pStyle w:val="Body"/>
        <w:spacing w:after="0"/>
        <w:jc w:val="center"/>
        <w:rPr>
          <w:rFonts w:ascii="Arial" w:hAnsi="Arial" w:cs="Arial"/>
          <w:b/>
          <w:bCs/>
        </w:rPr>
      </w:pPr>
    </w:p>
    <w:p w14:paraId="51927D67" w14:textId="5C6E0B8B" w:rsidR="00790ADA" w:rsidRDefault="00770A2E" w:rsidP="00927E9E">
      <w:pPr>
        <w:pStyle w:val="Body"/>
        <w:spacing w:after="0"/>
        <w:rPr>
          <w:rFonts w:ascii="Arial" w:hAnsi="Arial" w:cs="Arial"/>
        </w:rPr>
      </w:pPr>
      <w:r>
        <w:rPr>
          <w:rFonts w:ascii="Arial" w:hAnsi="Arial" w:cs="Arial"/>
        </w:rPr>
        <w:tab/>
        <w:t>Table 3</w:t>
      </w:r>
      <w:r w:rsidR="007A1E58">
        <w:rPr>
          <w:rFonts w:ascii="Arial" w:hAnsi="Arial" w:cs="Arial"/>
        </w:rPr>
        <w:t xml:space="preserve"> </w:t>
      </w:r>
      <w:r w:rsidR="007A1E58" w:rsidRPr="007A1E58">
        <w:rPr>
          <w:rFonts w:ascii="Arial" w:hAnsi="Arial" w:cs="Arial"/>
        </w:rPr>
        <w:t>shows the relationship between professional development indicators and teaching efficacy indicators among MST Mathematics graduates using Pearson's r correlation coefficients.</w:t>
      </w:r>
      <w:r w:rsidR="00927E9E">
        <w:rPr>
          <w:rFonts w:ascii="Arial" w:hAnsi="Arial" w:cs="Arial"/>
        </w:rPr>
        <w:t xml:space="preserve"> </w:t>
      </w:r>
      <w:r w:rsidR="004E61C7" w:rsidRPr="004E61C7">
        <w:rPr>
          <w:rFonts w:ascii="Arial" w:hAnsi="Arial" w:cs="Arial"/>
        </w:rPr>
        <w:t xml:space="preserve">The findings revealed that professional development (PD) has varying degrees of correlation with different dimensions of teaching efficacy. Notably, the highest correlation was observed between </w:t>
      </w:r>
      <w:r w:rsidR="004E61C7">
        <w:rPr>
          <w:rFonts w:ascii="Arial" w:hAnsi="Arial" w:cs="Arial"/>
        </w:rPr>
        <w:t>s</w:t>
      </w:r>
      <w:r w:rsidR="004E61C7" w:rsidRPr="004E61C7">
        <w:rPr>
          <w:rFonts w:ascii="Arial" w:hAnsi="Arial" w:cs="Arial"/>
        </w:rPr>
        <w:t xml:space="preserve">upport and </w:t>
      </w:r>
      <w:r w:rsidR="004E61C7">
        <w:rPr>
          <w:rFonts w:ascii="Arial" w:hAnsi="Arial" w:cs="Arial"/>
        </w:rPr>
        <w:t>i</w:t>
      </w:r>
      <w:r w:rsidR="004E61C7" w:rsidRPr="004E61C7">
        <w:rPr>
          <w:rFonts w:ascii="Arial" w:hAnsi="Arial" w:cs="Arial"/>
        </w:rPr>
        <w:t xml:space="preserve">mplementation and both </w:t>
      </w:r>
      <w:r w:rsidR="004E61C7">
        <w:rPr>
          <w:rFonts w:ascii="Arial" w:hAnsi="Arial" w:cs="Arial"/>
        </w:rPr>
        <w:t>s</w:t>
      </w:r>
      <w:r w:rsidR="004E61C7" w:rsidRPr="004E61C7">
        <w:rPr>
          <w:rFonts w:ascii="Arial" w:hAnsi="Arial" w:cs="Arial"/>
        </w:rPr>
        <w:t xml:space="preserve">tudent </w:t>
      </w:r>
      <w:r w:rsidR="004E61C7">
        <w:rPr>
          <w:rFonts w:ascii="Arial" w:hAnsi="Arial" w:cs="Arial"/>
        </w:rPr>
        <w:t>e</w:t>
      </w:r>
      <w:r w:rsidR="004E61C7" w:rsidRPr="004E61C7">
        <w:rPr>
          <w:rFonts w:ascii="Arial" w:hAnsi="Arial" w:cs="Arial"/>
        </w:rPr>
        <w:t>ngagement (</w:t>
      </w:r>
      <m:oMath>
        <m:r>
          <w:rPr>
            <w:rFonts w:ascii="Cambria Math" w:hAnsi="Cambria Math" w:cs="Arial"/>
          </w:rPr>
          <m:t>r = 0.47, P = 0.02</m:t>
        </m:r>
      </m:oMath>
      <w:r w:rsidR="004E61C7" w:rsidRPr="004E61C7">
        <w:rPr>
          <w:rFonts w:ascii="Arial" w:hAnsi="Arial" w:cs="Arial"/>
        </w:rPr>
        <w:t xml:space="preserve">) and </w:t>
      </w:r>
      <w:r w:rsidR="004E61C7">
        <w:rPr>
          <w:rFonts w:ascii="Arial" w:hAnsi="Arial" w:cs="Arial"/>
        </w:rPr>
        <w:t>t</w:t>
      </w:r>
      <w:r w:rsidR="004E61C7" w:rsidRPr="004E61C7">
        <w:rPr>
          <w:rFonts w:ascii="Arial" w:hAnsi="Arial" w:cs="Arial"/>
        </w:rPr>
        <w:t xml:space="preserve">eaching </w:t>
      </w:r>
      <w:r w:rsidR="004E61C7">
        <w:rPr>
          <w:rFonts w:ascii="Arial" w:hAnsi="Arial" w:cs="Arial"/>
        </w:rPr>
        <w:t>e</w:t>
      </w:r>
      <w:r w:rsidR="004E61C7" w:rsidRPr="004E61C7">
        <w:rPr>
          <w:rFonts w:ascii="Arial" w:hAnsi="Arial" w:cs="Arial"/>
        </w:rPr>
        <w:t>fficacy as a whole (</w:t>
      </w:r>
      <m:oMath>
        <m:r>
          <w:rPr>
            <w:rFonts w:ascii="Cambria Math" w:hAnsi="Cambria Math" w:cs="Arial"/>
          </w:rPr>
          <m:t>r = 0.37, P = 0.07</m:t>
        </m:r>
      </m:oMath>
      <w:r w:rsidR="004E61C7" w:rsidRPr="004E61C7">
        <w:rPr>
          <w:rFonts w:ascii="Arial" w:hAnsi="Arial" w:cs="Arial"/>
        </w:rPr>
        <w:t>), both of which were interpreted as moderate relationships. These findings support the assertion by Walters (2023) that effective PD must be practical and continuous, addressing the act</w:t>
      </w:r>
      <w:proofErr w:type="spellStart"/>
      <w:r w:rsidR="004E61C7" w:rsidRPr="004E61C7">
        <w:rPr>
          <w:rFonts w:ascii="Arial" w:hAnsi="Arial" w:cs="Arial"/>
        </w:rPr>
        <w:t>ual</w:t>
      </w:r>
      <w:proofErr w:type="spellEnd"/>
      <w:r w:rsidR="004E61C7" w:rsidRPr="004E61C7">
        <w:rPr>
          <w:rFonts w:ascii="Arial" w:hAnsi="Arial" w:cs="Arial"/>
        </w:rPr>
        <w:t xml:space="preserve"> challenges teachers face. The result implies that when PD initiatives are well-supported and implemented, they significantly enhance teachers’ ability to engage students and apply teaching strategies more confidently and effectively.</w:t>
      </w:r>
    </w:p>
    <w:p w14:paraId="2431FB27" w14:textId="08EC6454" w:rsidR="004E61C7" w:rsidRDefault="004E61C7" w:rsidP="00441B6F">
      <w:pPr>
        <w:pStyle w:val="Body"/>
        <w:spacing w:after="0"/>
        <w:rPr>
          <w:rFonts w:ascii="Arial" w:hAnsi="Arial" w:cs="Arial"/>
        </w:rPr>
      </w:pPr>
      <w:r>
        <w:rPr>
          <w:rFonts w:ascii="Arial" w:hAnsi="Arial" w:cs="Arial"/>
        </w:rPr>
        <w:tab/>
      </w:r>
      <w:r w:rsidRPr="004E61C7">
        <w:rPr>
          <w:rFonts w:ascii="Arial" w:hAnsi="Arial" w:cs="Arial"/>
        </w:rPr>
        <w:t xml:space="preserve">Additionally, </w:t>
      </w:r>
      <w:r>
        <w:rPr>
          <w:rFonts w:ascii="Arial" w:hAnsi="Arial" w:cs="Arial"/>
        </w:rPr>
        <w:t>i</w:t>
      </w:r>
      <w:r w:rsidRPr="004E61C7">
        <w:rPr>
          <w:rFonts w:ascii="Arial" w:hAnsi="Arial" w:cs="Arial"/>
        </w:rPr>
        <w:t xml:space="preserve">mprovement in </w:t>
      </w:r>
      <w:r>
        <w:rPr>
          <w:rFonts w:ascii="Arial" w:hAnsi="Arial" w:cs="Arial"/>
        </w:rPr>
        <w:t>t</w:t>
      </w:r>
      <w:r w:rsidRPr="004E61C7">
        <w:rPr>
          <w:rFonts w:ascii="Arial" w:hAnsi="Arial" w:cs="Arial"/>
        </w:rPr>
        <w:t xml:space="preserve">eaching </w:t>
      </w:r>
      <w:r>
        <w:rPr>
          <w:rFonts w:ascii="Arial" w:hAnsi="Arial" w:cs="Arial"/>
        </w:rPr>
        <w:t>s</w:t>
      </w:r>
      <w:r w:rsidRPr="004E61C7">
        <w:rPr>
          <w:rFonts w:ascii="Arial" w:hAnsi="Arial" w:cs="Arial"/>
        </w:rPr>
        <w:t xml:space="preserve">kills showed moderate correlations with </w:t>
      </w:r>
      <w:r>
        <w:rPr>
          <w:rFonts w:ascii="Arial" w:hAnsi="Arial" w:cs="Arial"/>
        </w:rPr>
        <w:t>i</w:t>
      </w:r>
      <w:r w:rsidRPr="004E61C7">
        <w:rPr>
          <w:rFonts w:ascii="Arial" w:hAnsi="Arial" w:cs="Arial"/>
        </w:rPr>
        <w:t xml:space="preserve">nstructional </w:t>
      </w:r>
      <w:r>
        <w:rPr>
          <w:rFonts w:ascii="Arial" w:hAnsi="Arial" w:cs="Arial"/>
        </w:rPr>
        <w:t>s</w:t>
      </w:r>
      <w:r w:rsidRPr="004E61C7">
        <w:rPr>
          <w:rFonts w:ascii="Arial" w:hAnsi="Arial" w:cs="Arial"/>
        </w:rPr>
        <w:t>trategies (</w:t>
      </w:r>
      <m:oMath>
        <m:r>
          <w:rPr>
            <w:rFonts w:ascii="Cambria Math" w:hAnsi="Cambria Math" w:cs="Arial"/>
          </w:rPr>
          <m:t>r = 0.36</m:t>
        </m:r>
      </m:oMath>
      <w:r w:rsidRPr="004E61C7">
        <w:rPr>
          <w:rFonts w:ascii="Arial" w:hAnsi="Arial" w:cs="Arial"/>
        </w:rPr>
        <w:t xml:space="preserve">), </w:t>
      </w:r>
      <w:r>
        <w:rPr>
          <w:rFonts w:ascii="Arial" w:hAnsi="Arial" w:cs="Arial"/>
        </w:rPr>
        <w:t>s</w:t>
      </w:r>
      <w:r w:rsidRPr="004E61C7">
        <w:rPr>
          <w:rFonts w:ascii="Arial" w:hAnsi="Arial" w:cs="Arial"/>
        </w:rPr>
        <w:t xml:space="preserve">tudent </w:t>
      </w:r>
      <w:r>
        <w:rPr>
          <w:rFonts w:ascii="Arial" w:hAnsi="Arial" w:cs="Arial"/>
        </w:rPr>
        <w:t>e</w:t>
      </w:r>
      <w:r w:rsidRPr="004E61C7">
        <w:rPr>
          <w:rFonts w:ascii="Arial" w:hAnsi="Arial" w:cs="Arial"/>
        </w:rPr>
        <w:t>ngagement (</w:t>
      </w:r>
      <m:oMath>
        <m:r>
          <w:rPr>
            <w:rFonts w:ascii="Cambria Math" w:hAnsi="Cambria Math" w:cs="Arial"/>
          </w:rPr>
          <m:t>r = 0.33</m:t>
        </m:r>
      </m:oMath>
      <w:r w:rsidRPr="004E61C7">
        <w:rPr>
          <w:rFonts w:ascii="Arial" w:hAnsi="Arial" w:cs="Arial"/>
        </w:rPr>
        <w:t xml:space="preserve">), and </w:t>
      </w:r>
      <w:r>
        <w:rPr>
          <w:rFonts w:ascii="Arial" w:hAnsi="Arial" w:cs="Arial"/>
        </w:rPr>
        <w:t>t</w:t>
      </w:r>
      <w:r w:rsidRPr="004E61C7">
        <w:rPr>
          <w:rFonts w:ascii="Arial" w:hAnsi="Arial" w:cs="Arial"/>
        </w:rPr>
        <w:t xml:space="preserve">eaching </w:t>
      </w:r>
      <w:r>
        <w:rPr>
          <w:rFonts w:ascii="Arial" w:hAnsi="Arial" w:cs="Arial"/>
        </w:rPr>
        <w:t>e</w:t>
      </w:r>
      <w:r w:rsidRPr="004E61C7">
        <w:rPr>
          <w:rFonts w:ascii="Arial" w:hAnsi="Arial" w:cs="Arial"/>
        </w:rPr>
        <w:t>fficacy (</w:t>
      </w:r>
      <m:oMath>
        <m:r>
          <w:rPr>
            <w:rFonts w:ascii="Cambria Math" w:hAnsi="Cambria Math" w:cs="Arial"/>
          </w:rPr>
          <m:t>r = 0.37</m:t>
        </m:r>
      </m:oMath>
      <w:r w:rsidRPr="004E61C7">
        <w:rPr>
          <w:rFonts w:ascii="Arial" w:hAnsi="Arial" w:cs="Arial"/>
        </w:rPr>
        <w:t xml:space="preserve">), albeit not all were statistically significant. This aligns with Darling-Hammond et al. (2020) and </w:t>
      </w:r>
      <w:proofErr w:type="spellStart"/>
      <w:r w:rsidRPr="004E61C7">
        <w:rPr>
          <w:rFonts w:ascii="Arial" w:hAnsi="Arial" w:cs="Arial"/>
        </w:rPr>
        <w:t>Cevik</w:t>
      </w:r>
      <w:proofErr w:type="spellEnd"/>
      <w:r w:rsidRPr="004E61C7">
        <w:rPr>
          <w:rFonts w:ascii="Arial" w:hAnsi="Arial" w:cs="Arial"/>
        </w:rPr>
        <w:t xml:space="preserve"> et al. (2021), who argue that PD programs that improve instructional skills positively influence efficacy, particularly in complex content areas like mathematics. These skills appear to bolster confidence in applying instructional methods, a key tenet of Bandura's Social Cognitive Theory, as internal beliefs influence how new knowledge is integrated into practice.</w:t>
      </w:r>
    </w:p>
    <w:p w14:paraId="29BCBE18" w14:textId="39A55EBD" w:rsidR="004E61C7" w:rsidRDefault="004E61C7" w:rsidP="00441B6F">
      <w:pPr>
        <w:pStyle w:val="Body"/>
        <w:spacing w:after="0"/>
        <w:rPr>
          <w:rFonts w:ascii="Arial" w:hAnsi="Arial" w:cs="Arial"/>
        </w:rPr>
      </w:pPr>
      <w:r>
        <w:rPr>
          <w:rFonts w:ascii="Arial" w:hAnsi="Arial" w:cs="Arial"/>
        </w:rPr>
        <w:tab/>
      </w:r>
      <w:r w:rsidRPr="004E61C7">
        <w:rPr>
          <w:rFonts w:ascii="Arial" w:hAnsi="Arial" w:cs="Arial"/>
        </w:rPr>
        <w:t xml:space="preserve">The results also suggest that </w:t>
      </w:r>
      <w:r w:rsidR="00995D8C">
        <w:rPr>
          <w:rFonts w:ascii="Arial" w:hAnsi="Arial" w:cs="Arial"/>
        </w:rPr>
        <w:t>r</w:t>
      </w:r>
      <w:r w:rsidRPr="004E61C7">
        <w:rPr>
          <w:rFonts w:ascii="Arial" w:hAnsi="Arial" w:cs="Arial"/>
        </w:rPr>
        <w:t xml:space="preserve">elevance to </w:t>
      </w:r>
      <w:r w:rsidR="00995D8C">
        <w:rPr>
          <w:rFonts w:ascii="Arial" w:hAnsi="Arial" w:cs="Arial"/>
        </w:rPr>
        <w:t>t</w:t>
      </w:r>
      <w:r w:rsidRPr="004E61C7">
        <w:rPr>
          <w:rFonts w:ascii="Arial" w:hAnsi="Arial" w:cs="Arial"/>
        </w:rPr>
        <w:t xml:space="preserve">eaching </w:t>
      </w:r>
      <w:r w:rsidR="00995D8C">
        <w:rPr>
          <w:rFonts w:ascii="Arial" w:hAnsi="Arial" w:cs="Arial"/>
        </w:rPr>
        <w:t>p</w:t>
      </w:r>
      <w:r w:rsidRPr="004E61C7">
        <w:rPr>
          <w:rFonts w:ascii="Arial" w:hAnsi="Arial" w:cs="Arial"/>
        </w:rPr>
        <w:t xml:space="preserve">ractice was moderately correlated with </w:t>
      </w:r>
      <w:r w:rsidR="00995D8C">
        <w:rPr>
          <w:rFonts w:ascii="Arial" w:hAnsi="Arial" w:cs="Arial"/>
        </w:rPr>
        <w:t>e</w:t>
      </w:r>
      <w:r w:rsidRPr="004E61C7">
        <w:rPr>
          <w:rFonts w:ascii="Arial" w:hAnsi="Arial" w:cs="Arial"/>
        </w:rPr>
        <w:t xml:space="preserve">fficacy in </w:t>
      </w:r>
      <w:r w:rsidR="00995D8C">
        <w:rPr>
          <w:rFonts w:ascii="Arial" w:hAnsi="Arial" w:cs="Arial"/>
        </w:rPr>
        <w:t>m</w:t>
      </w:r>
      <w:r w:rsidRPr="004E61C7">
        <w:rPr>
          <w:rFonts w:ascii="Arial" w:hAnsi="Arial" w:cs="Arial"/>
        </w:rPr>
        <w:t xml:space="preserve">eeting </w:t>
      </w:r>
      <w:r w:rsidR="00995D8C">
        <w:rPr>
          <w:rFonts w:ascii="Arial" w:hAnsi="Arial" w:cs="Arial"/>
        </w:rPr>
        <w:t>d</w:t>
      </w:r>
      <w:r w:rsidRPr="004E61C7">
        <w:rPr>
          <w:rFonts w:ascii="Arial" w:hAnsi="Arial" w:cs="Arial"/>
        </w:rPr>
        <w:t xml:space="preserve">iverse </w:t>
      </w:r>
      <w:r w:rsidR="00995D8C">
        <w:rPr>
          <w:rFonts w:ascii="Arial" w:hAnsi="Arial" w:cs="Arial"/>
        </w:rPr>
        <w:t>s</w:t>
      </w:r>
      <w:r w:rsidRPr="004E61C7">
        <w:rPr>
          <w:rFonts w:ascii="Arial" w:hAnsi="Arial" w:cs="Arial"/>
        </w:rPr>
        <w:t xml:space="preserve">tudent </w:t>
      </w:r>
      <w:r w:rsidR="00995D8C">
        <w:rPr>
          <w:rFonts w:ascii="Arial" w:hAnsi="Arial" w:cs="Arial"/>
        </w:rPr>
        <w:t>n</w:t>
      </w:r>
      <w:r w:rsidRPr="004E61C7">
        <w:rPr>
          <w:rFonts w:ascii="Arial" w:hAnsi="Arial" w:cs="Arial"/>
        </w:rPr>
        <w:t>eeds (</w:t>
      </w:r>
      <m:oMath>
        <m:r>
          <w:rPr>
            <w:rFonts w:ascii="Cambria Math" w:hAnsi="Cambria Math" w:cs="Arial"/>
          </w:rPr>
          <m:t>r = 0.42, P = 0.04</m:t>
        </m:r>
      </m:oMath>
      <w:r w:rsidRPr="004E61C7">
        <w:rPr>
          <w:rFonts w:ascii="Arial" w:hAnsi="Arial" w:cs="Arial"/>
        </w:rPr>
        <w:t>). This supports Copur-Gencturk (2019), who emphasized the value of aligning PD with actual classroom needs to boost efficacy. When PD content is clearly connected to teaching realities, teachers are more likely to apply it effect</w:t>
      </w:r>
      <w:proofErr w:type="spellStart"/>
      <w:r w:rsidRPr="004E61C7">
        <w:rPr>
          <w:rFonts w:ascii="Arial" w:hAnsi="Arial" w:cs="Arial"/>
        </w:rPr>
        <w:t>ively</w:t>
      </w:r>
      <w:proofErr w:type="spellEnd"/>
      <w:r w:rsidRPr="004E61C7">
        <w:rPr>
          <w:rFonts w:ascii="Arial" w:hAnsi="Arial" w:cs="Arial"/>
        </w:rPr>
        <w:t>, especially in differentiated instruction</w:t>
      </w:r>
      <w:r w:rsidR="00995D8C">
        <w:rPr>
          <w:rFonts w:ascii="Arial" w:hAnsi="Arial" w:cs="Arial"/>
        </w:rPr>
        <w:t>.</w:t>
      </w:r>
    </w:p>
    <w:p w14:paraId="0883C66A" w14:textId="67D822A7" w:rsidR="00995D8C" w:rsidRDefault="00995D8C" w:rsidP="00441B6F">
      <w:pPr>
        <w:pStyle w:val="Body"/>
        <w:spacing w:after="0"/>
        <w:rPr>
          <w:rFonts w:ascii="Arial" w:hAnsi="Arial" w:cs="Arial"/>
        </w:rPr>
      </w:pPr>
      <w:r>
        <w:rPr>
          <w:rFonts w:ascii="Arial" w:hAnsi="Arial" w:cs="Arial"/>
        </w:rPr>
        <w:tab/>
      </w:r>
      <w:r w:rsidRPr="00995D8C">
        <w:rPr>
          <w:rFonts w:ascii="Arial" w:hAnsi="Arial" w:cs="Arial"/>
        </w:rPr>
        <w:t xml:space="preserve">In contrast, the </w:t>
      </w:r>
      <w:r>
        <w:rPr>
          <w:rFonts w:ascii="Arial" w:hAnsi="Arial" w:cs="Arial"/>
        </w:rPr>
        <w:t>r</w:t>
      </w:r>
      <w:r w:rsidRPr="00995D8C">
        <w:rPr>
          <w:rFonts w:ascii="Arial" w:hAnsi="Arial" w:cs="Arial"/>
        </w:rPr>
        <w:t xml:space="preserve">eflection and </w:t>
      </w:r>
      <w:r>
        <w:rPr>
          <w:rFonts w:ascii="Arial" w:hAnsi="Arial" w:cs="Arial"/>
        </w:rPr>
        <w:t>g</w:t>
      </w:r>
      <w:r w:rsidRPr="00995D8C">
        <w:rPr>
          <w:rFonts w:ascii="Arial" w:hAnsi="Arial" w:cs="Arial"/>
        </w:rPr>
        <w:t>rowth dimension of PD showed no correlation or weak correlation with all dimensions of teaching efficacy. This finding diverges from studies by Wang (2023), which found that reflective practices enhance efficacy. This may indicate that reflective components of PD in the local context may be underdeveloped or not meaningfully integrated into daily teaching, thus having minimal impact.</w:t>
      </w:r>
    </w:p>
    <w:p w14:paraId="62CBCDCC" w14:textId="055DEA9C" w:rsidR="00995D8C" w:rsidRDefault="00995D8C" w:rsidP="00441B6F">
      <w:pPr>
        <w:pStyle w:val="Body"/>
        <w:spacing w:after="0"/>
        <w:rPr>
          <w:rFonts w:ascii="Arial" w:hAnsi="Arial" w:cs="Arial"/>
        </w:rPr>
      </w:pPr>
      <w:r>
        <w:rPr>
          <w:rFonts w:ascii="Arial" w:hAnsi="Arial" w:cs="Arial"/>
        </w:rPr>
        <w:tab/>
      </w:r>
      <w:r w:rsidRPr="00995D8C">
        <w:rPr>
          <w:rFonts w:ascii="Arial" w:hAnsi="Arial" w:cs="Arial"/>
        </w:rPr>
        <w:t xml:space="preserve">Furthermore, </w:t>
      </w:r>
      <w:r>
        <w:rPr>
          <w:rFonts w:ascii="Arial" w:hAnsi="Arial" w:cs="Arial"/>
        </w:rPr>
        <w:t>c</w:t>
      </w:r>
      <w:r w:rsidRPr="00995D8C">
        <w:rPr>
          <w:rFonts w:ascii="Arial" w:hAnsi="Arial" w:cs="Arial"/>
        </w:rPr>
        <w:t xml:space="preserve">ollaboration and </w:t>
      </w:r>
      <w:r>
        <w:rPr>
          <w:rFonts w:ascii="Arial" w:hAnsi="Arial" w:cs="Arial"/>
        </w:rPr>
        <w:t>p</w:t>
      </w:r>
      <w:r w:rsidRPr="00995D8C">
        <w:rPr>
          <w:rFonts w:ascii="Arial" w:hAnsi="Arial" w:cs="Arial"/>
        </w:rPr>
        <w:t xml:space="preserve">eer </w:t>
      </w:r>
      <w:r>
        <w:rPr>
          <w:rFonts w:ascii="Arial" w:hAnsi="Arial" w:cs="Arial"/>
        </w:rPr>
        <w:t>l</w:t>
      </w:r>
      <w:r w:rsidRPr="00995D8C">
        <w:rPr>
          <w:rFonts w:ascii="Arial" w:hAnsi="Arial" w:cs="Arial"/>
        </w:rPr>
        <w:t>earning w</w:t>
      </w:r>
      <w:r w:rsidR="00E501A5">
        <w:rPr>
          <w:rFonts w:ascii="Arial" w:hAnsi="Arial" w:cs="Arial"/>
        </w:rPr>
        <w:t>ere</w:t>
      </w:r>
      <w:r w:rsidRPr="00995D8C">
        <w:rPr>
          <w:rFonts w:ascii="Arial" w:hAnsi="Arial" w:cs="Arial"/>
        </w:rPr>
        <w:t xml:space="preserve"> weakly correlated with all aspects of teaching efficacy (highest </w:t>
      </w:r>
      <m:oMath>
        <m:r>
          <w:rPr>
            <w:rFonts w:ascii="Cambria Math" w:hAnsi="Cambria Math" w:cs="Arial"/>
          </w:rPr>
          <m:t>r = 0.25</m:t>
        </m:r>
      </m:oMath>
      <w:r w:rsidRPr="00995D8C">
        <w:rPr>
          <w:rFonts w:ascii="Arial" w:hAnsi="Arial" w:cs="Arial"/>
        </w:rPr>
        <w:t xml:space="preserve">). While collaboration is known to foster a supportive teaching community (Juma, 2024), the weak relationship here may reflect a lack of structured or impactful collaborative PD efforts at </w:t>
      </w:r>
      <w:proofErr w:type="spellStart"/>
      <w:r w:rsidRPr="00995D8C">
        <w:rPr>
          <w:rFonts w:ascii="Arial" w:hAnsi="Arial" w:cs="Arial"/>
        </w:rPr>
        <w:t>DOrSU</w:t>
      </w:r>
      <w:proofErr w:type="spellEnd"/>
      <w:r w:rsidRPr="00995D8C">
        <w:rPr>
          <w:rFonts w:ascii="Arial" w:hAnsi="Arial" w:cs="Arial"/>
        </w:rPr>
        <w:t>. This emphasizes the need for more intentional peer mentoring or team-based learning in professional development models.</w:t>
      </w:r>
    </w:p>
    <w:p w14:paraId="24C3D43C" w14:textId="6B8C168A" w:rsidR="0080554C" w:rsidRDefault="0080554C" w:rsidP="00441B6F">
      <w:pPr>
        <w:pStyle w:val="Body"/>
        <w:spacing w:after="0"/>
        <w:rPr>
          <w:rFonts w:ascii="Arial" w:hAnsi="Arial" w:cs="Arial"/>
        </w:rPr>
      </w:pPr>
      <w:r>
        <w:rPr>
          <w:rFonts w:ascii="Arial" w:hAnsi="Arial" w:cs="Arial"/>
        </w:rPr>
        <w:tab/>
        <w:t xml:space="preserve">Overall, </w:t>
      </w:r>
      <w:r w:rsidR="004C646D">
        <w:rPr>
          <w:rFonts w:ascii="Arial" w:hAnsi="Arial" w:cs="Arial"/>
        </w:rPr>
        <w:t>t</w:t>
      </w:r>
      <w:r w:rsidR="004C646D" w:rsidRPr="004C646D">
        <w:rPr>
          <w:rFonts w:ascii="Arial" w:hAnsi="Arial" w:cs="Arial"/>
        </w:rPr>
        <w:t>he results show a moderate positive correlation (</w:t>
      </w:r>
      <m:oMath>
        <m:r>
          <w:rPr>
            <w:rFonts w:ascii="Cambria Math" w:hAnsi="Cambria Math" w:cs="Arial"/>
          </w:rPr>
          <m:t>r = 0.35</m:t>
        </m:r>
      </m:oMath>
      <w:r w:rsidR="004C646D" w:rsidRPr="004C646D">
        <w:rPr>
          <w:rFonts w:ascii="Arial" w:hAnsi="Arial" w:cs="Arial"/>
        </w:rPr>
        <w:t>) between professional development and teach</w:t>
      </w:r>
      <w:proofErr w:type="spellStart"/>
      <w:r w:rsidR="004C646D" w:rsidRPr="004C646D">
        <w:rPr>
          <w:rFonts w:ascii="Arial" w:hAnsi="Arial" w:cs="Arial"/>
        </w:rPr>
        <w:t>ing</w:t>
      </w:r>
      <w:proofErr w:type="spellEnd"/>
      <w:r w:rsidR="004C646D" w:rsidRPr="004C646D">
        <w:rPr>
          <w:rFonts w:ascii="Arial" w:hAnsi="Arial" w:cs="Arial"/>
        </w:rPr>
        <w:t xml:space="preserve"> efficacy, though not statistically significant (</w:t>
      </w:r>
      <m:oMath>
        <m:r>
          <w:rPr>
            <w:rFonts w:ascii="Cambria Math" w:hAnsi="Cambria Math" w:cs="Arial"/>
          </w:rPr>
          <m:t>P= 0.09</m:t>
        </m:r>
      </m:oMath>
      <w:r w:rsidR="004C646D" w:rsidRPr="004C646D">
        <w:rPr>
          <w:rFonts w:ascii="Arial" w:hAnsi="Arial" w:cs="Arial"/>
        </w:rPr>
        <w:t xml:space="preserve">). This implies a tendency for greater professional development to be linked with higher </w:t>
      </w:r>
      <w:r w:rsidR="004C646D" w:rsidRPr="004C646D">
        <w:rPr>
          <w:rFonts w:ascii="Arial" w:hAnsi="Arial" w:cs="Arial"/>
        </w:rPr>
        <w:lastRenderedPageBreak/>
        <w:t>teaching efficacy, though not conclusively in this sample. Still, the finding is consistent with research h</w:t>
      </w:r>
      <w:proofErr w:type="spellStart"/>
      <w:r w:rsidR="004C646D" w:rsidRPr="004C646D">
        <w:rPr>
          <w:rFonts w:ascii="Arial" w:hAnsi="Arial" w:cs="Arial"/>
        </w:rPr>
        <w:t>ighlighting</w:t>
      </w:r>
      <w:proofErr w:type="spellEnd"/>
      <w:r w:rsidR="004C646D" w:rsidRPr="004C646D">
        <w:rPr>
          <w:rFonts w:ascii="Arial" w:hAnsi="Arial" w:cs="Arial"/>
        </w:rPr>
        <w:t xml:space="preserve"> that reflective and collaborative PD can boost instructional skills and confidence (Darling-Hammond et al., 2020; Walters, 2023). Teachers with stronger self-efficacy are also more likely to apply new strategies effectively (Wang, 2023; Yang, 2019), suggesting that professional development remains a potentially valuable contributor to teaching efficacy.</w:t>
      </w:r>
    </w:p>
    <w:p w14:paraId="67E9BB66" w14:textId="2AD2DF76" w:rsidR="004210E6" w:rsidRDefault="004210E6" w:rsidP="00441B6F">
      <w:pPr>
        <w:pStyle w:val="Body"/>
        <w:spacing w:after="0"/>
        <w:rPr>
          <w:rFonts w:ascii="Arial" w:hAnsi="Arial" w:cs="Arial"/>
        </w:rPr>
      </w:pPr>
    </w:p>
    <w:p w14:paraId="76D38C01" w14:textId="63B990FA" w:rsidR="004210E6" w:rsidRDefault="00770A2E" w:rsidP="00441B6F">
      <w:pPr>
        <w:pStyle w:val="Body"/>
        <w:spacing w:after="0"/>
        <w:rPr>
          <w:rFonts w:ascii="Arial" w:hAnsi="Arial" w:cs="Arial"/>
        </w:rPr>
      </w:pPr>
      <w:r>
        <w:rPr>
          <w:rFonts w:ascii="Arial" w:hAnsi="Arial" w:cs="Arial"/>
        </w:rPr>
        <w:t>Table 3</w:t>
      </w:r>
      <w:r w:rsidR="004210E6">
        <w:rPr>
          <w:rFonts w:ascii="Arial" w:hAnsi="Arial" w:cs="Arial"/>
        </w:rPr>
        <w:t>. The Relationship Between Professional Development and Teaching Efficacy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1138"/>
        <w:gridCol w:w="980"/>
        <w:gridCol w:w="920"/>
        <w:gridCol w:w="1103"/>
        <w:gridCol w:w="1233"/>
        <w:gridCol w:w="876"/>
        <w:gridCol w:w="860"/>
      </w:tblGrid>
      <w:tr w:rsidR="008272C4" w:rsidRPr="005777E7" w14:paraId="600F5A28" w14:textId="77777777" w:rsidTr="002D797F">
        <w:trPr>
          <w:trHeight w:val="577"/>
        </w:trPr>
        <w:tc>
          <w:tcPr>
            <w:tcW w:w="2423" w:type="dxa"/>
            <w:gridSpan w:val="2"/>
            <w:tcBorders>
              <w:top w:val="single" w:sz="8" w:space="0" w:color="auto"/>
              <w:bottom w:val="single" w:sz="8" w:space="0" w:color="auto"/>
            </w:tcBorders>
            <w:vAlign w:val="center"/>
          </w:tcPr>
          <w:p w14:paraId="39BC78B2" w14:textId="2662814C" w:rsidR="004210E6" w:rsidRPr="009A6B8E" w:rsidRDefault="004210E6" w:rsidP="009A6B8E">
            <w:pPr>
              <w:pStyle w:val="Body"/>
              <w:spacing w:after="0"/>
              <w:jc w:val="left"/>
              <w:rPr>
                <w:rFonts w:ascii="Arial" w:hAnsi="Arial" w:cs="Arial"/>
                <w:b/>
                <w:bCs/>
                <w:sz w:val="14"/>
                <w:szCs w:val="14"/>
              </w:rPr>
            </w:pPr>
            <w:r w:rsidRPr="009A6B8E">
              <w:rPr>
                <w:rFonts w:ascii="Arial" w:hAnsi="Arial" w:cs="Arial"/>
                <w:b/>
                <w:bCs/>
                <w:sz w:val="14"/>
                <w:szCs w:val="14"/>
              </w:rPr>
              <w:t>Variables</w:t>
            </w:r>
          </w:p>
        </w:tc>
        <w:tc>
          <w:tcPr>
            <w:tcW w:w="980" w:type="dxa"/>
            <w:tcBorders>
              <w:top w:val="single" w:sz="8" w:space="0" w:color="auto"/>
              <w:bottom w:val="single" w:sz="8" w:space="0" w:color="auto"/>
            </w:tcBorders>
            <w:vAlign w:val="center"/>
          </w:tcPr>
          <w:p w14:paraId="0E6F280F" w14:textId="5E7DA53D" w:rsidR="004210E6" w:rsidRPr="009A6B8E" w:rsidRDefault="004210E6" w:rsidP="00DF0849">
            <w:pPr>
              <w:pStyle w:val="Body"/>
              <w:spacing w:after="0"/>
              <w:jc w:val="center"/>
              <w:rPr>
                <w:rFonts w:ascii="Arial" w:hAnsi="Arial" w:cs="Arial"/>
                <w:b/>
                <w:bCs/>
                <w:sz w:val="14"/>
                <w:szCs w:val="14"/>
              </w:rPr>
            </w:pPr>
            <w:r w:rsidRPr="009A6B8E">
              <w:rPr>
                <w:rFonts w:ascii="Arial" w:hAnsi="Arial" w:cs="Arial"/>
                <w:b/>
                <w:bCs/>
                <w:sz w:val="14"/>
                <w:szCs w:val="14"/>
              </w:rPr>
              <w:t xml:space="preserve">Classroom </w:t>
            </w:r>
            <w:r w:rsidR="00DF0849" w:rsidRPr="009A6B8E">
              <w:rPr>
                <w:rFonts w:ascii="Arial" w:hAnsi="Arial" w:cs="Arial"/>
                <w:b/>
                <w:bCs/>
                <w:sz w:val="14"/>
                <w:szCs w:val="14"/>
              </w:rPr>
              <w:t>Mgt.</w:t>
            </w:r>
          </w:p>
        </w:tc>
        <w:tc>
          <w:tcPr>
            <w:tcW w:w="920" w:type="dxa"/>
            <w:tcBorders>
              <w:top w:val="single" w:sz="8" w:space="0" w:color="auto"/>
              <w:bottom w:val="single" w:sz="8" w:space="0" w:color="auto"/>
            </w:tcBorders>
            <w:vAlign w:val="center"/>
          </w:tcPr>
          <w:p w14:paraId="596077ED" w14:textId="01C4E60F" w:rsidR="004210E6" w:rsidRPr="009A6B8E" w:rsidRDefault="00DF0849" w:rsidP="00DF0849">
            <w:pPr>
              <w:pStyle w:val="Body"/>
              <w:spacing w:after="0"/>
              <w:jc w:val="center"/>
              <w:rPr>
                <w:rFonts w:ascii="Arial" w:hAnsi="Arial" w:cs="Arial"/>
                <w:b/>
                <w:bCs/>
                <w:sz w:val="14"/>
                <w:szCs w:val="14"/>
              </w:rPr>
            </w:pPr>
            <w:proofErr w:type="spellStart"/>
            <w:r w:rsidRPr="009A6B8E">
              <w:rPr>
                <w:rFonts w:ascii="Arial" w:hAnsi="Arial" w:cs="Arial"/>
                <w:b/>
                <w:bCs/>
                <w:sz w:val="14"/>
                <w:szCs w:val="14"/>
              </w:rPr>
              <w:t>Instruc’l</w:t>
            </w:r>
            <w:proofErr w:type="spellEnd"/>
            <w:r w:rsidRPr="009A6B8E">
              <w:rPr>
                <w:rFonts w:ascii="Arial" w:hAnsi="Arial" w:cs="Arial"/>
                <w:b/>
                <w:bCs/>
                <w:sz w:val="14"/>
                <w:szCs w:val="14"/>
              </w:rPr>
              <w:t xml:space="preserve"> Strategies</w:t>
            </w:r>
          </w:p>
        </w:tc>
        <w:tc>
          <w:tcPr>
            <w:tcW w:w="1103" w:type="dxa"/>
            <w:tcBorders>
              <w:top w:val="single" w:sz="8" w:space="0" w:color="auto"/>
              <w:bottom w:val="single" w:sz="8" w:space="0" w:color="auto"/>
            </w:tcBorders>
            <w:vAlign w:val="center"/>
          </w:tcPr>
          <w:p w14:paraId="64E5ACF1" w14:textId="594CC5E6" w:rsidR="004210E6" w:rsidRPr="009A6B8E" w:rsidRDefault="00DF0849" w:rsidP="00DF0849">
            <w:pPr>
              <w:pStyle w:val="Body"/>
              <w:spacing w:after="0"/>
              <w:jc w:val="center"/>
              <w:rPr>
                <w:rFonts w:ascii="Arial" w:hAnsi="Arial" w:cs="Arial"/>
                <w:b/>
                <w:bCs/>
                <w:sz w:val="14"/>
                <w:szCs w:val="14"/>
              </w:rPr>
            </w:pPr>
            <w:r w:rsidRPr="009A6B8E">
              <w:rPr>
                <w:rFonts w:ascii="Arial" w:hAnsi="Arial" w:cs="Arial"/>
                <w:b/>
                <w:bCs/>
                <w:sz w:val="14"/>
                <w:szCs w:val="14"/>
              </w:rPr>
              <w:t>Student Engagement</w:t>
            </w:r>
          </w:p>
        </w:tc>
        <w:tc>
          <w:tcPr>
            <w:tcW w:w="1233" w:type="dxa"/>
            <w:tcBorders>
              <w:top w:val="single" w:sz="8" w:space="0" w:color="auto"/>
              <w:bottom w:val="single" w:sz="8" w:space="0" w:color="auto"/>
            </w:tcBorders>
            <w:vAlign w:val="center"/>
          </w:tcPr>
          <w:p w14:paraId="5A287E54" w14:textId="28645760" w:rsidR="004210E6" w:rsidRPr="009A6B8E" w:rsidRDefault="00DF0849" w:rsidP="00DF0849">
            <w:pPr>
              <w:pStyle w:val="Body"/>
              <w:spacing w:after="0"/>
              <w:jc w:val="center"/>
              <w:rPr>
                <w:rFonts w:ascii="Arial" w:hAnsi="Arial" w:cs="Arial"/>
                <w:b/>
                <w:bCs/>
                <w:sz w:val="14"/>
                <w:szCs w:val="14"/>
              </w:rPr>
            </w:pPr>
            <w:r w:rsidRPr="009A6B8E">
              <w:rPr>
                <w:rFonts w:ascii="Arial" w:hAnsi="Arial" w:cs="Arial"/>
                <w:b/>
                <w:bCs/>
                <w:sz w:val="14"/>
                <w:szCs w:val="14"/>
              </w:rPr>
              <w:t>Assessing Student Understanding</w:t>
            </w:r>
          </w:p>
        </w:tc>
        <w:tc>
          <w:tcPr>
            <w:tcW w:w="876" w:type="dxa"/>
            <w:tcBorders>
              <w:top w:val="single" w:sz="8" w:space="0" w:color="auto"/>
              <w:bottom w:val="single" w:sz="8" w:space="0" w:color="auto"/>
            </w:tcBorders>
            <w:vAlign w:val="center"/>
          </w:tcPr>
          <w:p w14:paraId="5E83421E" w14:textId="51EEEF95" w:rsidR="004210E6" w:rsidRPr="009A6B8E" w:rsidRDefault="00DF0849" w:rsidP="00DF0849">
            <w:pPr>
              <w:pStyle w:val="Body"/>
              <w:spacing w:after="0"/>
              <w:jc w:val="center"/>
              <w:rPr>
                <w:rFonts w:ascii="Arial" w:hAnsi="Arial" w:cs="Arial"/>
                <w:b/>
                <w:bCs/>
                <w:sz w:val="14"/>
                <w:szCs w:val="14"/>
              </w:rPr>
            </w:pPr>
            <w:r w:rsidRPr="009A6B8E">
              <w:rPr>
                <w:rFonts w:ascii="Arial" w:hAnsi="Arial" w:cs="Arial"/>
                <w:b/>
                <w:bCs/>
                <w:sz w:val="14"/>
                <w:szCs w:val="14"/>
              </w:rPr>
              <w:t>Meeting Diverse Student Needs</w:t>
            </w:r>
          </w:p>
        </w:tc>
        <w:tc>
          <w:tcPr>
            <w:tcW w:w="860" w:type="dxa"/>
            <w:tcBorders>
              <w:top w:val="single" w:sz="8" w:space="0" w:color="auto"/>
              <w:bottom w:val="single" w:sz="8" w:space="0" w:color="auto"/>
            </w:tcBorders>
            <w:vAlign w:val="center"/>
          </w:tcPr>
          <w:p w14:paraId="6C8C5E6D" w14:textId="6E10F4C7" w:rsidR="004210E6" w:rsidRPr="009A6B8E" w:rsidRDefault="00DF0849" w:rsidP="00DF0849">
            <w:pPr>
              <w:pStyle w:val="Body"/>
              <w:spacing w:after="0"/>
              <w:jc w:val="center"/>
              <w:rPr>
                <w:rFonts w:ascii="Arial" w:hAnsi="Arial" w:cs="Arial"/>
                <w:b/>
                <w:bCs/>
                <w:sz w:val="14"/>
                <w:szCs w:val="14"/>
              </w:rPr>
            </w:pPr>
            <w:r w:rsidRPr="009A6B8E">
              <w:rPr>
                <w:rFonts w:ascii="Arial" w:hAnsi="Arial" w:cs="Arial"/>
                <w:b/>
                <w:bCs/>
                <w:sz w:val="14"/>
                <w:szCs w:val="14"/>
              </w:rPr>
              <w:t>Teaching Efficacy</w:t>
            </w:r>
          </w:p>
        </w:tc>
      </w:tr>
      <w:tr w:rsidR="001168ED" w:rsidRPr="005777E7" w14:paraId="40838931" w14:textId="77777777" w:rsidTr="007A1E58">
        <w:trPr>
          <w:trHeight w:val="431"/>
        </w:trPr>
        <w:tc>
          <w:tcPr>
            <w:tcW w:w="1285" w:type="dxa"/>
            <w:vMerge w:val="restart"/>
            <w:tcBorders>
              <w:top w:val="single" w:sz="8" w:space="0" w:color="auto"/>
            </w:tcBorders>
            <w:vAlign w:val="center"/>
          </w:tcPr>
          <w:p w14:paraId="4802935D" w14:textId="01E8BA47" w:rsidR="00DF0849" w:rsidRPr="009A6B8E" w:rsidRDefault="00DF0849" w:rsidP="0080554C">
            <w:pPr>
              <w:pStyle w:val="Body"/>
              <w:spacing w:after="0"/>
              <w:jc w:val="center"/>
              <w:rPr>
                <w:rFonts w:ascii="Arial" w:hAnsi="Arial" w:cs="Arial"/>
                <w:b/>
                <w:bCs/>
                <w:sz w:val="14"/>
                <w:szCs w:val="14"/>
              </w:rPr>
            </w:pPr>
            <w:r w:rsidRPr="009A6B8E">
              <w:rPr>
                <w:rFonts w:ascii="Arial" w:hAnsi="Arial" w:cs="Arial"/>
                <w:b/>
                <w:bCs/>
                <w:sz w:val="14"/>
                <w:szCs w:val="14"/>
              </w:rPr>
              <w:t>Relevance to Teaching Practice</w:t>
            </w:r>
          </w:p>
        </w:tc>
        <w:tc>
          <w:tcPr>
            <w:tcW w:w="1138" w:type="dxa"/>
            <w:tcBorders>
              <w:top w:val="single" w:sz="8" w:space="0" w:color="auto"/>
            </w:tcBorders>
            <w:vAlign w:val="center"/>
          </w:tcPr>
          <w:p w14:paraId="029E9D65" w14:textId="77777777" w:rsidR="00DF0849"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25DC20AB" w14:textId="31BEDFDB" w:rsidR="005777E7" w:rsidRPr="005777E7" w:rsidRDefault="005777E7" w:rsidP="0080554C">
            <w:pPr>
              <w:pStyle w:val="Body"/>
              <w:spacing w:after="0"/>
              <w:jc w:val="center"/>
              <w:rPr>
                <w:rFonts w:ascii="Arial" w:hAnsi="Arial" w:cs="Arial"/>
                <w:sz w:val="14"/>
                <w:szCs w:val="14"/>
              </w:rPr>
            </w:pPr>
          </w:p>
        </w:tc>
        <w:tc>
          <w:tcPr>
            <w:tcW w:w="980" w:type="dxa"/>
            <w:tcBorders>
              <w:top w:val="single" w:sz="8" w:space="0" w:color="auto"/>
            </w:tcBorders>
            <w:vAlign w:val="center"/>
          </w:tcPr>
          <w:p w14:paraId="08DDF759" w14:textId="630DABA8"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.11</w:t>
            </w:r>
          </w:p>
        </w:tc>
        <w:tc>
          <w:tcPr>
            <w:tcW w:w="920" w:type="dxa"/>
            <w:tcBorders>
              <w:top w:val="single" w:sz="8" w:space="0" w:color="auto"/>
            </w:tcBorders>
            <w:vAlign w:val="center"/>
          </w:tcPr>
          <w:p w14:paraId="4666BFCA" w14:textId="4F517EBE"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.11</w:t>
            </w:r>
          </w:p>
        </w:tc>
        <w:tc>
          <w:tcPr>
            <w:tcW w:w="1103" w:type="dxa"/>
            <w:tcBorders>
              <w:top w:val="single" w:sz="8" w:space="0" w:color="auto"/>
            </w:tcBorders>
            <w:vAlign w:val="center"/>
          </w:tcPr>
          <w:p w14:paraId="6ED87389" w14:textId="2DB80879"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.23</w:t>
            </w:r>
          </w:p>
        </w:tc>
        <w:tc>
          <w:tcPr>
            <w:tcW w:w="1233" w:type="dxa"/>
            <w:tcBorders>
              <w:top w:val="single" w:sz="8" w:space="0" w:color="auto"/>
            </w:tcBorders>
            <w:vAlign w:val="center"/>
          </w:tcPr>
          <w:p w14:paraId="00D52FBB" w14:textId="3F358328"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.04</w:t>
            </w:r>
          </w:p>
        </w:tc>
        <w:tc>
          <w:tcPr>
            <w:tcW w:w="876" w:type="dxa"/>
            <w:tcBorders>
              <w:top w:val="single" w:sz="8" w:space="0" w:color="auto"/>
            </w:tcBorders>
            <w:vAlign w:val="center"/>
          </w:tcPr>
          <w:p w14:paraId="0D94CE36" w14:textId="71E4A0BF"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.42</w:t>
            </w:r>
          </w:p>
        </w:tc>
        <w:tc>
          <w:tcPr>
            <w:tcW w:w="860" w:type="dxa"/>
            <w:tcBorders>
              <w:top w:val="single" w:sz="8" w:space="0" w:color="auto"/>
            </w:tcBorders>
            <w:vAlign w:val="center"/>
          </w:tcPr>
          <w:p w14:paraId="20B7A6B7" w14:textId="57FA1FF6"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.23</w:t>
            </w:r>
          </w:p>
        </w:tc>
      </w:tr>
      <w:tr w:rsidR="001168ED" w:rsidRPr="005777E7" w14:paraId="0352C091" w14:textId="77777777" w:rsidTr="007A1E58">
        <w:trPr>
          <w:trHeight w:val="284"/>
        </w:trPr>
        <w:tc>
          <w:tcPr>
            <w:tcW w:w="1285" w:type="dxa"/>
            <w:vMerge/>
            <w:vAlign w:val="center"/>
          </w:tcPr>
          <w:p w14:paraId="113302AB" w14:textId="3D30FBBB" w:rsidR="00DF0849" w:rsidRPr="009A6B8E" w:rsidRDefault="00DF0849" w:rsidP="0080554C">
            <w:pPr>
              <w:pStyle w:val="Body"/>
              <w:spacing w:after="0"/>
              <w:jc w:val="center"/>
              <w:rPr>
                <w:rFonts w:ascii="Arial" w:hAnsi="Arial" w:cs="Arial"/>
                <w:b/>
                <w:bCs/>
                <w:sz w:val="14"/>
                <w:szCs w:val="14"/>
              </w:rPr>
            </w:pPr>
          </w:p>
        </w:tc>
        <w:tc>
          <w:tcPr>
            <w:tcW w:w="1138" w:type="dxa"/>
            <w:vAlign w:val="center"/>
          </w:tcPr>
          <w:p w14:paraId="4E9F3981" w14:textId="77777777" w:rsidR="00DF0849"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6CFA1E74" w14:textId="74ED4C90" w:rsidR="005777E7" w:rsidRPr="005777E7" w:rsidRDefault="005777E7" w:rsidP="0080554C">
            <w:pPr>
              <w:pStyle w:val="Body"/>
              <w:spacing w:after="0"/>
              <w:jc w:val="center"/>
              <w:rPr>
                <w:rFonts w:ascii="Arial" w:hAnsi="Arial" w:cs="Arial"/>
                <w:sz w:val="14"/>
                <w:szCs w:val="14"/>
              </w:rPr>
            </w:pPr>
          </w:p>
        </w:tc>
        <w:tc>
          <w:tcPr>
            <w:tcW w:w="980" w:type="dxa"/>
            <w:vAlign w:val="center"/>
          </w:tcPr>
          <w:p w14:paraId="526F3B28" w14:textId="0FA024E5"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.61</w:t>
            </w:r>
          </w:p>
        </w:tc>
        <w:tc>
          <w:tcPr>
            <w:tcW w:w="920" w:type="dxa"/>
            <w:vAlign w:val="center"/>
          </w:tcPr>
          <w:p w14:paraId="103D407B" w14:textId="109D8E18"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.58</w:t>
            </w:r>
          </w:p>
        </w:tc>
        <w:tc>
          <w:tcPr>
            <w:tcW w:w="1103" w:type="dxa"/>
            <w:vAlign w:val="center"/>
          </w:tcPr>
          <w:p w14:paraId="18DF6516" w14:textId="45E78AE4"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.26</w:t>
            </w:r>
          </w:p>
        </w:tc>
        <w:tc>
          <w:tcPr>
            <w:tcW w:w="1233" w:type="dxa"/>
            <w:vAlign w:val="center"/>
          </w:tcPr>
          <w:p w14:paraId="4D35AB86" w14:textId="1B7C6FAC"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.86</w:t>
            </w:r>
          </w:p>
        </w:tc>
        <w:tc>
          <w:tcPr>
            <w:tcW w:w="876" w:type="dxa"/>
            <w:vAlign w:val="center"/>
          </w:tcPr>
          <w:p w14:paraId="1F0205CE" w14:textId="3BA38ADE"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.04</w:t>
            </w:r>
          </w:p>
        </w:tc>
        <w:tc>
          <w:tcPr>
            <w:tcW w:w="860" w:type="dxa"/>
            <w:vAlign w:val="center"/>
          </w:tcPr>
          <w:p w14:paraId="2BA5664F" w14:textId="3E706870" w:rsidR="00DF0849"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.27</w:t>
            </w:r>
          </w:p>
        </w:tc>
      </w:tr>
      <w:tr w:rsidR="001168ED" w:rsidRPr="005777E7" w14:paraId="22264E51" w14:textId="77777777" w:rsidTr="007A1E58">
        <w:trPr>
          <w:trHeight w:val="292"/>
        </w:trPr>
        <w:tc>
          <w:tcPr>
            <w:tcW w:w="1285" w:type="dxa"/>
            <w:vMerge/>
            <w:vAlign w:val="center"/>
          </w:tcPr>
          <w:p w14:paraId="18B22251" w14:textId="6E5BA847" w:rsidR="00DF0849" w:rsidRPr="009A6B8E" w:rsidRDefault="00DF0849" w:rsidP="0080554C">
            <w:pPr>
              <w:pStyle w:val="Body"/>
              <w:spacing w:after="0"/>
              <w:jc w:val="center"/>
              <w:rPr>
                <w:rFonts w:ascii="Arial" w:hAnsi="Arial" w:cs="Arial"/>
                <w:b/>
                <w:bCs/>
                <w:sz w:val="14"/>
                <w:szCs w:val="14"/>
              </w:rPr>
            </w:pPr>
          </w:p>
        </w:tc>
        <w:tc>
          <w:tcPr>
            <w:tcW w:w="1138" w:type="dxa"/>
            <w:vAlign w:val="center"/>
          </w:tcPr>
          <w:p w14:paraId="7CB2018D" w14:textId="77777777" w:rsidR="00DF0849"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04DB3448" w14:textId="096B83F5" w:rsidR="005777E7" w:rsidRPr="005777E7" w:rsidRDefault="005777E7" w:rsidP="0080554C">
            <w:pPr>
              <w:pStyle w:val="Body"/>
              <w:spacing w:after="0"/>
              <w:jc w:val="center"/>
              <w:rPr>
                <w:rFonts w:ascii="Arial" w:hAnsi="Arial" w:cs="Arial"/>
                <w:sz w:val="14"/>
                <w:szCs w:val="14"/>
              </w:rPr>
            </w:pPr>
          </w:p>
        </w:tc>
        <w:tc>
          <w:tcPr>
            <w:tcW w:w="980" w:type="dxa"/>
            <w:vAlign w:val="center"/>
          </w:tcPr>
          <w:p w14:paraId="687150C5" w14:textId="02582109" w:rsidR="00DF0849"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920" w:type="dxa"/>
            <w:vAlign w:val="center"/>
          </w:tcPr>
          <w:p w14:paraId="5E34929F" w14:textId="1D707351" w:rsidR="00DF0849"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vAlign w:val="center"/>
          </w:tcPr>
          <w:p w14:paraId="21E9BDAC" w14:textId="33F69C78" w:rsidR="00DF0849"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233" w:type="dxa"/>
            <w:vAlign w:val="center"/>
          </w:tcPr>
          <w:p w14:paraId="1F1E3625" w14:textId="336CEA24" w:rsidR="00DF0849"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876" w:type="dxa"/>
            <w:vAlign w:val="center"/>
          </w:tcPr>
          <w:p w14:paraId="650FE7EE" w14:textId="5CDB84A1" w:rsidR="00DF0849"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60" w:type="dxa"/>
            <w:vAlign w:val="center"/>
          </w:tcPr>
          <w:p w14:paraId="2E418209" w14:textId="0B83FCF9" w:rsidR="00DF0849"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r>
      <w:tr w:rsidR="001168ED" w:rsidRPr="005777E7" w14:paraId="2A040E62" w14:textId="77777777" w:rsidTr="007A1E58">
        <w:trPr>
          <w:trHeight w:val="431"/>
        </w:trPr>
        <w:tc>
          <w:tcPr>
            <w:tcW w:w="1285" w:type="dxa"/>
            <w:vMerge w:val="restart"/>
            <w:vAlign w:val="center"/>
          </w:tcPr>
          <w:p w14:paraId="329731FF" w14:textId="366AABAB"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Improvement in Teaching Skills</w:t>
            </w:r>
          </w:p>
        </w:tc>
        <w:tc>
          <w:tcPr>
            <w:tcW w:w="1138" w:type="dxa"/>
            <w:vAlign w:val="center"/>
          </w:tcPr>
          <w:p w14:paraId="7607425F"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6D65E2CB" w14:textId="567F8B13" w:rsidR="005777E7" w:rsidRPr="005777E7" w:rsidRDefault="005777E7" w:rsidP="0080554C">
            <w:pPr>
              <w:pStyle w:val="Body"/>
              <w:spacing w:after="0"/>
              <w:jc w:val="center"/>
              <w:rPr>
                <w:rFonts w:ascii="Arial" w:hAnsi="Arial" w:cs="Arial"/>
                <w:sz w:val="14"/>
                <w:szCs w:val="14"/>
              </w:rPr>
            </w:pPr>
          </w:p>
        </w:tc>
        <w:tc>
          <w:tcPr>
            <w:tcW w:w="980" w:type="dxa"/>
            <w:vAlign w:val="center"/>
          </w:tcPr>
          <w:p w14:paraId="78BA79CF" w14:textId="762E4C62"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.20</w:t>
            </w:r>
          </w:p>
        </w:tc>
        <w:tc>
          <w:tcPr>
            <w:tcW w:w="920" w:type="dxa"/>
            <w:vAlign w:val="center"/>
          </w:tcPr>
          <w:p w14:paraId="24DFE1FA" w14:textId="74D9D630"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.36</w:t>
            </w:r>
          </w:p>
        </w:tc>
        <w:tc>
          <w:tcPr>
            <w:tcW w:w="1103" w:type="dxa"/>
            <w:vAlign w:val="center"/>
          </w:tcPr>
          <w:p w14:paraId="3BECFD53" w14:textId="75125B65"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.33</w:t>
            </w:r>
          </w:p>
        </w:tc>
        <w:tc>
          <w:tcPr>
            <w:tcW w:w="1233" w:type="dxa"/>
            <w:vAlign w:val="center"/>
          </w:tcPr>
          <w:p w14:paraId="0DBF3A43" w14:textId="24749730"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.30</w:t>
            </w:r>
          </w:p>
        </w:tc>
        <w:tc>
          <w:tcPr>
            <w:tcW w:w="876" w:type="dxa"/>
            <w:vAlign w:val="center"/>
          </w:tcPr>
          <w:p w14:paraId="7C2ADF66" w14:textId="151E0A66"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.33</w:t>
            </w:r>
          </w:p>
        </w:tc>
        <w:tc>
          <w:tcPr>
            <w:tcW w:w="860" w:type="dxa"/>
            <w:vAlign w:val="center"/>
          </w:tcPr>
          <w:p w14:paraId="13C93BB3" w14:textId="185F27C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.37</w:t>
            </w:r>
          </w:p>
        </w:tc>
      </w:tr>
      <w:tr w:rsidR="001168ED" w:rsidRPr="005777E7" w14:paraId="3D45D4EE" w14:textId="77777777" w:rsidTr="007A1E58">
        <w:trPr>
          <w:trHeight w:val="284"/>
        </w:trPr>
        <w:tc>
          <w:tcPr>
            <w:tcW w:w="1285" w:type="dxa"/>
            <w:vMerge/>
            <w:vAlign w:val="center"/>
          </w:tcPr>
          <w:p w14:paraId="78A87C99" w14:textId="77777777" w:rsidR="008272C4" w:rsidRPr="009A6B8E" w:rsidRDefault="008272C4" w:rsidP="0080554C">
            <w:pPr>
              <w:pStyle w:val="Body"/>
              <w:spacing w:after="0"/>
              <w:jc w:val="center"/>
              <w:rPr>
                <w:rFonts w:ascii="Arial" w:hAnsi="Arial" w:cs="Arial"/>
                <w:b/>
                <w:bCs/>
                <w:sz w:val="14"/>
                <w:szCs w:val="14"/>
              </w:rPr>
            </w:pPr>
          </w:p>
        </w:tc>
        <w:tc>
          <w:tcPr>
            <w:tcW w:w="1138" w:type="dxa"/>
            <w:vAlign w:val="center"/>
          </w:tcPr>
          <w:p w14:paraId="077220BC"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72C0DFDB" w14:textId="06F53154" w:rsidR="005777E7" w:rsidRPr="005777E7" w:rsidRDefault="005777E7" w:rsidP="0080554C">
            <w:pPr>
              <w:pStyle w:val="Body"/>
              <w:spacing w:after="0"/>
              <w:jc w:val="center"/>
              <w:rPr>
                <w:rFonts w:ascii="Arial" w:hAnsi="Arial" w:cs="Arial"/>
                <w:sz w:val="14"/>
                <w:szCs w:val="14"/>
              </w:rPr>
            </w:pPr>
          </w:p>
        </w:tc>
        <w:tc>
          <w:tcPr>
            <w:tcW w:w="980" w:type="dxa"/>
            <w:vAlign w:val="center"/>
          </w:tcPr>
          <w:p w14:paraId="6C58D283" w14:textId="3CFA6BF6"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.34</w:t>
            </w:r>
          </w:p>
        </w:tc>
        <w:tc>
          <w:tcPr>
            <w:tcW w:w="920" w:type="dxa"/>
            <w:vAlign w:val="center"/>
          </w:tcPr>
          <w:p w14:paraId="2690D278" w14:textId="2D357369"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.08</w:t>
            </w:r>
          </w:p>
        </w:tc>
        <w:tc>
          <w:tcPr>
            <w:tcW w:w="1103" w:type="dxa"/>
            <w:vAlign w:val="center"/>
          </w:tcPr>
          <w:p w14:paraId="1CE70835" w14:textId="7FF1E597"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.10</w:t>
            </w:r>
          </w:p>
        </w:tc>
        <w:tc>
          <w:tcPr>
            <w:tcW w:w="1233" w:type="dxa"/>
            <w:vAlign w:val="center"/>
          </w:tcPr>
          <w:p w14:paraId="66329F16" w14:textId="4301F1C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.14</w:t>
            </w:r>
          </w:p>
        </w:tc>
        <w:tc>
          <w:tcPr>
            <w:tcW w:w="876" w:type="dxa"/>
            <w:vAlign w:val="center"/>
          </w:tcPr>
          <w:p w14:paraId="3F0DF3EC" w14:textId="5685B83A"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.10</w:t>
            </w:r>
          </w:p>
        </w:tc>
        <w:tc>
          <w:tcPr>
            <w:tcW w:w="860" w:type="dxa"/>
            <w:vAlign w:val="center"/>
          </w:tcPr>
          <w:p w14:paraId="155371EA" w14:textId="2FADFB26"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.07</w:t>
            </w:r>
          </w:p>
        </w:tc>
      </w:tr>
      <w:tr w:rsidR="001168ED" w:rsidRPr="005777E7" w14:paraId="3869FC18" w14:textId="77777777" w:rsidTr="007A1E58">
        <w:trPr>
          <w:trHeight w:val="284"/>
        </w:trPr>
        <w:tc>
          <w:tcPr>
            <w:tcW w:w="1285" w:type="dxa"/>
            <w:vMerge/>
            <w:vAlign w:val="center"/>
          </w:tcPr>
          <w:p w14:paraId="3B068DC5" w14:textId="77777777" w:rsidR="008272C4" w:rsidRPr="009A6B8E" w:rsidRDefault="008272C4" w:rsidP="0080554C">
            <w:pPr>
              <w:pStyle w:val="Body"/>
              <w:spacing w:after="0"/>
              <w:jc w:val="center"/>
              <w:rPr>
                <w:rFonts w:ascii="Arial" w:hAnsi="Arial" w:cs="Arial"/>
                <w:b/>
                <w:bCs/>
                <w:sz w:val="14"/>
                <w:szCs w:val="14"/>
              </w:rPr>
            </w:pPr>
          </w:p>
        </w:tc>
        <w:tc>
          <w:tcPr>
            <w:tcW w:w="1138" w:type="dxa"/>
            <w:vAlign w:val="center"/>
          </w:tcPr>
          <w:p w14:paraId="6BF8D79C"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05799A35" w14:textId="01170A75" w:rsidR="005777E7" w:rsidRPr="005777E7" w:rsidRDefault="005777E7" w:rsidP="0080554C">
            <w:pPr>
              <w:pStyle w:val="Body"/>
              <w:spacing w:after="0"/>
              <w:jc w:val="center"/>
              <w:rPr>
                <w:rFonts w:ascii="Arial" w:hAnsi="Arial" w:cs="Arial"/>
                <w:sz w:val="14"/>
                <w:szCs w:val="14"/>
              </w:rPr>
            </w:pPr>
          </w:p>
        </w:tc>
        <w:tc>
          <w:tcPr>
            <w:tcW w:w="980" w:type="dxa"/>
            <w:vAlign w:val="center"/>
          </w:tcPr>
          <w:p w14:paraId="251D9C5A" w14:textId="007EC1B9"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920" w:type="dxa"/>
            <w:vAlign w:val="center"/>
          </w:tcPr>
          <w:p w14:paraId="7C03EBE7" w14:textId="45A31F07"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1103" w:type="dxa"/>
            <w:vAlign w:val="center"/>
          </w:tcPr>
          <w:p w14:paraId="3D7DFA80" w14:textId="6F6032D0"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1233" w:type="dxa"/>
            <w:vAlign w:val="center"/>
          </w:tcPr>
          <w:p w14:paraId="24FFC476" w14:textId="54E008E4"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76" w:type="dxa"/>
            <w:vAlign w:val="center"/>
          </w:tcPr>
          <w:p w14:paraId="0320B30B" w14:textId="2605A3D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60" w:type="dxa"/>
            <w:vAlign w:val="center"/>
          </w:tcPr>
          <w:p w14:paraId="18816E1D" w14:textId="561EC15F"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r>
      <w:tr w:rsidR="001168ED" w:rsidRPr="005777E7" w14:paraId="15079285" w14:textId="77777777" w:rsidTr="007A1E58">
        <w:trPr>
          <w:trHeight w:val="431"/>
        </w:trPr>
        <w:tc>
          <w:tcPr>
            <w:tcW w:w="1285" w:type="dxa"/>
            <w:vMerge w:val="restart"/>
            <w:vAlign w:val="center"/>
          </w:tcPr>
          <w:p w14:paraId="54F8FFFB" w14:textId="0FE958C2"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Reflection and Growth</w:t>
            </w:r>
          </w:p>
        </w:tc>
        <w:tc>
          <w:tcPr>
            <w:tcW w:w="1138" w:type="dxa"/>
            <w:vAlign w:val="center"/>
          </w:tcPr>
          <w:p w14:paraId="48BDC958"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6F812329" w14:textId="54E0A243" w:rsidR="005777E7" w:rsidRPr="005777E7" w:rsidRDefault="005777E7" w:rsidP="0080554C">
            <w:pPr>
              <w:pStyle w:val="Body"/>
              <w:spacing w:after="0"/>
              <w:jc w:val="center"/>
              <w:rPr>
                <w:rFonts w:ascii="Arial" w:hAnsi="Arial" w:cs="Arial"/>
                <w:sz w:val="14"/>
                <w:szCs w:val="14"/>
              </w:rPr>
            </w:pPr>
          </w:p>
        </w:tc>
        <w:tc>
          <w:tcPr>
            <w:tcW w:w="980" w:type="dxa"/>
            <w:vAlign w:val="center"/>
          </w:tcPr>
          <w:p w14:paraId="482EDA13" w14:textId="19DA7C20"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0</w:t>
            </w:r>
          </w:p>
        </w:tc>
        <w:tc>
          <w:tcPr>
            <w:tcW w:w="920" w:type="dxa"/>
            <w:vAlign w:val="center"/>
          </w:tcPr>
          <w:p w14:paraId="4870E03F" w14:textId="4088AAC2"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.16</w:t>
            </w:r>
          </w:p>
        </w:tc>
        <w:tc>
          <w:tcPr>
            <w:tcW w:w="1103" w:type="dxa"/>
            <w:vAlign w:val="center"/>
          </w:tcPr>
          <w:p w14:paraId="2D57A675" w14:textId="41765DD6"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.80</w:t>
            </w:r>
          </w:p>
        </w:tc>
        <w:tc>
          <w:tcPr>
            <w:tcW w:w="1233" w:type="dxa"/>
            <w:vAlign w:val="center"/>
          </w:tcPr>
          <w:p w14:paraId="16999A9E" w14:textId="51788398"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.12</w:t>
            </w:r>
          </w:p>
        </w:tc>
        <w:tc>
          <w:tcPr>
            <w:tcW w:w="876" w:type="dxa"/>
            <w:vAlign w:val="center"/>
          </w:tcPr>
          <w:p w14:paraId="1DCD5726" w14:textId="6D45343E"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.10</w:t>
            </w:r>
          </w:p>
        </w:tc>
        <w:tc>
          <w:tcPr>
            <w:tcW w:w="860" w:type="dxa"/>
            <w:vAlign w:val="center"/>
          </w:tcPr>
          <w:p w14:paraId="699505AC" w14:textId="6B851A87"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.11</w:t>
            </w:r>
          </w:p>
        </w:tc>
      </w:tr>
      <w:tr w:rsidR="001168ED" w:rsidRPr="005777E7" w14:paraId="4335C8CF" w14:textId="77777777" w:rsidTr="007A1E58">
        <w:trPr>
          <w:trHeight w:val="292"/>
        </w:trPr>
        <w:tc>
          <w:tcPr>
            <w:tcW w:w="1285" w:type="dxa"/>
            <w:vMerge/>
            <w:vAlign w:val="center"/>
          </w:tcPr>
          <w:p w14:paraId="5E8CB588" w14:textId="77777777" w:rsidR="008272C4" w:rsidRPr="009A6B8E" w:rsidRDefault="008272C4" w:rsidP="0080554C">
            <w:pPr>
              <w:pStyle w:val="Body"/>
              <w:spacing w:after="0"/>
              <w:jc w:val="center"/>
              <w:rPr>
                <w:rFonts w:ascii="Arial" w:hAnsi="Arial" w:cs="Arial"/>
                <w:b/>
                <w:bCs/>
                <w:sz w:val="14"/>
                <w:szCs w:val="14"/>
              </w:rPr>
            </w:pPr>
          </w:p>
        </w:tc>
        <w:tc>
          <w:tcPr>
            <w:tcW w:w="1138" w:type="dxa"/>
            <w:vAlign w:val="center"/>
          </w:tcPr>
          <w:p w14:paraId="0B919DF8"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571D0B9B" w14:textId="2177CA1E" w:rsidR="005777E7" w:rsidRPr="005777E7" w:rsidRDefault="005777E7" w:rsidP="0080554C">
            <w:pPr>
              <w:pStyle w:val="Body"/>
              <w:spacing w:after="0"/>
              <w:jc w:val="center"/>
              <w:rPr>
                <w:rFonts w:ascii="Arial" w:hAnsi="Arial" w:cs="Arial"/>
                <w:sz w:val="14"/>
                <w:szCs w:val="14"/>
              </w:rPr>
            </w:pPr>
          </w:p>
        </w:tc>
        <w:tc>
          <w:tcPr>
            <w:tcW w:w="980" w:type="dxa"/>
            <w:vAlign w:val="center"/>
          </w:tcPr>
          <w:p w14:paraId="1053140D" w14:textId="560BB908"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.99</w:t>
            </w:r>
          </w:p>
        </w:tc>
        <w:tc>
          <w:tcPr>
            <w:tcW w:w="920" w:type="dxa"/>
            <w:vAlign w:val="center"/>
          </w:tcPr>
          <w:p w14:paraId="5E34E8EC" w14:textId="1AC6389B"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.46</w:t>
            </w:r>
          </w:p>
        </w:tc>
        <w:tc>
          <w:tcPr>
            <w:tcW w:w="1103" w:type="dxa"/>
            <w:vAlign w:val="center"/>
          </w:tcPr>
          <w:p w14:paraId="2ED89A66" w14:textId="74FAB82D"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.70</w:t>
            </w:r>
          </w:p>
        </w:tc>
        <w:tc>
          <w:tcPr>
            <w:tcW w:w="1233" w:type="dxa"/>
            <w:vAlign w:val="center"/>
          </w:tcPr>
          <w:p w14:paraId="46A80DC7" w14:textId="175D319E"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.57</w:t>
            </w:r>
          </w:p>
        </w:tc>
        <w:tc>
          <w:tcPr>
            <w:tcW w:w="876" w:type="dxa"/>
            <w:vAlign w:val="center"/>
          </w:tcPr>
          <w:p w14:paraId="38255326" w14:textId="12F2110F"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.64</w:t>
            </w:r>
          </w:p>
        </w:tc>
        <w:tc>
          <w:tcPr>
            <w:tcW w:w="860" w:type="dxa"/>
            <w:vAlign w:val="center"/>
          </w:tcPr>
          <w:p w14:paraId="0AF3BA11" w14:textId="6C57A214"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.60</w:t>
            </w:r>
          </w:p>
        </w:tc>
      </w:tr>
      <w:tr w:rsidR="001168ED" w:rsidRPr="005777E7" w14:paraId="479F24F1" w14:textId="77777777" w:rsidTr="007A1E58">
        <w:trPr>
          <w:trHeight w:val="284"/>
        </w:trPr>
        <w:tc>
          <w:tcPr>
            <w:tcW w:w="1285" w:type="dxa"/>
            <w:vMerge/>
            <w:vAlign w:val="center"/>
          </w:tcPr>
          <w:p w14:paraId="0165949B" w14:textId="77777777" w:rsidR="008272C4" w:rsidRPr="009A6B8E" w:rsidRDefault="008272C4" w:rsidP="0080554C">
            <w:pPr>
              <w:pStyle w:val="Body"/>
              <w:spacing w:after="0"/>
              <w:jc w:val="center"/>
              <w:rPr>
                <w:rFonts w:ascii="Arial" w:hAnsi="Arial" w:cs="Arial"/>
                <w:b/>
                <w:bCs/>
                <w:sz w:val="14"/>
                <w:szCs w:val="14"/>
              </w:rPr>
            </w:pPr>
          </w:p>
        </w:tc>
        <w:tc>
          <w:tcPr>
            <w:tcW w:w="1138" w:type="dxa"/>
            <w:vAlign w:val="center"/>
          </w:tcPr>
          <w:p w14:paraId="582246CE"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3102A4E6" w14:textId="3924E998" w:rsidR="005777E7" w:rsidRPr="005777E7" w:rsidRDefault="005777E7" w:rsidP="0080554C">
            <w:pPr>
              <w:pStyle w:val="Body"/>
              <w:spacing w:after="0"/>
              <w:jc w:val="center"/>
              <w:rPr>
                <w:rFonts w:ascii="Arial" w:hAnsi="Arial" w:cs="Arial"/>
                <w:sz w:val="14"/>
                <w:szCs w:val="14"/>
              </w:rPr>
            </w:pPr>
          </w:p>
        </w:tc>
        <w:tc>
          <w:tcPr>
            <w:tcW w:w="980" w:type="dxa"/>
            <w:vAlign w:val="center"/>
          </w:tcPr>
          <w:p w14:paraId="4D7CD3F0" w14:textId="230A2FEA"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No Correlation</w:t>
            </w:r>
          </w:p>
        </w:tc>
        <w:tc>
          <w:tcPr>
            <w:tcW w:w="920" w:type="dxa"/>
            <w:vAlign w:val="center"/>
          </w:tcPr>
          <w:p w14:paraId="48DB6EFF" w14:textId="1A6CD1E0"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vAlign w:val="center"/>
          </w:tcPr>
          <w:p w14:paraId="253E15D7" w14:textId="25DFD6E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1233" w:type="dxa"/>
            <w:vAlign w:val="center"/>
          </w:tcPr>
          <w:p w14:paraId="59D88D7B" w14:textId="3935F15A"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76" w:type="dxa"/>
            <w:vAlign w:val="center"/>
          </w:tcPr>
          <w:p w14:paraId="63B8803F" w14:textId="78482023"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60" w:type="dxa"/>
            <w:vAlign w:val="center"/>
          </w:tcPr>
          <w:p w14:paraId="381CE58D" w14:textId="409DE5DD"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r>
      <w:tr w:rsidR="008272C4" w:rsidRPr="005777E7" w14:paraId="5B225732" w14:textId="77777777" w:rsidTr="007A1E58">
        <w:trPr>
          <w:trHeight w:val="431"/>
        </w:trPr>
        <w:tc>
          <w:tcPr>
            <w:tcW w:w="1285" w:type="dxa"/>
            <w:vMerge w:val="restart"/>
            <w:vAlign w:val="center"/>
          </w:tcPr>
          <w:p w14:paraId="3F591FC5" w14:textId="1C8CEE22"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Collaboration and Peer Learning</w:t>
            </w:r>
          </w:p>
        </w:tc>
        <w:tc>
          <w:tcPr>
            <w:tcW w:w="1138" w:type="dxa"/>
            <w:vAlign w:val="center"/>
          </w:tcPr>
          <w:p w14:paraId="5227F3A2"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5924A9D2" w14:textId="68EC73EB" w:rsidR="005777E7" w:rsidRPr="005777E7" w:rsidRDefault="005777E7" w:rsidP="0080554C">
            <w:pPr>
              <w:pStyle w:val="Body"/>
              <w:spacing w:after="0"/>
              <w:jc w:val="center"/>
              <w:rPr>
                <w:rFonts w:ascii="Arial" w:hAnsi="Arial" w:cs="Arial"/>
                <w:sz w:val="14"/>
                <w:szCs w:val="14"/>
              </w:rPr>
            </w:pPr>
          </w:p>
        </w:tc>
        <w:tc>
          <w:tcPr>
            <w:tcW w:w="980" w:type="dxa"/>
            <w:vAlign w:val="center"/>
          </w:tcPr>
          <w:p w14:paraId="6E93D4A6" w14:textId="78F1CED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.15</w:t>
            </w:r>
          </w:p>
        </w:tc>
        <w:tc>
          <w:tcPr>
            <w:tcW w:w="920" w:type="dxa"/>
            <w:vAlign w:val="center"/>
          </w:tcPr>
          <w:p w14:paraId="3851CBB5" w14:textId="6F9874B4"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.10</w:t>
            </w:r>
          </w:p>
        </w:tc>
        <w:tc>
          <w:tcPr>
            <w:tcW w:w="1103" w:type="dxa"/>
            <w:vAlign w:val="center"/>
          </w:tcPr>
          <w:p w14:paraId="3500ABB5" w14:textId="1BA4453C"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.07</w:t>
            </w:r>
          </w:p>
        </w:tc>
        <w:tc>
          <w:tcPr>
            <w:tcW w:w="1233" w:type="dxa"/>
            <w:vAlign w:val="center"/>
          </w:tcPr>
          <w:p w14:paraId="75C80722" w14:textId="3963924B" w:rsidR="008272C4" w:rsidRPr="005777E7" w:rsidRDefault="00770A2E" w:rsidP="00770A2E">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.04</w:t>
            </w:r>
          </w:p>
        </w:tc>
        <w:tc>
          <w:tcPr>
            <w:tcW w:w="876" w:type="dxa"/>
            <w:vAlign w:val="center"/>
          </w:tcPr>
          <w:p w14:paraId="15C68F07" w14:textId="3BF02728"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.25</w:t>
            </w:r>
          </w:p>
        </w:tc>
        <w:tc>
          <w:tcPr>
            <w:tcW w:w="860" w:type="dxa"/>
            <w:vAlign w:val="center"/>
          </w:tcPr>
          <w:p w14:paraId="7D69B3C4" w14:textId="2F7D464B"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.13</w:t>
            </w:r>
          </w:p>
        </w:tc>
      </w:tr>
      <w:tr w:rsidR="008272C4" w:rsidRPr="005777E7" w14:paraId="07E7D0D3" w14:textId="77777777" w:rsidTr="007A1E58">
        <w:trPr>
          <w:trHeight w:val="284"/>
        </w:trPr>
        <w:tc>
          <w:tcPr>
            <w:tcW w:w="1285" w:type="dxa"/>
            <w:vMerge/>
            <w:vAlign w:val="center"/>
          </w:tcPr>
          <w:p w14:paraId="4F77EFB5" w14:textId="77777777" w:rsidR="008272C4" w:rsidRPr="009A6B8E" w:rsidRDefault="008272C4" w:rsidP="0080554C">
            <w:pPr>
              <w:pStyle w:val="Body"/>
              <w:spacing w:after="0"/>
              <w:jc w:val="center"/>
              <w:rPr>
                <w:rFonts w:ascii="Arial" w:hAnsi="Arial" w:cs="Arial"/>
                <w:b/>
                <w:bCs/>
                <w:sz w:val="14"/>
                <w:szCs w:val="14"/>
              </w:rPr>
            </w:pPr>
          </w:p>
        </w:tc>
        <w:tc>
          <w:tcPr>
            <w:tcW w:w="1138" w:type="dxa"/>
            <w:vAlign w:val="center"/>
          </w:tcPr>
          <w:p w14:paraId="68ED8C1B"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4733C4BA" w14:textId="45304C57" w:rsidR="005777E7" w:rsidRPr="005777E7" w:rsidRDefault="005777E7" w:rsidP="0080554C">
            <w:pPr>
              <w:pStyle w:val="Body"/>
              <w:spacing w:after="0"/>
              <w:jc w:val="center"/>
              <w:rPr>
                <w:rFonts w:ascii="Arial" w:hAnsi="Arial" w:cs="Arial"/>
                <w:sz w:val="14"/>
                <w:szCs w:val="14"/>
              </w:rPr>
            </w:pPr>
          </w:p>
        </w:tc>
        <w:tc>
          <w:tcPr>
            <w:tcW w:w="980" w:type="dxa"/>
            <w:vAlign w:val="center"/>
          </w:tcPr>
          <w:p w14:paraId="280EE279" w14:textId="46C20790"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.46</w:t>
            </w:r>
          </w:p>
        </w:tc>
        <w:tc>
          <w:tcPr>
            <w:tcW w:w="920" w:type="dxa"/>
            <w:vAlign w:val="center"/>
          </w:tcPr>
          <w:p w14:paraId="5E12F9B2" w14:textId="1CA907FD"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8272C4" w:rsidRPr="005777E7">
              <w:rPr>
                <w:rFonts w:ascii="Arial" w:hAnsi="Arial" w:cs="Arial"/>
                <w:sz w:val="14"/>
                <w:szCs w:val="14"/>
              </w:rPr>
              <w:t>.62</w:t>
            </w:r>
          </w:p>
        </w:tc>
        <w:tc>
          <w:tcPr>
            <w:tcW w:w="1103" w:type="dxa"/>
            <w:vAlign w:val="center"/>
          </w:tcPr>
          <w:p w14:paraId="19021548" w14:textId="0800DDDA"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.74</w:t>
            </w:r>
          </w:p>
        </w:tc>
        <w:tc>
          <w:tcPr>
            <w:tcW w:w="1233" w:type="dxa"/>
            <w:vAlign w:val="center"/>
          </w:tcPr>
          <w:p w14:paraId="7FF7290B" w14:textId="7A12ABA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.84</w:t>
            </w:r>
          </w:p>
        </w:tc>
        <w:tc>
          <w:tcPr>
            <w:tcW w:w="876" w:type="dxa"/>
            <w:vAlign w:val="center"/>
          </w:tcPr>
          <w:p w14:paraId="47EE8C8C" w14:textId="071AF031"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.23</w:t>
            </w:r>
          </w:p>
        </w:tc>
        <w:tc>
          <w:tcPr>
            <w:tcW w:w="860" w:type="dxa"/>
            <w:vAlign w:val="center"/>
          </w:tcPr>
          <w:p w14:paraId="2592B2F3" w14:textId="73FE7173" w:rsidR="008272C4" w:rsidRPr="005777E7" w:rsidRDefault="00770A2E" w:rsidP="0080554C">
            <w:pPr>
              <w:pStyle w:val="Body"/>
              <w:spacing w:after="0"/>
              <w:jc w:val="center"/>
              <w:rPr>
                <w:rFonts w:ascii="Arial" w:hAnsi="Arial" w:cs="Arial"/>
                <w:sz w:val="14"/>
                <w:szCs w:val="14"/>
              </w:rPr>
            </w:pPr>
            <w:r>
              <w:rPr>
                <w:rFonts w:ascii="Arial" w:hAnsi="Arial" w:cs="Arial"/>
                <w:sz w:val="14"/>
                <w:szCs w:val="14"/>
              </w:rPr>
              <w:t>0</w:t>
            </w:r>
            <w:r w:rsidR="00672B8C" w:rsidRPr="005777E7">
              <w:rPr>
                <w:rFonts w:ascii="Arial" w:hAnsi="Arial" w:cs="Arial"/>
                <w:sz w:val="14"/>
                <w:szCs w:val="14"/>
              </w:rPr>
              <w:t>.53</w:t>
            </w:r>
          </w:p>
        </w:tc>
      </w:tr>
      <w:tr w:rsidR="008272C4" w:rsidRPr="005777E7" w14:paraId="7AD41B6F" w14:textId="77777777" w:rsidTr="007A1E58">
        <w:trPr>
          <w:trHeight w:val="292"/>
        </w:trPr>
        <w:tc>
          <w:tcPr>
            <w:tcW w:w="1285" w:type="dxa"/>
            <w:vMerge/>
            <w:vAlign w:val="center"/>
          </w:tcPr>
          <w:p w14:paraId="6342D923" w14:textId="77777777" w:rsidR="008272C4" w:rsidRPr="009A6B8E" w:rsidRDefault="008272C4" w:rsidP="0080554C">
            <w:pPr>
              <w:pStyle w:val="Body"/>
              <w:spacing w:after="0"/>
              <w:jc w:val="center"/>
              <w:rPr>
                <w:rFonts w:ascii="Arial" w:hAnsi="Arial" w:cs="Arial"/>
                <w:b/>
                <w:bCs/>
                <w:sz w:val="14"/>
                <w:szCs w:val="14"/>
              </w:rPr>
            </w:pPr>
          </w:p>
        </w:tc>
        <w:tc>
          <w:tcPr>
            <w:tcW w:w="1138" w:type="dxa"/>
            <w:vAlign w:val="center"/>
          </w:tcPr>
          <w:p w14:paraId="0EAC6ABC"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1690ED2F" w14:textId="184AF52C" w:rsidR="005777E7" w:rsidRPr="005777E7" w:rsidRDefault="005777E7" w:rsidP="0080554C">
            <w:pPr>
              <w:pStyle w:val="Body"/>
              <w:spacing w:after="0"/>
              <w:jc w:val="center"/>
              <w:rPr>
                <w:rFonts w:ascii="Arial" w:hAnsi="Arial" w:cs="Arial"/>
                <w:sz w:val="14"/>
                <w:szCs w:val="14"/>
              </w:rPr>
            </w:pPr>
          </w:p>
        </w:tc>
        <w:tc>
          <w:tcPr>
            <w:tcW w:w="980" w:type="dxa"/>
            <w:vAlign w:val="center"/>
          </w:tcPr>
          <w:p w14:paraId="50E7D2E7" w14:textId="69EA7FE9"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920" w:type="dxa"/>
            <w:vAlign w:val="center"/>
          </w:tcPr>
          <w:p w14:paraId="6892D5E9" w14:textId="43446DEF"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vAlign w:val="center"/>
          </w:tcPr>
          <w:p w14:paraId="64253E5C" w14:textId="5BC6F2B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1233" w:type="dxa"/>
            <w:vAlign w:val="center"/>
          </w:tcPr>
          <w:p w14:paraId="03D62CC9" w14:textId="5DB19917"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876" w:type="dxa"/>
            <w:vAlign w:val="center"/>
          </w:tcPr>
          <w:p w14:paraId="4A80DAEF" w14:textId="6A7D79B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60" w:type="dxa"/>
            <w:vAlign w:val="center"/>
          </w:tcPr>
          <w:p w14:paraId="4C5BDA57" w14:textId="0B44C4F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r>
      <w:tr w:rsidR="008272C4" w:rsidRPr="005777E7" w14:paraId="49417475" w14:textId="77777777" w:rsidTr="007A1E58">
        <w:trPr>
          <w:trHeight w:val="431"/>
        </w:trPr>
        <w:tc>
          <w:tcPr>
            <w:tcW w:w="1285" w:type="dxa"/>
            <w:vMerge w:val="restart"/>
            <w:vAlign w:val="center"/>
          </w:tcPr>
          <w:p w14:paraId="362D7DBE" w14:textId="71CCAD5E"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Support and Implementation</w:t>
            </w:r>
          </w:p>
        </w:tc>
        <w:tc>
          <w:tcPr>
            <w:tcW w:w="1138" w:type="dxa"/>
            <w:vAlign w:val="center"/>
          </w:tcPr>
          <w:p w14:paraId="38A0A8BE"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0A3DA4CA" w14:textId="3DC7E4C8" w:rsidR="005777E7" w:rsidRPr="005777E7" w:rsidRDefault="005777E7" w:rsidP="0080554C">
            <w:pPr>
              <w:pStyle w:val="Body"/>
              <w:spacing w:after="0"/>
              <w:jc w:val="center"/>
              <w:rPr>
                <w:rFonts w:ascii="Arial" w:hAnsi="Arial" w:cs="Arial"/>
                <w:sz w:val="14"/>
                <w:szCs w:val="14"/>
              </w:rPr>
            </w:pPr>
          </w:p>
        </w:tc>
        <w:tc>
          <w:tcPr>
            <w:tcW w:w="980" w:type="dxa"/>
            <w:vAlign w:val="center"/>
          </w:tcPr>
          <w:p w14:paraId="79E786C9" w14:textId="54D724D8"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.05</w:t>
            </w:r>
          </w:p>
        </w:tc>
        <w:tc>
          <w:tcPr>
            <w:tcW w:w="920" w:type="dxa"/>
            <w:vAlign w:val="center"/>
          </w:tcPr>
          <w:p w14:paraId="422AD012" w14:textId="07BE40CF"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.27</w:t>
            </w:r>
          </w:p>
        </w:tc>
        <w:tc>
          <w:tcPr>
            <w:tcW w:w="1103" w:type="dxa"/>
            <w:vAlign w:val="center"/>
          </w:tcPr>
          <w:p w14:paraId="7F7D1089" w14:textId="2FD0FF5E"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.47</w:t>
            </w:r>
          </w:p>
        </w:tc>
        <w:tc>
          <w:tcPr>
            <w:tcW w:w="1233" w:type="dxa"/>
            <w:vAlign w:val="center"/>
          </w:tcPr>
          <w:p w14:paraId="7BF05B57" w14:textId="140B401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.22</w:t>
            </w:r>
          </w:p>
        </w:tc>
        <w:tc>
          <w:tcPr>
            <w:tcW w:w="876" w:type="dxa"/>
            <w:vAlign w:val="center"/>
          </w:tcPr>
          <w:p w14:paraId="4EED174F" w14:textId="7587A294"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.48</w:t>
            </w:r>
          </w:p>
        </w:tc>
        <w:tc>
          <w:tcPr>
            <w:tcW w:w="860" w:type="dxa"/>
            <w:vAlign w:val="center"/>
          </w:tcPr>
          <w:p w14:paraId="78A41188" w14:textId="39CED5B9"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.37</w:t>
            </w:r>
          </w:p>
        </w:tc>
      </w:tr>
      <w:tr w:rsidR="008272C4" w:rsidRPr="005777E7" w14:paraId="75BF20D5" w14:textId="77777777" w:rsidTr="007A1E58">
        <w:trPr>
          <w:trHeight w:val="284"/>
        </w:trPr>
        <w:tc>
          <w:tcPr>
            <w:tcW w:w="1285" w:type="dxa"/>
            <w:vMerge/>
            <w:vAlign w:val="center"/>
          </w:tcPr>
          <w:p w14:paraId="6F1D95A0" w14:textId="77777777" w:rsidR="008272C4" w:rsidRPr="009A6B8E" w:rsidRDefault="008272C4" w:rsidP="0080554C">
            <w:pPr>
              <w:pStyle w:val="Body"/>
              <w:spacing w:after="0"/>
              <w:jc w:val="center"/>
              <w:rPr>
                <w:rFonts w:ascii="Arial" w:hAnsi="Arial" w:cs="Arial"/>
                <w:b/>
                <w:bCs/>
                <w:sz w:val="14"/>
                <w:szCs w:val="14"/>
              </w:rPr>
            </w:pPr>
          </w:p>
        </w:tc>
        <w:tc>
          <w:tcPr>
            <w:tcW w:w="1138" w:type="dxa"/>
            <w:vAlign w:val="center"/>
          </w:tcPr>
          <w:p w14:paraId="3FAD3CB5"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5D021542" w14:textId="3E9D9D6D" w:rsidR="005777E7" w:rsidRPr="005777E7" w:rsidRDefault="005777E7" w:rsidP="0080554C">
            <w:pPr>
              <w:pStyle w:val="Body"/>
              <w:spacing w:after="0"/>
              <w:jc w:val="center"/>
              <w:rPr>
                <w:rFonts w:ascii="Arial" w:hAnsi="Arial" w:cs="Arial"/>
                <w:sz w:val="14"/>
                <w:szCs w:val="14"/>
              </w:rPr>
            </w:pPr>
          </w:p>
        </w:tc>
        <w:tc>
          <w:tcPr>
            <w:tcW w:w="980" w:type="dxa"/>
            <w:vAlign w:val="center"/>
          </w:tcPr>
          <w:p w14:paraId="33F661D0" w14:textId="5D3126E9"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.80</w:t>
            </w:r>
          </w:p>
        </w:tc>
        <w:tc>
          <w:tcPr>
            <w:tcW w:w="920" w:type="dxa"/>
            <w:vAlign w:val="center"/>
          </w:tcPr>
          <w:p w14:paraId="0E13446E" w14:textId="2588BFEC"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.20</w:t>
            </w:r>
          </w:p>
        </w:tc>
        <w:tc>
          <w:tcPr>
            <w:tcW w:w="1103" w:type="dxa"/>
            <w:vAlign w:val="center"/>
          </w:tcPr>
          <w:p w14:paraId="1434D79A" w14:textId="308E71CA"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.02</w:t>
            </w:r>
          </w:p>
        </w:tc>
        <w:tc>
          <w:tcPr>
            <w:tcW w:w="1233" w:type="dxa"/>
            <w:vAlign w:val="center"/>
          </w:tcPr>
          <w:p w14:paraId="4A3FE5CB" w14:textId="23C5203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.28</w:t>
            </w:r>
          </w:p>
        </w:tc>
        <w:tc>
          <w:tcPr>
            <w:tcW w:w="876" w:type="dxa"/>
            <w:vAlign w:val="center"/>
          </w:tcPr>
          <w:p w14:paraId="105F7517" w14:textId="3CAF4A76"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.02</w:t>
            </w:r>
          </w:p>
        </w:tc>
        <w:tc>
          <w:tcPr>
            <w:tcW w:w="860" w:type="dxa"/>
            <w:vAlign w:val="center"/>
          </w:tcPr>
          <w:p w14:paraId="391BACC0" w14:textId="77133157"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.07</w:t>
            </w:r>
          </w:p>
        </w:tc>
      </w:tr>
      <w:tr w:rsidR="008272C4" w:rsidRPr="005777E7" w14:paraId="72A75EC2" w14:textId="77777777" w:rsidTr="007A1E58">
        <w:trPr>
          <w:trHeight w:val="284"/>
        </w:trPr>
        <w:tc>
          <w:tcPr>
            <w:tcW w:w="1285" w:type="dxa"/>
            <w:vMerge/>
            <w:vAlign w:val="center"/>
          </w:tcPr>
          <w:p w14:paraId="405B787A" w14:textId="77777777" w:rsidR="008272C4" w:rsidRPr="009A6B8E" w:rsidRDefault="008272C4" w:rsidP="0080554C">
            <w:pPr>
              <w:pStyle w:val="Body"/>
              <w:spacing w:after="0"/>
              <w:jc w:val="center"/>
              <w:rPr>
                <w:rFonts w:ascii="Arial" w:hAnsi="Arial" w:cs="Arial"/>
                <w:b/>
                <w:bCs/>
                <w:sz w:val="14"/>
                <w:szCs w:val="14"/>
              </w:rPr>
            </w:pPr>
          </w:p>
        </w:tc>
        <w:tc>
          <w:tcPr>
            <w:tcW w:w="1138" w:type="dxa"/>
            <w:vAlign w:val="center"/>
          </w:tcPr>
          <w:p w14:paraId="0E4A25EA"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p w14:paraId="1029A5C8" w14:textId="68F4B17E" w:rsidR="005777E7" w:rsidRPr="005777E7" w:rsidRDefault="005777E7" w:rsidP="0080554C">
            <w:pPr>
              <w:pStyle w:val="Body"/>
              <w:spacing w:after="0"/>
              <w:jc w:val="center"/>
              <w:rPr>
                <w:rFonts w:ascii="Arial" w:hAnsi="Arial" w:cs="Arial"/>
                <w:sz w:val="14"/>
                <w:szCs w:val="14"/>
              </w:rPr>
            </w:pPr>
          </w:p>
        </w:tc>
        <w:tc>
          <w:tcPr>
            <w:tcW w:w="980" w:type="dxa"/>
            <w:vAlign w:val="center"/>
          </w:tcPr>
          <w:p w14:paraId="28C9ABBF" w14:textId="49CEBD32"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Negligible</w:t>
            </w:r>
          </w:p>
        </w:tc>
        <w:tc>
          <w:tcPr>
            <w:tcW w:w="920" w:type="dxa"/>
            <w:vAlign w:val="center"/>
          </w:tcPr>
          <w:p w14:paraId="5BCE79CE" w14:textId="2E396FA9"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vAlign w:val="center"/>
          </w:tcPr>
          <w:p w14:paraId="1B23AF40" w14:textId="27AF120B"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1233" w:type="dxa"/>
            <w:vAlign w:val="center"/>
          </w:tcPr>
          <w:p w14:paraId="4306F4CE" w14:textId="64BA046B"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76" w:type="dxa"/>
            <w:vAlign w:val="center"/>
          </w:tcPr>
          <w:p w14:paraId="7CEA5268" w14:textId="21F56D35"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60" w:type="dxa"/>
            <w:vAlign w:val="center"/>
          </w:tcPr>
          <w:p w14:paraId="44685C3D" w14:textId="705A82DD"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r>
      <w:tr w:rsidR="008272C4" w:rsidRPr="005777E7" w14:paraId="33686DA9" w14:textId="77777777" w:rsidTr="007A1E58">
        <w:trPr>
          <w:trHeight w:val="431"/>
        </w:trPr>
        <w:tc>
          <w:tcPr>
            <w:tcW w:w="1285" w:type="dxa"/>
            <w:vMerge w:val="restart"/>
            <w:tcBorders>
              <w:bottom w:val="single" w:sz="8" w:space="0" w:color="auto"/>
            </w:tcBorders>
            <w:vAlign w:val="center"/>
          </w:tcPr>
          <w:p w14:paraId="19EB2713" w14:textId="744F4667" w:rsidR="008272C4" w:rsidRPr="009A6B8E" w:rsidRDefault="008272C4" w:rsidP="0080554C">
            <w:pPr>
              <w:pStyle w:val="Body"/>
              <w:spacing w:after="0"/>
              <w:jc w:val="center"/>
              <w:rPr>
                <w:rFonts w:ascii="Arial" w:hAnsi="Arial" w:cs="Arial"/>
                <w:b/>
                <w:bCs/>
                <w:sz w:val="14"/>
                <w:szCs w:val="14"/>
              </w:rPr>
            </w:pPr>
            <w:r w:rsidRPr="009A6B8E">
              <w:rPr>
                <w:rFonts w:ascii="Arial" w:hAnsi="Arial" w:cs="Arial"/>
                <w:b/>
                <w:bCs/>
                <w:sz w:val="14"/>
                <w:szCs w:val="14"/>
              </w:rPr>
              <w:t>Professional Development</w:t>
            </w:r>
          </w:p>
        </w:tc>
        <w:tc>
          <w:tcPr>
            <w:tcW w:w="1138" w:type="dxa"/>
            <w:vAlign w:val="center"/>
          </w:tcPr>
          <w:p w14:paraId="55476EAA"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Pearson Correlation</w:t>
            </w:r>
          </w:p>
          <w:p w14:paraId="6D46BB46" w14:textId="1D90C0F6" w:rsidR="005777E7" w:rsidRPr="005777E7" w:rsidRDefault="005777E7" w:rsidP="0080554C">
            <w:pPr>
              <w:pStyle w:val="Body"/>
              <w:spacing w:after="0"/>
              <w:jc w:val="center"/>
              <w:rPr>
                <w:rFonts w:ascii="Arial" w:hAnsi="Arial" w:cs="Arial"/>
                <w:sz w:val="14"/>
                <w:szCs w:val="14"/>
              </w:rPr>
            </w:pPr>
          </w:p>
        </w:tc>
        <w:tc>
          <w:tcPr>
            <w:tcW w:w="980" w:type="dxa"/>
            <w:vAlign w:val="center"/>
          </w:tcPr>
          <w:p w14:paraId="4D8B4F2F" w14:textId="04151688"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.13</w:t>
            </w:r>
          </w:p>
        </w:tc>
        <w:tc>
          <w:tcPr>
            <w:tcW w:w="920" w:type="dxa"/>
            <w:vAlign w:val="center"/>
          </w:tcPr>
          <w:p w14:paraId="7469A77F" w14:textId="73CFA096"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.28</w:t>
            </w:r>
          </w:p>
        </w:tc>
        <w:tc>
          <w:tcPr>
            <w:tcW w:w="1103" w:type="dxa"/>
            <w:vAlign w:val="center"/>
          </w:tcPr>
          <w:p w14:paraId="144BA2C8" w14:textId="1C3CFE17"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.36</w:t>
            </w:r>
          </w:p>
        </w:tc>
        <w:tc>
          <w:tcPr>
            <w:tcW w:w="1233" w:type="dxa"/>
            <w:vAlign w:val="center"/>
          </w:tcPr>
          <w:p w14:paraId="34B09F02" w14:textId="1998AD9F"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.19</w:t>
            </w:r>
          </w:p>
        </w:tc>
        <w:tc>
          <w:tcPr>
            <w:tcW w:w="876" w:type="dxa"/>
            <w:vAlign w:val="center"/>
          </w:tcPr>
          <w:p w14:paraId="76D0ED16" w14:textId="16078DA4"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.45</w:t>
            </w:r>
          </w:p>
        </w:tc>
        <w:tc>
          <w:tcPr>
            <w:tcW w:w="860" w:type="dxa"/>
            <w:vAlign w:val="center"/>
          </w:tcPr>
          <w:p w14:paraId="48244B45" w14:textId="5A85F61B"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.35</w:t>
            </w:r>
          </w:p>
        </w:tc>
      </w:tr>
      <w:tr w:rsidR="008272C4" w:rsidRPr="005777E7" w14:paraId="7BC4C2B1" w14:textId="77777777" w:rsidTr="007A1E58">
        <w:trPr>
          <w:trHeight w:val="308"/>
        </w:trPr>
        <w:tc>
          <w:tcPr>
            <w:tcW w:w="1285" w:type="dxa"/>
            <w:vMerge/>
            <w:tcBorders>
              <w:bottom w:val="single" w:sz="8" w:space="0" w:color="auto"/>
            </w:tcBorders>
            <w:vAlign w:val="center"/>
          </w:tcPr>
          <w:p w14:paraId="4843ACD5" w14:textId="77777777" w:rsidR="008272C4" w:rsidRPr="005777E7" w:rsidRDefault="008272C4" w:rsidP="0080554C">
            <w:pPr>
              <w:pStyle w:val="Body"/>
              <w:spacing w:after="0"/>
              <w:jc w:val="center"/>
              <w:rPr>
                <w:rFonts w:ascii="Arial" w:hAnsi="Arial" w:cs="Arial"/>
                <w:sz w:val="14"/>
                <w:szCs w:val="14"/>
              </w:rPr>
            </w:pPr>
          </w:p>
        </w:tc>
        <w:tc>
          <w:tcPr>
            <w:tcW w:w="1138" w:type="dxa"/>
            <w:vAlign w:val="center"/>
          </w:tcPr>
          <w:p w14:paraId="06230C0E" w14:textId="77777777" w:rsidR="008272C4" w:rsidRDefault="008272C4" w:rsidP="0080554C">
            <w:pPr>
              <w:pStyle w:val="Body"/>
              <w:spacing w:after="0"/>
              <w:jc w:val="center"/>
              <w:rPr>
                <w:rFonts w:ascii="Arial" w:hAnsi="Arial" w:cs="Arial"/>
                <w:sz w:val="14"/>
                <w:szCs w:val="14"/>
              </w:rPr>
            </w:pPr>
            <w:r w:rsidRPr="005777E7">
              <w:rPr>
                <w:rFonts w:ascii="Arial" w:hAnsi="Arial" w:cs="Arial"/>
                <w:sz w:val="14"/>
                <w:szCs w:val="14"/>
              </w:rPr>
              <w:t>Sig. (2-tailed)</w:t>
            </w:r>
          </w:p>
          <w:p w14:paraId="674A494F" w14:textId="1A674086" w:rsidR="005777E7" w:rsidRPr="005777E7" w:rsidRDefault="005777E7" w:rsidP="0080554C">
            <w:pPr>
              <w:pStyle w:val="Body"/>
              <w:spacing w:after="0"/>
              <w:jc w:val="center"/>
              <w:rPr>
                <w:rFonts w:ascii="Arial" w:hAnsi="Arial" w:cs="Arial"/>
                <w:sz w:val="14"/>
                <w:szCs w:val="14"/>
              </w:rPr>
            </w:pPr>
          </w:p>
        </w:tc>
        <w:tc>
          <w:tcPr>
            <w:tcW w:w="980" w:type="dxa"/>
            <w:vAlign w:val="center"/>
          </w:tcPr>
          <w:p w14:paraId="27EB450D" w14:textId="1F738015"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.53</w:t>
            </w:r>
          </w:p>
        </w:tc>
        <w:tc>
          <w:tcPr>
            <w:tcW w:w="920" w:type="dxa"/>
            <w:vAlign w:val="center"/>
          </w:tcPr>
          <w:p w14:paraId="07C4C60A" w14:textId="0BD06155"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.18</w:t>
            </w:r>
          </w:p>
        </w:tc>
        <w:tc>
          <w:tcPr>
            <w:tcW w:w="1103" w:type="dxa"/>
            <w:vAlign w:val="center"/>
          </w:tcPr>
          <w:p w14:paraId="22EE1798" w14:textId="5849FA93"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.08</w:t>
            </w:r>
          </w:p>
        </w:tc>
        <w:tc>
          <w:tcPr>
            <w:tcW w:w="1233" w:type="dxa"/>
            <w:vAlign w:val="center"/>
          </w:tcPr>
          <w:p w14:paraId="230BF145" w14:textId="0E5991E5"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.37</w:t>
            </w:r>
          </w:p>
        </w:tc>
        <w:tc>
          <w:tcPr>
            <w:tcW w:w="876" w:type="dxa"/>
            <w:vAlign w:val="center"/>
          </w:tcPr>
          <w:p w14:paraId="1C33AFBF" w14:textId="5C5ECD38"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.03</w:t>
            </w:r>
          </w:p>
        </w:tc>
        <w:tc>
          <w:tcPr>
            <w:tcW w:w="860" w:type="dxa"/>
            <w:vAlign w:val="center"/>
          </w:tcPr>
          <w:p w14:paraId="05E9F766" w14:textId="5A6B5409"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.09</w:t>
            </w:r>
          </w:p>
        </w:tc>
      </w:tr>
      <w:tr w:rsidR="008272C4" w:rsidRPr="005777E7" w14:paraId="56656DA7" w14:textId="77777777" w:rsidTr="007A1E58">
        <w:trPr>
          <w:trHeight w:val="431"/>
        </w:trPr>
        <w:tc>
          <w:tcPr>
            <w:tcW w:w="1285" w:type="dxa"/>
            <w:vMerge/>
            <w:tcBorders>
              <w:bottom w:val="single" w:sz="8" w:space="0" w:color="auto"/>
            </w:tcBorders>
            <w:vAlign w:val="center"/>
          </w:tcPr>
          <w:p w14:paraId="466DFACF" w14:textId="77777777" w:rsidR="008272C4" w:rsidRPr="005777E7" w:rsidRDefault="008272C4" w:rsidP="0080554C">
            <w:pPr>
              <w:pStyle w:val="Body"/>
              <w:spacing w:after="0"/>
              <w:jc w:val="center"/>
              <w:rPr>
                <w:rFonts w:ascii="Arial" w:hAnsi="Arial" w:cs="Arial"/>
                <w:sz w:val="14"/>
                <w:szCs w:val="14"/>
              </w:rPr>
            </w:pPr>
          </w:p>
        </w:tc>
        <w:tc>
          <w:tcPr>
            <w:tcW w:w="1138" w:type="dxa"/>
            <w:tcBorders>
              <w:bottom w:val="single" w:sz="8" w:space="0" w:color="auto"/>
            </w:tcBorders>
            <w:vAlign w:val="center"/>
          </w:tcPr>
          <w:p w14:paraId="043BB071" w14:textId="28F565FA"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Interpretation</w:t>
            </w:r>
          </w:p>
        </w:tc>
        <w:tc>
          <w:tcPr>
            <w:tcW w:w="980" w:type="dxa"/>
            <w:tcBorders>
              <w:bottom w:val="single" w:sz="8" w:space="0" w:color="auto"/>
            </w:tcBorders>
            <w:vAlign w:val="center"/>
          </w:tcPr>
          <w:p w14:paraId="00EC9F58" w14:textId="4C9D957D" w:rsidR="008272C4" w:rsidRPr="005777E7" w:rsidRDefault="008272C4"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920" w:type="dxa"/>
            <w:tcBorders>
              <w:bottom w:val="single" w:sz="8" w:space="0" w:color="auto"/>
            </w:tcBorders>
            <w:vAlign w:val="center"/>
          </w:tcPr>
          <w:p w14:paraId="10A9A09A" w14:textId="0ECFDAE6"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1103" w:type="dxa"/>
            <w:tcBorders>
              <w:bottom w:val="single" w:sz="8" w:space="0" w:color="auto"/>
            </w:tcBorders>
            <w:vAlign w:val="center"/>
          </w:tcPr>
          <w:p w14:paraId="5682FF2C" w14:textId="129973FD"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1233" w:type="dxa"/>
            <w:tcBorders>
              <w:bottom w:val="single" w:sz="8" w:space="0" w:color="auto"/>
            </w:tcBorders>
            <w:vAlign w:val="center"/>
          </w:tcPr>
          <w:p w14:paraId="7A842E68" w14:textId="01948F5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Weak</w:t>
            </w:r>
          </w:p>
        </w:tc>
        <w:tc>
          <w:tcPr>
            <w:tcW w:w="876" w:type="dxa"/>
            <w:tcBorders>
              <w:bottom w:val="single" w:sz="8" w:space="0" w:color="auto"/>
            </w:tcBorders>
            <w:vAlign w:val="center"/>
          </w:tcPr>
          <w:p w14:paraId="3BF55833" w14:textId="265BAF01"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c>
          <w:tcPr>
            <w:tcW w:w="860" w:type="dxa"/>
            <w:tcBorders>
              <w:bottom w:val="single" w:sz="8" w:space="0" w:color="auto"/>
            </w:tcBorders>
            <w:vAlign w:val="center"/>
          </w:tcPr>
          <w:p w14:paraId="4E455F4A" w14:textId="4243094C" w:rsidR="008272C4" w:rsidRPr="005777E7" w:rsidRDefault="00672B8C" w:rsidP="0080554C">
            <w:pPr>
              <w:pStyle w:val="Body"/>
              <w:spacing w:after="0"/>
              <w:jc w:val="center"/>
              <w:rPr>
                <w:rFonts w:ascii="Arial" w:hAnsi="Arial" w:cs="Arial"/>
                <w:sz w:val="14"/>
                <w:szCs w:val="14"/>
              </w:rPr>
            </w:pPr>
            <w:r w:rsidRPr="005777E7">
              <w:rPr>
                <w:rFonts w:ascii="Arial" w:hAnsi="Arial" w:cs="Arial"/>
                <w:sz w:val="14"/>
                <w:szCs w:val="14"/>
              </w:rPr>
              <w:t>Moderate</w:t>
            </w:r>
          </w:p>
        </w:tc>
      </w:tr>
    </w:tbl>
    <w:p w14:paraId="5B8F7674" w14:textId="260B62B4" w:rsidR="004210E6" w:rsidRPr="007A1E58" w:rsidRDefault="007A1E58" w:rsidP="00441B6F">
      <w:pPr>
        <w:pStyle w:val="Body"/>
        <w:spacing w:after="0"/>
        <w:rPr>
          <w:rFonts w:ascii="Arial" w:hAnsi="Arial" w:cs="Arial"/>
          <w:i/>
          <w:iCs/>
        </w:rPr>
      </w:pPr>
      <w:r w:rsidRPr="007A1E58">
        <w:rPr>
          <w:i/>
          <w:iCs/>
        </w:rPr>
        <w:t>Table 3. Correlation Matrix between Professional Development and Teaching Efficacy Indicators. Note: This table presents Pearson correlation coefficients (r) and their significance values (P).</w:t>
      </w:r>
    </w:p>
    <w:p w14:paraId="5A7ECFC0" w14:textId="2EE2F4DE" w:rsidR="009A6B8E" w:rsidRDefault="009A6B8E" w:rsidP="005777E7">
      <w:pPr>
        <w:pStyle w:val="Body"/>
        <w:spacing w:after="0"/>
        <w:jc w:val="center"/>
        <w:rPr>
          <w:rFonts w:ascii="Arial" w:hAnsi="Arial" w:cs="Arial"/>
          <w:b/>
          <w:bCs/>
          <w:lang w:val="en-PH"/>
        </w:rPr>
      </w:pPr>
    </w:p>
    <w:p w14:paraId="53D8C230" w14:textId="77777777" w:rsidR="007A1E58" w:rsidRDefault="007A1E58" w:rsidP="005777E7">
      <w:pPr>
        <w:pStyle w:val="Body"/>
        <w:spacing w:after="0"/>
        <w:jc w:val="center"/>
        <w:rPr>
          <w:rFonts w:ascii="Arial" w:hAnsi="Arial" w:cs="Arial"/>
          <w:b/>
          <w:bCs/>
          <w:lang w:val="en-PH"/>
        </w:rPr>
      </w:pPr>
    </w:p>
    <w:p w14:paraId="01275714" w14:textId="0A15AB83" w:rsidR="004210E6" w:rsidRPr="009A6B8E" w:rsidRDefault="00FD31F7" w:rsidP="005777E7">
      <w:pPr>
        <w:pStyle w:val="Body"/>
        <w:spacing w:after="0"/>
        <w:jc w:val="center"/>
        <w:rPr>
          <w:rFonts w:ascii="Arial" w:hAnsi="Arial" w:cs="Arial"/>
          <w:b/>
          <w:bCs/>
        </w:rPr>
      </w:pPr>
      <w:r>
        <w:rPr>
          <w:rFonts w:ascii="Arial" w:hAnsi="Arial" w:cs="Arial"/>
          <w:b/>
          <w:bCs/>
          <w:lang w:val="en-PH"/>
        </w:rPr>
        <w:t xml:space="preserve">5.1.4. </w:t>
      </w:r>
      <w:r w:rsidR="00CE3521">
        <w:rPr>
          <w:rFonts w:ascii="Arial" w:hAnsi="Arial" w:cs="Arial"/>
          <w:b/>
          <w:bCs/>
          <w:lang w:val="en-PH"/>
        </w:rPr>
        <w:t xml:space="preserve">Differences on </w:t>
      </w:r>
      <w:r w:rsidR="009A6B8E" w:rsidRPr="009A6B8E">
        <w:rPr>
          <w:rFonts w:ascii="Arial" w:hAnsi="Arial" w:cs="Arial"/>
          <w:b/>
          <w:bCs/>
          <w:lang w:val="en-PH"/>
        </w:rPr>
        <w:t>P</w:t>
      </w:r>
      <w:r w:rsidR="009A6B8E" w:rsidRPr="00B9544A">
        <w:rPr>
          <w:rFonts w:ascii="Arial" w:hAnsi="Arial" w:cs="Arial"/>
          <w:b/>
          <w:bCs/>
          <w:lang w:val="en-PH"/>
        </w:rPr>
        <w:t xml:space="preserve">rofessional </w:t>
      </w:r>
      <w:r w:rsidR="009A6B8E" w:rsidRPr="009A6B8E">
        <w:rPr>
          <w:rFonts w:ascii="Arial" w:hAnsi="Arial" w:cs="Arial"/>
          <w:b/>
          <w:bCs/>
          <w:lang w:val="en-PH"/>
        </w:rPr>
        <w:t>D</w:t>
      </w:r>
      <w:r w:rsidR="009A6B8E" w:rsidRPr="00B9544A">
        <w:rPr>
          <w:rFonts w:ascii="Arial" w:hAnsi="Arial" w:cs="Arial"/>
          <w:b/>
          <w:bCs/>
          <w:lang w:val="en-PH"/>
        </w:rPr>
        <w:t>evelopment</w:t>
      </w:r>
    </w:p>
    <w:p w14:paraId="0CB11DDC" w14:textId="24C1766E" w:rsidR="00E053D0" w:rsidRDefault="00E053D0" w:rsidP="00441B6F">
      <w:pPr>
        <w:pStyle w:val="Body"/>
        <w:spacing w:after="0"/>
        <w:rPr>
          <w:rFonts w:ascii="Arial" w:hAnsi="Arial" w:cs="Arial"/>
        </w:rPr>
      </w:pPr>
    </w:p>
    <w:p w14:paraId="1762A5F8" w14:textId="11368306" w:rsidR="006A4A19" w:rsidRDefault="009A6B8E" w:rsidP="00441B6F">
      <w:pPr>
        <w:pStyle w:val="Body"/>
        <w:spacing w:after="0"/>
        <w:rPr>
          <w:rFonts w:ascii="Arial" w:hAnsi="Arial" w:cs="Arial"/>
        </w:rPr>
      </w:pPr>
      <w:r>
        <w:rPr>
          <w:rFonts w:ascii="Arial" w:hAnsi="Arial" w:cs="Arial"/>
        </w:rPr>
        <w:tab/>
      </w:r>
      <w:r w:rsidR="006A4A19" w:rsidRPr="006A4A19">
        <w:rPr>
          <w:rFonts w:ascii="Arial" w:hAnsi="Arial" w:cs="Arial"/>
        </w:rPr>
        <w:t xml:space="preserve">Table </w:t>
      </w:r>
      <w:r w:rsidR="006A4A19">
        <w:rPr>
          <w:rFonts w:ascii="Arial" w:hAnsi="Arial" w:cs="Arial"/>
        </w:rPr>
        <w:t>4</w:t>
      </w:r>
      <w:r w:rsidR="006A4A19" w:rsidRPr="006A4A19">
        <w:rPr>
          <w:rFonts w:ascii="Arial" w:hAnsi="Arial" w:cs="Arial"/>
        </w:rPr>
        <w:t xml:space="preserve"> presents the demographic profile of the respondents in terms of age and teaching experience. Most of the respondents are aged 31–40 years (40%), followed by those aged 21–30 (32%) and 41–50 (28%). Regarding teaching experience, the majority have taught for 6–10 years (36%), while the least have over 16 years of experience (16%). This distribution suggests that most MST Mathematics graduates are in the early to mid</w:t>
      </w:r>
      <w:r w:rsidR="006A4A19">
        <w:rPr>
          <w:rFonts w:ascii="Arial" w:hAnsi="Arial" w:cs="Arial"/>
        </w:rPr>
        <w:t>-</w:t>
      </w:r>
      <w:r w:rsidR="006A4A19" w:rsidRPr="006A4A19">
        <w:rPr>
          <w:rFonts w:ascii="Arial" w:hAnsi="Arial" w:cs="Arial"/>
        </w:rPr>
        <w:lastRenderedPageBreak/>
        <w:t>stages</w:t>
      </w:r>
      <w:r w:rsidR="006A4A19">
        <w:rPr>
          <w:rFonts w:ascii="Arial" w:hAnsi="Arial" w:cs="Arial"/>
        </w:rPr>
        <w:t xml:space="preserve"> </w:t>
      </w:r>
      <w:r w:rsidR="006A4A19" w:rsidRPr="006A4A19">
        <w:rPr>
          <w:rFonts w:ascii="Arial" w:hAnsi="Arial" w:cs="Arial"/>
        </w:rPr>
        <w:t>of their teaching careers, where ongoing professional development may have significant influence.</w:t>
      </w:r>
      <w:r w:rsidR="007D2A37">
        <w:rPr>
          <w:rFonts w:ascii="Arial" w:hAnsi="Arial" w:cs="Arial"/>
        </w:rPr>
        <w:t xml:space="preserve"> </w:t>
      </w:r>
      <w:r w:rsidR="007D2A37" w:rsidRPr="007D2A37">
        <w:rPr>
          <w:rFonts w:ascii="Arial" w:hAnsi="Arial" w:cs="Arial"/>
        </w:rPr>
        <w:t>Gender-wise, a majority of the respondents were female (60%), while males comprised 40%. This distribution reflects the gender makeup of the MST Mathematics alumni who participated in the study.</w:t>
      </w:r>
    </w:p>
    <w:p w14:paraId="401DC7D1" w14:textId="77777777" w:rsidR="006A4A19" w:rsidRDefault="006A4A19" w:rsidP="00441B6F">
      <w:pPr>
        <w:pStyle w:val="Body"/>
        <w:spacing w:after="0"/>
        <w:rPr>
          <w:rFonts w:ascii="Arial" w:hAnsi="Arial" w:cs="Arial"/>
        </w:rPr>
      </w:pPr>
    </w:p>
    <w:p w14:paraId="2CE9165B" w14:textId="5AA0AADD" w:rsidR="009A6B8E" w:rsidRDefault="009A6B8E" w:rsidP="006A4A19">
      <w:pPr>
        <w:pStyle w:val="Body"/>
        <w:spacing w:after="0"/>
        <w:ind w:firstLine="720"/>
        <w:rPr>
          <w:rFonts w:ascii="Arial" w:hAnsi="Arial" w:cs="Arial"/>
        </w:rPr>
      </w:pPr>
      <w:r>
        <w:rPr>
          <w:rFonts w:ascii="Arial" w:hAnsi="Arial" w:cs="Arial"/>
        </w:rPr>
        <w:t xml:space="preserve">Table </w:t>
      </w:r>
      <w:r w:rsidR="006A4A19">
        <w:rPr>
          <w:rFonts w:ascii="Arial" w:hAnsi="Arial" w:cs="Arial"/>
        </w:rPr>
        <w:t>5</w:t>
      </w:r>
      <w:r>
        <w:rPr>
          <w:rFonts w:ascii="Arial" w:hAnsi="Arial" w:cs="Arial"/>
        </w:rPr>
        <w:t xml:space="preserve"> shows the</w:t>
      </w:r>
      <w:r w:rsidR="006A4A19">
        <w:rPr>
          <w:rFonts w:ascii="Arial" w:hAnsi="Arial" w:cs="Arial"/>
        </w:rPr>
        <w:t xml:space="preserve"> </w:t>
      </w:r>
      <w:r w:rsidR="006A4A19" w:rsidRPr="006A4A19">
        <w:rPr>
          <w:rFonts w:ascii="Arial" w:hAnsi="Arial" w:cs="Arial"/>
        </w:rPr>
        <w:t>ANOVA</w:t>
      </w:r>
      <w:r>
        <w:rPr>
          <w:rFonts w:ascii="Arial" w:hAnsi="Arial" w:cs="Arial"/>
        </w:rPr>
        <w:t xml:space="preserve"> result of a professional development when grouped according to age and years of teaching experience. </w:t>
      </w:r>
      <w:r w:rsidR="00AB69D9">
        <w:rPr>
          <w:rFonts w:ascii="Arial" w:hAnsi="Arial" w:cs="Arial"/>
        </w:rPr>
        <w:t>T</w:t>
      </w:r>
      <w:r w:rsidR="000E1FE9" w:rsidRPr="000E1FE9">
        <w:rPr>
          <w:rFonts w:ascii="Arial" w:hAnsi="Arial" w:cs="Arial"/>
        </w:rPr>
        <w:t xml:space="preserve">he results presented in Table </w:t>
      </w:r>
      <w:r w:rsidR="00AB69D9">
        <w:rPr>
          <w:rFonts w:ascii="Arial" w:hAnsi="Arial" w:cs="Arial"/>
        </w:rPr>
        <w:t>4</w:t>
      </w:r>
      <w:r w:rsidR="000E1FE9" w:rsidRPr="000E1FE9">
        <w:rPr>
          <w:rFonts w:ascii="Arial" w:hAnsi="Arial" w:cs="Arial"/>
        </w:rPr>
        <w:t xml:space="preserve"> indicate that there are no significant differences in professional development scores when grouped by age (</w:t>
      </w:r>
      <m:oMath>
        <m:r>
          <w:rPr>
            <w:rFonts w:ascii="Cambria Math" w:hAnsi="Cambria Math" w:cs="Arial"/>
          </w:rPr>
          <m:t>F(2, 22) = 0.148, P = .863</m:t>
        </m:r>
      </m:oMath>
      <w:r w:rsidR="000E1FE9" w:rsidRPr="000E1FE9">
        <w:rPr>
          <w:rFonts w:ascii="Arial" w:hAnsi="Arial" w:cs="Arial"/>
        </w:rPr>
        <w:t>) or years of teaching experience (</w:t>
      </w:r>
      <m:oMath>
        <m:r>
          <w:rPr>
            <w:rFonts w:ascii="Cambria Math" w:hAnsi="Cambria Math" w:cs="Arial"/>
          </w:rPr>
          <m:t>F(3, 21) = 0.13, P = .941</m:t>
        </m:r>
      </m:oMath>
      <w:r w:rsidR="000E1FE9" w:rsidRPr="000E1FE9">
        <w:rPr>
          <w:rFonts w:ascii="Arial" w:hAnsi="Arial" w:cs="Arial"/>
        </w:rPr>
        <w:t>). This suggests that professional development perceptions or engagement levels among MST Mathematics graduates are consistent regardless of their age or the length of their teaching careers</w:t>
      </w:r>
      <w:r w:rsidR="007441CB">
        <w:rPr>
          <w:rFonts w:ascii="Arial" w:hAnsi="Arial" w:cs="Arial"/>
        </w:rPr>
        <w:t xml:space="preserve"> Chit &amp; Ye</w:t>
      </w:r>
      <w:r w:rsidR="007441CB" w:rsidRPr="000E1FE9">
        <w:rPr>
          <w:rFonts w:ascii="Arial" w:hAnsi="Arial" w:cs="Arial"/>
        </w:rPr>
        <w:t xml:space="preserve"> (2017)</w:t>
      </w:r>
      <w:r w:rsidR="000E1FE9" w:rsidRPr="000E1FE9">
        <w:rPr>
          <w:rFonts w:ascii="Arial" w:hAnsi="Arial" w:cs="Arial"/>
        </w:rPr>
        <w:t xml:space="preserve">. Such findings support the argument that professional development needs tend to be broadly similar across different career stages and age groups. This aligns with </w:t>
      </w:r>
      <w:r w:rsidR="007B4CCB">
        <w:rPr>
          <w:rFonts w:ascii="Arial" w:hAnsi="Arial" w:cs="Arial"/>
        </w:rPr>
        <w:t xml:space="preserve">Kim et al. </w:t>
      </w:r>
      <w:r w:rsidR="000E1FE9" w:rsidRPr="000E1FE9">
        <w:rPr>
          <w:rFonts w:ascii="Arial" w:hAnsi="Arial" w:cs="Arial"/>
        </w:rPr>
        <w:t xml:space="preserve"> (20</w:t>
      </w:r>
      <w:r w:rsidR="007B4CCB">
        <w:rPr>
          <w:rFonts w:ascii="Arial" w:hAnsi="Arial" w:cs="Arial"/>
        </w:rPr>
        <w:t>23</w:t>
      </w:r>
      <w:r w:rsidR="000E1FE9" w:rsidRPr="000E1FE9">
        <w:rPr>
          <w:rFonts w:ascii="Arial" w:hAnsi="Arial" w:cs="Arial"/>
        </w:rPr>
        <w:t>), who noted that effective professional development should be inclusive and address universal instructional challenges rather than be limited by demographic factors such as age or experience.</w:t>
      </w:r>
    </w:p>
    <w:p w14:paraId="7C5E21CF" w14:textId="554AC66D" w:rsidR="002314A9" w:rsidRDefault="002314A9" w:rsidP="00441B6F">
      <w:pPr>
        <w:pStyle w:val="Body"/>
        <w:spacing w:after="0"/>
        <w:rPr>
          <w:rFonts w:ascii="Arial" w:hAnsi="Arial" w:cs="Arial"/>
        </w:rPr>
      </w:pPr>
    </w:p>
    <w:p w14:paraId="30AB1EB6" w14:textId="18E90520" w:rsidR="006A4A19" w:rsidRDefault="006A4A19" w:rsidP="00441B6F">
      <w:pPr>
        <w:pStyle w:val="Body"/>
        <w:spacing w:after="0"/>
        <w:rPr>
          <w:rFonts w:ascii="Arial" w:hAnsi="Arial" w:cs="Arial"/>
        </w:rPr>
      </w:pPr>
      <w:r>
        <w:rPr>
          <w:rFonts w:ascii="Arial" w:hAnsi="Arial" w:cs="Arial"/>
        </w:rPr>
        <w:t xml:space="preserve">Table 4. </w:t>
      </w:r>
      <w:r w:rsidRPr="006A4A19">
        <w:rPr>
          <w:rFonts w:ascii="Arial" w:hAnsi="Arial" w:cs="Arial"/>
        </w:rPr>
        <w:t>Distribution of Respondents by Age</w:t>
      </w:r>
      <w:r w:rsidR="007D2A37">
        <w:rPr>
          <w:rFonts w:ascii="Arial" w:hAnsi="Arial" w:cs="Arial"/>
        </w:rPr>
        <w:t>,</w:t>
      </w:r>
      <w:r w:rsidRPr="006A4A19">
        <w:rPr>
          <w:rFonts w:ascii="Arial" w:hAnsi="Arial" w:cs="Arial"/>
        </w:rPr>
        <w:t xml:space="preserve"> Teaching Experience</w:t>
      </w:r>
      <w:r w:rsidR="007D2A37">
        <w:rPr>
          <w:rFonts w:ascii="Arial" w:hAnsi="Arial" w:cs="Arial"/>
        </w:rPr>
        <w:t>, and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1973"/>
        <w:gridCol w:w="1483"/>
        <w:gridCol w:w="1661"/>
      </w:tblGrid>
      <w:tr w:rsidR="006A4A19" w:rsidRPr="00E41983" w14:paraId="44D16028" w14:textId="77777777" w:rsidTr="006A4A19">
        <w:tc>
          <w:tcPr>
            <w:tcW w:w="0" w:type="auto"/>
            <w:tcBorders>
              <w:top w:val="single" w:sz="4" w:space="0" w:color="auto"/>
              <w:bottom w:val="single" w:sz="4" w:space="0" w:color="auto"/>
            </w:tcBorders>
            <w:hideMark/>
          </w:tcPr>
          <w:p w14:paraId="258CB4CD" w14:textId="77777777" w:rsidR="006A4A19" w:rsidRPr="00E41983" w:rsidRDefault="006A4A19" w:rsidP="00C00B5B">
            <w:pPr>
              <w:rPr>
                <w:rFonts w:ascii="Arial" w:eastAsia="Times New Roman" w:hAnsi="Arial" w:cs="Arial"/>
                <w:b/>
                <w:bCs/>
                <w:sz w:val="20"/>
                <w:szCs w:val="20"/>
                <w:lang w:eastAsia="en-PH"/>
              </w:rPr>
            </w:pPr>
            <w:r w:rsidRPr="00E41983">
              <w:rPr>
                <w:rFonts w:ascii="Arial" w:eastAsia="Times New Roman" w:hAnsi="Arial" w:cs="Arial"/>
                <w:b/>
                <w:bCs/>
                <w:sz w:val="20"/>
                <w:szCs w:val="20"/>
                <w:lang w:eastAsia="en-PH"/>
              </w:rPr>
              <w:t>Profile Variable</w:t>
            </w:r>
          </w:p>
        </w:tc>
        <w:tc>
          <w:tcPr>
            <w:tcW w:w="0" w:type="auto"/>
            <w:tcBorders>
              <w:top w:val="single" w:sz="4" w:space="0" w:color="auto"/>
              <w:bottom w:val="single" w:sz="4" w:space="0" w:color="auto"/>
            </w:tcBorders>
            <w:hideMark/>
          </w:tcPr>
          <w:p w14:paraId="2200E082" w14:textId="77777777" w:rsidR="006A4A19" w:rsidRPr="00E41983" w:rsidRDefault="006A4A19" w:rsidP="00C00B5B">
            <w:pPr>
              <w:jc w:val="center"/>
              <w:rPr>
                <w:rFonts w:ascii="Arial" w:eastAsia="Times New Roman" w:hAnsi="Arial" w:cs="Arial"/>
                <w:b/>
                <w:bCs/>
                <w:sz w:val="20"/>
                <w:szCs w:val="20"/>
                <w:lang w:eastAsia="en-PH"/>
              </w:rPr>
            </w:pPr>
            <w:r w:rsidRPr="00E41983">
              <w:rPr>
                <w:rFonts w:ascii="Arial" w:eastAsia="Times New Roman" w:hAnsi="Arial" w:cs="Arial"/>
                <w:b/>
                <w:bCs/>
                <w:sz w:val="20"/>
                <w:szCs w:val="20"/>
                <w:lang w:eastAsia="en-PH"/>
              </w:rPr>
              <w:t>Category</w:t>
            </w:r>
          </w:p>
        </w:tc>
        <w:tc>
          <w:tcPr>
            <w:tcW w:w="0" w:type="auto"/>
            <w:tcBorders>
              <w:top w:val="single" w:sz="4" w:space="0" w:color="auto"/>
              <w:bottom w:val="single" w:sz="4" w:space="0" w:color="auto"/>
            </w:tcBorders>
            <w:hideMark/>
          </w:tcPr>
          <w:p w14:paraId="16B1B25F" w14:textId="77777777" w:rsidR="006A4A19" w:rsidRPr="00E41983" w:rsidRDefault="006A4A19" w:rsidP="00C00B5B">
            <w:pPr>
              <w:jc w:val="center"/>
              <w:rPr>
                <w:rFonts w:ascii="Arial" w:eastAsia="Times New Roman" w:hAnsi="Arial" w:cs="Arial"/>
                <w:b/>
                <w:bCs/>
                <w:sz w:val="20"/>
                <w:szCs w:val="20"/>
                <w:lang w:eastAsia="en-PH"/>
              </w:rPr>
            </w:pPr>
            <w:r w:rsidRPr="00E41983">
              <w:rPr>
                <w:rFonts w:ascii="Arial" w:eastAsia="Times New Roman" w:hAnsi="Arial" w:cs="Arial"/>
                <w:b/>
                <w:bCs/>
                <w:sz w:val="20"/>
                <w:szCs w:val="20"/>
                <w:lang w:eastAsia="en-PH"/>
              </w:rPr>
              <w:t>Frequency (f)</w:t>
            </w:r>
          </w:p>
        </w:tc>
        <w:tc>
          <w:tcPr>
            <w:tcW w:w="0" w:type="auto"/>
            <w:tcBorders>
              <w:top w:val="single" w:sz="4" w:space="0" w:color="auto"/>
              <w:bottom w:val="single" w:sz="4" w:space="0" w:color="auto"/>
            </w:tcBorders>
            <w:hideMark/>
          </w:tcPr>
          <w:p w14:paraId="3A14A381" w14:textId="77777777" w:rsidR="006A4A19" w:rsidRPr="00E41983" w:rsidRDefault="006A4A19" w:rsidP="00C00B5B">
            <w:pPr>
              <w:jc w:val="center"/>
              <w:rPr>
                <w:rFonts w:ascii="Arial" w:eastAsia="Times New Roman" w:hAnsi="Arial" w:cs="Arial"/>
                <w:b/>
                <w:bCs/>
                <w:sz w:val="20"/>
                <w:szCs w:val="20"/>
                <w:lang w:eastAsia="en-PH"/>
              </w:rPr>
            </w:pPr>
            <w:r w:rsidRPr="00E41983">
              <w:rPr>
                <w:rFonts w:ascii="Arial" w:eastAsia="Times New Roman" w:hAnsi="Arial" w:cs="Arial"/>
                <w:b/>
                <w:bCs/>
                <w:sz w:val="20"/>
                <w:szCs w:val="20"/>
                <w:lang w:eastAsia="en-PH"/>
              </w:rPr>
              <w:t>Percentage (%)</w:t>
            </w:r>
          </w:p>
        </w:tc>
      </w:tr>
      <w:tr w:rsidR="006A4A19" w:rsidRPr="00E41983" w14:paraId="40B5B54F" w14:textId="77777777" w:rsidTr="006A4A19">
        <w:tc>
          <w:tcPr>
            <w:tcW w:w="0" w:type="auto"/>
            <w:tcBorders>
              <w:top w:val="single" w:sz="4" w:space="0" w:color="auto"/>
            </w:tcBorders>
            <w:hideMark/>
          </w:tcPr>
          <w:p w14:paraId="2F62C5A2" w14:textId="77777777" w:rsidR="006A4A19" w:rsidRPr="00E41983" w:rsidRDefault="006A4A19" w:rsidP="00C00B5B">
            <w:pPr>
              <w:rPr>
                <w:rFonts w:ascii="Arial" w:eastAsia="Times New Roman" w:hAnsi="Arial" w:cs="Arial"/>
                <w:sz w:val="20"/>
                <w:szCs w:val="20"/>
                <w:lang w:eastAsia="en-PH"/>
              </w:rPr>
            </w:pPr>
            <w:r w:rsidRPr="00E41983">
              <w:rPr>
                <w:rFonts w:ascii="Arial" w:eastAsia="Times New Roman" w:hAnsi="Arial" w:cs="Arial"/>
                <w:b/>
                <w:bCs/>
                <w:sz w:val="20"/>
                <w:szCs w:val="20"/>
                <w:lang w:eastAsia="en-PH"/>
              </w:rPr>
              <w:t>Age</w:t>
            </w:r>
          </w:p>
        </w:tc>
        <w:tc>
          <w:tcPr>
            <w:tcW w:w="0" w:type="auto"/>
            <w:tcBorders>
              <w:top w:val="single" w:sz="4" w:space="0" w:color="auto"/>
            </w:tcBorders>
            <w:hideMark/>
          </w:tcPr>
          <w:p w14:paraId="7B44AF4A"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21–30 years old</w:t>
            </w:r>
          </w:p>
        </w:tc>
        <w:tc>
          <w:tcPr>
            <w:tcW w:w="0" w:type="auto"/>
            <w:tcBorders>
              <w:top w:val="single" w:sz="4" w:space="0" w:color="auto"/>
            </w:tcBorders>
            <w:hideMark/>
          </w:tcPr>
          <w:p w14:paraId="1505A91D"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8</w:t>
            </w:r>
          </w:p>
        </w:tc>
        <w:tc>
          <w:tcPr>
            <w:tcW w:w="0" w:type="auto"/>
            <w:tcBorders>
              <w:top w:val="single" w:sz="4" w:space="0" w:color="auto"/>
            </w:tcBorders>
            <w:hideMark/>
          </w:tcPr>
          <w:p w14:paraId="15358180"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32%</w:t>
            </w:r>
          </w:p>
        </w:tc>
      </w:tr>
      <w:tr w:rsidR="006A4A19" w:rsidRPr="00E41983" w14:paraId="0A41A386" w14:textId="77777777" w:rsidTr="006A4A19">
        <w:tc>
          <w:tcPr>
            <w:tcW w:w="0" w:type="auto"/>
            <w:hideMark/>
          </w:tcPr>
          <w:p w14:paraId="15F97F2E" w14:textId="77777777" w:rsidR="006A4A19" w:rsidRPr="00E41983" w:rsidRDefault="006A4A19" w:rsidP="00C00B5B">
            <w:pPr>
              <w:rPr>
                <w:rFonts w:ascii="Arial" w:eastAsia="Times New Roman" w:hAnsi="Arial" w:cs="Arial"/>
                <w:sz w:val="20"/>
                <w:szCs w:val="20"/>
                <w:lang w:eastAsia="en-PH"/>
              </w:rPr>
            </w:pPr>
          </w:p>
        </w:tc>
        <w:tc>
          <w:tcPr>
            <w:tcW w:w="0" w:type="auto"/>
            <w:hideMark/>
          </w:tcPr>
          <w:p w14:paraId="1F90B545"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31–40 years old</w:t>
            </w:r>
          </w:p>
        </w:tc>
        <w:tc>
          <w:tcPr>
            <w:tcW w:w="0" w:type="auto"/>
            <w:hideMark/>
          </w:tcPr>
          <w:p w14:paraId="0D86DC54"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10</w:t>
            </w:r>
          </w:p>
        </w:tc>
        <w:tc>
          <w:tcPr>
            <w:tcW w:w="0" w:type="auto"/>
            <w:hideMark/>
          </w:tcPr>
          <w:p w14:paraId="09BF4834"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40%</w:t>
            </w:r>
          </w:p>
        </w:tc>
      </w:tr>
      <w:tr w:rsidR="006A4A19" w:rsidRPr="00E41983" w14:paraId="450BD353" w14:textId="77777777" w:rsidTr="007D2A37">
        <w:tc>
          <w:tcPr>
            <w:tcW w:w="0" w:type="auto"/>
            <w:tcBorders>
              <w:bottom w:val="single" w:sz="4" w:space="0" w:color="auto"/>
            </w:tcBorders>
            <w:hideMark/>
          </w:tcPr>
          <w:p w14:paraId="132AFABD" w14:textId="77777777" w:rsidR="006A4A19" w:rsidRPr="00E41983" w:rsidRDefault="006A4A19" w:rsidP="00C00B5B">
            <w:pPr>
              <w:rPr>
                <w:rFonts w:ascii="Arial" w:eastAsia="Times New Roman" w:hAnsi="Arial" w:cs="Arial"/>
                <w:sz w:val="20"/>
                <w:szCs w:val="20"/>
                <w:lang w:eastAsia="en-PH"/>
              </w:rPr>
            </w:pPr>
          </w:p>
        </w:tc>
        <w:tc>
          <w:tcPr>
            <w:tcW w:w="0" w:type="auto"/>
            <w:tcBorders>
              <w:bottom w:val="single" w:sz="4" w:space="0" w:color="auto"/>
            </w:tcBorders>
            <w:hideMark/>
          </w:tcPr>
          <w:p w14:paraId="72E1DAD5"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41–50 years old</w:t>
            </w:r>
          </w:p>
        </w:tc>
        <w:tc>
          <w:tcPr>
            <w:tcW w:w="0" w:type="auto"/>
            <w:tcBorders>
              <w:bottom w:val="single" w:sz="4" w:space="0" w:color="auto"/>
            </w:tcBorders>
            <w:hideMark/>
          </w:tcPr>
          <w:p w14:paraId="5D9503BB"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7</w:t>
            </w:r>
          </w:p>
        </w:tc>
        <w:tc>
          <w:tcPr>
            <w:tcW w:w="0" w:type="auto"/>
            <w:tcBorders>
              <w:bottom w:val="single" w:sz="4" w:space="0" w:color="auto"/>
            </w:tcBorders>
            <w:hideMark/>
          </w:tcPr>
          <w:p w14:paraId="38BCFB92"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28%</w:t>
            </w:r>
          </w:p>
        </w:tc>
      </w:tr>
      <w:tr w:rsidR="006A4A19" w:rsidRPr="00E41983" w14:paraId="00D60B9F" w14:textId="77777777" w:rsidTr="007D2A37">
        <w:tc>
          <w:tcPr>
            <w:tcW w:w="0" w:type="auto"/>
            <w:tcBorders>
              <w:top w:val="single" w:sz="4" w:space="0" w:color="auto"/>
              <w:bottom w:val="single" w:sz="4" w:space="0" w:color="auto"/>
            </w:tcBorders>
            <w:hideMark/>
          </w:tcPr>
          <w:p w14:paraId="71B6F556" w14:textId="77777777" w:rsidR="006A4A19" w:rsidRPr="00E41983" w:rsidRDefault="006A4A19" w:rsidP="00C00B5B">
            <w:pPr>
              <w:rPr>
                <w:rFonts w:ascii="Arial" w:eastAsia="Times New Roman" w:hAnsi="Arial" w:cs="Arial"/>
                <w:sz w:val="20"/>
                <w:szCs w:val="20"/>
                <w:lang w:eastAsia="en-PH"/>
              </w:rPr>
            </w:pPr>
            <w:r w:rsidRPr="00E41983">
              <w:rPr>
                <w:rFonts w:ascii="Arial" w:eastAsia="Times New Roman" w:hAnsi="Arial" w:cs="Arial"/>
                <w:b/>
                <w:bCs/>
                <w:sz w:val="20"/>
                <w:szCs w:val="20"/>
                <w:lang w:eastAsia="en-PH"/>
              </w:rPr>
              <w:t>Total</w:t>
            </w:r>
          </w:p>
        </w:tc>
        <w:tc>
          <w:tcPr>
            <w:tcW w:w="0" w:type="auto"/>
            <w:tcBorders>
              <w:top w:val="single" w:sz="4" w:space="0" w:color="auto"/>
              <w:bottom w:val="single" w:sz="4" w:space="0" w:color="auto"/>
            </w:tcBorders>
            <w:hideMark/>
          </w:tcPr>
          <w:p w14:paraId="12EECA73" w14:textId="77777777" w:rsidR="006A4A19" w:rsidRPr="00E41983" w:rsidRDefault="006A4A19" w:rsidP="00C00B5B">
            <w:pPr>
              <w:jc w:val="center"/>
              <w:rPr>
                <w:rFonts w:ascii="Arial" w:eastAsia="Times New Roman" w:hAnsi="Arial" w:cs="Arial"/>
                <w:sz w:val="20"/>
                <w:szCs w:val="20"/>
                <w:lang w:eastAsia="en-PH"/>
              </w:rPr>
            </w:pPr>
          </w:p>
        </w:tc>
        <w:tc>
          <w:tcPr>
            <w:tcW w:w="0" w:type="auto"/>
            <w:tcBorders>
              <w:top w:val="single" w:sz="4" w:space="0" w:color="auto"/>
              <w:bottom w:val="single" w:sz="4" w:space="0" w:color="auto"/>
            </w:tcBorders>
            <w:hideMark/>
          </w:tcPr>
          <w:p w14:paraId="6DD947F6"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25</w:t>
            </w:r>
          </w:p>
        </w:tc>
        <w:tc>
          <w:tcPr>
            <w:tcW w:w="0" w:type="auto"/>
            <w:tcBorders>
              <w:top w:val="single" w:sz="4" w:space="0" w:color="auto"/>
              <w:bottom w:val="single" w:sz="4" w:space="0" w:color="auto"/>
            </w:tcBorders>
            <w:hideMark/>
          </w:tcPr>
          <w:p w14:paraId="63937A7F" w14:textId="77777777" w:rsidR="006A4A19"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100%</w:t>
            </w:r>
          </w:p>
          <w:p w14:paraId="43AA8C52" w14:textId="44253C9F" w:rsidR="007D2A37" w:rsidRPr="00E41983" w:rsidRDefault="007D2A37" w:rsidP="00C00B5B">
            <w:pPr>
              <w:jc w:val="center"/>
              <w:rPr>
                <w:rFonts w:ascii="Arial" w:eastAsia="Times New Roman" w:hAnsi="Arial" w:cs="Arial"/>
                <w:sz w:val="20"/>
                <w:szCs w:val="20"/>
                <w:lang w:eastAsia="en-PH"/>
              </w:rPr>
            </w:pPr>
          </w:p>
        </w:tc>
      </w:tr>
      <w:tr w:rsidR="006A4A19" w:rsidRPr="00E41983" w14:paraId="4AC2B85E" w14:textId="77777777" w:rsidTr="007D2A37">
        <w:tc>
          <w:tcPr>
            <w:tcW w:w="0" w:type="auto"/>
            <w:tcBorders>
              <w:top w:val="single" w:sz="4" w:space="0" w:color="auto"/>
            </w:tcBorders>
            <w:hideMark/>
          </w:tcPr>
          <w:p w14:paraId="2E888078" w14:textId="77777777" w:rsidR="006A4A19" w:rsidRPr="00E41983" w:rsidRDefault="006A4A19" w:rsidP="00C00B5B">
            <w:pPr>
              <w:rPr>
                <w:rFonts w:ascii="Arial" w:eastAsia="Times New Roman" w:hAnsi="Arial" w:cs="Arial"/>
                <w:sz w:val="20"/>
                <w:szCs w:val="20"/>
                <w:lang w:eastAsia="en-PH"/>
              </w:rPr>
            </w:pPr>
            <w:r w:rsidRPr="00E41983">
              <w:rPr>
                <w:rFonts w:ascii="Arial" w:eastAsia="Times New Roman" w:hAnsi="Arial" w:cs="Arial"/>
                <w:b/>
                <w:bCs/>
                <w:sz w:val="20"/>
                <w:szCs w:val="20"/>
                <w:lang w:eastAsia="en-PH"/>
              </w:rPr>
              <w:t>Years of Teaching Experience</w:t>
            </w:r>
          </w:p>
        </w:tc>
        <w:tc>
          <w:tcPr>
            <w:tcW w:w="0" w:type="auto"/>
            <w:tcBorders>
              <w:top w:val="single" w:sz="4" w:space="0" w:color="auto"/>
            </w:tcBorders>
            <w:hideMark/>
          </w:tcPr>
          <w:p w14:paraId="45B54DCB"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1–5 years</w:t>
            </w:r>
          </w:p>
        </w:tc>
        <w:tc>
          <w:tcPr>
            <w:tcW w:w="0" w:type="auto"/>
            <w:tcBorders>
              <w:top w:val="single" w:sz="4" w:space="0" w:color="auto"/>
            </w:tcBorders>
            <w:hideMark/>
          </w:tcPr>
          <w:p w14:paraId="57762DB0"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6</w:t>
            </w:r>
          </w:p>
        </w:tc>
        <w:tc>
          <w:tcPr>
            <w:tcW w:w="0" w:type="auto"/>
            <w:tcBorders>
              <w:top w:val="single" w:sz="4" w:space="0" w:color="auto"/>
            </w:tcBorders>
            <w:hideMark/>
          </w:tcPr>
          <w:p w14:paraId="6BC39F4A"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24%</w:t>
            </w:r>
          </w:p>
        </w:tc>
      </w:tr>
      <w:tr w:rsidR="006A4A19" w:rsidRPr="00E41983" w14:paraId="3FBB3EFE" w14:textId="77777777" w:rsidTr="006A4A19">
        <w:tc>
          <w:tcPr>
            <w:tcW w:w="0" w:type="auto"/>
            <w:hideMark/>
          </w:tcPr>
          <w:p w14:paraId="2B27C9F0" w14:textId="77777777" w:rsidR="006A4A19" w:rsidRPr="00E41983" w:rsidRDefault="006A4A19" w:rsidP="00C00B5B">
            <w:pPr>
              <w:rPr>
                <w:rFonts w:ascii="Arial" w:eastAsia="Times New Roman" w:hAnsi="Arial" w:cs="Arial"/>
                <w:sz w:val="20"/>
                <w:szCs w:val="20"/>
                <w:lang w:eastAsia="en-PH"/>
              </w:rPr>
            </w:pPr>
          </w:p>
        </w:tc>
        <w:tc>
          <w:tcPr>
            <w:tcW w:w="0" w:type="auto"/>
            <w:hideMark/>
          </w:tcPr>
          <w:p w14:paraId="307AC339"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6–10 years</w:t>
            </w:r>
          </w:p>
        </w:tc>
        <w:tc>
          <w:tcPr>
            <w:tcW w:w="0" w:type="auto"/>
            <w:hideMark/>
          </w:tcPr>
          <w:p w14:paraId="70A01CAC"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9</w:t>
            </w:r>
          </w:p>
        </w:tc>
        <w:tc>
          <w:tcPr>
            <w:tcW w:w="0" w:type="auto"/>
            <w:hideMark/>
          </w:tcPr>
          <w:p w14:paraId="4978F0D0"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36%</w:t>
            </w:r>
          </w:p>
        </w:tc>
      </w:tr>
      <w:tr w:rsidR="006A4A19" w:rsidRPr="00E41983" w14:paraId="7F077D62" w14:textId="77777777" w:rsidTr="006A4A19">
        <w:tc>
          <w:tcPr>
            <w:tcW w:w="0" w:type="auto"/>
            <w:hideMark/>
          </w:tcPr>
          <w:p w14:paraId="0D6C718A" w14:textId="77777777" w:rsidR="006A4A19" w:rsidRPr="00E41983" w:rsidRDefault="006A4A19" w:rsidP="00C00B5B">
            <w:pPr>
              <w:rPr>
                <w:rFonts w:ascii="Arial" w:eastAsia="Times New Roman" w:hAnsi="Arial" w:cs="Arial"/>
                <w:sz w:val="20"/>
                <w:szCs w:val="20"/>
                <w:lang w:eastAsia="en-PH"/>
              </w:rPr>
            </w:pPr>
          </w:p>
        </w:tc>
        <w:tc>
          <w:tcPr>
            <w:tcW w:w="0" w:type="auto"/>
            <w:hideMark/>
          </w:tcPr>
          <w:p w14:paraId="144C77C1"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11–15 years</w:t>
            </w:r>
          </w:p>
        </w:tc>
        <w:tc>
          <w:tcPr>
            <w:tcW w:w="0" w:type="auto"/>
            <w:hideMark/>
          </w:tcPr>
          <w:p w14:paraId="549AD891"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6</w:t>
            </w:r>
          </w:p>
        </w:tc>
        <w:tc>
          <w:tcPr>
            <w:tcW w:w="0" w:type="auto"/>
            <w:hideMark/>
          </w:tcPr>
          <w:p w14:paraId="53730805"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24%</w:t>
            </w:r>
          </w:p>
        </w:tc>
      </w:tr>
      <w:tr w:rsidR="006A4A19" w:rsidRPr="00E41983" w14:paraId="273DC813" w14:textId="77777777" w:rsidTr="007D2A37">
        <w:tc>
          <w:tcPr>
            <w:tcW w:w="0" w:type="auto"/>
            <w:tcBorders>
              <w:bottom w:val="single" w:sz="4" w:space="0" w:color="auto"/>
            </w:tcBorders>
            <w:hideMark/>
          </w:tcPr>
          <w:p w14:paraId="5D620313" w14:textId="77777777" w:rsidR="006A4A19" w:rsidRPr="00E41983" w:rsidRDefault="006A4A19" w:rsidP="00C00B5B">
            <w:pPr>
              <w:rPr>
                <w:rFonts w:ascii="Arial" w:eastAsia="Times New Roman" w:hAnsi="Arial" w:cs="Arial"/>
                <w:sz w:val="20"/>
                <w:szCs w:val="20"/>
                <w:lang w:eastAsia="en-PH"/>
              </w:rPr>
            </w:pPr>
          </w:p>
        </w:tc>
        <w:tc>
          <w:tcPr>
            <w:tcW w:w="0" w:type="auto"/>
            <w:tcBorders>
              <w:bottom w:val="single" w:sz="4" w:space="0" w:color="auto"/>
            </w:tcBorders>
            <w:hideMark/>
          </w:tcPr>
          <w:p w14:paraId="141CCE17"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16 years and above</w:t>
            </w:r>
          </w:p>
        </w:tc>
        <w:tc>
          <w:tcPr>
            <w:tcW w:w="0" w:type="auto"/>
            <w:tcBorders>
              <w:bottom w:val="single" w:sz="4" w:space="0" w:color="auto"/>
            </w:tcBorders>
            <w:hideMark/>
          </w:tcPr>
          <w:p w14:paraId="301B0832"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4</w:t>
            </w:r>
          </w:p>
        </w:tc>
        <w:tc>
          <w:tcPr>
            <w:tcW w:w="0" w:type="auto"/>
            <w:tcBorders>
              <w:bottom w:val="single" w:sz="4" w:space="0" w:color="auto"/>
            </w:tcBorders>
            <w:hideMark/>
          </w:tcPr>
          <w:p w14:paraId="181636B7" w14:textId="77777777" w:rsidR="006A4A19" w:rsidRPr="00E41983" w:rsidRDefault="006A4A19" w:rsidP="00C00B5B">
            <w:pPr>
              <w:jc w:val="center"/>
              <w:rPr>
                <w:rFonts w:ascii="Arial" w:eastAsia="Times New Roman" w:hAnsi="Arial" w:cs="Arial"/>
                <w:sz w:val="20"/>
                <w:szCs w:val="20"/>
                <w:lang w:eastAsia="en-PH"/>
              </w:rPr>
            </w:pPr>
            <w:r w:rsidRPr="00E41983">
              <w:rPr>
                <w:rFonts w:ascii="Arial" w:eastAsia="Times New Roman" w:hAnsi="Arial" w:cs="Arial"/>
                <w:sz w:val="20"/>
                <w:szCs w:val="20"/>
                <w:lang w:eastAsia="en-PH"/>
              </w:rPr>
              <w:t>16%</w:t>
            </w:r>
          </w:p>
        </w:tc>
      </w:tr>
      <w:tr w:rsidR="006A4A19" w:rsidRPr="00E41983" w14:paraId="08780532" w14:textId="77777777" w:rsidTr="007D2A37">
        <w:tc>
          <w:tcPr>
            <w:tcW w:w="0" w:type="auto"/>
            <w:tcBorders>
              <w:top w:val="single" w:sz="4" w:space="0" w:color="auto"/>
              <w:bottom w:val="single" w:sz="4" w:space="0" w:color="auto"/>
            </w:tcBorders>
            <w:hideMark/>
          </w:tcPr>
          <w:p w14:paraId="08314038" w14:textId="77777777" w:rsidR="006A4A19" w:rsidRPr="00E41983" w:rsidRDefault="006A4A19" w:rsidP="00C00B5B">
            <w:pPr>
              <w:rPr>
                <w:rFonts w:ascii="Arial" w:eastAsia="Times New Roman" w:hAnsi="Arial" w:cs="Arial"/>
                <w:sz w:val="20"/>
                <w:szCs w:val="20"/>
                <w:lang w:eastAsia="en-PH"/>
              </w:rPr>
            </w:pPr>
            <w:r w:rsidRPr="00E41983">
              <w:rPr>
                <w:rFonts w:ascii="Arial" w:eastAsia="Times New Roman" w:hAnsi="Arial" w:cs="Arial"/>
                <w:b/>
                <w:bCs/>
                <w:sz w:val="20"/>
                <w:szCs w:val="20"/>
                <w:lang w:eastAsia="en-PH"/>
              </w:rPr>
              <w:t>Total</w:t>
            </w:r>
          </w:p>
        </w:tc>
        <w:tc>
          <w:tcPr>
            <w:tcW w:w="0" w:type="auto"/>
            <w:tcBorders>
              <w:top w:val="single" w:sz="4" w:space="0" w:color="auto"/>
              <w:bottom w:val="single" w:sz="4" w:space="0" w:color="auto"/>
            </w:tcBorders>
            <w:hideMark/>
          </w:tcPr>
          <w:p w14:paraId="64796A7A" w14:textId="77777777" w:rsidR="006A4A19" w:rsidRPr="00E41983" w:rsidRDefault="006A4A19" w:rsidP="00C00B5B">
            <w:pPr>
              <w:jc w:val="center"/>
              <w:rPr>
                <w:rFonts w:ascii="Arial" w:eastAsia="Times New Roman" w:hAnsi="Arial" w:cs="Arial"/>
                <w:b/>
                <w:bCs/>
                <w:sz w:val="20"/>
                <w:szCs w:val="20"/>
                <w:lang w:eastAsia="en-PH"/>
              </w:rPr>
            </w:pPr>
          </w:p>
        </w:tc>
        <w:tc>
          <w:tcPr>
            <w:tcW w:w="0" w:type="auto"/>
            <w:tcBorders>
              <w:top w:val="single" w:sz="4" w:space="0" w:color="auto"/>
              <w:bottom w:val="single" w:sz="4" w:space="0" w:color="auto"/>
            </w:tcBorders>
            <w:hideMark/>
          </w:tcPr>
          <w:p w14:paraId="20F6A4C3" w14:textId="77777777" w:rsidR="006A4A19" w:rsidRPr="00E41983" w:rsidRDefault="006A4A19" w:rsidP="00C00B5B">
            <w:pPr>
              <w:jc w:val="center"/>
              <w:rPr>
                <w:rFonts w:ascii="Arial" w:eastAsia="Times New Roman" w:hAnsi="Arial" w:cs="Arial"/>
                <w:b/>
                <w:bCs/>
                <w:sz w:val="20"/>
                <w:szCs w:val="20"/>
                <w:lang w:eastAsia="en-PH"/>
              </w:rPr>
            </w:pPr>
            <w:r w:rsidRPr="00E41983">
              <w:rPr>
                <w:rFonts w:ascii="Arial" w:eastAsia="Times New Roman" w:hAnsi="Arial" w:cs="Arial"/>
                <w:b/>
                <w:bCs/>
                <w:sz w:val="20"/>
                <w:szCs w:val="20"/>
                <w:lang w:eastAsia="en-PH"/>
              </w:rPr>
              <w:t>25</w:t>
            </w:r>
          </w:p>
        </w:tc>
        <w:tc>
          <w:tcPr>
            <w:tcW w:w="0" w:type="auto"/>
            <w:tcBorders>
              <w:top w:val="single" w:sz="4" w:space="0" w:color="auto"/>
              <w:bottom w:val="single" w:sz="4" w:space="0" w:color="auto"/>
            </w:tcBorders>
            <w:hideMark/>
          </w:tcPr>
          <w:p w14:paraId="311B8988" w14:textId="77777777" w:rsidR="006A4A19" w:rsidRPr="00E41983" w:rsidRDefault="006A4A19" w:rsidP="00C00B5B">
            <w:pPr>
              <w:jc w:val="center"/>
              <w:rPr>
                <w:rFonts w:ascii="Arial" w:eastAsia="Times New Roman" w:hAnsi="Arial" w:cs="Arial"/>
                <w:b/>
                <w:bCs/>
                <w:sz w:val="20"/>
                <w:szCs w:val="20"/>
                <w:lang w:eastAsia="en-PH"/>
              </w:rPr>
            </w:pPr>
            <w:r w:rsidRPr="00E41983">
              <w:rPr>
                <w:rFonts w:ascii="Arial" w:eastAsia="Times New Roman" w:hAnsi="Arial" w:cs="Arial"/>
                <w:b/>
                <w:bCs/>
                <w:sz w:val="20"/>
                <w:szCs w:val="20"/>
                <w:lang w:eastAsia="en-PH"/>
              </w:rPr>
              <w:t>100%</w:t>
            </w:r>
          </w:p>
        </w:tc>
      </w:tr>
      <w:tr w:rsidR="007D2A37" w:rsidRPr="00E41983" w14:paraId="79160040" w14:textId="77777777" w:rsidTr="007D2A37">
        <w:tc>
          <w:tcPr>
            <w:tcW w:w="0" w:type="auto"/>
            <w:tcBorders>
              <w:top w:val="single" w:sz="4" w:space="0" w:color="auto"/>
            </w:tcBorders>
          </w:tcPr>
          <w:p w14:paraId="5537E648" w14:textId="10B14D4B" w:rsidR="007D2A37" w:rsidRPr="00E41983" w:rsidRDefault="007D2A37" w:rsidP="00C00B5B">
            <w:pPr>
              <w:rPr>
                <w:rFonts w:ascii="Arial" w:hAnsi="Arial" w:cs="Arial"/>
                <w:b/>
                <w:bCs/>
                <w:lang w:eastAsia="en-PH"/>
              </w:rPr>
            </w:pPr>
            <w:r>
              <w:rPr>
                <w:rFonts w:ascii="Arial" w:hAnsi="Arial" w:cs="Arial"/>
                <w:b/>
                <w:bCs/>
                <w:lang w:eastAsia="en-PH"/>
              </w:rPr>
              <w:t>Gender</w:t>
            </w:r>
          </w:p>
        </w:tc>
        <w:tc>
          <w:tcPr>
            <w:tcW w:w="0" w:type="auto"/>
            <w:tcBorders>
              <w:top w:val="single" w:sz="4" w:space="0" w:color="auto"/>
            </w:tcBorders>
          </w:tcPr>
          <w:p w14:paraId="5C8A3ECE" w14:textId="191C6920" w:rsidR="007D2A37" w:rsidRPr="007D2A37" w:rsidRDefault="007D2A37" w:rsidP="00C00B5B">
            <w:pPr>
              <w:jc w:val="center"/>
              <w:rPr>
                <w:rFonts w:ascii="Arial" w:hAnsi="Arial" w:cs="Arial"/>
                <w:lang w:eastAsia="en-PH"/>
              </w:rPr>
            </w:pPr>
            <w:r>
              <w:rPr>
                <w:rFonts w:ascii="Arial" w:hAnsi="Arial" w:cs="Arial"/>
                <w:lang w:eastAsia="en-PH"/>
              </w:rPr>
              <w:t>Male</w:t>
            </w:r>
          </w:p>
        </w:tc>
        <w:tc>
          <w:tcPr>
            <w:tcW w:w="0" w:type="auto"/>
            <w:tcBorders>
              <w:top w:val="single" w:sz="4" w:space="0" w:color="auto"/>
            </w:tcBorders>
          </w:tcPr>
          <w:p w14:paraId="3E985F32" w14:textId="2815F102" w:rsidR="007D2A37" w:rsidRPr="007D2A37" w:rsidRDefault="007D2A37" w:rsidP="00C00B5B">
            <w:pPr>
              <w:jc w:val="center"/>
              <w:rPr>
                <w:rFonts w:ascii="Arial" w:hAnsi="Arial" w:cs="Arial"/>
                <w:lang w:eastAsia="en-PH"/>
              </w:rPr>
            </w:pPr>
            <w:r w:rsidRPr="007D2A37">
              <w:rPr>
                <w:rFonts w:ascii="Arial" w:hAnsi="Arial" w:cs="Arial"/>
                <w:lang w:eastAsia="en-PH"/>
              </w:rPr>
              <w:t>10</w:t>
            </w:r>
          </w:p>
        </w:tc>
        <w:tc>
          <w:tcPr>
            <w:tcW w:w="0" w:type="auto"/>
            <w:tcBorders>
              <w:top w:val="single" w:sz="4" w:space="0" w:color="auto"/>
            </w:tcBorders>
          </w:tcPr>
          <w:p w14:paraId="7688CC64" w14:textId="6C402AC7" w:rsidR="007D2A37" w:rsidRPr="007D2A37" w:rsidRDefault="007D2A37" w:rsidP="00C00B5B">
            <w:pPr>
              <w:jc w:val="center"/>
              <w:rPr>
                <w:rFonts w:ascii="Arial" w:hAnsi="Arial" w:cs="Arial"/>
                <w:lang w:eastAsia="en-PH"/>
              </w:rPr>
            </w:pPr>
            <w:r w:rsidRPr="007D2A37">
              <w:rPr>
                <w:rFonts w:ascii="Arial" w:hAnsi="Arial" w:cs="Arial"/>
                <w:lang w:eastAsia="en-PH"/>
              </w:rPr>
              <w:t>40%</w:t>
            </w:r>
          </w:p>
        </w:tc>
      </w:tr>
      <w:tr w:rsidR="007D2A37" w:rsidRPr="00E41983" w14:paraId="4EEFCAEA" w14:textId="77777777" w:rsidTr="007D2A37">
        <w:tc>
          <w:tcPr>
            <w:tcW w:w="0" w:type="auto"/>
            <w:tcBorders>
              <w:bottom w:val="single" w:sz="4" w:space="0" w:color="auto"/>
            </w:tcBorders>
          </w:tcPr>
          <w:p w14:paraId="1EAC56EA" w14:textId="77777777" w:rsidR="007D2A37" w:rsidRDefault="007D2A37" w:rsidP="00C00B5B">
            <w:pPr>
              <w:rPr>
                <w:rFonts w:ascii="Arial" w:hAnsi="Arial" w:cs="Arial"/>
                <w:b/>
                <w:bCs/>
                <w:lang w:eastAsia="en-PH"/>
              </w:rPr>
            </w:pPr>
          </w:p>
        </w:tc>
        <w:tc>
          <w:tcPr>
            <w:tcW w:w="0" w:type="auto"/>
            <w:tcBorders>
              <w:bottom w:val="single" w:sz="4" w:space="0" w:color="auto"/>
            </w:tcBorders>
          </w:tcPr>
          <w:p w14:paraId="548F154A" w14:textId="169C08FD" w:rsidR="007D2A37" w:rsidRDefault="007D2A37" w:rsidP="00C00B5B">
            <w:pPr>
              <w:jc w:val="center"/>
              <w:rPr>
                <w:rFonts w:ascii="Arial" w:hAnsi="Arial" w:cs="Arial"/>
                <w:lang w:eastAsia="en-PH"/>
              </w:rPr>
            </w:pPr>
            <w:r>
              <w:rPr>
                <w:rFonts w:ascii="Arial" w:hAnsi="Arial" w:cs="Arial"/>
                <w:lang w:eastAsia="en-PH"/>
              </w:rPr>
              <w:t>Female</w:t>
            </w:r>
          </w:p>
        </w:tc>
        <w:tc>
          <w:tcPr>
            <w:tcW w:w="0" w:type="auto"/>
            <w:tcBorders>
              <w:bottom w:val="single" w:sz="4" w:space="0" w:color="auto"/>
            </w:tcBorders>
          </w:tcPr>
          <w:p w14:paraId="1030A043" w14:textId="1D58C7F0" w:rsidR="007D2A37" w:rsidRPr="007D2A37" w:rsidRDefault="007D2A37" w:rsidP="00C00B5B">
            <w:pPr>
              <w:jc w:val="center"/>
              <w:rPr>
                <w:rFonts w:ascii="Arial" w:hAnsi="Arial" w:cs="Arial"/>
                <w:lang w:eastAsia="en-PH"/>
              </w:rPr>
            </w:pPr>
            <w:r>
              <w:rPr>
                <w:rFonts w:ascii="Arial" w:hAnsi="Arial" w:cs="Arial"/>
                <w:lang w:eastAsia="en-PH"/>
              </w:rPr>
              <w:t>15</w:t>
            </w:r>
          </w:p>
        </w:tc>
        <w:tc>
          <w:tcPr>
            <w:tcW w:w="0" w:type="auto"/>
            <w:tcBorders>
              <w:bottom w:val="single" w:sz="4" w:space="0" w:color="auto"/>
            </w:tcBorders>
          </w:tcPr>
          <w:p w14:paraId="3480DECA" w14:textId="646315C3" w:rsidR="007D2A37" w:rsidRPr="007D2A37" w:rsidRDefault="007D2A37" w:rsidP="00C00B5B">
            <w:pPr>
              <w:jc w:val="center"/>
              <w:rPr>
                <w:rFonts w:ascii="Arial" w:hAnsi="Arial" w:cs="Arial"/>
                <w:lang w:eastAsia="en-PH"/>
              </w:rPr>
            </w:pPr>
            <w:r>
              <w:rPr>
                <w:rFonts w:ascii="Arial" w:hAnsi="Arial" w:cs="Arial"/>
                <w:lang w:eastAsia="en-PH"/>
              </w:rPr>
              <w:t>60%</w:t>
            </w:r>
          </w:p>
        </w:tc>
      </w:tr>
      <w:tr w:rsidR="007D2A37" w:rsidRPr="00E41983" w14:paraId="4F5A7B68" w14:textId="77777777" w:rsidTr="007D2A37">
        <w:tc>
          <w:tcPr>
            <w:tcW w:w="0" w:type="auto"/>
            <w:tcBorders>
              <w:top w:val="single" w:sz="4" w:space="0" w:color="auto"/>
              <w:bottom w:val="single" w:sz="4" w:space="0" w:color="auto"/>
            </w:tcBorders>
          </w:tcPr>
          <w:p w14:paraId="661AFA4A" w14:textId="46D83273" w:rsidR="007D2A37" w:rsidRDefault="007D2A37" w:rsidP="00C00B5B">
            <w:pPr>
              <w:rPr>
                <w:rFonts w:ascii="Arial" w:hAnsi="Arial" w:cs="Arial"/>
                <w:b/>
                <w:bCs/>
                <w:lang w:eastAsia="en-PH"/>
              </w:rPr>
            </w:pPr>
            <w:r>
              <w:rPr>
                <w:rFonts w:ascii="Arial" w:hAnsi="Arial" w:cs="Arial"/>
                <w:b/>
                <w:bCs/>
                <w:lang w:eastAsia="en-PH"/>
              </w:rPr>
              <w:t>Total</w:t>
            </w:r>
          </w:p>
        </w:tc>
        <w:tc>
          <w:tcPr>
            <w:tcW w:w="0" w:type="auto"/>
            <w:tcBorders>
              <w:top w:val="single" w:sz="4" w:space="0" w:color="auto"/>
              <w:bottom w:val="single" w:sz="4" w:space="0" w:color="auto"/>
            </w:tcBorders>
          </w:tcPr>
          <w:p w14:paraId="3400D83A" w14:textId="77777777" w:rsidR="007D2A37" w:rsidRDefault="007D2A37" w:rsidP="00C00B5B">
            <w:pPr>
              <w:jc w:val="center"/>
              <w:rPr>
                <w:rFonts w:ascii="Arial" w:hAnsi="Arial" w:cs="Arial"/>
                <w:lang w:eastAsia="en-PH"/>
              </w:rPr>
            </w:pPr>
          </w:p>
        </w:tc>
        <w:tc>
          <w:tcPr>
            <w:tcW w:w="0" w:type="auto"/>
            <w:tcBorders>
              <w:top w:val="single" w:sz="4" w:space="0" w:color="auto"/>
              <w:bottom w:val="single" w:sz="4" w:space="0" w:color="auto"/>
            </w:tcBorders>
          </w:tcPr>
          <w:p w14:paraId="1F73FFC4" w14:textId="758FADDA" w:rsidR="007D2A37" w:rsidRDefault="007D2A37" w:rsidP="00C00B5B">
            <w:pPr>
              <w:jc w:val="center"/>
              <w:rPr>
                <w:rFonts w:ascii="Arial" w:hAnsi="Arial" w:cs="Arial"/>
                <w:lang w:eastAsia="en-PH"/>
              </w:rPr>
            </w:pPr>
            <w:r>
              <w:rPr>
                <w:rFonts w:ascii="Arial" w:hAnsi="Arial" w:cs="Arial"/>
                <w:lang w:eastAsia="en-PH"/>
              </w:rPr>
              <w:t>25</w:t>
            </w:r>
          </w:p>
        </w:tc>
        <w:tc>
          <w:tcPr>
            <w:tcW w:w="0" w:type="auto"/>
            <w:tcBorders>
              <w:top w:val="single" w:sz="4" w:space="0" w:color="auto"/>
              <w:bottom w:val="single" w:sz="4" w:space="0" w:color="auto"/>
            </w:tcBorders>
          </w:tcPr>
          <w:p w14:paraId="4027BBC0" w14:textId="4DC977F6" w:rsidR="007D2A37" w:rsidRDefault="007D2A37" w:rsidP="00C00B5B">
            <w:pPr>
              <w:jc w:val="center"/>
              <w:rPr>
                <w:rFonts w:ascii="Arial" w:hAnsi="Arial" w:cs="Arial"/>
                <w:lang w:eastAsia="en-PH"/>
              </w:rPr>
            </w:pPr>
            <w:r>
              <w:rPr>
                <w:rFonts w:ascii="Arial" w:hAnsi="Arial" w:cs="Arial"/>
                <w:lang w:eastAsia="en-PH"/>
              </w:rPr>
              <w:t>100%</w:t>
            </w:r>
          </w:p>
        </w:tc>
      </w:tr>
    </w:tbl>
    <w:p w14:paraId="0DC55AB5" w14:textId="1968AC86" w:rsidR="006A4A19" w:rsidRDefault="006A4A19" w:rsidP="00441B6F">
      <w:pPr>
        <w:pStyle w:val="Body"/>
        <w:spacing w:after="0"/>
        <w:rPr>
          <w:rFonts w:ascii="Arial" w:hAnsi="Arial" w:cs="Arial"/>
        </w:rPr>
      </w:pPr>
    </w:p>
    <w:p w14:paraId="5FAF5FF4" w14:textId="77777777" w:rsidR="007D2A37" w:rsidRDefault="007D2A37" w:rsidP="00441B6F">
      <w:pPr>
        <w:pStyle w:val="Body"/>
        <w:spacing w:after="0"/>
        <w:rPr>
          <w:rFonts w:ascii="Arial" w:hAnsi="Arial" w:cs="Arial"/>
        </w:rPr>
      </w:pPr>
    </w:p>
    <w:p w14:paraId="6226D7A9" w14:textId="739C4388" w:rsidR="002314A9" w:rsidRDefault="002314A9" w:rsidP="007B4CCB">
      <w:pPr>
        <w:pStyle w:val="Body"/>
        <w:spacing w:after="0"/>
        <w:jc w:val="left"/>
        <w:rPr>
          <w:rFonts w:ascii="Arial" w:hAnsi="Arial" w:cs="Arial"/>
        </w:rPr>
      </w:pPr>
      <w:r>
        <w:rPr>
          <w:rFonts w:ascii="Arial" w:hAnsi="Arial" w:cs="Arial"/>
        </w:rPr>
        <w:t xml:space="preserve">Table </w:t>
      </w:r>
      <w:r w:rsidR="006A4A19">
        <w:rPr>
          <w:rFonts w:ascii="Arial" w:hAnsi="Arial" w:cs="Arial"/>
        </w:rPr>
        <w:t>5</w:t>
      </w:r>
      <w:r>
        <w:rPr>
          <w:rFonts w:ascii="Arial" w:hAnsi="Arial" w:cs="Arial"/>
        </w:rPr>
        <w:t>. Professional Development Scores According to Age and Years of 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5"/>
        <w:gridCol w:w="1685"/>
        <w:gridCol w:w="1685"/>
        <w:gridCol w:w="1685"/>
      </w:tblGrid>
      <w:tr w:rsidR="002314A9" w:rsidRPr="002314A9" w14:paraId="413E163C" w14:textId="77777777" w:rsidTr="009C742E">
        <w:tc>
          <w:tcPr>
            <w:tcW w:w="1684" w:type="dxa"/>
            <w:tcBorders>
              <w:top w:val="single" w:sz="8" w:space="0" w:color="auto"/>
              <w:bottom w:val="single" w:sz="8" w:space="0" w:color="auto"/>
            </w:tcBorders>
            <w:vAlign w:val="center"/>
          </w:tcPr>
          <w:p w14:paraId="7B231E9C" w14:textId="219D1671" w:rsidR="002314A9" w:rsidRPr="002314A9" w:rsidRDefault="002314A9" w:rsidP="002314A9">
            <w:pPr>
              <w:pStyle w:val="Body"/>
              <w:spacing w:after="0"/>
              <w:jc w:val="center"/>
              <w:rPr>
                <w:rFonts w:ascii="Arial" w:hAnsi="Arial" w:cs="Arial"/>
                <w:b/>
                <w:bCs/>
                <w:sz w:val="20"/>
                <w:szCs w:val="20"/>
              </w:rPr>
            </w:pPr>
            <w:r w:rsidRPr="002314A9">
              <w:rPr>
                <w:rFonts w:ascii="Arial" w:hAnsi="Arial" w:cs="Arial"/>
                <w:b/>
                <w:bCs/>
                <w:sz w:val="20"/>
                <w:szCs w:val="20"/>
              </w:rPr>
              <w:t>Profile Variable</w:t>
            </w:r>
          </w:p>
        </w:tc>
        <w:tc>
          <w:tcPr>
            <w:tcW w:w="1685" w:type="dxa"/>
            <w:tcBorders>
              <w:top w:val="single" w:sz="8" w:space="0" w:color="auto"/>
              <w:bottom w:val="single" w:sz="8" w:space="0" w:color="auto"/>
            </w:tcBorders>
            <w:vAlign w:val="center"/>
          </w:tcPr>
          <w:p w14:paraId="0D5A3D10" w14:textId="4A6B7A1F" w:rsidR="002314A9" w:rsidRPr="002314A9" w:rsidRDefault="002314A9" w:rsidP="002314A9">
            <w:pPr>
              <w:pStyle w:val="Body"/>
              <w:spacing w:after="0"/>
              <w:jc w:val="center"/>
              <w:rPr>
                <w:rFonts w:ascii="Arial" w:hAnsi="Arial" w:cs="Arial"/>
                <w:b/>
                <w:bCs/>
                <w:sz w:val="20"/>
                <w:szCs w:val="20"/>
              </w:rPr>
            </w:pPr>
            <w:r w:rsidRPr="002314A9">
              <w:rPr>
                <w:rFonts w:ascii="Arial" w:hAnsi="Arial" w:cs="Arial"/>
                <w:b/>
                <w:bCs/>
                <w:sz w:val="20"/>
                <w:szCs w:val="20"/>
              </w:rPr>
              <w:t>Test</w:t>
            </w:r>
          </w:p>
        </w:tc>
        <w:tc>
          <w:tcPr>
            <w:tcW w:w="1685" w:type="dxa"/>
            <w:tcBorders>
              <w:top w:val="single" w:sz="8" w:space="0" w:color="auto"/>
              <w:bottom w:val="single" w:sz="8" w:space="0" w:color="auto"/>
            </w:tcBorders>
            <w:vAlign w:val="center"/>
          </w:tcPr>
          <w:p w14:paraId="59E541FD" w14:textId="2FFEF76D" w:rsidR="002314A9" w:rsidRPr="002314A9" w:rsidRDefault="002314A9" w:rsidP="002314A9">
            <w:pPr>
              <w:pStyle w:val="Body"/>
              <w:spacing w:after="0"/>
              <w:jc w:val="center"/>
              <w:rPr>
                <w:rFonts w:ascii="Arial" w:hAnsi="Arial" w:cs="Arial"/>
                <w:b/>
                <w:bCs/>
                <w:sz w:val="20"/>
                <w:szCs w:val="20"/>
              </w:rPr>
            </w:pPr>
            <w:r w:rsidRPr="002314A9">
              <w:rPr>
                <w:rFonts w:ascii="Arial" w:hAnsi="Arial" w:cs="Arial"/>
                <w:b/>
                <w:bCs/>
                <w:sz w:val="20"/>
                <w:szCs w:val="20"/>
              </w:rPr>
              <w:t>df (Between, Within Groups)</w:t>
            </w:r>
          </w:p>
        </w:tc>
        <w:tc>
          <w:tcPr>
            <w:tcW w:w="1685" w:type="dxa"/>
            <w:tcBorders>
              <w:top w:val="single" w:sz="8" w:space="0" w:color="auto"/>
              <w:bottom w:val="single" w:sz="8" w:space="0" w:color="auto"/>
            </w:tcBorders>
            <w:vAlign w:val="center"/>
          </w:tcPr>
          <w:p w14:paraId="4B216312" w14:textId="118652A8" w:rsidR="002314A9" w:rsidRPr="002314A9" w:rsidRDefault="002314A9" w:rsidP="002314A9">
            <w:pPr>
              <w:pStyle w:val="Body"/>
              <w:spacing w:after="0"/>
              <w:jc w:val="center"/>
              <w:rPr>
                <w:rFonts w:ascii="Arial" w:hAnsi="Arial" w:cs="Arial"/>
                <w:b/>
                <w:bCs/>
                <w:sz w:val="20"/>
                <w:szCs w:val="20"/>
              </w:rPr>
            </w:pPr>
            <w:r w:rsidRPr="002314A9">
              <w:rPr>
                <w:rFonts w:ascii="Arial" w:hAnsi="Arial" w:cs="Arial"/>
                <w:b/>
                <w:bCs/>
                <w:i/>
                <w:iCs/>
                <w:sz w:val="20"/>
                <w:szCs w:val="20"/>
              </w:rPr>
              <w:t>F</w:t>
            </w:r>
            <w:r w:rsidRPr="002314A9">
              <w:rPr>
                <w:rFonts w:ascii="Arial" w:hAnsi="Arial" w:cs="Arial"/>
                <w:b/>
                <w:bCs/>
                <w:sz w:val="20"/>
                <w:szCs w:val="20"/>
              </w:rPr>
              <w:t>-value</w:t>
            </w:r>
          </w:p>
        </w:tc>
        <w:tc>
          <w:tcPr>
            <w:tcW w:w="1685" w:type="dxa"/>
            <w:tcBorders>
              <w:top w:val="single" w:sz="8" w:space="0" w:color="auto"/>
              <w:bottom w:val="single" w:sz="8" w:space="0" w:color="auto"/>
            </w:tcBorders>
            <w:vAlign w:val="center"/>
          </w:tcPr>
          <w:p w14:paraId="5AE29369" w14:textId="220E3EBB" w:rsidR="002314A9" w:rsidRPr="002314A9" w:rsidRDefault="002314A9" w:rsidP="002314A9">
            <w:pPr>
              <w:pStyle w:val="Body"/>
              <w:spacing w:after="0"/>
              <w:jc w:val="center"/>
              <w:rPr>
                <w:rFonts w:ascii="Arial" w:hAnsi="Arial" w:cs="Arial"/>
                <w:b/>
                <w:bCs/>
                <w:sz w:val="20"/>
                <w:szCs w:val="20"/>
              </w:rPr>
            </w:pPr>
            <w:r w:rsidRPr="002314A9">
              <w:rPr>
                <w:rFonts w:ascii="Arial" w:hAnsi="Arial" w:cs="Arial"/>
                <w:b/>
                <w:bCs/>
                <w:i/>
                <w:iCs/>
                <w:sz w:val="20"/>
                <w:szCs w:val="20"/>
              </w:rPr>
              <w:t>P</w:t>
            </w:r>
            <w:r w:rsidRPr="002314A9">
              <w:rPr>
                <w:rFonts w:ascii="Arial" w:hAnsi="Arial" w:cs="Arial"/>
                <w:b/>
                <w:bCs/>
                <w:sz w:val="20"/>
                <w:szCs w:val="20"/>
              </w:rPr>
              <w:t>-value</w:t>
            </w:r>
          </w:p>
        </w:tc>
      </w:tr>
      <w:tr w:rsidR="002314A9" w:rsidRPr="002314A9" w14:paraId="2DAA70E9" w14:textId="77777777" w:rsidTr="009C742E">
        <w:tc>
          <w:tcPr>
            <w:tcW w:w="1684" w:type="dxa"/>
            <w:tcBorders>
              <w:top w:val="single" w:sz="8" w:space="0" w:color="auto"/>
            </w:tcBorders>
          </w:tcPr>
          <w:p w14:paraId="05E7D5A4" w14:textId="7793F288" w:rsidR="002314A9" w:rsidRPr="002314A9" w:rsidRDefault="002314A9" w:rsidP="002314A9">
            <w:pPr>
              <w:pStyle w:val="Body"/>
              <w:spacing w:after="0"/>
              <w:jc w:val="left"/>
              <w:rPr>
                <w:rFonts w:ascii="Arial" w:hAnsi="Arial" w:cs="Arial"/>
                <w:sz w:val="20"/>
                <w:szCs w:val="20"/>
              </w:rPr>
            </w:pPr>
            <w:r>
              <w:rPr>
                <w:rFonts w:ascii="Arial" w:hAnsi="Arial" w:cs="Arial"/>
                <w:sz w:val="20"/>
                <w:szCs w:val="20"/>
              </w:rPr>
              <w:t>Age</w:t>
            </w:r>
          </w:p>
        </w:tc>
        <w:tc>
          <w:tcPr>
            <w:tcW w:w="1685" w:type="dxa"/>
            <w:tcBorders>
              <w:top w:val="single" w:sz="8" w:space="0" w:color="auto"/>
            </w:tcBorders>
            <w:vAlign w:val="center"/>
          </w:tcPr>
          <w:p w14:paraId="29FB9FE3" w14:textId="410DFA30"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ANOVA</w:t>
            </w:r>
          </w:p>
        </w:tc>
        <w:tc>
          <w:tcPr>
            <w:tcW w:w="1685" w:type="dxa"/>
            <w:tcBorders>
              <w:top w:val="single" w:sz="8" w:space="0" w:color="auto"/>
            </w:tcBorders>
            <w:vAlign w:val="center"/>
          </w:tcPr>
          <w:p w14:paraId="3531A0DB" w14:textId="5B4A73B5"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(2, 22)</w:t>
            </w:r>
          </w:p>
        </w:tc>
        <w:tc>
          <w:tcPr>
            <w:tcW w:w="1685" w:type="dxa"/>
            <w:tcBorders>
              <w:top w:val="single" w:sz="8" w:space="0" w:color="auto"/>
            </w:tcBorders>
            <w:vAlign w:val="center"/>
          </w:tcPr>
          <w:p w14:paraId="4BF4BFC9" w14:textId="12CFB456"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.148</w:t>
            </w:r>
          </w:p>
        </w:tc>
        <w:tc>
          <w:tcPr>
            <w:tcW w:w="1685" w:type="dxa"/>
            <w:tcBorders>
              <w:top w:val="single" w:sz="8" w:space="0" w:color="auto"/>
            </w:tcBorders>
            <w:vAlign w:val="center"/>
          </w:tcPr>
          <w:p w14:paraId="076E4DC7" w14:textId="2211D0F7"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.863</w:t>
            </w:r>
          </w:p>
        </w:tc>
      </w:tr>
      <w:tr w:rsidR="002314A9" w:rsidRPr="002314A9" w14:paraId="0ED39CEA" w14:textId="77777777" w:rsidTr="009C742E">
        <w:tc>
          <w:tcPr>
            <w:tcW w:w="1684" w:type="dxa"/>
            <w:tcBorders>
              <w:bottom w:val="single" w:sz="8" w:space="0" w:color="auto"/>
            </w:tcBorders>
          </w:tcPr>
          <w:p w14:paraId="7EBA5529" w14:textId="57369EF3" w:rsidR="002314A9" w:rsidRPr="002314A9" w:rsidRDefault="002314A9" w:rsidP="002314A9">
            <w:pPr>
              <w:pStyle w:val="Body"/>
              <w:spacing w:after="0"/>
              <w:jc w:val="left"/>
              <w:rPr>
                <w:rFonts w:ascii="Arial" w:hAnsi="Arial" w:cs="Arial"/>
                <w:sz w:val="20"/>
                <w:szCs w:val="20"/>
              </w:rPr>
            </w:pPr>
            <w:r>
              <w:rPr>
                <w:rFonts w:ascii="Arial" w:hAnsi="Arial" w:cs="Arial"/>
                <w:sz w:val="20"/>
                <w:szCs w:val="20"/>
              </w:rPr>
              <w:t>Years of Teaching Experience</w:t>
            </w:r>
          </w:p>
        </w:tc>
        <w:tc>
          <w:tcPr>
            <w:tcW w:w="1685" w:type="dxa"/>
            <w:tcBorders>
              <w:bottom w:val="single" w:sz="8" w:space="0" w:color="auto"/>
            </w:tcBorders>
            <w:vAlign w:val="center"/>
          </w:tcPr>
          <w:p w14:paraId="4D6200C7" w14:textId="78218A60"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ANOVA</w:t>
            </w:r>
          </w:p>
        </w:tc>
        <w:tc>
          <w:tcPr>
            <w:tcW w:w="1685" w:type="dxa"/>
            <w:tcBorders>
              <w:bottom w:val="single" w:sz="8" w:space="0" w:color="auto"/>
            </w:tcBorders>
            <w:vAlign w:val="center"/>
          </w:tcPr>
          <w:p w14:paraId="43C4A7F0" w14:textId="72775426"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(3, 21)</w:t>
            </w:r>
          </w:p>
        </w:tc>
        <w:tc>
          <w:tcPr>
            <w:tcW w:w="1685" w:type="dxa"/>
            <w:tcBorders>
              <w:bottom w:val="single" w:sz="8" w:space="0" w:color="auto"/>
            </w:tcBorders>
            <w:vAlign w:val="center"/>
          </w:tcPr>
          <w:p w14:paraId="6A6B6D43" w14:textId="0EE937E3"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.131</w:t>
            </w:r>
          </w:p>
        </w:tc>
        <w:tc>
          <w:tcPr>
            <w:tcW w:w="1685" w:type="dxa"/>
            <w:tcBorders>
              <w:bottom w:val="single" w:sz="8" w:space="0" w:color="auto"/>
            </w:tcBorders>
            <w:vAlign w:val="center"/>
          </w:tcPr>
          <w:p w14:paraId="364BA3B1" w14:textId="7107F390" w:rsidR="002314A9" w:rsidRPr="002314A9" w:rsidRDefault="002314A9" w:rsidP="002314A9">
            <w:pPr>
              <w:pStyle w:val="Body"/>
              <w:spacing w:after="0"/>
              <w:jc w:val="center"/>
              <w:rPr>
                <w:rFonts w:ascii="Arial" w:hAnsi="Arial" w:cs="Arial"/>
                <w:sz w:val="20"/>
                <w:szCs w:val="20"/>
              </w:rPr>
            </w:pPr>
            <w:r>
              <w:rPr>
                <w:rFonts w:ascii="Arial" w:hAnsi="Arial" w:cs="Arial"/>
                <w:sz w:val="20"/>
                <w:szCs w:val="20"/>
              </w:rPr>
              <w:t>.941</w:t>
            </w:r>
          </w:p>
        </w:tc>
      </w:tr>
    </w:tbl>
    <w:p w14:paraId="4F4EE9A7" w14:textId="0FA3D03A" w:rsidR="002314A9" w:rsidRDefault="002314A9" w:rsidP="00441B6F">
      <w:pPr>
        <w:pStyle w:val="Body"/>
        <w:spacing w:after="0"/>
        <w:rPr>
          <w:rFonts w:ascii="Arial" w:hAnsi="Arial" w:cs="Arial"/>
          <w:sz w:val="18"/>
          <w:szCs w:val="18"/>
        </w:rPr>
      </w:pPr>
    </w:p>
    <w:p w14:paraId="48EE689D" w14:textId="77777777" w:rsidR="007441CB" w:rsidRPr="002314A9" w:rsidRDefault="007441CB" w:rsidP="00441B6F">
      <w:pPr>
        <w:pStyle w:val="Body"/>
        <w:spacing w:after="0"/>
        <w:rPr>
          <w:rFonts w:ascii="Arial" w:hAnsi="Arial" w:cs="Arial"/>
          <w:sz w:val="18"/>
          <w:szCs w:val="18"/>
        </w:rPr>
      </w:pPr>
    </w:p>
    <w:p w14:paraId="2059EA09" w14:textId="6E4162B7" w:rsidR="00790ADA" w:rsidRDefault="007B4CCB" w:rsidP="00441B6F">
      <w:pPr>
        <w:pStyle w:val="Body"/>
        <w:spacing w:after="0"/>
        <w:rPr>
          <w:rFonts w:ascii="Arial" w:hAnsi="Arial" w:cs="Arial"/>
        </w:rPr>
      </w:pPr>
      <w:r>
        <w:rPr>
          <w:rFonts w:ascii="Arial" w:hAnsi="Arial" w:cs="Arial"/>
        </w:rPr>
        <w:tab/>
      </w:r>
      <w:r w:rsidRPr="007B4CCB">
        <w:rPr>
          <w:rFonts w:ascii="Arial" w:hAnsi="Arial" w:cs="Arial"/>
        </w:rPr>
        <w:t>T</w:t>
      </w:r>
      <w:r>
        <w:rPr>
          <w:rFonts w:ascii="Arial" w:hAnsi="Arial" w:cs="Arial"/>
        </w:rPr>
        <w:t xml:space="preserve">able </w:t>
      </w:r>
      <w:r w:rsidR="007D2A37">
        <w:rPr>
          <w:rFonts w:ascii="Arial" w:hAnsi="Arial" w:cs="Arial"/>
        </w:rPr>
        <w:t>6</w:t>
      </w:r>
      <w:r w:rsidRPr="007B4CCB">
        <w:rPr>
          <w:rFonts w:ascii="Arial" w:hAnsi="Arial" w:cs="Arial"/>
        </w:rPr>
        <w:t xml:space="preserve"> shows a statistically significant difference in professional development scores based on gender (</w:t>
      </w:r>
      <m:oMath>
        <m:r>
          <w:rPr>
            <w:rFonts w:ascii="Cambria Math" w:hAnsi="Cambria Math" w:cs="Arial"/>
          </w:rPr>
          <m:t>t(23) = -2.85, P = .009</m:t>
        </m:r>
      </m:oMath>
      <w:r w:rsidRPr="007B4CCB">
        <w:rPr>
          <w:rFonts w:ascii="Arial" w:hAnsi="Arial" w:cs="Arial"/>
        </w:rPr>
        <w:t xml:space="preserve">). </w:t>
      </w:r>
      <w:r w:rsidR="007D2A37" w:rsidRPr="007D2A37">
        <w:rPr>
          <w:rFonts w:ascii="Arial" w:hAnsi="Arial" w:cs="Arial"/>
        </w:rPr>
        <w:t>Among the 25 participants, 10 (40%) were male and 15 (60%) were female.</w:t>
      </w:r>
      <w:r w:rsidR="007D2A37">
        <w:rPr>
          <w:rFonts w:ascii="Arial" w:hAnsi="Arial" w:cs="Arial"/>
        </w:rPr>
        <w:t xml:space="preserve"> </w:t>
      </w:r>
      <w:r w:rsidRPr="007B4CCB">
        <w:rPr>
          <w:rFonts w:ascii="Arial" w:hAnsi="Arial" w:cs="Arial"/>
        </w:rPr>
        <w:t xml:space="preserve">This indicates that male and female teachers perceive or engage with professional development differently, with the mean difference suggesting that </w:t>
      </w:r>
      <w:r w:rsidR="009C742E">
        <w:rPr>
          <w:rFonts w:ascii="Arial" w:hAnsi="Arial" w:cs="Arial"/>
        </w:rPr>
        <w:t>male</w:t>
      </w:r>
      <w:r w:rsidRPr="007B4CCB">
        <w:rPr>
          <w:rFonts w:ascii="Arial" w:hAnsi="Arial" w:cs="Arial"/>
        </w:rPr>
        <w:t xml:space="preserve"> scores lower on professional development measures than </w:t>
      </w:r>
      <w:r w:rsidR="009C742E">
        <w:rPr>
          <w:rFonts w:ascii="Arial" w:hAnsi="Arial" w:cs="Arial"/>
        </w:rPr>
        <w:t>female</w:t>
      </w:r>
      <w:r w:rsidRPr="007B4CCB">
        <w:rPr>
          <w:rFonts w:ascii="Arial" w:hAnsi="Arial" w:cs="Arial"/>
        </w:rPr>
        <w:t xml:space="preserve">. This finding is consistent with research by </w:t>
      </w:r>
      <w:r w:rsidR="00DE4428" w:rsidRPr="00DE4428">
        <w:rPr>
          <w:rFonts w:ascii="Arial" w:hAnsi="Arial" w:cs="Arial"/>
        </w:rPr>
        <w:t>Mitton-</w:t>
      </w:r>
      <w:proofErr w:type="spellStart"/>
      <w:r w:rsidR="00DE4428" w:rsidRPr="00DE4428">
        <w:rPr>
          <w:rFonts w:ascii="Arial" w:hAnsi="Arial" w:cs="Arial"/>
        </w:rPr>
        <w:t>Kukner</w:t>
      </w:r>
      <w:proofErr w:type="spellEnd"/>
      <w:r w:rsidR="00DE4428" w:rsidRPr="00DE4428">
        <w:rPr>
          <w:rFonts w:ascii="Arial" w:hAnsi="Arial" w:cs="Arial"/>
        </w:rPr>
        <w:t xml:space="preserve"> </w:t>
      </w:r>
      <w:r w:rsidR="00DE4428">
        <w:rPr>
          <w:rFonts w:ascii="Arial" w:hAnsi="Arial" w:cs="Arial"/>
        </w:rPr>
        <w:t>(</w:t>
      </w:r>
      <w:r w:rsidR="00DE4428" w:rsidRPr="00DE4428">
        <w:rPr>
          <w:rFonts w:ascii="Arial" w:hAnsi="Arial" w:cs="Arial"/>
        </w:rPr>
        <w:t>2020</w:t>
      </w:r>
      <w:r w:rsidR="00DE4428">
        <w:rPr>
          <w:rFonts w:ascii="Arial" w:hAnsi="Arial" w:cs="Arial"/>
        </w:rPr>
        <w:t>)</w:t>
      </w:r>
      <w:r w:rsidRPr="007B4CCB">
        <w:rPr>
          <w:rFonts w:ascii="Arial" w:hAnsi="Arial" w:cs="Arial"/>
        </w:rPr>
        <w:t>, who emphasized that gender roles and societal expectations can influence participation in professional learning activities. It suggests that professional development programs may need to consider gender-specific factors to ensure equitable access and engagement.</w:t>
      </w:r>
    </w:p>
    <w:p w14:paraId="6F11BD64" w14:textId="11A8B9F1" w:rsidR="007B4CCB" w:rsidRDefault="007B4CCB" w:rsidP="00441B6F">
      <w:pPr>
        <w:pStyle w:val="Body"/>
        <w:spacing w:after="0"/>
        <w:rPr>
          <w:rFonts w:ascii="Arial" w:hAnsi="Arial" w:cs="Arial"/>
        </w:rPr>
      </w:pPr>
    </w:p>
    <w:p w14:paraId="10F20D00" w14:textId="0107EFDD" w:rsidR="007B4CCB" w:rsidRDefault="007B4CCB" w:rsidP="009C742E">
      <w:pPr>
        <w:pStyle w:val="Body"/>
        <w:spacing w:after="0"/>
        <w:jc w:val="left"/>
        <w:rPr>
          <w:rFonts w:ascii="Arial" w:hAnsi="Arial" w:cs="Arial"/>
        </w:rPr>
      </w:pPr>
      <w:r>
        <w:rPr>
          <w:rFonts w:ascii="Arial" w:hAnsi="Arial" w:cs="Arial"/>
        </w:rPr>
        <w:lastRenderedPageBreak/>
        <w:t xml:space="preserve">Table </w:t>
      </w:r>
      <w:r w:rsidR="007D2A37">
        <w:rPr>
          <w:rFonts w:ascii="Arial" w:hAnsi="Arial" w:cs="Arial"/>
        </w:rPr>
        <w:t>6</w:t>
      </w:r>
      <w:r>
        <w:rPr>
          <w:rFonts w:ascii="Arial" w:hAnsi="Arial" w:cs="Arial"/>
        </w:rPr>
        <w:t>. Professional development Scores According to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973"/>
        <w:gridCol w:w="937"/>
        <w:gridCol w:w="992"/>
        <w:gridCol w:w="992"/>
        <w:gridCol w:w="1195"/>
        <w:gridCol w:w="988"/>
        <w:gridCol w:w="1305"/>
      </w:tblGrid>
      <w:tr w:rsidR="000425BF" w14:paraId="0463A57F" w14:textId="77777777" w:rsidTr="000425BF">
        <w:tc>
          <w:tcPr>
            <w:tcW w:w="1053" w:type="dxa"/>
            <w:tcBorders>
              <w:top w:val="single" w:sz="8" w:space="0" w:color="auto"/>
              <w:bottom w:val="single" w:sz="8" w:space="0" w:color="auto"/>
            </w:tcBorders>
          </w:tcPr>
          <w:p w14:paraId="1703AAF1" w14:textId="33649F22" w:rsidR="007B4CCB" w:rsidRPr="000425BF" w:rsidRDefault="007B4CCB" w:rsidP="009C742E">
            <w:pPr>
              <w:pStyle w:val="Body"/>
              <w:spacing w:after="0"/>
              <w:jc w:val="left"/>
              <w:rPr>
                <w:rFonts w:ascii="Arial" w:hAnsi="Arial" w:cs="Arial"/>
                <w:b/>
                <w:bCs/>
                <w:sz w:val="20"/>
                <w:szCs w:val="20"/>
              </w:rPr>
            </w:pPr>
            <w:r w:rsidRPr="000425BF">
              <w:rPr>
                <w:rFonts w:ascii="Arial" w:hAnsi="Arial" w:cs="Arial"/>
                <w:b/>
                <w:bCs/>
                <w:sz w:val="20"/>
                <w:szCs w:val="20"/>
              </w:rPr>
              <w:t>Profile Variable</w:t>
            </w:r>
          </w:p>
        </w:tc>
        <w:tc>
          <w:tcPr>
            <w:tcW w:w="1053" w:type="dxa"/>
            <w:tcBorders>
              <w:top w:val="single" w:sz="8" w:space="0" w:color="auto"/>
              <w:bottom w:val="single" w:sz="8" w:space="0" w:color="auto"/>
            </w:tcBorders>
          </w:tcPr>
          <w:p w14:paraId="02C192CE" w14:textId="71B8324F"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sz w:val="20"/>
                <w:szCs w:val="20"/>
              </w:rPr>
              <w:t>Test</w:t>
            </w:r>
          </w:p>
        </w:tc>
        <w:tc>
          <w:tcPr>
            <w:tcW w:w="1053" w:type="dxa"/>
            <w:tcBorders>
              <w:top w:val="single" w:sz="8" w:space="0" w:color="auto"/>
              <w:bottom w:val="single" w:sz="8" w:space="0" w:color="auto"/>
            </w:tcBorders>
          </w:tcPr>
          <w:p w14:paraId="5729A59A" w14:textId="03504F29"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sz w:val="20"/>
                <w:szCs w:val="20"/>
              </w:rPr>
              <w:t>df</w:t>
            </w:r>
          </w:p>
        </w:tc>
        <w:tc>
          <w:tcPr>
            <w:tcW w:w="1053" w:type="dxa"/>
            <w:tcBorders>
              <w:top w:val="single" w:sz="8" w:space="0" w:color="auto"/>
              <w:bottom w:val="single" w:sz="8" w:space="0" w:color="auto"/>
            </w:tcBorders>
          </w:tcPr>
          <w:p w14:paraId="73C2EAB3" w14:textId="25D50600"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i/>
                <w:iCs/>
                <w:sz w:val="20"/>
                <w:szCs w:val="20"/>
              </w:rPr>
              <w:t>t</w:t>
            </w:r>
            <w:r w:rsidRPr="000425BF">
              <w:rPr>
                <w:rFonts w:ascii="Arial" w:hAnsi="Arial" w:cs="Arial"/>
                <w:b/>
                <w:bCs/>
                <w:sz w:val="20"/>
                <w:szCs w:val="20"/>
              </w:rPr>
              <w:t>-value</w:t>
            </w:r>
          </w:p>
        </w:tc>
        <w:tc>
          <w:tcPr>
            <w:tcW w:w="1053" w:type="dxa"/>
            <w:tcBorders>
              <w:top w:val="single" w:sz="8" w:space="0" w:color="auto"/>
              <w:bottom w:val="single" w:sz="8" w:space="0" w:color="auto"/>
            </w:tcBorders>
          </w:tcPr>
          <w:p w14:paraId="17B2B922" w14:textId="60DFED05"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i/>
                <w:iCs/>
                <w:sz w:val="20"/>
                <w:szCs w:val="20"/>
              </w:rPr>
              <w:t>P</w:t>
            </w:r>
            <w:r w:rsidRPr="000425BF">
              <w:rPr>
                <w:rFonts w:ascii="Arial" w:hAnsi="Arial" w:cs="Arial"/>
                <w:b/>
                <w:bCs/>
                <w:sz w:val="20"/>
                <w:szCs w:val="20"/>
              </w:rPr>
              <w:t>-value</w:t>
            </w:r>
          </w:p>
        </w:tc>
        <w:tc>
          <w:tcPr>
            <w:tcW w:w="1053" w:type="dxa"/>
            <w:tcBorders>
              <w:top w:val="single" w:sz="8" w:space="0" w:color="auto"/>
              <w:bottom w:val="single" w:sz="8" w:space="0" w:color="auto"/>
            </w:tcBorders>
          </w:tcPr>
          <w:p w14:paraId="3E751A9A" w14:textId="6BEB0D07"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sz w:val="20"/>
                <w:szCs w:val="20"/>
              </w:rPr>
              <w:t>Mean Difference</w:t>
            </w:r>
          </w:p>
        </w:tc>
        <w:tc>
          <w:tcPr>
            <w:tcW w:w="1053" w:type="dxa"/>
            <w:tcBorders>
              <w:top w:val="single" w:sz="8" w:space="0" w:color="auto"/>
              <w:bottom w:val="single" w:sz="8" w:space="0" w:color="auto"/>
            </w:tcBorders>
          </w:tcPr>
          <w:p w14:paraId="2D8A6A33" w14:textId="34D689EC"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sz w:val="20"/>
                <w:szCs w:val="20"/>
              </w:rPr>
              <w:t>Std. Error</w:t>
            </w:r>
          </w:p>
        </w:tc>
        <w:tc>
          <w:tcPr>
            <w:tcW w:w="1053" w:type="dxa"/>
            <w:tcBorders>
              <w:top w:val="single" w:sz="8" w:space="0" w:color="auto"/>
              <w:bottom w:val="single" w:sz="8" w:space="0" w:color="auto"/>
            </w:tcBorders>
          </w:tcPr>
          <w:p w14:paraId="321901B7" w14:textId="2CC9DAFB" w:rsidR="007B4CCB" w:rsidRPr="000425BF" w:rsidRDefault="009C742E" w:rsidP="009C742E">
            <w:pPr>
              <w:pStyle w:val="Body"/>
              <w:spacing w:after="0"/>
              <w:jc w:val="center"/>
              <w:rPr>
                <w:rFonts w:ascii="Arial" w:hAnsi="Arial" w:cs="Arial"/>
                <w:b/>
                <w:bCs/>
                <w:sz w:val="20"/>
                <w:szCs w:val="20"/>
              </w:rPr>
            </w:pPr>
            <w:r w:rsidRPr="000425BF">
              <w:rPr>
                <w:rFonts w:ascii="Arial" w:hAnsi="Arial" w:cs="Arial"/>
                <w:b/>
                <w:bCs/>
                <w:sz w:val="20"/>
                <w:szCs w:val="20"/>
              </w:rPr>
              <w:t>95% Confidence Interval</w:t>
            </w:r>
          </w:p>
        </w:tc>
      </w:tr>
      <w:tr w:rsidR="000425BF" w14:paraId="45D36DD0" w14:textId="77777777" w:rsidTr="000425BF">
        <w:tc>
          <w:tcPr>
            <w:tcW w:w="1053" w:type="dxa"/>
            <w:tcBorders>
              <w:top w:val="single" w:sz="8" w:space="0" w:color="auto"/>
              <w:bottom w:val="single" w:sz="8" w:space="0" w:color="auto"/>
            </w:tcBorders>
          </w:tcPr>
          <w:p w14:paraId="7DD0AEB5" w14:textId="7E91872E" w:rsidR="007B4CCB" w:rsidRPr="007B4CCB" w:rsidRDefault="007B4CCB" w:rsidP="009C742E">
            <w:pPr>
              <w:pStyle w:val="Body"/>
              <w:spacing w:after="0"/>
              <w:jc w:val="left"/>
              <w:rPr>
                <w:rFonts w:ascii="Arial" w:hAnsi="Arial" w:cs="Arial"/>
                <w:sz w:val="20"/>
                <w:szCs w:val="20"/>
              </w:rPr>
            </w:pPr>
            <w:r>
              <w:rPr>
                <w:rFonts w:ascii="Arial" w:hAnsi="Arial" w:cs="Arial"/>
                <w:sz w:val="20"/>
                <w:szCs w:val="20"/>
              </w:rPr>
              <w:t>Gender</w:t>
            </w:r>
          </w:p>
        </w:tc>
        <w:tc>
          <w:tcPr>
            <w:tcW w:w="1053" w:type="dxa"/>
            <w:tcBorders>
              <w:top w:val="single" w:sz="8" w:space="0" w:color="auto"/>
              <w:bottom w:val="single" w:sz="8" w:space="0" w:color="auto"/>
            </w:tcBorders>
          </w:tcPr>
          <w:p w14:paraId="49CB5116" w14:textId="33E37FCE" w:rsidR="007B4CCB" w:rsidRPr="009C742E" w:rsidRDefault="009C742E" w:rsidP="009C742E">
            <w:pPr>
              <w:pStyle w:val="Body"/>
              <w:spacing w:after="0"/>
              <w:jc w:val="center"/>
              <w:rPr>
                <w:rFonts w:ascii="Arial" w:hAnsi="Arial" w:cs="Arial"/>
                <w:sz w:val="20"/>
                <w:szCs w:val="20"/>
              </w:rPr>
            </w:pPr>
            <w:r>
              <w:rPr>
                <w:rFonts w:ascii="Arial" w:hAnsi="Arial" w:cs="Arial"/>
                <w:i/>
                <w:iCs/>
                <w:sz w:val="20"/>
                <w:szCs w:val="20"/>
              </w:rPr>
              <w:t>t</w:t>
            </w:r>
            <w:r>
              <w:rPr>
                <w:rFonts w:ascii="Arial" w:hAnsi="Arial" w:cs="Arial"/>
                <w:sz w:val="20"/>
                <w:szCs w:val="20"/>
              </w:rPr>
              <w:t>-test</w:t>
            </w:r>
          </w:p>
        </w:tc>
        <w:tc>
          <w:tcPr>
            <w:tcW w:w="1053" w:type="dxa"/>
            <w:tcBorders>
              <w:top w:val="single" w:sz="8" w:space="0" w:color="auto"/>
              <w:bottom w:val="single" w:sz="8" w:space="0" w:color="auto"/>
            </w:tcBorders>
          </w:tcPr>
          <w:p w14:paraId="17F2923C" w14:textId="0F733605"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23</w:t>
            </w:r>
          </w:p>
        </w:tc>
        <w:tc>
          <w:tcPr>
            <w:tcW w:w="1053" w:type="dxa"/>
            <w:tcBorders>
              <w:top w:val="single" w:sz="8" w:space="0" w:color="auto"/>
              <w:bottom w:val="single" w:sz="8" w:space="0" w:color="auto"/>
            </w:tcBorders>
          </w:tcPr>
          <w:p w14:paraId="4FE0C816" w14:textId="1D5BA526"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-2.848</w:t>
            </w:r>
          </w:p>
        </w:tc>
        <w:tc>
          <w:tcPr>
            <w:tcW w:w="1053" w:type="dxa"/>
            <w:tcBorders>
              <w:top w:val="single" w:sz="8" w:space="0" w:color="auto"/>
              <w:bottom w:val="single" w:sz="8" w:space="0" w:color="auto"/>
            </w:tcBorders>
          </w:tcPr>
          <w:p w14:paraId="7D68C7FC" w14:textId="22C2F2C8"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.009</w:t>
            </w:r>
          </w:p>
        </w:tc>
        <w:tc>
          <w:tcPr>
            <w:tcW w:w="1053" w:type="dxa"/>
            <w:tcBorders>
              <w:top w:val="single" w:sz="8" w:space="0" w:color="auto"/>
              <w:bottom w:val="single" w:sz="8" w:space="0" w:color="auto"/>
            </w:tcBorders>
          </w:tcPr>
          <w:p w14:paraId="37CD0024" w14:textId="6C758CEB"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-.406</w:t>
            </w:r>
          </w:p>
        </w:tc>
        <w:tc>
          <w:tcPr>
            <w:tcW w:w="1053" w:type="dxa"/>
            <w:tcBorders>
              <w:top w:val="single" w:sz="8" w:space="0" w:color="auto"/>
              <w:bottom w:val="single" w:sz="8" w:space="0" w:color="auto"/>
            </w:tcBorders>
          </w:tcPr>
          <w:p w14:paraId="4E8B26A4" w14:textId="417B91E4" w:rsidR="007B4CCB" w:rsidRPr="007B4CCB" w:rsidRDefault="009C742E" w:rsidP="009C742E">
            <w:pPr>
              <w:pStyle w:val="Body"/>
              <w:spacing w:after="0"/>
              <w:jc w:val="center"/>
              <w:rPr>
                <w:rFonts w:ascii="Arial" w:hAnsi="Arial" w:cs="Arial"/>
                <w:sz w:val="20"/>
                <w:szCs w:val="20"/>
              </w:rPr>
            </w:pPr>
            <w:r>
              <w:rPr>
                <w:rFonts w:ascii="Arial" w:hAnsi="Arial" w:cs="Arial"/>
                <w:sz w:val="20"/>
                <w:szCs w:val="20"/>
              </w:rPr>
              <w:t>-.</w:t>
            </w:r>
            <w:r w:rsidR="006020CA">
              <w:rPr>
                <w:rFonts w:ascii="Arial" w:hAnsi="Arial" w:cs="Arial"/>
                <w:sz w:val="20"/>
                <w:szCs w:val="20"/>
              </w:rPr>
              <w:t>14</w:t>
            </w:r>
          </w:p>
        </w:tc>
        <w:tc>
          <w:tcPr>
            <w:tcW w:w="1053" w:type="dxa"/>
            <w:tcBorders>
              <w:top w:val="single" w:sz="8" w:space="0" w:color="auto"/>
              <w:bottom w:val="single" w:sz="8" w:space="0" w:color="auto"/>
            </w:tcBorders>
          </w:tcPr>
          <w:p w14:paraId="4B5638F2" w14:textId="15D03311" w:rsidR="007B4CCB" w:rsidRPr="007B4CCB" w:rsidRDefault="006020CA" w:rsidP="009C742E">
            <w:pPr>
              <w:pStyle w:val="Body"/>
              <w:spacing w:after="0"/>
              <w:jc w:val="center"/>
              <w:rPr>
                <w:rFonts w:ascii="Arial" w:hAnsi="Arial" w:cs="Arial"/>
                <w:sz w:val="20"/>
                <w:szCs w:val="20"/>
              </w:rPr>
            </w:pPr>
            <w:r>
              <w:rPr>
                <w:rFonts w:ascii="Arial" w:hAnsi="Arial" w:cs="Arial"/>
                <w:sz w:val="20"/>
                <w:szCs w:val="20"/>
              </w:rPr>
              <w:t>[</w:t>
            </w:r>
            <w:r w:rsidR="009C742E">
              <w:rPr>
                <w:rFonts w:ascii="Arial" w:hAnsi="Arial" w:cs="Arial"/>
                <w:sz w:val="20"/>
                <w:szCs w:val="20"/>
              </w:rPr>
              <w:t>-.</w:t>
            </w:r>
            <w:r>
              <w:rPr>
                <w:rFonts w:ascii="Arial" w:hAnsi="Arial" w:cs="Arial"/>
                <w:sz w:val="20"/>
                <w:szCs w:val="20"/>
              </w:rPr>
              <w:t>70, -.11]</w:t>
            </w:r>
          </w:p>
        </w:tc>
      </w:tr>
    </w:tbl>
    <w:p w14:paraId="425198AE" w14:textId="77777777" w:rsidR="007B4CCB" w:rsidRPr="00502516" w:rsidRDefault="007B4CCB" w:rsidP="00441B6F">
      <w:pPr>
        <w:pStyle w:val="Body"/>
        <w:spacing w:after="0"/>
        <w:rPr>
          <w:rFonts w:ascii="Arial" w:hAnsi="Arial" w:cs="Arial"/>
        </w:rPr>
      </w:pPr>
    </w:p>
    <w:p w14:paraId="5F708CBF" w14:textId="77777777" w:rsidR="00376BBE" w:rsidRDefault="00376BBE" w:rsidP="00441B6F">
      <w:pPr>
        <w:pStyle w:val="Body"/>
        <w:spacing w:after="0"/>
        <w:rPr>
          <w:rFonts w:ascii="Arial" w:hAnsi="Arial" w:cs="Arial"/>
        </w:rPr>
      </w:pPr>
    </w:p>
    <w:p w14:paraId="7BD45B97" w14:textId="4B791EA0" w:rsidR="00376BBE" w:rsidRPr="00174DA8" w:rsidRDefault="00FD31F7" w:rsidP="00DE4428">
      <w:pPr>
        <w:pStyle w:val="Body"/>
        <w:spacing w:after="0"/>
        <w:jc w:val="center"/>
        <w:rPr>
          <w:rFonts w:ascii="Arial" w:hAnsi="Arial" w:cs="Arial"/>
          <w:b/>
          <w:bCs/>
        </w:rPr>
      </w:pPr>
      <w:r>
        <w:rPr>
          <w:rFonts w:ascii="Arial" w:hAnsi="Arial" w:cs="Arial"/>
          <w:b/>
          <w:bCs/>
        </w:rPr>
        <w:t xml:space="preserve">5.1.5. </w:t>
      </w:r>
      <w:r w:rsidR="00CE3521">
        <w:rPr>
          <w:rFonts w:ascii="Arial" w:hAnsi="Arial" w:cs="Arial"/>
          <w:b/>
          <w:bCs/>
        </w:rPr>
        <w:t xml:space="preserve">Differences on </w:t>
      </w:r>
      <w:r w:rsidR="00DE4428" w:rsidRPr="00174DA8">
        <w:rPr>
          <w:rFonts w:ascii="Arial" w:hAnsi="Arial" w:cs="Arial"/>
          <w:b/>
          <w:bCs/>
        </w:rPr>
        <w:t>Teaching Efficacy</w:t>
      </w:r>
    </w:p>
    <w:p w14:paraId="1CCAB8C0" w14:textId="4E4EBA75" w:rsidR="00927834" w:rsidRDefault="00927834" w:rsidP="00441B6F">
      <w:pPr>
        <w:autoSpaceDE w:val="0"/>
        <w:autoSpaceDN w:val="0"/>
        <w:adjustRightInd w:val="0"/>
        <w:jc w:val="both"/>
        <w:rPr>
          <w:rFonts w:ascii="Arial" w:hAnsi="Arial" w:cs="Arial"/>
          <w:b/>
          <w:bCs/>
          <w:sz w:val="22"/>
          <w:szCs w:val="22"/>
        </w:rPr>
      </w:pPr>
    </w:p>
    <w:p w14:paraId="31422DBA" w14:textId="77777777" w:rsidR="00A70810" w:rsidRDefault="0066363F" w:rsidP="0066363F">
      <w:pPr>
        <w:autoSpaceDE w:val="0"/>
        <w:autoSpaceDN w:val="0"/>
        <w:adjustRightInd w:val="0"/>
        <w:jc w:val="both"/>
        <w:rPr>
          <w:rFonts w:ascii="Arial" w:hAnsi="Arial" w:cs="Arial"/>
        </w:rPr>
      </w:pPr>
      <w:r>
        <w:rPr>
          <w:rFonts w:ascii="Arial" w:hAnsi="Arial" w:cs="Arial"/>
          <w:b/>
          <w:bCs/>
          <w:sz w:val="22"/>
          <w:szCs w:val="22"/>
        </w:rPr>
        <w:tab/>
      </w:r>
      <w:r>
        <w:rPr>
          <w:rFonts w:ascii="Arial" w:hAnsi="Arial" w:cs="Arial"/>
        </w:rPr>
        <w:t xml:space="preserve">Table </w:t>
      </w:r>
      <w:r w:rsidR="007D2A37">
        <w:rPr>
          <w:rFonts w:ascii="Arial" w:hAnsi="Arial" w:cs="Arial"/>
        </w:rPr>
        <w:t>7</w:t>
      </w:r>
      <w:r>
        <w:rPr>
          <w:rFonts w:ascii="Arial" w:hAnsi="Arial" w:cs="Arial"/>
        </w:rPr>
        <w:t xml:space="preserve"> indicates the results of teaching efficacy based on age and years of teaching experience. </w:t>
      </w:r>
      <w:r w:rsidR="00A70810" w:rsidRPr="00A70810">
        <w:rPr>
          <w:rFonts w:ascii="Arial" w:hAnsi="Arial" w:cs="Arial"/>
        </w:rPr>
        <w:t>Among the 25 respondents, 8 (32%) were aged 25-30 years, 10 (40%) were aged 31-35 years, and 7 (28%) were aged 36 years and above. Regarding teaching experience, 6 (24%) had 1-3 years, 8 (32%) had 4-6 years, 7 (28%) had 7-9 years, and 4 (16%) had 10 years or more of teaching experience.</w:t>
      </w:r>
      <w:r w:rsidR="00A70810">
        <w:rPr>
          <w:rFonts w:ascii="Arial" w:hAnsi="Arial" w:cs="Arial"/>
        </w:rPr>
        <w:t xml:space="preserve"> </w:t>
      </w:r>
    </w:p>
    <w:p w14:paraId="15402D09" w14:textId="007F5DE8" w:rsidR="0066363F" w:rsidRDefault="0066363F" w:rsidP="00A70810">
      <w:pPr>
        <w:autoSpaceDE w:val="0"/>
        <w:autoSpaceDN w:val="0"/>
        <w:adjustRightInd w:val="0"/>
        <w:ind w:firstLine="720"/>
        <w:jc w:val="both"/>
        <w:rPr>
          <w:rFonts w:ascii="Arial" w:hAnsi="Arial" w:cs="Arial"/>
        </w:rPr>
      </w:pPr>
      <w:r w:rsidRPr="0066363F">
        <w:rPr>
          <w:rFonts w:ascii="Arial" w:hAnsi="Arial" w:cs="Arial"/>
        </w:rPr>
        <w:t>The results show that there are no statistically significant differences in teaching efficacy when grouped by either age (</w:t>
      </w:r>
      <m:oMath>
        <m:r>
          <w:rPr>
            <w:rFonts w:ascii="Cambria Math" w:hAnsi="Cambria Math" w:cs="Arial"/>
          </w:rPr>
          <m:t>F(2, 22) = 1.55, P = .236</m:t>
        </m:r>
      </m:oMath>
      <w:r w:rsidRPr="0066363F">
        <w:rPr>
          <w:rFonts w:ascii="Arial" w:hAnsi="Arial" w:cs="Arial"/>
        </w:rPr>
        <w:t>) or years of teaching experience (</w:t>
      </w:r>
      <m:oMath>
        <m:r>
          <w:rPr>
            <w:rFonts w:ascii="Cambria Math" w:hAnsi="Cambria Math" w:cs="Arial"/>
          </w:rPr>
          <m:t>F(3, 21) = 0.83, P = .49</m:t>
        </m:r>
      </m:oMath>
      <w:r w:rsidRPr="0066363F">
        <w:rPr>
          <w:rFonts w:ascii="Arial" w:hAnsi="Arial" w:cs="Arial"/>
        </w:rPr>
        <w:t>). This means that, on average, teachers across different age groups and experience levels feel similarly confident in their teaching ab</w:t>
      </w:r>
      <w:proofErr w:type="spellStart"/>
      <w:r w:rsidRPr="0066363F">
        <w:rPr>
          <w:rFonts w:ascii="Arial" w:hAnsi="Arial" w:cs="Arial"/>
        </w:rPr>
        <w:t>ilities</w:t>
      </w:r>
      <w:proofErr w:type="spellEnd"/>
      <w:r w:rsidRPr="0066363F">
        <w:rPr>
          <w:rFonts w:ascii="Arial" w:hAnsi="Arial" w:cs="Arial"/>
        </w:rPr>
        <w:t>, classroom strategies, and ability to engage students.</w:t>
      </w:r>
    </w:p>
    <w:p w14:paraId="3D53F6E4" w14:textId="6AB2959B" w:rsidR="0066363F" w:rsidRPr="0066363F" w:rsidRDefault="0066363F" w:rsidP="0066363F">
      <w:pPr>
        <w:autoSpaceDE w:val="0"/>
        <w:autoSpaceDN w:val="0"/>
        <w:adjustRightInd w:val="0"/>
        <w:ind w:firstLine="720"/>
        <w:jc w:val="both"/>
        <w:rPr>
          <w:rFonts w:ascii="Arial" w:hAnsi="Arial" w:cs="Arial"/>
        </w:rPr>
      </w:pPr>
      <w:r w:rsidRPr="0066363F">
        <w:rPr>
          <w:rFonts w:ascii="Arial" w:hAnsi="Arial" w:cs="Arial"/>
        </w:rPr>
        <w:t>These findings support the idea that teaching efficacy may be shaped more by ongoing professional development and support systems rather than just age or experience</w:t>
      </w:r>
      <w:r>
        <w:rPr>
          <w:rFonts w:ascii="Arial" w:hAnsi="Arial" w:cs="Arial"/>
        </w:rPr>
        <w:t xml:space="preserve"> (</w:t>
      </w:r>
      <w:proofErr w:type="spellStart"/>
      <w:r>
        <w:rPr>
          <w:rFonts w:ascii="Arial" w:hAnsi="Arial" w:cs="Arial"/>
        </w:rPr>
        <w:t>Yoo</w:t>
      </w:r>
      <w:proofErr w:type="spellEnd"/>
      <w:r>
        <w:rPr>
          <w:rFonts w:ascii="Arial" w:hAnsi="Arial" w:cs="Arial"/>
        </w:rPr>
        <w:t>, 2016)</w:t>
      </w:r>
      <w:r w:rsidRPr="0066363F">
        <w:rPr>
          <w:rFonts w:ascii="Arial" w:hAnsi="Arial" w:cs="Arial"/>
        </w:rPr>
        <w:t xml:space="preserve">. According to </w:t>
      </w:r>
      <w:r w:rsidR="000425BF">
        <w:rPr>
          <w:rFonts w:ascii="Arial" w:hAnsi="Arial" w:cs="Arial"/>
        </w:rPr>
        <w:t>Clark and Newberry</w:t>
      </w:r>
      <w:r w:rsidRPr="0066363F">
        <w:rPr>
          <w:rFonts w:ascii="Arial" w:hAnsi="Arial" w:cs="Arial"/>
        </w:rPr>
        <w:t xml:space="preserve"> (20</w:t>
      </w:r>
      <w:r w:rsidR="000425BF">
        <w:rPr>
          <w:rFonts w:ascii="Arial" w:hAnsi="Arial" w:cs="Arial"/>
        </w:rPr>
        <w:t>18</w:t>
      </w:r>
      <w:r w:rsidRPr="0066363F">
        <w:rPr>
          <w:rFonts w:ascii="Arial" w:hAnsi="Arial" w:cs="Arial"/>
        </w:rPr>
        <w:t>), teaching efficacy is strongly influenced by mastery experiences, feedback, and contextual support — which are not always tied to how long someone has been teaching.</w:t>
      </w:r>
    </w:p>
    <w:p w14:paraId="281E7232" w14:textId="77777777" w:rsidR="00927834" w:rsidRDefault="00927834" w:rsidP="00441B6F">
      <w:pPr>
        <w:autoSpaceDE w:val="0"/>
        <w:autoSpaceDN w:val="0"/>
        <w:adjustRightInd w:val="0"/>
        <w:jc w:val="both"/>
        <w:rPr>
          <w:rFonts w:ascii="Arial" w:hAnsi="Arial" w:cs="Arial"/>
          <w:b/>
          <w:bCs/>
          <w:szCs w:val="22"/>
        </w:rPr>
      </w:pPr>
    </w:p>
    <w:p w14:paraId="1FC4F90D" w14:textId="511C7993" w:rsidR="00FD4FC9" w:rsidRDefault="000425BF" w:rsidP="000425BF">
      <w:pPr>
        <w:pStyle w:val="Body"/>
        <w:spacing w:after="0"/>
        <w:jc w:val="left"/>
        <w:rPr>
          <w:rFonts w:ascii="Arial" w:hAnsi="Arial" w:cs="Arial"/>
        </w:rPr>
      </w:pPr>
      <w:r>
        <w:rPr>
          <w:rFonts w:ascii="Arial" w:hAnsi="Arial" w:cs="Arial"/>
        </w:rPr>
        <w:t xml:space="preserve">Table </w:t>
      </w:r>
      <w:r w:rsidR="007D2A37">
        <w:rPr>
          <w:rFonts w:ascii="Arial" w:hAnsi="Arial" w:cs="Arial"/>
        </w:rPr>
        <w:t>7</w:t>
      </w:r>
      <w:r>
        <w:rPr>
          <w:rFonts w:ascii="Arial" w:hAnsi="Arial" w:cs="Arial"/>
        </w:rPr>
        <w:t>. Teaching Efficacy Scores According to Age and Years of 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5"/>
        <w:gridCol w:w="1685"/>
        <w:gridCol w:w="1685"/>
        <w:gridCol w:w="1685"/>
      </w:tblGrid>
      <w:tr w:rsidR="000425BF" w:rsidRPr="00FD4FC9" w14:paraId="319218EC" w14:textId="77777777" w:rsidTr="00FD4FC9">
        <w:tc>
          <w:tcPr>
            <w:tcW w:w="1684" w:type="dxa"/>
            <w:tcBorders>
              <w:top w:val="single" w:sz="8" w:space="0" w:color="auto"/>
              <w:bottom w:val="single" w:sz="8" w:space="0" w:color="auto"/>
            </w:tcBorders>
            <w:vAlign w:val="center"/>
          </w:tcPr>
          <w:p w14:paraId="6AD8F3CA" w14:textId="27BC14D1" w:rsidR="000425BF" w:rsidRPr="00FD4FC9" w:rsidRDefault="000425BF" w:rsidP="000425BF">
            <w:pPr>
              <w:pStyle w:val="Body"/>
              <w:spacing w:after="0"/>
              <w:jc w:val="center"/>
              <w:rPr>
                <w:rFonts w:ascii="Arial" w:hAnsi="Arial" w:cs="Arial"/>
                <w:b/>
                <w:bCs/>
                <w:sz w:val="20"/>
                <w:szCs w:val="20"/>
              </w:rPr>
            </w:pPr>
            <w:r w:rsidRPr="00FD4FC9">
              <w:rPr>
                <w:rFonts w:ascii="Arial" w:hAnsi="Arial" w:cs="Arial"/>
                <w:b/>
                <w:bCs/>
                <w:sz w:val="20"/>
                <w:szCs w:val="20"/>
              </w:rPr>
              <w:t>Profile Variable</w:t>
            </w:r>
          </w:p>
        </w:tc>
        <w:tc>
          <w:tcPr>
            <w:tcW w:w="1685" w:type="dxa"/>
            <w:tcBorders>
              <w:top w:val="single" w:sz="8" w:space="0" w:color="auto"/>
              <w:bottom w:val="single" w:sz="8" w:space="0" w:color="auto"/>
            </w:tcBorders>
            <w:vAlign w:val="center"/>
          </w:tcPr>
          <w:p w14:paraId="200D7B47" w14:textId="1B93EC5D" w:rsidR="000425BF" w:rsidRPr="00FD4FC9" w:rsidRDefault="000425BF" w:rsidP="000425BF">
            <w:pPr>
              <w:pStyle w:val="Body"/>
              <w:spacing w:after="0"/>
              <w:jc w:val="center"/>
              <w:rPr>
                <w:rFonts w:ascii="Arial" w:hAnsi="Arial" w:cs="Arial"/>
                <w:b/>
                <w:bCs/>
                <w:sz w:val="20"/>
                <w:szCs w:val="20"/>
              </w:rPr>
            </w:pPr>
            <w:r w:rsidRPr="00FD4FC9">
              <w:rPr>
                <w:rFonts w:ascii="Arial" w:hAnsi="Arial" w:cs="Arial"/>
                <w:b/>
                <w:bCs/>
                <w:sz w:val="20"/>
                <w:szCs w:val="20"/>
              </w:rPr>
              <w:t>Test</w:t>
            </w:r>
          </w:p>
        </w:tc>
        <w:tc>
          <w:tcPr>
            <w:tcW w:w="1685" w:type="dxa"/>
            <w:tcBorders>
              <w:top w:val="single" w:sz="8" w:space="0" w:color="auto"/>
              <w:bottom w:val="single" w:sz="8" w:space="0" w:color="auto"/>
            </w:tcBorders>
            <w:vAlign w:val="center"/>
          </w:tcPr>
          <w:p w14:paraId="403F260A" w14:textId="39917D95" w:rsidR="000425BF" w:rsidRPr="00FD4FC9" w:rsidRDefault="000425BF" w:rsidP="000425BF">
            <w:pPr>
              <w:pStyle w:val="Body"/>
              <w:spacing w:after="0"/>
              <w:jc w:val="center"/>
              <w:rPr>
                <w:rFonts w:ascii="Arial" w:hAnsi="Arial" w:cs="Arial"/>
                <w:b/>
                <w:bCs/>
                <w:sz w:val="20"/>
                <w:szCs w:val="20"/>
              </w:rPr>
            </w:pPr>
            <w:r w:rsidRPr="00FD4FC9">
              <w:rPr>
                <w:rFonts w:ascii="Arial" w:hAnsi="Arial" w:cs="Arial"/>
                <w:b/>
                <w:bCs/>
                <w:sz w:val="20"/>
                <w:szCs w:val="20"/>
              </w:rPr>
              <w:t xml:space="preserve">Df (Between, </w:t>
            </w:r>
            <w:proofErr w:type="spellStart"/>
            <w:r w:rsidRPr="00FD4FC9">
              <w:rPr>
                <w:rFonts w:ascii="Arial" w:hAnsi="Arial" w:cs="Arial"/>
                <w:b/>
                <w:bCs/>
                <w:sz w:val="20"/>
                <w:szCs w:val="20"/>
              </w:rPr>
              <w:t>Withing</w:t>
            </w:r>
            <w:proofErr w:type="spellEnd"/>
            <w:r w:rsidRPr="00FD4FC9">
              <w:rPr>
                <w:rFonts w:ascii="Arial" w:hAnsi="Arial" w:cs="Arial"/>
                <w:b/>
                <w:bCs/>
                <w:sz w:val="20"/>
                <w:szCs w:val="20"/>
              </w:rPr>
              <w:t xml:space="preserve"> Groups)</w:t>
            </w:r>
          </w:p>
        </w:tc>
        <w:tc>
          <w:tcPr>
            <w:tcW w:w="1685" w:type="dxa"/>
            <w:tcBorders>
              <w:top w:val="single" w:sz="8" w:space="0" w:color="auto"/>
              <w:bottom w:val="single" w:sz="8" w:space="0" w:color="auto"/>
            </w:tcBorders>
            <w:vAlign w:val="center"/>
          </w:tcPr>
          <w:p w14:paraId="51A31FE7" w14:textId="3F6A6E98" w:rsidR="000425BF" w:rsidRPr="00FD4FC9" w:rsidRDefault="000425BF" w:rsidP="000425BF">
            <w:pPr>
              <w:pStyle w:val="Body"/>
              <w:spacing w:after="0"/>
              <w:jc w:val="center"/>
              <w:rPr>
                <w:rFonts w:ascii="Arial" w:hAnsi="Arial" w:cs="Arial"/>
                <w:b/>
                <w:bCs/>
                <w:sz w:val="20"/>
                <w:szCs w:val="20"/>
              </w:rPr>
            </w:pPr>
            <w:r w:rsidRPr="00FD4FC9">
              <w:rPr>
                <w:rFonts w:ascii="Arial" w:hAnsi="Arial" w:cs="Arial"/>
                <w:b/>
                <w:bCs/>
                <w:i/>
                <w:iCs/>
                <w:sz w:val="20"/>
                <w:szCs w:val="20"/>
              </w:rPr>
              <w:t>F</w:t>
            </w:r>
            <w:r w:rsidRPr="00FD4FC9">
              <w:rPr>
                <w:rFonts w:ascii="Arial" w:hAnsi="Arial" w:cs="Arial"/>
                <w:b/>
                <w:bCs/>
                <w:sz w:val="20"/>
                <w:szCs w:val="20"/>
              </w:rPr>
              <w:t>-value</w:t>
            </w:r>
          </w:p>
        </w:tc>
        <w:tc>
          <w:tcPr>
            <w:tcW w:w="1685" w:type="dxa"/>
            <w:tcBorders>
              <w:top w:val="single" w:sz="8" w:space="0" w:color="auto"/>
              <w:bottom w:val="single" w:sz="8" w:space="0" w:color="auto"/>
            </w:tcBorders>
            <w:vAlign w:val="center"/>
          </w:tcPr>
          <w:p w14:paraId="7A0BCBB0" w14:textId="5313AD20" w:rsidR="000425BF" w:rsidRPr="00FD4FC9" w:rsidRDefault="000425BF" w:rsidP="000425BF">
            <w:pPr>
              <w:pStyle w:val="Body"/>
              <w:spacing w:after="0"/>
              <w:jc w:val="center"/>
              <w:rPr>
                <w:rFonts w:ascii="Arial" w:hAnsi="Arial" w:cs="Arial"/>
                <w:b/>
                <w:bCs/>
                <w:sz w:val="20"/>
                <w:szCs w:val="20"/>
              </w:rPr>
            </w:pPr>
            <w:r w:rsidRPr="00FD4FC9">
              <w:rPr>
                <w:rFonts w:ascii="Arial" w:hAnsi="Arial" w:cs="Arial"/>
                <w:b/>
                <w:bCs/>
                <w:i/>
                <w:iCs/>
                <w:sz w:val="20"/>
                <w:szCs w:val="20"/>
              </w:rPr>
              <w:t>P</w:t>
            </w:r>
            <w:r w:rsidRPr="00FD4FC9">
              <w:rPr>
                <w:rFonts w:ascii="Arial" w:hAnsi="Arial" w:cs="Arial"/>
                <w:b/>
                <w:bCs/>
                <w:sz w:val="20"/>
                <w:szCs w:val="20"/>
              </w:rPr>
              <w:t>-value</w:t>
            </w:r>
          </w:p>
        </w:tc>
      </w:tr>
      <w:tr w:rsidR="000425BF" w:rsidRPr="00FD4FC9" w14:paraId="325F05F1" w14:textId="77777777" w:rsidTr="00FD4FC9">
        <w:tc>
          <w:tcPr>
            <w:tcW w:w="1684" w:type="dxa"/>
            <w:tcBorders>
              <w:top w:val="single" w:sz="8" w:space="0" w:color="auto"/>
            </w:tcBorders>
          </w:tcPr>
          <w:p w14:paraId="2FAE71FB" w14:textId="77777777" w:rsidR="000425BF" w:rsidRDefault="000425BF" w:rsidP="000425BF">
            <w:pPr>
              <w:pStyle w:val="Body"/>
              <w:spacing w:after="0"/>
              <w:jc w:val="left"/>
              <w:rPr>
                <w:rFonts w:ascii="Arial" w:hAnsi="Arial" w:cs="Arial"/>
                <w:sz w:val="20"/>
                <w:szCs w:val="20"/>
              </w:rPr>
            </w:pPr>
            <w:r w:rsidRPr="00FD4FC9">
              <w:rPr>
                <w:rFonts w:ascii="Arial" w:hAnsi="Arial" w:cs="Arial"/>
                <w:sz w:val="20"/>
                <w:szCs w:val="20"/>
              </w:rPr>
              <w:t>Age</w:t>
            </w:r>
          </w:p>
          <w:p w14:paraId="4CD2E47C" w14:textId="6A508FED" w:rsidR="00FD4FC9" w:rsidRPr="00FD4FC9" w:rsidRDefault="00FD4FC9" w:rsidP="000425BF">
            <w:pPr>
              <w:pStyle w:val="Body"/>
              <w:spacing w:after="0"/>
              <w:jc w:val="left"/>
              <w:rPr>
                <w:rFonts w:ascii="Arial" w:hAnsi="Arial" w:cs="Arial"/>
                <w:sz w:val="20"/>
                <w:szCs w:val="20"/>
              </w:rPr>
            </w:pPr>
          </w:p>
        </w:tc>
        <w:tc>
          <w:tcPr>
            <w:tcW w:w="1685" w:type="dxa"/>
            <w:tcBorders>
              <w:top w:val="single" w:sz="8" w:space="0" w:color="auto"/>
            </w:tcBorders>
          </w:tcPr>
          <w:p w14:paraId="51943F37" w14:textId="14BD41C7"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ANOVA</w:t>
            </w:r>
          </w:p>
        </w:tc>
        <w:tc>
          <w:tcPr>
            <w:tcW w:w="1685" w:type="dxa"/>
            <w:tcBorders>
              <w:top w:val="single" w:sz="8" w:space="0" w:color="auto"/>
            </w:tcBorders>
          </w:tcPr>
          <w:p w14:paraId="3F49F679" w14:textId="41B4A324"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(2, 22)</w:t>
            </w:r>
          </w:p>
        </w:tc>
        <w:tc>
          <w:tcPr>
            <w:tcW w:w="1685" w:type="dxa"/>
            <w:tcBorders>
              <w:top w:val="single" w:sz="8" w:space="0" w:color="auto"/>
            </w:tcBorders>
          </w:tcPr>
          <w:p w14:paraId="13816377" w14:textId="3FB6E8F3"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1.55</w:t>
            </w:r>
          </w:p>
        </w:tc>
        <w:tc>
          <w:tcPr>
            <w:tcW w:w="1685" w:type="dxa"/>
            <w:tcBorders>
              <w:top w:val="single" w:sz="8" w:space="0" w:color="auto"/>
            </w:tcBorders>
          </w:tcPr>
          <w:p w14:paraId="65D18819" w14:textId="0716E37C"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.236</w:t>
            </w:r>
          </w:p>
        </w:tc>
      </w:tr>
      <w:tr w:rsidR="000425BF" w:rsidRPr="00FD4FC9" w14:paraId="47552613" w14:textId="77777777" w:rsidTr="00FD4FC9">
        <w:tc>
          <w:tcPr>
            <w:tcW w:w="1684" w:type="dxa"/>
            <w:tcBorders>
              <w:bottom w:val="single" w:sz="8" w:space="0" w:color="auto"/>
            </w:tcBorders>
          </w:tcPr>
          <w:p w14:paraId="0273C6BF" w14:textId="29383C06" w:rsidR="000425BF" w:rsidRPr="00FD4FC9" w:rsidRDefault="000425BF" w:rsidP="000425BF">
            <w:pPr>
              <w:pStyle w:val="Body"/>
              <w:spacing w:after="0"/>
              <w:jc w:val="left"/>
              <w:rPr>
                <w:rFonts w:ascii="Arial" w:hAnsi="Arial" w:cs="Arial"/>
                <w:sz w:val="20"/>
                <w:szCs w:val="20"/>
              </w:rPr>
            </w:pPr>
            <w:r w:rsidRPr="00FD4FC9">
              <w:rPr>
                <w:rFonts w:ascii="Arial" w:hAnsi="Arial" w:cs="Arial"/>
                <w:sz w:val="20"/>
                <w:szCs w:val="20"/>
              </w:rPr>
              <w:t>Years of Teaching Experience</w:t>
            </w:r>
          </w:p>
        </w:tc>
        <w:tc>
          <w:tcPr>
            <w:tcW w:w="1685" w:type="dxa"/>
            <w:tcBorders>
              <w:bottom w:val="single" w:sz="8" w:space="0" w:color="auto"/>
            </w:tcBorders>
          </w:tcPr>
          <w:p w14:paraId="2E9C38D9" w14:textId="0931B96D"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ANOVA</w:t>
            </w:r>
          </w:p>
        </w:tc>
        <w:tc>
          <w:tcPr>
            <w:tcW w:w="1685" w:type="dxa"/>
            <w:tcBorders>
              <w:bottom w:val="single" w:sz="8" w:space="0" w:color="auto"/>
            </w:tcBorders>
          </w:tcPr>
          <w:p w14:paraId="3A3D9DCC" w14:textId="2ED20EA6"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(3, 21)</w:t>
            </w:r>
          </w:p>
        </w:tc>
        <w:tc>
          <w:tcPr>
            <w:tcW w:w="1685" w:type="dxa"/>
            <w:tcBorders>
              <w:bottom w:val="single" w:sz="8" w:space="0" w:color="auto"/>
            </w:tcBorders>
          </w:tcPr>
          <w:p w14:paraId="68DB7818" w14:textId="6C951701"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.83</w:t>
            </w:r>
          </w:p>
        </w:tc>
        <w:tc>
          <w:tcPr>
            <w:tcW w:w="1685" w:type="dxa"/>
            <w:tcBorders>
              <w:bottom w:val="single" w:sz="8" w:space="0" w:color="auto"/>
            </w:tcBorders>
          </w:tcPr>
          <w:p w14:paraId="469B1A84" w14:textId="785EB4B8" w:rsidR="000425BF" w:rsidRPr="00FD4FC9" w:rsidRDefault="000425BF" w:rsidP="000425BF">
            <w:pPr>
              <w:pStyle w:val="Body"/>
              <w:spacing w:after="0"/>
              <w:jc w:val="center"/>
              <w:rPr>
                <w:rFonts w:ascii="Arial" w:hAnsi="Arial" w:cs="Arial"/>
                <w:sz w:val="20"/>
                <w:szCs w:val="20"/>
              </w:rPr>
            </w:pPr>
            <w:r w:rsidRPr="00FD4FC9">
              <w:rPr>
                <w:rFonts w:ascii="Arial" w:hAnsi="Arial" w:cs="Arial"/>
                <w:sz w:val="20"/>
                <w:szCs w:val="20"/>
              </w:rPr>
              <w:t>.49</w:t>
            </w:r>
          </w:p>
        </w:tc>
      </w:tr>
    </w:tbl>
    <w:p w14:paraId="59F60255" w14:textId="440D1592" w:rsidR="00790ADA" w:rsidRDefault="00790ADA" w:rsidP="00441B6F">
      <w:pPr>
        <w:pStyle w:val="Body"/>
        <w:spacing w:after="0"/>
        <w:rPr>
          <w:rFonts w:ascii="Arial" w:hAnsi="Arial" w:cs="Arial"/>
        </w:rPr>
      </w:pPr>
    </w:p>
    <w:p w14:paraId="45016099" w14:textId="2BE753CA" w:rsidR="000425BF" w:rsidRDefault="000425BF" w:rsidP="00441B6F">
      <w:pPr>
        <w:pStyle w:val="Body"/>
        <w:spacing w:after="0"/>
        <w:rPr>
          <w:rFonts w:ascii="Arial" w:hAnsi="Arial" w:cs="Arial"/>
        </w:rPr>
      </w:pPr>
    </w:p>
    <w:p w14:paraId="6486422C" w14:textId="03F0DC3A" w:rsidR="000425BF" w:rsidRDefault="000425BF" w:rsidP="00441B6F">
      <w:pPr>
        <w:pStyle w:val="Body"/>
        <w:spacing w:after="0"/>
        <w:rPr>
          <w:rFonts w:ascii="Arial" w:hAnsi="Arial" w:cs="Arial"/>
        </w:rPr>
      </w:pPr>
      <w:r>
        <w:rPr>
          <w:rFonts w:ascii="Arial" w:hAnsi="Arial" w:cs="Arial"/>
        </w:rPr>
        <w:tab/>
        <w:t xml:space="preserve">Table </w:t>
      </w:r>
      <w:r w:rsidR="00A70810">
        <w:rPr>
          <w:rFonts w:ascii="Arial" w:hAnsi="Arial" w:cs="Arial"/>
        </w:rPr>
        <w:t>8</w:t>
      </w:r>
      <w:r>
        <w:rPr>
          <w:rFonts w:ascii="Arial" w:hAnsi="Arial" w:cs="Arial"/>
        </w:rPr>
        <w:t xml:space="preserve"> illustrates the findings of teaching efficacy according to gender. </w:t>
      </w:r>
      <w:r w:rsidR="00A70810" w:rsidRPr="00A70810">
        <w:rPr>
          <w:rFonts w:ascii="Arial" w:hAnsi="Arial" w:cs="Arial"/>
        </w:rPr>
        <w:t xml:space="preserve">Of the 25 respondents, 14 (56%) were female and 11 (44%) were male. </w:t>
      </w:r>
      <w:r w:rsidRPr="000425BF">
        <w:rPr>
          <w:rFonts w:ascii="Arial" w:hAnsi="Arial" w:cs="Arial"/>
        </w:rPr>
        <w:t>The t-test result for teaching efficacy based on gender shows no significant difference between male and female teachers (</w:t>
      </w:r>
      <m:oMath>
        <m:r>
          <w:rPr>
            <w:rFonts w:ascii="Cambria Math" w:hAnsi="Cambria Math" w:cs="Arial"/>
          </w:rPr>
          <m:t>t(23) = -0.81, P = .425</m:t>
        </m:r>
      </m:oMath>
      <w:r w:rsidRPr="000425BF">
        <w:rPr>
          <w:rFonts w:ascii="Arial" w:hAnsi="Arial" w:cs="Arial"/>
        </w:rPr>
        <w:t>). This means that, on average, both genders report similar levels of confidence in their teaching strategies, classroom management, and student engagement.</w:t>
      </w:r>
    </w:p>
    <w:p w14:paraId="5BBCDCB9" w14:textId="7290146A" w:rsidR="000425BF" w:rsidRDefault="000425BF" w:rsidP="00441B6F">
      <w:pPr>
        <w:pStyle w:val="Body"/>
        <w:spacing w:after="0"/>
        <w:rPr>
          <w:rFonts w:ascii="Arial" w:hAnsi="Arial" w:cs="Arial"/>
        </w:rPr>
      </w:pPr>
      <w:r>
        <w:rPr>
          <w:rFonts w:ascii="Arial" w:hAnsi="Arial" w:cs="Arial"/>
        </w:rPr>
        <w:tab/>
      </w:r>
      <w:r w:rsidR="0067664A" w:rsidRPr="0067664A">
        <w:rPr>
          <w:rFonts w:ascii="Arial" w:hAnsi="Arial" w:cs="Arial"/>
        </w:rPr>
        <w:t>Multiple studies found no significant differences between male and female teachers' efficacy scores</w:t>
      </w:r>
      <w:r w:rsidR="0067664A">
        <w:rPr>
          <w:rFonts w:ascii="Arial" w:hAnsi="Arial" w:cs="Arial"/>
        </w:rPr>
        <w:t xml:space="preserve"> (</w:t>
      </w:r>
      <w:proofErr w:type="spellStart"/>
      <w:r w:rsidR="0067664A" w:rsidRPr="0067664A">
        <w:rPr>
          <w:rFonts w:ascii="Arial" w:hAnsi="Arial" w:cs="Arial"/>
        </w:rPr>
        <w:t>Lysinge</w:t>
      </w:r>
      <w:proofErr w:type="spellEnd"/>
      <w:r w:rsidR="0067664A" w:rsidRPr="0067664A">
        <w:rPr>
          <w:rFonts w:ascii="Arial" w:hAnsi="Arial" w:cs="Arial"/>
        </w:rPr>
        <w:t>, 2019</w:t>
      </w:r>
      <w:r w:rsidR="0067664A">
        <w:rPr>
          <w:rFonts w:ascii="Arial" w:hAnsi="Arial" w:cs="Arial"/>
        </w:rPr>
        <w:t>)</w:t>
      </w:r>
      <w:r w:rsidRPr="000425BF">
        <w:rPr>
          <w:rFonts w:ascii="Arial" w:hAnsi="Arial" w:cs="Arial"/>
        </w:rPr>
        <w:t xml:space="preserve">. As </w:t>
      </w:r>
      <w:proofErr w:type="spellStart"/>
      <w:r w:rsidR="00E67051">
        <w:rPr>
          <w:rFonts w:ascii="Arial" w:hAnsi="Arial" w:cs="Arial"/>
        </w:rPr>
        <w:t>Haverback</w:t>
      </w:r>
      <w:proofErr w:type="spellEnd"/>
      <w:r w:rsidR="00E67051">
        <w:rPr>
          <w:rFonts w:ascii="Arial" w:hAnsi="Arial" w:cs="Arial"/>
        </w:rPr>
        <w:t xml:space="preserve"> </w:t>
      </w:r>
      <w:r w:rsidRPr="000425BF">
        <w:rPr>
          <w:rFonts w:ascii="Arial" w:hAnsi="Arial" w:cs="Arial"/>
        </w:rPr>
        <w:t>(</w:t>
      </w:r>
      <w:r w:rsidR="00E67051">
        <w:rPr>
          <w:rFonts w:ascii="Arial" w:hAnsi="Arial" w:cs="Arial"/>
        </w:rPr>
        <w:t>2022</w:t>
      </w:r>
      <w:r w:rsidRPr="000425BF">
        <w:rPr>
          <w:rFonts w:ascii="Arial" w:hAnsi="Arial" w:cs="Arial"/>
        </w:rPr>
        <w:t xml:space="preserve">) emphasized </w:t>
      </w:r>
      <w:r w:rsidR="00E67051">
        <w:rPr>
          <w:rFonts w:ascii="Arial" w:hAnsi="Arial" w:cs="Arial"/>
        </w:rPr>
        <w:t xml:space="preserve">through the lens of </w:t>
      </w:r>
      <w:r w:rsidRPr="000425BF">
        <w:rPr>
          <w:rFonts w:ascii="Arial" w:hAnsi="Arial" w:cs="Arial"/>
        </w:rPr>
        <w:t>Social Cognitive Theory, self-efficacy develops from mastery experiences, vicarious learning, and feedback, which are accessible to teachers regardless of gender.</w:t>
      </w:r>
    </w:p>
    <w:p w14:paraId="1C6C1375" w14:textId="73B2A247" w:rsidR="00E67051" w:rsidRDefault="00E67051" w:rsidP="00441B6F">
      <w:pPr>
        <w:pStyle w:val="Body"/>
        <w:spacing w:after="0"/>
        <w:rPr>
          <w:rFonts w:ascii="Arial" w:hAnsi="Arial" w:cs="Arial"/>
        </w:rPr>
      </w:pPr>
    </w:p>
    <w:p w14:paraId="6CC27654" w14:textId="614DA386" w:rsidR="00E67051" w:rsidRDefault="00E67051" w:rsidP="00E67051">
      <w:pPr>
        <w:pStyle w:val="Body"/>
        <w:spacing w:after="0"/>
        <w:jc w:val="left"/>
        <w:rPr>
          <w:rFonts w:ascii="Arial" w:hAnsi="Arial" w:cs="Arial"/>
        </w:rPr>
      </w:pPr>
      <w:r>
        <w:rPr>
          <w:rFonts w:ascii="Arial" w:hAnsi="Arial" w:cs="Arial"/>
        </w:rPr>
        <w:t xml:space="preserve">Table </w:t>
      </w:r>
      <w:r w:rsidR="00A70810">
        <w:rPr>
          <w:rFonts w:ascii="Arial" w:hAnsi="Arial" w:cs="Arial"/>
        </w:rPr>
        <w:t>8</w:t>
      </w:r>
      <w:r>
        <w:rPr>
          <w:rFonts w:ascii="Arial" w:hAnsi="Arial" w:cs="Arial"/>
        </w:rPr>
        <w:t>. Teaching Efficacy Scores According to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675"/>
        <w:gridCol w:w="836"/>
        <w:gridCol w:w="739"/>
        <w:gridCol w:w="887"/>
        <w:gridCol w:w="887"/>
        <w:gridCol w:w="1195"/>
        <w:gridCol w:w="876"/>
        <w:gridCol w:w="1305"/>
      </w:tblGrid>
      <w:tr w:rsidR="00E67051" w14:paraId="608AD126" w14:textId="77777777" w:rsidTr="00E67051">
        <w:tc>
          <w:tcPr>
            <w:tcW w:w="1024" w:type="dxa"/>
            <w:tcBorders>
              <w:top w:val="single" w:sz="8" w:space="0" w:color="auto"/>
              <w:bottom w:val="single" w:sz="8" w:space="0" w:color="auto"/>
            </w:tcBorders>
          </w:tcPr>
          <w:p w14:paraId="7B426368" w14:textId="77777777" w:rsidR="00E67051" w:rsidRPr="000425BF" w:rsidRDefault="00E67051" w:rsidP="00CE31C6">
            <w:pPr>
              <w:pStyle w:val="Body"/>
              <w:spacing w:after="0"/>
              <w:jc w:val="left"/>
              <w:rPr>
                <w:rFonts w:ascii="Arial" w:hAnsi="Arial" w:cs="Arial"/>
                <w:b/>
                <w:bCs/>
                <w:sz w:val="20"/>
                <w:szCs w:val="20"/>
              </w:rPr>
            </w:pPr>
            <w:r w:rsidRPr="000425BF">
              <w:rPr>
                <w:rFonts w:ascii="Arial" w:hAnsi="Arial" w:cs="Arial"/>
                <w:b/>
                <w:bCs/>
                <w:sz w:val="20"/>
                <w:szCs w:val="20"/>
              </w:rPr>
              <w:t>Profile Variable</w:t>
            </w:r>
          </w:p>
        </w:tc>
        <w:tc>
          <w:tcPr>
            <w:tcW w:w="675" w:type="dxa"/>
            <w:tcBorders>
              <w:top w:val="single" w:sz="8" w:space="0" w:color="auto"/>
              <w:bottom w:val="single" w:sz="8" w:space="0" w:color="auto"/>
            </w:tcBorders>
          </w:tcPr>
          <w:p w14:paraId="0AC7A83F" w14:textId="77777777" w:rsidR="00E67051" w:rsidRPr="000425BF" w:rsidRDefault="00E67051" w:rsidP="00CE31C6">
            <w:pPr>
              <w:pStyle w:val="Body"/>
              <w:spacing w:after="0"/>
              <w:jc w:val="center"/>
              <w:rPr>
                <w:rFonts w:ascii="Arial" w:hAnsi="Arial" w:cs="Arial"/>
                <w:b/>
                <w:bCs/>
              </w:rPr>
            </w:pPr>
          </w:p>
        </w:tc>
        <w:tc>
          <w:tcPr>
            <w:tcW w:w="836" w:type="dxa"/>
            <w:tcBorders>
              <w:top w:val="single" w:sz="8" w:space="0" w:color="auto"/>
              <w:bottom w:val="single" w:sz="8" w:space="0" w:color="auto"/>
            </w:tcBorders>
          </w:tcPr>
          <w:p w14:paraId="3CEC8664" w14:textId="0BC7CB1C"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sz w:val="20"/>
                <w:szCs w:val="20"/>
              </w:rPr>
              <w:t>Test</w:t>
            </w:r>
          </w:p>
        </w:tc>
        <w:tc>
          <w:tcPr>
            <w:tcW w:w="739" w:type="dxa"/>
            <w:tcBorders>
              <w:top w:val="single" w:sz="8" w:space="0" w:color="auto"/>
              <w:bottom w:val="single" w:sz="8" w:space="0" w:color="auto"/>
            </w:tcBorders>
          </w:tcPr>
          <w:p w14:paraId="58EC7CAC"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sz w:val="20"/>
                <w:szCs w:val="20"/>
              </w:rPr>
              <w:t>df</w:t>
            </w:r>
          </w:p>
        </w:tc>
        <w:tc>
          <w:tcPr>
            <w:tcW w:w="887" w:type="dxa"/>
            <w:tcBorders>
              <w:top w:val="single" w:sz="8" w:space="0" w:color="auto"/>
              <w:bottom w:val="single" w:sz="8" w:space="0" w:color="auto"/>
            </w:tcBorders>
          </w:tcPr>
          <w:p w14:paraId="0377C43B"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i/>
                <w:iCs/>
                <w:sz w:val="20"/>
                <w:szCs w:val="20"/>
              </w:rPr>
              <w:t>t</w:t>
            </w:r>
            <w:r w:rsidRPr="000425BF">
              <w:rPr>
                <w:rFonts w:ascii="Arial" w:hAnsi="Arial" w:cs="Arial"/>
                <w:b/>
                <w:bCs/>
                <w:sz w:val="20"/>
                <w:szCs w:val="20"/>
              </w:rPr>
              <w:t>-value</w:t>
            </w:r>
          </w:p>
        </w:tc>
        <w:tc>
          <w:tcPr>
            <w:tcW w:w="887" w:type="dxa"/>
            <w:tcBorders>
              <w:top w:val="single" w:sz="8" w:space="0" w:color="auto"/>
              <w:bottom w:val="single" w:sz="8" w:space="0" w:color="auto"/>
            </w:tcBorders>
          </w:tcPr>
          <w:p w14:paraId="24AFB492"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i/>
                <w:iCs/>
                <w:sz w:val="20"/>
                <w:szCs w:val="20"/>
              </w:rPr>
              <w:t>P</w:t>
            </w:r>
            <w:r w:rsidRPr="000425BF">
              <w:rPr>
                <w:rFonts w:ascii="Arial" w:hAnsi="Arial" w:cs="Arial"/>
                <w:b/>
                <w:bCs/>
                <w:sz w:val="20"/>
                <w:szCs w:val="20"/>
              </w:rPr>
              <w:t>-value</w:t>
            </w:r>
          </w:p>
        </w:tc>
        <w:tc>
          <w:tcPr>
            <w:tcW w:w="1195" w:type="dxa"/>
            <w:tcBorders>
              <w:top w:val="single" w:sz="8" w:space="0" w:color="auto"/>
              <w:bottom w:val="single" w:sz="8" w:space="0" w:color="auto"/>
            </w:tcBorders>
          </w:tcPr>
          <w:p w14:paraId="03AF142B"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sz w:val="20"/>
                <w:szCs w:val="20"/>
              </w:rPr>
              <w:t>Mean Difference</w:t>
            </w:r>
          </w:p>
        </w:tc>
        <w:tc>
          <w:tcPr>
            <w:tcW w:w="876" w:type="dxa"/>
            <w:tcBorders>
              <w:top w:val="single" w:sz="8" w:space="0" w:color="auto"/>
              <w:bottom w:val="single" w:sz="8" w:space="0" w:color="auto"/>
            </w:tcBorders>
          </w:tcPr>
          <w:p w14:paraId="6EA561E7"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sz w:val="20"/>
                <w:szCs w:val="20"/>
              </w:rPr>
              <w:t>Std. Error</w:t>
            </w:r>
          </w:p>
        </w:tc>
        <w:tc>
          <w:tcPr>
            <w:tcW w:w="1305" w:type="dxa"/>
            <w:tcBorders>
              <w:top w:val="single" w:sz="8" w:space="0" w:color="auto"/>
              <w:bottom w:val="single" w:sz="8" w:space="0" w:color="auto"/>
            </w:tcBorders>
          </w:tcPr>
          <w:p w14:paraId="59A9C22B" w14:textId="77777777" w:rsidR="00E67051" w:rsidRPr="000425BF" w:rsidRDefault="00E67051" w:rsidP="00CE31C6">
            <w:pPr>
              <w:pStyle w:val="Body"/>
              <w:spacing w:after="0"/>
              <w:jc w:val="center"/>
              <w:rPr>
                <w:rFonts w:ascii="Arial" w:hAnsi="Arial" w:cs="Arial"/>
                <w:b/>
                <w:bCs/>
                <w:sz w:val="20"/>
                <w:szCs w:val="20"/>
              </w:rPr>
            </w:pPr>
            <w:r w:rsidRPr="000425BF">
              <w:rPr>
                <w:rFonts w:ascii="Arial" w:hAnsi="Arial" w:cs="Arial"/>
                <w:b/>
                <w:bCs/>
                <w:sz w:val="20"/>
                <w:szCs w:val="20"/>
              </w:rPr>
              <w:t>95% Confidence Interval</w:t>
            </w:r>
          </w:p>
        </w:tc>
      </w:tr>
      <w:tr w:rsidR="00E67051" w14:paraId="4ED1F47A" w14:textId="77777777" w:rsidTr="00E67051">
        <w:tc>
          <w:tcPr>
            <w:tcW w:w="1024" w:type="dxa"/>
            <w:tcBorders>
              <w:top w:val="single" w:sz="8" w:space="0" w:color="auto"/>
              <w:bottom w:val="single" w:sz="8" w:space="0" w:color="auto"/>
            </w:tcBorders>
          </w:tcPr>
          <w:p w14:paraId="48867D5D" w14:textId="77777777" w:rsidR="00E67051" w:rsidRPr="007B4CCB" w:rsidRDefault="00E67051" w:rsidP="00CE31C6">
            <w:pPr>
              <w:pStyle w:val="Body"/>
              <w:spacing w:after="0"/>
              <w:jc w:val="left"/>
              <w:rPr>
                <w:rFonts w:ascii="Arial" w:hAnsi="Arial" w:cs="Arial"/>
                <w:sz w:val="20"/>
                <w:szCs w:val="20"/>
              </w:rPr>
            </w:pPr>
            <w:r>
              <w:rPr>
                <w:rFonts w:ascii="Arial" w:hAnsi="Arial" w:cs="Arial"/>
                <w:sz w:val="20"/>
                <w:szCs w:val="20"/>
              </w:rPr>
              <w:t>Gender</w:t>
            </w:r>
          </w:p>
        </w:tc>
        <w:tc>
          <w:tcPr>
            <w:tcW w:w="675" w:type="dxa"/>
            <w:tcBorders>
              <w:top w:val="single" w:sz="8" w:space="0" w:color="auto"/>
              <w:bottom w:val="single" w:sz="8" w:space="0" w:color="auto"/>
            </w:tcBorders>
          </w:tcPr>
          <w:p w14:paraId="74313BF5" w14:textId="77777777" w:rsidR="00E67051" w:rsidRDefault="00E67051" w:rsidP="00CE31C6">
            <w:pPr>
              <w:pStyle w:val="Body"/>
              <w:spacing w:after="0"/>
              <w:jc w:val="center"/>
              <w:rPr>
                <w:rFonts w:ascii="Arial" w:hAnsi="Arial" w:cs="Arial"/>
                <w:i/>
                <w:iCs/>
              </w:rPr>
            </w:pPr>
          </w:p>
        </w:tc>
        <w:tc>
          <w:tcPr>
            <w:tcW w:w="836" w:type="dxa"/>
            <w:tcBorders>
              <w:top w:val="single" w:sz="8" w:space="0" w:color="auto"/>
              <w:bottom w:val="single" w:sz="8" w:space="0" w:color="auto"/>
            </w:tcBorders>
          </w:tcPr>
          <w:p w14:paraId="6A843B77" w14:textId="288E3FC5" w:rsidR="00E67051" w:rsidRPr="009C742E" w:rsidRDefault="00E67051" w:rsidP="00CE31C6">
            <w:pPr>
              <w:pStyle w:val="Body"/>
              <w:spacing w:after="0"/>
              <w:jc w:val="center"/>
              <w:rPr>
                <w:rFonts w:ascii="Arial" w:hAnsi="Arial" w:cs="Arial"/>
                <w:sz w:val="20"/>
                <w:szCs w:val="20"/>
              </w:rPr>
            </w:pPr>
            <w:r>
              <w:rPr>
                <w:rFonts w:ascii="Arial" w:hAnsi="Arial" w:cs="Arial"/>
                <w:i/>
                <w:iCs/>
                <w:sz w:val="20"/>
                <w:szCs w:val="20"/>
              </w:rPr>
              <w:t>t</w:t>
            </w:r>
            <w:r>
              <w:rPr>
                <w:rFonts w:ascii="Arial" w:hAnsi="Arial" w:cs="Arial"/>
                <w:sz w:val="20"/>
                <w:szCs w:val="20"/>
              </w:rPr>
              <w:t>-test</w:t>
            </w:r>
          </w:p>
        </w:tc>
        <w:tc>
          <w:tcPr>
            <w:tcW w:w="739" w:type="dxa"/>
            <w:tcBorders>
              <w:top w:val="single" w:sz="8" w:space="0" w:color="auto"/>
              <w:bottom w:val="single" w:sz="8" w:space="0" w:color="auto"/>
            </w:tcBorders>
          </w:tcPr>
          <w:p w14:paraId="6DEA2689" w14:textId="77777777"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23</w:t>
            </w:r>
          </w:p>
        </w:tc>
        <w:tc>
          <w:tcPr>
            <w:tcW w:w="887" w:type="dxa"/>
            <w:tcBorders>
              <w:top w:val="single" w:sz="8" w:space="0" w:color="auto"/>
              <w:bottom w:val="single" w:sz="8" w:space="0" w:color="auto"/>
            </w:tcBorders>
          </w:tcPr>
          <w:p w14:paraId="4AD53B99" w14:textId="4D3A0F26"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-.81</w:t>
            </w:r>
          </w:p>
        </w:tc>
        <w:tc>
          <w:tcPr>
            <w:tcW w:w="887" w:type="dxa"/>
            <w:tcBorders>
              <w:top w:val="single" w:sz="8" w:space="0" w:color="auto"/>
              <w:bottom w:val="single" w:sz="8" w:space="0" w:color="auto"/>
            </w:tcBorders>
          </w:tcPr>
          <w:p w14:paraId="715C30B9" w14:textId="165864EB"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.425</w:t>
            </w:r>
          </w:p>
        </w:tc>
        <w:tc>
          <w:tcPr>
            <w:tcW w:w="1195" w:type="dxa"/>
            <w:tcBorders>
              <w:top w:val="single" w:sz="8" w:space="0" w:color="auto"/>
              <w:bottom w:val="single" w:sz="8" w:space="0" w:color="auto"/>
            </w:tcBorders>
          </w:tcPr>
          <w:p w14:paraId="78C628BB" w14:textId="3AE43EF5"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-.138</w:t>
            </w:r>
          </w:p>
        </w:tc>
        <w:tc>
          <w:tcPr>
            <w:tcW w:w="876" w:type="dxa"/>
            <w:tcBorders>
              <w:top w:val="single" w:sz="8" w:space="0" w:color="auto"/>
              <w:bottom w:val="single" w:sz="8" w:space="0" w:color="auto"/>
            </w:tcBorders>
          </w:tcPr>
          <w:p w14:paraId="65159421" w14:textId="13BDA2AA" w:rsidR="00E67051" w:rsidRPr="007B4CCB" w:rsidRDefault="00E67051" w:rsidP="00CE31C6">
            <w:pPr>
              <w:pStyle w:val="Body"/>
              <w:spacing w:after="0"/>
              <w:jc w:val="center"/>
              <w:rPr>
                <w:rFonts w:ascii="Arial" w:hAnsi="Arial" w:cs="Arial"/>
                <w:sz w:val="20"/>
                <w:szCs w:val="20"/>
              </w:rPr>
            </w:pPr>
            <w:r>
              <w:rPr>
                <w:rFonts w:ascii="Arial" w:hAnsi="Arial" w:cs="Arial"/>
                <w:sz w:val="20"/>
                <w:szCs w:val="20"/>
              </w:rPr>
              <w:t>.17</w:t>
            </w:r>
          </w:p>
        </w:tc>
        <w:tc>
          <w:tcPr>
            <w:tcW w:w="1305" w:type="dxa"/>
            <w:tcBorders>
              <w:top w:val="single" w:sz="8" w:space="0" w:color="auto"/>
              <w:bottom w:val="single" w:sz="8" w:space="0" w:color="auto"/>
            </w:tcBorders>
          </w:tcPr>
          <w:p w14:paraId="07E09C1F" w14:textId="7E69B7C0" w:rsidR="00E67051" w:rsidRPr="007B4CCB" w:rsidRDefault="006020CA" w:rsidP="00CE31C6">
            <w:pPr>
              <w:pStyle w:val="Body"/>
              <w:spacing w:after="0"/>
              <w:jc w:val="center"/>
              <w:rPr>
                <w:rFonts w:ascii="Arial" w:hAnsi="Arial" w:cs="Arial"/>
                <w:sz w:val="20"/>
                <w:szCs w:val="20"/>
              </w:rPr>
            </w:pPr>
            <w:r>
              <w:rPr>
                <w:rFonts w:ascii="Arial" w:hAnsi="Arial" w:cs="Arial"/>
                <w:sz w:val="20"/>
                <w:szCs w:val="20"/>
              </w:rPr>
              <w:t>[</w:t>
            </w:r>
            <w:r w:rsidR="00E67051">
              <w:rPr>
                <w:rFonts w:ascii="Arial" w:hAnsi="Arial" w:cs="Arial"/>
                <w:sz w:val="20"/>
                <w:szCs w:val="20"/>
              </w:rPr>
              <w:t>-.11</w:t>
            </w:r>
            <w:r>
              <w:rPr>
                <w:rFonts w:ascii="Arial" w:hAnsi="Arial" w:cs="Arial"/>
                <w:sz w:val="20"/>
                <w:szCs w:val="20"/>
              </w:rPr>
              <w:t>, .21]</w:t>
            </w:r>
          </w:p>
        </w:tc>
      </w:tr>
    </w:tbl>
    <w:p w14:paraId="270879BA" w14:textId="1BED117E" w:rsidR="00E67051" w:rsidRDefault="00E67051" w:rsidP="00441B6F">
      <w:pPr>
        <w:pStyle w:val="Body"/>
        <w:spacing w:after="0"/>
        <w:rPr>
          <w:rFonts w:ascii="Arial" w:hAnsi="Arial" w:cs="Arial"/>
        </w:rPr>
      </w:pPr>
    </w:p>
    <w:p w14:paraId="70C4DC8C" w14:textId="57B90BB0" w:rsidR="006020CA" w:rsidRDefault="006020CA" w:rsidP="00441B6F">
      <w:pPr>
        <w:pStyle w:val="Body"/>
        <w:spacing w:after="0"/>
        <w:rPr>
          <w:rFonts w:ascii="Arial" w:hAnsi="Arial" w:cs="Arial"/>
        </w:rPr>
      </w:pPr>
    </w:p>
    <w:p w14:paraId="4DC44C39" w14:textId="18983F41" w:rsidR="00B01FCD" w:rsidRDefault="00FD31F7" w:rsidP="00F127E5">
      <w:pPr>
        <w:pStyle w:val="ConcHead"/>
        <w:spacing w:after="0"/>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5363F932" w14:textId="1F4360F0" w:rsidR="00F127E5" w:rsidRDefault="00F127E5" w:rsidP="00441B6F">
      <w:pPr>
        <w:pStyle w:val="ConcHead"/>
        <w:spacing w:after="0"/>
        <w:jc w:val="both"/>
        <w:rPr>
          <w:rFonts w:ascii="Arial" w:hAnsi="Arial" w:cs="Arial"/>
          <w:b w:val="0"/>
          <w:bCs/>
          <w:caps w:val="0"/>
          <w:sz w:val="20"/>
          <w:szCs w:val="18"/>
        </w:rPr>
      </w:pPr>
    </w:p>
    <w:p w14:paraId="535B789D" w14:textId="71C6F580" w:rsidR="00286E25" w:rsidRDefault="007C23FA" w:rsidP="007C23FA">
      <w:pPr>
        <w:pStyle w:val="Body"/>
        <w:spacing w:after="0"/>
        <w:ind w:firstLine="720"/>
        <w:rPr>
          <w:rFonts w:ascii="Arial" w:hAnsi="Arial" w:cs="Arial"/>
        </w:rPr>
      </w:pPr>
      <w:r w:rsidRPr="007C23FA">
        <w:rPr>
          <w:rFonts w:ascii="Arial" w:hAnsi="Arial" w:cs="Arial"/>
        </w:rPr>
        <w:t>This study examined the professional development and teaching efficacy of graduates of the Master of Science in Teaching (MST) major in Mathematics program at Davao Oriental State University, guided by Albert Bandura’s Social Cognitive Theory. The study was grounded in the principle that personal, behavioral, and environmental factors interact to shape professional growth and efficacy in teaching. Specifically, it aimed to determine the graduates' levels of professional development and teaching efficacy, the relationship between these two variables, and whether significant differences exist in their perceptions based on demographic factors such as age, gender, and teaching experience</w:t>
      </w:r>
      <w:r>
        <w:rPr>
          <w:rFonts w:ascii="Arial" w:hAnsi="Arial" w:cs="Arial"/>
        </w:rPr>
        <w:t>.</w:t>
      </w:r>
    </w:p>
    <w:p w14:paraId="156B52FB" w14:textId="7ACD8198" w:rsidR="007C23FA" w:rsidRDefault="007C23FA" w:rsidP="007C23FA">
      <w:pPr>
        <w:pStyle w:val="Body"/>
        <w:spacing w:after="0"/>
        <w:rPr>
          <w:rFonts w:ascii="Arial" w:hAnsi="Arial" w:cs="Arial"/>
        </w:rPr>
      </w:pPr>
      <w:r>
        <w:rPr>
          <w:rFonts w:ascii="Arial" w:hAnsi="Arial" w:cs="Arial"/>
        </w:rPr>
        <w:tab/>
      </w:r>
      <w:r w:rsidRPr="007C23FA">
        <w:rPr>
          <w:rFonts w:ascii="Arial" w:hAnsi="Arial" w:cs="Arial"/>
        </w:rPr>
        <w:t xml:space="preserve">Findings showed that graduates reported a high level of professional development, particularly in areas supporting teaching relevance, reflection, and collaboration. However, slightly lower ratings in support and implementation point to the need for stronger institutional backing to fully realize the benefits of professional learning. Similarly, graduates demonstrated high </w:t>
      </w:r>
      <w:r w:rsidR="00CA6A33">
        <w:rPr>
          <w:rFonts w:ascii="Arial" w:hAnsi="Arial" w:cs="Arial"/>
        </w:rPr>
        <w:t xml:space="preserve">level of </w:t>
      </w:r>
      <w:r w:rsidRPr="007C23FA">
        <w:rPr>
          <w:rFonts w:ascii="Arial" w:hAnsi="Arial" w:cs="Arial"/>
        </w:rPr>
        <w:t>teaching efficacy, suggesting that the MST program effectively prepares educators for classroom instruction and student engagement.</w:t>
      </w:r>
    </w:p>
    <w:p w14:paraId="5EC209D3" w14:textId="79EE36E7" w:rsidR="007C23FA" w:rsidRDefault="007C23FA" w:rsidP="007C23FA">
      <w:pPr>
        <w:pStyle w:val="Body"/>
        <w:spacing w:after="0"/>
        <w:rPr>
          <w:rFonts w:ascii="Arial" w:hAnsi="Arial" w:cs="Arial"/>
        </w:rPr>
      </w:pPr>
      <w:r>
        <w:rPr>
          <w:rFonts w:ascii="Arial" w:hAnsi="Arial" w:cs="Arial"/>
        </w:rPr>
        <w:tab/>
      </w:r>
      <w:r w:rsidR="00CA6A33" w:rsidRPr="00CA6A33">
        <w:rPr>
          <w:rFonts w:ascii="Arial" w:hAnsi="Arial" w:cs="Arial"/>
        </w:rPr>
        <w:t>The study further established a moderately positive correlation between professional development and teaching efficacy. This finding confirms that relevant, well-supported, and skill-oriented professional learning contributes significantly to teachers’ sense of competence and effectiveness. Nonetheless, the variation in correlation strength across specific dimensions suggests that the influence of professional development is complex, and not all aspects translate equally into teaching efficacy. This highlights the importance of designing development activities that are closely aligned with the actual demands of classroom practice.</w:t>
      </w:r>
    </w:p>
    <w:p w14:paraId="42BD4184" w14:textId="277B165D" w:rsidR="00CA6A33" w:rsidRDefault="00CA6A33" w:rsidP="007C23FA">
      <w:pPr>
        <w:pStyle w:val="Body"/>
        <w:spacing w:after="0"/>
        <w:rPr>
          <w:rFonts w:ascii="Arial" w:hAnsi="Arial" w:cs="Arial"/>
        </w:rPr>
      </w:pPr>
      <w:r>
        <w:rPr>
          <w:rFonts w:ascii="Arial" w:hAnsi="Arial" w:cs="Arial"/>
        </w:rPr>
        <w:tab/>
      </w:r>
      <w:r w:rsidRPr="00CA6A33">
        <w:rPr>
          <w:rFonts w:ascii="Arial" w:hAnsi="Arial" w:cs="Arial"/>
        </w:rPr>
        <w:t>Demographic analysis showed no significant differences in the level of professional development across age groups and years of teaching experience, indicating that professional learning engagement is relatively uniform among MST graduates regardless of their career stage. However, a significant difference emerged based on gender, suggesting that male and female teachers may experience or perceive professional development differently, possibly due to societal expectations or access-related factors. In contrast, teaching efficacy did not significantly differ by age, gender, or teaching experience, implying that efficacy is shaped more by internal beliefs, professional training, and contextual support rather than demographic variables.</w:t>
      </w:r>
    </w:p>
    <w:p w14:paraId="61339DC8" w14:textId="0C196B54" w:rsidR="007C23FA" w:rsidRDefault="007C23FA" w:rsidP="007C23FA">
      <w:pPr>
        <w:pStyle w:val="Body"/>
        <w:spacing w:after="0"/>
        <w:ind w:firstLine="720"/>
        <w:rPr>
          <w:rFonts w:ascii="Arial" w:hAnsi="Arial" w:cs="Arial"/>
        </w:rPr>
      </w:pPr>
      <w:r w:rsidRPr="007C23FA">
        <w:rPr>
          <w:rFonts w:ascii="Arial" w:hAnsi="Arial" w:cs="Arial"/>
        </w:rPr>
        <w:t>In conclusion, the MST Mathematics program appears to provide its graduates with strong foundations for both professional growth and effective teaching. The study reinforces the importance of continuous, relevant, and well-supported professional development in enhancing teaching efficacy. It also underscores the role of institutional support, gender sensitivity in professional learning, and the need for practical alignment of development activities with classroom realities. These insights can guide curriculum developers, educational leaders, and policymakers in strengthening teacher preparation and support systems, ultimately contributing to improved teaching outcomes and student learning.</w:t>
      </w:r>
    </w:p>
    <w:p w14:paraId="46372C4A" w14:textId="77777777" w:rsidR="00CA6A33" w:rsidRDefault="00CA6A33" w:rsidP="007C23FA">
      <w:pPr>
        <w:pStyle w:val="Body"/>
        <w:spacing w:after="0"/>
        <w:ind w:firstLine="720"/>
        <w:rPr>
          <w:rFonts w:ascii="Arial" w:hAnsi="Arial" w:cs="Arial"/>
        </w:rPr>
      </w:pPr>
    </w:p>
    <w:p w14:paraId="3F64A2A6"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12C08ADB" w14:textId="77777777" w:rsidR="00790ADA" w:rsidRPr="00FB3A86" w:rsidRDefault="00790ADA" w:rsidP="00441B6F">
      <w:pPr>
        <w:pStyle w:val="AcknHead"/>
        <w:spacing w:after="0"/>
        <w:jc w:val="both"/>
        <w:rPr>
          <w:rFonts w:ascii="Arial" w:hAnsi="Arial" w:cs="Arial"/>
        </w:rPr>
      </w:pPr>
    </w:p>
    <w:p w14:paraId="12E7E47C" w14:textId="27328E70" w:rsidR="00315186" w:rsidRPr="00315186" w:rsidRDefault="0030191F" w:rsidP="00B96EAF">
      <w:pPr>
        <w:ind w:firstLine="720"/>
        <w:jc w:val="both"/>
      </w:pPr>
      <w:r w:rsidRPr="0030191F">
        <w:rPr>
          <w:rFonts w:ascii="Arial" w:hAnsi="Arial" w:cs="Arial"/>
        </w:rPr>
        <w:t>We extend our heartfelt gratitude to everyone who contributed to the completion of this study. Your support, guidance, and invaluable feedback have greatly enhanced the quality and rigor of this research. We are especially thankful to all the participants whose time, openness, and insights made this study possible. Your cooperation and willingness to share your experiences are deeply appreciated and have been essential to the success of this work.</w:t>
      </w:r>
    </w:p>
    <w:p w14:paraId="195448C1" w14:textId="77777777" w:rsidR="00315186" w:rsidRPr="00315186" w:rsidRDefault="00315186" w:rsidP="00441B6F"/>
    <w:p w14:paraId="48AB5EE0" w14:textId="77777777" w:rsidR="007C0850" w:rsidRPr="007C0850" w:rsidRDefault="007C0850" w:rsidP="007C0850">
      <w:pPr>
        <w:pStyle w:val="ReferHead"/>
        <w:jc w:val="both"/>
        <w:rPr>
          <w:rFonts w:ascii="Arial" w:hAnsi="Arial" w:cs="Arial"/>
          <w:caps w:val="0"/>
          <w:sz w:val="20"/>
        </w:rPr>
      </w:pPr>
      <w:r w:rsidRPr="007C0850">
        <w:rPr>
          <w:rFonts w:ascii="Arial" w:hAnsi="Arial" w:cs="Arial"/>
          <w:caps w:val="0"/>
          <w:sz w:val="20"/>
        </w:rPr>
        <w:lastRenderedPageBreak/>
        <w:t>ETHICAL APPROVAL</w:t>
      </w:r>
    </w:p>
    <w:p w14:paraId="6C50535E" w14:textId="15170D86" w:rsidR="00BD517C" w:rsidRDefault="007C0850" w:rsidP="007C0850">
      <w:pPr>
        <w:pStyle w:val="ReferHead"/>
        <w:spacing w:after="0"/>
        <w:jc w:val="both"/>
        <w:rPr>
          <w:rFonts w:ascii="Arial" w:hAnsi="Arial" w:cs="Arial"/>
          <w:b w:val="0"/>
          <w:caps w:val="0"/>
          <w:sz w:val="20"/>
        </w:rPr>
      </w:pPr>
      <w:r w:rsidRPr="007C0850">
        <w:rPr>
          <w:rFonts w:ascii="Arial" w:hAnsi="Arial" w:cs="Arial"/>
          <w:b w:val="0"/>
          <w:caps w:val="0"/>
          <w:sz w:val="20"/>
        </w:rPr>
        <w:t>Before collecting data, the necessary permits to conduct the study were secured   from the appropriate offices and authorities. Once approval was obtained, the researchers proceeded with the distribution of questionnaires.</w:t>
      </w:r>
    </w:p>
    <w:p w14:paraId="6425D543" w14:textId="74664404" w:rsidR="00BD517C" w:rsidRDefault="00BD517C" w:rsidP="0030191F">
      <w:pPr>
        <w:pStyle w:val="ReferHead"/>
        <w:spacing w:after="0"/>
        <w:ind w:firstLine="720"/>
        <w:jc w:val="both"/>
        <w:rPr>
          <w:rFonts w:ascii="Arial" w:hAnsi="Arial" w:cs="Arial"/>
          <w:b w:val="0"/>
          <w:caps w:val="0"/>
          <w:sz w:val="20"/>
        </w:rPr>
      </w:pPr>
    </w:p>
    <w:p w14:paraId="7E722F47" w14:textId="77777777" w:rsidR="007C0850" w:rsidRDefault="007C0850" w:rsidP="00091193">
      <w:pPr>
        <w:spacing w:line="276" w:lineRule="auto"/>
        <w:rPr>
          <w:rFonts w:ascii="Arial" w:eastAsia="Calibri" w:hAnsi="Arial" w:cs="Arial"/>
          <w:b/>
          <w:bCs/>
          <w:kern w:val="2"/>
          <w:sz w:val="22"/>
          <w:szCs w:val="22"/>
          <w14:ligatures w14:val="standardContextual"/>
        </w:rPr>
      </w:pPr>
    </w:p>
    <w:p w14:paraId="05F86492" w14:textId="77777777" w:rsidR="007C0850" w:rsidRDefault="007C0850" w:rsidP="00091193">
      <w:pPr>
        <w:spacing w:line="276" w:lineRule="auto"/>
        <w:rPr>
          <w:rFonts w:ascii="Arial" w:eastAsia="Calibri" w:hAnsi="Arial" w:cs="Arial"/>
          <w:b/>
          <w:bCs/>
          <w:kern w:val="2"/>
          <w:sz w:val="22"/>
          <w:szCs w:val="22"/>
          <w14:ligatures w14:val="standardContextual"/>
        </w:rPr>
      </w:pPr>
    </w:p>
    <w:p w14:paraId="09820AA4" w14:textId="77777777" w:rsidR="007C0850" w:rsidRDefault="007C0850" w:rsidP="00091193">
      <w:pPr>
        <w:spacing w:line="276" w:lineRule="auto"/>
        <w:rPr>
          <w:rFonts w:ascii="Arial" w:eastAsia="Calibri" w:hAnsi="Arial" w:cs="Arial"/>
          <w:b/>
          <w:bCs/>
          <w:kern w:val="2"/>
          <w:sz w:val="22"/>
          <w:szCs w:val="22"/>
          <w14:ligatures w14:val="standardContextual"/>
        </w:rPr>
      </w:pPr>
    </w:p>
    <w:p w14:paraId="64D9A531" w14:textId="73832727" w:rsidR="008848DA" w:rsidRPr="00EB4F7E" w:rsidRDefault="00EB4F7E" w:rsidP="00091193">
      <w:pPr>
        <w:spacing w:line="276" w:lineRule="auto"/>
        <w:rPr>
          <w:rFonts w:ascii="Arial" w:eastAsia="Calibri" w:hAnsi="Arial" w:cs="Arial"/>
          <w:b/>
          <w:bCs/>
          <w:kern w:val="2"/>
          <w:sz w:val="22"/>
          <w:szCs w:val="22"/>
          <w14:ligatures w14:val="standardContextual"/>
        </w:rPr>
      </w:pPr>
      <w:r w:rsidRPr="00EB4F7E">
        <w:rPr>
          <w:rFonts w:ascii="Arial" w:eastAsia="Calibri" w:hAnsi="Arial" w:cs="Arial"/>
          <w:b/>
          <w:bCs/>
          <w:kern w:val="2"/>
          <w:sz w:val="22"/>
          <w:szCs w:val="22"/>
          <w14:ligatures w14:val="standardContextual"/>
        </w:rPr>
        <w:t>DISCLAIMER (ARTIFICIAL INTELLIGENCE)</w:t>
      </w:r>
    </w:p>
    <w:p w14:paraId="290D6E89" w14:textId="77777777" w:rsidR="00091193" w:rsidRDefault="00091193" w:rsidP="00091193">
      <w:pPr>
        <w:spacing w:line="276" w:lineRule="auto"/>
        <w:ind w:firstLine="720"/>
        <w:jc w:val="both"/>
        <w:rPr>
          <w:rFonts w:ascii="Arial" w:eastAsia="Calibri" w:hAnsi="Arial" w:cs="Arial"/>
          <w:kern w:val="2"/>
          <w14:ligatures w14:val="standardContextual"/>
        </w:rPr>
      </w:pPr>
    </w:p>
    <w:p w14:paraId="06A84442" w14:textId="0A34DCF6" w:rsidR="00EB4F7E" w:rsidRDefault="00EB4F7E" w:rsidP="00091193">
      <w:pPr>
        <w:spacing w:line="276" w:lineRule="auto"/>
        <w:ind w:firstLine="720"/>
        <w:jc w:val="both"/>
        <w:rPr>
          <w:rFonts w:ascii="Arial" w:eastAsia="Calibri" w:hAnsi="Arial" w:cs="Arial"/>
          <w:kern w:val="2"/>
          <w14:ligatures w14:val="standardContextual"/>
        </w:rPr>
      </w:pPr>
      <w:r w:rsidRPr="00EB4F7E">
        <w:rPr>
          <w:rFonts w:ascii="Arial" w:eastAsia="Calibri" w:hAnsi="Arial" w:cs="Arial"/>
          <w:kern w:val="2"/>
          <w14:ligatures w14:val="standardContextual"/>
        </w:rPr>
        <w:t xml:space="preserve">The     authors     declare    that    generative    AI technology, specifically    GPT-4 developed by </w:t>
      </w:r>
      <w:proofErr w:type="spellStart"/>
      <w:r w:rsidRPr="00EB4F7E">
        <w:rPr>
          <w:rFonts w:ascii="Arial" w:eastAsia="Calibri" w:hAnsi="Arial" w:cs="Arial"/>
          <w:kern w:val="2"/>
          <w14:ligatures w14:val="standardContextual"/>
        </w:rPr>
        <w:t>OpenAI</w:t>
      </w:r>
      <w:proofErr w:type="spellEnd"/>
      <w:r w:rsidRPr="00EB4F7E">
        <w:rPr>
          <w:rFonts w:ascii="Arial" w:eastAsia="Calibri" w:hAnsi="Arial" w:cs="Arial"/>
          <w:kern w:val="2"/>
          <w14:ligatures w14:val="standardContextual"/>
        </w:rPr>
        <w:t>,</w:t>
      </w:r>
      <w:r>
        <w:rPr>
          <w:rFonts w:ascii="Arial" w:eastAsia="Calibri" w:hAnsi="Arial" w:cs="Arial"/>
          <w:kern w:val="2"/>
          <w14:ligatures w14:val="standardContextual"/>
        </w:rPr>
        <w:t xml:space="preserve"> </w:t>
      </w:r>
      <w:r w:rsidRPr="00EB4F7E">
        <w:rPr>
          <w:rFonts w:ascii="Arial" w:eastAsia="Calibri" w:hAnsi="Arial" w:cs="Arial"/>
          <w:kern w:val="2"/>
          <w14:ligatures w14:val="standardContextual"/>
        </w:rPr>
        <w:t>was    solely utilized to enhance grammar,</w:t>
      </w:r>
      <w:r w:rsidR="00376171">
        <w:rPr>
          <w:rFonts w:ascii="Arial" w:eastAsia="Calibri" w:hAnsi="Arial" w:cs="Arial"/>
          <w:kern w:val="2"/>
          <w14:ligatures w14:val="standardContextual"/>
        </w:rPr>
        <w:t xml:space="preserve"> </w:t>
      </w:r>
      <w:r w:rsidRPr="00EB4F7E">
        <w:rPr>
          <w:rFonts w:ascii="Arial" w:eastAsia="Calibri" w:hAnsi="Arial" w:cs="Arial"/>
          <w:kern w:val="2"/>
          <w14:ligatures w14:val="standardContextual"/>
        </w:rPr>
        <w:t>clarity, and the overall structure of sentences and paragraphs in this manuscript.</w:t>
      </w:r>
    </w:p>
    <w:p w14:paraId="4F8B9411" w14:textId="00455605" w:rsidR="00EB4F7E" w:rsidRDefault="00EB4F7E" w:rsidP="00091193">
      <w:pPr>
        <w:spacing w:line="276" w:lineRule="auto"/>
        <w:jc w:val="both"/>
        <w:rPr>
          <w:rFonts w:ascii="Arial" w:eastAsia="Calibri" w:hAnsi="Arial" w:cs="Arial"/>
          <w:kern w:val="2"/>
          <w14:ligatures w14:val="standardContextual"/>
        </w:rPr>
      </w:pPr>
    </w:p>
    <w:p w14:paraId="7F01A84C" w14:textId="77777777" w:rsidR="00091193" w:rsidRDefault="00091193" w:rsidP="00091193">
      <w:pPr>
        <w:spacing w:line="276" w:lineRule="auto"/>
        <w:jc w:val="both"/>
        <w:rPr>
          <w:rFonts w:ascii="Arial" w:eastAsia="Calibri" w:hAnsi="Arial" w:cs="Arial"/>
          <w:kern w:val="2"/>
          <w14:ligatures w14:val="standardContextual"/>
        </w:rPr>
      </w:pPr>
    </w:p>
    <w:p w14:paraId="124C4EEF" w14:textId="77777777" w:rsidR="00BD517C" w:rsidRPr="0030191F" w:rsidRDefault="00BD517C" w:rsidP="00091193">
      <w:pPr>
        <w:pStyle w:val="ReferHead"/>
        <w:spacing w:after="0"/>
        <w:ind w:firstLine="720"/>
        <w:jc w:val="both"/>
        <w:rPr>
          <w:rFonts w:ascii="Arial" w:hAnsi="Arial" w:cs="Arial"/>
          <w:b w:val="0"/>
          <w:caps w:val="0"/>
          <w:sz w:val="20"/>
        </w:rPr>
      </w:pPr>
    </w:p>
    <w:p w14:paraId="26F92CAA" w14:textId="77777777" w:rsidR="00860000" w:rsidRDefault="00860000" w:rsidP="00441B6F">
      <w:pPr>
        <w:pStyle w:val="ReferHead"/>
        <w:spacing w:after="0"/>
        <w:jc w:val="both"/>
        <w:rPr>
          <w:rFonts w:ascii="Arial" w:hAnsi="Arial" w:cs="Arial"/>
        </w:rPr>
      </w:pPr>
    </w:p>
    <w:p w14:paraId="40332E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178F9B" w14:textId="77777777" w:rsidR="00284C4C" w:rsidRPr="00284C4C" w:rsidRDefault="00284C4C" w:rsidP="00441B6F">
      <w:pPr>
        <w:pStyle w:val="Body"/>
        <w:spacing w:after="0"/>
        <w:rPr>
          <w:rFonts w:ascii="Arial" w:hAnsi="Arial" w:cs="Arial"/>
          <w:i/>
          <w:u w:val="single"/>
        </w:rPr>
      </w:pPr>
    </w:p>
    <w:p w14:paraId="08729454" w14:textId="62FE86CC"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 </w:t>
      </w:r>
      <w:proofErr w:type="spellStart"/>
      <w:r>
        <w:rPr>
          <w:rFonts w:ascii="Arial" w:hAnsi="Arial" w:cs="Arial"/>
        </w:rPr>
        <w:t>Acido</w:t>
      </w:r>
      <w:proofErr w:type="spellEnd"/>
      <w:r>
        <w:rPr>
          <w:rFonts w:ascii="Arial" w:hAnsi="Arial" w:cs="Arial"/>
        </w:rPr>
        <w:t xml:space="preserve">, </w:t>
      </w:r>
      <w:r w:rsidRPr="006B6A55">
        <w:rPr>
          <w:rFonts w:ascii="Arial" w:hAnsi="Arial" w:cs="Arial"/>
        </w:rPr>
        <w:t xml:space="preserve">J.V., &amp; </w:t>
      </w:r>
      <w:proofErr w:type="spellStart"/>
      <w:r w:rsidRPr="006B6A55">
        <w:rPr>
          <w:rFonts w:ascii="Arial" w:hAnsi="Arial" w:cs="Arial"/>
        </w:rPr>
        <w:t>Caballes</w:t>
      </w:r>
      <w:proofErr w:type="spellEnd"/>
      <w:r w:rsidRPr="006B6A55">
        <w:rPr>
          <w:rFonts w:ascii="Arial" w:hAnsi="Arial" w:cs="Arial"/>
        </w:rPr>
        <w:t xml:space="preserve">, D.G. (2024). Assessing educational progress: A comparative analysis of PISA results (2018 vs. 2022) and HDI correlation in the Philippines. World Journal of Advanced Research and Reviews. </w:t>
      </w:r>
      <w:hyperlink r:id="rId14" w:history="1">
        <w:r w:rsidRPr="006B6A55">
          <w:rPr>
            <w:rStyle w:val="Hyperlink"/>
            <w:rFonts w:ascii="Arial" w:hAnsi="Arial" w:cs="Arial"/>
            <w:color w:val="auto"/>
            <w:u w:val="none"/>
          </w:rPr>
          <w:t>https://doi.org/10.30574/wjarr.2024.21.1.0020</w:t>
        </w:r>
      </w:hyperlink>
    </w:p>
    <w:p w14:paraId="2EB11D94" w14:textId="77777777" w:rsidR="001F53F4" w:rsidRPr="006B6A55"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Alnijres</w:t>
      </w:r>
      <w:proofErr w:type="spellEnd"/>
      <w:r w:rsidRPr="006B6A55">
        <w:rPr>
          <w:rFonts w:ascii="Arial" w:hAnsi="Arial" w:cs="Arial"/>
        </w:rPr>
        <w:t xml:space="preserve">, B. M. (2024). Reflecting on Different Aspects of Classroom Teaching: Mirrors on the Road of Educators’ Self-Professional Development. Journal of </w:t>
      </w:r>
      <w:proofErr w:type="spellStart"/>
      <w:r w:rsidRPr="006B6A55">
        <w:rPr>
          <w:rFonts w:ascii="Arial" w:hAnsi="Arial" w:cs="Arial"/>
        </w:rPr>
        <w:t>Ecohumanism</w:t>
      </w:r>
      <w:proofErr w:type="spellEnd"/>
      <w:r w:rsidRPr="006B6A55">
        <w:rPr>
          <w:rFonts w:ascii="Arial" w:hAnsi="Arial" w:cs="Arial"/>
        </w:rPr>
        <w:t xml:space="preserve">, 3(7), 3368–3373. </w:t>
      </w:r>
      <w:hyperlink r:id="rId15" w:history="1">
        <w:r w:rsidRPr="006B6A55">
          <w:rPr>
            <w:rStyle w:val="Hyperlink"/>
            <w:rFonts w:ascii="Arial" w:hAnsi="Arial" w:cs="Arial"/>
            <w:color w:val="auto"/>
            <w:u w:val="none"/>
          </w:rPr>
          <w:t>https://doi.org/10.62754/joe.v3i7.4469</w:t>
        </w:r>
      </w:hyperlink>
    </w:p>
    <w:p w14:paraId="5BC8800B" w14:textId="77777777" w:rsidR="001F53F4"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Babu</w:t>
      </w:r>
      <w:proofErr w:type="spellEnd"/>
      <w:r w:rsidRPr="006B6A55">
        <w:rPr>
          <w:rFonts w:ascii="Arial" w:hAnsi="Arial" w:cs="Arial"/>
        </w:rPr>
        <w:t xml:space="preserve">, V. T. S., &amp; Venkatesan, G. (2023). Professional Development Programs: Their Role in Shaping Organizational Culture and Boosting Teaching Effectiveness – A Review. </w:t>
      </w:r>
      <w:hyperlink r:id="rId16" w:history="1">
        <w:r w:rsidRPr="006B6A55">
          <w:rPr>
            <w:rStyle w:val="Hyperlink"/>
            <w:rFonts w:ascii="Arial" w:hAnsi="Arial" w:cs="Arial"/>
            <w:color w:val="auto"/>
            <w:u w:val="none"/>
          </w:rPr>
          <w:t>https://doi.org/10.53555/kuey.v29i4.7483</w:t>
        </w:r>
      </w:hyperlink>
    </w:p>
    <w:p w14:paraId="35E51890" w14:textId="77777777" w:rsidR="001F53F4" w:rsidRPr="008F6425"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Bachtiar</w:t>
      </w:r>
      <w:proofErr w:type="spellEnd"/>
      <w:r w:rsidRPr="006B6A55">
        <w:rPr>
          <w:rFonts w:ascii="Arial" w:hAnsi="Arial" w:cs="Arial"/>
        </w:rPr>
        <w:t xml:space="preserve">, B. (2024). Insights into Classroom Dynamics: Indonesian EFL Teachers' Self-Efficacy in Instructional Strategies. </w:t>
      </w:r>
      <w:proofErr w:type="spellStart"/>
      <w:r w:rsidRPr="006B6A55">
        <w:rPr>
          <w:rFonts w:ascii="Arial" w:hAnsi="Arial" w:cs="Arial"/>
        </w:rPr>
        <w:t>Jurnal</w:t>
      </w:r>
      <w:proofErr w:type="spellEnd"/>
      <w:r w:rsidRPr="006B6A55">
        <w:rPr>
          <w:rFonts w:ascii="Arial" w:hAnsi="Arial" w:cs="Arial"/>
        </w:rPr>
        <w:t xml:space="preserve"> </w:t>
      </w:r>
      <w:proofErr w:type="spellStart"/>
      <w:r w:rsidRPr="006B6A55">
        <w:rPr>
          <w:rFonts w:ascii="Arial" w:hAnsi="Arial" w:cs="Arial"/>
        </w:rPr>
        <w:t>Basicedu</w:t>
      </w:r>
      <w:proofErr w:type="spellEnd"/>
      <w:r w:rsidRPr="006B6A55">
        <w:rPr>
          <w:rFonts w:ascii="Arial" w:hAnsi="Arial" w:cs="Arial"/>
        </w:rPr>
        <w:t xml:space="preserve">. </w:t>
      </w:r>
      <w:hyperlink r:id="rId17" w:history="1">
        <w:r w:rsidRPr="006B6A55">
          <w:rPr>
            <w:rStyle w:val="Hyperlink"/>
            <w:rFonts w:ascii="Arial" w:hAnsi="Arial" w:cs="Arial"/>
            <w:color w:val="auto"/>
            <w:u w:val="none"/>
          </w:rPr>
          <w:t>https://doi.org/10.31004/basicedu.v8i1</w:t>
        </w:r>
      </w:hyperlink>
    </w:p>
    <w:p w14:paraId="30EC1BBD" w14:textId="77777777" w:rsidR="001F53F4"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Cabural</w:t>
      </w:r>
      <w:proofErr w:type="spellEnd"/>
      <w:r w:rsidRPr="006B6A55">
        <w:rPr>
          <w:rFonts w:ascii="Arial" w:hAnsi="Arial" w:cs="Arial"/>
        </w:rPr>
        <w:t xml:space="preserve">, A. (2024). Beyond Benchmarking: A Diagnostic Inquiry into the Underlying Determinants of Low Performance in Philippine PISA Science. Journal of Tertiary Education and Learning, 2(3), 46–57. </w:t>
      </w:r>
      <w:hyperlink r:id="rId18" w:history="1">
        <w:r w:rsidRPr="006B6A55">
          <w:rPr>
            <w:rStyle w:val="Hyperlink"/>
            <w:rFonts w:ascii="Arial" w:hAnsi="Arial" w:cs="Arial"/>
            <w:color w:val="auto"/>
            <w:u w:val="none"/>
          </w:rPr>
          <w:t>https://doi.org/10.54536/jtel.v2i3.3063</w:t>
        </w:r>
      </w:hyperlink>
    </w:p>
    <w:p w14:paraId="6CF0E9D0" w14:textId="77777777" w:rsidR="001F53F4" w:rsidRDefault="001F53F4" w:rsidP="001F53F4">
      <w:pPr>
        <w:pStyle w:val="Body"/>
        <w:numPr>
          <w:ilvl w:val="0"/>
          <w:numId w:val="33"/>
        </w:numPr>
        <w:spacing w:after="0"/>
        <w:rPr>
          <w:rFonts w:ascii="Arial" w:hAnsi="Arial" w:cs="Arial"/>
        </w:rPr>
      </w:pPr>
      <w:proofErr w:type="spellStart"/>
      <w:r w:rsidRPr="006B6A55">
        <w:rPr>
          <w:rFonts w:ascii="Arial" w:hAnsi="Arial" w:cs="Arial"/>
        </w:rPr>
        <w:t>Cevik</w:t>
      </w:r>
      <w:proofErr w:type="spellEnd"/>
      <w:r w:rsidRPr="006B6A55">
        <w:rPr>
          <w:rFonts w:ascii="Arial" w:hAnsi="Arial" w:cs="Arial"/>
        </w:rPr>
        <w:t xml:space="preserve">, E., </w:t>
      </w:r>
      <w:proofErr w:type="spellStart"/>
      <w:r w:rsidRPr="006B6A55">
        <w:rPr>
          <w:rFonts w:ascii="Arial" w:hAnsi="Arial" w:cs="Arial"/>
        </w:rPr>
        <w:t>Yalvac</w:t>
      </w:r>
      <w:proofErr w:type="spellEnd"/>
      <w:r w:rsidRPr="006B6A55">
        <w:rPr>
          <w:rFonts w:ascii="Arial" w:hAnsi="Arial" w:cs="Arial"/>
        </w:rPr>
        <w:t xml:space="preserve">, B., Johnson, M., </w:t>
      </w:r>
      <w:proofErr w:type="spellStart"/>
      <w:r w:rsidRPr="006B6A55">
        <w:rPr>
          <w:rFonts w:ascii="Arial" w:hAnsi="Arial" w:cs="Arial"/>
        </w:rPr>
        <w:t>Kuttolamadom</w:t>
      </w:r>
      <w:proofErr w:type="spellEnd"/>
      <w:r w:rsidRPr="006B6A55">
        <w:rPr>
          <w:rFonts w:ascii="Arial" w:hAnsi="Arial" w:cs="Arial"/>
        </w:rPr>
        <w:t>, M., Porter, J., &amp; Whitfield, J. (2021). Improving In-Service Science and Mathematics Teachers’ Engineering and Technology Content and Pedagogical Knowledge (Evaluation). 2021 ASEE Virtual Annual Conference Content Access Proceedings. DOI:10.18260/1-2—37306</w:t>
      </w:r>
    </w:p>
    <w:p w14:paraId="7146CDB1"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Chit, K., &amp; Ye, Y. (2017). A Comparative Study of Teachers’ Perceptions towards School’s Professional Development according to Their Demographics at No. 26 Basic Education High School in Mandalay, Myanmar. Retrieved from: </w:t>
      </w:r>
      <w:hyperlink r:id="rId19" w:history="1">
        <w:r w:rsidRPr="006B6A55">
          <w:rPr>
            <w:rStyle w:val="Hyperlink"/>
            <w:rFonts w:ascii="Arial" w:hAnsi="Arial" w:cs="Arial"/>
            <w:color w:val="auto"/>
            <w:u w:val="none"/>
          </w:rPr>
          <w:t>https://www.semanticscholar.org/paper/A-Comparative-Study-of-Teachers%E2%80%99-Perceptions-to-at-Chit-Ye/6de05accc60443478cbb27e914b801ece4dc465b</w:t>
        </w:r>
      </w:hyperlink>
    </w:p>
    <w:p w14:paraId="444DE654" w14:textId="77777777" w:rsidR="001F53F4" w:rsidRPr="0045184F" w:rsidRDefault="001F53F4" w:rsidP="001F53F4">
      <w:pPr>
        <w:pStyle w:val="Body"/>
        <w:numPr>
          <w:ilvl w:val="0"/>
          <w:numId w:val="33"/>
        </w:numPr>
        <w:spacing w:after="0"/>
        <w:rPr>
          <w:rFonts w:ascii="Arial" w:hAnsi="Arial" w:cs="Arial"/>
        </w:rPr>
      </w:pPr>
      <w:r w:rsidRPr="006B6A55">
        <w:rPr>
          <w:rFonts w:ascii="Arial" w:hAnsi="Arial" w:cs="Arial"/>
        </w:rPr>
        <w:t xml:space="preserve">Clark, S., &amp; Newberry, M. (2018). Are we building preservice Teacher self-efficacy? A large-scale study examining Teacher education experiences. Asia-Pacific Journal of Teacher Education, 47(1), 32–47. </w:t>
      </w:r>
      <w:hyperlink r:id="rId20" w:history="1">
        <w:r w:rsidRPr="006B6A55">
          <w:rPr>
            <w:rStyle w:val="Hyperlink"/>
            <w:rFonts w:ascii="Arial" w:hAnsi="Arial" w:cs="Arial"/>
            <w:color w:val="auto"/>
            <w:u w:val="none"/>
          </w:rPr>
          <w:t>https://doi.org/10.1080/1359866X.2018.1497772</w:t>
        </w:r>
      </w:hyperlink>
    </w:p>
    <w:p w14:paraId="7B89F50F" w14:textId="77777777" w:rsidR="001F53F4" w:rsidRPr="008F6425"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lastRenderedPageBreak/>
        <w:t>Copur-Gencturk</w:t>
      </w:r>
      <w:proofErr w:type="spellEnd"/>
      <w:r w:rsidRPr="006B6A55">
        <w:rPr>
          <w:rFonts w:ascii="Arial" w:hAnsi="Arial" w:cs="Arial"/>
        </w:rPr>
        <w:t xml:space="preserve">, Y., Plowman, D.L., &amp; Bai, H. (2019). Mathematics Teachers’ Learning: Identifying Key Learning Opportunities Linked to Teachers’ Knowledge Growth. American Educational Research Journal, 56, 1590 - 1628. </w:t>
      </w:r>
      <w:hyperlink r:id="rId21" w:history="1">
        <w:r w:rsidRPr="006B6A55">
          <w:rPr>
            <w:rStyle w:val="Hyperlink"/>
            <w:rFonts w:ascii="Arial" w:hAnsi="Arial" w:cs="Arial"/>
            <w:color w:val="auto"/>
            <w:u w:val="none"/>
          </w:rPr>
          <w:t>https://doi.org/10.3102/0002831218820033</w:t>
        </w:r>
      </w:hyperlink>
    </w:p>
    <w:p w14:paraId="768B4AC4" w14:textId="77777777" w:rsidR="001F53F4" w:rsidRPr="006B6A55" w:rsidRDefault="001F53F4" w:rsidP="001F53F4">
      <w:pPr>
        <w:pStyle w:val="Body"/>
        <w:numPr>
          <w:ilvl w:val="0"/>
          <w:numId w:val="33"/>
        </w:numPr>
        <w:spacing w:after="0"/>
        <w:rPr>
          <w:rFonts w:ascii="Arial" w:hAnsi="Arial" w:cs="Arial"/>
        </w:rPr>
      </w:pPr>
      <w:r w:rsidRPr="006B6A55">
        <w:rPr>
          <w:rFonts w:ascii="Arial" w:hAnsi="Arial" w:cs="Arial"/>
        </w:rPr>
        <w:t xml:space="preserve">Darling-Hammond, L., </w:t>
      </w:r>
      <w:proofErr w:type="spellStart"/>
      <w:r w:rsidRPr="006B6A55">
        <w:rPr>
          <w:rFonts w:ascii="Arial" w:hAnsi="Arial" w:cs="Arial"/>
        </w:rPr>
        <w:t>Flook</w:t>
      </w:r>
      <w:proofErr w:type="spellEnd"/>
      <w:r w:rsidRPr="006B6A55">
        <w:rPr>
          <w:rFonts w:ascii="Arial" w:hAnsi="Arial" w:cs="Arial"/>
        </w:rPr>
        <w:t xml:space="preserve">, L., Cook-Harvey, C., Barron, B., &amp; </w:t>
      </w:r>
      <w:proofErr w:type="spellStart"/>
      <w:r w:rsidRPr="006B6A55">
        <w:rPr>
          <w:rFonts w:ascii="Arial" w:hAnsi="Arial" w:cs="Arial"/>
        </w:rPr>
        <w:t>Osher</w:t>
      </w:r>
      <w:proofErr w:type="spellEnd"/>
      <w:r w:rsidRPr="006B6A55">
        <w:rPr>
          <w:rFonts w:ascii="Arial" w:hAnsi="Arial" w:cs="Arial"/>
        </w:rPr>
        <w:t xml:space="preserve">, D. (2020). Implications for educational practice of the science of learning and development. Applied Developmental Science, 24(2), 97-140. </w:t>
      </w:r>
      <w:hyperlink r:id="rId22" w:history="1">
        <w:r w:rsidRPr="006B6A55">
          <w:rPr>
            <w:rStyle w:val="Hyperlink"/>
            <w:rFonts w:ascii="Arial" w:hAnsi="Arial" w:cs="Arial"/>
            <w:color w:val="auto"/>
            <w:u w:val="none"/>
          </w:rPr>
          <w:t>https://doi.org/10.1080/10888691.2018.1537791</w:t>
        </w:r>
      </w:hyperlink>
    </w:p>
    <w:p w14:paraId="58C02708"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Devi, D. S. (2023). Differentiated Instruction in Special Education: Meeting Diverse Needs in the Classroom. Global International Research Thoughts, 11(1), 53–57. </w:t>
      </w:r>
      <w:hyperlink r:id="rId23" w:history="1">
        <w:r w:rsidRPr="006B6A55">
          <w:rPr>
            <w:rStyle w:val="Hyperlink"/>
            <w:rFonts w:ascii="Arial" w:hAnsi="Arial" w:cs="Arial"/>
            <w:color w:val="auto"/>
            <w:u w:val="none"/>
          </w:rPr>
          <w:t>https://doi.org/10.36676/girt.2023-v11i1-11</w:t>
        </w:r>
      </w:hyperlink>
    </w:p>
    <w:p w14:paraId="5EA6320D" w14:textId="77777777" w:rsidR="001F53F4"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Gallavan</w:t>
      </w:r>
      <w:proofErr w:type="spellEnd"/>
      <w:r w:rsidRPr="006B6A55">
        <w:rPr>
          <w:rFonts w:ascii="Arial" w:hAnsi="Arial" w:cs="Arial"/>
        </w:rPr>
        <w:t xml:space="preserve">, N. P. (2020). Ensuring Student Wellbeing and Learning via Effective Classroom Assessments: Teacher Presence, Practice, and Professionalism. In S. Huffman, S. </w:t>
      </w:r>
      <w:proofErr w:type="spellStart"/>
      <w:r w:rsidRPr="006B6A55">
        <w:rPr>
          <w:rFonts w:ascii="Arial" w:hAnsi="Arial" w:cs="Arial"/>
        </w:rPr>
        <w:t>Loyless</w:t>
      </w:r>
      <w:proofErr w:type="spellEnd"/>
      <w:r w:rsidRPr="006B6A55">
        <w:rPr>
          <w:rFonts w:ascii="Arial" w:hAnsi="Arial" w:cs="Arial"/>
        </w:rPr>
        <w:t xml:space="preserve">, S. Albritton, &amp; C. Green (Eds.), Leveraging Technology to Improve School Safety and Student Wellbeing (pp. 102-125). IGI Global Scientific Publishing. </w:t>
      </w:r>
      <w:hyperlink r:id="rId24" w:history="1">
        <w:r w:rsidRPr="006B6A55">
          <w:rPr>
            <w:rStyle w:val="Hyperlink"/>
            <w:rFonts w:ascii="Arial" w:hAnsi="Arial" w:cs="Arial"/>
            <w:color w:val="auto"/>
            <w:u w:val="none"/>
          </w:rPr>
          <w:t>https://doi.org/10.4018/978-1-7998-1766-6.ch007</w:t>
        </w:r>
      </w:hyperlink>
    </w:p>
    <w:p w14:paraId="28DAF5E4" w14:textId="77777777" w:rsidR="001F53F4" w:rsidRPr="0045184F"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Gnatyshina</w:t>
      </w:r>
      <w:proofErr w:type="spellEnd"/>
      <w:r w:rsidRPr="006B6A55">
        <w:rPr>
          <w:rFonts w:ascii="Arial" w:hAnsi="Arial" w:cs="Arial"/>
        </w:rPr>
        <w:t xml:space="preserve">, E., </w:t>
      </w:r>
      <w:proofErr w:type="spellStart"/>
      <w:r w:rsidRPr="006B6A55">
        <w:rPr>
          <w:rFonts w:ascii="Arial" w:hAnsi="Arial" w:cs="Arial"/>
        </w:rPr>
        <w:t>Uvarina</w:t>
      </w:r>
      <w:proofErr w:type="spellEnd"/>
      <w:r w:rsidRPr="006B6A55">
        <w:rPr>
          <w:rFonts w:ascii="Arial" w:hAnsi="Arial" w:cs="Arial"/>
        </w:rPr>
        <w:t xml:space="preserve">, N., </w:t>
      </w:r>
      <w:proofErr w:type="spellStart"/>
      <w:r w:rsidRPr="006B6A55">
        <w:rPr>
          <w:rFonts w:ascii="Arial" w:hAnsi="Arial" w:cs="Arial"/>
        </w:rPr>
        <w:t>Salamatov</w:t>
      </w:r>
      <w:proofErr w:type="spellEnd"/>
      <w:r w:rsidRPr="006B6A55">
        <w:rPr>
          <w:rFonts w:ascii="Arial" w:hAnsi="Arial" w:cs="Arial"/>
        </w:rPr>
        <w:t xml:space="preserve">, A., </w:t>
      </w:r>
      <w:proofErr w:type="spellStart"/>
      <w:r w:rsidRPr="006B6A55">
        <w:rPr>
          <w:rFonts w:ascii="Arial" w:hAnsi="Arial" w:cs="Arial"/>
        </w:rPr>
        <w:t>Savchenkov</w:t>
      </w:r>
      <w:proofErr w:type="spellEnd"/>
      <w:r w:rsidRPr="006B6A55">
        <w:rPr>
          <w:rFonts w:ascii="Arial" w:hAnsi="Arial" w:cs="Arial"/>
        </w:rPr>
        <w:t xml:space="preserve">, A., &amp; </w:t>
      </w:r>
      <w:proofErr w:type="spellStart"/>
      <w:r w:rsidRPr="006B6A55">
        <w:rPr>
          <w:rFonts w:ascii="Arial" w:hAnsi="Arial" w:cs="Arial"/>
        </w:rPr>
        <w:t>Pakhtusova</w:t>
      </w:r>
      <w:proofErr w:type="spellEnd"/>
      <w:r w:rsidRPr="006B6A55">
        <w:rPr>
          <w:rFonts w:ascii="Arial" w:hAnsi="Arial" w:cs="Arial"/>
        </w:rPr>
        <w:t xml:space="preserve">, N. (2018). Analysis of gender differences in the professional identity indicators of pedagogical university students. 39(29). </w:t>
      </w:r>
      <w:hyperlink r:id="rId25" w:history="1">
        <w:r w:rsidRPr="006B6A55">
          <w:rPr>
            <w:rStyle w:val="Hyperlink"/>
            <w:rFonts w:ascii="Arial" w:hAnsi="Arial" w:cs="Arial"/>
            <w:color w:val="auto"/>
            <w:u w:val="none"/>
          </w:rPr>
          <w:t>https://www.revistaespacios.com/a18v39n29/18392907.html</w:t>
        </w:r>
      </w:hyperlink>
    </w:p>
    <w:p w14:paraId="7317E525" w14:textId="77777777" w:rsidR="001F53F4" w:rsidRDefault="001F53F4" w:rsidP="001F53F4">
      <w:pPr>
        <w:pStyle w:val="ListParagraph"/>
        <w:numPr>
          <w:ilvl w:val="0"/>
          <w:numId w:val="33"/>
        </w:numPr>
        <w:rPr>
          <w:rStyle w:val="Hyperlink"/>
          <w:rFonts w:cs="Arial"/>
          <w:color w:val="auto"/>
          <w:szCs w:val="24"/>
          <w:u w:val="none"/>
        </w:rPr>
      </w:pPr>
      <w:proofErr w:type="spellStart"/>
      <w:r w:rsidRPr="006B6A55">
        <w:rPr>
          <w:rFonts w:cs="Arial"/>
          <w:szCs w:val="24"/>
        </w:rPr>
        <w:t>Gradini</w:t>
      </w:r>
      <w:proofErr w:type="spellEnd"/>
      <w:r w:rsidRPr="006B6A55">
        <w:rPr>
          <w:rFonts w:cs="Arial"/>
          <w:szCs w:val="24"/>
        </w:rPr>
        <w:t xml:space="preserve">, E., Umar, A., </w:t>
      </w:r>
      <w:proofErr w:type="spellStart"/>
      <w:r w:rsidRPr="006B6A55">
        <w:rPr>
          <w:rFonts w:cs="Arial"/>
          <w:szCs w:val="24"/>
        </w:rPr>
        <w:t>Firmansyah</w:t>
      </w:r>
      <w:proofErr w:type="spellEnd"/>
      <w:r w:rsidRPr="006B6A55">
        <w:rPr>
          <w:rFonts w:cs="Arial"/>
          <w:szCs w:val="24"/>
        </w:rPr>
        <w:t xml:space="preserve">, F., Effendi, Y., &amp; </w:t>
      </w:r>
      <w:proofErr w:type="spellStart"/>
      <w:r w:rsidRPr="006B6A55">
        <w:rPr>
          <w:rFonts w:cs="Arial"/>
          <w:szCs w:val="24"/>
        </w:rPr>
        <w:t>Winardi</w:t>
      </w:r>
      <w:proofErr w:type="spellEnd"/>
      <w:r w:rsidRPr="006B6A55">
        <w:rPr>
          <w:rFonts w:cs="Arial"/>
          <w:szCs w:val="24"/>
        </w:rPr>
        <w:t xml:space="preserve">, W. (2024). Fostering Higher Order Thinking Skills in Mathematics Learning: A Scoping Review of Teacher Development Initiatives. </w:t>
      </w:r>
      <w:proofErr w:type="spellStart"/>
      <w:r w:rsidRPr="006B6A55">
        <w:rPr>
          <w:rFonts w:cs="Arial"/>
          <w:szCs w:val="24"/>
        </w:rPr>
        <w:t>Unram</w:t>
      </w:r>
      <w:proofErr w:type="spellEnd"/>
      <w:r w:rsidRPr="006B6A55">
        <w:rPr>
          <w:rFonts w:cs="Arial"/>
          <w:szCs w:val="24"/>
        </w:rPr>
        <w:t xml:space="preserve"> Journal of Community Service. </w:t>
      </w:r>
      <w:hyperlink r:id="rId26" w:history="1">
        <w:r w:rsidRPr="006B6A55">
          <w:rPr>
            <w:rStyle w:val="Hyperlink"/>
            <w:rFonts w:cs="Arial"/>
            <w:color w:val="auto"/>
            <w:szCs w:val="24"/>
            <w:u w:val="none"/>
          </w:rPr>
          <w:t>https://www.researchgate.net/publication/379201599_Fostering_Higher_Order_Thinking_Skills_in_Mathematics_Learning_A_Scoping_Review_of_Teacher_Development_Initiatives</w:t>
        </w:r>
      </w:hyperlink>
    </w:p>
    <w:p w14:paraId="76BEBAEB" w14:textId="77777777" w:rsidR="001F53F4" w:rsidRPr="0045184F"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Haverback</w:t>
      </w:r>
      <w:proofErr w:type="spellEnd"/>
      <w:r w:rsidRPr="006B6A55">
        <w:rPr>
          <w:rFonts w:ascii="Arial" w:hAnsi="Arial" w:cs="Arial"/>
        </w:rPr>
        <w:t xml:space="preserve">, H.R. (2022). Ms. Pollitt. Educational Psychology and Transformational Classrooms. Routledge. Retrieved from: </w:t>
      </w:r>
      <w:hyperlink r:id="rId27" w:history="1">
        <w:r w:rsidRPr="006B6A55">
          <w:rPr>
            <w:rStyle w:val="Hyperlink"/>
            <w:rFonts w:ascii="Arial" w:hAnsi="Arial" w:cs="Arial"/>
            <w:color w:val="auto"/>
            <w:u w:val="none"/>
          </w:rPr>
          <w:t>https://www.taylorfrancis.com/chapters/edit/10.4324/9781003276098-9/ms-pollitt-heather-haverback</w:t>
        </w:r>
      </w:hyperlink>
    </w:p>
    <w:p w14:paraId="0E15BA97"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Hettinger, K., </w:t>
      </w:r>
      <w:proofErr w:type="spellStart"/>
      <w:r w:rsidRPr="006B6A55">
        <w:rPr>
          <w:rFonts w:ascii="Arial" w:hAnsi="Arial" w:cs="Arial"/>
        </w:rPr>
        <w:t>Lazarides</w:t>
      </w:r>
      <w:proofErr w:type="spellEnd"/>
      <w:r w:rsidRPr="006B6A55">
        <w:rPr>
          <w:rFonts w:ascii="Arial" w:hAnsi="Arial" w:cs="Arial"/>
        </w:rPr>
        <w:t xml:space="preserve">, R. &amp; </w:t>
      </w:r>
      <w:proofErr w:type="spellStart"/>
      <w:r w:rsidRPr="006B6A55">
        <w:rPr>
          <w:rFonts w:ascii="Arial" w:hAnsi="Arial" w:cs="Arial"/>
        </w:rPr>
        <w:t>Schiefele</w:t>
      </w:r>
      <w:proofErr w:type="spellEnd"/>
      <w:r w:rsidRPr="006B6A55">
        <w:rPr>
          <w:rFonts w:ascii="Arial" w:hAnsi="Arial" w:cs="Arial"/>
        </w:rPr>
        <w:t xml:space="preserve">, U. Motivational climate in mathematics classrooms: teacher self-efficacy for student engagement, student- and teacher-reported emotional support and student interest. ZDM Mathematics Education 55, 413–426 (2023). </w:t>
      </w:r>
      <w:hyperlink r:id="rId28" w:history="1">
        <w:r w:rsidRPr="006B6A55">
          <w:rPr>
            <w:rStyle w:val="Hyperlink"/>
            <w:rFonts w:ascii="Arial" w:hAnsi="Arial" w:cs="Arial"/>
            <w:color w:val="auto"/>
            <w:u w:val="none"/>
          </w:rPr>
          <w:t>https://doi.org/10.1007/s11858-022-01430-x</w:t>
        </w:r>
      </w:hyperlink>
    </w:p>
    <w:p w14:paraId="72A3F803" w14:textId="77777777" w:rsidR="001F53F4" w:rsidRPr="008F6425"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Hidayatullah</w:t>
      </w:r>
      <w:proofErr w:type="spellEnd"/>
      <w:r w:rsidRPr="006B6A55">
        <w:rPr>
          <w:rFonts w:ascii="Arial" w:hAnsi="Arial" w:cs="Arial"/>
        </w:rPr>
        <w:t xml:space="preserve">, A., </w:t>
      </w:r>
      <w:proofErr w:type="spellStart"/>
      <w:r w:rsidRPr="006B6A55">
        <w:rPr>
          <w:rFonts w:ascii="Arial" w:hAnsi="Arial" w:cs="Arial"/>
        </w:rPr>
        <w:t>Csíkos</w:t>
      </w:r>
      <w:proofErr w:type="spellEnd"/>
      <w:r w:rsidRPr="006B6A55">
        <w:rPr>
          <w:rFonts w:ascii="Arial" w:hAnsi="Arial" w:cs="Arial"/>
        </w:rPr>
        <w:t xml:space="preserve">, C., &amp; </w:t>
      </w:r>
      <w:proofErr w:type="spellStart"/>
      <w:r w:rsidRPr="006B6A55">
        <w:rPr>
          <w:rFonts w:ascii="Arial" w:hAnsi="Arial" w:cs="Arial"/>
        </w:rPr>
        <w:t>Syarifuddin</w:t>
      </w:r>
      <w:proofErr w:type="spellEnd"/>
      <w:r w:rsidRPr="006B6A55">
        <w:rPr>
          <w:rFonts w:ascii="Arial" w:hAnsi="Arial" w:cs="Arial"/>
        </w:rPr>
        <w:t xml:space="preserve">, S. (2023). Beliefs in mathematics learning and utility value as predictors of mathematics engagement among primary education students: the mediating role of self-efficacy. Education 3-13, 1–14. </w:t>
      </w:r>
      <w:hyperlink r:id="rId29" w:history="1">
        <w:r w:rsidRPr="006B6A55">
          <w:rPr>
            <w:rStyle w:val="Hyperlink"/>
            <w:rFonts w:ascii="Arial" w:hAnsi="Arial" w:cs="Arial"/>
            <w:color w:val="auto"/>
            <w:u w:val="none"/>
          </w:rPr>
          <w:t>https://doi.org/10.1080/03004279.2023.2294141</w:t>
        </w:r>
      </w:hyperlink>
    </w:p>
    <w:p w14:paraId="176E7E08"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Ho, V., Tran, V., Nguyen, V., Phan, T, &amp; Cao, H. (2023). The process of developing professional capacity for teachers. Journal of Education and E-Learning Research, 10(3), 489–501. </w:t>
      </w:r>
      <w:hyperlink r:id="rId30" w:history="1">
        <w:r w:rsidRPr="006B6A55">
          <w:rPr>
            <w:rStyle w:val="Hyperlink"/>
            <w:rFonts w:ascii="Arial" w:hAnsi="Arial" w:cs="Arial"/>
            <w:color w:val="auto"/>
            <w:u w:val="none"/>
          </w:rPr>
          <w:t>https://doi.org/10.20448/jeelr.v10i3.4892</w:t>
        </w:r>
      </w:hyperlink>
    </w:p>
    <w:p w14:paraId="04E5C4F6" w14:textId="77777777" w:rsidR="001F53F4" w:rsidRPr="008F6425" w:rsidRDefault="001F53F4" w:rsidP="001F53F4">
      <w:pPr>
        <w:pStyle w:val="Body"/>
        <w:numPr>
          <w:ilvl w:val="0"/>
          <w:numId w:val="33"/>
        </w:numPr>
        <w:spacing w:after="0"/>
        <w:rPr>
          <w:rFonts w:ascii="Arial" w:hAnsi="Arial" w:cs="Arial"/>
        </w:rPr>
      </w:pPr>
      <w:proofErr w:type="spellStart"/>
      <w:r w:rsidRPr="006B6A55">
        <w:rPr>
          <w:rFonts w:ascii="Arial" w:hAnsi="Arial" w:cs="Arial"/>
        </w:rPr>
        <w:t>Jagnandan</w:t>
      </w:r>
      <w:proofErr w:type="spellEnd"/>
      <w:r w:rsidRPr="006B6A55">
        <w:rPr>
          <w:rFonts w:ascii="Arial" w:hAnsi="Arial" w:cs="Arial"/>
        </w:rPr>
        <w:t xml:space="preserve">, A., </w:t>
      </w:r>
      <w:proofErr w:type="spellStart"/>
      <w:r w:rsidRPr="006B6A55">
        <w:rPr>
          <w:rFonts w:ascii="Arial" w:hAnsi="Arial" w:cs="Arial"/>
        </w:rPr>
        <w:t>Jagnandan</w:t>
      </w:r>
      <w:proofErr w:type="spellEnd"/>
      <w:r w:rsidRPr="006B6A55">
        <w:rPr>
          <w:rFonts w:ascii="Arial" w:hAnsi="Arial" w:cs="Arial"/>
        </w:rPr>
        <w:t xml:space="preserve">, S., &amp; Fitz Allen, U. (2024). Do instructional strategies impact students’ situational interests in learning mathematics? A case study of secondary school students in Guyana. International Journal of Current Science Research and Review, 7(1), 699–708. </w:t>
      </w:r>
      <w:hyperlink r:id="rId31" w:history="1">
        <w:r w:rsidRPr="006B6A55">
          <w:rPr>
            <w:rStyle w:val="Hyperlink"/>
            <w:rFonts w:ascii="Arial" w:hAnsi="Arial" w:cs="Arial"/>
            <w:color w:val="auto"/>
            <w:u w:val="none"/>
          </w:rPr>
          <w:t>https://doi.org/10.47191/ijcsrr/v7-i1-67</w:t>
        </w:r>
      </w:hyperlink>
    </w:p>
    <w:p w14:paraId="7DC1D2DA" w14:textId="77777777" w:rsidR="001F53F4"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Juma</w:t>
      </w:r>
      <w:proofErr w:type="spellEnd"/>
      <w:r w:rsidRPr="006B6A55">
        <w:rPr>
          <w:rFonts w:ascii="Arial" w:hAnsi="Arial" w:cs="Arial"/>
        </w:rPr>
        <w:t xml:space="preserve">, A.A. (2024). Enhancing Teacher Professional Development: Strategies, Challenges, and Impacts on Instructional Practice and Student Learning Outcomes: A Review of Research Literature. International Journal for Research in Applied Science and Engineering Technology. </w:t>
      </w:r>
      <w:hyperlink r:id="rId32" w:history="1">
        <w:r w:rsidRPr="006B6A55">
          <w:rPr>
            <w:rStyle w:val="Hyperlink"/>
            <w:rFonts w:ascii="Arial" w:hAnsi="Arial" w:cs="Arial"/>
            <w:color w:val="auto"/>
            <w:u w:val="none"/>
          </w:rPr>
          <w:t>https://doi.org/10.22214/ijraset.2024.59655</w:t>
        </w:r>
      </w:hyperlink>
    </w:p>
    <w:p w14:paraId="0FC2EBF6" w14:textId="5C4E48F4"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Kim, H. J., Kong, Y., &amp; </w:t>
      </w:r>
      <w:proofErr w:type="spellStart"/>
      <w:r w:rsidRPr="006B6A55">
        <w:rPr>
          <w:rFonts w:ascii="Arial" w:hAnsi="Arial" w:cs="Arial"/>
        </w:rPr>
        <w:t>Tirotta</w:t>
      </w:r>
      <w:proofErr w:type="spellEnd"/>
      <w:r w:rsidRPr="006B6A55">
        <w:rPr>
          <w:rFonts w:ascii="Arial" w:hAnsi="Arial" w:cs="Arial"/>
        </w:rPr>
        <w:t xml:space="preserve">-Esposito, R. (2023). Promoting Diversity, Equity, and Inclusion: An Examination of Diversity-Infused Faculty Professional Development Programs. Journal of Higher Education Theory and Practice, 23(11). </w:t>
      </w:r>
      <w:hyperlink r:id="rId33" w:history="1">
        <w:r w:rsidRPr="006B6A55">
          <w:rPr>
            <w:rStyle w:val="Hyperlink"/>
            <w:rFonts w:ascii="Arial" w:hAnsi="Arial" w:cs="Arial"/>
            <w:color w:val="auto"/>
            <w:u w:val="none"/>
          </w:rPr>
          <w:t>https://doi.org/10.33423/jhetp.v23i11.6224</w:t>
        </w:r>
      </w:hyperlink>
    </w:p>
    <w:p w14:paraId="42519A6C" w14:textId="73223EEB" w:rsidR="001F53F4" w:rsidRPr="001F53F4" w:rsidRDefault="001F53F4" w:rsidP="001F53F4">
      <w:pPr>
        <w:pStyle w:val="ListParagraph"/>
        <w:numPr>
          <w:ilvl w:val="0"/>
          <w:numId w:val="33"/>
        </w:numPr>
        <w:rPr>
          <w:rStyle w:val="Hyperlink"/>
          <w:color w:val="auto"/>
          <w:u w:val="none"/>
        </w:rPr>
      </w:pPr>
      <w:proofErr w:type="spellStart"/>
      <w:r w:rsidRPr="001F53F4">
        <w:rPr>
          <w:rFonts w:ascii="Arial" w:hAnsi="Arial" w:cs="Arial"/>
        </w:rPr>
        <w:lastRenderedPageBreak/>
        <w:t>Kleppang</w:t>
      </w:r>
      <w:proofErr w:type="spellEnd"/>
      <w:r w:rsidRPr="001F53F4">
        <w:rPr>
          <w:rFonts w:ascii="Arial" w:hAnsi="Arial" w:cs="Arial"/>
        </w:rPr>
        <w:t xml:space="preserve">, A. L., </w:t>
      </w:r>
      <w:proofErr w:type="spellStart"/>
      <w:r w:rsidRPr="001F53F4">
        <w:rPr>
          <w:rFonts w:ascii="Arial" w:hAnsi="Arial" w:cs="Arial"/>
        </w:rPr>
        <w:t>Steigen</w:t>
      </w:r>
      <w:proofErr w:type="spellEnd"/>
      <w:r w:rsidRPr="001F53F4">
        <w:rPr>
          <w:rFonts w:ascii="Arial" w:hAnsi="Arial" w:cs="Arial"/>
        </w:rPr>
        <w:t xml:space="preserve">, A. M., &amp; </w:t>
      </w:r>
      <w:proofErr w:type="spellStart"/>
      <w:r w:rsidRPr="001F53F4">
        <w:rPr>
          <w:rFonts w:ascii="Arial" w:hAnsi="Arial" w:cs="Arial"/>
        </w:rPr>
        <w:t>Finbråten</w:t>
      </w:r>
      <w:proofErr w:type="spellEnd"/>
      <w:r w:rsidRPr="001F53F4">
        <w:rPr>
          <w:rFonts w:ascii="Arial" w:hAnsi="Arial" w:cs="Arial"/>
        </w:rPr>
        <w:t>, H. S. (2023). Explaining variance in self-efficacy among adolescents: the association between mastery experiences, social support, and self-efficacy. BMC Public Health, 23.</w:t>
      </w:r>
      <w:r w:rsidRPr="001F53F4">
        <w:t xml:space="preserve"> </w:t>
      </w:r>
      <w:r w:rsidRPr="003D404B">
        <w:t>https://doi.org/10.1186/s12889-023-16603-w</w:t>
      </w:r>
    </w:p>
    <w:p w14:paraId="7388499B" w14:textId="4AA50ECB" w:rsidR="001F53F4" w:rsidRPr="001F53F4" w:rsidRDefault="001F53F4" w:rsidP="000B7B6A">
      <w:pPr>
        <w:pStyle w:val="Body"/>
        <w:numPr>
          <w:ilvl w:val="0"/>
          <w:numId w:val="33"/>
        </w:numPr>
        <w:spacing w:after="0"/>
        <w:rPr>
          <w:rStyle w:val="Hyperlink"/>
          <w:rFonts w:ascii="Arial" w:hAnsi="Arial" w:cs="Arial"/>
          <w:color w:val="auto"/>
          <w:u w:val="none"/>
        </w:rPr>
      </w:pPr>
      <w:proofErr w:type="spellStart"/>
      <w:r w:rsidRPr="001F53F4">
        <w:rPr>
          <w:rFonts w:ascii="Arial" w:hAnsi="Arial" w:cs="Arial"/>
        </w:rPr>
        <w:t>Küçükalioğlu</w:t>
      </w:r>
      <w:proofErr w:type="spellEnd"/>
      <w:r w:rsidRPr="001F53F4">
        <w:rPr>
          <w:rFonts w:ascii="Arial" w:hAnsi="Arial" w:cs="Arial"/>
        </w:rPr>
        <w:t xml:space="preserve">, T., &amp; </w:t>
      </w:r>
      <w:proofErr w:type="spellStart"/>
      <w:r w:rsidRPr="001F53F4">
        <w:rPr>
          <w:rFonts w:ascii="Arial" w:hAnsi="Arial" w:cs="Arial"/>
        </w:rPr>
        <w:t>Tuluk</w:t>
      </w:r>
      <w:proofErr w:type="spellEnd"/>
      <w:r w:rsidRPr="001F53F4">
        <w:rPr>
          <w:rFonts w:ascii="Arial" w:hAnsi="Arial" w:cs="Arial"/>
        </w:rPr>
        <w:t xml:space="preserve">, G. (2021). The effect of mathematics teachers’ self-efficacy and leadership styles on students’ mathematical achievement and attitudes. Athens Journal of Education, 8(3), 221–238. </w:t>
      </w:r>
      <w:hyperlink r:id="rId34" w:history="1">
        <w:r w:rsidRPr="001F53F4">
          <w:rPr>
            <w:rStyle w:val="Hyperlink"/>
            <w:rFonts w:ascii="Arial" w:hAnsi="Arial" w:cs="Arial"/>
            <w:color w:val="auto"/>
            <w:u w:val="none"/>
          </w:rPr>
          <w:t>https://doi.org/10.30958/aje.8-3-1</w:t>
        </w:r>
      </w:hyperlink>
    </w:p>
    <w:p w14:paraId="4E7CA6EF" w14:textId="77777777" w:rsidR="001F53F4" w:rsidRPr="008F6425"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Lee, J., &amp; Paul, N. (2023). A Review of Pedagogical Approaches for Improved Engagement and Learning Outcomes in Mathematics. Journal of Student Research, 12(3). </w:t>
      </w:r>
      <w:hyperlink r:id="rId35" w:history="1">
        <w:r w:rsidRPr="006B6A55">
          <w:rPr>
            <w:rStyle w:val="Hyperlink"/>
            <w:rFonts w:ascii="Arial" w:hAnsi="Arial" w:cs="Arial"/>
            <w:color w:val="auto"/>
            <w:u w:val="none"/>
          </w:rPr>
          <w:t>https://doi.org/10.47611/jsrhs.v12i3.5021</w:t>
        </w:r>
      </w:hyperlink>
    </w:p>
    <w:p w14:paraId="1F1D00C2" w14:textId="77777777" w:rsidR="001F53F4" w:rsidRPr="006B6A55"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Lee, S. C., Nugent, G., Kunz, G. M., &amp; Houston, J. (2024). Effects of a Follow-up PD with Distance-based Peer Instructional Coaching on Secondary Science Teachers’ Inquiry-based Teaching Practices in Rural Schools. Journal of Science Teacher Education, 35(7), 697–716. </w:t>
      </w:r>
      <w:hyperlink r:id="rId36" w:history="1">
        <w:r w:rsidRPr="006B6A55">
          <w:rPr>
            <w:rStyle w:val="Hyperlink"/>
            <w:rFonts w:ascii="Arial" w:hAnsi="Arial" w:cs="Arial"/>
            <w:color w:val="auto"/>
            <w:u w:val="none"/>
          </w:rPr>
          <w:t>https://doi.org/10.1080/1046560X.2024.2327774</w:t>
        </w:r>
      </w:hyperlink>
    </w:p>
    <w:p w14:paraId="36B2D577" w14:textId="77777777" w:rsidR="001F53F4" w:rsidRPr="006B6A55" w:rsidRDefault="001F53F4" w:rsidP="001F53F4">
      <w:pPr>
        <w:pStyle w:val="Body"/>
        <w:numPr>
          <w:ilvl w:val="0"/>
          <w:numId w:val="33"/>
        </w:numPr>
        <w:spacing w:after="0"/>
        <w:rPr>
          <w:rFonts w:ascii="Arial" w:hAnsi="Arial" w:cs="Arial"/>
        </w:rPr>
      </w:pPr>
      <w:r w:rsidRPr="006B6A55">
        <w:rPr>
          <w:rFonts w:ascii="Arial" w:hAnsi="Arial" w:cs="Arial"/>
        </w:rPr>
        <w:t xml:space="preserve">Liu, Y., &amp; Liao, W. (2019). Professional development and teacher efficacy: evidence from the 2013 TALIS. School Effectiveness and School Improvement, 30(4), 487–509. </w:t>
      </w:r>
      <w:hyperlink r:id="rId37" w:history="1">
        <w:r w:rsidRPr="006B6A55">
          <w:rPr>
            <w:rStyle w:val="Hyperlink"/>
            <w:rFonts w:ascii="Arial" w:hAnsi="Arial" w:cs="Arial"/>
            <w:color w:val="auto"/>
            <w:u w:val="none"/>
          </w:rPr>
          <w:t>https://doi.org/10.1080/09243453.2019.1612454</w:t>
        </w:r>
      </w:hyperlink>
    </w:p>
    <w:p w14:paraId="05B3F88C"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López</w:t>
      </w:r>
      <w:r w:rsidRPr="00CC391C">
        <w:rPr>
          <w:rFonts w:ascii="Arial" w:hAnsi="Arial" w:cs="Arial"/>
        </w:rPr>
        <w:t>-Martín, E., Gutiérrez-de-</w:t>
      </w:r>
      <w:proofErr w:type="spellStart"/>
      <w:r w:rsidRPr="00CC391C">
        <w:rPr>
          <w:rFonts w:ascii="Arial" w:hAnsi="Arial" w:cs="Arial"/>
        </w:rPr>
        <w:t>Rozas</w:t>
      </w:r>
      <w:proofErr w:type="spellEnd"/>
      <w:r w:rsidRPr="00CC391C">
        <w:rPr>
          <w:rFonts w:ascii="Arial" w:hAnsi="Arial" w:cs="Arial"/>
        </w:rPr>
        <w:t xml:space="preserve">, B., González-Benito, A., &amp; </w:t>
      </w:r>
      <w:proofErr w:type="spellStart"/>
      <w:r w:rsidRPr="00CC391C">
        <w:rPr>
          <w:rFonts w:ascii="Arial" w:hAnsi="Arial" w:cs="Arial"/>
        </w:rPr>
        <w:t>Expósito</w:t>
      </w:r>
      <w:proofErr w:type="spellEnd"/>
      <w:r w:rsidRPr="00CC391C">
        <w:rPr>
          <w:rFonts w:ascii="Arial" w:hAnsi="Arial" w:cs="Arial"/>
        </w:rPr>
        <w:t xml:space="preserve">-Casas, E. (2023). Why Do Teachers Matter? A Meta-Analytic Review of how Teacher Characteristics and Competencies Affect Students’ Academic Achievement. International Journal of Educational Research. </w:t>
      </w:r>
      <w:hyperlink r:id="rId38" w:history="1">
        <w:r w:rsidRPr="006B6A55">
          <w:rPr>
            <w:rStyle w:val="Hyperlink"/>
            <w:rFonts w:ascii="Arial" w:hAnsi="Arial" w:cs="Arial"/>
            <w:color w:val="auto"/>
            <w:u w:val="none"/>
          </w:rPr>
          <w:t>https://doi.org/10.1016/j.ijer.2023.102199</w:t>
        </w:r>
      </w:hyperlink>
    </w:p>
    <w:p w14:paraId="6452BCD1"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Lumpkin, A. (2022). Checking for understanding strategies using formative assessments for student learning. Global Research in Higher Education, 5(1), 50–58. </w:t>
      </w:r>
      <w:hyperlink r:id="rId39" w:history="1">
        <w:r w:rsidRPr="006B6A55">
          <w:rPr>
            <w:rStyle w:val="Hyperlink"/>
            <w:rFonts w:ascii="Arial" w:hAnsi="Arial" w:cs="Arial"/>
            <w:color w:val="auto"/>
            <w:u w:val="none"/>
          </w:rPr>
          <w:t>https://doi.org/10.22158/grhe.v5n1p50</w:t>
        </w:r>
      </w:hyperlink>
    </w:p>
    <w:p w14:paraId="55229356" w14:textId="77777777" w:rsidR="001F53F4" w:rsidRPr="006B6A55" w:rsidRDefault="001F53F4" w:rsidP="001F53F4">
      <w:pPr>
        <w:pStyle w:val="Body"/>
        <w:numPr>
          <w:ilvl w:val="0"/>
          <w:numId w:val="33"/>
        </w:numPr>
        <w:spacing w:after="0"/>
        <w:rPr>
          <w:rFonts w:ascii="Arial" w:hAnsi="Arial" w:cs="Arial"/>
        </w:rPr>
      </w:pPr>
      <w:proofErr w:type="spellStart"/>
      <w:r w:rsidRPr="006B6A55">
        <w:rPr>
          <w:rFonts w:ascii="Arial" w:hAnsi="Arial" w:cs="Arial"/>
        </w:rPr>
        <w:t>Lysinge</w:t>
      </w:r>
      <w:proofErr w:type="spellEnd"/>
      <w:r w:rsidRPr="006B6A55">
        <w:rPr>
          <w:rFonts w:ascii="Arial" w:hAnsi="Arial" w:cs="Arial"/>
        </w:rPr>
        <w:t>, N. (2019). Implications of Gender on Teachers’ Teaching Efficacy. International Journal of Trend in Scientific Research and Development.  (</w:t>
      </w:r>
      <w:proofErr w:type="spellStart"/>
      <w:r w:rsidRPr="006B6A55">
        <w:rPr>
          <w:rFonts w:ascii="Arial" w:hAnsi="Arial" w:cs="Arial"/>
        </w:rPr>
        <w:t>ijtsrd</w:t>
      </w:r>
      <w:proofErr w:type="spellEnd"/>
      <w:r w:rsidRPr="006B6A55">
        <w:rPr>
          <w:rFonts w:ascii="Arial" w:hAnsi="Arial" w:cs="Arial"/>
        </w:rPr>
        <w:t xml:space="preserve">), ISSN: 2456-6470, Volume-3.  </w:t>
      </w:r>
      <w:hyperlink r:id="rId40" w:history="1">
        <w:r w:rsidRPr="006B6A55">
          <w:rPr>
            <w:rStyle w:val="Hyperlink"/>
            <w:rFonts w:ascii="Arial" w:hAnsi="Arial" w:cs="Arial"/>
            <w:color w:val="auto"/>
            <w:u w:val="none"/>
          </w:rPr>
          <w:t>https://doi.org/10.31142/ijtsrd21467</w:t>
        </w:r>
      </w:hyperlink>
    </w:p>
    <w:p w14:paraId="2A7B3C49" w14:textId="77777777" w:rsidR="001F53F4" w:rsidRPr="006B6A55"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Machost</w:t>
      </w:r>
      <w:proofErr w:type="spellEnd"/>
      <w:r w:rsidRPr="006B6A55">
        <w:rPr>
          <w:rFonts w:ascii="Arial" w:hAnsi="Arial" w:cs="Arial"/>
        </w:rPr>
        <w:t xml:space="preserve">, H., &amp; Stains, M. (2023). Reflective Practices in Education: A Primer for Practitioners. CBE life sciences education, 22(2), es2. </w:t>
      </w:r>
      <w:hyperlink r:id="rId41" w:history="1">
        <w:r w:rsidRPr="006B6A55">
          <w:rPr>
            <w:rStyle w:val="Hyperlink"/>
            <w:rFonts w:ascii="Arial" w:hAnsi="Arial" w:cs="Arial"/>
            <w:color w:val="auto"/>
            <w:u w:val="none"/>
          </w:rPr>
          <w:t>https://doi.org/10.1187/cbe.22-07-0148</w:t>
        </w:r>
      </w:hyperlink>
    </w:p>
    <w:p w14:paraId="54C48187" w14:textId="77777777" w:rsidR="001F53F4"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Mallilin</w:t>
      </w:r>
      <w:proofErr w:type="spellEnd"/>
      <w:r w:rsidRPr="006B6A55">
        <w:rPr>
          <w:rFonts w:ascii="Arial" w:hAnsi="Arial" w:cs="Arial"/>
        </w:rPr>
        <w:t xml:space="preserve">, L. &amp; Laurel, R. (2022). Professional Development System Theory for Quality Education. European Journal of Education Studies. </w:t>
      </w:r>
      <w:hyperlink r:id="rId42" w:history="1">
        <w:r w:rsidRPr="006B6A55">
          <w:rPr>
            <w:rStyle w:val="Hyperlink"/>
            <w:rFonts w:ascii="Arial" w:hAnsi="Arial" w:cs="Arial"/>
            <w:color w:val="auto"/>
            <w:u w:val="none"/>
          </w:rPr>
          <w:t>https://doi.org/10.46827/ejes.v9i8.4407</w:t>
        </w:r>
      </w:hyperlink>
    </w:p>
    <w:p w14:paraId="11A9FD0D"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Meng, Z. (2024). Fostering Inclusive Education Effective Management Practices for Supporting Diverse Student Needs. Education Insights, 1(4), 27-33. </w:t>
      </w:r>
      <w:hyperlink r:id="rId43" w:history="1">
        <w:r w:rsidRPr="006B6A55">
          <w:rPr>
            <w:rStyle w:val="Hyperlink"/>
            <w:rFonts w:ascii="Arial" w:hAnsi="Arial" w:cs="Arial"/>
            <w:color w:val="auto"/>
            <w:u w:val="none"/>
          </w:rPr>
          <w:t>https://doi.org/10.70088/n05q4a40</w:t>
        </w:r>
      </w:hyperlink>
    </w:p>
    <w:p w14:paraId="415D8981" w14:textId="77777777" w:rsidR="001F53F4" w:rsidRPr="008F6425"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Mitton-</w:t>
      </w:r>
      <w:proofErr w:type="spellStart"/>
      <w:r w:rsidRPr="006B6A55">
        <w:rPr>
          <w:rFonts w:ascii="Arial" w:hAnsi="Arial" w:cs="Arial"/>
        </w:rPr>
        <w:t>Kukner</w:t>
      </w:r>
      <w:proofErr w:type="spellEnd"/>
      <w:r w:rsidRPr="006B6A55">
        <w:rPr>
          <w:rFonts w:ascii="Arial" w:hAnsi="Arial" w:cs="Arial"/>
        </w:rPr>
        <w:t xml:space="preserve">, J. (2019). Exploring Intersections of Work Intensity and Professional Learning: Female Teachers’ Responses to Research Engagement as Professional Learning. Australian Journal of Teacher Education, 44(10). </w:t>
      </w:r>
      <w:hyperlink r:id="rId44" w:history="1">
        <w:r w:rsidRPr="006B6A55">
          <w:rPr>
            <w:rStyle w:val="Hyperlink"/>
            <w:rFonts w:ascii="Arial" w:hAnsi="Arial" w:cs="Arial"/>
            <w:color w:val="auto"/>
            <w:u w:val="none"/>
          </w:rPr>
          <w:t>https://doi.org/10.14221/ajte.2019v44n10.5</w:t>
        </w:r>
      </w:hyperlink>
    </w:p>
    <w:p w14:paraId="3C70F307"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Mohammad, S., Abdullah, S.M., &amp; </w:t>
      </w:r>
      <w:proofErr w:type="spellStart"/>
      <w:r w:rsidRPr="006B6A55">
        <w:rPr>
          <w:rFonts w:ascii="Arial" w:hAnsi="Arial" w:cs="Arial"/>
        </w:rPr>
        <w:t>Khairani</w:t>
      </w:r>
      <w:proofErr w:type="spellEnd"/>
      <w:r w:rsidRPr="006B6A55">
        <w:rPr>
          <w:rFonts w:ascii="Arial" w:hAnsi="Arial" w:cs="Arial"/>
        </w:rPr>
        <w:t xml:space="preserve">, A.Z. (2011). Teaching Efficacy among College Student-Teachers of Diverse Background. Retrieved from </w:t>
      </w:r>
      <w:hyperlink r:id="rId45" w:history="1">
        <w:r w:rsidRPr="006B6A55">
          <w:rPr>
            <w:rStyle w:val="Hyperlink"/>
            <w:rFonts w:ascii="Arial" w:hAnsi="Arial" w:cs="Arial"/>
            <w:color w:val="auto"/>
            <w:u w:val="none"/>
          </w:rPr>
          <w:t>https://www.semanticscholar.org/paper/Teaching-Efficacy-among-College-Student-Teachers-of-Mohammad-Abdullah/0ab6dcdb6442ef8b70747525ad4fba67e7d3787b</w:t>
        </w:r>
      </w:hyperlink>
    </w:p>
    <w:p w14:paraId="5428333A" w14:textId="77777777" w:rsidR="001F53F4" w:rsidRPr="006B6A55"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Mustafa, B., &amp; </w:t>
      </w:r>
      <w:proofErr w:type="spellStart"/>
      <w:r w:rsidRPr="006B6A55">
        <w:rPr>
          <w:rFonts w:ascii="Arial" w:hAnsi="Arial" w:cs="Arial"/>
        </w:rPr>
        <w:t>Paçariz</w:t>
      </w:r>
      <w:proofErr w:type="spellEnd"/>
      <w:r w:rsidRPr="006B6A55">
        <w:rPr>
          <w:rFonts w:ascii="Arial" w:hAnsi="Arial" w:cs="Arial"/>
        </w:rPr>
        <w:t xml:space="preserve">, Y. (2021). Exploring teachers' perceptions of professional development: The case of </w:t>
      </w:r>
      <w:proofErr w:type="spellStart"/>
      <w:r w:rsidRPr="006B6A55">
        <w:rPr>
          <w:rFonts w:ascii="Arial" w:hAnsi="Arial" w:cs="Arial"/>
        </w:rPr>
        <w:t>Kosova</w:t>
      </w:r>
      <w:proofErr w:type="spellEnd"/>
      <w:r w:rsidRPr="006B6A55">
        <w:rPr>
          <w:rFonts w:ascii="Arial" w:hAnsi="Arial" w:cs="Arial"/>
        </w:rPr>
        <w:t xml:space="preserve">. Journal of Language and Linguistic Studies. </w:t>
      </w:r>
      <w:hyperlink r:id="rId46" w:history="1">
        <w:r w:rsidRPr="006B6A55">
          <w:rPr>
            <w:rStyle w:val="Hyperlink"/>
            <w:rFonts w:ascii="Arial" w:hAnsi="Arial" w:cs="Arial"/>
            <w:color w:val="auto"/>
            <w:u w:val="none"/>
          </w:rPr>
          <w:t>https://www.researchgate.net/publication/355372413_Exploring_teachers'_perceptions_of_professional_development_The_case_of_Kosova</w:t>
        </w:r>
      </w:hyperlink>
    </w:p>
    <w:p w14:paraId="25421030" w14:textId="77777777" w:rsidR="001F53F4" w:rsidRDefault="001F53F4" w:rsidP="001F53F4">
      <w:pPr>
        <w:pStyle w:val="Body"/>
        <w:numPr>
          <w:ilvl w:val="0"/>
          <w:numId w:val="33"/>
        </w:numPr>
        <w:spacing w:after="0"/>
        <w:rPr>
          <w:rFonts w:ascii="Arial" w:hAnsi="Arial" w:cs="Arial"/>
        </w:rPr>
      </w:pPr>
      <w:r w:rsidRPr="006B6A55">
        <w:rPr>
          <w:rFonts w:ascii="Arial" w:hAnsi="Arial" w:cs="Arial"/>
        </w:rPr>
        <w:t xml:space="preserve">Na, C., &amp; Isa, Z. M. (2024). Exploring the Influence of Teacher Self-Efficacy on Teaching Quality in Higher Vocational Education. Journal of </w:t>
      </w:r>
      <w:proofErr w:type="spellStart"/>
      <w:r w:rsidRPr="006B6A55">
        <w:rPr>
          <w:rFonts w:ascii="Arial" w:hAnsi="Arial" w:cs="Arial"/>
        </w:rPr>
        <w:t>Digitainability</w:t>
      </w:r>
      <w:proofErr w:type="spellEnd"/>
      <w:r w:rsidRPr="006B6A55">
        <w:rPr>
          <w:rFonts w:ascii="Arial" w:hAnsi="Arial" w:cs="Arial"/>
        </w:rPr>
        <w:t xml:space="preserve">, Realism &amp; Mastery (DREAM), 3(07), 16–27. </w:t>
      </w:r>
      <w:hyperlink r:id="rId47" w:history="1">
        <w:r w:rsidRPr="006B6A55">
          <w:rPr>
            <w:rStyle w:val="Hyperlink"/>
            <w:rFonts w:ascii="Arial" w:hAnsi="Arial" w:cs="Arial"/>
            <w:color w:val="auto"/>
            <w:u w:val="none"/>
          </w:rPr>
          <w:t>https://doi.org/10.56982/dream.v3i07.246</w:t>
        </w:r>
      </w:hyperlink>
    </w:p>
    <w:p w14:paraId="7273CC4A" w14:textId="77777777" w:rsidR="001F53F4" w:rsidRPr="006B6A55" w:rsidRDefault="001F53F4" w:rsidP="001F53F4">
      <w:pPr>
        <w:pStyle w:val="Body"/>
        <w:numPr>
          <w:ilvl w:val="0"/>
          <w:numId w:val="33"/>
        </w:numPr>
        <w:spacing w:after="0"/>
        <w:rPr>
          <w:rFonts w:ascii="Arial" w:hAnsi="Arial" w:cs="Arial"/>
        </w:rPr>
      </w:pPr>
      <w:r w:rsidRPr="006B6A55">
        <w:rPr>
          <w:rFonts w:ascii="Arial" w:hAnsi="Arial" w:cs="Arial"/>
        </w:rPr>
        <w:lastRenderedPageBreak/>
        <w:t xml:space="preserve">Ng, K.E.D., Yeo, J.K.K., Chua, B.L., Ng, S.F. (2019). Continuing from Pre-service: Towards a Professional Development Framework for Mathematics Teachers in the Twenty-First Century. In: </w:t>
      </w:r>
      <w:proofErr w:type="spellStart"/>
      <w:r w:rsidRPr="006B6A55">
        <w:rPr>
          <w:rFonts w:ascii="Arial" w:hAnsi="Arial" w:cs="Arial"/>
        </w:rPr>
        <w:t>Toh</w:t>
      </w:r>
      <w:proofErr w:type="spellEnd"/>
      <w:r w:rsidRPr="006B6A55">
        <w:rPr>
          <w:rFonts w:ascii="Arial" w:hAnsi="Arial" w:cs="Arial"/>
        </w:rPr>
        <w:t xml:space="preserve">, T., Kaur, B., Tay, E. (eds) Mathematics Education in Singapore. Mathematics Education – An Asian Perspective. Springer, Singapore. </w:t>
      </w:r>
      <w:hyperlink r:id="rId48" w:history="1">
        <w:r w:rsidRPr="006B6A55">
          <w:rPr>
            <w:rStyle w:val="Hyperlink"/>
            <w:rFonts w:ascii="Arial" w:hAnsi="Arial" w:cs="Arial"/>
            <w:color w:val="auto"/>
            <w:u w:val="none"/>
          </w:rPr>
          <w:t>https://doi.org/10.1007/978-981-13-3573-0_17</w:t>
        </w:r>
      </w:hyperlink>
    </w:p>
    <w:p w14:paraId="5F711E54" w14:textId="0C35A317" w:rsidR="001F53F4" w:rsidRDefault="001F53F4" w:rsidP="001F53F4">
      <w:pPr>
        <w:pStyle w:val="Body"/>
        <w:numPr>
          <w:ilvl w:val="0"/>
          <w:numId w:val="33"/>
        </w:numPr>
        <w:spacing w:after="0"/>
        <w:rPr>
          <w:rStyle w:val="Hyperlink"/>
          <w:rFonts w:ascii="Arial" w:hAnsi="Arial" w:cs="Arial"/>
          <w:color w:val="auto"/>
          <w:u w:val="none"/>
        </w:rPr>
      </w:pPr>
      <w:r>
        <w:rPr>
          <w:rFonts w:ascii="Arial" w:hAnsi="Arial" w:cs="Arial"/>
        </w:rPr>
        <w:t>OECD P</w:t>
      </w:r>
      <w:r w:rsidRPr="006B6A55">
        <w:rPr>
          <w:rFonts w:ascii="Arial" w:hAnsi="Arial" w:cs="Arial"/>
        </w:rPr>
        <w:t xml:space="preserve">ublishing. (2019). Education at a glance 2020: OECD indicators. </w:t>
      </w:r>
      <w:hyperlink r:id="rId49" w:history="1">
        <w:r w:rsidRPr="006B6A55">
          <w:rPr>
            <w:rStyle w:val="Hyperlink"/>
            <w:rFonts w:ascii="Arial" w:hAnsi="Arial" w:cs="Arial"/>
            <w:color w:val="auto"/>
            <w:u w:val="none"/>
          </w:rPr>
          <w:t>https://www.oecd.org</w:t>
        </w:r>
      </w:hyperlink>
    </w:p>
    <w:p w14:paraId="11A568A4" w14:textId="172D8889" w:rsidR="001F53F4" w:rsidRPr="008F6425"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Oliveira, H., &amp; Henriques, A., (2021). Preservice mathematics teachers‟ knowledge about the potential of tasks to promote students‟ mathematical reasoning. International Journal of Research in Education and Science (IJRES), 7(4), 1300-1319. </w:t>
      </w:r>
      <w:hyperlink r:id="rId50" w:history="1">
        <w:r w:rsidRPr="006B6A55">
          <w:rPr>
            <w:rStyle w:val="Hyperlink"/>
            <w:rFonts w:ascii="Arial" w:hAnsi="Arial" w:cs="Arial"/>
            <w:color w:val="auto"/>
            <w:u w:val="none"/>
          </w:rPr>
          <w:t>https://doi.org/10.46328/ijres.2472</w:t>
        </w:r>
      </w:hyperlink>
    </w:p>
    <w:p w14:paraId="11AC132E"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Pannell, J.L., </w:t>
      </w:r>
      <w:proofErr w:type="spellStart"/>
      <w:r w:rsidRPr="006B6A55">
        <w:rPr>
          <w:rFonts w:ascii="Arial" w:hAnsi="Arial" w:cs="Arial"/>
        </w:rPr>
        <w:t>Dencer</w:t>
      </w:r>
      <w:proofErr w:type="spellEnd"/>
      <w:r w:rsidRPr="006B6A55">
        <w:rPr>
          <w:rFonts w:ascii="Arial" w:hAnsi="Arial" w:cs="Arial"/>
        </w:rPr>
        <w:t xml:space="preserve">-Brown, A.M., Greening, S.S., Hume, E.A., Jarvis, R.M., Mathieu, C., et al. (2019). An early career perspective on encouraging collaborative and interdisciplinary research in ecology. Ecosphere. </w:t>
      </w:r>
      <w:hyperlink r:id="rId51" w:history="1">
        <w:r w:rsidRPr="006B6A55">
          <w:rPr>
            <w:rStyle w:val="Hyperlink"/>
            <w:rFonts w:ascii="Arial" w:hAnsi="Arial" w:cs="Arial"/>
            <w:color w:val="auto"/>
            <w:u w:val="none"/>
          </w:rPr>
          <w:t>https://doi.org/10.1002/ecs2.2899</w:t>
        </w:r>
      </w:hyperlink>
    </w:p>
    <w:p w14:paraId="116876A6" w14:textId="77777777" w:rsidR="001F53F4"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Panniamogan</w:t>
      </w:r>
      <w:proofErr w:type="spellEnd"/>
      <w:r w:rsidRPr="006B6A55">
        <w:rPr>
          <w:rFonts w:ascii="Arial" w:hAnsi="Arial" w:cs="Arial"/>
        </w:rPr>
        <w:t xml:space="preserve">, J. &amp; </w:t>
      </w:r>
      <w:proofErr w:type="spellStart"/>
      <w:r w:rsidRPr="006B6A55">
        <w:rPr>
          <w:rFonts w:ascii="Arial" w:hAnsi="Arial" w:cs="Arial"/>
        </w:rPr>
        <w:t>Dioso</w:t>
      </w:r>
      <w:proofErr w:type="spellEnd"/>
      <w:r w:rsidRPr="006B6A55">
        <w:rPr>
          <w:rFonts w:ascii="Arial" w:hAnsi="Arial" w:cs="Arial"/>
        </w:rPr>
        <w:t xml:space="preserve">, E. (2024). Relationship Between Teachers' Attitude </w:t>
      </w:r>
      <w:proofErr w:type="gramStart"/>
      <w:r w:rsidRPr="006B6A55">
        <w:rPr>
          <w:rFonts w:ascii="Arial" w:hAnsi="Arial" w:cs="Arial"/>
        </w:rPr>
        <w:t>And</w:t>
      </w:r>
      <w:proofErr w:type="gramEnd"/>
      <w:r w:rsidRPr="006B6A55">
        <w:rPr>
          <w:rFonts w:ascii="Arial" w:hAnsi="Arial" w:cs="Arial"/>
        </w:rPr>
        <w:t xml:space="preserve"> Self-Efficacy: A Descriptive Correlational Study. EPRA International Journal of Environmental Economics, Commerce and Educational Management. </w:t>
      </w:r>
      <w:hyperlink r:id="rId52" w:history="1">
        <w:r w:rsidRPr="006B6A55">
          <w:rPr>
            <w:rStyle w:val="Hyperlink"/>
            <w:rFonts w:ascii="Arial" w:hAnsi="Arial" w:cs="Arial"/>
            <w:color w:val="auto"/>
            <w:u w:val="none"/>
          </w:rPr>
          <w:t>https://doi.org/10.36713/epra17840</w:t>
        </w:r>
      </w:hyperlink>
    </w:p>
    <w:p w14:paraId="6F9C74DA" w14:textId="77777777" w:rsidR="001F53F4" w:rsidRPr="008F6425"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Paulines</w:t>
      </w:r>
      <w:proofErr w:type="spellEnd"/>
      <w:r w:rsidRPr="006B6A55">
        <w:rPr>
          <w:rFonts w:ascii="Arial" w:hAnsi="Arial" w:cs="Arial"/>
        </w:rPr>
        <w:t xml:space="preserve">, W. &amp; </w:t>
      </w:r>
      <w:proofErr w:type="spellStart"/>
      <w:r w:rsidRPr="006B6A55">
        <w:rPr>
          <w:rFonts w:ascii="Arial" w:hAnsi="Arial" w:cs="Arial"/>
        </w:rPr>
        <w:t>Tantiado</w:t>
      </w:r>
      <w:proofErr w:type="spellEnd"/>
      <w:r w:rsidRPr="006B6A55">
        <w:rPr>
          <w:rFonts w:ascii="Arial" w:hAnsi="Arial" w:cs="Arial"/>
        </w:rPr>
        <w:t>, R. (2024). Teacher’s Classroom Management and Students’ Performance. International Journal of Multidisciplinary Research and Analysis. 10.5281/zenodo.13284040</w:t>
      </w:r>
    </w:p>
    <w:p w14:paraId="603BB206"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Qazi, W. (2017). Eastern Kentucky University From the </w:t>
      </w:r>
      <w:proofErr w:type="spellStart"/>
      <w:r w:rsidRPr="006B6A55">
        <w:rPr>
          <w:rFonts w:ascii="Arial" w:hAnsi="Arial" w:cs="Arial"/>
        </w:rPr>
        <w:t>SelectedWorks</w:t>
      </w:r>
      <w:proofErr w:type="spellEnd"/>
      <w:r w:rsidRPr="006B6A55">
        <w:rPr>
          <w:rFonts w:ascii="Arial" w:hAnsi="Arial" w:cs="Arial"/>
        </w:rPr>
        <w:t xml:space="preserve"> of Wasim Qazi 2008 Sustainable Teachers ' </w:t>
      </w:r>
      <w:proofErr w:type="gramStart"/>
      <w:r w:rsidRPr="006B6A55">
        <w:rPr>
          <w:rFonts w:ascii="Arial" w:hAnsi="Arial" w:cs="Arial"/>
        </w:rPr>
        <w:t>Development :</w:t>
      </w:r>
      <w:proofErr w:type="gramEnd"/>
      <w:r w:rsidRPr="006B6A55">
        <w:rPr>
          <w:rFonts w:ascii="Arial" w:hAnsi="Arial" w:cs="Arial"/>
        </w:rPr>
        <w:t xml:space="preserve"> Exploring the Effect of Follow-up Support an </w:t>
      </w:r>
      <w:proofErr w:type="spellStart"/>
      <w:r w:rsidRPr="006B6A55">
        <w:rPr>
          <w:rFonts w:ascii="Arial" w:hAnsi="Arial" w:cs="Arial"/>
        </w:rPr>
        <w:t>an</w:t>
      </w:r>
      <w:proofErr w:type="spellEnd"/>
      <w:r w:rsidRPr="006B6A55">
        <w:rPr>
          <w:rFonts w:ascii="Arial" w:hAnsi="Arial" w:cs="Arial"/>
        </w:rPr>
        <w:t xml:space="preserve"> Element. Retrieved from: </w:t>
      </w:r>
      <w:hyperlink r:id="rId53" w:history="1">
        <w:r w:rsidRPr="006B6A55">
          <w:rPr>
            <w:rStyle w:val="Hyperlink"/>
            <w:rFonts w:ascii="Arial" w:hAnsi="Arial" w:cs="Arial"/>
            <w:color w:val="auto"/>
            <w:u w:val="none"/>
          </w:rPr>
          <w:t>https://www.semanticscholar.org/paper/Eastern-Kentucky-University-From-the-SelectedWorks-Qazi/84708f696c29296bea7065b29b0019c7435fe748</w:t>
        </w:r>
      </w:hyperlink>
    </w:p>
    <w:p w14:paraId="6D29807F" w14:textId="77777777" w:rsidR="001F53F4" w:rsidRPr="008F6425" w:rsidRDefault="001F53F4" w:rsidP="001F53F4">
      <w:pPr>
        <w:pStyle w:val="Body"/>
        <w:numPr>
          <w:ilvl w:val="0"/>
          <w:numId w:val="33"/>
        </w:numPr>
        <w:spacing w:after="0"/>
        <w:rPr>
          <w:rStyle w:val="Hyperlink"/>
          <w:rFonts w:ascii="Arial" w:hAnsi="Arial" w:cs="Arial"/>
          <w:color w:val="auto"/>
          <w:u w:val="none"/>
        </w:rPr>
      </w:pPr>
      <w:r w:rsidRPr="006B6A55">
        <w:t>Ranbir, D., &amp; Education, P.P. (2024). Inclusive Education Practices for Students with Diverse Needs. Innovative Research Thoughts.10.36676/</w:t>
      </w:r>
      <w:proofErr w:type="gramStart"/>
      <w:r w:rsidRPr="006B6A55">
        <w:t>irt.v10.i</w:t>
      </w:r>
      <w:proofErr w:type="gramEnd"/>
      <w:r w:rsidRPr="006B6A55">
        <w:t>1.1405</w:t>
      </w:r>
    </w:p>
    <w:p w14:paraId="6C336CB0" w14:textId="77777777" w:rsidR="001F53F4" w:rsidRPr="006B6A55"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Sandholtz</w:t>
      </w:r>
      <w:proofErr w:type="spellEnd"/>
      <w:r w:rsidRPr="006B6A55">
        <w:rPr>
          <w:rFonts w:ascii="Arial" w:hAnsi="Arial" w:cs="Arial"/>
        </w:rPr>
        <w:t xml:space="preserve">, J.H., </w:t>
      </w:r>
      <w:proofErr w:type="spellStart"/>
      <w:r w:rsidRPr="006B6A55">
        <w:rPr>
          <w:rFonts w:ascii="Arial" w:hAnsi="Arial" w:cs="Arial"/>
        </w:rPr>
        <w:t>Ringstaff</w:t>
      </w:r>
      <w:proofErr w:type="spellEnd"/>
      <w:r w:rsidRPr="006B6A55">
        <w:rPr>
          <w:rFonts w:ascii="Arial" w:hAnsi="Arial" w:cs="Arial"/>
        </w:rPr>
        <w:t xml:space="preserve">, C., &amp; </w:t>
      </w:r>
      <w:proofErr w:type="spellStart"/>
      <w:r w:rsidRPr="006B6A55">
        <w:rPr>
          <w:rFonts w:ascii="Arial" w:hAnsi="Arial" w:cs="Arial"/>
        </w:rPr>
        <w:t>Triant</w:t>
      </w:r>
      <w:proofErr w:type="spellEnd"/>
      <w:r w:rsidRPr="006B6A55">
        <w:rPr>
          <w:rFonts w:ascii="Arial" w:hAnsi="Arial" w:cs="Arial"/>
        </w:rPr>
        <w:t xml:space="preserve">, J. (2023). Professional development tune-up. Phi Delta </w:t>
      </w:r>
      <w:proofErr w:type="spellStart"/>
      <w:r w:rsidRPr="006B6A55">
        <w:rPr>
          <w:rFonts w:ascii="Arial" w:hAnsi="Arial" w:cs="Arial"/>
        </w:rPr>
        <w:t>Kappan</w:t>
      </w:r>
      <w:proofErr w:type="spellEnd"/>
      <w:r w:rsidRPr="006B6A55">
        <w:rPr>
          <w:rFonts w:ascii="Arial" w:hAnsi="Arial" w:cs="Arial"/>
        </w:rPr>
        <w:t xml:space="preserve">, 104, 31 - 35. </w:t>
      </w:r>
      <w:hyperlink r:id="rId54" w:history="1">
        <w:r w:rsidRPr="006B6A55">
          <w:rPr>
            <w:rStyle w:val="Hyperlink"/>
            <w:rFonts w:ascii="Open Sans" w:hAnsi="Open Sans" w:cs="Open Sans"/>
            <w:color w:val="auto"/>
            <w:sz w:val="21"/>
            <w:szCs w:val="21"/>
            <w:u w:val="none"/>
            <w:shd w:val="clear" w:color="auto" w:fill="FFFFFF"/>
          </w:rPr>
          <w:t>https://doi.org/10.1177/00317217231174710</w:t>
        </w:r>
      </w:hyperlink>
    </w:p>
    <w:p w14:paraId="0BDD9327" w14:textId="77777777" w:rsidR="001F53F4" w:rsidRDefault="001F53F4" w:rsidP="001F53F4">
      <w:pPr>
        <w:pStyle w:val="Body"/>
        <w:numPr>
          <w:ilvl w:val="0"/>
          <w:numId w:val="33"/>
        </w:numPr>
        <w:spacing w:after="0"/>
        <w:rPr>
          <w:rFonts w:ascii="Arial" w:hAnsi="Arial" w:cs="Arial"/>
        </w:rPr>
      </w:pPr>
      <w:r w:rsidRPr="006B6A55">
        <w:rPr>
          <w:rFonts w:ascii="Arial" w:hAnsi="Arial" w:cs="Arial"/>
        </w:rPr>
        <w:t xml:space="preserve">Saunders, M., Lewis, P., &amp; Thornhill, A. (2019). </w:t>
      </w:r>
      <w:r w:rsidRPr="006B6A55">
        <w:rPr>
          <w:rFonts w:ascii="Arial" w:hAnsi="Arial" w:cs="Arial"/>
          <w:i/>
        </w:rPr>
        <w:t>Research methods for business students (8th ed.)</w:t>
      </w:r>
      <w:r w:rsidRPr="006B6A55">
        <w:rPr>
          <w:rFonts w:ascii="Arial" w:hAnsi="Arial" w:cs="Arial"/>
        </w:rPr>
        <w:t>. Pearson Education Limited.</w:t>
      </w:r>
    </w:p>
    <w:p w14:paraId="4E62F258"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Shah, D. (2023). Teachers’ Self-Efficacy and Classroom Management Practices: A Theoretical Study. Journal of Education and Research, 13(1), 8-26. </w:t>
      </w:r>
      <w:hyperlink r:id="rId55" w:history="1">
        <w:r w:rsidRPr="006B6A55">
          <w:rPr>
            <w:rStyle w:val="Hyperlink"/>
            <w:rFonts w:ascii="Arial" w:hAnsi="Arial" w:cs="Arial"/>
            <w:color w:val="auto"/>
            <w:u w:val="none"/>
          </w:rPr>
          <w:t>https://doi.org/10.51474/jer.v13i1.661</w:t>
        </w:r>
      </w:hyperlink>
    </w:p>
    <w:p w14:paraId="44F7F621" w14:textId="50602748"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Tashiro, J., Parga, D., Pollard, J., &amp; </w:t>
      </w:r>
      <w:proofErr w:type="spellStart"/>
      <w:r w:rsidRPr="006B6A55">
        <w:rPr>
          <w:rFonts w:ascii="Arial" w:hAnsi="Arial" w:cs="Arial"/>
        </w:rPr>
        <w:t>Talanquer</w:t>
      </w:r>
      <w:proofErr w:type="spellEnd"/>
      <w:r w:rsidRPr="006B6A55">
        <w:rPr>
          <w:rFonts w:ascii="Arial" w:hAnsi="Arial" w:cs="Arial"/>
        </w:rPr>
        <w:t xml:space="preserve">, V. (2021). Characterizing change in students' self-assessments of understanding when engaged in instructional activities. Chemistry Education Research and Practice, 22(3), 662–682. </w:t>
      </w:r>
      <w:hyperlink r:id="rId56" w:history="1">
        <w:r w:rsidRPr="006B6A55">
          <w:rPr>
            <w:rStyle w:val="Hyperlink"/>
            <w:rFonts w:ascii="Arial" w:hAnsi="Arial" w:cs="Arial"/>
            <w:color w:val="auto"/>
            <w:u w:val="none"/>
          </w:rPr>
          <w:t>https://doi.org/10.1039/D0RP00255K</w:t>
        </w:r>
      </w:hyperlink>
    </w:p>
    <w:p w14:paraId="13CFD059" w14:textId="71BA5D48" w:rsidR="00061B5C" w:rsidRPr="008F6425" w:rsidRDefault="00061B5C" w:rsidP="001F53F4">
      <w:pPr>
        <w:pStyle w:val="Body"/>
        <w:numPr>
          <w:ilvl w:val="0"/>
          <w:numId w:val="33"/>
        </w:numPr>
        <w:spacing w:after="0"/>
        <w:rPr>
          <w:rFonts w:ascii="Arial" w:hAnsi="Arial" w:cs="Arial"/>
        </w:rPr>
      </w:pPr>
      <w:proofErr w:type="spellStart"/>
      <w:r w:rsidRPr="005A5A83">
        <w:rPr>
          <w:rFonts w:ascii="Arial" w:hAnsi="Arial" w:cs="Arial"/>
          <w:lang w:val="en-GB"/>
        </w:rPr>
        <w:t>Thurm</w:t>
      </w:r>
      <w:proofErr w:type="spellEnd"/>
      <w:r w:rsidRPr="005A5A83">
        <w:rPr>
          <w:rFonts w:ascii="Arial" w:hAnsi="Arial" w:cs="Arial"/>
          <w:lang w:val="en-GB"/>
        </w:rPr>
        <w:t xml:space="preserve">, D., &amp; </w:t>
      </w:r>
      <w:proofErr w:type="spellStart"/>
      <w:r w:rsidRPr="005A5A83">
        <w:rPr>
          <w:rFonts w:ascii="Arial" w:hAnsi="Arial" w:cs="Arial"/>
          <w:lang w:val="en-GB"/>
        </w:rPr>
        <w:t>Barzel</w:t>
      </w:r>
      <w:proofErr w:type="spellEnd"/>
      <w:r w:rsidRPr="005A5A83">
        <w:rPr>
          <w:rFonts w:ascii="Arial" w:hAnsi="Arial" w:cs="Arial"/>
          <w:lang w:val="en-GB"/>
        </w:rPr>
        <w:t>, B. (2020). Effects of a professional development program for teaching mathematics with technology on teachers’ beliefs, self-efficacy and practices. ZDM, 1-12</w:t>
      </w:r>
      <w:r>
        <w:rPr>
          <w:rFonts w:ascii="Arial" w:hAnsi="Arial" w:cs="Arial"/>
          <w:lang w:val="en-GB"/>
        </w:rPr>
        <w:t>.</w:t>
      </w:r>
    </w:p>
    <w:p w14:paraId="77AA39DC"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Trinidad, J. (2020). Material resources, school climate, and achievement variations in the Philippines: Insights from PISA 2018. International Journal of Educational Development. </w:t>
      </w:r>
      <w:hyperlink r:id="rId57" w:history="1">
        <w:r w:rsidRPr="006B6A55">
          <w:rPr>
            <w:rStyle w:val="Hyperlink"/>
            <w:rFonts w:ascii="Arial" w:hAnsi="Arial" w:cs="Arial"/>
            <w:color w:val="auto"/>
            <w:u w:val="none"/>
          </w:rPr>
          <w:t>https://doi.org/10.1016/j.ijedudev.2020.102174</w:t>
        </w:r>
      </w:hyperlink>
    </w:p>
    <w:p w14:paraId="587AA003" w14:textId="77777777" w:rsidR="001F53F4" w:rsidRPr="008F6425"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Varszegi</w:t>
      </w:r>
      <w:proofErr w:type="spellEnd"/>
      <w:r w:rsidRPr="006B6A55">
        <w:rPr>
          <w:rFonts w:ascii="Arial" w:hAnsi="Arial" w:cs="Arial"/>
        </w:rPr>
        <w:t xml:space="preserve">, M. (2022). Teachers’ changing practices for “disruption management” in the classroom. </w:t>
      </w:r>
      <w:proofErr w:type="spellStart"/>
      <w:r w:rsidRPr="006B6A55">
        <w:rPr>
          <w:rFonts w:ascii="Arial" w:hAnsi="Arial" w:cs="Arial"/>
        </w:rPr>
        <w:t>Problemy</w:t>
      </w:r>
      <w:proofErr w:type="spellEnd"/>
      <w:r w:rsidRPr="006B6A55">
        <w:rPr>
          <w:rFonts w:ascii="Arial" w:hAnsi="Arial" w:cs="Arial"/>
        </w:rPr>
        <w:t xml:space="preserve"> </w:t>
      </w:r>
      <w:proofErr w:type="spellStart"/>
      <w:r w:rsidRPr="006B6A55">
        <w:rPr>
          <w:rFonts w:ascii="Arial" w:hAnsi="Arial" w:cs="Arial"/>
        </w:rPr>
        <w:t>Opiekuńczo-Wychowawcze</w:t>
      </w:r>
      <w:proofErr w:type="spellEnd"/>
      <w:r w:rsidRPr="006B6A55">
        <w:rPr>
          <w:rFonts w:ascii="Arial" w:hAnsi="Arial" w:cs="Arial"/>
        </w:rPr>
        <w:t xml:space="preserve">, 614(9), 45–57. </w:t>
      </w:r>
      <w:hyperlink r:id="rId58" w:history="1">
        <w:r w:rsidRPr="006B6A55">
          <w:rPr>
            <w:rStyle w:val="Hyperlink"/>
            <w:rFonts w:ascii="Arial" w:hAnsi="Arial" w:cs="Arial"/>
            <w:color w:val="auto"/>
            <w:u w:val="none"/>
          </w:rPr>
          <w:t>https://doi.org/10.5604/01.3001.0016.1278</w:t>
        </w:r>
      </w:hyperlink>
    </w:p>
    <w:p w14:paraId="73596CED"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Wagner, C.J., Ossa Parra, M., &amp; Proctor, C.P. (2019). Teacher agency in a multiyear professional development collaborative. English Teaching: Practice &amp; Critique. </w:t>
      </w:r>
      <w:hyperlink r:id="rId59" w:history="1">
        <w:r w:rsidRPr="006B6A55">
          <w:rPr>
            <w:rStyle w:val="Hyperlink"/>
            <w:rFonts w:ascii="Arial" w:hAnsi="Arial" w:cs="Arial"/>
            <w:color w:val="auto"/>
            <w:u w:val="none"/>
          </w:rPr>
          <w:t>https://www.researchgate.net/publication/337268792_Teacher_agency_in_a_multiyear_professional_development_collaborative</w:t>
        </w:r>
      </w:hyperlink>
    </w:p>
    <w:p w14:paraId="48B4B822"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Walters, J.R. &amp; Bradley, N. (2023). Ongoing Professional Development for Busy Teacher Teams. Retrieved from </w:t>
      </w:r>
      <w:hyperlink r:id="rId60" w:history="1">
        <w:r w:rsidRPr="006B6A55">
          <w:rPr>
            <w:rStyle w:val="Hyperlink"/>
            <w:rFonts w:ascii="Arial" w:hAnsi="Arial" w:cs="Arial"/>
            <w:color w:val="auto"/>
            <w:u w:val="none"/>
          </w:rPr>
          <w:t>https://www.researchgate.net/publication/371222657_Ongoing_Professional_Development_for_Busy_Teacher_Teams</w:t>
        </w:r>
      </w:hyperlink>
    </w:p>
    <w:p w14:paraId="5808C9E4" w14:textId="77777777" w:rsidR="001F53F4" w:rsidRPr="008F6425"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Wang, X. (2023). A Study of Early Childhood Teachers’ Professional Development and Teaching Effectiveness Enhancement from the Perspective of Educational Psychology. Contemporary Education and Teaching Research, 4(8), 355–359. </w:t>
      </w:r>
      <w:hyperlink r:id="rId61" w:history="1">
        <w:r w:rsidRPr="006B6A55">
          <w:rPr>
            <w:rStyle w:val="Hyperlink"/>
            <w:rFonts w:ascii="Arial" w:hAnsi="Arial" w:cs="Arial"/>
            <w:color w:val="auto"/>
            <w:u w:val="none"/>
          </w:rPr>
          <w:t>https://doi.org/10.61360/bonicetr232014330806</w:t>
        </w:r>
      </w:hyperlink>
    </w:p>
    <w:p w14:paraId="64360BFD"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Yadav, S. (2021). Effective classroom management skill: An essential skill for teachers. Journal of Education, 11(1), 92–101. </w:t>
      </w:r>
      <w:hyperlink r:id="rId62" w:history="1">
        <w:r w:rsidRPr="006B6A55">
          <w:rPr>
            <w:rStyle w:val="Hyperlink"/>
            <w:rFonts w:ascii="Arial" w:hAnsi="Arial" w:cs="Arial"/>
            <w:color w:val="auto"/>
            <w:u w:val="none"/>
          </w:rPr>
          <w:t>https://doi.org/10.51767/je1107</w:t>
        </w:r>
      </w:hyperlink>
    </w:p>
    <w:p w14:paraId="0876D2CA" w14:textId="77777777" w:rsidR="001F53F4" w:rsidRDefault="001F53F4" w:rsidP="001F53F4">
      <w:pPr>
        <w:pStyle w:val="Body"/>
        <w:numPr>
          <w:ilvl w:val="0"/>
          <w:numId w:val="33"/>
        </w:numPr>
        <w:spacing w:after="0"/>
        <w:rPr>
          <w:rStyle w:val="Hyperlink"/>
          <w:rFonts w:ascii="Arial" w:hAnsi="Arial" w:cs="Arial"/>
          <w:color w:val="auto"/>
          <w:u w:val="none"/>
        </w:rPr>
      </w:pPr>
      <w:r w:rsidRPr="006B6A55">
        <w:rPr>
          <w:rFonts w:ascii="Arial" w:hAnsi="Arial" w:cs="Arial"/>
        </w:rPr>
        <w:t xml:space="preserve">Yang, H. (2019). The effects of professional development experience on teacher self-efficacy: analysis of an international dataset using Bayesian multilevel models. Professional Development in Education, 46(5), 797–811. </w:t>
      </w:r>
      <w:hyperlink r:id="rId63" w:history="1">
        <w:r w:rsidRPr="006B6A55">
          <w:rPr>
            <w:rStyle w:val="Hyperlink"/>
            <w:rFonts w:ascii="Arial" w:hAnsi="Arial" w:cs="Arial"/>
            <w:color w:val="auto"/>
            <w:u w:val="none"/>
          </w:rPr>
          <w:t>https://doi.org/10.1080/19415257.2019.1643393</w:t>
        </w:r>
      </w:hyperlink>
    </w:p>
    <w:p w14:paraId="518135BF" w14:textId="77777777" w:rsidR="001F53F4" w:rsidRPr="0045184F" w:rsidRDefault="001F53F4" w:rsidP="001F53F4">
      <w:pPr>
        <w:pStyle w:val="Body"/>
        <w:numPr>
          <w:ilvl w:val="0"/>
          <w:numId w:val="33"/>
        </w:numPr>
        <w:spacing w:after="0"/>
        <w:rPr>
          <w:rStyle w:val="Hyperlink"/>
          <w:rFonts w:ascii="Arial" w:hAnsi="Arial" w:cs="Arial"/>
          <w:color w:val="auto"/>
          <w:u w:val="none"/>
        </w:rPr>
      </w:pPr>
      <w:proofErr w:type="spellStart"/>
      <w:r w:rsidRPr="006B6A55">
        <w:rPr>
          <w:rFonts w:ascii="Arial" w:hAnsi="Arial" w:cs="Arial"/>
        </w:rPr>
        <w:t>Yoo</w:t>
      </w:r>
      <w:proofErr w:type="spellEnd"/>
      <w:r w:rsidRPr="006B6A55">
        <w:rPr>
          <w:rFonts w:ascii="Arial" w:hAnsi="Arial" w:cs="Arial"/>
        </w:rPr>
        <w:t xml:space="preserve">, J.H. (2016). The Effect of Professional Development on Teacher Efficacy and Teachers’ Self-Analysis of Their Efficacy Change. Journal of Teacher Education for Sustainability, 18(1), 2016. 84-94. </w:t>
      </w:r>
      <w:hyperlink r:id="rId64" w:history="1">
        <w:r w:rsidRPr="006B6A55">
          <w:rPr>
            <w:rStyle w:val="Hyperlink"/>
            <w:rFonts w:ascii="Arial" w:hAnsi="Arial" w:cs="Arial"/>
            <w:color w:val="auto"/>
            <w:u w:val="none"/>
          </w:rPr>
          <w:t>https://doi.org/10.1515/jtes-2016-0007</w:t>
        </w:r>
      </w:hyperlink>
    </w:p>
    <w:p w14:paraId="64F7BA39" w14:textId="77777777" w:rsidR="001F53F4" w:rsidRPr="006B6A55" w:rsidRDefault="001F53F4" w:rsidP="001F53F4">
      <w:pPr>
        <w:pStyle w:val="Body"/>
        <w:numPr>
          <w:ilvl w:val="0"/>
          <w:numId w:val="33"/>
        </w:numPr>
        <w:spacing w:after="0"/>
        <w:rPr>
          <w:rFonts w:ascii="Arial" w:hAnsi="Arial" w:cs="Arial"/>
        </w:rPr>
      </w:pPr>
      <w:r w:rsidRPr="006B6A55">
        <w:rPr>
          <w:rFonts w:ascii="Arial" w:hAnsi="Arial" w:cs="Arial"/>
        </w:rPr>
        <w:t xml:space="preserve">Zakaria, Z. (2020). Teachers Who Reflect, Teach Better: Reflective Practice at The Heart of Teachers’ Professional Development Programs. </w:t>
      </w:r>
      <w:proofErr w:type="spellStart"/>
      <w:r w:rsidRPr="006B6A55">
        <w:rPr>
          <w:rFonts w:ascii="Arial" w:hAnsi="Arial" w:cs="Arial"/>
        </w:rPr>
        <w:t>Idealogy</w:t>
      </w:r>
      <w:proofErr w:type="spellEnd"/>
      <w:r w:rsidRPr="006B6A55">
        <w:rPr>
          <w:rFonts w:ascii="Arial" w:hAnsi="Arial" w:cs="Arial"/>
        </w:rPr>
        <w:t xml:space="preserve"> Journal. </w:t>
      </w:r>
      <w:hyperlink r:id="rId65" w:history="1">
        <w:r w:rsidRPr="006B6A55">
          <w:rPr>
            <w:rStyle w:val="Hyperlink"/>
            <w:rFonts w:ascii="Arial" w:hAnsi="Arial" w:cs="Arial"/>
            <w:color w:val="auto"/>
            <w:u w:val="none"/>
          </w:rPr>
          <w:t>https://doi.org/10.24191/idealogy.v5i2.243</w:t>
        </w:r>
      </w:hyperlink>
    </w:p>
    <w:p w14:paraId="0EB014BF" w14:textId="77777777" w:rsidR="001F53F4" w:rsidRPr="008F6425" w:rsidRDefault="001F53F4" w:rsidP="001F53F4">
      <w:pPr>
        <w:pStyle w:val="Body"/>
        <w:numPr>
          <w:ilvl w:val="0"/>
          <w:numId w:val="33"/>
        </w:numPr>
        <w:spacing w:after="0"/>
        <w:rPr>
          <w:rFonts w:ascii="Arial" w:hAnsi="Arial" w:cs="Arial"/>
        </w:rPr>
      </w:pPr>
      <w:r w:rsidRPr="006B6A55">
        <w:rPr>
          <w:rFonts w:ascii="Arial" w:hAnsi="Arial" w:cs="Arial"/>
        </w:rPr>
        <w:t xml:space="preserve">Zeb, I., Zhang, Y., &amp; Khan, A. (2024). The relationship between teachers’ self-efficacy and classroom management practices in secondary schools. Forum for Education Studies, 2(4), 1564. </w:t>
      </w:r>
      <w:hyperlink r:id="rId66" w:history="1">
        <w:r w:rsidRPr="006B6A55">
          <w:rPr>
            <w:rStyle w:val="Hyperlink"/>
            <w:rFonts w:ascii="Arial" w:hAnsi="Arial" w:cs="Arial"/>
            <w:color w:val="auto"/>
            <w:u w:val="none"/>
          </w:rPr>
          <w:t>https://doi.org/10.59400/fes1564</w:t>
        </w:r>
      </w:hyperlink>
    </w:p>
    <w:p w14:paraId="37EB63E4" w14:textId="1418966A" w:rsidR="004E09B4" w:rsidRPr="005E65E7" w:rsidRDefault="001F53F4" w:rsidP="001F53F4">
      <w:pPr>
        <w:pStyle w:val="Body"/>
        <w:spacing w:after="0"/>
        <w:ind w:left="720"/>
        <w:rPr>
          <w:rFonts w:ascii="Arial" w:hAnsi="Arial" w:cs="Arial"/>
        </w:rPr>
      </w:pPr>
      <w:proofErr w:type="spellStart"/>
      <w:r w:rsidRPr="006B6A55">
        <w:rPr>
          <w:rFonts w:ascii="Arial" w:hAnsi="Arial" w:cs="Arial"/>
        </w:rPr>
        <w:t>Zimu</w:t>
      </w:r>
      <w:proofErr w:type="spellEnd"/>
      <w:r w:rsidRPr="006B6A55">
        <w:rPr>
          <w:rFonts w:ascii="Arial" w:hAnsi="Arial" w:cs="Arial"/>
        </w:rPr>
        <w:t xml:space="preserve">, Y. (2024). Examining the Relationship between Teacher Self-Efficacy and Student Engagement in Technology-enhanced Learning Environments. International Journal of New Developments in Education. </w:t>
      </w:r>
      <w:hyperlink r:id="rId67" w:history="1">
        <w:r w:rsidRPr="006B6A55">
          <w:rPr>
            <w:rStyle w:val="Hyperlink"/>
            <w:rFonts w:ascii="Arial" w:hAnsi="Arial" w:cs="Arial"/>
            <w:color w:val="auto"/>
            <w:u w:val="none"/>
          </w:rPr>
          <w:t>https://doi.org/10.25236/IJNDE.2024.060219</w:t>
        </w:r>
      </w:hyperlink>
      <w:r w:rsidRPr="006B6A55">
        <w:rPr>
          <w:rFonts w:ascii="Arial" w:hAnsi="Arial" w:cs="Arial"/>
        </w:rPr>
        <w:t>.</w:t>
      </w:r>
    </w:p>
    <w:p w14:paraId="211C3B66" w14:textId="201DF637" w:rsidR="004D4277" w:rsidRPr="004E09B4" w:rsidRDefault="004D4277" w:rsidP="004E09B4">
      <w:pPr>
        <w:pStyle w:val="Body"/>
        <w:spacing w:after="0"/>
        <w:sectPr w:rsidR="004D4277" w:rsidRPr="004E09B4" w:rsidSect="000B1E33">
          <w:headerReference w:type="even" r:id="rId68"/>
          <w:headerReference w:type="default" r:id="rId69"/>
          <w:footerReference w:type="default" r:id="rId70"/>
          <w:headerReference w:type="first" r:id="rId71"/>
          <w:type w:val="continuous"/>
          <w:pgSz w:w="12240" w:h="15840"/>
          <w:pgMar w:top="1440" w:right="2016" w:bottom="2016" w:left="2016" w:header="720" w:footer="1123" w:gutter="0"/>
          <w:lnNumType w:countBy="1" w:restart="continuous"/>
          <w:cols w:space="720"/>
          <w:docGrid w:linePitch="272"/>
        </w:sectPr>
      </w:pPr>
    </w:p>
    <w:p w14:paraId="531F8DC6" w14:textId="77777777"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FAB93" w14:textId="77777777" w:rsidR="001324F6" w:rsidRDefault="001324F6" w:rsidP="00C37E61">
      <w:r>
        <w:separator/>
      </w:r>
    </w:p>
  </w:endnote>
  <w:endnote w:type="continuationSeparator" w:id="0">
    <w:p w14:paraId="6066542D" w14:textId="77777777" w:rsidR="001324F6" w:rsidRDefault="001324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5BD5" w14:textId="77777777" w:rsidR="00244FA6" w:rsidRDefault="0024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31BD" w14:textId="77777777" w:rsidR="00244FA6" w:rsidRDefault="00244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3DB0" w14:textId="77777777" w:rsidR="00CE31C6" w:rsidRDefault="00CE31C6">
    <w:pPr>
      <w:pStyle w:val="Footer"/>
      <w:rPr>
        <w:rFonts w:ascii="Arial" w:hAnsi="Arial" w:cs="Arial"/>
        <w:sz w:val="16"/>
      </w:rPr>
    </w:pPr>
  </w:p>
  <w:p w14:paraId="27707E34" w14:textId="77777777" w:rsidR="00CE31C6" w:rsidRDefault="00CE31C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1A64EB5" w14:textId="77777777" w:rsidR="00CE31C6" w:rsidRDefault="00CE31C6">
    <w:pPr>
      <w:pStyle w:val="Footer"/>
      <w:rPr>
        <w:rFonts w:ascii="Arial" w:hAnsi="Arial" w:cs="Arial"/>
        <w:sz w:val="16"/>
      </w:rPr>
    </w:pPr>
  </w:p>
  <w:p w14:paraId="042649FA" w14:textId="77777777" w:rsidR="00CE31C6" w:rsidRPr="009E048A" w:rsidRDefault="00CE31C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3D6A" w14:textId="77777777" w:rsidR="00CE31C6" w:rsidRPr="00C37E61" w:rsidRDefault="00CE31C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C08B" w14:textId="77777777" w:rsidR="001324F6" w:rsidRDefault="001324F6" w:rsidP="00C37E61">
      <w:r>
        <w:separator/>
      </w:r>
    </w:p>
  </w:footnote>
  <w:footnote w:type="continuationSeparator" w:id="0">
    <w:p w14:paraId="1ECF6FD5" w14:textId="77777777" w:rsidR="001324F6" w:rsidRDefault="001324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627F" w14:textId="71377914" w:rsidR="00244FA6" w:rsidRDefault="001324F6">
    <w:pPr>
      <w:pStyle w:val="Header"/>
    </w:pPr>
    <w:r>
      <w:rPr>
        <w:noProof/>
      </w:rPr>
      <w:pict w14:anchorId="0008E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B1F2" w14:textId="39A9B6DF" w:rsidR="00244FA6" w:rsidRDefault="001324F6">
    <w:pPr>
      <w:pStyle w:val="Header"/>
    </w:pPr>
    <w:r>
      <w:rPr>
        <w:noProof/>
      </w:rPr>
      <w:pict w14:anchorId="1FCDE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C8E6" w14:textId="0C37589A" w:rsidR="00CE31C6" w:rsidRPr="00296529" w:rsidRDefault="001324F6" w:rsidP="00296529">
    <w:pPr>
      <w:ind w:left="2160"/>
      <w:jc w:val="center"/>
      <w:rPr>
        <w:rFonts w:ascii="Times New Roman" w:eastAsia="Calibri" w:hAnsi="Times New Roman"/>
        <w:i/>
        <w:sz w:val="18"/>
        <w:szCs w:val="22"/>
      </w:rPr>
    </w:pPr>
    <w:r>
      <w:rPr>
        <w:noProof/>
      </w:rPr>
      <w:pict w14:anchorId="3940F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BEEF772" w14:textId="77777777" w:rsidR="00CE31C6" w:rsidRPr="00296529" w:rsidRDefault="00CE31C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997ACBB" w14:textId="77777777" w:rsidR="00CE31C6" w:rsidRPr="00296529" w:rsidRDefault="00CE31C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CA2D05" w14:textId="77777777" w:rsidR="00CE31C6" w:rsidRPr="00296529" w:rsidRDefault="00CE31C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2DDD4D" w14:textId="77777777" w:rsidR="00CE31C6" w:rsidRDefault="00CE31C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8FAD8F" w14:textId="77777777" w:rsidR="00CE31C6" w:rsidRDefault="00CE31C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0237F1" w14:textId="77777777" w:rsidR="00CE31C6" w:rsidRDefault="00CE31C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6CEE" w14:textId="03045C0B" w:rsidR="00244FA6" w:rsidRDefault="001324F6">
    <w:pPr>
      <w:pStyle w:val="Header"/>
    </w:pPr>
    <w:r>
      <w:rPr>
        <w:noProof/>
      </w:rPr>
      <w:pict w14:anchorId="00060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CC47" w14:textId="414A511C" w:rsidR="00244FA6" w:rsidRDefault="001324F6">
    <w:pPr>
      <w:pStyle w:val="Header"/>
    </w:pPr>
    <w:r>
      <w:rPr>
        <w:noProof/>
      </w:rPr>
      <w:pict w14:anchorId="465EE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C0CE" w14:textId="0F66E5FA" w:rsidR="00244FA6" w:rsidRDefault="001324F6">
    <w:pPr>
      <w:pStyle w:val="Header"/>
    </w:pPr>
    <w:r>
      <w:rPr>
        <w:noProof/>
      </w:rPr>
      <w:pict w14:anchorId="4EAAF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41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864EF0"/>
    <w:multiLevelType w:val="hybridMultilevel"/>
    <w:tmpl w:val="A00086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D5D89"/>
    <w:multiLevelType w:val="hybridMultilevel"/>
    <w:tmpl w:val="F02ED2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B6C2A"/>
    <w:multiLevelType w:val="multilevel"/>
    <w:tmpl w:val="120225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0"/>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19"/>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25BF"/>
    <w:rsid w:val="0004579C"/>
    <w:rsid w:val="000457E1"/>
    <w:rsid w:val="00061B5C"/>
    <w:rsid w:val="000854CC"/>
    <w:rsid w:val="00091193"/>
    <w:rsid w:val="000A3E86"/>
    <w:rsid w:val="000A47FA"/>
    <w:rsid w:val="000A65D3"/>
    <w:rsid w:val="000B1E33"/>
    <w:rsid w:val="000B3867"/>
    <w:rsid w:val="000D689F"/>
    <w:rsid w:val="000D78C9"/>
    <w:rsid w:val="000E1FE9"/>
    <w:rsid w:val="000E40DD"/>
    <w:rsid w:val="000E7B7B"/>
    <w:rsid w:val="000E7D62"/>
    <w:rsid w:val="00103357"/>
    <w:rsid w:val="00110481"/>
    <w:rsid w:val="001168ED"/>
    <w:rsid w:val="00123C9F"/>
    <w:rsid w:val="00126190"/>
    <w:rsid w:val="00130F17"/>
    <w:rsid w:val="001320BF"/>
    <w:rsid w:val="001324F6"/>
    <w:rsid w:val="00152230"/>
    <w:rsid w:val="00163BC4"/>
    <w:rsid w:val="00174DA8"/>
    <w:rsid w:val="00191062"/>
    <w:rsid w:val="00191397"/>
    <w:rsid w:val="00192B72"/>
    <w:rsid w:val="001A29D8"/>
    <w:rsid w:val="001A5CAA"/>
    <w:rsid w:val="001B0427"/>
    <w:rsid w:val="001B7D13"/>
    <w:rsid w:val="001C0C2C"/>
    <w:rsid w:val="001D3A51"/>
    <w:rsid w:val="001E10D2"/>
    <w:rsid w:val="001E25B4"/>
    <w:rsid w:val="001E44FE"/>
    <w:rsid w:val="001F53F4"/>
    <w:rsid w:val="00200595"/>
    <w:rsid w:val="00204835"/>
    <w:rsid w:val="002314A9"/>
    <w:rsid w:val="0023168B"/>
    <w:rsid w:val="00231920"/>
    <w:rsid w:val="0023195C"/>
    <w:rsid w:val="0024282C"/>
    <w:rsid w:val="00244FA6"/>
    <w:rsid w:val="002460DC"/>
    <w:rsid w:val="00250985"/>
    <w:rsid w:val="002556F6"/>
    <w:rsid w:val="00256058"/>
    <w:rsid w:val="00283105"/>
    <w:rsid w:val="00284C4C"/>
    <w:rsid w:val="00286E25"/>
    <w:rsid w:val="00287E68"/>
    <w:rsid w:val="00296529"/>
    <w:rsid w:val="002B27FB"/>
    <w:rsid w:val="002B3EC7"/>
    <w:rsid w:val="002B685A"/>
    <w:rsid w:val="002C57D2"/>
    <w:rsid w:val="002D797F"/>
    <w:rsid w:val="002E0D56"/>
    <w:rsid w:val="002E6DC0"/>
    <w:rsid w:val="0030191F"/>
    <w:rsid w:val="00315186"/>
    <w:rsid w:val="0033343E"/>
    <w:rsid w:val="003512C2"/>
    <w:rsid w:val="00371FB6"/>
    <w:rsid w:val="00376171"/>
    <w:rsid w:val="003763C1"/>
    <w:rsid w:val="00376BBE"/>
    <w:rsid w:val="00380CBB"/>
    <w:rsid w:val="0039224F"/>
    <w:rsid w:val="003A43A4"/>
    <w:rsid w:val="003A7E18"/>
    <w:rsid w:val="003C4C86"/>
    <w:rsid w:val="003C511C"/>
    <w:rsid w:val="003C6258"/>
    <w:rsid w:val="003D18D7"/>
    <w:rsid w:val="003E2904"/>
    <w:rsid w:val="003F036F"/>
    <w:rsid w:val="00401927"/>
    <w:rsid w:val="0041027F"/>
    <w:rsid w:val="00412475"/>
    <w:rsid w:val="004210E6"/>
    <w:rsid w:val="00423789"/>
    <w:rsid w:val="00424489"/>
    <w:rsid w:val="00430FA5"/>
    <w:rsid w:val="00440F43"/>
    <w:rsid w:val="00441B6F"/>
    <w:rsid w:val="0044489D"/>
    <w:rsid w:val="00446221"/>
    <w:rsid w:val="00450E62"/>
    <w:rsid w:val="004539DB"/>
    <w:rsid w:val="00471A80"/>
    <w:rsid w:val="004A0787"/>
    <w:rsid w:val="004C646D"/>
    <w:rsid w:val="004D1FBB"/>
    <w:rsid w:val="004D305E"/>
    <w:rsid w:val="004D4277"/>
    <w:rsid w:val="004E09B4"/>
    <w:rsid w:val="004E2518"/>
    <w:rsid w:val="004E61C7"/>
    <w:rsid w:val="00501D32"/>
    <w:rsid w:val="00502516"/>
    <w:rsid w:val="00505F06"/>
    <w:rsid w:val="00506828"/>
    <w:rsid w:val="0052630F"/>
    <w:rsid w:val="0053056E"/>
    <w:rsid w:val="00554FDA"/>
    <w:rsid w:val="00565115"/>
    <w:rsid w:val="005777E7"/>
    <w:rsid w:val="005B722C"/>
    <w:rsid w:val="005C784C"/>
    <w:rsid w:val="005D17F6"/>
    <w:rsid w:val="005E5539"/>
    <w:rsid w:val="005E65E7"/>
    <w:rsid w:val="005F54A6"/>
    <w:rsid w:val="006014BF"/>
    <w:rsid w:val="006020CA"/>
    <w:rsid w:val="00602BF5"/>
    <w:rsid w:val="00617F6E"/>
    <w:rsid w:val="00617FDD"/>
    <w:rsid w:val="00632968"/>
    <w:rsid w:val="00633614"/>
    <w:rsid w:val="00633F68"/>
    <w:rsid w:val="00636EB2"/>
    <w:rsid w:val="006375B8"/>
    <w:rsid w:val="006434BE"/>
    <w:rsid w:val="0066363F"/>
    <w:rsid w:val="0066510A"/>
    <w:rsid w:val="00672B8C"/>
    <w:rsid w:val="00673F9F"/>
    <w:rsid w:val="0067664A"/>
    <w:rsid w:val="00686953"/>
    <w:rsid w:val="00687DEA"/>
    <w:rsid w:val="00687E67"/>
    <w:rsid w:val="0069571C"/>
    <w:rsid w:val="006967F7"/>
    <w:rsid w:val="006A250C"/>
    <w:rsid w:val="006A4A19"/>
    <w:rsid w:val="006B21D3"/>
    <w:rsid w:val="006B57D0"/>
    <w:rsid w:val="006D30FF"/>
    <w:rsid w:val="006D6940"/>
    <w:rsid w:val="006F11EC"/>
    <w:rsid w:val="006F77BF"/>
    <w:rsid w:val="0070082C"/>
    <w:rsid w:val="00725A05"/>
    <w:rsid w:val="007353C8"/>
    <w:rsid w:val="007369E6"/>
    <w:rsid w:val="007441CB"/>
    <w:rsid w:val="00746E59"/>
    <w:rsid w:val="00751CEA"/>
    <w:rsid w:val="00754C9A"/>
    <w:rsid w:val="0075599A"/>
    <w:rsid w:val="007613B5"/>
    <w:rsid w:val="00761D52"/>
    <w:rsid w:val="00770A2E"/>
    <w:rsid w:val="0077749E"/>
    <w:rsid w:val="00786579"/>
    <w:rsid w:val="00790ADA"/>
    <w:rsid w:val="007A1E58"/>
    <w:rsid w:val="007B4CCB"/>
    <w:rsid w:val="007C0850"/>
    <w:rsid w:val="007C23FA"/>
    <w:rsid w:val="007C38DF"/>
    <w:rsid w:val="007D2288"/>
    <w:rsid w:val="007D2A37"/>
    <w:rsid w:val="007E088F"/>
    <w:rsid w:val="007F7B32"/>
    <w:rsid w:val="00804BC2"/>
    <w:rsid w:val="0080554C"/>
    <w:rsid w:val="00811DEF"/>
    <w:rsid w:val="0081431A"/>
    <w:rsid w:val="00815686"/>
    <w:rsid w:val="00823FDB"/>
    <w:rsid w:val="008272C4"/>
    <w:rsid w:val="0083216F"/>
    <w:rsid w:val="00843544"/>
    <w:rsid w:val="00860000"/>
    <w:rsid w:val="00863BD3"/>
    <w:rsid w:val="008641ED"/>
    <w:rsid w:val="00866D66"/>
    <w:rsid w:val="008671C6"/>
    <w:rsid w:val="008752F8"/>
    <w:rsid w:val="00875803"/>
    <w:rsid w:val="008848DA"/>
    <w:rsid w:val="008923C5"/>
    <w:rsid w:val="00895188"/>
    <w:rsid w:val="008B00BB"/>
    <w:rsid w:val="008B09CD"/>
    <w:rsid w:val="008B2566"/>
    <w:rsid w:val="008B459E"/>
    <w:rsid w:val="008E13AE"/>
    <w:rsid w:val="008E1506"/>
    <w:rsid w:val="008E710C"/>
    <w:rsid w:val="008F69B3"/>
    <w:rsid w:val="008F69D6"/>
    <w:rsid w:val="00902823"/>
    <w:rsid w:val="00915CA6"/>
    <w:rsid w:val="00927834"/>
    <w:rsid w:val="00927E9E"/>
    <w:rsid w:val="009302C4"/>
    <w:rsid w:val="009500A6"/>
    <w:rsid w:val="009527D5"/>
    <w:rsid w:val="00957C18"/>
    <w:rsid w:val="009659BA"/>
    <w:rsid w:val="00983040"/>
    <w:rsid w:val="00985DEA"/>
    <w:rsid w:val="00992C86"/>
    <w:rsid w:val="00995D8C"/>
    <w:rsid w:val="009A6B8E"/>
    <w:rsid w:val="009B3FB9"/>
    <w:rsid w:val="009C2465"/>
    <w:rsid w:val="009C721F"/>
    <w:rsid w:val="009C742E"/>
    <w:rsid w:val="009D35A0"/>
    <w:rsid w:val="009D7EB7"/>
    <w:rsid w:val="009E048A"/>
    <w:rsid w:val="009E08E9"/>
    <w:rsid w:val="009E3DB9"/>
    <w:rsid w:val="009E6E35"/>
    <w:rsid w:val="009F0EDA"/>
    <w:rsid w:val="00A03B96"/>
    <w:rsid w:val="00A05B19"/>
    <w:rsid w:val="00A07021"/>
    <w:rsid w:val="00A1134E"/>
    <w:rsid w:val="00A132CC"/>
    <w:rsid w:val="00A24E7E"/>
    <w:rsid w:val="00A258C3"/>
    <w:rsid w:val="00A347C0"/>
    <w:rsid w:val="00A51431"/>
    <w:rsid w:val="00A539AD"/>
    <w:rsid w:val="00A574A1"/>
    <w:rsid w:val="00A70810"/>
    <w:rsid w:val="00A75F7B"/>
    <w:rsid w:val="00A85FF6"/>
    <w:rsid w:val="00A94063"/>
    <w:rsid w:val="00AA5257"/>
    <w:rsid w:val="00AA6219"/>
    <w:rsid w:val="00AA74E0"/>
    <w:rsid w:val="00AB69D9"/>
    <w:rsid w:val="00AB703F"/>
    <w:rsid w:val="00AC6BB8"/>
    <w:rsid w:val="00AD117E"/>
    <w:rsid w:val="00AE008F"/>
    <w:rsid w:val="00AF08A9"/>
    <w:rsid w:val="00AF21B5"/>
    <w:rsid w:val="00B01FCD"/>
    <w:rsid w:val="00B151A8"/>
    <w:rsid w:val="00B157E3"/>
    <w:rsid w:val="00B162C7"/>
    <w:rsid w:val="00B1776C"/>
    <w:rsid w:val="00B22104"/>
    <w:rsid w:val="00B27DED"/>
    <w:rsid w:val="00B42D57"/>
    <w:rsid w:val="00B52583"/>
    <w:rsid w:val="00B52896"/>
    <w:rsid w:val="00B95236"/>
    <w:rsid w:val="00B9544A"/>
    <w:rsid w:val="00B96BD9"/>
    <w:rsid w:val="00B96EAF"/>
    <w:rsid w:val="00BA1B01"/>
    <w:rsid w:val="00BA1EA5"/>
    <w:rsid w:val="00BA2641"/>
    <w:rsid w:val="00BA6495"/>
    <w:rsid w:val="00BB37AA"/>
    <w:rsid w:val="00BB7C8C"/>
    <w:rsid w:val="00BC1A1B"/>
    <w:rsid w:val="00BC53A0"/>
    <w:rsid w:val="00BD0FEE"/>
    <w:rsid w:val="00BD517C"/>
    <w:rsid w:val="00BE62AD"/>
    <w:rsid w:val="00BE7C78"/>
    <w:rsid w:val="00BF121F"/>
    <w:rsid w:val="00BF1F80"/>
    <w:rsid w:val="00C0429E"/>
    <w:rsid w:val="00C166EF"/>
    <w:rsid w:val="00C17EB0"/>
    <w:rsid w:val="00C230EF"/>
    <w:rsid w:val="00C27F5F"/>
    <w:rsid w:val="00C30A0F"/>
    <w:rsid w:val="00C37E61"/>
    <w:rsid w:val="00C471EB"/>
    <w:rsid w:val="00C66ACB"/>
    <w:rsid w:val="00C70F1B"/>
    <w:rsid w:val="00C7199F"/>
    <w:rsid w:val="00C71A47"/>
    <w:rsid w:val="00C7219B"/>
    <w:rsid w:val="00C7464C"/>
    <w:rsid w:val="00C74A2B"/>
    <w:rsid w:val="00C85588"/>
    <w:rsid w:val="00CA6A33"/>
    <w:rsid w:val="00CC391C"/>
    <w:rsid w:val="00CC7A6E"/>
    <w:rsid w:val="00CD2DC5"/>
    <w:rsid w:val="00CD6755"/>
    <w:rsid w:val="00CD6856"/>
    <w:rsid w:val="00CE0089"/>
    <w:rsid w:val="00CE31C6"/>
    <w:rsid w:val="00CE3521"/>
    <w:rsid w:val="00CE793C"/>
    <w:rsid w:val="00CF193C"/>
    <w:rsid w:val="00D024BC"/>
    <w:rsid w:val="00D173F1"/>
    <w:rsid w:val="00D27320"/>
    <w:rsid w:val="00D51E9F"/>
    <w:rsid w:val="00D736D4"/>
    <w:rsid w:val="00D74CB0"/>
    <w:rsid w:val="00D8295D"/>
    <w:rsid w:val="00DA16E9"/>
    <w:rsid w:val="00DA3532"/>
    <w:rsid w:val="00DA73E7"/>
    <w:rsid w:val="00DC2A65"/>
    <w:rsid w:val="00DE0EFE"/>
    <w:rsid w:val="00DE15F0"/>
    <w:rsid w:val="00DE4428"/>
    <w:rsid w:val="00DE5663"/>
    <w:rsid w:val="00DE78AA"/>
    <w:rsid w:val="00DF0849"/>
    <w:rsid w:val="00E053D0"/>
    <w:rsid w:val="00E146C1"/>
    <w:rsid w:val="00E15994"/>
    <w:rsid w:val="00E3114E"/>
    <w:rsid w:val="00E31A70"/>
    <w:rsid w:val="00E35B02"/>
    <w:rsid w:val="00E501A5"/>
    <w:rsid w:val="00E66496"/>
    <w:rsid w:val="00E66B35"/>
    <w:rsid w:val="00E66E10"/>
    <w:rsid w:val="00E67051"/>
    <w:rsid w:val="00E769F6"/>
    <w:rsid w:val="00E8407C"/>
    <w:rsid w:val="00E84F3C"/>
    <w:rsid w:val="00E87B6C"/>
    <w:rsid w:val="00EA012C"/>
    <w:rsid w:val="00EA132F"/>
    <w:rsid w:val="00EA361B"/>
    <w:rsid w:val="00EA6B8E"/>
    <w:rsid w:val="00EB23E4"/>
    <w:rsid w:val="00EB3DB0"/>
    <w:rsid w:val="00EB4F7E"/>
    <w:rsid w:val="00EC6A55"/>
    <w:rsid w:val="00EC73EE"/>
    <w:rsid w:val="00ED0288"/>
    <w:rsid w:val="00EE354D"/>
    <w:rsid w:val="00EE52CB"/>
    <w:rsid w:val="00EF581D"/>
    <w:rsid w:val="00EF7FD8"/>
    <w:rsid w:val="00F06F59"/>
    <w:rsid w:val="00F127E5"/>
    <w:rsid w:val="00F14858"/>
    <w:rsid w:val="00F17988"/>
    <w:rsid w:val="00F2124F"/>
    <w:rsid w:val="00F26057"/>
    <w:rsid w:val="00F349D8"/>
    <w:rsid w:val="00F422E4"/>
    <w:rsid w:val="00F460D3"/>
    <w:rsid w:val="00F469F0"/>
    <w:rsid w:val="00F53273"/>
    <w:rsid w:val="00F654EC"/>
    <w:rsid w:val="00F67D29"/>
    <w:rsid w:val="00F755E4"/>
    <w:rsid w:val="00F77D02"/>
    <w:rsid w:val="00F92613"/>
    <w:rsid w:val="00FB3A86"/>
    <w:rsid w:val="00FC55A9"/>
    <w:rsid w:val="00FD31F7"/>
    <w:rsid w:val="00FD36C8"/>
    <w:rsid w:val="00FD4FC9"/>
    <w:rsid w:val="00FE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666C66"/>
  <w15:docId w15:val="{C3587658-70AA-4A20-A954-03575DC0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FC55A9"/>
    <w:pPr>
      <w:spacing w:after="120"/>
    </w:pPr>
  </w:style>
  <w:style w:type="character" w:customStyle="1" w:styleId="BodyTextChar">
    <w:name w:val="Body Text Char"/>
    <w:basedOn w:val="DefaultParagraphFont"/>
    <w:link w:val="BodyText"/>
    <w:semiHidden/>
    <w:rsid w:val="00FC55A9"/>
    <w:rPr>
      <w:rFonts w:ascii="Helvetica" w:hAnsi="Helvetica"/>
    </w:rPr>
  </w:style>
  <w:style w:type="character" w:customStyle="1" w:styleId="fadeinm1hgl8">
    <w:name w:val="_fadein_m1hgl_8"/>
    <w:basedOn w:val="DefaultParagraphFont"/>
    <w:rsid w:val="00AF21B5"/>
  </w:style>
  <w:style w:type="table" w:customStyle="1" w:styleId="PlainTable51">
    <w:name w:val="Plain Table 51"/>
    <w:basedOn w:val="TableNormal"/>
    <w:uiPriority w:val="45"/>
    <w:rsid w:val="0042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23168B"/>
    <w:pPr>
      <w:ind w:left="720"/>
      <w:contextualSpacing/>
    </w:pPr>
  </w:style>
  <w:style w:type="character" w:styleId="PlaceholderText">
    <w:name w:val="Placeholder Text"/>
    <w:basedOn w:val="DefaultParagraphFont"/>
    <w:uiPriority w:val="99"/>
    <w:semiHidden/>
    <w:rsid w:val="00CE31C6"/>
    <w:rPr>
      <w:color w:val="808080"/>
    </w:rPr>
  </w:style>
  <w:style w:type="paragraph" w:styleId="CommentSubject">
    <w:name w:val="annotation subject"/>
    <w:basedOn w:val="CommentText"/>
    <w:next w:val="CommentText"/>
    <w:link w:val="CommentSubjectChar"/>
    <w:semiHidden/>
    <w:unhideWhenUsed/>
    <w:rsid w:val="001F53F4"/>
    <w:rPr>
      <w:rFonts w:ascii="Helvetica" w:hAnsi="Helvetica"/>
      <w:b/>
      <w:bCs/>
      <w:lang w:val="en-US" w:eastAsia="en-US"/>
    </w:rPr>
  </w:style>
  <w:style w:type="character" w:customStyle="1" w:styleId="CommentSubjectChar">
    <w:name w:val="Comment Subject Char"/>
    <w:basedOn w:val="CommentTextChar"/>
    <w:link w:val="CommentSubject"/>
    <w:semiHidden/>
    <w:rsid w:val="001F53F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6074384">
      <w:bodyDiv w:val="1"/>
      <w:marLeft w:val="0"/>
      <w:marRight w:val="0"/>
      <w:marTop w:val="0"/>
      <w:marBottom w:val="0"/>
      <w:divBdr>
        <w:top w:val="none" w:sz="0" w:space="0" w:color="auto"/>
        <w:left w:val="none" w:sz="0" w:space="0" w:color="auto"/>
        <w:bottom w:val="none" w:sz="0" w:space="0" w:color="auto"/>
        <w:right w:val="none" w:sz="0" w:space="0" w:color="auto"/>
      </w:divBdr>
      <w:divsChild>
        <w:div w:id="1230533857">
          <w:marLeft w:val="0"/>
          <w:marRight w:val="0"/>
          <w:marTop w:val="0"/>
          <w:marBottom w:val="0"/>
          <w:divBdr>
            <w:top w:val="none" w:sz="0" w:space="0" w:color="auto"/>
            <w:left w:val="none" w:sz="0" w:space="0" w:color="auto"/>
            <w:bottom w:val="none" w:sz="0" w:space="0" w:color="auto"/>
            <w:right w:val="none" w:sz="0" w:space="0" w:color="auto"/>
          </w:divBdr>
          <w:divsChild>
            <w:div w:id="1616132505">
              <w:marLeft w:val="0"/>
              <w:marRight w:val="0"/>
              <w:marTop w:val="0"/>
              <w:marBottom w:val="0"/>
              <w:divBdr>
                <w:top w:val="none" w:sz="0" w:space="0" w:color="auto"/>
                <w:left w:val="none" w:sz="0" w:space="0" w:color="auto"/>
                <w:bottom w:val="none" w:sz="0" w:space="0" w:color="auto"/>
                <w:right w:val="none" w:sz="0" w:space="0" w:color="auto"/>
              </w:divBdr>
              <w:divsChild>
                <w:div w:id="179516349">
                  <w:marLeft w:val="0"/>
                  <w:marRight w:val="0"/>
                  <w:marTop w:val="0"/>
                  <w:marBottom w:val="0"/>
                  <w:divBdr>
                    <w:top w:val="none" w:sz="0" w:space="0" w:color="auto"/>
                    <w:left w:val="none" w:sz="0" w:space="0" w:color="auto"/>
                    <w:bottom w:val="none" w:sz="0" w:space="0" w:color="auto"/>
                    <w:right w:val="none" w:sz="0" w:space="0" w:color="auto"/>
                  </w:divBdr>
                  <w:divsChild>
                    <w:div w:id="65151115">
                      <w:marLeft w:val="0"/>
                      <w:marRight w:val="0"/>
                      <w:marTop w:val="0"/>
                      <w:marBottom w:val="0"/>
                      <w:divBdr>
                        <w:top w:val="none" w:sz="0" w:space="0" w:color="auto"/>
                        <w:left w:val="none" w:sz="0" w:space="0" w:color="auto"/>
                        <w:bottom w:val="none" w:sz="0" w:space="0" w:color="auto"/>
                        <w:right w:val="none" w:sz="0" w:space="0" w:color="auto"/>
                      </w:divBdr>
                      <w:divsChild>
                        <w:div w:id="1874079297">
                          <w:marLeft w:val="0"/>
                          <w:marRight w:val="0"/>
                          <w:marTop w:val="0"/>
                          <w:marBottom w:val="0"/>
                          <w:divBdr>
                            <w:top w:val="none" w:sz="0" w:space="0" w:color="auto"/>
                            <w:left w:val="none" w:sz="0" w:space="0" w:color="auto"/>
                            <w:bottom w:val="none" w:sz="0" w:space="0" w:color="auto"/>
                            <w:right w:val="none" w:sz="0" w:space="0" w:color="auto"/>
                          </w:divBdr>
                          <w:divsChild>
                            <w:div w:id="1899584798">
                              <w:marLeft w:val="0"/>
                              <w:marRight w:val="0"/>
                              <w:marTop w:val="0"/>
                              <w:marBottom w:val="0"/>
                              <w:divBdr>
                                <w:top w:val="none" w:sz="0" w:space="0" w:color="auto"/>
                                <w:left w:val="none" w:sz="0" w:space="0" w:color="auto"/>
                                <w:bottom w:val="none" w:sz="0" w:space="0" w:color="auto"/>
                                <w:right w:val="none" w:sz="0" w:space="0" w:color="auto"/>
                              </w:divBdr>
                              <w:divsChild>
                                <w:div w:id="859009105">
                                  <w:marLeft w:val="0"/>
                                  <w:marRight w:val="0"/>
                                  <w:marTop w:val="0"/>
                                  <w:marBottom w:val="0"/>
                                  <w:divBdr>
                                    <w:top w:val="none" w:sz="0" w:space="0" w:color="auto"/>
                                    <w:left w:val="none" w:sz="0" w:space="0" w:color="auto"/>
                                    <w:bottom w:val="none" w:sz="0" w:space="0" w:color="auto"/>
                                    <w:right w:val="none" w:sz="0" w:space="0" w:color="auto"/>
                                  </w:divBdr>
                                  <w:divsChild>
                                    <w:div w:id="4457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5891">
                          <w:marLeft w:val="0"/>
                          <w:marRight w:val="0"/>
                          <w:marTop w:val="0"/>
                          <w:marBottom w:val="0"/>
                          <w:divBdr>
                            <w:top w:val="none" w:sz="0" w:space="0" w:color="auto"/>
                            <w:left w:val="none" w:sz="0" w:space="0" w:color="auto"/>
                            <w:bottom w:val="none" w:sz="0" w:space="0" w:color="auto"/>
                            <w:right w:val="none" w:sz="0" w:space="0" w:color="auto"/>
                          </w:divBdr>
                          <w:divsChild>
                            <w:div w:id="1452214034">
                              <w:marLeft w:val="0"/>
                              <w:marRight w:val="0"/>
                              <w:marTop w:val="0"/>
                              <w:marBottom w:val="0"/>
                              <w:divBdr>
                                <w:top w:val="none" w:sz="0" w:space="0" w:color="auto"/>
                                <w:left w:val="none" w:sz="0" w:space="0" w:color="auto"/>
                                <w:bottom w:val="none" w:sz="0" w:space="0" w:color="auto"/>
                                <w:right w:val="none" w:sz="0" w:space="0" w:color="auto"/>
                              </w:divBdr>
                              <w:divsChild>
                                <w:div w:id="27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9034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142916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8758190">
      <w:bodyDiv w:val="1"/>
      <w:marLeft w:val="0"/>
      <w:marRight w:val="0"/>
      <w:marTop w:val="0"/>
      <w:marBottom w:val="0"/>
      <w:divBdr>
        <w:top w:val="none" w:sz="0" w:space="0" w:color="auto"/>
        <w:left w:val="none" w:sz="0" w:space="0" w:color="auto"/>
        <w:bottom w:val="none" w:sz="0" w:space="0" w:color="auto"/>
        <w:right w:val="none" w:sz="0" w:space="0" w:color="auto"/>
      </w:divBdr>
      <w:divsChild>
        <w:div w:id="408964812">
          <w:marLeft w:val="0"/>
          <w:marRight w:val="0"/>
          <w:marTop w:val="0"/>
          <w:marBottom w:val="0"/>
          <w:divBdr>
            <w:top w:val="none" w:sz="0" w:space="0" w:color="auto"/>
            <w:left w:val="none" w:sz="0" w:space="0" w:color="auto"/>
            <w:bottom w:val="none" w:sz="0" w:space="0" w:color="auto"/>
            <w:right w:val="none" w:sz="0" w:space="0" w:color="auto"/>
          </w:divBdr>
        </w:div>
      </w:divsChild>
    </w:div>
    <w:div w:id="26130637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733960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1003134">
      <w:bodyDiv w:val="1"/>
      <w:marLeft w:val="0"/>
      <w:marRight w:val="0"/>
      <w:marTop w:val="0"/>
      <w:marBottom w:val="0"/>
      <w:divBdr>
        <w:top w:val="none" w:sz="0" w:space="0" w:color="auto"/>
        <w:left w:val="none" w:sz="0" w:space="0" w:color="auto"/>
        <w:bottom w:val="none" w:sz="0" w:space="0" w:color="auto"/>
        <w:right w:val="none" w:sz="0" w:space="0" w:color="auto"/>
      </w:divBdr>
    </w:div>
    <w:div w:id="1412846731">
      <w:bodyDiv w:val="1"/>
      <w:marLeft w:val="0"/>
      <w:marRight w:val="0"/>
      <w:marTop w:val="0"/>
      <w:marBottom w:val="0"/>
      <w:divBdr>
        <w:top w:val="none" w:sz="0" w:space="0" w:color="auto"/>
        <w:left w:val="none" w:sz="0" w:space="0" w:color="auto"/>
        <w:bottom w:val="none" w:sz="0" w:space="0" w:color="auto"/>
        <w:right w:val="none" w:sz="0" w:space="0" w:color="auto"/>
      </w:divBdr>
    </w:div>
    <w:div w:id="1547402353">
      <w:bodyDiv w:val="1"/>
      <w:marLeft w:val="0"/>
      <w:marRight w:val="0"/>
      <w:marTop w:val="0"/>
      <w:marBottom w:val="0"/>
      <w:divBdr>
        <w:top w:val="none" w:sz="0" w:space="0" w:color="auto"/>
        <w:left w:val="none" w:sz="0" w:space="0" w:color="auto"/>
        <w:bottom w:val="none" w:sz="0" w:space="0" w:color="auto"/>
        <w:right w:val="none" w:sz="0" w:space="0" w:color="auto"/>
      </w:divBdr>
      <w:divsChild>
        <w:div w:id="1740177600">
          <w:marLeft w:val="0"/>
          <w:marRight w:val="0"/>
          <w:marTop w:val="0"/>
          <w:marBottom w:val="0"/>
          <w:divBdr>
            <w:top w:val="none" w:sz="0" w:space="0" w:color="auto"/>
            <w:left w:val="none" w:sz="0" w:space="0" w:color="auto"/>
            <w:bottom w:val="none" w:sz="0" w:space="0" w:color="auto"/>
            <w:right w:val="none" w:sz="0" w:space="0" w:color="auto"/>
          </w:divBdr>
        </w:div>
      </w:divsChild>
    </w:div>
    <w:div w:id="157184797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3019201">
      <w:bodyDiv w:val="1"/>
      <w:marLeft w:val="0"/>
      <w:marRight w:val="0"/>
      <w:marTop w:val="0"/>
      <w:marBottom w:val="0"/>
      <w:divBdr>
        <w:top w:val="none" w:sz="0" w:space="0" w:color="auto"/>
        <w:left w:val="none" w:sz="0" w:space="0" w:color="auto"/>
        <w:bottom w:val="none" w:sz="0" w:space="0" w:color="auto"/>
        <w:right w:val="none" w:sz="0" w:space="0" w:color="auto"/>
      </w:divBdr>
      <w:divsChild>
        <w:div w:id="1081564920">
          <w:marLeft w:val="0"/>
          <w:marRight w:val="0"/>
          <w:marTop w:val="0"/>
          <w:marBottom w:val="0"/>
          <w:divBdr>
            <w:top w:val="none" w:sz="0" w:space="0" w:color="auto"/>
            <w:left w:val="none" w:sz="0" w:space="0" w:color="auto"/>
            <w:bottom w:val="none" w:sz="0" w:space="0" w:color="auto"/>
            <w:right w:val="none" w:sz="0" w:space="0" w:color="auto"/>
          </w:divBdr>
        </w:div>
      </w:divsChild>
    </w:div>
    <w:div w:id="18487918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79201599_Fostering_Higher_Order_Thinking_Skills_in_Mathematics_Learning_A_Scoping_Review_of_Teacher_Development_Initiatives" TargetMode="External"/><Relationship Id="rId21" Type="http://schemas.openxmlformats.org/officeDocument/2006/relationships/hyperlink" Target="https://doi.org/10.3102/0002831218820033" TargetMode="External"/><Relationship Id="rId42" Type="http://schemas.openxmlformats.org/officeDocument/2006/relationships/hyperlink" Target="https://doi.org/10.46827/ejes.v9i8.4407" TargetMode="External"/><Relationship Id="rId47" Type="http://schemas.openxmlformats.org/officeDocument/2006/relationships/hyperlink" Target="https://doi.org/10.56982/dream.v3i07.246" TargetMode="External"/><Relationship Id="rId63" Type="http://schemas.openxmlformats.org/officeDocument/2006/relationships/hyperlink" Target="https://doi.org/10.1080/19415257.2019.1643393" TargetMode="External"/><Relationship Id="rId6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53555/kuey.v29i4.7483" TargetMode="External"/><Relationship Id="rId29" Type="http://schemas.openxmlformats.org/officeDocument/2006/relationships/hyperlink" Target="https://doi.org/10.1080/03004279.2023.2294141" TargetMode="External"/><Relationship Id="rId11" Type="http://schemas.openxmlformats.org/officeDocument/2006/relationships/footer" Target="footer2.xml"/><Relationship Id="rId24" Type="http://schemas.openxmlformats.org/officeDocument/2006/relationships/hyperlink" Target="https://doi.org/10.4018/978-1-7998-1766-6.ch007" TargetMode="External"/><Relationship Id="rId32" Type="http://schemas.openxmlformats.org/officeDocument/2006/relationships/hyperlink" Target="https://doi.org/10.22214/ijraset.2024.59655" TargetMode="External"/><Relationship Id="rId37" Type="http://schemas.openxmlformats.org/officeDocument/2006/relationships/hyperlink" Target="https://doi.org/10.1080/09243453.2019.1612454" TargetMode="External"/><Relationship Id="rId40" Type="http://schemas.openxmlformats.org/officeDocument/2006/relationships/hyperlink" Target="https://doi.org/10.31142/ijtsrd21467" TargetMode="External"/><Relationship Id="rId45" Type="http://schemas.openxmlformats.org/officeDocument/2006/relationships/hyperlink" Target="https://www.semanticscholar.org/paper/Teaching-Efficacy-among-College-Student-Teachers-of-Mohammad-Abdullah/0ab6dcdb6442ef8b70747525ad4fba67e7d3787b" TargetMode="External"/><Relationship Id="rId53" Type="http://schemas.openxmlformats.org/officeDocument/2006/relationships/hyperlink" Target="https://www.semanticscholar.org/paper/Eastern-Kentucky-University-From-the-SelectedWorks-Qazi/84708f696c29296bea7065b29b0019c7435fe748" TargetMode="External"/><Relationship Id="rId58" Type="http://schemas.openxmlformats.org/officeDocument/2006/relationships/hyperlink" Target="https://doi.org/10.5604/01.3001.0016.1278" TargetMode="External"/><Relationship Id="rId66" Type="http://schemas.openxmlformats.org/officeDocument/2006/relationships/hyperlink" Target="https://doi.org/10.59400/fes1564" TargetMode="External"/><Relationship Id="rId5" Type="http://schemas.openxmlformats.org/officeDocument/2006/relationships/webSettings" Target="webSettings.xml"/><Relationship Id="rId61" Type="http://schemas.openxmlformats.org/officeDocument/2006/relationships/hyperlink" Target="https://doi.org/10.61360/bonicetr232014330806" TargetMode="External"/><Relationship Id="rId19" Type="http://schemas.openxmlformats.org/officeDocument/2006/relationships/hyperlink" Target="https://www.semanticscholar.org/paper/A-Comparative-Study-of-Teachers%E2%80%99-Perceptions-to-at-Chit-Ye/6de05accc60443478cbb27e914b801ece4dc465b" TargetMode="External"/><Relationship Id="rId14" Type="http://schemas.openxmlformats.org/officeDocument/2006/relationships/hyperlink" Target="https://doi.org/10.30574/wjarr.2024.21.1.0020" TargetMode="External"/><Relationship Id="rId22" Type="http://schemas.openxmlformats.org/officeDocument/2006/relationships/hyperlink" Target="https://doi.org/10.1080/10888691.2018.1537791" TargetMode="External"/><Relationship Id="rId27" Type="http://schemas.openxmlformats.org/officeDocument/2006/relationships/hyperlink" Target="https://www.taylorfrancis.com/chapters/edit/10.4324/9781003276098-9/ms-pollitt-heather-haverback" TargetMode="External"/><Relationship Id="rId30" Type="http://schemas.openxmlformats.org/officeDocument/2006/relationships/hyperlink" Target="https://doi.org/10.20448/jeelr.v10i3.4892" TargetMode="External"/><Relationship Id="rId35" Type="http://schemas.openxmlformats.org/officeDocument/2006/relationships/hyperlink" Target="https://doi.org/10.47611/jsrhs.v12i3.5021" TargetMode="External"/><Relationship Id="rId43" Type="http://schemas.openxmlformats.org/officeDocument/2006/relationships/hyperlink" Target="https://doi.org/10.70088/n05q4a40" TargetMode="External"/><Relationship Id="rId48" Type="http://schemas.openxmlformats.org/officeDocument/2006/relationships/hyperlink" Target="https://doi.org/10.1007/978-981-13-3573-0_17" TargetMode="External"/><Relationship Id="rId56" Type="http://schemas.openxmlformats.org/officeDocument/2006/relationships/hyperlink" Target="https://doi.org/10.1039/D0RP00255K" TargetMode="External"/><Relationship Id="rId64" Type="http://schemas.openxmlformats.org/officeDocument/2006/relationships/hyperlink" Target="https://doi.org/10.1515/jtes-2016-0007" TargetMode="External"/><Relationship Id="rId69"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1002/ecs2.2899"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1004/basicedu.v8i1" TargetMode="External"/><Relationship Id="rId25" Type="http://schemas.openxmlformats.org/officeDocument/2006/relationships/hyperlink" Target="https://www.revistaespacios.com/a18v39n29/18392907.html" TargetMode="External"/><Relationship Id="rId33" Type="http://schemas.openxmlformats.org/officeDocument/2006/relationships/hyperlink" Target="https://doi.org/10.33423/jhetp.v23i11.6224" TargetMode="External"/><Relationship Id="rId38" Type="http://schemas.openxmlformats.org/officeDocument/2006/relationships/hyperlink" Target="https://doi.org/10.1016/j.ijer.2023.102199" TargetMode="External"/><Relationship Id="rId46" Type="http://schemas.openxmlformats.org/officeDocument/2006/relationships/hyperlink" Target="https://www.researchgate.net/publication/355372413_Exploring_teachers'_perceptions_of_professional_development_The_case_of_Kosova" TargetMode="External"/><Relationship Id="rId59" Type="http://schemas.openxmlformats.org/officeDocument/2006/relationships/hyperlink" Target="https://www.researchgate.net/publication/337268792_Teacher_agency_in_a_multiyear_professional_development_collaborative" TargetMode="External"/><Relationship Id="rId67" Type="http://schemas.openxmlformats.org/officeDocument/2006/relationships/hyperlink" Target="https://doi.org/10.25236/IJNDE.2024.060219" TargetMode="External"/><Relationship Id="rId20" Type="http://schemas.openxmlformats.org/officeDocument/2006/relationships/hyperlink" Target="https://doi.org/10.1080/1359866X.2018.1497772" TargetMode="External"/><Relationship Id="rId41" Type="http://schemas.openxmlformats.org/officeDocument/2006/relationships/hyperlink" Target="https://doi.org/10.1187/cbe.22-07-0148" TargetMode="External"/><Relationship Id="rId54" Type="http://schemas.openxmlformats.org/officeDocument/2006/relationships/hyperlink" Target="https://doi.org/10.1177/00317217231174710" TargetMode="External"/><Relationship Id="rId62" Type="http://schemas.openxmlformats.org/officeDocument/2006/relationships/hyperlink" Target="https://doi.org/10.51767/je1107"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62754/joe.v3i7.4469" TargetMode="External"/><Relationship Id="rId23" Type="http://schemas.openxmlformats.org/officeDocument/2006/relationships/hyperlink" Target="https://doi.org/10.36676/girt.2023-v11i1-11" TargetMode="External"/><Relationship Id="rId28" Type="http://schemas.openxmlformats.org/officeDocument/2006/relationships/hyperlink" Target="https://doi.org/10.1007/s11858-022-01430-x" TargetMode="External"/><Relationship Id="rId36" Type="http://schemas.openxmlformats.org/officeDocument/2006/relationships/hyperlink" Target="https://doi.org/10.1080/1046560X.2024.2327774" TargetMode="External"/><Relationship Id="rId49" Type="http://schemas.openxmlformats.org/officeDocument/2006/relationships/hyperlink" Target="https://www.oecd.org" TargetMode="External"/><Relationship Id="rId57" Type="http://schemas.openxmlformats.org/officeDocument/2006/relationships/hyperlink" Target="https://doi.org/10.1016/j.ijedudev.2020.102174" TargetMode="External"/><Relationship Id="rId10" Type="http://schemas.openxmlformats.org/officeDocument/2006/relationships/footer" Target="footer1.xml"/><Relationship Id="rId31" Type="http://schemas.openxmlformats.org/officeDocument/2006/relationships/hyperlink" Target="https://doi.org/10.47191/ijcsrr/v7-i1-67" TargetMode="External"/><Relationship Id="rId44" Type="http://schemas.openxmlformats.org/officeDocument/2006/relationships/hyperlink" Target="https://doi.org/10.14221/ajte.2019v44n10.5" TargetMode="External"/><Relationship Id="rId52" Type="http://schemas.openxmlformats.org/officeDocument/2006/relationships/hyperlink" Target="https://doi.org/10.36713/epra17840" TargetMode="External"/><Relationship Id="rId60" Type="http://schemas.openxmlformats.org/officeDocument/2006/relationships/hyperlink" Target="https://www.researchgate.net/publication/371222657_Ongoing_Professional_Development_for_Busy_Teacher_Teams" TargetMode="External"/><Relationship Id="rId65" Type="http://schemas.openxmlformats.org/officeDocument/2006/relationships/hyperlink" Target="https://doi.org/10.24191/idealogy.v5i2.243"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54536/jtel.v2i3.3063" TargetMode="External"/><Relationship Id="rId39" Type="http://schemas.openxmlformats.org/officeDocument/2006/relationships/hyperlink" Target="https://doi.org/10.22158/grhe.v5n1p50" TargetMode="External"/><Relationship Id="rId34" Type="http://schemas.openxmlformats.org/officeDocument/2006/relationships/hyperlink" Target="https://doi.org/10.30958/aje.8-3-1" TargetMode="External"/><Relationship Id="rId50" Type="http://schemas.openxmlformats.org/officeDocument/2006/relationships/hyperlink" Target="https://doi.org/10.46328/ijres.2472" TargetMode="External"/><Relationship Id="rId55" Type="http://schemas.openxmlformats.org/officeDocument/2006/relationships/hyperlink" Target="https://doi.org/10.51474/jer.v13i1.661" TargetMode="External"/><Relationship Id="rId7" Type="http://schemas.openxmlformats.org/officeDocument/2006/relationships/endnotes" Target="endnotes.xml"/><Relationship Id="rId7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6521-7A32-4AA0-A288-EF2EBB82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359</TotalTime>
  <Pages>17</Pages>
  <Words>8650</Words>
  <Characters>49309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57844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48</cp:revision>
  <cp:lastPrinted>1999-07-06T11:00:00Z</cp:lastPrinted>
  <dcterms:created xsi:type="dcterms:W3CDTF">2025-05-17T15:04:00Z</dcterms:created>
  <dcterms:modified xsi:type="dcterms:W3CDTF">2025-06-04T05:57:00Z</dcterms:modified>
</cp:coreProperties>
</file>