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CA8635" w14:textId="68FB8BA6" w:rsidR="00A174C6" w:rsidRPr="00FF5683" w:rsidRDefault="0044557C" w:rsidP="00A174C6">
      <w:pPr>
        <w:rPr>
          <w:rFonts w:ascii="Arial" w:hAnsi="Arial" w:cs="Arial"/>
          <w:b/>
          <w:bCs/>
          <w:sz w:val="36"/>
          <w:szCs w:val="36"/>
        </w:rPr>
      </w:pPr>
      <w:r w:rsidRPr="00FF5683">
        <w:rPr>
          <w:rFonts w:ascii="Arial" w:hAnsi="Arial" w:cs="Arial"/>
          <w:b/>
          <w:bCs/>
          <w:sz w:val="36"/>
          <w:szCs w:val="36"/>
        </w:rPr>
        <w:t xml:space="preserve">Integrated Water Resource Management </w:t>
      </w:r>
      <w:r>
        <w:rPr>
          <w:rFonts w:ascii="Arial" w:hAnsi="Arial" w:cs="Arial"/>
          <w:b/>
          <w:bCs/>
          <w:sz w:val="36"/>
          <w:szCs w:val="36"/>
        </w:rPr>
        <w:t>i</w:t>
      </w:r>
      <w:r w:rsidRPr="00FF5683">
        <w:rPr>
          <w:rFonts w:ascii="Arial" w:hAnsi="Arial" w:cs="Arial"/>
          <w:b/>
          <w:bCs/>
          <w:sz w:val="36"/>
          <w:szCs w:val="36"/>
        </w:rPr>
        <w:t xml:space="preserve">n Arid Regions: A Transformative Framework </w:t>
      </w:r>
      <w:r>
        <w:rPr>
          <w:rFonts w:ascii="Arial" w:hAnsi="Arial" w:cs="Arial"/>
          <w:b/>
          <w:bCs/>
          <w:sz w:val="36"/>
          <w:szCs w:val="36"/>
        </w:rPr>
        <w:t>f</w:t>
      </w:r>
      <w:r w:rsidRPr="00FF5683">
        <w:rPr>
          <w:rFonts w:ascii="Arial" w:hAnsi="Arial" w:cs="Arial"/>
          <w:b/>
          <w:bCs/>
          <w:sz w:val="36"/>
          <w:szCs w:val="36"/>
        </w:rPr>
        <w:t>or Enhancing Water Security Under Climate Uncertainty</w:t>
      </w:r>
      <w:bookmarkStart w:id="0" w:name="_GoBack"/>
      <w:bookmarkEnd w:id="0"/>
    </w:p>
    <w:p w14:paraId="23B639E5" w14:textId="210002AC" w:rsidR="00A174C6" w:rsidRDefault="00A174C6" w:rsidP="00A174C6">
      <w:pPr>
        <w:pStyle w:val="AbstHead"/>
        <w:spacing w:after="0"/>
        <w:jc w:val="both"/>
        <w:rPr>
          <w:rFonts w:ascii="Arial" w:hAnsi="Arial" w:cs="Arial"/>
        </w:rPr>
      </w:pPr>
      <w:bookmarkStart w:id="1" w:name="_Hlk199160756"/>
      <w:r w:rsidRPr="00FB3A86">
        <w:rPr>
          <w:rFonts w:ascii="Arial" w:hAnsi="Arial" w:cs="Arial"/>
        </w:rPr>
        <w:t>ABSTRACT</w:t>
      </w:r>
      <w:r>
        <w:rPr>
          <w:rFonts w:ascii="Arial" w:hAnsi="Arial" w:cs="Arial"/>
        </w:rPr>
        <w:t xml:space="preserve"> </w:t>
      </w:r>
    </w:p>
    <w:p w14:paraId="20D7BA7E" w14:textId="77777777" w:rsidR="00A174C6" w:rsidRPr="00FB3A86" w:rsidRDefault="00A174C6" w:rsidP="00A174C6">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350"/>
      </w:tblGrid>
      <w:tr w:rsidR="00A174C6" w:rsidRPr="001E44FE" w14:paraId="6E7367FB" w14:textId="77777777" w:rsidTr="000E3092">
        <w:tc>
          <w:tcPr>
            <w:tcW w:w="9576" w:type="dxa"/>
            <w:shd w:val="clear" w:color="auto" w:fill="F2F2F2"/>
          </w:tcPr>
          <w:p w14:paraId="1366EBDE" w14:textId="7FE9EC2B" w:rsidR="00A174C6" w:rsidRPr="00BF18A4" w:rsidRDefault="00452B65" w:rsidP="00BF18A4">
            <w:pPr>
              <w:jc w:val="both"/>
              <w:rPr>
                <w:rFonts w:ascii="Arial" w:hAnsi="Arial" w:cs="Arial"/>
                <w:sz w:val="20"/>
                <w:szCs w:val="20"/>
              </w:rPr>
            </w:pPr>
            <w:r w:rsidRPr="00452B65">
              <w:rPr>
                <w:rFonts w:ascii="Arial" w:hAnsi="Arial" w:cs="Arial"/>
                <w:sz w:val="20"/>
                <w:szCs w:val="20"/>
              </w:rPr>
              <w:t>Water insecurity threatens at least 2 billion people residing in arid and semi-arid parts of the world, with climate change and population growth exacerbating this human threat very fast. However, over decades of interventions, the traditional methods of water management are always failing in these unique environments. As a radical reboot of water governance as it happens in water-scarce places based on a novel methodological approach that combines innovative hydrogeological modeling, institutional analysis, and implementation science. Our mixed-methods appraisal, which involved a remote sensing analysis of 38 major arid basins, a 12-year longitudinal tracking of three diverse case systems, and multinational stakeholder engagement (n=247), reveals crucial tipping points, beyond which traditional frameworks break. Performance of conventional assessment models remains limited on arid landscapes, as they explain only 26% of outcomes variance (p&lt;0.001), while our Climate-Adaptive Water Security Index reliably predicts 78% of system failures under heightening climate stress (p&lt;0.001). The transformative framework for water governance that we propose repositions water governance in terms of adaptive resilience, instead of static sustainability, and creates a paradigm shift applicable to global water security challenges that are accelerating under climate change</w:t>
            </w:r>
            <w:r w:rsidR="00BF18A4">
              <w:rPr>
                <w:rFonts w:ascii="Arial" w:hAnsi="Arial" w:cs="Arial"/>
                <w:sz w:val="20"/>
                <w:szCs w:val="20"/>
              </w:rPr>
              <w:t>.</w:t>
            </w:r>
            <w:r w:rsidR="00BA5CB4">
              <w:rPr>
                <w:rFonts w:ascii="Arial" w:hAnsi="Arial" w:cs="Arial"/>
                <w:sz w:val="20"/>
                <w:szCs w:val="20"/>
              </w:rPr>
              <w:t xml:space="preserve"> </w:t>
            </w:r>
            <w:r w:rsidR="00BA5CB4" w:rsidRPr="00BA5CB4">
              <w:rPr>
                <w:rFonts w:ascii="Arial" w:hAnsi="Arial" w:cs="Arial"/>
                <w:sz w:val="20"/>
                <w:szCs w:val="20"/>
                <w:highlight w:val="yellow"/>
              </w:rPr>
              <w:t>This research presents a robust and flexible paradigm for climate-adaptive water governance in arid environments.</w:t>
            </w:r>
          </w:p>
        </w:tc>
      </w:tr>
      <w:bookmarkEnd w:id="1"/>
    </w:tbl>
    <w:p w14:paraId="7DAE67F7" w14:textId="77777777" w:rsidR="00B50E54" w:rsidRPr="002A2201" w:rsidRDefault="00B50E54" w:rsidP="00B50E54">
      <w:pPr>
        <w:spacing w:after="0"/>
        <w:jc w:val="both"/>
        <w:rPr>
          <w:rFonts w:ascii="Arial" w:hAnsi="Arial" w:cs="Arial"/>
          <w:i/>
          <w:iCs/>
          <w:sz w:val="22"/>
          <w:szCs w:val="22"/>
        </w:rPr>
      </w:pPr>
    </w:p>
    <w:p w14:paraId="6E85D612" w14:textId="77777777" w:rsidR="00DA5352" w:rsidRPr="002A2201" w:rsidRDefault="003B6F69" w:rsidP="00DA5352">
      <w:pPr>
        <w:spacing w:after="0"/>
        <w:jc w:val="both"/>
        <w:rPr>
          <w:rFonts w:ascii="Arial" w:hAnsi="Arial" w:cs="Arial"/>
          <w:i/>
          <w:iCs/>
          <w:sz w:val="22"/>
          <w:szCs w:val="22"/>
        </w:rPr>
      </w:pPr>
      <w:r w:rsidRPr="002A2201">
        <w:rPr>
          <w:rFonts w:ascii="Arial" w:hAnsi="Arial" w:cs="Arial"/>
          <w:i/>
          <w:iCs/>
          <w:sz w:val="22"/>
          <w:szCs w:val="22"/>
        </w:rPr>
        <w:t xml:space="preserve">Keywords: </w:t>
      </w:r>
      <w:r w:rsidR="00DA5352" w:rsidRPr="002A2201">
        <w:rPr>
          <w:rFonts w:ascii="Arial" w:hAnsi="Arial" w:cs="Arial"/>
          <w:i/>
          <w:iCs/>
          <w:sz w:val="22"/>
          <w:szCs w:val="22"/>
        </w:rPr>
        <w:t>Water Governance, Arid and Semi-Arid Regions, Resilience Framework, Integrated Water Resource Management, Climate Change Adaptation.</w:t>
      </w:r>
    </w:p>
    <w:p w14:paraId="54E7F772" w14:textId="1F726E45" w:rsidR="003B6F69" w:rsidRPr="00A174C6" w:rsidRDefault="003B6F69" w:rsidP="00B50E54">
      <w:pPr>
        <w:spacing w:after="0"/>
        <w:jc w:val="both"/>
        <w:rPr>
          <w:rFonts w:ascii="Arial" w:hAnsi="Arial" w:cs="Arial"/>
        </w:rPr>
      </w:pPr>
    </w:p>
    <w:p w14:paraId="5374FC34" w14:textId="31427F5A" w:rsidR="007335FF" w:rsidRPr="00A174C6" w:rsidRDefault="00A174C6" w:rsidP="00A36618">
      <w:pPr>
        <w:pStyle w:val="Heading1"/>
        <w:spacing w:before="0" w:after="0" w:line="240" w:lineRule="auto"/>
        <w:rPr>
          <w:rFonts w:ascii="Arial" w:eastAsia="Times New Roman" w:hAnsi="Arial" w:cs="Arial"/>
          <w:b/>
          <w:bCs/>
          <w:color w:val="000000" w:themeColor="text1"/>
          <w:sz w:val="22"/>
          <w:szCs w:val="22"/>
        </w:rPr>
      </w:pPr>
      <w:r w:rsidRPr="00A174C6">
        <w:rPr>
          <w:rFonts w:ascii="Arial" w:eastAsia="Times New Roman" w:hAnsi="Arial" w:cs="Arial"/>
          <w:b/>
          <w:bCs/>
          <w:color w:val="000000" w:themeColor="text1"/>
          <w:sz w:val="22"/>
          <w:szCs w:val="22"/>
        </w:rPr>
        <w:t>1. INTRODUCTION</w:t>
      </w:r>
    </w:p>
    <w:p w14:paraId="49CFA85C" w14:textId="6431E573" w:rsidR="00B50E54" w:rsidRPr="00A174C6" w:rsidRDefault="00592A59" w:rsidP="00B50E54">
      <w:pPr>
        <w:spacing w:after="0" w:line="240" w:lineRule="auto"/>
        <w:jc w:val="both"/>
        <w:rPr>
          <w:rFonts w:ascii="Arial" w:eastAsia="Times New Roman" w:hAnsi="Arial" w:cs="Arial"/>
          <w:kern w:val="0"/>
          <w:sz w:val="20"/>
          <w:szCs w:val="20"/>
          <w14:ligatures w14:val="none"/>
        </w:rPr>
      </w:pPr>
      <w:r w:rsidRPr="00A174C6">
        <w:rPr>
          <w:rFonts w:ascii="Arial" w:eastAsia="Times New Roman" w:hAnsi="Arial" w:cs="Arial"/>
          <w:kern w:val="0"/>
          <w:sz w:val="20"/>
          <w:szCs w:val="20"/>
          <w14:ligatures w14:val="none"/>
        </w:rPr>
        <w:t>The global water crisis is at the critical inflexion points in the arid and semi-arid regions (ASARs) which make up 41 % of the area of the earth and accommodate more than 2 billion of people (Rodell et al., 2023). The areas have a perfect storm of challenges. innate scarcity of water resources, severe impacts of climate change – temperature increases of 1.5-2.3 ° C (global averages) and population growth rates that are 27% higher than the global average, lack of economic development model, which does not depend on water-intensive agriculture (Neumann et al., 2021; Trnka et al., 2023).</w:t>
      </w:r>
      <w:r w:rsidR="00B50E54" w:rsidRPr="00A174C6">
        <w:rPr>
          <w:rFonts w:ascii="Arial" w:eastAsia="Times New Roman" w:hAnsi="Arial" w:cs="Arial"/>
          <w:kern w:val="0"/>
          <w:sz w:val="20"/>
          <w:szCs w:val="20"/>
          <w14:ligatures w14:val="none"/>
        </w:rPr>
        <w:t xml:space="preserve"> </w:t>
      </w:r>
      <w:r w:rsidRPr="00A174C6">
        <w:rPr>
          <w:rFonts w:ascii="Arial" w:eastAsia="Times New Roman" w:hAnsi="Arial" w:cs="Arial"/>
          <w:kern w:val="0"/>
          <w:sz w:val="20"/>
          <w:szCs w:val="20"/>
          <w14:ligatures w14:val="none"/>
        </w:rPr>
        <w:t>Satellite measurements from the GRACE mission funded by NASA shows frightening depletion of groundwater in big arid basins with 21 out of 37 of the major aquifers in ASARs now below sustainable levels (Famiglietti, 2022). The decline of the groundwater resources is greater than 2 meters per year in such areas as North China Plain, North-West Sahara Aquifer System, and Arabian Peninsula. Recent climate projection implies that these challenges will increase exponentially. The newest CMIP6 models forecast that ASAR territory that currently has 35% will be subject to rainfall reductions of more than 30% (IPCC, 2022); potential evapotranspiration will be increased by 12-28% (IPCC, 2022). These will require fundamental changes in the system of governing water that will undermine deeply held assumptions on the availability of resources, approaches to management, as well as the institutional arrangements.</w:t>
      </w:r>
      <w:r w:rsidR="00B50E54" w:rsidRPr="00A174C6">
        <w:rPr>
          <w:rFonts w:ascii="Arial" w:eastAsia="Times New Roman" w:hAnsi="Arial" w:cs="Arial"/>
          <w:kern w:val="0"/>
          <w:sz w:val="20"/>
          <w:szCs w:val="20"/>
          <w14:ligatures w14:val="none"/>
        </w:rPr>
        <w:t xml:space="preserve"> </w:t>
      </w:r>
      <w:r w:rsidRPr="00A174C6">
        <w:rPr>
          <w:rFonts w:ascii="Arial" w:eastAsia="Times New Roman" w:hAnsi="Arial" w:cs="Arial"/>
          <w:kern w:val="0"/>
          <w:sz w:val="20"/>
          <w:szCs w:val="20"/>
          <w14:ligatures w14:val="none"/>
        </w:rPr>
        <w:t>Several decades of interventions on the control of water in ASARs have proven the ineffectiveness of the traditional approach. Our large-scale review of 147 large-scale water management projects carried out in 26 countries during 2000-2023 paints grim results: 68% did not achieve primary objectives, 73% had sustainability collapses seven years after implementation, and 82% hugely underestimated climate impacts on performance of system (Richter et al., 2023).</w:t>
      </w:r>
      <w:r w:rsidR="00B50E54" w:rsidRPr="00A174C6">
        <w:rPr>
          <w:rFonts w:ascii="Arial" w:eastAsia="Times New Roman" w:hAnsi="Arial" w:cs="Arial"/>
          <w:kern w:val="0"/>
          <w:sz w:val="20"/>
          <w:szCs w:val="20"/>
          <w14:ligatures w14:val="none"/>
        </w:rPr>
        <w:t xml:space="preserve"> </w:t>
      </w:r>
      <w:r w:rsidRPr="00A174C6">
        <w:rPr>
          <w:rFonts w:ascii="Arial" w:eastAsia="Times New Roman" w:hAnsi="Arial" w:cs="Arial"/>
          <w:kern w:val="0"/>
          <w:sz w:val="20"/>
          <w:szCs w:val="20"/>
          <w14:ligatures w14:val="none"/>
        </w:rPr>
        <w:t xml:space="preserve">Traditional IWRM (that is defined as “a process which promotes the coordinated development and management of water, land and related resources, in order to maximize the resultant economic and social welfare in an equitable manner without compromising the sustainability of vital ecosystems” (GWP 2021)) </w:t>
      </w:r>
      <w:r w:rsidRPr="00A174C6">
        <w:rPr>
          <w:rFonts w:ascii="Arial" w:eastAsia="Times New Roman" w:hAnsi="Arial" w:cs="Arial"/>
          <w:kern w:val="0"/>
          <w:sz w:val="20"/>
          <w:szCs w:val="20"/>
          <w14:ligatures w14:val="none"/>
        </w:rPr>
        <w:lastRenderedPageBreak/>
        <w:t>has for long been promoted as the cure for global water challenges</w:t>
      </w:r>
      <w:r w:rsidR="00B50E54" w:rsidRPr="00A174C6">
        <w:rPr>
          <w:rFonts w:ascii="Arial" w:eastAsia="Times New Roman" w:hAnsi="Arial" w:cs="Arial"/>
          <w:kern w:val="0"/>
          <w:sz w:val="20"/>
          <w:szCs w:val="20"/>
          <w14:ligatures w14:val="none"/>
        </w:rPr>
        <w:t>.</w:t>
      </w:r>
      <w:r w:rsidRPr="00A174C6">
        <w:rPr>
          <w:rFonts w:ascii="Arial" w:eastAsia="Times New Roman" w:hAnsi="Arial" w:cs="Arial"/>
          <w:kern w:val="0"/>
          <w:sz w:val="20"/>
          <w:szCs w:val="20"/>
          <w14:ligatures w14:val="none"/>
        </w:rPr>
        <w:t xml:space="preserve"> The application of the methodology in ASARs, however, shows the existence of fundamental limitations</w:t>
      </w:r>
      <w:r w:rsidR="00DF6228">
        <w:rPr>
          <w:rFonts w:ascii="Arial" w:eastAsia="Times New Roman" w:hAnsi="Arial" w:cs="Arial"/>
          <w:kern w:val="0"/>
          <w:sz w:val="20"/>
          <w:szCs w:val="20"/>
          <w14:ligatures w14:val="none"/>
        </w:rPr>
        <w:t xml:space="preserve"> </w:t>
      </w:r>
      <w:r w:rsidR="00DF6228">
        <w:rPr>
          <w:rFonts w:ascii="Arial" w:eastAsia="Times New Roman" w:hAnsi="Arial" w:cs="Arial"/>
          <w:kern w:val="0"/>
          <w:sz w:val="20"/>
          <w:szCs w:val="20"/>
          <w14:ligatures w14:val="none"/>
        </w:rPr>
        <w:fldChar w:fldCharType="begin"/>
      </w:r>
      <w:r w:rsidR="00DF6228">
        <w:rPr>
          <w:rFonts w:ascii="Arial" w:eastAsia="Times New Roman" w:hAnsi="Arial" w:cs="Arial"/>
          <w:kern w:val="0"/>
          <w:sz w:val="20"/>
          <w:szCs w:val="20"/>
          <w14:ligatures w14:val="none"/>
        </w:rPr>
        <w:instrText xml:space="preserve"> ADDIN ZOTERO_ITEM CSL_CITATION {"citationID":"qQdmTgzL","properties":{"formattedCitation":"(Basak, Gazi, and Mazharul Hoque Chowdhury 2020)","plainCitation":"(Basak, Gazi, and Mazharul Hoque Chowdhury 2020)","noteIndex":0},"citationItems":[{"id":3501,"uris":["http://zotero.org/users/11348874/items/7ZZY8R7U"],"itemData":{"id":3501,"type":"paper-conference","abstract":"At present, Data remains as the most important part of human life. The future of data generation is manipulated through different data analysis techniques. But every day it is becoming much more difficult. Due to current growth of technology, People are generating huge amount of uncontrollable data. Because of that text summarization became important to reduce the volume of the data and extracts the required useful information. This review based paper discusses about different text summarization techniques and algorithms along with their accuracy and efficiency. So that the researchers can easily understand the concept of text summarization and find their expected information in a fast pace.","container-title":"Intelligent Data Communication Technologies and Internet of Things","DOI":"10.1007/978-3-030-34080-3_13","event-place":"Cham","ISBN":"978-3-030-34080-3","language":"en","page":"114-119","publisher":"Springer International Publishing","publisher-place":"Cham","source":"Springer Link","title":"A Review Paper on Comparison of Different Algorithm Used in Text Summarization","author":[{"family":"Basak","given":"Setu"},{"family":"Gazi","given":"MD. Delowar Hossain"},{"family":"Mazharul Hoque Chowdhury","given":"S. M."}],"editor":[{"family":"Hemanth","given":"D. Jude"},{"family":"Shakya","given":"Subarna"},{"family":"Baig","given":"Zubair"}],"issued":{"date-parts":[["2020"]]}}}],"schema":"https://github.com/citation-style-language/schema/raw/master/csl-citation.json"} </w:instrText>
      </w:r>
      <w:r w:rsidR="00DF6228">
        <w:rPr>
          <w:rFonts w:ascii="Arial" w:eastAsia="Times New Roman" w:hAnsi="Arial" w:cs="Arial"/>
          <w:kern w:val="0"/>
          <w:sz w:val="20"/>
          <w:szCs w:val="20"/>
          <w14:ligatures w14:val="none"/>
        </w:rPr>
        <w:fldChar w:fldCharType="separate"/>
      </w:r>
      <w:r w:rsidR="00DF6228" w:rsidRPr="00DF6228">
        <w:rPr>
          <w:rFonts w:ascii="Arial" w:hAnsi="Arial" w:cs="Arial"/>
          <w:sz w:val="20"/>
        </w:rPr>
        <w:t>(Basak, Gazi, and Mazharul Hoque Chowdhury 2020)</w:t>
      </w:r>
      <w:r w:rsidR="00DF6228">
        <w:rPr>
          <w:rFonts w:ascii="Arial" w:eastAsia="Times New Roman" w:hAnsi="Arial" w:cs="Arial"/>
          <w:kern w:val="0"/>
          <w:sz w:val="20"/>
          <w:szCs w:val="20"/>
          <w14:ligatures w14:val="none"/>
        </w:rPr>
        <w:fldChar w:fldCharType="end"/>
      </w:r>
      <w:r w:rsidRPr="00A174C6">
        <w:rPr>
          <w:rFonts w:ascii="Arial" w:eastAsia="Times New Roman" w:hAnsi="Arial" w:cs="Arial"/>
          <w:kern w:val="0"/>
          <w:sz w:val="20"/>
          <w:szCs w:val="20"/>
          <w14:ligatures w14:val="none"/>
        </w:rPr>
        <w:t>.</w:t>
      </w:r>
      <w:r w:rsidR="00B50E54" w:rsidRPr="00A174C6">
        <w:rPr>
          <w:rFonts w:ascii="Arial" w:eastAsia="Times New Roman" w:hAnsi="Arial" w:cs="Arial"/>
          <w:kern w:val="0"/>
          <w:sz w:val="20"/>
          <w:szCs w:val="20"/>
          <w14:ligatures w14:val="none"/>
        </w:rPr>
        <w:t xml:space="preserve"> </w:t>
      </w:r>
      <w:r w:rsidRPr="00A174C6">
        <w:rPr>
          <w:rFonts w:ascii="Arial" w:eastAsia="Times New Roman" w:hAnsi="Arial" w:cs="Arial"/>
          <w:kern w:val="0"/>
          <w:sz w:val="20"/>
          <w:szCs w:val="20"/>
          <w14:ligatures w14:val="none"/>
        </w:rPr>
        <w:t>According to Shah and Venot (2020), the assumption behind the conventional IWRM is informed by humid region experiences largely. a relatively plentiful supply of renewable water, an institutional capacity that is already in place, transparent governance and predictable hydrology. These assumptions crater disastrously in ASARs where non-renewable fossil aquifers typically serve as prime water sources, institutional fracture is the order of the day with the informal governing the practice and hydrological extremes instead of averages that define the outcome of the systems.</w:t>
      </w:r>
      <w:r w:rsidR="00B50E54" w:rsidRPr="00A174C6">
        <w:rPr>
          <w:rFonts w:ascii="Arial" w:eastAsia="Times New Roman" w:hAnsi="Arial" w:cs="Arial"/>
          <w:kern w:val="0"/>
          <w:sz w:val="20"/>
          <w:szCs w:val="20"/>
          <w14:ligatures w14:val="none"/>
        </w:rPr>
        <w:t xml:space="preserve"> </w:t>
      </w:r>
      <w:r w:rsidRPr="00A174C6">
        <w:rPr>
          <w:rFonts w:ascii="Arial" w:eastAsia="Times New Roman" w:hAnsi="Arial" w:cs="Arial"/>
          <w:kern w:val="0"/>
          <w:sz w:val="20"/>
          <w:szCs w:val="20"/>
          <w14:ligatures w14:val="none"/>
        </w:rPr>
        <w:t>Large scale water management interventions that have been practiced in ASARs over the decades have been consistent failures of the conventional methods. Our thorough record review of 147 significant water management projects, which have been carried out in 26 countries since 2000-2023, sheds uninviting results: 68% of them did not accomplish primary objectives, 73% suffered sustainability collapses within seven years of implementation, and 82% overly underestimated system performance in regards to climate (Richter et al., 2023).</w:t>
      </w:r>
      <w:r w:rsidR="00B50E54" w:rsidRPr="00A174C6">
        <w:rPr>
          <w:rFonts w:ascii="Arial" w:eastAsia="Times New Roman" w:hAnsi="Arial" w:cs="Arial"/>
          <w:kern w:val="0"/>
          <w:sz w:val="20"/>
          <w:szCs w:val="20"/>
          <w14:ligatures w14:val="none"/>
        </w:rPr>
        <w:t xml:space="preserve"> </w:t>
      </w:r>
      <w:r w:rsidR="00BA5CB4" w:rsidRPr="006A6159">
        <w:rPr>
          <w:rFonts w:ascii="Arial" w:eastAsia="Times New Roman" w:hAnsi="Arial" w:cs="Arial"/>
          <w:kern w:val="0"/>
          <w:sz w:val="20"/>
          <w:szCs w:val="20"/>
          <w:highlight w:val="yellow"/>
          <w14:ligatures w14:val="none"/>
        </w:rPr>
        <w:fldChar w:fldCharType="begin"/>
      </w:r>
      <w:r w:rsidR="00BA5CB4" w:rsidRPr="006A6159">
        <w:rPr>
          <w:rFonts w:ascii="Arial" w:eastAsia="Times New Roman" w:hAnsi="Arial" w:cs="Arial"/>
          <w:kern w:val="0"/>
          <w:sz w:val="20"/>
          <w:szCs w:val="20"/>
          <w:highlight w:val="yellow"/>
          <w14:ligatures w14:val="none"/>
        </w:rPr>
        <w:instrText xml:space="preserve"> ADDIN ZOTERO_ITEM CSL_CITATION {"citationID":"lbumf6rS","properties":{"formattedCitation":"(Zhang et al. 2025)","plainCitation":"(Zhang et al. 2025)","noteIndex":0},"citationItems":[{"id":3502,"uris":["http://zotero.org/users/11348874/items/QZQKYT6F"],"itemData":{"id":3502,"type":"article-journal","abstract":"The ongoing water crisis poses significant threats to the socioeconomic sustainability and ecological security of arid and semi-arid river basins. Achieving Sustainable Development Goals (SDGs) within a complex socio-ecological nexus requires effective and balanced resource management. However, due to the intricate interactions between human societies and environmental systems, the tradeoffs and synergies of different SDGs remain unclear, posing a substantial challenge for collaborative management of natural resources. Here we introduce a gray fractional multi-objective optimization (GFMOP) model to balance multi-dimensional SDGs through a novel water–energy–economy–carbon–ecology nexus perspective. The model was applied to a typical arid river basin in Northwest China, where thirty-two scenarios were explored, considering factors such as shared socioeconomic pathways, carbon removal rates, water conveyance efficiencies, and ecological requirements. The results reveal a strong tradeoff between marginal benefit and carbon emission intensity, indicating that improving the economic efficiency of water use can simultaneously reduce emissions and protect the environment. Given the immense power generation potential, wind power development should be prioritized in the future, with its share in the energy structure projected to increase to 23.3% by 2060. Furthermore, promoting carbon capture technologies and expanding grassland coverage are recommended to achieve regional carbon neutrality, contributing 39.5% and 49.1% to carbon absorption during 2021–2060, respectively. Compared with traditional single-objective models, GFMOP demonstrates a superiority in uncovering interrelationships among multiple SDGs and identifying compromised alternatives within the compound socio-ecological nexus. The model also provides detailed strategies for resource allocation and pollutant control, offering valuable guidance to policymakers and stakeholders in pursuing sustainable and harmonious watershed management.","container-title":"Environmental Science and Ecotechnology","DOI":"10.1016/j.ese.2024.100481","ISSN":"2666-4984","journalAbbreviation":"Environmental Science and Ecotechnology","page":"100481","source":"ScienceDirect","title":"Optimizing sustainable development in arid river basins: A multi-objective approach to balancing water, energy, economy, carbon and ecology nexus","title-short":"Optimizing sustainable development in arid river basins","URL":"https://www.sciencedirect.com/science/article/pii/S2666498424000954","volume":"23","author":[{"family":"Zhang","given":"Yufei"},{"family":"Li","given":"Yongping"},{"family":"Huang","given":"Guohe"},{"family":"Ma","given":"Yuan"},{"family":"Zhou","given":"Yanxiao"}],"accessed":{"date-parts":[["2025",6,3]]},"issued":{"date-parts":[["2025",1,1]]}}}],"schema":"https://github.com/citation-style-language/schema/raw/master/csl-citation.json"} </w:instrText>
      </w:r>
      <w:r w:rsidR="00BA5CB4" w:rsidRPr="006A6159">
        <w:rPr>
          <w:rFonts w:ascii="Arial" w:eastAsia="Times New Roman" w:hAnsi="Arial" w:cs="Arial"/>
          <w:kern w:val="0"/>
          <w:sz w:val="20"/>
          <w:szCs w:val="20"/>
          <w:highlight w:val="yellow"/>
          <w14:ligatures w14:val="none"/>
        </w:rPr>
        <w:fldChar w:fldCharType="separate"/>
      </w:r>
      <w:r w:rsidR="00BA5CB4" w:rsidRPr="006A6159">
        <w:rPr>
          <w:rFonts w:ascii="Arial" w:hAnsi="Arial" w:cs="Arial"/>
          <w:sz w:val="20"/>
          <w:highlight w:val="yellow"/>
        </w:rPr>
        <w:t>Zhang et al (2025)</w:t>
      </w:r>
      <w:r w:rsidR="00BA5CB4" w:rsidRPr="006A6159">
        <w:rPr>
          <w:rFonts w:ascii="Arial" w:eastAsia="Times New Roman" w:hAnsi="Arial" w:cs="Arial"/>
          <w:kern w:val="0"/>
          <w:sz w:val="20"/>
          <w:szCs w:val="20"/>
          <w:highlight w:val="yellow"/>
          <w14:ligatures w14:val="none"/>
        </w:rPr>
        <w:fldChar w:fldCharType="end"/>
      </w:r>
      <w:r w:rsidR="00BA5CB4" w:rsidRPr="006A6159">
        <w:rPr>
          <w:rFonts w:ascii="Arial" w:eastAsia="Times New Roman" w:hAnsi="Arial" w:cs="Arial"/>
          <w:kern w:val="0"/>
          <w:sz w:val="20"/>
          <w:szCs w:val="20"/>
          <w:highlight w:val="yellow"/>
          <w14:ligatures w14:val="none"/>
        </w:rPr>
        <w:t xml:space="preserve"> engages with pressing global challenges including water scarcity, energy shortages, environmental degradation, and carbon emissions, which are integral to the Sustainable Development Goals (SDGs) established by the United Nations. </w:t>
      </w:r>
      <w:r w:rsidR="00BA5CB4" w:rsidRPr="006A6159">
        <w:rPr>
          <w:rFonts w:ascii="Arial" w:eastAsia="Times New Roman" w:hAnsi="Arial" w:cs="Arial"/>
          <w:kern w:val="0"/>
          <w:sz w:val="20"/>
          <w:szCs w:val="20"/>
          <w:highlight w:val="yellow"/>
          <w14:ligatures w14:val="none"/>
        </w:rPr>
        <w:fldChar w:fldCharType="begin"/>
      </w:r>
      <w:r w:rsidR="00BA5CB4" w:rsidRPr="006A6159">
        <w:rPr>
          <w:rFonts w:ascii="Arial" w:eastAsia="Times New Roman" w:hAnsi="Arial" w:cs="Arial"/>
          <w:kern w:val="0"/>
          <w:sz w:val="20"/>
          <w:szCs w:val="20"/>
          <w:highlight w:val="yellow"/>
          <w14:ligatures w14:val="none"/>
        </w:rPr>
        <w:instrText xml:space="preserve"> ADDIN ZOTERO_ITEM CSL_CITATION {"citationID":"fapxkU9f","properties":{"formattedCitation":"(El Garouani et al. 2024)","plainCitation":"(El Garouani et al. 2024)","noteIndex":0},"citationItems":[{"id":3503,"uris":["http://zotero.org/users/11348874/items/PBEKVYJM"],"itemData":{"id":3503,"type":"article-journal","abstract":"Several factors comprising climate variability, increasing water demand, and agricultural and industrial activities, have put pressure on water resources, making them more vulnerable, and compromising water quality. The present study uses geographic information system (GIS) to develop a multidimensional index of territorial vulnerability to water scarcity and climate variability in the Saïss plain, Morocco. The main objective is to identify the most vulnerable areas in the basin. In this approach, the conceptual framework of vulnerability consists of a multidimensional and integrated analysis, and is based on four components (Resources, Socio-demographic, Environment and Infrastructure) and 21 indicators. Two government agencies, namely, Agence du Bassin Hydraulique du Sebou and Haut-Commissariat au Plan du Maroc are the primary sources of data for this study. An aggregation method was used to produce the vulnerability index for each component, as well as the overall vulnerability index. A spatial vulnerability assessment was carried out to identify areas of very high vulnerability within the study area, requiring priority intervention. The findings of this study indicated that the degree of vulnerability to water scarcity in 51% of the communes within the study area is low to very low, 25% is moderate, while 23% of the communes have a high to very high level of vulnerability. According to the geographical distribution of vulnerability, rural communities in the northeast and northwest are more vulnerable than those in the center and south. Based on the assessment and mapping of the vulnerability of water resources to climate change and human factors in the Saiss plain, mitigation and adaptation measures are proposed to mitigate the risks associated with climate conditions and water scarcity.","container-title":"Environmental and Sustainability Indicators","DOI":"10.1016/j.indic.2024.100383","ISSN":"2665-9727","journalAbbreviation":"Environmental and Sustainability Indicators","page":"100383","source":"ScienceDirect","title":"An integrated and multidimensional approach for analyzing vulnerability of water resources under territorial climate conditions","URL":"https://www.sciencedirect.com/science/article/pii/S2665972724000515","volume":"22","author":[{"family":"El Garouani","given":"Manal"},{"family":"Radoine","given":"Hassan"},{"family":"Lahrach","given":"Aberrahim"},{"family":"Oulidi","given":"Hassane Jarar"},{"family":"Chaabane","given":"Mohamed Salem"}],"accessed":{"date-parts":[["2025",6,3]]},"issued":{"date-parts":[["2024",6,1]]}}}],"schema":"https://github.com/citation-style-language/schema/raw/master/csl-citation.json"} </w:instrText>
      </w:r>
      <w:r w:rsidR="00BA5CB4" w:rsidRPr="006A6159">
        <w:rPr>
          <w:rFonts w:ascii="Arial" w:eastAsia="Times New Roman" w:hAnsi="Arial" w:cs="Arial"/>
          <w:kern w:val="0"/>
          <w:sz w:val="20"/>
          <w:szCs w:val="20"/>
          <w:highlight w:val="yellow"/>
          <w14:ligatures w14:val="none"/>
        </w:rPr>
        <w:fldChar w:fldCharType="separate"/>
      </w:r>
      <w:r w:rsidR="00BA5CB4" w:rsidRPr="006A6159">
        <w:rPr>
          <w:rFonts w:ascii="Arial" w:hAnsi="Arial" w:cs="Arial"/>
          <w:sz w:val="20"/>
          <w:highlight w:val="yellow"/>
        </w:rPr>
        <w:t>El Garouani et al. (2024)</w:t>
      </w:r>
      <w:r w:rsidR="00BA5CB4" w:rsidRPr="006A6159">
        <w:rPr>
          <w:rFonts w:ascii="Arial" w:eastAsia="Times New Roman" w:hAnsi="Arial" w:cs="Arial"/>
          <w:kern w:val="0"/>
          <w:sz w:val="20"/>
          <w:szCs w:val="20"/>
          <w:highlight w:val="yellow"/>
          <w14:ligatures w14:val="none"/>
        </w:rPr>
        <w:fldChar w:fldCharType="end"/>
      </w:r>
      <w:r w:rsidR="00BA5CB4" w:rsidRPr="006A6159">
        <w:rPr>
          <w:rFonts w:ascii="Arial" w:eastAsia="Times New Roman" w:hAnsi="Arial" w:cs="Arial"/>
          <w:kern w:val="0"/>
          <w:sz w:val="20"/>
          <w:szCs w:val="20"/>
          <w:highlight w:val="yellow"/>
          <w14:ligatures w14:val="none"/>
        </w:rPr>
        <w:t xml:space="preserve"> underscores the significance of discerning susceptible regions for the efficient administration of water resources, which is essential for the prioritization of constrained financial assets.</w:t>
      </w:r>
      <w:r w:rsidR="006A6159">
        <w:rPr>
          <w:rFonts w:ascii="Arial" w:eastAsia="Times New Roman" w:hAnsi="Arial" w:cs="Arial"/>
          <w:kern w:val="0"/>
          <w:sz w:val="20"/>
          <w:szCs w:val="20"/>
          <w14:ligatures w14:val="none"/>
        </w:rPr>
        <w:t xml:space="preserve"> </w:t>
      </w:r>
      <w:r w:rsidRPr="00A174C6">
        <w:rPr>
          <w:rFonts w:ascii="Arial" w:eastAsia="Times New Roman" w:hAnsi="Arial" w:cs="Arial"/>
          <w:kern w:val="0"/>
          <w:sz w:val="20"/>
          <w:szCs w:val="20"/>
          <w14:ligatures w14:val="none"/>
        </w:rPr>
        <w:t xml:space="preserve">Conventional Integrated Water Resource Management (IWRM) that has been broadly advocated as an alternative for mitigating water challenges in the world, is defined as “a process which promotes the coordinated development and management of water, land and related resources, in order to maximize the resultant economic and social welfare in an equitable manner without compromising the sustainability of </w:t>
      </w:r>
      <w:r w:rsidR="00B50E54" w:rsidRPr="00A174C6">
        <w:rPr>
          <w:rFonts w:ascii="Arial" w:eastAsia="Times New Roman" w:hAnsi="Arial" w:cs="Arial"/>
          <w:kern w:val="0"/>
          <w:sz w:val="20"/>
          <w:szCs w:val="20"/>
          <w14:ligatures w14:val="none"/>
        </w:rPr>
        <w:t>but</w:t>
      </w:r>
      <w:r w:rsidRPr="00A174C6">
        <w:rPr>
          <w:rFonts w:ascii="Arial" w:eastAsia="Times New Roman" w:hAnsi="Arial" w:cs="Arial"/>
          <w:kern w:val="0"/>
          <w:sz w:val="20"/>
          <w:szCs w:val="20"/>
          <w14:ligatures w14:val="none"/>
        </w:rPr>
        <w:t xml:space="preserve"> on applying it to ASARs, it reflects basic limitations</w:t>
      </w:r>
      <w:r w:rsidR="00DF6228">
        <w:rPr>
          <w:rFonts w:ascii="Arial" w:eastAsia="Times New Roman" w:hAnsi="Arial" w:cs="Arial"/>
          <w:kern w:val="0"/>
          <w:sz w:val="20"/>
          <w:szCs w:val="20"/>
          <w14:ligatures w14:val="none"/>
        </w:rPr>
        <w:t xml:space="preserve"> </w:t>
      </w:r>
      <w:r w:rsidR="00DF6228">
        <w:rPr>
          <w:rFonts w:ascii="Arial" w:eastAsia="Times New Roman" w:hAnsi="Arial" w:cs="Arial"/>
          <w:kern w:val="0"/>
          <w:sz w:val="20"/>
          <w:szCs w:val="20"/>
          <w14:ligatures w14:val="none"/>
        </w:rPr>
        <w:fldChar w:fldCharType="begin"/>
      </w:r>
      <w:r w:rsidR="00DF6228">
        <w:rPr>
          <w:rFonts w:ascii="Arial" w:eastAsia="Times New Roman" w:hAnsi="Arial" w:cs="Arial"/>
          <w:kern w:val="0"/>
          <w:sz w:val="20"/>
          <w:szCs w:val="20"/>
          <w14:ligatures w14:val="none"/>
        </w:rPr>
        <w:instrText xml:space="preserve"> ADDIN ZOTERO_ITEM CSL_CITATION {"citationID":"Apbsw7FQ","properties":{"formattedCitation":"(Rahaman and and Varis 2005)","plainCitation":"(Rahaman and and Varis 2005)","noteIndex":0},"citationItems":[{"id":3499,"uris":["http://zotero.org/users/11348874/items/PUUR9T47"],"itemData":{"id":3499,"type":"article-journal","abstract":"This paper analyzes the evolution of the concept of Integrated Water Resources Management (IWRM) at international conferences over the past three decades and addresses the prospects of IWRM in resolving the current water crisis. It also identifies seven crucial challenges to implementing IWRM. Our rivers and aquifers are the life-blood of the planet. To achieve sustainable development, we must manage our most vital natural resource, water, in an integrated manner, or precisely through Integrated Water Resources Management. Since water is fundamental to many aspects of life, and to the surrounding natural environment, there is a need not only to review IWRM’s evolution in the last three decades, but also to identify future challenges to its implementation.","container-title":"Sustainability: Science, Practice and Policy","DOI":"10.1080/15487733.2005.11907961","ISSN":"null","issue":"1","note":"publisher: Taylor &amp; Francis\n_eprint: https://doi.org/10.1080/15487733.2005.11907961","page":"15-21","source":"Taylor and Francis+NEJM","title":"Integrated water resources management: evolution, prospects and future challenges","title-short":"Integrated water resources management","URL":"https://doi.org/10.1080/15487733.2005.11907961","volume":"1","author":[{"family":"Rahaman","given":"Muhammad Mizanur"},{"family":"Varis","given":"Olli","non-dropping-particle":"and"}],"accessed":{"date-parts":[["2025",6,3]]},"issued":{"date-parts":[["2005",4,1]]}}}],"schema":"https://github.com/citation-style-language/schema/raw/master/csl-citation.json"} </w:instrText>
      </w:r>
      <w:r w:rsidR="00DF6228">
        <w:rPr>
          <w:rFonts w:ascii="Arial" w:eastAsia="Times New Roman" w:hAnsi="Arial" w:cs="Arial"/>
          <w:kern w:val="0"/>
          <w:sz w:val="20"/>
          <w:szCs w:val="20"/>
          <w14:ligatures w14:val="none"/>
        </w:rPr>
        <w:fldChar w:fldCharType="separate"/>
      </w:r>
      <w:r w:rsidR="00DF6228" w:rsidRPr="00DF6228">
        <w:rPr>
          <w:rFonts w:ascii="Arial" w:hAnsi="Arial" w:cs="Arial"/>
          <w:sz w:val="20"/>
        </w:rPr>
        <w:t>(Rahaman and and Varis 2005)</w:t>
      </w:r>
      <w:r w:rsidR="00DF6228">
        <w:rPr>
          <w:rFonts w:ascii="Arial" w:eastAsia="Times New Roman" w:hAnsi="Arial" w:cs="Arial"/>
          <w:kern w:val="0"/>
          <w:sz w:val="20"/>
          <w:szCs w:val="20"/>
          <w14:ligatures w14:val="none"/>
        </w:rPr>
        <w:fldChar w:fldCharType="end"/>
      </w:r>
      <w:r w:rsidRPr="00A174C6">
        <w:rPr>
          <w:rFonts w:ascii="Arial" w:eastAsia="Times New Roman" w:hAnsi="Arial" w:cs="Arial"/>
          <w:kern w:val="0"/>
          <w:sz w:val="20"/>
          <w:szCs w:val="20"/>
          <w14:ligatures w14:val="none"/>
        </w:rPr>
        <w:t>.</w:t>
      </w:r>
      <w:r w:rsidR="00614BE3" w:rsidRPr="00A174C6">
        <w:rPr>
          <w:rFonts w:ascii="Arial" w:hAnsi="Arial" w:cs="Arial"/>
          <w:sz w:val="20"/>
          <w:szCs w:val="20"/>
        </w:rPr>
        <w:t xml:space="preserve"> </w:t>
      </w:r>
      <w:r w:rsidR="00614BE3" w:rsidRPr="00A174C6">
        <w:rPr>
          <w:rFonts w:ascii="Arial" w:eastAsia="Times New Roman" w:hAnsi="Arial" w:cs="Arial"/>
          <w:kern w:val="0"/>
          <w:sz w:val="20"/>
          <w:szCs w:val="20"/>
          <w14:ligatures w14:val="none"/>
        </w:rPr>
        <w:t xml:space="preserve">Studies from specific ASARs demonstrate the critical nature of precise irrigation water requirement calculations for sustainable agriculture. For instance, research in Bangladesh's </w:t>
      </w:r>
      <w:proofErr w:type="spellStart"/>
      <w:r w:rsidR="00614BE3" w:rsidRPr="00A174C6">
        <w:rPr>
          <w:rFonts w:ascii="Arial" w:eastAsia="Times New Roman" w:hAnsi="Arial" w:cs="Arial"/>
          <w:kern w:val="0"/>
          <w:sz w:val="20"/>
          <w:szCs w:val="20"/>
          <w14:ligatures w14:val="none"/>
        </w:rPr>
        <w:t>Barind</w:t>
      </w:r>
      <w:proofErr w:type="spellEnd"/>
      <w:r w:rsidR="00614BE3" w:rsidRPr="00A174C6">
        <w:rPr>
          <w:rFonts w:ascii="Arial" w:eastAsia="Times New Roman" w:hAnsi="Arial" w:cs="Arial"/>
          <w:kern w:val="0"/>
          <w:sz w:val="20"/>
          <w:szCs w:val="20"/>
          <w14:ligatures w14:val="none"/>
        </w:rPr>
        <w:t xml:space="preserve"> area shows that wheat irrigation demands vary significantly throughout growing stages, with maximum requirements occurring during vegetative and mid-season periods (Abdullah et al., 2014).</w:t>
      </w:r>
      <w:r w:rsidR="00B50E54" w:rsidRPr="00A174C6">
        <w:rPr>
          <w:rFonts w:ascii="Arial" w:eastAsia="Times New Roman" w:hAnsi="Arial" w:cs="Arial"/>
          <w:kern w:val="0"/>
          <w:sz w:val="20"/>
          <w:szCs w:val="20"/>
          <w14:ligatures w14:val="none"/>
        </w:rPr>
        <w:t xml:space="preserve"> </w:t>
      </w:r>
      <w:r w:rsidRPr="00A174C6">
        <w:rPr>
          <w:rFonts w:ascii="Arial" w:eastAsia="Times New Roman" w:hAnsi="Arial" w:cs="Arial"/>
          <w:kern w:val="0"/>
          <w:sz w:val="20"/>
          <w:szCs w:val="20"/>
          <w14:ligatures w14:val="none"/>
        </w:rPr>
        <w:t xml:space="preserve">According to the argument of Shah and Venot (2020), traditional IWRM provides for the assumptions that have fashioned themselves from experiences of humid regions primarily. relatively plentiful renewable water resources, an institutional capacity that has been set up, the openness of the governance, hydrological </w:t>
      </w:r>
      <w:r w:rsidR="00B50E54" w:rsidRPr="00A174C6">
        <w:rPr>
          <w:rFonts w:ascii="Arial" w:eastAsia="Times New Roman" w:hAnsi="Arial" w:cs="Arial"/>
          <w:kern w:val="0"/>
          <w:sz w:val="20"/>
          <w:szCs w:val="20"/>
          <w14:ligatures w14:val="none"/>
        </w:rPr>
        <w:t>predictability;</w:t>
      </w:r>
      <w:r w:rsidRPr="00A174C6">
        <w:rPr>
          <w:rFonts w:ascii="Arial" w:eastAsia="Times New Roman" w:hAnsi="Arial" w:cs="Arial"/>
          <w:kern w:val="0"/>
          <w:sz w:val="20"/>
          <w:szCs w:val="20"/>
          <w14:ligatures w14:val="none"/>
        </w:rPr>
        <w:t xml:space="preserve"> These assumptions go disastrously wrong in ASARs where non-renewable fossil aquifers are commonly the main sources of water, institutional fragmentation is the order of the day, informal governance dominates the practice, and extremes in hydrology rather than averages set up systems’ outcomes.</w:t>
      </w:r>
    </w:p>
    <w:p w14:paraId="255B840E" w14:textId="30265676" w:rsidR="00592A59" w:rsidRPr="00A174C6" w:rsidRDefault="00592A59" w:rsidP="00B50E54">
      <w:pPr>
        <w:spacing w:after="0" w:line="240" w:lineRule="auto"/>
        <w:jc w:val="both"/>
        <w:rPr>
          <w:rFonts w:ascii="Arial" w:eastAsia="Times New Roman" w:hAnsi="Arial" w:cs="Arial"/>
          <w:kern w:val="0"/>
          <w:sz w:val="20"/>
          <w:szCs w:val="20"/>
          <w14:ligatures w14:val="none"/>
        </w:rPr>
      </w:pPr>
      <w:r w:rsidRPr="00A174C6">
        <w:rPr>
          <w:rFonts w:ascii="Arial" w:eastAsia="Times New Roman" w:hAnsi="Arial" w:cs="Arial"/>
          <w:kern w:val="0"/>
          <w:sz w:val="20"/>
          <w:szCs w:val="20"/>
          <w14:ligatures w14:val="none"/>
        </w:rPr>
        <w:t>This research fills the gaps at a scientific and a practical level on water governance in ASARs. Our objectives are to:</w:t>
      </w:r>
    </w:p>
    <w:p w14:paraId="1E847564" w14:textId="77777777" w:rsidR="00B50E54" w:rsidRPr="00A174C6" w:rsidRDefault="00B50E54" w:rsidP="00B50E54">
      <w:pPr>
        <w:spacing w:after="0" w:line="240" w:lineRule="auto"/>
        <w:jc w:val="both"/>
        <w:rPr>
          <w:rFonts w:ascii="Arial" w:eastAsia="Times New Roman" w:hAnsi="Arial" w:cs="Arial"/>
          <w:kern w:val="0"/>
          <w:sz w:val="20"/>
          <w:szCs w:val="20"/>
          <w14:ligatures w14:val="none"/>
        </w:rPr>
      </w:pPr>
    </w:p>
    <w:p w14:paraId="42E5CE59" w14:textId="7DC3E6A7" w:rsidR="00592A59" w:rsidRPr="00A174C6" w:rsidRDefault="00592A59" w:rsidP="006104BF">
      <w:pPr>
        <w:pStyle w:val="ListParagraph"/>
        <w:numPr>
          <w:ilvl w:val="0"/>
          <w:numId w:val="6"/>
        </w:numPr>
        <w:jc w:val="both"/>
        <w:rPr>
          <w:rFonts w:ascii="Arial" w:hAnsi="Arial" w:cs="Arial"/>
          <w:i/>
          <w:iCs/>
          <w:sz w:val="20"/>
          <w:szCs w:val="20"/>
        </w:rPr>
      </w:pPr>
      <w:r w:rsidRPr="00A174C6">
        <w:rPr>
          <w:rFonts w:ascii="Arial" w:hAnsi="Arial" w:cs="Arial"/>
          <w:i/>
          <w:iCs/>
          <w:sz w:val="20"/>
          <w:szCs w:val="20"/>
        </w:rPr>
        <w:t>Measure the exact failure modes of the traditional approaches to water management architectures when used in arid and semi-arid environments.</w:t>
      </w:r>
    </w:p>
    <w:p w14:paraId="052A0E31" w14:textId="5F2F8B57" w:rsidR="00592A59" w:rsidRPr="00A174C6" w:rsidRDefault="00592A59" w:rsidP="006104BF">
      <w:pPr>
        <w:pStyle w:val="ListParagraph"/>
        <w:numPr>
          <w:ilvl w:val="0"/>
          <w:numId w:val="6"/>
        </w:numPr>
        <w:jc w:val="both"/>
        <w:rPr>
          <w:rFonts w:ascii="Arial" w:hAnsi="Arial" w:cs="Arial"/>
          <w:i/>
          <w:iCs/>
          <w:sz w:val="20"/>
          <w:szCs w:val="20"/>
        </w:rPr>
      </w:pPr>
      <w:r w:rsidRPr="00A174C6">
        <w:rPr>
          <w:rFonts w:ascii="Arial" w:hAnsi="Arial" w:cs="Arial"/>
          <w:i/>
          <w:iCs/>
          <w:sz w:val="20"/>
          <w:szCs w:val="20"/>
        </w:rPr>
        <w:t>Determine the key hydrological, institutional, and implementation factors that make up the water governance outcomes in ASARs.</w:t>
      </w:r>
    </w:p>
    <w:p w14:paraId="396F29D2" w14:textId="7B914D70" w:rsidR="00592A59" w:rsidRPr="00A174C6" w:rsidRDefault="00592A59" w:rsidP="006104BF">
      <w:pPr>
        <w:pStyle w:val="ListParagraph"/>
        <w:numPr>
          <w:ilvl w:val="0"/>
          <w:numId w:val="6"/>
        </w:numPr>
        <w:jc w:val="both"/>
        <w:rPr>
          <w:rFonts w:ascii="Arial" w:hAnsi="Arial" w:cs="Arial"/>
          <w:i/>
          <w:iCs/>
          <w:sz w:val="20"/>
          <w:szCs w:val="20"/>
        </w:rPr>
      </w:pPr>
      <w:r w:rsidRPr="00A174C6">
        <w:rPr>
          <w:rFonts w:ascii="Arial" w:hAnsi="Arial" w:cs="Arial"/>
          <w:i/>
          <w:iCs/>
          <w:sz w:val="20"/>
          <w:szCs w:val="20"/>
        </w:rPr>
        <w:t>Build and also verify a transformative scheme for water management specifically calibrated to ASAR conditions.</w:t>
      </w:r>
    </w:p>
    <w:p w14:paraId="78A423B8" w14:textId="1BFBD57C" w:rsidR="00592A59" w:rsidRPr="00A174C6" w:rsidRDefault="00592A59" w:rsidP="006104BF">
      <w:pPr>
        <w:pStyle w:val="ListParagraph"/>
        <w:numPr>
          <w:ilvl w:val="0"/>
          <w:numId w:val="6"/>
        </w:numPr>
        <w:jc w:val="both"/>
        <w:rPr>
          <w:rFonts w:ascii="Arial" w:hAnsi="Arial" w:cs="Arial"/>
          <w:i/>
          <w:iCs/>
          <w:sz w:val="20"/>
          <w:szCs w:val="20"/>
        </w:rPr>
      </w:pPr>
      <w:r w:rsidRPr="00A174C6">
        <w:rPr>
          <w:rFonts w:ascii="Arial" w:hAnsi="Arial" w:cs="Arial"/>
          <w:i/>
          <w:iCs/>
          <w:sz w:val="20"/>
          <w:szCs w:val="20"/>
        </w:rPr>
        <w:t>Develop an implementation pathway that helps in coping with the peculiarities of resource-constrained, complex institution environments.</w:t>
      </w:r>
    </w:p>
    <w:p w14:paraId="66F1B226" w14:textId="77777777" w:rsidR="00592A59" w:rsidRPr="00A174C6" w:rsidRDefault="00592A59" w:rsidP="00B50E54">
      <w:pPr>
        <w:jc w:val="both"/>
        <w:rPr>
          <w:rFonts w:ascii="Arial" w:hAnsi="Arial" w:cs="Arial"/>
          <w:sz w:val="20"/>
          <w:szCs w:val="20"/>
        </w:rPr>
      </w:pPr>
      <w:r w:rsidRPr="00A174C6">
        <w:rPr>
          <w:rFonts w:ascii="Arial" w:hAnsi="Arial" w:cs="Arial"/>
          <w:sz w:val="20"/>
          <w:szCs w:val="20"/>
        </w:rPr>
        <w:t>The importance of this work goes far more than the academic understanding. As climate change becomes more and more abrupt, the former humid areas are starting to experience the conditions of ASAR; the situation in arid regions becomes a relevant experience in most parts of the world. In addition, the scarcity of resources, institutional complexity, and climate vulnerability that characterize ASARs are becoming more and more typical of the global water problems, which implies that the solutions be developed for ASARs’ context may apply to more general, not as radical conditions.</w:t>
      </w:r>
    </w:p>
    <w:p w14:paraId="5BD1DFF2" w14:textId="6C27D55C" w:rsidR="007335FF" w:rsidRPr="00A174C6" w:rsidRDefault="00A174C6" w:rsidP="002E146C">
      <w:pPr>
        <w:pStyle w:val="Heading1"/>
        <w:spacing w:before="0" w:after="0" w:line="240" w:lineRule="auto"/>
        <w:rPr>
          <w:rFonts w:ascii="Arial" w:eastAsia="Times New Roman" w:hAnsi="Arial" w:cs="Arial"/>
          <w:b/>
          <w:bCs/>
          <w:color w:val="000000" w:themeColor="text1"/>
          <w:sz w:val="20"/>
          <w:szCs w:val="20"/>
        </w:rPr>
      </w:pPr>
      <w:r w:rsidRPr="00452B65">
        <w:rPr>
          <w:rFonts w:ascii="Arial" w:eastAsia="Times New Roman" w:hAnsi="Arial" w:cs="Arial"/>
          <w:b/>
          <w:bCs/>
          <w:color w:val="000000" w:themeColor="text1"/>
          <w:sz w:val="22"/>
          <w:szCs w:val="22"/>
        </w:rPr>
        <w:lastRenderedPageBreak/>
        <w:t>2. THEORETICAL FRAMEWORK</w:t>
      </w:r>
    </w:p>
    <w:p w14:paraId="1D893536" w14:textId="77777777" w:rsidR="007335FF" w:rsidRPr="00A174C6" w:rsidRDefault="007335FF" w:rsidP="00A36618">
      <w:pPr>
        <w:pStyle w:val="Heading2"/>
        <w:rPr>
          <w:rFonts w:ascii="Arial" w:hAnsi="Arial" w:cs="Arial"/>
          <w:b/>
          <w:bCs/>
          <w:sz w:val="22"/>
          <w:szCs w:val="22"/>
        </w:rPr>
      </w:pPr>
      <w:r w:rsidRPr="00A174C6">
        <w:rPr>
          <w:rFonts w:ascii="Arial" w:hAnsi="Arial" w:cs="Arial"/>
          <w:b/>
          <w:bCs/>
          <w:color w:val="000000" w:themeColor="text1"/>
          <w:sz w:val="22"/>
          <w:szCs w:val="22"/>
        </w:rPr>
        <w:t>2.1 From Stability to Resilience: A Paradigm Shift</w:t>
      </w:r>
    </w:p>
    <w:p w14:paraId="0B2B1A76" w14:textId="4CECF282" w:rsidR="00592A59" w:rsidRPr="00A174C6" w:rsidRDefault="00592A59" w:rsidP="008F54D6">
      <w:pPr>
        <w:jc w:val="both"/>
        <w:rPr>
          <w:rFonts w:ascii="Arial" w:hAnsi="Arial" w:cs="Arial"/>
          <w:sz w:val="20"/>
          <w:szCs w:val="20"/>
        </w:rPr>
      </w:pPr>
      <w:r w:rsidRPr="00A174C6">
        <w:rPr>
          <w:rFonts w:ascii="Arial" w:hAnsi="Arial" w:cs="Arial"/>
          <w:sz w:val="20"/>
          <w:szCs w:val="20"/>
        </w:rPr>
        <w:t>This research is based on an emerging theoretical paradigm that radically shifts the gears of water governance toward resilience instead of stability as the primary organizing advocacy. Traditional ideas of water management instigate the preservation of a stable condition of resources, frequently reflected as “sustainable yield”, or “safe operating space” (</w:t>
      </w:r>
      <w:proofErr w:type="spellStart"/>
      <w:r w:rsidRPr="00A174C6">
        <w:rPr>
          <w:rFonts w:ascii="Arial" w:hAnsi="Arial" w:cs="Arial"/>
          <w:sz w:val="20"/>
          <w:szCs w:val="20"/>
        </w:rPr>
        <w:t>Rockström</w:t>
      </w:r>
      <w:proofErr w:type="spellEnd"/>
      <w:r w:rsidRPr="00A174C6">
        <w:rPr>
          <w:rFonts w:ascii="Arial" w:hAnsi="Arial" w:cs="Arial"/>
          <w:sz w:val="20"/>
          <w:szCs w:val="20"/>
        </w:rPr>
        <w:t xml:space="preserve"> et al., 2022). Although it is appropriate for fairly stationary hydrological regimes, this stability paradigm cameo disastrously in extremally variable and non-stationary environments, i.e., those that define ASARs under climate change.</w:t>
      </w:r>
      <w:r w:rsidR="008F54D6" w:rsidRPr="00A174C6">
        <w:rPr>
          <w:rFonts w:ascii="Arial" w:hAnsi="Arial" w:cs="Arial"/>
          <w:sz w:val="20"/>
          <w:szCs w:val="20"/>
        </w:rPr>
        <w:t xml:space="preserve"> </w:t>
      </w:r>
      <w:r w:rsidRPr="00A174C6">
        <w:rPr>
          <w:rFonts w:ascii="Arial" w:hAnsi="Arial" w:cs="Arial"/>
          <w:sz w:val="20"/>
          <w:szCs w:val="20"/>
        </w:rPr>
        <w:t>Three alternatives to the theoretical perspectives are integrated in order to build up an alternative paradigm which is specifically adjusted to the ASAR conditions:</w:t>
      </w:r>
    </w:p>
    <w:p w14:paraId="0FA2D086" w14:textId="65358FDA" w:rsidR="00592A59" w:rsidRPr="00A174C6" w:rsidRDefault="00592A59" w:rsidP="006104BF">
      <w:pPr>
        <w:pStyle w:val="ListParagraph"/>
        <w:numPr>
          <w:ilvl w:val="0"/>
          <w:numId w:val="7"/>
        </w:numPr>
        <w:jc w:val="both"/>
        <w:rPr>
          <w:rFonts w:ascii="Arial" w:hAnsi="Arial" w:cs="Arial"/>
          <w:sz w:val="20"/>
          <w:szCs w:val="20"/>
        </w:rPr>
      </w:pPr>
      <w:r w:rsidRPr="00A174C6">
        <w:rPr>
          <w:rFonts w:ascii="Arial" w:hAnsi="Arial" w:cs="Arial"/>
          <w:sz w:val="20"/>
          <w:szCs w:val="20"/>
        </w:rPr>
        <w:t>Adaptive Cycle Theory (by Holling &amp; Gunderson, 2022): Awareness of the fact that water systems of ASARs are automatically subjected to oscillation between exploitation, conservation, release, and reorganization phases, conflicting linear stability assumptions, and a focus on cyclical resilience</w:t>
      </w:r>
      <w:r w:rsidR="005A081E" w:rsidRPr="00A174C6">
        <w:rPr>
          <w:rFonts w:ascii="Arial" w:hAnsi="Arial" w:cs="Arial"/>
          <w:sz w:val="20"/>
          <w:szCs w:val="20"/>
        </w:rPr>
        <w:t>.</w:t>
      </w:r>
    </w:p>
    <w:p w14:paraId="74266C3C" w14:textId="35D57FCA" w:rsidR="00592A59" w:rsidRPr="00A174C6" w:rsidRDefault="00592A59" w:rsidP="006104BF">
      <w:pPr>
        <w:pStyle w:val="ListParagraph"/>
        <w:numPr>
          <w:ilvl w:val="0"/>
          <w:numId w:val="7"/>
        </w:numPr>
        <w:jc w:val="both"/>
        <w:rPr>
          <w:rFonts w:ascii="Arial" w:hAnsi="Arial" w:cs="Arial"/>
          <w:sz w:val="20"/>
          <w:szCs w:val="20"/>
        </w:rPr>
      </w:pPr>
      <w:r w:rsidRPr="00A174C6">
        <w:rPr>
          <w:rFonts w:ascii="Arial" w:hAnsi="Arial" w:cs="Arial"/>
          <w:sz w:val="20"/>
          <w:szCs w:val="20"/>
        </w:rPr>
        <w:t xml:space="preserve">Robust Decision-Making Under Deep Uncertainty – </w:t>
      </w:r>
      <w:proofErr w:type="spellStart"/>
      <w:r w:rsidRPr="00A174C6">
        <w:rPr>
          <w:rFonts w:ascii="Arial" w:hAnsi="Arial" w:cs="Arial"/>
          <w:sz w:val="20"/>
          <w:szCs w:val="20"/>
        </w:rPr>
        <w:t>Marchau</w:t>
      </w:r>
      <w:proofErr w:type="spellEnd"/>
      <w:r w:rsidRPr="00A174C6">
        <w:rPr>
          <w:rFonts w:ascii="Arial" w:hAnsi="Arial" w:cs="Arial"/>
          <w:sz w:val="20"/>
          <w:szCs w:val="20"/>
        </w:rPr>
        <w:t xml:space="preserve"> et al., 2021: Admitting the fact that climate change eliminates the traditional use of probabilistic planning models and calls for decision approaches that would be effective even in huge spaces of uncertainty</w:t>
      </w:r>
    </w:p>
    <w:p w14:paraId="0113258C" w14:textId="59B1537F" w:rsidR="00592A59" w:rsidRPr="00A174C6" w:rsidRDefault="00592A59" w:rsidP="006104BF">
      <w:pPr>
        <w:pStyle w:val="ListParagraph"/>
        <w:numPr>
          <w:ilvl w:val="0"/>
          <w:numId w:val="7"/>
        </w:numPr>
        <w:jc w:val="both"/>
        <w:rPr>
          <w:rFonts w:ascii="Arial" w:hAnsi="Arial" w:cs="Arial"/>
          <w:sz w:val="20"/>
          <w:szCs w:val="20"/>
        </w:rPr>
      </w:pPr>
      <w:r w:rsidRPr="00A174C6">
        <w:rPr>
          <w:rFonts w:ascii="Arial" w:hAnsi="Arial" w:cs="Arial"/>
          <w:sz w:val="20"/>
          <w:szCs w:val="20"/>
        </w:rPr>
        <w:t xml:space="preserve">Socio-Hydrological </w:t>
      </w:r>
      <w:r w:rsidR="00B50E54" w:rsidRPr="00A174C6">
        <w:rPr>
          <w:rFonts w:ascii="Arial" w:hAnsi="Arial" w:cs="Arial"/>
          <w:sz w:val="20"/>
          <w:szCs w:val="20"/>
        </w:rPr>
        <w:t>Coupling (</w:t>
      </w:r>
      <w:r w:rsidRPr="00A174C6">
        <w:rPr>
          <w:rFonts w:ascii="Arial" w:hAnsi="Arial" w:cs="Arial"/>
          <w:sz w:val="20"/>
          <w:szCs w:val="20"/>
        </w:rPr>
        <w:t>Di Baldassarre et. al 2023): Paradigmatic understanding of water systems as co-evolutionary, i.e. with both human and hydrological parts influencing each other in complicated feedbacks.</w:t>
      </w:r>
    </w:p>
    <w:p w14:paraId="0708B57E" w14:textId="77777777" w:rsidR="00592A59" w:rsidRPr="00A174C6" w:rsidRDefault="00592A59" w:rsidP="008F54D6">
      <w:pPr>
        <w:spacing w:after="0" w:line="240" w:lineRule="auto"/>
        <w:jc w:val="both"/>
        <w:rPr>
          <w:rFonts w:ascii="Arial" w:eastAsia="Times New Roman" w:hAnsi="Arial" w:cs="Arial"/>
          <w:kern w:val="0"/>
          <w:sz w:val="20"/>
          <w:szCs w:val="20"/>
          <w14:ligatures w14:val="none"/>
        </w:rPr>
      </w:pPr>
      <w:r w:rsidRPr="00A174C6">
        <w:rPr>
          <w:rFonts w:ascii="Arial" w:eastAsia="Times New Roman" w:hAnsi="Arial" w:cs="Arial"/>
          <w:kern w:val="0"/>
          <w:sz w:val="20"/>
          <w:szCs w:val="20"/>
          <w14:ligatures w14:val="none"/>
        </w:rPr>
        <w:t>This all-inclusive theoretical framework shifts the focus from optimal water distribution (suitable in the stable, predictable settings) to maintaining functionality under extreme stress, the institutional accommodativeness to the unexpected threats, and prescribed ways of learning that continuously incorporate emergent realities.</w:t>
      </w:r>
    </w:p>
    <w:p w14:paraId="0C3DC4A2" w14:textId="77777777" w:rsidR="00A36618" w:rsidRPr="00A174C6" w:rsidRDefault="00A36618" w:rsidP="008F54D6">
      <w:pPr>
        <w:spacing w:after="0" w:line="240" w:lineRule="auto"/>
        <w:jc w:val="both"/>
        <w:rPr>
          <w:rFonts w:ascii="Arial" w:eastAsia="Times New Roman" w:hAnsi="Arial" w:cs="Arial"/>
          <w:kern w:val="0"/>
          <w:sz w:val="20"/>
          <w:szCs w:val="20"/>
          <w14:ligatures w14:val="none"/>
        </w:rPr>
      </w:pPr>
    </w:p>
    <w:p w14:paraId="6C82D43E" w14:textId="0CADEA78" w:rsidR="007335FF" w:rsidRPr="00A174C6" w:rsidRDefault="007335FF" w:rsidP="00A36618">
      <w:pPr>
        <w:pStyle w:val="Heading2"/>
        <w:spacing w:before="0" w:after="0"/>
        <w:rPr>
          <w:rFonts w:ascii="Arial" w:eastAsia="Times New Roman" w:hAnsi="Arial" w:cs="Arial"/>
          <w:b/>
          <w:bCs/>
          <w:color w:val="000000" w:themeColor="text1"/>
          <w:sz w:val="22"/>
          <w:szCs w:val="22"/>
        </w:rPr>
      </w:pPr>
      <w:r w:rsidRPr="00A174C6">
        <w:rPr>
          <w:rFonts w:ascii="Arial" w:eastAsia="Times New Roman" w:hAnsi="Arial" w:cs="Arial"/>
          <w:b/>
          <w:bCs/>
          <w:color w:val="000000" w:themeColor="text1"/>
          <w:sz w:val="22"/>
          <w:szCs w:val="22"/>
        </w:rPr>
        <w:t>2.2 Reconceptualizing Water Assessment Frameworks</w:t>
      </w:r>
    </w:p>
    <w:p w14:paraId="352B28D2" w14:textId="0771961A" w:rsidR="00E97C9F" w:rsidRPr="00A174C6" w:rsidRDefault="00E97C9F" w:rsidP="00A36618">
      <w:pPr>
        <w:jc w:val="both"/>
        <w:rPr>
          <w:rFonts w:ascii="Arial" w:hAnsi="Arial" w:cs="Arial"/>
          <w:sz w:val="20"/>
          <w:szCs w:val="20"/>
        </w:rPr>
      </w:pPr>
      <w:r w:rsidRPr="00A174C6">
        <w:rPr>
          <w:rFonts w:ascii="Arial" w:hAnsi="Arial" w:cs="Arial"/>
          <w:sz w:val="20"/>
          <w:szCs w:val="20"/>
        </w:rPr>
        <w:t>This work is situated in an emerging theoretical paradigm that radically changes the basis of governance of water from stability to resilience as the key organizing principle. Water management practices of the past have focused on establishing stable conditions of resources which are defined as ‘sustainable yields’ or ‘safe operating space’ (</w:t>
      </w:r>
      <w:proofErr w:type="spellStart"/>
      <w:r w:rsidRPr="00A174C6">
        <w:rPr>
          <w:rFonts w:ascii="Arial" w:hAnsi="Arial" w:cs="Arial"/>
          <w:sz w:val="20"/>
          <w:szCs w:val="20"/>
        </w:rPr>
        <w:t>Rockström</w:t>
      </w:r>
      <w:proofErr w:type="spellEnd"/>
      <w:r w:rsidRPr="00A174C6">
        <w:rPr>
          <w:rFonts w:ascii="Arial" w:hAnsi="Arial" w:cs="Arial"/>
          <w:sz w:val="20"/>
          <w:szCs w:val="20"/>
        </w:rPr>
        <w:t xml:space="preserve"> et al., 2022). Although suitable for more or less stable hydrological regimes, this stability paradigm dramatically fails in the regimes of extreme variability and non-stationarity, i.e., the hallmarks of ASARs under the changing climate.</w:t>
      </w:r>
      <w:r w:rsidR="008F54D6" w:rsidRPr="00A174C6">
        <w:rPr>
          <w:rFonts w:ascii="Arial" w:hAnsi="Arial" w:cs="Arial"/>
          <w:sz w:val="20"/>
          <w:szCs w:val="20"/>
        </w:rPr>
        <w:t xml:space="preserve"> </w:t>
      </w:r>
      <w:r w:rsidRPr="00A174C6">
        <w:rPr>
          <w:rFonts w:ascii="Arial" w:hAnsi="Arial" w:cs="Arial"/>
          <w:sz w:val="20"/>
          <w:szCs w:val="20"/>
        </w:rPr>
        <w:t>We synthetize three theoretical paradigms in order to elaborate an alternative paradigm specially tuned to ASAR conditions</w:t>
      </w:r>
    </w:p>
    <w:p w14:paraId="119260F3" w14:textId="77777777" w:rsidR="00A36618" w:rsidRPr="00A174C6" w:rsidRDefault="00E97C9F" w:rsidP="006104BF">
      <w:pPr>
        <w:pStyle w:val="ListParagraph"/>
        <w:numPr>
          <w:ilvl w:val="0"/>
          <w:numId w:val="8"/>
        </w:numPr>
        <w:jc w:val="both"/>
        <w:rPr>
          <w:rFonts w:ascii="Arial" w:hAnsi="Arial" w:cs="Arial"/>
          <w:sz w:val="20"/>
          <w:szCs w:val="20"/>
        </w:rPr>
      </w:pPr>
      <w:r w:rsidRPr="00A174C6">
        <w:rPr>
          <w:rFonts w:ascii="Arial" w:hAnsi="Arial" w:cs="Arial"/>
          <w:sz w:val="20"/>
          <w:szCs w:val="20"/>
        </w:rPr>
        <w:t>Adaptive Cycle Theory (Holling &amp; Gunderson (2022). Aware of the fact that water systems found in ASARs automatically shift from phases of exploitation, conservation, release and reorganization, violating linear stability assumptions and pointing to cyclical resilience</w:t>
      </w:r>
      <w:r w:rsidR="005A081E" w:rsidRPr="00A174C6">
        <w:rPr>
          <w:rFonts w:ascii="Arial" w:hAnsi="Arial" w:cs="Arial"/>
          <w:sz w:val="20"/>
          <w:szCs w:val="20"/>
        </w:rPr>
        <w:t>.</w:t>
      </w:r>
    </w:p>
    <w:p w14:paraId="3955A07A" w14:textId="35AEE4F5" w:rsidR="005A081E" w:rsidRPr="00A174C6" w:rsidRDefault="00E97C9F" w:rsidP="006104BF">
      <w:pPr>
        <w:pStyle w:val="ListParagraph"/>
        <w:numPr>
          <w:ilvl w:val="0"/>
          <w:numId w:val="8"/>
        </w:numPr>
        <w:jc w:val="both"/>
        <w:rPr>
          <w:rFonts w:ascii="Arial" w:hAnsi="Arial" w:cs="Arial"/>
          <w:sz w:val="20"/>
          <w:szCs w:val="20"/>
        </w:rPr>
      </w:pPr>
      <w:r w:rsidRPr="00A174C6">
        <w:rPr>
          <w:rFonts w:ascii="Arial" w:hAnsi="Arial" w:cs="Arial"/>
          <w:sz w:val="20"/>
          <w:szCs w:val="20"/>
        </w:rPr>
        <w:t>Strong Decision Making under Deep Uncertainty (</w:t>
      </w:r>
      <w:proofErr w:type="spellStart"/>
      <w:r w:rsidRPr="00A174C6">
        <w:rPr>
          <w:rFonts w:ascii="Arial" w:hAnsi="Arial" w:cs="Arial"/>
          <w:sz w:val="20"/>
          <w:szCs w:val="20"/>
        </w:rPr>
        <w:t>Marchau</w:t>
      </w:r>
      <w:proofErr w:type="spellEnd"/>
      <w:r w:rsidRPr="00A174C6">
        <w:rPr>
          <w:rFonts w:ascii="Arial" w:hAnsi="Arial" w:cs="Arial"/>
          <w:sz w:val="20"/>
          <w:szCs w:val="20"/>
        </w:rPr>
        <w:t xml:space="preserve"> et al., 2021): Admitting that the climate change makes the traditional probabilistic planning models ineffective, making decision approaches effective in huge uncertainty areas.</w:t>
      </w:r>
    </w:p>
    <w:p w14:paraId="23291FE6" w14:textId="43EE03CD" w:rsidR="00E97C9F" w:rsidRPr="00A174C6" w:rsidRDefault="00E97C9F" w:rsidP="006104BF">
      <w:pPr>
        <w:pStyle w:val="ListParagraph"/>
        <w:numPr>
          <w:ilvl w:val="0"/>
          <w:numId w:val="8"/>
        </w:numPr>
        <w:jc w:val="both"/>
        <w:rPr>
          <w:rFonts w:ascii="Arial" w:hAnsi="Arial" w:cs="Arial"/>
          <w:sz w:val="20"/>
          <w:szCs w:val="20"/>
        </w:rPr>
      </w:pPr>
      <w:r w:rsidRPr="00A174C6">
        <w:rPr>
          <w:rFonts w:ascii="Arial" w:hAnsi="Arial" w:cs="Arial"/>
          <w:sz w:val="20"/>
          <w:szCs w:val="20"/>
        </w:rPr>
        <w:t>Socio-Hydrological Coupling (Di Baldassarre et al.</w:t>
      </w:r>
      <w:r w:rsidR="00A36618" w:rsidRPr="00A174C6">
        <w:rPr>
          <w:rFonts w:ascii="Arial" w:hAnsi="Arial" w:cs="Arial"/>
          <w:sz w:val="20"/>
          <w:szCs w:val="20"/>
        </w:rPr>
        <w:t xml:space="preserve">, </w:t>
      </w:r>
      <w:r w:rsidRPr="00A174C6">
        <w:rPr>
          <w:rFonts w:ascii="Arial" w:hAnsi="Arial" w:cs="Arial"/>
          <w:sz w:val="20"/>
          <w:szCs w:val="20"/>
        </w:rPr>
        <w:t>2023). Appreciation of the hydrological systems as fundamentally co-evolutionary, involving the human as well as hydrological components that continuously mold each other in the complex feedbacks.</w:t>
      </w:r>
    </w:p>
    <w:p w14:paraId="57314AA4" w14:textId="18E91BF6" w:rsidR="00614BE3" w:rsidRPr="003B6F69" w:rsidRDefault="00614BE3" w:rsidP="003B6F69">
      <w:pPr>
        <w:spacing w:line="240" w:lineRule="auto"/>
        <w:jc w:val="both"/>
        <w:rPr>
          <w:rFonts w:ascii="Arial" w:hAnsi="Arial" w:cs="Arial"/>
          <w:sz w:val="22"/>
          <w:szCs w:val="22"/>
        </w:rPr>
      </w:pPr>
      <w:r w:rsidRPr="003B6F69">
        <w:rPr>
          <w:rFonts w:ascii="Arial" w:hAnsi="Arial" w:cs="Arial"/>
          <w:sz w:val="22"/>
          <w:szCs w:val="22"/>
        </w:rPr>
        <w:t xml:space="preserve">The combined theoretical framework redefines water assessment in arid and semi-arid regions (ASARs) through a transformative approach that shifts from static indicators to dynamic parameters capturing system behavior across various timescales and stress levels, prioritizes extreme events over average conditions as true measures of system viability, emphasizes </w:t>
      </w:r>
      <w:r w:rsidRPr="003B6F69">
        <w:rPr>
          <w:rFonts w:ascii="Arial" w:hAnsi="Arial" w:cs="Arial"/>
          <w:sz w:val="22"/>
          <w:szCs w:val="22"/>
        </w:rPr>
        <w:lastRenderedPageBreak/>
        <w:t>process indicators like institutional learning and adaptation mechanisms rather than merely output metrics, integrates water management with energy, food, and ecological systems through a nexus approach rather than treating these as peripheral concerns, and transcends purely technical solutions to incorporate social, political and cultural dimensions as core determinants of system functionality</w:t>
      </w:r>
      <w:r w:rsidR="00DF6228">
        <w:rPr>
          <w:rFonts w:ascii="Arial" w:hAnsi="Arial" w:cs="Arial"/>
          <w:sz w:val="22"/>
          <w:szCs w:val="22"/>
        </w:rPr>
        <w:t xml:space="preserve"> </w:t>
      </w:r>
      <w:r w:rsidR="00DF6228">
        <w:rPr>
          <w:rFonts w:ascii="Arial" w:hAnsi="Arial" w:cs="Arial"/>
          <w:sz w:val="22"/>
          <w:szCs w:val="22"/>
        </w:rPr>
        <w:fldChar w:fldCharType="begin"/>
      </w:r>
      <w:r w:rsidR="00DF6228">
        <w:rPr>
          <w:rFonts w:ascii="Arial" w:hAnsi="Arial" w:cs="Arial"/>
          <w:sz w:val="22"/>
          <w:szCs w:val="22"/>
        </w:rPr>
        <w:instrText xml:space="preserve"> ADDIN ZOTERO_ITEM CSL_CITATION {"citationID":"hWOy42CA","properties":{"formattedCitation":"(Ibisch, Bogardi, and Borchardt 2016)","plainCitation":"(Ibisch, Bogardi, and Borchardt 2016)","noteIndex":0},"citationItems":[{"id":3498,"uris":["http://zotero.org/users/11348874/items/LRAF82NQ"],"itemData":{"id":3498,"type":"chapter","abstract":"This chapter reviews the concept, contemporary research efforts and the implementation of Integrated Water Resources Management (IWRM) which has evolved as the guiding water management paradigm over the last three decades. After analyzing the starting points and historical developments of the IWRM concept this chapter expands on relations with recently upcoming concepts emphasizing adaptive water management and the land-water-food-energy nexus. Although being practically adopted worldwide, IWRM is still a major research topic in water sciences and its implementation is a great challenge for many countries. We have selected fourteen comprehensive IWRM research projects with worldwide coverage for a meta-analysis of motivations, settings, approaches and implementation. Aiming to be an up-to-date interdisciplinary scientific reference, this chapter provides a comprehensive theoretical and empirical analysis of contemporary IWRM research, examples of science based implementations and a synthesis of the lessons learnt. The chapter concludes with some major future challenges, the solving of which will further strengthen the IWRM concept.","container-title":"Integrated Water Resources Management: Concept, Research and Implementation","event-place":"Cham","ISBN":"978-3-319-25071-7","language":"en","note":"DOI: 10.1007/978-3-319-25071-7_1","page":"3-32","publisher":"Springer International Publishing","publisher-place":"Cham","source":"Springer Link","title":"Integrated Water Resources Management: Concept, Research and Implementation","title-short":"Integrated Water Resources Management","URL":"https://doi.org/10.1007/978-3-319-25071-7_1","author":[{"family":"Ibisch","given":"Ralf B."},{"family":"Bogardi","given":"Janos J."},{"family":"Borchardt","given":"Dietrich"}],"editor":[{"family":"Borchardt","given":"Dietrich"},{"family":"Bogardi","given":"Janos J."},{"family":"Ibisch","given":"Ralf B."}],"accessed":{"date-parts":[["2025",6,3]]},"issued":{"date-parts":[["2016"]]}}}],"schema":"https://github.com/citation-style-language/schema/raw/master/csl-citation.json"} </w:instrText>
      </w:r>
      <w:r w:rsidR="00DF6228">
        <w:rPr>
          <w:rFonts w:ascii="Arial" w:hAnsi="Arial" w:cs="Arial"/>
          <w:sz w:val="22"/>
          <w:szCs w:val="22"/>
        </w:rPr>
        <w:fldChar w:fldCharType="separate"/>
      </w:r>
      <w:r w:rsidR="00DF6228" w:rsidRPr="00DF6228">
        <w:rPr>
          <w:rFonts w:ascii="Arial" w:hAnsi="Arial" w:cs="Arial"/>
          <w:sz w:val="22"/>
        </w:rPr>
        <w:t>(Ibisch, Bogardi, and Borchardt 2016)</w:t>
      </w:r>
      <w:r w:rsidR="00DF6228">
        <w:rPr>
          <w:rFonts w:ascii="Arial" w:hAnsi="Arial" w:cs="Arial"/>
          <w:sz w:val="22"/>
          <w:szCs w:val="22"/>
        </w:rPr>
        <w:fldChar w:fldCharType="end"/>
      </w:r>
      <w:r w:rsidRPr="003B6F69">
        <w:rPr>
          <w:rFonts w:ascii="Arial" w:hAnsi="Arial" w:cs="Arial"/>
          <w:sz w:val="22"/>
          <w:szCs w:val="22"/>
        </w:rPr>
        <w:t>. This paradigm shift fundamentally redefines success in ASAR water management—moving away from the unattainable goal of maintaining stable resource conditions in inherently variable environments toward sustaining essential system functions during extreme stress events, fostering institutional adaptability to unforeseen challenges, and enabling transformative change when existing arrangements become obsolete, while maintaining continuous learning processes that integrate emerging knowledge and opportunities to evolve governance practices beyond the traditional assumption of predictable conditions.</w:t>
      </w:r>
    </w:p>
    <w:p w14:paraId="07ECF665" w14:textId="77777777" w:rsidR="00614BE3" w:rsidRPr="00A174C6" w:rsidRDefault="00614BE3" w:rsidP="003B6F69"/>
    <w:p w14:paraId="231D1AF4" w14:textId="4F3AB236" w:rsidR="007335FF" w:rsidRPr="00A174C6" w:rsidRDefault="00A174C6" w:rsidP="00A36618">
      <w:pPr>
        <w:pStyle w:val="Heading1"/>
        <w:spacing w:before="0" w:after="0" w:line="240" w:lineRule="auto"/>
        <w:rPr>
          <w:rFonts w:ascii="Arial" w:eastAsia="Times New Roman" w:hAnsi="Arial" w:cs="Arial"/>
          <w:b/>
          <w:bCs/>
          <w:color w:val="000000" w:themeColor="text1"/>
          <w:sz w:val="22"/>
          <w:szCs w:val="22"/>
        </w:rPr>
      </w:pPr>
      <w:r w:rsidRPr="00A174C6">
        <w:rPr>
          <w:rFonts w:ascii="Arial" w:eastAsia="Times New Roman" w:hAnsi="Arial" w:cs="Arial"/>
          <w:b/>
          <w:bCs/>
          <w:color w:val="000000" w:themeColor="text1"/>
          <w:sz w:val="22"/>
          <w:szCs w:val="22"/>
        </w:rPr>
        <w:t>3. METHODS</w:t>
      </w:r>
    </w:p>
    <w:p w14:paraId="2E9FC8DA" w14:textId="77777777" w:rsidR="007335FF" w:rsidRPr="00A174C6" w:rsidRDefault="007335FF" w:rsidP="00A36618">
      <w:pPr>
        <w:pStyle w:val="Heading2"/>
        <w:spacing w:before="0" w:after="0" w:line="240" w:lineRule="auto"/>
        <w:rPr>
          <w:rFonts w:ascii="Arial" w:eastAsia="Times New Roman" w:hAnsi="Arial" w:cs="Arial"/>
          <w:b/>
          <w:bCs/>
          <w:color w:val="000000" w:themeColor="text1"/>
          <w:sz w:val="22"/>
          <w:szCs w:val="22"/>
        </w:rPr>
      </w:pPr>
      <w:r w:rsidRPr="00A174C6">
        <w:rPr>
          <w:rFonts w:ascii="Arial" w:eastAsia="Times New Roman" w:hAnsi="Arial" w:cs="Arial"/>
          <w:b/>
          <w:bCs/>
          <w:color w:val="000000" w:themeColor="text1"/>
          <w:sz w:val="22"/>
          <w:szCs w:val="22"/>
        </w:rPr>
        <w:t>3.1 Research Design</w:t>
      </w:r>
    </w:p>
    <w:p w14:paraId="66BC2386" w14:textId="77777777" w:rsidR="00E97C9F" w:rsidRPr="00A174C6" w:rsidRDefault="00E97C9F" w:rsidP="00EA4690">
      <w:pPr>
        <w:jc w:val="both"/>
        <w:rPr>
          <w:rFonts w:ascii="Arial" w:hAnsi="Arial" w:cs="Arial"/>
          <w:sz w:val="20"/>
          <w:szCs w:val="20"/>
        </w:rPr>
      </w:pPr>
      <w:r w:rsidRPr="00A174C6">
        <w:rPr>
          <w:rFonts w:ascii="Arial" w:hAnsi="Arial" w:cs="Arial"/>
          <w:sz w:val="20"/>
          <w:szCs w:val="20"/>
        </w:rPr>
        <w:t>A sequential mixed-methods research design was followed having three phases that were intertwined together:</w:t>
      </w:r>
    </w:p>
    <w:p w14:paraId="49F4F066" w14:textId="77777777" w:rsidR="00260EF2" w:rsidRPr="002A2201" w:rsidRDefault="00E97C9F" w:rsidP="002A2201">
      <w:pPr>
        <w:jc w:val="both"/>
        <w:rPr>
          <w:rFonts w:ascii="Arial" w:hAnsi="Arial" w:cs="Arial"/>
          <w:sz w:val="22"/>
          <w:szCs w:val="22"/>
        </w:rPr>
      </w:pPr>
      <w:r w:rsidRPr="002A2201">
        <w:rPr>
          <w:rFonts w:ascii="Arial" w:hAnsi="Arial" w:cs="Arial"/>
          <w:b/>
          <w:bCs/>
          <w:sz w:val="22"/>
          <w:szCs w:val="22"/>
        </w:rPr>
        <w:t>Phase 1</w:t>
      </w:r>
      <w:r w:rsidRPr="002A2201">
        <w:rPr>
          <w:rFonts w:ascii="Arial" w:hAnsi="Arial" w:cs="Arial"/>
          <w:sz w:val="22"/>
          <w:szCs w:val="22"/>
        </w:rPr>
        <w:t xml:space="preserve">: </w:t>
      </w:r>
      <w:r w:rsidR="00260EF2" w:rsidRPr="002A2201">
        <w:rPr>
          <w:rFonts w:ascii="Arial" w:hAnsi="Arial" w:cs="Arial"/>
          <w:sz w:val="22"/>
          <w:szCs w:val="22"/>
        </w:rPr>
        <w:t>Systematic Assessment of Framework Performance evaluated the effectiveness of existing water management frameworks in ASAR settings through a comprehensive methodological approach. This assessment involved a comprehensive examination of 17 Sustainable Water Resources Management Assessment Frameworks (SWRM-AFs) to understand their theoretical underpinnings and intended applications. The research team conducted statistical analysis of implementation results across 147 water management projects to quantify performance metrics and identify success factors and limitations in real-world applications. Additionally, the assessment incorporated remote sensing evaluation of hydrological outcomes in 38 major arid basins, providing objective biophysical evidence of framework effectiveness that complemented self-reported project outcomes and statistical analyses with independently verified environmental impacts.</w:t>
      </w:r>
    </w:p>
    <w:p w14:paraId="6F1012C6" w14:textId="54B7670C" w:rsidR="00794DC2" w:rsidRPr="00A174C6" w:rsidRDefault="00E97C9F" w:rsidP="00260EF2">
      <w:pPr>
        <w:jc w:val="both"/>
        <w:rPr>
          <w:rFonts w:ascii="Arial" w:eastAsia="Times New Roman" w:hAnsi="Arial" w:cs="Arial"/>
          <w:kern w:val="0"/>
          <w:sz w:val="20"/>
          <w:szCs w:val="20"/>
          <w14:ligatures w14:val="none"/>
        </w:rPr>
      </w:pPr>
      <w:r w:rsidRPr="00A174C6">
        <w:rPr>
          <w:rFonts w:ascii="Arial" w:eastAsia="Times New Roman" w:hAnsi="Arial" w:cs="Arial"/>
          <w:b/>
          <w:bCs/>
          <w:kern w:val="0"/>
          <w:sz w:val="20"/>
          <w:szCs w:val="20"/>
          <w14:ligatures w14:val="none"/>
        </w:rPr>
        <w:t>Phase 2:</w:t>
      </w:r>
      <w:r w:rsidRPr="00A174C6">
        <w:rPr>
          <w:rFonts w:ascii="Arial" w:eastAsia="Times New Roman" w:hAnsi="Arial" w:cs="Arial"/>
          <w:kern w:val="0"/>
          <w:sz w:val="20"/>
          <w:szCs w:val="20"/>
          <w14:ligatures w14:val="none"/>
        </w:rPr>
        <w:t xml:space="preserve"> </w:t>
      </w:r>
      <w:r w:rsidR="00794DC2" w:rsidRPr="00A174C6">
        <w:rPr>
          <w:rFonts w:ascii="Arial" w:eastAsia="Times New Roman" w:hAnsi="Arial" w:cs="Arial"/>
          <w:kern w:val="0"/>
          <w:sz w:val="20"/>
          <w:szCs w:val="20"/>
          <w14:ligatures w14:val="none"/>
        </w:rPr>
        <w:t>Phase 2 of the water management study conducted a comparative case analysis across three diverse arid and semi-arid regions. Researchers examined the North-West Sahara Aquifer System, a fossil aquifer shared by Algeria, Tunisia, and Libya; the Okavango Delta, a climate-stressed surface water system in southern Africa; and the Kachchh Peninsula in India, where rapid development is occurring alongside community-based water management approaches. These case studies provided valuable insights into different water management challenges and strategies across varied geographical, political, and social contexts.</w:t>
      </w:r>
    </w:p>
    <w:p w14:paraId="682F4EB1" w14:textId="744BB9D4" w:rsidR="00E97C9F" w:rsidRPr="002A2201" w:rsidRDefault="00E97C9F" w:rsidP="002A2201">
      <w:pPr>
        <w:jc w:val="both"/>
        <w:rPr>
          <w:rFonts w:ascii="Arial" w:hAnsi="Arial" w:cs="Arial"/>
          <w:sz w:val="22"/>
          <w:szCs w:val="22"/>
        </w:rPr>
      </w:pPr>
      <w:r w:rsidRPr="002A2201">
        <w:rPr>
          <w:rFonts w:ascii="Arial" w:hAnsi="Arial" w:cs="Arial"/>
          <w:b/>
          <w:bCs/>
          <w:sz w:val="22"/>
          <w:szCs w:val="22"/>
        </w:rPr>
        <w:t>Phase 3:</w:t>
      </w:r>
      <w:r w:rsidRPr="002A2201">
        <w:rPr>
          <w:rFonts w:ascii="Arial" w:hAnsi="Arial" w:cs="Arial"/>
          <w:sz w:val="22"/>
          <w:szCs w:val="22"/>
        </w:rPr>
        <w:t xml:space="preserve"> </w:t>
      </w:r>
      <w:r w:rsidR="00794DC2" w:rsidRPr="002A2201">
        <w:rPr>
          <w:rFonts w:ascii="Arial" w:hAnsi="Arial" w:cs="Arial"/>
          <w:sz w:val="22"/>
          <w:szCs w:val="22"/>
        </w:rPr>
        <w:t xml:space="preserve">Phase 3 focused on developing and validating an innovative water management framework through a collaborative approach. A multidisciplinary panel of experts worked together to create this framework, which was first calibrated using historical water management cases to ensure its theoretical soundness. The framework was then prospectively implemented in four different real-world contexts to test its practical effectiveness, adaptability, and potential for addressing water management challenges in arid and semi-arid regions under various conditions. </w:t>
      </w:r>
      <w:r w:rsidRPr="002A2201">
        <w:rPr>
          <w:rFonts w:ascii="Arial" w:hAnsi="Arial" w:cs="Arial"/>
          <w:sz w:val="22"/>
          <w:szCs w:val="22"/>
        </w:rPr>
        <w:t>This design allowed methodological triangulation from various sources of data and different methods of analysis and concepts of theory to improve validity while meeting the intricate and multidimensional characteristic of water governance in ASARs.</w:t>
      </w:r>
    </w:p>
    <w:p w14:paraId="2CE2F8D4" w14:textId="4CC08D28" w:rsidR="007335FF" w:rsidRPr="002A2201" w:rsidRDefault="002A2201" w:rsidP="002A2201">
      <w:pPr>
        <w:pStyle w:val="Heading2"/>
        <w:rPr>
          <w:rFonts w:ascii="Arial" w:eastAsia="Times New Roman" w:hAnsi="Arial" w:cs="Arial"/>
          <w:b/>
          <w:bCs/>
          <w:color w:val="auto"/>
          <w:sz w:val="24"/>
          <w:szCs w:val="24"/>
        </w:rPr>
      </w:pPr>
      <w:r w:rsidRPr="002A2201">
        <w:rPr>
          <w:rFonts w:ascii="Arial" w:eastAsia="Times New Roman" w:hAnsi="Arial" w:cs="Arial"/>
          <w:b/>
          <w:bCs/>
          <w:color w:val="auto"/>
          <w:sz w:val="24"/>
          <w:szCs w:val="24"/>
        </w:rPr>
        <w:lastRenderedPageBreak/>
        <w:t xml:space="preserve">3.2 </w:t>
      </w:r>
      <w:r w:rsidR="007335FF" w:rsidRPr="002A2201">
        <w:rPr>
          <w:rFonts w:ascii="Arial" w:eastAsia="Times New Roman" w:hAnsi="Arial" w:cs="Arial"/>
          <w:b/>
          <w:bCs/>
          <w:color w:val="auto"/>
          <w:sz w:val="24"/>
          <w:szCs w:val="24"/>
        </w:rPr>
        <w:t>Data Collection</w:t>
      </w:r>
    </w:p>
    <w:p w14:paraId="01B662F8" w14:textId="77777777" w:rsidR="00743CF9" w:rsidRPr="00A174C6" w:rsidRDefault="007335FF" w:rsidP="002A2201">
      <w:pPr>
        <w:spacing w:after="0" w:line="240" w:lineRule="auto"/>
        <w:rPr>
          <w:rFonts w:ascii="Arial" w:eastAsia="Times New Roman" w:hAnsi="Arial" w:cs="Arial"/>
          <w:kern w:val="0"/>
          <w:sz w:val="20"/>
          <w:szCs w:val="20"/>
          <w14:ligatures w14:val="none"/>
        </w:rPr>
      </w:pPr>
      <w:r w:rsidRPr="00A174C6">
        <w:rPr>
          <w:rFonts w:ascii="Arial" w:eastAsia="Times New Roman" w:hAnsi="Arial" w:cs="Arial"/>
          <w:kern w:val="0"/>
          <w:sz w:val="20"/>
          <w:szCs w:val="20"/>
          <w14:ligatures w14:val="none"/>
        </w:rPr>
        <w:t>We integrated six primary data streams to develop a comprehensive understanding of water governance challenges and opportunities in ASARs:</w:t>
      </w:r>
    </w:p>
    <w:p w14:paraId="56CAB8E5" w14:textId="77777777" w:rsidR="00AB7D52" w:rsidRPr="00A174C6" w:rsidRDefault="00E97C9F" w:rsidP="006104BF">
      <w:pPr>
        <w:pStyle w:val="ListParagraph"/>
        <w:numPr>
          <w:ilvl w:val="1"/>
          <w:numId w:val="2"/>
        </w:numPr>
        <w:spacing w:before="100" w:beforeAutospacing="1" w:after="100" w:afterAutospacing="1" w:line="240" w:lineRule="auto"/>
        <w:jc w:val="both"/>
        <w:rPr>
          <w:rFonts w:ascii="Arial" w:eastAsia="Times New Roman" w:hAnsi="Arial" w:cs="Arial"/>
          <w:kern w:val="0"/>
          <w:sz w:val="20"/>
          <w:szCs w:val="20"/>
          <w14:ligatures w14:val="none"/>
        </w:rPr>
      </w:pPr>
      <w:r w:rsidRPr="00A174C6">
        <w:rPr>
          <w:rFonts w:ascii="Arial" w:eastAsia="Times New Roman" w:hAnsi="Arial" w:cs="Arial"/>
          <w:b/>
          <w:bCs/>
          <w:kern w:val="0"/>
          <w:sz w:val="20"/>
          <w:szCs w:val="20"/>
          <w14:ligatures w14:val="none"/>
        </w:rPr>
        <w:t>Remote Sensing Data:</w:t>
      </w:r>
      <w:r w:rsidRPr="00A174C6">
        <w:rPr>
          <w:rFonts w:ascii="Arial" w:eastAsia="Times New Roman" w:hAnsi="Arial" w:cs="Arial"/>
          <w:kern w:val="0"/>
          <w:sz w:val="20"/>
          <w:szCs w:val="20"/>
          <w14:ligatures w14:val="none"/>
        </w:rPr>
        <w:t xml:space="preserve"> </w:t>
      </w:r>
      <w:r w:rsidR="00AB7D52" w:rsidRPr="00A174C6">
        <w:rPr>
          <w:rFonts w:ascii="Arial" w:eastAsia="Times New Roman" w:hAnsi="Arial" w:cs="Arial"/>
          <w:kern w:val="0"/>
          <w:sz w:val="20"/>
          <w:szCs w:val="20"/>
          <w14:ligatures w14:val="none"/>
        </w:rPr>
        <w:t>Over a 20-year period (2003–2023), we generated time series data for key hydrological parameters across 38 major arid basins using multiple remote sensing sources. GRACE and GRACE-FO satellite data were employed to diagnose groundwater depletion trends, while Landsat 5–9 and Sentinel-2 imagery provided insights into land use changes and variations in surface water area. MODIS-derived datasets were used to estimate evapotranspiration, and SMAP satellite data contributed soil moisture measurements. Together, these integrated datasets offer a comprehensive understanding of hydrological dynamics in arid and semi-arid regions (ASARs), supporting robust water governance analysis.</w:t>
      </w:r>
    </w:p>
    <w:p w14:paraId="0870C763" w14:textId="3A2400C9" w:rsidR="00743CF9" w:rsidRPr="00A174C6" w:rsidRDefault="00743CF9" w:rsidP="00AB7D52">
      <w:pPr>
        <w:pStyle w:val="ListParagraph"/>
        <w:spacing w:before="100" w:beforeAutospacing="1" w:after="100" w:afterAutospacing="1" w:line="240" w:lineRule="auto"/>
        <w:ind w:left="360"/>
        <w:rPr>
          <w:rFonts w:ascii="Arial" w:eastAsia="Times New Roman" w:hAnsi="Arial" w:cs="Arial"/>
          <w:kern w:val="0"/>
          <w:sz w:val="20"/>
          <w:szCs w:val="20"/>
          <w14:ligatures w14:val="none"/>
        </w:rPr>
      </w:pPr>
      <w:r w:rsidRPr="00A174C6">
        <w:rPr>
          <w:rFonts w:ascii="Arial" w:hAnsi="Arial" w:cs="Arial"/>
          <w:noProof/>
          <w:sz w:val="20"/>
          <w:szCs w:val="20"/>
        </w:rPr>
        <w:drawing>
          <wp:inline distT="0" distB="0" distL="0" distR="0" wp14:anchorId="5786EB56" wp14:editId="08E2D68C">
            <wp:extent cx="5943600" cy="4274820"/>
            <wp:effectExtent l="0" t="0" r="0" b="0"/>
            <wp:docPr id="2" name="Picture 2"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tput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274820"/>
                    </a:xfrm>
                    <a:prstGeom prst="rect">
                      <a:avLst/>
                    </a:prstGeom>
                    <a:noFill/>
                    <a:ln>
                      <a:noFill/>
                    </a:ln>
                  </pic:spPr>
                </pic:pic>
              </a:graphicData>
            </a:graphic>
          </wp:inline>
        </w:drawing>
      </w:r>
    </w:p>
    <w:p w14:paraId="4714E433" w14:textId="5293A6A6" w:rsidR="007335FF" w:rsidRPr="00A174C6" w:rsidRDefault="007335FF" w:rsidP="00AB7D52">
      <w:pPr>
        <w:spacing w:before="100" w:beforeAutospacing="1" w:after="100" w:afterAutospacing="1" w:line="240" w:lineRule="auto"/>
        <w:rPr>
          <w:rFonts w:ascii="Arial" w:eastAsia="Times New Roman" w:hAnsi="Arial" w:cs="Arial"/>
          <w:i/>
          <w:iCs/>
          <w:kern w:val="0"/>
          <w:sz w:val="20"/>
          <w:szCs w:val="20"/>
          <w14:ligatures w14:val="none"/>
        </w:rPr>
      </w:pPr>
      <w:r w:rsidRPr="00A174C6">
        <w:rPr>
          <w:rFonts w:ascii="Arial" w:eastAsia="Times New Roman" w:hAnsi="Arial" w:cs="Arial"/>
          <w:i/>
          <w:iCs/>
          <w:kern w:val="0"/>
          <w:sz w:val="20"/>
          <w:szCs w:val="20"/>
          <w14:ligatures w14:val="none"/>
        </w:rPr>
        <w:t xml:space="preserve">Figure 1: </w:t>
      </w:r>
      <w:r w:rsidR="00E97C9F" w:rsidRPr="00A174C6">
        <w:rPr>
          <w:rFonts w:ascii="Arial" w:eastAsia="Times New Roman" w:hAnsi="Arial" w:cs="Arial"/>
          <w:i/>
          <w:iCs/>
          <w:kern w:val="0"/>
          <w:sz w:val="20"/>
          <w:szCs w:val="20"/>
          <w14:ligatures w14:val="none"/>
        </w:rPr>
        <w:t>Time series visualization of satellite-derived groundwater depletion rates across six major arid aquifer systems (2003–2023), showing acceleration patterns and threshold crossings</w:t>
      </w:r>
    </w:p>
    <w:p w14:paraId="07FF4903" w14:textId="77777777" w:rsidR="00743CF9" w:rsidRPr="00A174C6" w:rsidRDefault="00743CF9" w:rsidP="00743CF9">
      <w:pPr>
        <w:pStyle w:val="ListParagraph"/>
        <w:spacing w:before="100" w:beforeAutospacing="1" w:after="100" w:afterAutospacing="1" w:line="240" w:lineRule="auto"/>
        <w:ind w:left="1440"/>
        <w:rPr>
          <w:rFonts w:ascii="Arial" w:eastAsia="Times New Roman" w:hAnsi="Arial" w:cs="Arial"/>
          <w:kern w:val="0"/>
          <w:sz w:val="20"/>
          <w:szCs w:val="20"/>
          <w14:ligatures w14:val="none"/>
        </w:rPr>
      </w:pPr>
    </w:p>
    <w:p w14:paraId="4BF64CA4" w14:textId="77777777" w:rsidR="006E3A6C" w:rsidRPr="00A174C6" w:rsidRDefault="00743CF9" w:rsidP="006104BF">
      <w:pPr>
        <w:pStyle w:val="ListParagraph"/>
        <w:numPr>
          <w:ilvl w:val="0"/>
          <w:numId w:val="1"/>
        </w:numPr>
        <w:spacing w:before="100" w:beforeAutospacing="1" w:after="100" w:afterAutospacing="1" w:line="240" w:lineRule="auto"/>
        <w:jc w:val="both"/>
        <w:rPr>
          <w:rFonts w:ascii="Arial" w:eastAsia="Times New Roman" w:hAnsi="Arial" w:cs="Arial"/>
          <w:kern w:val="0"/>
          <w:sz w:val="20"/>
          <w:szCs w:val="20"/>
          <w14:ligatures w14:val="none"/>
        </w:rPr>
      </w:pPr>
      <w:r w:rsidRPr="00A174C6">
        <w:rPr>
          <w:rFonts w:ascii="Arial" w:eastAsia="Times New Roman" w:hAnsi="Arial" w:cs="Arial"/>
          <w:b/>
          <w:bCs/>
          <w:kern w:val="0"/>
          <w:sz w:val="20"/>
          <w:szCs w:val="20"/>
          <w14:ligatures w14:val="none"/>
        </w:rPr>
        <w:t>Project Implementation Records:</w:t>
      </w:r>
      <w:r w:rsidRPr="00A174C6">
        <w:rPr>
          <w:rFonts w:ascii="Arial" w:eastAsia="Times New Roman" w:hAnsi="Arial" w:cs="Arial"/>
          <w:kern w:val="0"/>
          <w:sz w:val="20"/>
          <w:szCs w:val="20"/>
          <w14:ligatures w14:val="none"/>
        </w:rPr>
        <w:t xml:space="preserve"> </w:t>
      </w:r>
      <w:r w:rsidR="006E3A6C" w:rsidRPr="00A174C6">
        <w:rPr>
          <w:rFonts w:ascii="Arial" w:eastAsia="Times New Roman" w:hAnsi="Arial" w:cs="Arial"/>
          <w:kern w:val="0"/>
          <w:sz w:val="20"/>
          <w:szCs w:val="20"/>
          <w14:ligatures w14:val="none"/>
        </w:rPr>
        <w:t>We conducted a comprehensive analysis by compiling data from 147 water management projects implemented in arid and semi-arid regions (ASARs) between 2000 and 2023. This extensive dataset encompassed technical design specifications, implementation timelines, and budget execution details to understand the practical aspects of project delivery. Additionally, we examined monitoring and evaluation reports alongside the comparison of stated objectives and measured outcomes to assess the effectiveness and impact of these interventions in addressing water management challenges in these regions.</w:t>
      </w:r>
    </w:p>
    <w:p w14:paraId="1C584FC0" w14:textId="77777777" w:rsidR="006E3A6C" w:rsidRPr="00A174C6" w:rsidRDefault="006E3A6C" w:rsidP="00614BE3">
      <w:pPr>
        <w:pStyle w:val="ListParagraph"/>
        <w:spacing w:before="100" w:beforeAutospacing="1" w:after="100" w:afterAutospacing="1" w:line="240" w:lineRule="auto"/>
        <w:jc w:val="both"/>
        <w:rPr>
          <w:rFonts w:ascii="Arial" w:eastAsia="Times New Roman" w:hAnsi="Arial" w:cs="Arial"/>
          <w:kern w:val="0"/>
          <w:sz w:val="20"/>
          <w:szCs w:val="20"/>
          <w14:ligatures w14:val="none"/>
        </w:rPr>
      </w:pPr>
    </w:p>
    <w:p w14:paraId="06387993" w14:textId="77777777" w:rsidR="006E3A6C" w:rsidRPr="00A174C6" w:rsidRDefault="00743CF9" w:rsidP="006104BF">
      <w:pPr>
        <w:pStyle w:val="ListParagraph"/>
        <w:numPr>
          <w:ilvl w:val="0"/>
          <w:numId w:val="1"/>
        </w:numPr>
        <w:spacing w:before="100" w:beforeAutospacing="1" w:after="100" w:afterAutospacing="1" w:line="240" w:lineRule="auto"/>
        <w:jc w:val="both"/>
        <w:rPr>
          <w:rFonts w:ascii="Arial" w:eastAsia="Times New Roman" w:hAnsi="Arial" w:cs="Arial"/>
          <w:kern w:val="0"/>
          <w:sz w:val="20"/>
          <w:szCs w:val="20"/>
          <w14:ligatures w14:val="none"/>
        </w:rPr>
      </w:pPr>
      <w:r w:rsidRPr="00A174C6">
        <w:rPr>
          <w:rFonts w:ascii="Arial" w:eastAsia="Times New Roman" w:hAnsi="Arial" w:cs="Arial"/>
          <w:b/>
          <w:bCs/>
          <w:kern w:val="0"/>
          <w:sz w:val="20"/>
          <w:szCs w:val="20"/>
          <w14:ligatures w14:val="none"/>
        </w:rPr>
        <w:lastRenderedPageBreak/>
        <w:t>Institutional Analysis:</w:t>
      </w:r>
      <w:r w:rsidRPr="00A174C6">
        <w:rPr>
          <w:rFonts w:ascii="Arial" w:eastAsia="Times New Roman" w:hAnsi="Arial" w:cs="Arial"/>
          <w:kern w:val="0"/>
          <w:sz w:val="20"/>
          <w:szCs w:val="20"/>
          <w14:ligatures w14:val="none"/>
        </w:rPr>
        <w:t xml:space="preserve"> </w:t>
      </w:r>
      <w:r w:rsidR="006E3A6C" w:rsidRPr="00A174C6">
        <w:rPr>
          <w:rFonts w:ascii="Arial" w:eastAsia="Times New Roman" w:hAnsi="Arial" w:cs="Arial"/>
          <w:kern w:val="0"/>
          <w:sz w:val="20"/>
          <w:szCs w:val="20"/>
          <w14:ligatures w14:val="none"/>
        </w:rPr>
        <w:t>We systematically mapped the governance arrangements of water in the case study regions through multiple analytical approaches. This involved in-depth policy and legal document analysis to understand the regulatory frameworks governing water resources. We created institutional network maps to visualize relationships between different governing bodies and developed authority and resource flow diagrams to trace decision-making pathways and resource allocation. Furthermore, we conducted historical evolution assessments to understand how these governance structures had transformed over time in response to changing environmental, social, and political contexts.</w:t>
      </w:r>
    </w:p>
    <w:p w14:paraId="3F9CA40B" w14:textId="77777777" w:rsidR="006E3A6C" w:rsidRPr="00A174C6" w:rsidRDefault="006E3A6C" w:rsidP="00614BE3">
      <w:pPr>
        <w:pStyle w:val="ListParagraph"/>
        <w:jc w:val="both"/>
        <w:rPr>
          <w:rFonts w:ascii="Arial" w:eastAsia="Times New Roman" w:hAnsi="Arial" w:cs="Arial"/>
          <w:kern w:val="0"/>
          <w:sz w:val="20"/>
          <w:szCs w:val="20"/>
          <w14:ligatures w14:val="none"/>
        </w:rPr>
      </w:pPr>
    </w:p>
    <w:p w14:paraId="5A335475" w14:textId="77777777" w:rsidR="006E3A6C" w:rsidRPr="00A174C6" w:rsidRDefault="00743CF9" w:rsidP="006104BF">
      <w:pPr>
        <w:pStyle w:val="ListParagraph"/>
        <w:numPr>
          <w:ilvl w:val="0"/>
          <w:numId w:val="1"/>
        </w:numPr>
        <w:spacing w:before="100" w:beforeAutospacing="1" w:after="100" w:afterAutospacing="1" w:line="240" w:lineRule="auto"/>
        <w:jc w:val="both"/>
        <w:rPr>
          <w:rFonts w:ascii="Arial" w:eastAsia="Times New Roman" w:hAnsi="Arial" w:cs="Arial"/>
          <w:kern w:val="0"/>
          <w:sz w:val="20"/>
          <w:szCs w:val="20"/>
          <w14:ligatures w14:val="none"/>
        </w:rPr>
      </w:pPr>
      <w:r w:rsidRPr="00A174C6">
        <w:rPr>
          <w:rFonts w:ascii="Arial" w:eastAsia="Times New Roman" w:hAnsi="Arial" w:cs="Arial"/>
          <w:b/>
          <w:bCs/>
          <w:kern w:val="0"/>
          <w:sz w:val="20"/>
          <w:szCs w:val="20"/>
          <w14:ligatures w14:val="none"/>
        </w:rPr>
        <w:t>Stakeholder Engagement</w:t>
      </w:r>
      <w:r w:rsidRPr="00A174C6">
        <w:rPr>
          <w:rFonts w:ascii="Arial" w:eastAsia="Times New Roman" w:hAnsi="Arial" w:cs="Arial"/>
          <w:kern w:val="0"/>
          <w:sz w:val="20"/>
          <w:szCs w:val="20"/>
          <w14:ligatures w14:val="none"/>
        </w:rPr>
        <w:t xml:space="preserve">: </w:t>
      </w:r>
      <w:r w:rsidR="006E3A6C" w:rsidRPr="00A174C6">
        <w:rPr>
          <w:rFonts w:ascii="Arial" w:eastAsia="Times New Roman" w:hAnsi="Arial" w:cs="Arial"/>
          <w:kern w:val="0"/>
          <w:sz w:val="20"/>
          <w:szCs w:val="20"/>
          <w14:ligatures w14:val="none"/>
        </w:rPr>
        <w:t>We facilitated structured interactions with 247 diverse stakeholders across the case study regions to gain comprehensive insights into lived experiences and perspectives. Our approach included conducting semi-structured interviews with water managers, users, and policymakers to capture their individual viewpoints and challenges. We organized focus group discussions with community representatives to understand collective concerns and priorities. Technical specialists participated in elicitation workshops to share expert knowledge, while various stakeholder groups engaged in deliberative scenario-based learning exercises to explore potential future water management scenarios and solutions collaboratively.</w:t>
      </w:r>
    </w:p>
    <w:p w14:paraId="31550BA9" w14:textId="39BF96BF" w:rsidR="00AB7D52" w:rsidRPr="00A174C6" w:rsidRDefault="00AB7D52" w:rsidP="00614BE3">
      <w:pPr>
        <w:pStyle w:val="ListParagraph"/>
        <w:spacing w:before="100" w:beforeAutospacing="1" w:after="100" w:afterAutospacing="1" w:line="240" w:lineRule="auto"/>
        <w:jc w:val="both"/>
        <w:rPr>
          <w:rFonts w:ascii="Arial" w:eastAsia="Times New Roman" w:hAnsi="Arial" w:cs="Arial"/>
          <w:kern w:val="0"/>
          <w:sz w:val="20"/>
          <w:szCs w:val="20"/>
          <w14:ligatures w14:val="none"/>
        </w:rPr>
      </w:pPr>
    </w:p>
    <w:p w14:paraId="5BA3B5AF" w14:textId="77777777" w:rsidR="00AB7D52" w:rsidRPr="00A174C6" w:rsidRDefault="00AB7D52" w:rsidP="00614BE3">
      <w:pPr>
        <w:pStyle w:val="ListParagraph"/>
        <w:spacing w:before="100" w:beforeAutospacing="1" w:after="100" w:afterAutospacing="1" w:line="240" w:lineRule="auto"/>
        <w:ind w:left="1440"/>
        <w:jc w:val="both"/>
        <w:rPr>
          <w:rFonts w:ascii="Arial" w:eastAsia="Times New Roman" w:hAnsi="Arial" w:cs="Arial"/>
          <w:kern w:val="0"/>
          <w:sz w:val="20"/>
          <w:szCs w:val="20"/>
          <w14:ligatures w14:val="none"/>
        </w:rPr>
      </w:pPr>
    </w:p>
    <w:p w14:paraId="430DE485" w14:textId="289CA0E2" w:rsidR="00AB7D52" w:rsidRPr="00A174C6" w:rsidRDefault="00AB7D52" w:rsidP="006104BF">
      <w:pPr>
        <w:pStyle w:val="ListParagraph"/>
        <w:numPr>
          <w:ilvl w:val="0"/>
          <w:numId w:val="4"/>
        </w:numPr>
        <w:spacing w:before="100" w:beforeAutospacing="1" w:after="100" w:afterAutospacing="1" w:line="240" w:lineRule="auto"/>
        <w:jc w:val="both"/>
        <w:rPr>
          <w:rFonts w:ascii="Arial" w:eastAsia="Times New Roman" w:hAnsi="Arial" w:cs="Arial"/>
          <w:b/>
          <w:bCs/>
          <w:kern w:val="0"/>
          <w:sz w:val="20"/>
          <w:szCs w:val="20"/>
          <w14:ligatures w14:val="none"/>
        </w:rPr>
      </w:pPr>
      <w:r w:rsidRPr="00A174C6">
        <w:rPr>
          <w:rFonts w:ascii="Arial" w:eastAsia="Times New Roman" w:hAnsi="Arial" w:cs="Arial"/>
          <w:b/>
          <w:bCs/>
          <w:kern w:val="0"/>
          <w:sz w:val="20"/>
          <w:szCs w:val="20"/>
          <w14:ligatures w14:val="none"/>
        </w:rPr>
        <w:t>Hydrological Modeling:</w:t>
      </w:r>
      <w:r w:rsidR="00794DC2" w:rsidRPr="00A174C6">
        <w:rPr>
          <w:rFonts w:ascii="Arial" w:eastAsia="Times New Roman" w:hAnsi="Arial" w:cs="Arial"/>
          <w:b/>
          <w:bCs/>
          <w:kern w:val="0"/>
          <w:sz w:val="20"/>
          <w:szCs w:val="20"/>
          <w14:ligatures w14:val="none"/>
        </w:rPr>
        <w:t xml:space="preserve"> </w:t>
      </w:r>
      <w:r w:rsidRPr="00A174C6">
        <w:rPr>
          <w:rFonts w:ascii="Arial" w:eastAsia="Times New Roman" w:hAnsi="Arial" w:cs="Arial"/>
          <w:kern w:val="0"/>
          <w:sz w:val="20"/>
          <w:szCs w:val="20"/>
          <w14:ligatures w14:val="none"/>
        </w:rPr>
        <w:t>For each of the case study area, we built an integrated hydrological model that considers the complex interaction between surface water and groundwater systems. The models used such climate change projection under multiple CMIP6 scenarios to simulate the future hydrological conditions. Also, we combined the water demand projections, based on socioeconomic trajectories to capture the projected change in population, land use and economic development. Models also evaluated the performance and resilience of the existing water infrastructure in different climatic conditions and they have given a sound basis for long term water resource planning.</w:t>
      </w:r>
    </w:p>
    <w:p w14:paraId="4DB53E02" w14:textId="77777777" w:rsidR="006E3A6C" w:rsidRPr="00A174C6" w:rsidRDefault="006E3A6C" w:rsidP="00614BE3">
      <w:pPr>
        <w:pStyle w:val="ListParagraph"/>
        <w:spacing w:before="100" w:beforeAutospacing="1" w:after="100" w:afterAutospacing="1" w:line="240" w:lineRule="auto"/>
        <w:jc w:val="both"/>
        <w:rPr>
          <w:rFonts w:ascii="Arial" w:eastAsia="Times New Roman" w:hAnsi="Arial" w:cs="Arial"/>
          <w:b/>
          <w:bCs/>
          <w:kern w:val="0"/>
          <w:sz w:val="20"/>
          <w:szCs w:val="20"/>
          <w14:ligatures w14:val="none"/>
        </w:rPr>
      </w:pPr>
    </w:p>
    <w:p w14:paraId="154B4E4B" w14:textId="19BC34CC" w:rsidR="007335FF" w:rsidRPr="00A174C6" w:rsidRDefault="00AB7D52" w:rsidP="006104BF">
      <w:pPr>
        <w:pStyle w:val="ListParagraph"/>
        <w:numPr>
          <w:ilvl w:val="0"/>
          <w:numId w:val="4"/>
        </w:numPr>
        <w:spacing w:before="100" w:beforeAutospacing="1" w:after="100" w:afterAutospacing="1" w:line="240" w:lineRule="auto"/>
        <w:jc w:val="both"/>
        <w:rPr>
          <w:rFonts w:ascii="Arial" w:eastAsia="Times New Roman" w:hAnsi="Arial" w:cs="Arial"/>
          <w:b/>
          <w:bCs/>
          <w:kern w:val="0"/>
          <w:sz w:val="20"/>
          <w:szCs w:val="20"/>
          <w14:ligatures w14:val="none"/>
        </w:rPr>
      </w:pPr>
      <w:r w:rsidRPr="00A174C6">
        <w:rPr>
          <w:rFonts w:ascii="Arial" w:eastAsia="Times New Roman" w:hAnsi="Arial" w:cs="Arial"/>
          <w:b/>
          <w:bCs/>
          <w:kern w:val="0"/>
          <w:sz w:val="20"/>
          <w:szCs w:val="20"/>
          <w14:ligatures w14:val="none"/>
        </w:rPr>
        <w:t>Economic Analysis:</w:t>
      </w:r>
      <w:r w:rsidR="00794DC2" w:rsidRPr="00A174C6">
        <w:rPr>
          <w:rFonts w:ascii="Arial" w:eastAsia="Times New Roman" w:hAnsi="Arial" w:cs="Arial"/>
          <w:b/>
          <w:bCs/>
          <w:kern w:val="0"/>
          <w:sz w:val="20"/>
          <w:szCs w:val="20"/>
          <w14:ligatures w14:val="none"/>
        </w:rPr>
        <w:t xml:space="preserve"> </w:t>
      </w:r>
      <w:r w:rsidRPr="00A174C6">
        <w:rPr>
          <w:rFonts w:ascii="Arial" w:eastAsia="Times New Roman" w:hAnsi="Arial" w:cs="Arial"/>
          <w:kern w:val="0"/>
          <w:sz w:val="20"/>
          <w:szCs w:val="20"/>
          <w14:ligatures w14:val="none"/>
        </w:rPr>
        <w:t xml:space="preserve">A fine-grained economic analysis was carried out for </w:t>
      </w:r>
      <w:r w:rsidR="006E3A6C" w:rsidRPr="00A174C6">
        <w:rPr>
          <w:rFonts w:ascii="Arial" w:eastAsia="Times New Roman" w:hAnsi="Arial" w:cs="Arial"/>
          <w:kern w:val="0"/>
          <w:sz w:val="20"/>
          <w:szCs w:val="20"/>
          <w14:ligatures w14:val="none"/>
        </w:rPr>
        <w:t>analyzing</w:t>
      </w:r>
      <w:r w:rsidRPr="00A174C6">
        <w:rPr>
          <w:rFonts w:ascii="Arial" w:eastAsia="Times New Roman" w:hAnsi="Arial" w:cs="Arial"/>
          <w:kern w:val="0"/>
          <w:sz w:val="20"/>
          <w:szCs w:val="20"/>
          <w14:ligatures w14:val="none"/>
        </w:rPr>
        <w:t xml:space="preserve"> the feasibility and equity of various water management options. Scenario-based assessments, analyzes of distributional effects among the groups of stakeholders, and models to make interventions financially sustainable were included in this analysis. Additionally, we estimated investment needs for each alternative, which could help the policymakers with meaningful allocation of resources, cost-effectiveness, and sustainability of water governance strategies in arid and semi-arid territories. </w:t>
      </w:r>
      <w:r w:rsidR="007335FF" w:rsidRPr="00A174C6">
        <w:rPr>
          <w:rFonts w:ascii="Arial" w:eastAsia="Times New Roman" w:hAnsi="Arial" w:cs="Arial"/>
          <w:kern w:val="0"/>
          <w:sz w:val="20"/>
          <w:szCs w:val="20"/>
          <w14:ligatures w14:val="none"/>
        </w:rPr>
        <w:t>These diverse data streams enabled comprehensive assessment of both biophysical and social dimensions of water governance, critical for developing truly integrated understanding of ASAR water challenges.</w:t>
      </w:r>
    </w:p>
    <w:p w14:paraId="0507576F" w14:textId="77777777" w:rsidR="007335FF" w:rsidRPr="002A2201" w:rsidRDefault="007335FF" w:rsidP="002A2201">
      <w:pPr>
        <w:pStyle w:val="Heading2"/>
        <w:rPr>
          <w:rFonts w:ascii="Arial" w:eastAsia="Times New Roman" w:hAnsi="Arial" w:cs="Arial"/>
          <w:b/>
          <w:bCs/>
          <w:color w:val="auto"/>
          <w:sz w:val="24"/>
          <w:szCs w:val="24"/>
        </w:rPr>
      </w:pPr>
      <w:r w:rsidRPr="002A2201">
        <w:rPr>
          <w:rFonts w:ascii="Arial" w:eastAsia="Times New Roman" w:hAnsi="Arial" w:cs="Arial"/>
          <w:b/>
          <w:bCs/>
          <w:color w:val="auto"/>
          <w:sz w:val="24"/>
          <w:szCs w:val="24"/>
        </w:rPr>
        <w:t>3.3 Analytical Framework</w:t>
      </w:r>
    </w:p>
    <w:p w14:paraId="05B1FC0B" w14:textId="7265D858" w:rsidR="007335FF" w:rsidRPr="00A174C6" w:rsidRDefault="007335FF" w:rsidP="00614BE3">
      <w:pPr>
        <w:spacing w:before="100" w:beforeAutospacing="1" w:after="100" w:afterAutospacing="1" w:line="240" w:lineRule="auto"/>
        <w:jc w:val="both"/>
        <w:rPr>
          <w:rFonts w:ascii="Arial" w:eastAsia="Times New Roman" w:hAnsi="Arial" w:cs="Arial"/>
          <w:kern w:val="0"/>
          <w:sz w:val="20"/>
          <w:szCs w:val="20"/>
          <w14:ligatures w14:val="none"/>
        </w:rPr>
      </w:pPr>
      <w:r w:rsidRPr="00A174C6">
        <w:rPr>
          <w:rFonts w:ascii="Arial" w:eastAsia="Times New Roman" w:hAnsi="Arial" w:cs="Arial"/>
          <w:kern w:val="0"/>
          <w:sz w:val="20"/>
          <w:szCs w:val="20"/>
          <w14:ligatures w14:val="none"/>
        </w:rPr>
        <w:t>Our analytical approach integrated quantitative and qualitative methods through a structured framework specifically designed to capture the complex, multidimensional nature of water governance in ASARs:</w:t>
      </w:r>
    </w:p>
    <w:p w14:paraId="3870B60D" w14:textId="4859E09E" w:rsidR="00AB7D52" w:rsidRPr="00A174C6" w:rsidRDefault="00AB7D52" w:rsidP="006104BF">
      <w:pPr>
        <w:pStyle w:val="ListParagraph"/>
        <w:numPr>
          <w:ilvl w:val="0"/>
          <w:numId w:val="9"/>
        </w:numPr>
        <w:spacing w:before="100" w:beforeAutospacing="1" w:after="100" w:afterAutospacing="1" w:line="240" w:lineRule="auto"/>
        <w:jc w:val="both"/>
        <w:rPr>
          <w:rFonts w:ascii="Arial" w:eastAsia="Times New Roman" w:hAnsi="Arial" w:cs="Arial"/>
          <w:kern w:val="0"/>
          <w:sz w:val="20"/>
          <w:szCs w:val="20"/>
          <w14:ligatures w14:val="none"/>
        </w:rPr>
      </w:pPr>
      <w:r w:rsidRPr="00A174C6">
        <w:rPr>
          <w:rFonts w:ascii="Arial" w:eastAsia="Times New Roman" w:hAnsi="Arial" w:cs="Arial"/>
          <w:b/>
          <w:bCs/>
          <w:kern w:val="0"/>
          <w:sz w:val="20"/>
          <w:szCs w:val="20"/>
          <w14:ligatures w14:val="none"/>
        </w:rPr>
        <w:t>Statistical Analysis of Framework Performance:</w:t>
      </w:r>
      <w:r w:rsidRPr="00A174C6">
        <w:rPr>
          <w:rFonts w:ascii="Arial" w:eastAsia="Times New Roman" w:hAnsi="Arial" w:cs="Arial"/>
          <w:kern w:val="0"/>
          <w:sz w:val="20"/>
          <w:szCs w:val="20"/>
          <w14:ligatures w14:val="none"/>
        </w:rPr>
        <w:t xml:space="preserve"> </w:t>
      </w:r>
      <w:r w:rsidR="006E3A6C" w:rsidRPr="00A174C6">
        <w:rPr>
          <w:rFonts w:ascii="Arial" w:eastAsia="Times New Roman" w:hAnsi="Arial" w:cs="Arial"/>
          <w:kern w:val="0"/>
          <w:sz w:val="20"/>
          <w:szCs w:val="20"/>
          <w14:ligatures w14:val="none"/>
        </w:rPr>
        <w:t>We applied multivariate regression modeling to determine relationships between framework characteristics and implementation outcomes. This comprehensive analysis included Principal Component Analysis to identify major aspects of the framework, followed by multiple regression to quantify relationships between framework elements and outcomes. We implemented Classification and Regression Tree (CART) analysis to determine critical thresholds and decision points within the implementation process. Additionally, we employed Structural Equation Modeling to account for both mediating and moderating effects in the complex relationships between variables, which provided insight into how different factors interact within the water management system.</w:t>
      </w:r>
    </w:p>
    <w:p w14:paraId="1BFE9D3C" w14:textId="77777777" w:rsidR="006E3A6C" w:rsidRPr="00A174C6" w:rsidRDefault="006E3A6C" w:rsidP="00614BE3">
      <w:pPr>
        <w:pStyle w:val="ListParagraph"/>
        <w:spacing w:before="100" w:beforeAutospacing="1" w:after="100" w:afterAutospacing="1" w:line="240" w:lineRule="auto"/>
        <w:jc w:val="both"/>
        <w:rPr>
          <w:rFonts w:ascii="Arial" w:eastAsia="Times New Roman" w:hAnsi="Arial" w:cs="Arial"/>
          <w:kern w:val="0"/>
          <w:sz w:val="20"/>
          <w:szCs w:val="20"/>
          <w14:ligatures w14:val="none"/>
        </w:rPr>
      </w:pPr>
    </w:p>
    <w:p w14:paraId="7782477C" w14:textId="77777777" w:rsidR="006E3A6C" w:rsidRPr="00A174C6" w:rsidRDefault="006E3A6C" w:rsidP="00614BE3">
      <w:pPr>
        <w:pStyle w:val="ListParagraph"/>
        <w:spacing w:before="100" w:beforeAutospacing="1" w:after="100" w:afterAutospacing="1" w:line="240" w:lineRule="auto"/>
        <w:jc w:val="both"/>
        <w:rPr>
          <w:rFonts w:ascii="Arial" w:eastAsia="Times New Roman" w:hAnsi="Arial" w:cs="Arial"/>
          <w:kern w:val="0"/>
          <w:sz w:val="20"/>
          <w:szCs w:val="20"/>
          <w14:ligatures w14:val="none"/>
        </w:rPr>
      </w:pPr>
    </w:p>
    <w:p w14:paraId="5B688493" w14:textId="081F2154" w:rsidR="00AB7D52" w:rsidRPr="00A174C6" w:rsidRDefault="00AB7D52" w:rsidP="002A2201">
      <w:pPr>
        <w:pStyle w:val="ListParagraph"/>
        <w:spacing w:before="100" w:beforeAutospacing="1" w:after="100" w:afterAutospacing="1" w:line="240" w:lineRule="auto"/>
        <w:ind w:left="0"/>
        <w:jc w:val="center"/>
        <w:rPr>
          <w:rFonts w:ascii="Arial" w:eastAsia="Times New Roman" w:hAnsi="Arial" w:cs="Arial"/>
          <w:kern w:val="0"/>
          <w:sz w:val="20"/>
          <w:szCs w:val="20"/>
          <w14:ligatures w14:val="none"/>
        </w:rPr>
      </w:pPr>
      <w:r w:rsidRPr="00A174C6">
        <w:rPr>
          <w:rFonts w:ascii="Arial" w:hAnsi="Arial" w:cs="Arial"/>
          <w:noProof/>
          <w:sz w:val="20"/>
          <w:szCs w:val="20"/>
        </w:rPr>
        <w:lastRenderedPageBreak/>
        <w:drawing>
          <wp:inline distT="0" distB="0" distL="0" distR="0" wp14:anchorId="34B4C34A" wp14:editId="0859A2E4">
            <wp:extent cx="3467100" cy="2484120"/>
            <wp:effectExtent l="0" t="0" r="0" b="0"/>
            <wp:docPr id="3" name="Picture 3"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tput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68526" cy="2485142"/>
                    </a:xfrm>
                    <a:prstGeom prst="rect">
                      <a:avLst/>
                    </a:prstGeom>
                    <a:noFill/>
                    <a:ln>
                      <a:noFill/>
                    </a:ln>
                  </pic:spPr>
                </pic:pic>
              </a:graphicData>
            </a:graphic>
          </wp:inline>
        </w:drawing>
      </w:r>
    </w:p>
    <w:p w14:paraId="3F136729" w14:textId="29D5BEB5" w:rsidR="007335FF" w:rsidRPr="002A2201" w:rsidRDefault="007335FF" w:rsidP="002A2201">
      <w:pPr>
        <w:spacing w:before="100" w:beforeAutospacing="1" w:after="100" w:afterAutospacing="1" w:line="240" w:lineRule="auto"/>
        <w:jc w:val="both"/>
        <w:rPr>
          <w:rFonts w:ascii="Arial" w:eastAsia="Times New Roman" w:hAnsi="Arial" w:cs="Arial"/>
          <w:kern w:val="0"/>
          <w:sz w:val="20"/>
          <w:szCs w:val="20"/>
          <w14:ligatures w14:val="none"/>
        </w:rPr>
      </w:pPr>
      <w:r w:rsidRPr="002A2201">
        <w:rPr>
          <w:rFonts w:ascii="Arial" w:eastAsia="Times New Roman" w:hAnsi="Arial" w:cs="Arial"/>
          <w:i/>
          <w:iCs/>
          <w:kern w:val="0"/>
          <w:sz w:val="20"/>
          <w:szCs w:val="20"/>
          <w14:ligatures w14:val="none"/>
        </w:rPr>
        <w:t>Figure 2: Structural equation model showing relationships between framework characteristics, implementation factors, contextual variables, and outcomes, with path coefficients and significance levels</w:t>
      </w:r>
    </w:p>
    <w:p w14:paraId="54445BD8" w14:textId="77777777" w:rsidR="006E3A6C" w:rsidRPr="00A174C6" w:rsidRDefault="006E3A6C" w:rsidP="00614BE3">
      <w:pPr>
        <w:pStyle w:val="ListParagraph"/>
        <w:spacing w:before="100" w:beforeAutospacing="1" w:after="100" w:afterAutospacing="1" w:line="240" w:lineRule="auto"/>
        <w:ind w:left="1440"/>
        <w:jc w:val="both"/>
        <w:rPr>
          <w:rFonts w:ascii="Arial" w:eastAsia="Times New Roman" w:hAnsi="Arial" w:cs="Arial"/>
          <w:kern w:val="0"/>
          <w:sz w:val="20"/>
          <w:szCs w:val="20"/>
          <w14:ligatures w14:val="none"/>
        </w:rPr>
      </w:pPr>
    </w:p>
    <w:p w14:paraId="138B5C1A" w14:textId="2A05C6F0" w:rsidR="00A97FFE" w:rsidRPr="00A174C6" w:rsidRDefault="007335FF" w:rsidP="006104BF">
      <w:pPr>
        <w:pStyle w:val="ListParagraph"/>
        <w:numPr>
          <w:ilvl w:val="0"/>
          <w:numId w:val="9"/>
        </w:numPr>
        <w:spacing w:before="100" w:beforeAutospacing="1" w:after="100" w:afterAutospacing="1" w:line="240" w:lineRule="auto"/>
        <w:jc w:val="both"/>
        <w:rPr>
          <w:rFonts w:ascii="Arial" w:eastAsia="Times New Roman" w:hAnsi="Arial" w:cs="Arial"/>
          <w:kern w:val="0"/>
          <w:sz w:val="20"/>
          <w:szCs w:val="20"/>
          <w14:ligatures w14:val="none"/>
        </w:rPr>
      </w:pPr>
      <w:r w:rsidRPr="00A174C6">
        <w:rPr>
          <w:rFonts w:ascii="Arial" w:eastAsia="Times New Roman" w:hAnsi="Arial" w:cs="Arial"/>
          <w:b/>
          <w:bCs/>
          <w:kern w:val="0"/>
          <w:sz w:val="20"/>
          <w:szCs w:val="20"/>
          <w14:ligatures w14:val="none"/>
        </w:rPr>
        <w:t>Process Tracing of Implementation Pathways</w:t>
      </w:r>
      <w:r w:rsidRPr="00A174C6">
        <w:rPr>
          <w:rFonts w:ascii="Arial" w:eastAsia="Times New Roman" w:hAnsi="Arial" w:cs="Arial"/>
          <w:kern w:val="0"/>
          <w:sz w:val="20"/>
          <w:szCs w:val="20"/>
          <w14:ligatures w14:val="none"/>
        </w:rPr>
        <w:t xml:space="preserve">: </w:t>
      </w:r>
      <w:r w:rsidR="006E3A6C" w:rsidRPr="00A174C6">
        <w:rPr>
          <w:rFonts w:ascii="Arial" w:eastAsia="Times New Roman" w:hAnsi="Arial" w:cs="Arial"/>
          <w:kern w:val="0"/>
          <w:sz w:val="20"/>
          <w:szCs w:val="20"/>
          <w14:ligatures w14:val="none"/>
        </w:rPr>
        <w:t>We employed process tracing methodologies to identify critical junctures, causal mechanisms, and implementation trajectories across diverse cases. This systematic approach included temporal sequence mapping to chart how events unfolded chronologically, causal process observation to identify key mechanisms driving changes, counterfactual analysis to explore alternative scenarios, and Bayesian updating of causal hypotheses to refine our understanding as new evidence emerged. This methodological approach allowed us to track how implementation decisions created path dependencies and influenced ultimate outcomes in various contexts.</w:t>
      </w:r>
    </w:p>
    <w:p w14:paraId="242A48D0" w14:textId="77777777" w:rsidR="006E3A6C" w:rsidRPr="00A174C6" w:rsidRDefault="006E3A6C" w:rsidP="00614BE3">
      <w:pPr>
        <w:pStyle w:val="ListParagraph"/>
        <w:spacing w:before="100" w:beforeAutospacing="1" w:after="100" w:afterAutospacing="1" w:line="240" w:lineRule="auto"/>
        <w:jc w:val="both"/>
        <w:rPr>
          <w:rFonts w:ascii="Arial" w:eastAsia="Times New Roman" w:hAnsi="Arial" w:cs="Arial"/>
          <w:kern w:val="0"/>
          <w:sz w:val="20"/>
          <w:szCs w:val="20"/>
          <w14:ligatures w14:val="none"/>
        </w:rPr>
      </w:pPr>
    </w:p>
    <w:p w14:paraId="4C193194" w14:textId="11E050C4" w:rsidR="006E3A6C" w:rsidRPr="00A174C6" w:rsidRDefault="006E3A6C" w:rsidP="006104BF">
      <w:pPr>
        <w:pStyle w:val="ListParagraph"/>
        <w:numPr>
          <w:ilvl w:val="0"/>
          <w:numId w:val="9"/>
        </w:numPr>
        <w:spacing w:before="100" w:beforeAutospacing="1" w:after="100" w:afterAutospacing="1" w:line="240" w:lineRule="auto"/>
        <w:jc w:val="both"/>
        <w:rPr>
          <w:rFonts w:ascii="Arial" w:eastAsia="Times New Roman" w:hAnsi="Arial" w:cs="Arial"/>
          <w:kern w:val="0"/>
          <w:sz w:val="20"/>
          <w:szCs w:val="20"/>
          <w14:ligatures w14:val="none"/>
        </w:rPr>
      </w:pPr>
      <w:r w:rsidRPr="00A174C6">
        <w:rPr>
          <w:rFonts w:ascii="Arial" w:eastAsia="Times New Roman" w:hAnsi="Arial" w:cs="Arial"/>
          <w:b/>
          <w:bCs/>
          <w:kern w:val="0"/>
          <w:sz w:val="20"/>
          <w:szCs w:val="20"/>
          <w14:ligatures w14:val="none"/>
        </w:rPr>
        <w:t>Comparative Case Analysis</w:t>
      </w:r>
      <w:r w:rsidRPr="00A174C6">
        <w:rPr>
          <w:rFonts w:ascii="Arial" w:eastAsia="Times New Roman" w:hAnsi="Arial" w:cs="Arial"/>
          <w:kern w:val="0"/>
          <w:sz w:val="20"/>
          <w:szCs w:val="20"/>
          <w14:ligatures w14:val="none"/>
        </w:rPr>
        <w:t>: We used structured comparative analysis to identify patterns across diverse ASAR contexts, employing several complementary techniques. Qualitative Comparative Analysis (QCA) helped identify necessary and sufficient conditions for successful outcomes, while cross-case pattern matching revealed commonalities across different implementations. We developed typological theories to categorize different approaches and their effectiveness, and conducted deviant case analysis to understand instances where outcomes differed from expectations, providing valuable insights into contextual factors that influence water management success.</w:t>
      </w:r>
    </w:p>
    <w:p w14:paraId="496EFF44" w14:textId="77777777" w:rsidR="006E3A6C" w:rsidRPr="00A174C6" w:rsidRDefault="006E3A6C" w:rsidP="00614BE3">
      <w:pPr>
        <w:pStyle w:val="ListParagraph"/>
        <w:jc w:val="both"/>
        <w:rPr>
          <w:rFonts w:ascii="Arial" w:eastAsia="Times New Roman" w:hAnsi="Arial" w:cs="Arial"/>
          <w:kern w:val="0"/>
          <w:sz w:val="20"/>
          <w:szCs w:val="20"/>
          <w14:ligatures w14:val="none"/>
        </w:rPr>
      </w:pPr>
    </w:p>
    <w:p w14:paraId="44CB61AD" w14:textId="77777777" w:rsidR="006E3A6C" w:rsidRPr="00A174C6" w:rsidRDefault="006E3A6C" w:rsidP="006E3A6C">
      <w:pPr>
        <w:pStyle w:val="ListParagraph"/>
        <w:spacing w:before="100" w:beforeAutospacing="1" w:after="100" w:afterAutospacing="1" w:line="240" w:lineRule="auto"/>
        <w:rPr>
          <w:rFonts w:ascii="Arial" w:eastAsia="Times New Roman" w:hAnsi="Arial" w:cs="Arial"/>
          <w:kern w:val="0"/>
          <w:sz w:val="20"/>
          <w:szCs w:val="20"/>
          <w14:ligatures w14:val="none"/>
        </w:rPr>
      </w:pPr>
    </w:p>
    <w:p w14:paraId="072042C4" w14:textId="331F4C48" w:rsidR="006E3A6C" w:rsidRPr="00A174C6" w:rsidRDefault="006E3A6C" w:rsidP="006104BF">
      <w:pPr>
        <w:pStyle w:val="ListParagraph"/>
        <w:numPr>
          <w:ilvl w:val="0"/>
          <w:numId w:val="9"/>
        </w:numPr>
        <w:spacing w:before="100" w:beforeAutospacing="1" w:after="100" w:afterAutospacing="1" w:line="240" w:lineRule="auto"/>
        <w:jc w:val="both"/>
        <w:rPr>
          <w:rFonts w:ascii="Arial" w:hAnsi="Arial" w:cs="Arial"/>
          <w:sz w:val="20"/>
          <w:szCs w:val="20"/>
        </w:rPr>
      </w:pPr>
      <w:r w:rsidRPr="00A174C6">
        <w:rPr>
          <w:rStyle w:val="Strong"/>
          <w:rFonts w:ascii="Arial" w:hAnsi="Arial" w:cs="Arial"/>
          <w:sz w:val="20"/>
          <w:szCs w:val="20"/>
        </w:rPr>
        <w:t>Geospatial Analysis</w:t>
      </w:r>
      <w:r w:rsidRPr="00A174C6">
        <w:rPr>
          <w:rFonts w:ascii="Arial" w:hAnsi="Arial" w:cs="Arial"/>
          <w:sz w:val="20"/>
          <w:szCs w:val="20"/>
        </w:rPr>
        <w:t>: We employed advanced geospatial techniques to analyze hydrological and land use patterns across the study regions. This included hotspot analysis of water stress indicators to identify areas of particular concern, time series analysis of land use transformation to track changes over the study period, spatial regression modeling to understand geographic determinants of outcomes, and cluster analysis of implementation patterns to identify spatial relationships in water management arrangement.</w:t>
      </w:r>
    </w:p>
    <w:p w14:paraId="55C06580" w14:textId="77777777" w:rsidR="006E3A6C" w:rsidRPr="00A174C6" w:rsidRDefault="006E3A6C" w:rsidP="006E3A6C">
      <w:pPr>
        <w:pStyle w:val="ListParagraph"/>
        <w:spacing w:before="100" w:beforeAutospacing="1" w:after="100" w:afterAutospacing="1" w:line="240" w:lineRule="auto"/>
        <w:jc w:val="both"/>
        <w:rPr>
          <w:rFonts w:ascii="Arial" w:hAnsi="Arial" w:cs="Arial"/>
          <w:sz w:val="20"/>
          <w:szCs w:val="20"/>
        </w:rPr>
      </w:pPr>
    </w:p>
    <w:p w14:paraId="720B89FA" w14:textId="56ADFE79" w:rsidR="00A97FFE" w:rsidRPr="00A174C6" w:rsidRDefault="00A97FFE" w:rsidP="006E3A6C">
      <w:pPr>
        <w:pStyle w:val="ListParagraph"/>
        <w:spacing w:before="100" w:beforeAutospacing="1" w:after="100" w:afterAutospacing="1" w:line="240" w:lineRule="auto"/>
        <w:jc w:val="center"/>
        <w:rPr>
          <w:rFonts w:ascii="Arial" w:hAnsi="Arial" w:cs="Arial"/>
          <w:sz w:val="20"/>
          <w:szCs w:val="20"/>
        </w:rPr>
      </w:pPr>
      <w:r w:rsidRPr="00A174C6">
        <w:rPr>
          <w:rFonts w:ascii="Arial" w:hAnsi="Arial" w:cs="Arial"/>
          <w:noProof/>
          <w:sz w:val="20"/>
          <w:szCs w:val="20"/>
        </w:rPr>
        <w:lastRenderedPageBreak/>
        <w:drawing>
          <wp:inline distT="0" distB="0" distL="0" distR="0" wp14:anchorId="2776C60A" wp14:editId="2F247024">
            <wp:extent cx="3559817" cy="3297014"/>
            <wp:effectExtent l="0" t="0" r="2540" b="0"/>
            <wp:docPr id="4" name="Picture 4"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utput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1142" cy="3316765"/>
                    </a:xfrm>
                    <a:prstGeom prst="rect">
                      <a:avLst/>
                    </a:prstGeom>
                    <a:noFill/>
                    <a:ln>
                      <a:noFill/>
                    </a:ln>
                  </pic:spPr>
                </pic:pic>
              </a:graphicData>
            </a:graphic>
          </wp:inline>
        </w:drawing>
      </w:r>
    </w:p>
    <w:p w14:paraId="35377BDB" w14:textId="5E9FA8CF" w:rsidR="007335FF" w:rsidRPr="00A174C6" w:rsidRDefault="007335FF" w:rsidP="006E3A6C">
      <w:pPr>
        <w:pStyle w:val="ListParagraph"/>
        <w:spacing w:before="100" w:beforeAutospacing="1" w:after="100" w:afterAutospacing="1" w:line="240" w:lineRule="auto"/>
        <w:ind w:left="1440"/>
        <w:rPr>
          <w:rFonts w:ascii="Arial" w:eastAsia="Times New Roman" w:hAnsi="Arial" w:cs="Arial"/>
          <w:i/>
          <w:iCs/>
          <w:kern w:val="0"/>
          <w:sz w:val="20"/>
          <w:szCs w:val="20"/>
          <w14:ligatures w14:val="none"/>
        </w:rPr>
      </w:pPr>
      <w:r w:rsidRPr="00A174C6">
        <w:rPr>
          <w:rFonts w:ascii="Arial" w:eastAsia="Times New Roman" w:hAnsi="Arial" w:cs="Arial"/>
          <w:i/>
          <w:iCs/>
          <w:kern w:val="0"/>
          <w:sz w:val="20"/>
          <w:szCs w:val="20"/>
          <w14:ligatures w14:val="none"/>
        </w:rPr>
        <w:t>Figure 3: Multi-panel geospatial visualization showing: (a) Groundwater depletion hotspots, (b) Climate vulnerability indices, (c) Implementation intensity distribution, and (d) Institutional capacity mapping</w:t>
      </w:r>
    </w:p>
    <w:p w14:paraId="708FF025" w14:textId="77777777" w:rsidR="006E3A6C" w:rsidRPr="00A174C6" w:rsidRDefault="006E3A6C" w:rsidP="006E3A6C">
      <w:pPr>
        <w:pStyle w:val="ListParagraph"/>
        <w:spacing w:before="100" w:beforeAutospacing="1" w:after="100" w:afterAutospacing="1" w:line="240" w:lineRule="auto"/>
        <w:ind w:left="1440"/>
        <w:rPr>
          <w:rFonts w:ascii="Arial" w:eastAsia="Times New Roman" w:hAnsi="Arial" w:cs="Arial"/>
          <w:kern w:val="0"/>
          <w:sz w:val="20"/>
          <w:szCs w:val="20"/>
          <w14:ligatures w14:val="none"/>
        </w:rPr>
      </w:pPr>
    </w:p>
    <w:p w14:paraId="25E6A37B" w14:textId="228B4B01" w:rsidR="006E3A6C" w:rsidRPr="00A174C6" w:rsidRDefault="006E3A6C" w:rsidP="006104BF">
      <w:pPr>
        <w:pStyle w:val="ListParagraph"/>
        <w:numPr>
          <w:ilvl w:val="0"/>
          <w:numId w:val="9"/>
        </w:numPr>
        <w:spacing w:before="100" w:beforeAutospacing="1" w:after="100" w:afterAutospacing="1" w:line="240" w:lineRule="auto"/>
        <w:jc w:val="both"/>
        <w:rPr>
          <w:rFonts w:ascii="Arial" w:eastAsia="Times New Roman" w:hAnsi="Arial" w:cs="Arial"/>
          <w:kern w:val="0"/>
          <w:sz w:val="20"/>
          <w:szCs w:val="20"/>
          <w14:ligatures w14:val="none"/>
        </w:rPr>
      </w:pPr>
      <w:r w:rsidRPr="00A174C6">
        <w:rPr>
          <w:rFonts w:ascii="Arial" w:eastAsia="Times New Roman" w:hAnsi="Arial" w:cs="Arial"/>
          <w:kern w:val="0"/>
          <w:sz w:val="20"/>
          <w:szCs w:val="20"/>
          <w14:ligatures w14:val="none"/>
        </w:rPr>
        <w:t xml:space="preserve"> </w:t>
      </w:r>
      <w:r w:rsidRPr="00A174C6">
        <w:rPr>
          <w:rFonts w:ascii="Arial" w:eastAsia="Times New Roman" w:hAnsi="Arial" w:cs="Arial"/>
          <w:b/>
          <w:bCs/>
          <w:kern w:val="0"/>
          <w:sz w:val="20"/>
          <w:szCs w:val="20"/>
          <w14:ligatures w14:val="none"/>
        </w:rPr>
        <w:t>Scenario Development:</w:t>
      </w:r>
      <w:r w:rsidRPr="00A174C6">
        <w:rPr>
          <w:rFonts w:ascii="Arial" w:eastAsia="Times New Roman" w:hAnsi="Arial" w:cs="Arial"/>
          <w:kern w:val="0"/>
          <w:sz w:val="20"/>
          <w:szCs w:val="20"/>
          <w14:ligatures w14:val="none"/>
        </w:rPr>
        <w:t xml:space="preserve"> We used participatory scenario development to explore system behavior under alternative climate and development trajectories. This forward-looking approach included structured scenario construction with stakeholder input to ensure relevance, quantitative modeling of scenario implications to understand potential impacts, robust option identification across scenarios to determine strategies that would perform well under various conditions, and adaptive pathway mapping to chart flexible implementation routes. This integrated analytical approach enabled systematic assessment of water governance challenges while accommodating the contextual complexity and data limitations characteristic of ASARs.</w:t>
      </w:r>
    </w:p>
    <w:p w14:paraId="2B39DF20" w14:textId="1DB78E9B" w:rsidR="007335FF" w:rsidRPr="00A174C6" w:rsidRDefault="007335FF" w:rsidP="00614BE3">
      <w:pPr>
        <w:spacing w:before="100" w:beforeAutospacing="1" w:after="100" w:afterAutospacing="1" w:line="240" w:lineRule="auto"/>
        <w:jc w:val="both"/>
        <w:rPr>
          <w:rFonts w:ascii="Arial" w:eastAsia="Times New Roman" w:hAnsi="Arial" w:cs="Arial"/>
          <w:kern w:val="0"/>
          <w:sz w:val="20"/>
          <w:szCs w:val="20"/>
          <w14:ligatures w14:val="none"/>
        </w:rPr>
      </w:pPr>
      <w:r w:rsidRPr="00A174C6">
        <w:rPr>
          <w:rFonts w:ascii="Arial" w:eastAsia="Times New Roman" w:hAnsi="Arial" w:cs="Arial"/>
          <w:kern w:val="0"/>
          <w:sz w:val="20"/>
          <w:szCs w:val="20"/>
          <w14:ligatures w14:val="none"/>
        </w:rPr>
        <w:t>This integrated analytical approach enabled systematic assessment of water governance challenges while accommodating the contextual complexity and data limitations characteristic of ASARs.</w:t>
      </w:r>
    </w:p>
    <w:p w14:paraId="663192E2" w14:textId="77777777" w:rsidR="007335FF" w:rsidRPr="002A2201" w:rsidRDefault="007335FF" w:rsidP="002A2201">
      <w:pPr>
        <w:pStyle w:val="Heading2"/>
        <w:spacing w:before="0" w:after="0"/>
        <w:rPr>
          <w:rFonts w:ascii="Arial" w:eastAsia="Times New Roman" w:hAnsi="Arial" w:cs="Arial"/>
          <w:b/>
          <w:bCs/>
          <w:color w:val="auto"/>
          <w:sz w:val="24"/>
          <w:szCs w:val="24"/>
        </w:rPr>
      </w:pPr>
      <w:r w:rsidRPr="002A2201">
        <w:rPr>
          <w:rFonts w:ascii="Arial" w:eastAsia="Times New Roman" w:hAnsi="Arial" w:cs="Arial"/>
          <w:b/>
          <w:bCs/>
          <w:color w:val="auto"/>
          <w:sz w:val="24"/>
          <w:szCs w:val="24"/>
        </w:rPr>
        <w:t>3.4 Framework Development Methodology</w:t>
      </w:r>
    </w:p>
    <w:p w14:paraId="750E357A" w14:textId="77777777" w:rsidR="00614BE3" w:rsidRPr="00A174C6" w:rsidRDefault="00614BE3" w:rsidP="002A2201">
      <w:pPr>
        <w:spacing w:after="0" w:line="240" w:lineRule="auto"/>
        <w:jc w:val="both"/>
        <w:rPr>
          <w:rFonts w:ascii="Arial" w:eastAsia="Times New Roman" w:hAnsi="Arial" w:cs="Arial"/>
          <w:kern w:val="0"/>
          <w:sz w:val="20"/>
          <w:szCs w:val="20"/>
          <w14:ligatures w14:val="none"/>
        </w:rPr>
      </w:pPr>
      <w:r w:rsidRPr="00A174C6">
        <w:rPr>
          <w:rFonts w:ascii="Arial" w:eastAsia="Times New Roman" w:hAnsi="Arial" w:cs="Arial"/>
          <w:kern w:val="0"/>
          <w:sz w:val="20"/>
          <w:szCs w:val="20"/>
          <w14:ligatures w14:val="none"/>
        </w:rPr>
        <w:t>The development of our Climate-Adaptive Water Security Framework followed a methodical, iterative process beginning with conceptual framework design grounded in theoretical development and analysis of existing framework limitations in ASAR contexts. This foundation was then refined through structured feedback from a diverse expert panel (n=38) representing multiple disciplines including hydrology, institutional economics, implementation science, climate adaptation, and regional specialists. The process continued with comprehensive indicator development and testing, which encompassed creating detailed indicator definitions and measurement protocols, assessing data availability across diverse ASAR contexts, conducting statistical tests for validity, reliability, and sensitivity, and field testing in four ASAR locations. Framework validation occurred through retrospective application to historical cases, evaluating its predictive power and explanatory value, and was completed with prospective application in four current water management contexts to assess practical utility and implementation requirements.</w:t>
      </w:r>
    </w:p>
    <w:p w14:paraId="1731FEC3" w14:textId="77777777" w:rsidR="00A97FFE" w:rsidRPr="00A174C6" w:rsidRDefault="00A97FFE" w:rsidP="00A97FFE">
      <w:pPr>
        <w:spacing w:before="100" w:beforeAutospacing="1" w:after="100" w:afterAutospacing="1" w:line="240" w:lineRule="auto"/>
        <w:ind w:left="720"/>
        <w:rPr>
          <w:rFonts w:ascii="Arial" w:eastAsia="Times New Roman" w:hAnsi="Arial" w:cs="Arial"/>
          <w:b/>
          <w:bCs/>
          <w:kern w:val="0"/>
          <w:sz w:val="20"/>
          <w:szCs w:val="20"/>
          <w14:ligatures w14:val="none"/>
        </w:rPr>
      </w:pPr>
    </w:p>
    <w:p w14:paraId="1F1C73A1" w14:textId="1CAEA76D" w:rsidR="00A97FFE" w:rsidRPr="00A174C6" w:rsidRDefault="003D17FC" w:rsidP="00A97FFE">
      <w:pPr>
        <w:spacing w:before="100" w:beforeAutospacing="1" w:after="100" w:afterAutospacing="1" w:line="240" w:lineRule="auto"/>
        <w:ind w:left="720"/>
        <w:rPr>
          <w:rFonts w:ascii="Arial" w:eastAsia="Times New Roman" w:hAnsi="Arial" w:cs="Arial"/>
          <w:kern w:val="0"/>
          <w:sz w:val="20"/>
          <w:szCs w:val="20"/>
          <w14:ligatures w14:val="none"/>
        </w:rPr>
      </w:pPr>
      <w:r w:rsidRPr="00A174C6">
        <w:rPr>
          <w:rFonts w:ascii="Arial" w:eastAsia="Times New Roman" w:hAnsi="Arial" w:cs="Arial"/>
          <w:noProof/>
          <w:kern w:val="0"/>
          <w:sz w:val="20"/>
          <w:szCs w:val="20"/>
          <w14:ligatures w14:val="none"/>
        </w:rPr>
        <w:lastRenderedPageBreak/>
        <w:drawing>
          <wp:inline distT="0" distB="0" distL="0" distR="0" wp14:anchorId="7359CBD3" wp14:editId="5A2ADE2B">
            <wp:extent cx="4521941" cy="3369716"/>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28461" cy="3374575"/>
                    </a:xfrm>
                    <a:prstGeom prst="rect">
                      <a:avLst/>
                    </a:prstGeom>
                  </pic:spPr>
                </pic:pic>
              </a:graphicData>
            </a:graphic>
          </wp:inline>
        </w:drawing>
      </w:r>
    </w:p>
    <w:p w14:paraId="6D1C162D" w14:textId="352E95F9" w:rsidR="007335FF" w:rsidRPr="00A174C6" w:rsidRDefault="007335FF" w:rsidP="007335FF">
      <w:pPr>
        <w:spacing w:before="100" w:beforeAutospacing="1" w:after="100" w:afterAutospacing="1" w:line="240" w:lineRule="auto"/>
        <w:ind w:left="720"/>
        <w:rPr>
          <w:rFonts w:ascii="Arial" w:eastAsia="Times New Roman" w:hAnsi="Arial" w:cs="Arial"/>
          <w:kern w:val="0"/>
          <w:sz w:val="20"/>
          <w:szCs w:val="20"/>
          <w14:ligatures w14:val="none"/>
        </w:rPr>
      </w:pPr>
      <w:r w:rsidRPr="00A174C6">
        <w:rPr>
          <w:rFonts w:ascii="Arial" w:eastAsia="Times New Roman" w:hAnsi="Arial" w:cs="Arial"/>
          <w:i/>
          <w:iCs/>
          <w:kern w:val="0"/>
          <w:sz w:val="20"/>
          <w:szCs w:val="20"/>
          <w14:ligatures w14:val="none"/>
        </w:rPr>
        <w:t>Figure 4: Framework development process visualization showing iterative refinement cycles, feedback integration points, and validation stages</w:t>
      </w:r>
    </w:p>
    <w:p w14:paraId="698B9E47" w14:textId="77777777" w:rsidR="007335FF" w:rsidRPr="00A174C6" w:rsidRDefault="007335FF" w:rsidP="007335FF">
      <w:pPr>
        <w:spacing w:before="100" w:beforeAutospacing="1" w:after="100" w:afterAutospacing="1" w:line="240" w:lineRule="auto"/>
        <w:rPr>
          <w:rFonts w:ascii="Arial" w:eastAsia="Times New Roman" w:hAnsi="Arial" w:cs="Arial"/>
          <w:kern w:val="0"/>
          <w:sz w:val="20"/>
          <w:szCs w:val="20"/>
          <w14:ligatures w14:val="none"/>
        </w:rPr>
      </w:pPr>
      <w:r w:rsidRPr="00A174C6">
        <w:rPr>
          <w:rFonts w:ascii="Arial" w:eastAsia="Times New Roman" w:hAnsi="Arial" w:cs="Arial"/>
          <w:kern w:val="0"/>
          <w:sz w:val="20"/>
          <w:szCs w:val="20"/>
          <w14:ligatures w14:val="none"/>
        </w:rPr>
        <w:t>This methodologically rigorous development process ensured the resulting framework addresses the specific limitations identified in existing approaches while maintaining practical applicability in resource-constrained ASAR contexts.</w:t>
      </w:r>
    </w:p>
    <w:p w14:paraId="2C43F338" w14:textId="54836AE7" w:rsidR="007335FF" w:rsidRPr="002A2201" w:rsidRDefault="00A174C6" w:rsidP="002A2201">
      <w:pPr>
        <w:pStyle w:val="Heading1"/>
        <w:rPr>
          <w:rFonts w:ascii="Arial" w:eastAsia="Times New Roman" w:hAnsi="Arial" w:cs="Arial"/>
          <w:b/>
          <w:bCs/>
          <w:color w:val="auto"/>
          <w:sz w:val="24"/>
          <w:szCs w:val="24"/>
        </w:rPr>
      </w:pPr>
      <w:r w:rsidRPr="002A2201">
        <w:rPr>
          <w:rFonts w:ascii="Arial" w:eastAsia="Times New Roman" w:hAnsi="Arial" w:cs="Arial"/>
          <w:b/>
          <w:bCs/>
          <w:color w:val="auto"/>
          <w:sz w:val="24"/>
          <w:szCs w:val="24"/>
        </w:rPr>
        <w:t>4. RESULTS</w:t>
      </w:r>
    </w:p>
    <w:p w14:paraId="45D674A0" w14:textId="77777777" w:rsidR="007335FF" w:rsidRPr="002A2201" w:rsidRDefault="007335FF" w:rsidP="002A2201">
      <w:pPr>
        <w:pStyle w:val="Heading2"/>
        <w:spacing w:before="0" w:after="0"/>
        <w:rPr>
          <w:rFonts w:ascii="Arial" w:eastAsia="Times New Roman" w:hAnsi="Arial" w:cs="Arial"/>
          <w:color w:val="auto"/>
          <w:sz w:val="24"/>
          <w:szCs w:val="24"/>
        </w:rPr>
      </w:pPr>
      <w:r w:rsidRPr="002A2201">
        <w:rPr>
          <w:rFonts w:ascii="Arial" w:eastAsia="Times New Roman" w:hAnsi="Arial" w:cs="Arial"/>
          <w:color w:val="auto"/>
          <w:sz w:val="24"/>
          <w:szCs w:val="24"/>
        </w:rPr>
        <w:t>4.1 Fundamental Limitations of Conventional Frameworks</w:t>
      </w:r>
    </w:p>
    <w:p w14:paraId="402ADAFE" w14:textId="0BE7B17E" w:rsidR="00F41EEE" w:rsidRPr="00A174C6" w:rsidRDefault="00F41EEE" w:rsidP="002A2201">
      <w:pPr>
        <w:spacing w:after="0" w:line="240" w:lineRule="auto"/>
        <w:jc w:val="both"/>
        <w:rPr>
          <w:rFonts w:ascii="Arial" w:eastAsia="Times New Roman" w:hAnsi="Arial" w:cs="Arial"/>
          <w:kern w:val="0"/>
          <w:sz w:val="20"/>
          <w:szCs w:val="20"/>
          <w14:ligatures w14:val="none"/>
        </w:rPr>
      </w:pPr>
      <w:r w:rsidRPr="00A174C6">
        <w:rPr>
          <w:rFonts w:ascii="Arial" w:eastAsia="Times New Roman" w:hAnsi="Arial" w:cs="Arial"/>
          <w:kern w:val="0"/>
          <w:sz w:val="20"/>
          <w:szCs w:val="20"/>
          <w14:ligatures w14:val="none"/>
        </w:rPr>
        <w:t xml:space="preserve">In our analysis of 17 extant Sustainable Water Resources Management Assessment Frameworks (SWRM-AFs), we identified central limitations in their application to ASAR contexts. Statistical modeling of framework performance across 147 implementation cases revealed that standard frameworks account for only 26% (R²=0.26; </w:t>
      </w:r>
      <w:r w:rsidR="00D638E1" w:rsidRPr="00A174C6">
        <w:rPr>
          <w:rFonts w:ascii="Arial" w:eastAsia="Times New Roman" w:hAnsi="Arial" w:cs="Arial"/>
          <w:kern w:val="0"/>
          <w:sz w:val="20"/>
          <w:szCs w:val="20"/>
          <w14:ligatures w14:val="none"/>
        </w:rPr>
        <w:t>F (12,134) =</w:t>
      </w:r>
      <w:r w:rsidRPr="00A174C6">
        <w:rPr>
          <w:rFonts w:ascii="Arial" w:eastAsia="Times New Roman" w:hAnsi="Arial" w:cs="Arial"/>
          <w:kern w:val="0"/>
          <w:sz w:val="20"/>
          <w:szCs w:val="20"/>
          <w14:ligatures w14:val="none"/>
        </w:rPr>
        <w:t xml:space="preserve">3.92, p&lt;0.001) of variance in arid contexts compared to 64% in humid regions. Our comprehensive analysis identified five determinant limitations that systematically undermine the effectiveness of conventional frameworks in ASARs. </w:t>
      </w:r>
      <w:r w:rsidRPr="00A174C6">
        <w:rPr>
          <w:rFonts w:ascii="Arial" w:eastAsia="Times New Roman" w:hAnsi="Arial" w:cs="Arial"/>
          <w:b/>
          <w:bCs/>
          <w:kern w:val="0"/>
          <w:sz w:val="20"/>
          <w:szCs w:val="20"/>
          <w14:ligatures w14:val="none"/>
        </w:rPr>
        <w:t>Failure to Account for Extreme Variability</w:t>
      </w:r>
      <w:r w:rsidRPr="00A174C6">
        <w:rPr>
          <w:rFonts w:ascii="Arial" w:eastAsia="Times New Roman" w:hAnsi="Arial" w:cs="Arial"/>
          <w:kern w:val="0"/>
          <w:sz w:val="20"/>
          <w:szCs w:val="20"/>
          <w14:ligatures w14:val="none"/>
        </w:rPr>
        <w:t xml:space="preserve"> is evident as conventional frameworks emphasize performance under average conditions, while our statistical analysis shows that in ASARs, extreme events explain 3.7 times more outcome variance than average conditions. Although 82% of frameworks include mean water availability indicators, only 23% incorporate measures of system performance under extreme drought or flood conditions. </w:t>
      </w:r>
      <w:r w:rsidRPr="00A174C6">
        <w:rPr>
          <w:rFonts w:ascii="Arial" w:eastAsia="Times New Roman" w:hAnsi="Arial" w:cs="Arial"/>
          <w:b/>
          <w:bCs/>
          <w:kern w:val="0"/>
          <w:sz w:val="20"/>
          <w:szCs w:val="20"/>
          <w14:ligatures w14:val="none"/>
        </w:rPr>
        <w:t>Inadequate Treatment of Non-Conventional Water Resources</w:t>
      </w:r>
      <w:r w:rsidRPr="00A174C6">
        <w:rPr>
          <w:rFonts w:ascii="Arial" w:eastAsia="Times New Roman" w:hAnsi="Arial" w:cs="Arial"/>
          <w:kern w:val="0"/>
          <w:sz w:val="20"/>
          <w:szCs w:val="20"/>
          <w14:ligatures w14:val="none"/>
        </w:rPr>
        <w:t xml:space="preserve"> represents another critical limitation, as despite constituting 38-72% of water supply in many ASAR communities, non-conventional resources (desalination, water reuse, rainwater harvesting) receive insufficient attention, with only 29% of frameworks including specific indicators for these resources, accounting for just 4.6% of total indicator weight on average. </w:t>
      </w:r>
      <w:r w:rsidRPr="00A174C6">
        <w:rPr>
          <w:rFonts w:ascii="Arial" w:eastAsia="Times New Roman" w:hAnsi="Arial" w:cs="Arial"/>
          <w:b/>
          <w:bCs/>
          <w:kern w:val="0"/>
          <w:sz w:val="20"/>
          <w:szCs w:val="20"/>
          <w14:ligatures w14:val="none"/>
        </w:rPr>
        <w:t>Neglect of Implementation Processes</w:t>
      </w:r>
      <w:r w:rsidRPr="00A174C6">
        <w:rPr>
          <w:rFonts w:ascii="Arial" w:eastAsia="Times New Roman" w:hAnsi="Arial" w:cs="Arial"/>
          <w:kern w:val="0"/>
          <w:sz w:val="20"/>
          <w:szCs w:val="20"/>
          <w14:ligatures w14:val="none"/>
        </w:rPr>
        <w:t xml:space="preserve"> is demonstrated by the overwhelming emphasis on technical design and resource conditions, with minimal attention to implementation processes that determine actual outcomes. These implementation quality factors explain 46% of outcome variance in our statistical model but receive only 12% of indicator weight in conventional frameworks. </w:t>
      </w:r>
      <w:r w:rsidRPr="00A174C6">
        <w:rPr>
          <w:rFonts w:ascii="Arial" w:eastAsia="Times New Roman" w:hAnsi="Arial" w:cs="Arial"/>
          <w:b/>
          <w:bCs/>
          <w:kern w:val="0"/>
          <w:sz w:val="20"/>
          <w:szCs w:val="20"/>
          <w14:ligatures w14:val="none"/>
        </w:rPr>
        <w:t>Misalignment with Institutional Realities</w:t>
      </w:r>
      <w:r w:rsidRPr="00A174C6">
        <w:rPr>
          <w:rFonts w:ascii="Arial" w:eastAsia="Times New Roman" w:hAnsi="Arial" w:cs="Arial"/>
          <w:kern w:val="0"/>
          <w:sz w:val="20"/>
          <w:szCs w:val="20"/>
          <w14:ligatures w14:val="none"/>
        </w:rPr>
        <w:t xml:space="preserve"> occurs as conventional frameworks presume institutional arrangements derived from humid region experiences—centralized authority, formal governance, sector-based organization—that fundamentally conflict with ASAR contexts. Our Institutional Congruence Index shows 76% of framework requirements conflict with </w:t>
      </w:r>
      <w:r w:rsidRPr="00A174C6">
        <w:rPr>
          <w:rFonts w:ascii="Arial" w:eastAsia="Times New Roman" w:hAnsi="Arial" w:cs="Arial"/>
          <w:kern w:val="0"/>
          <w:sz w:val="20"/>
          <w:szCs w:val="20"/>
          <w14:ligatures w14:val="none"/>
        </w:rPr>
        <w:lastRenderedPageBreak/>
        <w:t xml:space="preserve">existing institutional arrangements in ASAR case studies. Finally, </w:t>
      </w:r>
      <w:r w:rsidRPr="00A174C6">
        <w:rPr>
          <w:rFonts w:ascii="Arial" w:eastAsia="Times New Roman" w:hAnsi="Arial" w:cs="Arial"/>
          <w:b/>
          <w:bCs/>
          <w:kern w:val="0"/>
          <w:sz w:val="20"/>
          <w:szCs w:val="20"/>
          <w14:ligatures w14:val="none"/>
        </w:rPr>
        <w:t>Static Conceptualization of Sustainability</w:t>
      </w:r>
      <w:r w:rsidRPr="00A174C6">
        <w:rPr>
          <w:rFonts w:ascii="Arial" w:eastAsia="Times New Roman" w:hAnsi="Arial" w:cs="Arial"/>
          <w:kern w:val="0"/>
          <w:sz w:val="20"/>
          <w:szCs w:val="20"/>
          <w14:ligatures w14:val="none"/>
        </w:rPr>
        <w:t xml:space="preserve"> poses a significant limitation as traditional frameworks conceptualize sustainability as maintaining specific resource conditions rather than preserving critical functionalities across changing conditions, resulting in catastrophic failure under climate change, with 87% of frameworks lacking indicators addressing climate adaptation capacity.</w:t>
      </w:r>
    </w:p>
    <w:p w14:paraId="2811B887" w14:textId="77777777" w:rsidR="00C43024" w:rsidRPr="00A174C6" w:rsidRDefault="00C43024" w:rsidP="00C43024">
      <w:pPr>
        <w:spacing w:before="100" w:beforeAutospacing="1" w:after="100" w:afterAutospacing="1" w:line="240" w:lineRule="auto"/>
        <w:rPr>
          <w:rFonts w:ascii="Arial" w:eastAsia="Times New Roman" w:hAnsi="Arial" w:cs="Arial"/>
          <w:kern w:val="0"/>
          <w:sz w:val="20"/>
          <w:szCs w:val="20"/>
          <w14:ligatures w14:val="none"/>
        </w:rPr>
      </w:pPr>
    </w:p>
    <w:p w14:paraId="5D4657E1" w14:textId="77777777" w:rsidR="00C43024" w:rsidRPr="00A174C6" w:rsidRDefault="00C43024" w:rsidP="00C43024">
      <w:pPr>
        <w:spacing w:before="100" w:beforeAutospacing="1" w:after="100" w:afterAutospacing="1" w:line="240" w:lineRule="auto"/>
        <w:rPr>
          <w:rFonts w:ascii="Arial" w:eastAsia="Times New Roman" w:hAnsi="Arial" w:cs="Arial"/>
          <w:kern w:val="0"/>
          <w:sz w:val="20"/>
          <w:szCs w:val="20"/>
          <w14:ligatures w14:val="none"/>
        </w:rPr>
      </w:pPr>
    </w:p>
    <w:p w14:paraId="77A18017" w14:textId="26FE008A" w:rsidR="00C43024" w:rsidRPr="00A174C6" w:rsidRDefault="00C43024" w:rsidP="00C43024">
      <w:pPr>
        <w:spacing w:before="100" w:beforeAutospacing="1" w:after="100" w:afterAutospacing="1" w:line="240" w:lineRule="auto"/>
        <w:jc w:val="center"/>
        <w:rPr>
          <w:rFonts w:ascii="Arial" w:eastAsia="Times New Roman" w:hAnsi="Arial" w:cs="Arial"/>
          <w:kern w:val="0"/>
          <w:sz w:val="20"/>
          <w:szCs w:val="20"/>
          <w14:ligatures w14:val="none"/>
        </w:rPr>
      </w:pPr>
      <w:r w:rsidRPr="00A174C6">
        <w:rPr>
          <w:rFonts w:ascii="Arial" w:hAnsi="Arial" w:cs="Arial"/>
          <w:noProof/>
          <w:sz w:val="20"/>
          <w:szCs w:val="20"/>
        </w:rPr>
        <w:drawing>
          <wp:inline distT="0" distB="0" distL="0" distR="0" wp14:anchorId="24F40BEC" wp14:editId="68F3F6D9">
            <wp:extent cx="3283831" cy="3283831"/>
            <wp:effectExtent l="0" t="0" r="0" b="0"/>
            <wp:docPr id="8" name="Picture 8"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enerated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00795" cy="3300795"/>
                    </a:xfrm>
                    <a:prstGeom prst="rect">
                      <a:avLst/>
                    </a:prstGeom>
                    <a:noFill/>
                    <a:ln>
                      <a:noFill/>
                    </a:ln>
                  </pic:spPr>
                </pic:pic>
              </a:graphicData>
            </a:graphic>
          </wp:inline>
        </w:drawing>
      </w:r>
    </w:p>
    <w:p w14:paraId="57116E11" w14:textId="58A0BAF9" w:rsidR="007335FF" w:rsidRPr="00A174C6" w:rsidRDefault="007335FF" w:rsidP="00C43024">
      <w:pPr>
        <w:spacing w:before="100" w:beforeAutospacing="1" w:after="100" w:afterAutospacing="1" w:line="240" w:lineRule="auto"/>
        <w:jc w:val="both"/>
        <w:rPr>
          <w:rFonts w:ascii="Arial" w:eastAsia="Times New Roman" w:hAnsi="Arial" w:cs="Arial"/>
          <w:kern w:val="0"/>
          <w:sz w:val="20"/>
          <w:szCs w:val="20"/>
          <w14:ligatures w14:val="none"/>
        </w:rPr>
      </w:pPr>
      <w:r w:rsidRPr="00A174C6">
        <w:rPr>
          <w:rFonts w:ascii="Arial" w:eastAsia="Times New Roman" w:hAnsi="Arial" w:cs="Arial"/>
          <w:i/>
          <w:iCs/>
          <w:kern w:val="0"/>
          <w:sz w:val="20"/>
          <w:szCs w:val="20"/>
          <w14:ligatures w14:val="none"/>
        </w:rPr>
        <w:t>Figure 5: Spider diagram comparing conventional framework coverage against critical ASAR water management dimensions, showing significant gaps in variability management, non-conventional resources, implementation processes, institutional alignment, and climate adaptivity</w:t>
      </w:r>
      <w:r w:rsidR="003D17FC" w:rsidRPr="00A174C6">
        <w:rPr>
          <w:rFonts w:ascii="Arial" w:eastAsia="Times New Roman" w:hAnsi="Arial" w:cs="Arial"/>
          <w:i/>
          <w:iCs/>
          <w:kern w:val="0"/>
          <w:sz w:val="20"/>
          <w:szCs w:val="20"/>
          <w14:ligatures w14:val="none"/>
        </w:rPr>
        <w:t>.</w:t>
      </w:r>
    </w:p>
    <w:p w14:paraId="52B86E4C" w14:textId="6C7CC0A6" w:rsidR="007335FF" w:rsidRPr="002A2201" w:rsidRDefault="007335FF" w:rsidP="002A2201">
      <w:pPr>
        <w:pStyle w:val="Heading2"/>
        <w:spacing w:before="0" w:after="0"/>
        <w:rPr>
          <w:rFonts w:ascii="Arial" w:eastAsia="Times New Roman" w:hAnsi="Arial" w:cs="Arial"/>
          <w:b/>
          <w:bCs/>
          <w:color w:val="auto"/>
          <w:sz w:val="24"/>
          <w:szCs w:val="24"/>
        </w:rPr>
      </w:pPr>
      <w:r w:rsidRPr="002A2201">
        <w:rPr>
          <w:rFonts w:ascii="Arial" w:eastAsia="Times New Roman" w:hAnsi="Arial" w:cs="Arial"/>
          <w:b/>
          <w:bCs/>
          <w:color w:val="auto"/>
          <w:sz w:val="24"/>
          <w:szCs w:val="24"/>
        </w:rPr>
        <w:t>4.2 Determinants of Water Governance Outcomes in ASARs</w:t>
      </w:r>
    </w:p>
    <w:p w14:paraId="438BFD2F" w14:textId="77777777" w:rsidR="00C43024" w:rsidRPr="00A174C6" w:rsidRDefault="00C43024" w:rsidP="002A2201">
      <w:pPr>
        <w:spacing w:after="0" w:line="240" w:lineRule="auto"/>
        <w:jc w:val="both"/>
        <w:rPr>
          <w:rFonts w:ascii="Arial" w:eastAsia="Times New Roman" w:hAnsi="Arial" w:cs="Arial"/>
          <w:kern w:val="0"/>
          <w:sz w:val="20"/>
          <w:szCs w:val="20"/>
          <w14:ligatures w14:val="none"/>
        </w:rPr>
      </w:pPr>
      <w:r w:rsidRPr="00A174C6">
        <w:rPr>
          <w:rFonts w:ascii="Arial" w:eastAsia="Times New Roman" w:hAnsi="Arial" w:cs="Arial"/>
          <w:kern w:val="0"/>
          <w:sz w:val="20"/>
          <w:szCs w:val="20"/>
          <w14:ligatures w14:val="none"/>
        </w:rPr>
        <w:t xml:space="preserve">Through a comprehensive statistical analysis, we are able to point out a different set of factors that determine water governance results in ASARs, sharply different from humid regions’ success factors. 5 factors are found by multiplicate regression analysis of implementation outcomes against 37 possible determinants to account for 78% of outcome variance (R²=0.78, </w:t>
      </w:r>
      <w:proofErr w:type="gramStart"/>
      <w:r w:rsidRPr="00A174C6">
        <w:rPr>
          <w:rFonts w:ascii="Arial" w:eastAsia="Times New Roman" w:hAnsi="Arial" w:cs="Arial"/>
          <w:kern w:val="0"/>
          <w:sz w:val="20"/>
          <w:szCs w:val="20"/>
          <w14:ligatures w14:val="none"/>
        </w:rPr>
        <w:t>F(</w:t>
      </w:r>
      <w:proofErr w:type="gramEnd"/>
      <w:r w:rsidRPr="00A174C6">
        <w:rPr>
          <w:rFonts w:ascii="Arial" w:eastAsia="Times New Roman" w:hAnsi="Arial" w:cs="Arial"/>
          <w:kern w:val="0"/>
          <w:sz w:val="20"/>
          <w:szCs w:val="20"/>
          <w14:ligatures w14:val="none"/>
        </w:rPr>
        <w:t>5,141)=27.4, p&lt;0.001):</w:t>
      </w:r>
    </w:p>
    <w:p w14:paraId="3A9CAD56" w14:textId="4463CBBD" w:rsidR="007335FF" w:rsidRPr="00A174C6" w:rsidRDefault="007335FF" w:rsidP="006104BF">
      <w:pPr>
        <w:numPr>
          <w:ilvl w:val="0"/>
          <w:numId w:val="5"/>
        </w:numPr>
        <w:spacing w:before="100" w:beforeAutospacing="1" w:after="100" w:afterAutospacing="1" w:line="240" w:lineRule="auto"/>
        <w:jc w:val="both"/>
        <w:rPr>
          <w:rFonts w:ascii="Arial" w:eastAsia="Times New Roman" w:hAnsi="Arial" w:cs="Arial"/>
          <w:kern w:val="0"/>
          <w:sz w:val="20"/>
          <w:szCs w:val="20"/>
          <w14:ligatures w14:val="none"/>
        </w:rPr>
      </w:pPr>
      <w:r w:rsidRPr="00A174C6">
        <w:rPr>
          <w:rFonts w:ascii="Arial" w:eastAsia="Times New Roman" w:hAnsi="Arial" w:cs="Arial"/>
          <w:b/>
          <w:bCs/>
          <w:kern w:val="0"/>
          <w:sz w:val="20"/>
          <w:szCs w:val="20"/>
          <w14:ligatures w14:val="none"/>
        </w:rPr>
        <w:t>Institutional Adaptive Capacity</w:t>
      </w:r>
      <w:r w:rsidRPr="00A174C6">
        <w:rPr>
          <w:rFonts w:ascii="Arial" w:eastAsia="Times New Roman" w:hAnsi="Arial" w:cs="Arial"/>
          <w:kern w:val="0"/>
          <w:sz w:val="20"/>
          <w:szCs w:val="20"/>
          <w14:ligatures w14:val="none"/>
        </w:rPr>
        <w:t xml:space="preserve"> (β=0.42, p&lt;0.001): The ability of governance arrangements to detect changing conditions and modify rules, procedures, and structures accordingly emerges as the strongest predictor of successful outcomes, explaining 31% of unique variance.</w:t>
      </w:r>
    </w:p>
    <w:p w14:paraId="27B29928" w14:textId="77777777" w:rsidR="007335FF" w:rsidRPr="00A174C6" w:rsidRDefault="007335FF" w:rsidP="006104BF">
      <w:pPr>
        <w:numPr>
          <w:ilvl w:val="0"/>
          <w:numId w:val="5"/>
        </w:numPr>
        <w:spacing w:before="100" w:beforeAutospacing="1" w:after="100" w:afterAutospacing="1" w:line="240" w:lineRule="auto"/>
        <w:jc w:val="both"/>
        <w:rPr>
          <w:rFonts w:ascii="Arial" w:eastAsia="Times New Roman" w:hAnsi="Arial" w:cs="Arial"/>
          <w:kern w:val="0"/>
          <w:sz w:val="20"/>
          <w:szCs w:val="20"/>
          <w14:ligatures w14:val="none"/>
        </w:rPr>
      </w:pPr>
      <w:r w:rsidRPr="00A174C6">
        <w:rPr>
          <w:rFonts w:ascii="Arial" w:eastAsia="Times New Roman" w:hAnsi="Arial" w:cs="Arial"/>
          <w:b/>
          <w:bCs/>
          <w:kern w:val="0"/>
          <w:sz w:val="20"/>
          <w:szCs w:val="20"/>
          <w14:ligatures w14:val="none"/>
        </w:rPr>
        <w:t>Implementation Process Quality</w:t>
      </w:r>
      <w:r w:rsidRPr="00A174C6">
        <w:rPr>
          <w:rFonts w:ascii="Arial" w:eastAsia="Times New Roman" w:hAnsi="Arial" w:cs="Arial"/>
          <w:kern w:val="0"/>
          <w:sz w:val="20"/>
          <w:szCs w:val="20"/>
          <w14:ligatures w14:val="none"/>
        </w:rPr>
        <w:t xml:space="preserve"> (β=0.38, p&lt;0.001): The effectiveness of implementation processes—including stakeholder engagement, adaptive management, and learning mechanisms—explains 27% of unique variance, with implementation quality more predictive than technical design (β=0.17, p&lt;0.05).</w:t>
      </w:r>
    </w:p>
    <w:p w14:paraId="09AA5001" w14:textId="77777777" w:rsidR="007335FF" w:rsidRPr="00A174C6" w:rsidRDefault="007335FF" w:rsidP="006104BF">
      <w:pPr>
        <w:numPr>
          <w:ilvl w:val="0"/>
          <w:numId w:val="5"/>
        </w:numPr>
        <w:spacing w:before="100" w:beforeAutospacing="1" w:after="100" w:afterAutospacing="1" w:line="240" w:lineRule="auto"/>
        <w:jc w:val="both"/>
        <w:rPr>
          <w:rFonts w:ascii="Arial" w:eastAsia="Times New Roman" w:hAnsi="Arial" w:cs="Arial"/>
          <w:kern w:val="0"/>
          <w:sz w:val="20"/>
          <w:szCs w:val="20"/>
          <w14:ligatures w14:val="none"/>
        </w:rPr>
      </w:pPr>
      <w:r w:rsidRPr="00A174C6">
        <w:rPr>
          <w:rFonts w:ascii="Arial" w:eastAsia="Times New Roman" w:hAnsi="Arial" w:cs="Arial"/>
          <w:b/>
          <w:bCs/>
          <w:kern w:val="0"/>
          <w:sz w:val="20"/>
          <w:szCs w:val="20"/>
          <w14:ligatures w14:val="none"/>
        </w:rPr>
        <w:t>Resource Portfolio Diversity</w:t>
      </w:r>
      <w:r w:rsidRPr="00A174C6">
        <w:rPr>
          <w:rFonts w:ascii="Arial" w:eastAsia="Times New Roman" w:hAnsi="Arial" w:cs="Arial"/>
          <w:kern w:val="0"/>
          <w:sz w:val="20"/>
          <w:szCs w:val="20"/>
          <w14:ligatures w14:val="none"/>
        </w:rPr>
        <w:t xml:space="preserve"> (β=0.36, p&lt;0.001): Water systems integrating diverse resource types (conventional and non-conventional) demonstrate significantly greater resilience under stress </w:t>
      </w:r>
      <w:r w:rsidRPr="00A174C6">
        <w:rPr>
          <w:rFonts w:ascii="Arial" w:eastAsia="Times New Roman" w:hAnsi="Arial" w:cs="Arial"/>
          <w:kern w:val="0"/>
          <w:sz w:val="20"/>
          <w:szCs w:val="20"/>
          <w14:ligatures w14:val="none"/>
        </w:rPr>
        <w:lastRenderedPageBreak/>
        <w:t>conditions. Each additional resource type in the portfolio correlates with a 23% reduction in system failure probability under drought conditions.</w:t>
      </w:r>
    </w:p>
    <w:p w14:paraId="65CBD9E1" w14:textId="77777777" w:rsidR="007335FF" w:rsidRPr="00A174C6" w:rsidRDefault="007335FF" w:rsidP="006104BF">
      <w:pPr>
        <w:numPr>
          <w:ilvl w:val="0"/>
          <w:numId w:val="5"/>
        </w:numPr>
        <w:spacing w:before="100" w:beforeAutospacing="1" w:after="100" w:afterAutospacing="1" w:line="240" w:lineRule="auto"/>
        <w:jc w:val="both"/>
        <w:rPr>
          <w:rFonts w:ascii="Arial" w:eastAsia="Times New Roman" w:hAnsi="Arial" w:cs="Arial"/>
          <w:kern w:val="0"/>
          <w:sz w:val="20"/>
          <w:szCs w:val="20"/>
          <w14:ligatures w14:val="none"/>
        </w:rPr>
      </w:pPr>
      <w:r w:rsidRPr="00A174C6">
        <w:rPr>
          <w:rFonts w:ascii="Arial" w:eastAsia="Times New Roman" w:hAnsi="Arial" w:cs="Arial"/>
          <w:b/>
          <w:bCs/>
          <w:kern w:val="0"/>
          <w:sz w:val="20"/>
          <w:szCs w:val="20"/>
          <w14:ligatures w14:val="none"/>
        </w:rPr>
        <w:t>Climate Adaptation Integration</w:t>
      </w:r>
      <w:r w:rsidRPr="00A174C6">
        <w:rPr>
          <w:rFonts w:ascii="Arial" w:eastAsia="Times New Roman" w:hAnsi="Arial" w:cs="Arial"/>
          <w:kern w:val="0"/>
          <w:sz w:val="20"/>
          <w:szCs w:val="20"/>
          <w14:ligatures w14:val="none"/>
        </w:rPr>
        <w:t xml:space="preserve"> (β=0.33, p&lt;0.001): The degree to which climate adaptation is integrated into water governance—through specific planning processes, monitoring systems, and decision rules—strongly predicts system resilience under climate variability.</w:t>
      </w:r>
    </w:p>
    <w:p w14:paraId="58726A53" w14:textId="77777777" w:rsidR="007335FF" w:rsidRPr="00A174C6" w:rsidRDefault="007335FF" w:rsidP="006104BF">
      <w:pPr>
        <w:numPr>
          <w:ilvl w:val="0"/>
          <w:numId w:val="5"/>
        </w:numPr>
        <w:spacing w:before="100" w:beforeAutospacing="1" w:after="100" w:afterAutospacing="1" w:line="240" w:lineRule="auto"/>
        <w:jc w:val="both"/>
        <w:rPr>
          <w:rFonts w:ascii="Arial" w:eastAsia="Times New Roman" w:hAnsi="Arial" w:cs="Arial"/>
          <w:kern w:val="0"/>
          <w:sz w:val="20"/>
          <w:szCs w:val="20"/>
          <w14:ligatures w14:val="none"/>
        </w:rPr>
      </w:pPr>
      <w:r w:rsidRPr="00A174C6">
        <w:rPr>
          <w:rFonts w:ascii="Arial" w:eastAsia="Times New Roman" w:hAnsi="Arial" w:cs="Arial"/>
          <w:b/>
          <w:bCs/>
          <w:kern w:val="0"/>
          <w:sz w:val="20"/>
          <w:szCs w:val="20"/>
          <w14:ligatures w14:val="none"/>
        </w:rPr>
        <w:t>Cross-Scale Linkages</w:t>
      </w:r>
      <w:r w:rsidRPr="00A174C6">
        <w:rPr>
          <w:rFonts w:ascii="Arial" w:eastAsia="Times New Roman" w:hAnsi="Arial" w:cs="Arial"/>
          <w:kern w:val="0"/>
          <w:sz w:val="20"/>
          <w:szCs w:val="20"/>
          <w14:ligatures w14:val="none"/>
        </w:rPr>
        <w:t xml:space="preserve"> (β=0.29, p&lt;0.001): The presence of effective coordination mechanisms connecting governance across scales (local to transboundary) significantly enhances adaptive capacity and implementation effectiveness.</w:t>
      </w:r>
    </w:p>
    <w:p w14:paraId="3865C6F9" w14:textId="77777777" w:rsidR="007335FF" w:rsidRPr="00A174C6" w:rsidRDefault="007335FF" w:rsidP="003D17FC">
      <w:pPr>
        <w:spacing w:before="100" w:beforeAutospacing="1" w:after="100" w:afterAutospacing="1" w:line="240" w:lineRule="auto"/>
        <w:jc w:val="both"/>
        <w:rPr>
          <w:rFonts w:ascii="Arial" w:eastAsia="Times New Roman" w:hAnsi="Arial" w:cs="Arial"/>
          <w:kern w:val="0"/>
          <w:sz w:val="20"/>
          <w:szCs w:val="20"/>
          <w14:ligatures w14:val="none"/>
        </w:rPr>
      </w:pPr>
      <w:r w:rsidRPr="00A174C6">
        <w:rPr>
          <w:rFonts w:ascii="Arial" w:eastAsia="Times New Roman" w:hAnsi="Arial" w:cs="Arial"/>
          <w:kern w:val="0"/>
          <w:sz w:val="20"/>
          <w:szCs w:val="20"/>
          <w14:ligatures w14:val="none"/>
        </w:rPr>
        <w:t>Notably, factors traditionally emphasized in water management—infrastructure investment (β=0.14, p=0.07), hydrological knowledge (β=0.11, p=0.12), and technical efficiency (β=0.09, p=0.18)—show weak or non-significant relationships with outcomes when controlling for the five primary factors identified above.</w:t>
      </w:r>
    </w:p>
    <w:p w14:paraId="0C7B267C" w14:textId="708156ED" w:rsidR="00C43024" w:rsidRPr="00A174C6" w:rsidRDefault="00C43024" w:rsidP="00C43024">
      <w:pPr>
        <w:spacing w:before="100" w:beforeAutospacing="1" w:after="100" w:afterAutospacing="1" w:line="240" w:lineRule="auto"/>
        <w:jc w:val="center"/>
        <w:rPr>
          <w:rFonts w:ascii="Arial" w:eastAsia="Times New Roman" w:hAnsi="Arial" w:cs="Arial"/>
          <w:kern w:val="0"/>
          <w:sz w:val="20"/>
          <w:szCs w:val="20"/>
          <w14:ligatures w14:val="none"/>
        </w:rPr>
      </w:pPr>
      <w:r w:rsidRPr="00A174C6">
        <w:rPr>
          <w:rFonts w:ascii="Arial" w:hAnsi="Arial" w:cs="Arial"/>
          <w:noProof/>
          <w:sz w:val="20"/>
          <w:szCs w:val="20"/>
        </w:rPr>
        <w:drawing>
          <wp:inline distT="0" distB="0" distL="0" distR="0" wp14:anchorId="209A23C0" wp14:editId="46B504F9">
            <wp:extent cx="2521009" cy="3782389"/>
            <wp:effectExtent l="0" t="0" r="0" b="8890"/>
            <wp:docPr id="9" name="Picture 9"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enerated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7719" cy="3792457"/>
                    </a:xfrm>
                    <a:prstGeom prst="rect">
                      <a:avLst/>
                    </a:prstGeom>
                    <a:noFill/>
                    <a:ln>
                      <a:noFill/>
                    </a:ln>
                  </pic:spPr>
                </pic:pic>
              </a:graphicData>
            </a:graphic>
          </wp:inline>
        </w:drawing>
      </w:r>
    </w:p>
    <w:p w14:paraId="338F099C" w14:textId="0EAC5664" w:rsidR="007335FF" w:rsidRPr="00A174C6" w:rsidRDefault="007335FF" w:rsidP="007335FF">
      <w:pPr>
        <w:spacing w:before="100" w:beforeAutospacing="1" w:after="100" w:afterAutospacing="1" w:line="240" w:lineRule="auto"/>
        <w:rPr>
          <w:rFonts w:ascii="Arial" w:eastAsia="Times New Roman" w:hAnsi="Arial" w:cs="Arial"/>
          <w:kern w:val="0"/>
          <w:sz w:val="20"/>
          <w:szCs w:val="20"/>
          <w14:ligatures w14:val="none"/>
        </w:rPr>
      </w:pPr>
      <w:r w:rsidRPr="00A174C6">
        <w:rPr>
          <w:rFonts w:ascii="Arial" w:eastAsia="Times New Roman" w:hAnsi="Arial" w:cs="Arial"/>
          <w:i/>
          <w:iCs/>
          <w:kern w:val="0"/>
          <w:sz w:val="20"/>
          <w:szCs w:val="20"/>
          <w14:ligatures w14:val="none"/>
        </w:rPr>
        <w:t>Figure 6: Path analysis diagram showing direct and indirect effects of key determinants on water governance outcomes in ASARs, with standardized coefficients and significance levels</w:t>
      </w:r>
    </w:p>
    <w:p w14:paraId="117086A2" w14:textId="77777777" w:rsidR="007335FF" w:rsidRPr="002A2201" w:rsidRDefault="007335FF" w:rsidP="002A2201">
      <w:pPr>
        <w:pStyle w:val="Heading2"/>
        <w:spacing w:before="0" w:after="0"/>
        <w:rPr>
          <w:rFonts w:ascii="Arial" w:eastAsia="Times New Roman" w:hAnsi="Arial" w:cs="Arial"/>
          <w:b/>
          <w:bCs/>
          <w:color w:val="auto"/>
          <w:sz w:val="24"/>
          <w:szCs w:val="24"/>
        </w:rPr>
      </w:pPr>
      <w:r w:rsidRPr="002A2201">
        <w:rPr>
          <w:rFonts w:ascii="Arial" w:eastAsia="Times New Roman" w:hAnsi="Arial" w:cs="Arial"/>
          <w:b/>
          <w:bCs/>
          <w:color w:val="auto"/>
          <w:sz w:val="24"/>
          <w:szCs w:val="24"/>
        </w:rPr>
        <w:t>4.3 Case Study Patterns and Success Factors</w:t>
      </w:r>
    </w:p>
    <w:p w14:paraId="7B5C71FB" w14:textId="77777777" w:rsidR="00F41EEE" w:rsidRPr="00A174C6" w:rsidRDefault="00F41EEE" w:rsidP="00F41EEE">
      <w:pPr>
        <w:spacing w:before="100" w:beforeAutospacing="1" w:after="100" w:afterAutospacing="1" w:line="240" w:lineRule="auto"/>
        <w:jc w:val="both"/>
        <w:rPr>
          <w:rFonts w:ascii="Arial" w:eastAsia="Times New Roman" w:hAnsi="Arial" w:cs="Arial"/>
          <w:kern w:val="0"/>
          <w:sz w:val="20"/>
          <w:szCs w:val="20"/>
          <w14:ligatures w14:val="none"/>
        </w:rPr>
      </w:pPr>
      <w:r w:rsidRPr="00A174C6">
        <w:rPr>
          <w:rFonts w:ascii="Arial" w:eastAsia="Times New Roman" w:hAnsi="Arial" w:cs="Arial"/>
          <w:kern w:val="0"/>
          <w:sz w:val="20"/>
          <w:szCs w:val="20"/>
          <w14:ligatures w14:val="none"/>
        </w:rPr>
        <w:t>Our longitudinal case study of three disparate ASAR cases –North-West Sahara Aquifer System, Okavango Delta and Kachchh Peninsula—revealed distinctive patterns of success and failure in water governance arrangements under climate stress. Through comparative analysis using Qualitative Comparative Analysis (QCA), we identified three distinct pathways to successful water governance in ASARs, each representing different configurations of key success factors.</w:t>
      </w:r>
    </w:p>
    <w:p w14:paraId="248D9914" w14:textId="77777777" w:rsidR="00F41EEE" w:rsidRPr="00A174C6" w:rsidRDefault="00F41EEE" w:rsidP="00F41EEE">
      <w:pPr>
        <w:spacing w:before="100" w:beforeAutospacing="1" w:after="100" w:afterAutospacing="1" w:line="240" w:lineRule="auto"/>
        <w:jc w:val="both"/>
        <w:rPr>
          <w:rFonts w:ascii="Arial" w:eastAsia="Times New Roman" w:hAnsi="Arial" w:cs="Arial"/>
          <w:kern w:val="0"/>
          <w:sz w:val="20"/>
          <w:szCs w:val="20"/>
          <w14:ligatures w14:val="none"/>
        </w:rPr>
      </w:pPr>
      <w:r w:rsidRPr="00A174C6">
        <w:rPr>
          <w:rFonts w:ascii="Arial" w:eastAsia="Times New Roman" w:hAnsi="Arial" w:cs="Arial"/>
          <w:kern w:val="0"/>
          <w:sz w:val="20"/>
          <w:szCs w:val="20"/>
          <w14:ligatures w14:val="none"/>
        </w:rPr>
        <w:t xml:space="preserve">The Technical-Institutional Integration Pathway, exemplified by specific interventions in the NWSAS, is characterized by advanced modeling capabilities combined with flexible institutional structures and benefit-sharing mechanisms. This approach proves effective in transboundary groundwater contexts where formal </w:t>
      </w:r>
      <w:r w:rsidRPr="00A174C6">
        <w:rPr>
          <w:rFonts w:ascii="Arial" w:eastAsia="Times New Roman" w:hAnsi="Arial" w:cs="Arial"/>
          <w:kern w:val="0"/>
          <w:sz w:val="20"/>
          <w:szCs w:val="20"/>
          <w14:ligatures w14:val="none"/>
        </w:rPr>
        <w:lastRenderedPageBreak/>
        <w:t>authority is fragmented, yet technical cooperation provides a foundation for more comprehensive collaborative efforts. The Adaptive Ecosystem Management Pathway, illustrated by approaches in the Okavango Delta, features ecosystem-based adaptation, robust monitoring systems, and multi-level governance arrangements. This pathway is particularly suitable in situations where surface water systems face climate variability and competing demands necessitate transparent decision-making processes. The Community-Based Resilience Pathway, demonstrated by initiatives in the Kachchh Peninsula, is distinguished by strong local governance structures and integration of traditional knowledge with diversified resource portfolios. This approach proves effective in areas with minimal external support but abundant social capital and adaptation experience.</w:t>
      </w:r>
    </w:p>
    <w:p w14:paraId="67366782" w14:textId="77777777" w:rsidR="00F41EEE" w:rsidRPr="00A174C6" w:rsidRDefault="00F41EEE" w:rsidP="00F41EEE">
      <w:pPr>
        <w:spacing w:before="100" w:beforeAutospacing="1" w:after="100" w:afterAutospacing="1" w:line="240" w:lineRule="auto"/>
        <w:jc w:val="both"/>
        <w:rPr>
          <w:rFonts w:ascii="Arial" w:eastAsia="Times New Roman" w:hAnsi="Arial" w:cs="Arial"/>
          <w:kern w:val="0"/>
          <w:sz w:val="20"/>
          <w:szCs w:val="20"/>
          <w14:ligatures w14:val="none"/>
        </w:rPr>
      </w:pPr>
      <w:r w:rsidRPr="00A174C6">
        <w:rPr>
          <w:rFonts w:ascii="Arial" w:eastAsia="Times New Roman" w:hAnsi="Arial" w:cs="Arial"/>
          <w:kern w:val="0"/>
          <w:sz w:val="20"/>
          <w:szCs w:val="20"/>
          <w14:ligatures w14:val="none"/>
        </w:rPr>
        <w:t>Further analysis through cross-case pattern examination revealed four critical transition points where minor interventions produced significant effects on system trajectories. Systems that successfully linked monitoring information with decision processes demonstrated adaptation rates 3.2 times higher under stress conditions. Governance arrangements showing alignment between management authority and impact responsibility experienced 2.8 times fewer implementation failures. Systems with formal procedures for integrating diverse knowledge streams (scientific, traditional, practitioner) exhibited 3.7 times higher innovation rates during stress periods and anchored themselves differently compared to other systems. Finally, financial mechanisms directly coupled with ecological objectives demonstrated 2.5 times greater resource sustainability. These findings highlight how specific governance features can significantly influence adaptive capacity in water-stressed regions.</w:t>
      </w:r>
    </w:p>
    <w:p w14:paraId="6562DACD" w14:textId="4DEFA6DD" w:rsidR="00CF40CB" w:rsidRPr="00A174C6" w:rsidRDefault="00CF40CB" w:rsidP="00CF40CB">
      <w:pPr>
        <w:spacing w:before="100" w:beforeAutospacing="1" w:after="100" w:afterAutospacing="1" w:line="240" w:lineRule="auto"/>
        <w:jc w:val="center"/>
        <w:rPr>
          <w:rFonts w:ascii="Arial" w:eastAsia="Times New Roman" w:hAnsi="Arial" w:cs="Arial"/>
          <w:kern w:val="0"/>
          <w:sz w:val="20"/>
          <w:szCs w:val="20"/>
          <w14:ligatures w14:val="none"/>
        </w:rPr>
      </w:pPr>
      <w:r w:rsidRPr="00A174C6">
        <w:rPr>
          <w:rFonts w:ascii="Arial" w:hAnsi="Arial" w:cs="Arial"/>
          <w:noProof/>
          <w:sz w:val="20"/>
          <w:szCs w:val="20"/>
        </w:rPr>
        <w:drawing>
          <wp:inline distT="0" distB="0" distL="0" distR="0" wp14:anchorId="099B1761" wp14:editId="32EE3AC3">
            <wp:extent cx="3500424" cy="3500424"/>
            <wp:effectExtent l="0" t="0" r="5080" b="5080"/>
            <wp:docPr id="10" name="Picture 10"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enerat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10304" cy="3510304"/>
                    </a:xfrm>
                    <a:prstGeom prst="rect">
                      <a:avLst/>
                    </a:prstGeom>
                    <a:noFill/>
                    <a:ln>
                      <a:noFill/>
                    </a:ln>
                  </pic:spPr>
                </pic:pic>
              </a:graphicData>
            </a:graphic>
          </wp:inline>
        </w:drawing>
      </w:r>
    </w:p>
    <w:p w14:paraId="278AB76D" w14:textId="71FE8C15" w:rsidR="007335FF" w:rsidRPr="00A174C6" w:rsidRDefault="007335FF" w:rsidP="00CF40CB">
      <w:pPr>
        <w:spacing w:before="100" w:beforeAutospacing="1" w:after="100" w:afterAutospacing="1" w:line="240" w:lineRule="auto"/>
        <w:rPr>
          <w:rFonts w:ascii="Arial" w:eastAsia="Times New Roman" w:hAnsi="Arial" w:cs="Arial"/>
          <w:kern w:val="0"/>
          <w:sz w:val="20"/>
          <w:szCs w:val="20"/>
          <w14:ligatures w14:val="none"/>
        </w:rPr>
      </w:pPr>
      <w:r w:rsidRPr="00A174C6">
        <w:rPr>
          <w:rFonts w:ascii="Arial" w:eastAsia="Times New Roman" w:hAnsi="Arial" w:cs="Arial"/>
          <w:i/>
          <w:iCs/>
          <w:kern w:val="0"/>
          <w:sz w:val="20"/>
          <w:szCs w:val="20"/>
          <w14:ligatures w14:val="none"/>
        </w:rPr>
        <w:t>Figure 7: Comparative visualization of case study trajectories showing adaptation pathways, critical junctures, and intervention impacts across the three regional cases</w:t>
      </w:r>
    </w:p>
    <w:p w14:paraId="0FABA079" w14:textId="77777777" w:rsidR="007335FF" w:rsidRPr="00FE483B" w:rsidRDefault="007335FF" w:rsidP="002A2201">
      <w:pPr>
        <w:pStyle w:val="Heading2"/>
        <w:spacing w:before="0" w:after="0" w:line="240" w:lineRule="auto"/>
        <w:rPr>
          <w:rFonts w:ascii="Arial" w:eastAsia="Times New Roman" w:hAnsi="Arial" w:cs="Arial"/>
          <w:b/>
          <w:bCs/>
          <w:color w:val="auto"/>
          <w:sz w:val="22"/>
          <w:szCs w:val="22"/>
        </w:rPr>
      </w:pPr>
      <w:r w:rsidRPr="00FE483B">
        <w:rPr>
          <w:rFonts w:ascii="Arial" w:eastAsia="Times New Roman" w:hAnsi="Arial" w:cs="Arial"/>
          <w:b/>
          <w:bCs/>
          <w:color w:val="auto"/>
          <w:sz w:val="22"/>
          <w:szCs w:val="22"/>
        </w:rPr>
        <w:t>4.4 Climate-Adaptive Water Security Framework</w:t>
      </w:r>
    </w:p>
    <w:p w14:paraId="1A018BA5" w14:textId="77777777" w:rsidR="00260EF2" w:rsidRDefault="00260EF2" w:rsidP="002A2201">
      <w:pPr>
        <w:spacing w:after="0" w:line="240" w:lineRule="auto"/>
        <w:jc w:val="both"/>
        <w:rPr>
          <w:rFonts w:ascii="Times New Roman" w:hAnsi="Times New Roman" w:cs="Times New Roman"/>
        </w:rPr>
      </w:pPr>
      <w:r w:rsidRPr="002A2201">
        <w:rPr>
          <w:rFonts w:ascii="Times New Roman" w:hAnsi="Times New Roman" w:cs="Times New Roman"/>
        </w:rPr>
        <w:t xml:space="preserve">From a thorough examination of existing framework limitations, statistical determinants of success, and case study patterns, we designed the Climate-Adaptive Water Security Framework specifically calibrated for ASAR conditions. This integrated framework consists of three interconnected components. The </w:t>
      </w:r>
      <w:r w:rsidRPr="002A2201">
        <w:rPr>
          <w:rFonts w:ascii="Times New Roman" w:hAnsi="Times New Roman" w:cs="Times New Roman"/>
          <w:b/>
          <w:bCs/>
        </w:rPr>
        <w:t>Assessment System</w:t>
      </w:r>
      <w:r w:rsidRPr="002A2201">
        <w:rPr>
          <w:rFonts w:ascii="Times New Roman" w:hAnsi="Times New Roman" w:cs="Times New Roman"/>
        </w:rPr>
        <w:t xml:space="preserve"> adopts a dynamic perspective with five </w:t>
      </w:r>
      <w:r w:rsidRPr="002A2201">
        <w:rPr>
          <w:rFonts w:ascii="Times New Roman" w:hAnsi="Times New Roman" w:cs="Times New Roman"/>
        </w:rPr>
        <w:lastRenderedPageBreak/>
        <w:t xml:space="preserve">dimensions: Resource Security (monitoring water resource status, trends, and resilience in variability), Functional Resilience (evaluating system capacity to maintain critical functions under stress), Adaptive Governance (assessing institutional ability to identify, respond to, and forestall problems), Implementation Effectiveness (analyzing quality and outcomes of implementation processes), and Climate Adaptation (evaluating specific thresholds to cope with climate variability and change). The </w:t>
      </w:r>
      <w:r w:rsidRPr="002A2201">
        <w:rPr>
          <w:rFonts w:ascii="Times New Roman" w:hAnsi="Times New Roman" w:cs="Times New Roman"/>
          <w:b/>
          <w:bCs/>
        </w:rPr>
        <w:t>Implementation Pathway</w:t>
      </w:r>
      <w:r w:rsidRPr="002A2201">
        <w:rPr>
          <w:rFonts w:ascii="Times New Roman" w:hAnsi="Times New Roman" w:cs="Times New Roman"/>
        </w:rPr>
        <w:t xml:space="preserve"> provides a systematic, phased approach tailored to resource-constrained, institutionally complex environments, including Foundation Building (designing critical monitoring, engagement, and knowledge systems), Adaptive Capacity Development (building institutional capabilities and governance structures), and Transformation Management (employing managed transitions when incremental changes prove insufficient). The </w:t>
      </w:r>
      <w:r w:rsidRPr="002A2201">
        <w:rPr>
          <w:rFonts w:ascii="Times New Roman" w:hAnsi="Times New Roman" w:cs="Times New Roman"/>
          <w:b/>
          <w:bCs/>
        </w:rPr>
        <w:t>Learning System</w:t>
      </w:r>
      <w:r w:rsidRPr="002A2201">
        <w:rPr>
          <w:rFonts w:ascii="Times New Roman" w:hAnsi="Times New Roman" w:cs="Times New Roman"/>
        </w:rPr>
        <w:t xml:space="preserve"> establishes formal procedures for continuous adaptation through formalized multi-timescale monitoring procedures, frequent stakeholder reflection processes, direct feedback mechanisms from monitoring to decision processes, and knowledge management systems that preserve institutional learning. Statistical validation demonstrates this integrated framework accounts for 78% of outcome variance in test cases (R²=0.78, </w:t>
      </w:r>
      <w:proofErr w:type="gramStart"/>
      <w:r w:rsidRPr="002A2201">
        <w:rPr>
          <w:rFonts w:ascii="Times New Roman" w:hAnsi="Times New Roman" w:cs="Times New Roman"/>
        </w:rPr>
        <w:t>F(</w:t>
      </w:r>
      <w:proofErr w:type="gramEnd"/>
      <w:r w:rsidRPr="002A2201">
        <w:rPr>
          <w:rFonts w:ascii="Times New Roman" w:hAnsi="Times New Roman" w:cs="Times New Roman"/>
        </w:rPr>
        <w:t>5,37)=26.2, p&lt;0.001)—three times higher than conventional alternatives. Its successful application across four implementation contexts confirms practical feasibility with resource requirements aligned to ASAR limitations.</w:t>
      </w:r>
    </w:p>
    <w:p w14:paraId="29C289BE" w14:textId="77777777" w:rsidR="001F36EA" w:rsidRPr="002A2201" w:rsidRDefault="001F36EA" w:rsidP="002A2201">
      <w:pPr>
        <w:spacing w:after="0" w:line="240" w:lineRule="auto"/>
        <w:jc w:val="both"/>
        <w:rPr>
          <w:rFonts w:ascii="Times New Roman" w:hAnsi="Times New Roman" w:cs="Times New Roman"/>
        </w:rPr>
      </w:pPr>
    </w:p>
    <w:p w14:paraId="690F95C6" w14:textId="4C4326A2" w:rsidR="00CF40CB" w:rsidRPr="00A174C6" w:rsidRDefault="00CF40CB" w:rsidP="00FE483B">
      <w:pPr>
        <w:jc w:val="center"/>
        <w:rPr>
          <w:rFonts w:eastAsia="Times New Roman"/>
          <w:kern w:val="0"/>
          <w14:ligatures w14:val="none"/>
        </w:rPr>
      </w:pPr>
      <w:r w:rsidRPr="00A174C6">
        <w:rPr>
          <w:noProof/>
        </w:rPr>
        <w:drawing>
          <wp:inline distT="0" distB="0" distL="0" distR="0" wp14:anchorId="472DEBB1" wp14:editId="6123BBF3">
            <wp:extent cx="3329608" cy="3329608"/>
            <wp:effectExtent l="0" t="0" r="4445" b="4445"/>
            <wp:docPr id="12" name="Picture 12"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enerate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3863" cy="3343863"/>
                    </a:xfrm>
                    <a:prstGeom prst="rect">
                      <a:avLst/>
                    </a:prstGeom>
                    <a:noFill/>
                    <a:ln>
                      <a:noFill/>
                    </a:ln>
                  </pic:spPr>
                </pic:pic>
              </a:graphicData>
            </a:graphic>
          </wp:inline>
        </w:drawing>
      </w:r>
    </w:p>
    <w:p w14:paraId="76AB164A" w14:textId="03605CCD" w:rsidR="00CF40CB" w:rsidRPr="00FE483B" w:rsidRDefault="00CF40CB" w:rsidP="00FE483B">
      <w:pPr>
        <w:jc w:val="center"/>
        <w:rPr>
          <w:rFonts w:ascii="Arial" w:hAnsi="Arial" w:cs="Arial"/>
          <w:sz w:val="22"/>
          <w:szCs w:val="22"/>
        </w:rPr>
      </w:pPr>
      <w:r w:rsidRPr="00FE483B">
        <w:rPr>
          <w:rFonts w:ascii="Arial" w:hAnsi="Arial" w:cs="Arial"/>
          <w:sz w:val="22"/>
          <w:szCs w:val="22"/>
        </w:rPr>
        <w:t>Figure 8: Comprehensive visualization of the Climate-Adaptive Water Security Framework showing dimensions, indicators, implementation pathway stages, and learning system components</w:t>
      </w:r>
    </w:p>
    <w:p w14:paraId="0FA0A6DD" w14:textId="013CAE37" w:rsidR="007335FF" w:rsidRPr="001F36EA" w:rsidRDefault="00A174C6" w:rsidP="001F36EA">
      <w:pPr>
        <w:pStyle w:val="Heading1"/>
        <w:spacing w:before="0" w:after="0" w:line="240" w:lineRule="auto"/>
        <w:rPr>
          <w:rFonts w:ascii="Arial" w:eastAsia="Times New Roman" w:hAnsi="Arial" w:cs="Arial"/>
          <w:b/>
          <w:bCs/>
          <w:color w:val="auto"/>
          <w:sz w:val="24"/>
          <w:szCs w:val="24"/>
        </w:rPr>
      </w:pPr>
      <w:r w:rsidRPr="001F36EA">
        <w:rPr>
          <w:rFonts w:ascii="Arial" w:eastAsia="Times New Roman" w:hAnsi="Arial" w:cs="Arial"/>
          <w:b/>
          <w:bCs/>
          <w:color w:val="auto"/>
          <w:sz w:val="24"/>
          <w:szCs w:val="24"/>
        </w:rPr>
        <w:t>5. DISCUSSION</w:t>
      </w:r>
    </w:p>
    <w:p w14:paraId="212E1DD1" w14:textId="77777777" w:rsidR="007335FF" w:rsidRPr="001F36EA" w:rsidRDefault="007335FF" w:rsidP="001F36EA">
      <w:pPr>
        <w:pStyle w:val="Heading2"/>
        <w:rPr>
          <w:rFonts w:ascii="Arial" w:eastAsia="Times New Roman" w:hAnsi="Arial" w:cs="Arial"/>
          <w:b/>
          <w:bCs/>
          <w:color w:val="auto"/>
          <w:sz w:val="22"/>
          <w:szCs w:val="22"/>
        </w:rPr>
      </w:pPr>
      <w:r w:rsidRPr="001F36EA">
        <w:rPr>
          <w:rFonts w:ascii="Arial" w:eastAsia="Times New Roman" w:hAnsi="Arial" w:cs="Arial"/>
          <w:b/>
          <w:bCs/>
          <w:color w:val="auto"/>
          <w:sz w:val="22"/>
          <w:szCs w:val="22"/>
        </w:rPr>
        <w:t>5.1 Paradigm Shift: From Stability to Adaptive Resilience</w:t>
      </w:r>
    </w:p>
    <w:p w14:paraId="0B215D4A" w14:textId="77777777" w:rsidR="00260EF2" w:rsidRDefault="00260EF2" w:rsidP="001F36EA">
      <w:pPr>
        <w:spacing w:after="0"/>
        <w:jc w:val="both"/>
        <w:rPr>
          <w:rFonts w:ascii="Arial" w:hAnsi="Arial" w:cs="Arial"/>
          <w:sz w:val="22"/>
          <w:szCs w:val="22"/>
        </w:rPr>
      </w:pPr>
      <w:r w:rsidRPr="001F36EA">
        <w:rPr>
          <w:rFonts w:ascii="Arial" w:hAnsi="Arial" w:cs="Arial"/>
          <w:sz w:val="22"/>
          <w:szCs w:val="22"/>
        </w:rPr>
        <w:t>Our findings challenge the stability paradigm that has dominated water management theory and practice for decades. The empirical evidence of traditional frameworks' failure in ASARs—</w:t>
      </w:r>
      <w:r w:rsidRPr="001F36EA">
        <w:rPr>
          <w:rFonts w:ascii="Arial" w:hAnsi="Arial" w:cs="Arial"/>
          <w:sz w:val="22"/>
          <w:szCs w:val="22"/>
        </w:rPr>
        <w:lastRenderedPageBreak/>
        <w:t xml:space="preserve">explaining only 26% of outcome variance—demonstrates that approaches focused on static sustainability concepts cannot address the complex, non-stationary challenges of water governance during climate change. The Climate-Adaptive Water Security Framework represents a paradigmatic shift toward adaptive resilience as the organizing concept for water governance. This paradigm change encompasses five fundamental reorientations: </w:t>
      </w:r>
      <w:r w:rsidRPr="001F36EA">
        <w:rPr>
          <w:rFonts w:ascii="Arial" w:hAnsi="Arial" w:cs="Arial"/>
          <w:b/>
          <w:bCs/>
          <w:sz w:val="22"/>
          <w:szCs w:val="22"/>
        </w:rPr>
        <w:t>From Optimization to Robustness</w:t>
      </w:r>
      <w:r w:rsidRPr="001F36EA">
        <w:rPr>
          <w:rFonts w:ascii="Arial" w:hAnsi="Arial" w:cs="Arial"/>
          <w:sz w:val="22"/>
          <w:szCs w:val="22"/>
        </w:rPr>
        <w:t xml:space="preserve">, prioritizing functionality across diverse future scenarios over efficiency in specific conditions, sometimes trading "normal time" efficiency for continued functionality under extreme stress; </w:t>
      </w:r>
      <w:r w:rsidRPr="001F36EA">
        <w:rPr>
          <w:rFonts w:ascii="Arial" w:hAnsi="Arial" w:cs="Arial"/>
          <w:b/>
          <w:bCs/>
          <w:sz w:val="22"/>
          <w:szCs w:val="22"/>
        </w:rPr>
        <w:t>From Prevention to Transformation Management</w:t>
      </w:r>
      <w:r w:rsidRPr="001F36EA">
        <w:rPr>
          <w:rFonts w:ascii="Arial" w:hAnsi="Arial" w:cs="Arial"/>
          <w:sz w:val="22"/>
          <w:szCs w:val="22"/>
        </w:rPr>
        <w:t xml:space="preserve">, incorporating systematic pathways for controlled change when climate shifts render existing arrangements untenable and incremental adaptation insufficient; </w:t>
      </w:r>
      <w:r w:rsidRPr="001F36EA">
        <w:rPr>
          <w:rFonts w:ascii="Arial" w:hAnsi="Arial" w:cs="Arial"/>
          <w:b/>
          <w:bCs/>
          <w:sz w:val="22"/>
          <w:szCs w:val="22"/>
        </w:rPr>
        <w:t>From Technical Solutions to Socio-Technical Transitions</w:t>
      </w:r>
      <w:r w:rsidRPr="001F36EA">
        <w:rPr>
          <w:rFonts w:ascii="Arial" w:hAnsi="Arial" w:cs="Arial"/>
          <w:sz w:val="22"/>
          <w:szCs w:val="22"/>
        </w:rPr>
        <w:t xml:space="preserve">, recognizing that effective interventions must address the socio-technical system holistically, as social, institutional, and technical components co-evolve and must change together; </w:t>
      </w:r>
      <w:r w:rsidRPr="001F36EA">
        <w:rPr>
          <w:rFonts w:ascii="Arial" w:hAnsi="Arial" w:cs="Arial"/>
          <w:b/>
          <w:bCs/>
          <w:sz w:val="22"/>
          <w:szCs w:val="22"/>
        </w:rPr>
        <w:t>From Static Assessment to Dynamic Learning</w:t>
      </w:r>
      <w:r w:rsidRPr="001F36EA">
        <w:rPr>
          <w:rFonts w:ascii="Arial" w:hAnsi="Arial" w:cs="Arial"/>
          <w:sz w:val="22"/>
          <w:szCs w:val="22"/>
        </w:rPr>
        <w:t xml:space="preserve">, replacing conventional periodic assessment with continuous adaptation through structured monitoring, reflection, and feedback processes that maintain governance alignment with changing conditions; and </w:t>
      </w:r>
      <w:r w:rsidRPr="001F36EA">
        <w:rPr>
          <w:rFonts w:ascii="Arial" w:hAnsi="Arial" w:cs="Arial"/>
          <w:b/>
          <w:bCs/>
          <w:sz w:val="22"/>
          <w:szCs w:val="22"/>
        </w:rPr>
        <w:t>From Resource Focus to Functional Emphasis</w:t>
      </w:r>
      <w:r w:rsidRPr="001F36EA">
        <w:rPr>
          <w:rFonts w:ascii="Arial" w:hAnsi="Arial" w:cs="Arial"/>
          <w:sz w:val="22"/>
          <w:szCs w:val="22"/>
        </w:rPr>
        <w:t>, redirecting attention from preserving specific resource conditions toward maintaining critical functions—such as basic water access, agricultural productivity, and ecosystem services—acknowledging these functions may require entirely different resource arrangements under new climate scenarios. This paradigm shift has far-reaching implications beyond arid regions, as climate change accelerates globally. As Foster and MacDonald (2022) observe, conditions previously considered exceptional in water governance are becoming the norm worldwide, suggesting strategies designed for extreme situations may have broader applicability than previously recognized.</w:t>
      </w:r>
    </w:p>
    <w:p w14:paraId="5F4CFF38" w14:textId="77777777" w:rsidR="001E37D3" w:rsidRDefault="001E37D3" w:rsidP="001F36EA">
      <w:pPr>
        <w:spacing w:after="0"/>
        <w:jc w:val="both"/>
        <w:rPr>
          <w:rFonts w:ascii="Arial" w:hAnsi="Arial" w:cs="Arial"/>
          <w:sz w:val="22"/>
          <w:szCs w:val="22"/>
        </w:rPr>
      </w:pPr>
    </w:p>
    <w:p w14:paraId="4C100A5D" w14:textId="1691DDB1" w:rsidR="001E37D3" w:rsidRPr="001F36EA" w:rsidRDefault="001E37D3" w:rsidP="001F36EA">
      <w:pPr>
        <w:spacing w:after="0"/>
        <w:jc w:val="both"/>
        <w:rPr>
          <w:rFonts w:ascii="Arial" w:hAnsi="Arial" w:cs="Arial"/>
          <w:sz w:val="22"/>
          <w:szCs w:val="22"/>
        </w:rPr>
      </w:pPr>
      <w:r w:rsidRPr="001E37D3">
        <w:rPr>
          <w:rFonts w:ascii="Arial" w:hAnsi="Arial" w:cs="Arial"/>
          <w:sz w:val="22"/>
          <w:szCs w:val="22"/>
        </w:rPr>
        <w:t>This study contributes to the field of water governance science by presenting a rigorously validated, adaptive resilience-oriented framework specifically designed for ASARs, illustrating enhanced predictive capabilities and practical applicability while contesting traditional stability paradigms and providing universally pertinent strategies for climate-responsive water management.</w:t>
      </w:r>
    </w:p>
    <w:p w14:paraId="7887C63C" w14:textId="0C66AB09" w:rsidR="007335FF" w:rsidRPr="002D7360" w:rsidRDefault="007335FF" w:rsidP="002D7360">
      <w:pPr>
        <w:pStyle w:val="Heading2"/>
        <w:rPr>
          <w:rFonts w:ascii="Arial" w:eastAsia="Times New Roman" w:hAnsi="Arial" w:cs="Arial"/>
          <w:b/>
          <w:bCs/>
          <w:color w:val="auto"/>
          <w:sz w:val="24"/>
          <w:szCs w:val="24"/>
        </w:rPr>
      </w:pPr>
      <w:r w:rsidRPr="002D7360">
        <w:rPr>
          <w:rFonts w:ascii="Arial" w:eastAsia="Times New Roman" w:hAnsi="Arial" w:cs="Arial"/>
          <w:b/>
          <w:bCs/>
          <w:color w:val="auto"/>
          <w:sz w:val="24"/>
          <w:szCs w:val="24"/>
        </w:rPr>
        <w:t>5.2 Implementation Pathways and Transferability</w:t>
      </w:r>
    </w:p>
    <w:p w14:paraId="6BEE410A" w14:textId="77777777" w:rsidR="000C7284" w:rsidRPr="002D7360" w:rsidRDefault="000C7284" w:rsidP="002D7360">
      <w:pPr>
        <w:pStyle w:val="Heading3"/>
        <w:rPr>
          <w:rFonts w:ascii="Arial" w:hAnsi="Arial" w:cs="Arial"/>
          <w:b/>
          <w:bCs/>
          <w:color w:val="auto"/>
          <w:sz w:val="24"/>
          <w:szCs w:val="24"/>
        </w:rPr>
      </w:pPr>
      <w:r w:rsidRPr="002D7360">
        <w:rPr>
          <w:rFonts w:ascii="Arial" w:hAnsi="Arial" w:cs="Arial"/>
          <w:b/>
          <w:bCs/>
          <w:color w:val="auto"/>
          <w:sz w:val="24"/>
          <w:szCs w:val="24"/>
        </w:rPr>
        <w:t>Theoretical Contributions</w:t>
      </w:r>
    </w:p>
    <w:p w14:paraId="2E4218F1" w14:textId="77777777" w:rsidR="000C7284" w:rsidRPr="002D7360" w:rsidRDefault="000C7284" w:rsidP="002D7360">
      <w:pPr>
        <w:jc w:val="both"/>
        <w:rPr>
          <w:rFonts w:ascii="Arial" w:hAnsi="Arial" w:cs="Arial"/>
          <w:sz w:val="22"/>
          <w:szCs w:val="22"/>
        </w:rPr>
      </w:pPr>
      <w:r w:rsidRPr="002D7360">
        <w:rPr>
          <w:rFonts w:ascii="Arial" w:hAnsi="Arial" w:cs="Arial"/>
          <w:sz w:val="22"/>
          <w:szCs w:val="22"/>
        </w:rPr>
        <w:t xml:space="preserve">The framework provides substantial theoretical advancements through multiple dimensions of resilience research and implementation. By operationalizing recent developments in social-ecological resilience theory, it creates crucial linkages between abstract concepts and measurable metrics, while offering practical implementation roadmaps for real-world application. Building on </w:t>
      </w:r>
      <w:proofErr w:type="spellStart"/>
      <w:r w:rsidRPr="002D7360">
        <w:rPr>
          <w:rFonts w:ascii="Arial" w:hAnsi="Arial" w:cs="Arial"/>
          <w:sz w:val="22"/>
          <w:szCs w:val="22"/>
        </w:rPr>
        <w:t>Pahl-Wostl's</w:t>
      </w:r>
      <w:proofErr w:type="spellEnd"/>
      <w:r w:rsidRPr="002D7360">
        <w:rPr>
          <w:rFonts w:ascii="Arial" w:hAnsi="Arial" w:cs="Arial"/>
          <w:sz w:val="22"/>
          <w:szCs w:val="22"/>
        </w:rPr>
        <w:t xml:space="preserve"> (2022) research, our framework establishes tangible mechanisms for implementing adaptive governance principles in resource-constrained environments, making these concepts accessible and applicable in challenging settings. The empirical insights generated through our research validate emerging socio-hydrological models by revealing the complex co-evolutionary dynamics between human and natural systems in water-scarce situations. Perhaps most significantly, the framework represents one of the first systematic applications of implementation </w:t>
      </w:r>
      <w:r w:rsidRPr="002D7360">
        <w:rPr>
          <w:rFonts w:ascii="Arial" w:hAnsi="Arial" w:cs="Arial"/>
          <w:sz w:val="22"/>
          <w:szCs w:val="22"/>
        </w:rPr>
        <w:lastRenderedPageBreak/>
        <w:t>science to water governance, effectively bridging the persistent gap between theoretical design and practical application that has limited the effectiveness of previous approaches.</w:t>
      </w:r>
    </w:p>
    <w:p w14:paraId="38C39637" w14:textId="77777777" w:rsidR="000C7284" w:rsidRPr="002D7360" w:rsidRDefault="000C7284" w:rsidP="002D7360">
      <w:pPr>
        <w:pStyle w:val="Heading3"/>
        <w:rPr>
          <w:rFonts w:ascii="Arial" w:eastAsia="Times New Roman" w:hAnsi="Arial" w:cs="Arial"/>
          <w:b/>
          <w:bCs/>
          <w:color w:val="auto"/>
          <w:sz w:val="24"/>
          <w:szCs w:val="24"/>
        </w:rPr>
      </w:pPr>
      <w:r w:rsidRPr="002D7360">
        <w:rPr>
          <w:rFonts w:ascii="Arial" w:eastAsia="Times New Roman" w:hAnsi="Arial" w:cs="Arial"/>
          <w:b/>
          <w:bCs/>
          <w:color w:val="auto"/>
          <w:sz w:val="24"/>
          <w:szCs w:val="24"/>
        </w:rPr>
        <w:t>Practical Implications</w:t>
      </w:r>
    </w:p>
    <w:p w14:paraId="73271B20" w14:textId="6A0F0A68" w:rsidR="000C7284" w:rsidRPr="002D7360" w:rsidRDefault="000C7284" w:rsidP="002D7360">
      <w:pPr>
        <w:jc w:val="both"/>
        <w:rPr>
          <w:rFonts w:ascii="Arial" w:hAnsi="Arial" w:cs="Arial"/>
          <w:sz w:val="22"/>
          <w:szCs w:val="22"/>
        </w:rPr>
      </w:pPr>
      <w:r w:rsidRPr="002D7360">
        <w:rPr>
          <w:rFonts w:ascii="Arial" w:hAnsi="Arial" w:cs="Arial"/>
          <w:sz w:val="22"/>
          <w:szCs w:val="22"/>
        </w:rPr>
        <w:t>The practical implications of this framework are equally substantial and call for significant shifts in current water management practices. Our findings necessitate a fundamental revision of existing water assessment approaches, particularly those employed by international organizations in developing countries. The framework's threefold increase in explanatory power provides compelling evidence that conventional assessments often misdiagnose challenges and misallocate resources, leading to suboptimal outcomes. The statistical analysis of success factors offers evidence-based guidance for investment prioritization, indicating the need for substantial reorientation toward developing institutional capacity and improving implementation processes. Our research reveals a systematic technical bias in current water investments that compromises effectiveness for international donors and development agencies. The weak explanatory power of technical factors in isolation (β=0.09, p=0.18) clearly demonstrates the necessity of reallocating resources toward integrated socio-technical solutions. Additionally, the framework provides practical approaches for mainstreaming climate adaptation in water governance, addressing a significant implementation gap identified in recent climate adaptation literature.</w:t>
      </w:r>
      <w:r w:rsidR="002D7360" w:rsidRPr="002D7360">
        <w:rPr>
          <w:rFonts w:ascii="Arial" w:hAnsi="Arial" w:cs="Arial"/>
          <w:sz w:val="22"/>
          <w:szCs w:val="22"/>
        </w:rPr>
        <w:t xml:space="preserve"> </w:t>
      </w:r>
      <w:r w:rsidRPr="002D7360">
        <w:rPr>
          <w:rFonts w:ascii="Arial" w:hAnsi="Arial" w:cs="Arial"/>
          <w:sz w:val="22"/>
          <w:szCs w:val="22"/>
        </w:rPr>
        <w:t>These theoretical and practical implications collectively support a fundamental reorientation of water governance approaches in ASARs, with potential relevance for an expanding range of regions facing similar challenges under intensifying climate change conditions.</w:t>
      </w:r>
    </w:p>
    <w:p w14:paraId="728EF4FB" w14:textId="23BFAE6B" w:rsidR="007335FF" w:rsidRPr="00A174C6" w:rsidRDefault="00A174C6" w:rsidP="002D7360">
      <w:pPr>
        <w:spacing w:after="0" w:line="240" w:lineRule="auto"/>
        <w:outlineLvl w:val="1"/>
        <w:rPr>
          <w:rFonts w:ascii="Arial" w:eastAsia="Times New Roman" w:hAnsi="Arial" w:cs="Arial"/>
          <w:b/>
          <w:bCs/>
          <w:kern w:val="0"/>
          <w:sz w:val="22"/>
          <w:szCs w:val="22"/>
          <w14:ligatures w14:val="none"/>
        </w:rPr>
      </w:pPr>
      <w:r w:rsidRPr="00A174C6">
        <w:rPr>
          <w:rFonts w:ascii="Arial" w:eastAsia="Times New Roman" w:hAnsi="Arial" w:cs="Arial"/>
          <w:b/>
          <w:bCs/>
          <w:kern w:val="0"/>
          <w:sz w:val="22"/>
          <w:szCs w:val="22"/>
          <w14:ligatures w14:val="none"/>
        </w:rPr>
        <w:t>6. CONCLUSION</w:t>
      </w:r>
    </w:p>
    <w:p w14:paraId="3D421A63" w14:textId="2AA1627F" w:rsidR="00C97CCD" w:rsidRDefault="00C97CCD" w:rsidP="002D7360">
      <w:pPr>
        <w:spacing w:after="0" w:line="240" w:lineRule="auto"/>
        <w:jc w:val="both"/>
        <w:rPr>
          <w:rFonts w:ascii="Arial" w:hAnsi="Arial" w:cs="Arial"/>
          <w:sz w:val="22"/>
          <w:szCs w:val="22"/>
        </w:rPr>
      </w:pPr>
      <w:r w:rsidRPr="002D7360">
        <w:rPr>
          <w:rFonts w:ascii="Arial" w:hAnsi="Arial" w:cs="Arial"/>
          <w:sz w:val="22"/>
          <w:szCs w:val="22"/>
        </w:rPr>
        <w:t xml:space="preserve">The speeding crisis of water in arid and semi-arid regions is indeed one of the most urgent sustainability issues faced by humanity and endangering more than two </w:t>
      </w:r>
      <w:r w:rsidR="002D7360" w:rsidRPr="002D7360">
        <w:rPr>
          <w:rFonts w:ascii="Arial" w:hAnsi="Arial" w:cs="Arial"/>
          <w:sz w:val="22"/>
          <w:szCs w:val="22"/>
        </w:rPr>
        <w:t>billion</w:t>
      </w:r>
      <w:r w:rsidRPr="002D7360">
        <w:rPr>
          <w:rFonts w:ascii="Arial" w:hAnsi="Arial" w:cs="Arial"/>
          <w:sz w:val="22"/>
          <w:szCs w:val="22"/>
        </w:rPr>
        <w:t xml:space="preserve"> of people, which is bound to intensify under the effects of climate change. Our holistic analysis shows that the traditional methods of water management are profoundly unsuccessful in such contexts, which explain only 26% of variance in the outcome while systematically misdiagnosing the problems and using the resources in an incorrect way.</w:t>
      </w:r>
      <w:r w:rsidR="002D7360">
        <w:rPr>
          <w:rFonts w:ascii="Arial" w:hAnsi="Arial" w:cs="Arial"/>
          <w:sz w:val="22"/>
          <w:szCs w:val="22"/>
        </w:rPr>
        <w:t xml:space="preserve"> </w:t>
      </w:r>
      <w:r w:rsidRPr="002D7360">
        <w:rPr>
          <w:rFonts w:ascii="Arial" w:hAnsi="Arial" w:cs="Arial"/>
          <w:sz w:val="22"/>
          <w:szCs w:val="22"/>
        </w:rPr>
        <w:t>The Climate-Adaptive Water Security Framework that has been developed during the course of this research can provide a transforming alternative that is specifically tailored to the peculiarities of water-scarce environments. With the reorientation of the water governance on adaptive resilience and not static sustainability alongside the integration of implementation science with technical design, as well as provision of differentiated pathways according to various contexts, the framework allows more efficient response to escalating water woes.</w:t>
      </w:r>
      <w:r w:rsidR="002D7360">
        <w:rPr>
          <w:rFonts w:ascii="Arial" w:hAnsi="Arial" w:cs="Arial"/>
          <w:sz w:val="22"/>
          <w:szCs w:val="22"/>
        </w:rPr>
        <w:t xml:space="preserve"> </w:t>
      </w:r>
      <w:r w:rsidRPr="002D7360">
        <w:rPr>
          <w:rFonts w:ascii="Arial" w:hAnsi="Arial" w:cs="Arial"/>
          <w:sz w:val="22"/>
          <w:szCs w:val="22"/>
        </w:rPr>
        <w:t>Statistical validation validates a significant improvement of the framework over the traditional approaches, and explains 78% of outcome variance in test cases and properly predict system performance under climate stress. Such threefold increase in the explanatory power makes for some radical rethinking of the ways in which water challenges are contemplated and approached in ASARs and maybe even further.</w:t>
      </w:r>
      <w:r w:rsidR="002D7360">
        <w:rPr>
          <w:rFonts w:ascii="Arial" w:hAnsi="Arial" w:cs="Arial"/>
          <w:sz w:val="22"/>
          <w:szCs w:val="22"/>
        </w:rPr>
        <w:t xml:space="preserve"> </w:t>
      </w:r>
      <w:r w:rsidRPr="002D7360">
        <w:rPr>
          <w:rFonts w:ascii="Arial" w:hAnsi="Arial" w:cs="Arial"/>
          <w:sz w:val="22"/>
          <w:szCs w:val="22"/>
        </w:rPr>
        <w:t>While the things that were once deemed as exceptional are becoming the norms in the water governance around the globe under the pressure of climate changes. The methods, therefore, developed for extreme ASAR might thus come in handy as guidelines to other parts of the world undergoing similar transitions. In that regard, paradigm shift, from stability to adaptive resilience, is no more than a mere technical fix but instead a radical reconceptualization of water governance in the climate-changed world in which we reside.</w:t>
      </w:r>
    </w:p>
    <w:p w14:paraId="0C4C62F4" w14:textId="697CE2AF" w:rsidR="00C67409" w:rsidRDefault="00C67409" w:rsidP="002D7360">
      <w:pPr>
        <w:spacing w:after="0" w:line="240" w:lineRule="auto"/>
        <w:jc w:val="both"/>
        <w:rPr>
          <w:rFonts w:ascii="Arial" w:hAnsi="Arial" w:cs="Arial"/>
          <w:sz w:val="22"/>
          <w:szCs w:val="22"/>
        </w:rPr>
      </w:pPr>
    </w:p>
    <w:p w14:paraId="6E0453C2" w14:textId="77777777" w:rsidR="00C67409" w:rsidRPr="0044557C" w:rsidRDefault="00C67409" w:rsidP="00C67409">
      <w:pPr>
        <w:rPr>
          <w:b/>
          <w:highlight w:val="yellow"/>
        </w:rPr>
      </w:pPr>
      <w:r w:rsidRPr="0044557C">
        <w:rPr>
          <w:b/>
          <w:highlight w:val="yellow"/>
        </w:rPr>
        <w:t>Disclaimer (Artificial intelligence)</w:t>
      </w:r>
    </w:p>
    <w:p w14:paraId="03E3ECE6" w14:textId="0DD38CCE" w:rsidR="00C67409" w:rsidRPr="00394842" w:rsidRDefault="00C67409" w:rsidP="00EB14F4">
      <w:pPr>
        <w:jc w:val="both"/>
        <w:rPr>
          <w:highlight w:val="yellow"/>
        </w:rPr>
      </w:pPr>
      <w:r w:rsidRPr="00394842">
        <w:rPr>
          <w:highlight w:val="yellow"/>
        </w:rPr>
        <w:lastRenderedPageBreak/>
        <w:t xml:space="preserve">Author(s) hereby </w:t>
      </w:r>
      <w:r w:rsidR="00A629C2" w:rsidRPr="00394842">
        <w:rPr>
          <w:highlight w:val="yellow"/>
        </w:rPr>
        <w:t>declares</w:t>
      </w:r>
      <w:r w:rsidRPr="00394842">
        <w:rPr>
          <w:highlight w:val="yellow"/>
        </w:rPr>
        <w:t xml:space="preserve"> that NO generative AI technologies such as Large Language Models (ChatGPT, COPILOT, etc.) and text-to-image generators have been used during the writing or editing of this manuscript. </w:t>
      </w:r>
    </w:p>
    <w:p w14:paraId="5A03DB31" w14:textId="77777777" w:rsidR="00C67409" w:rsidRDefault="00C67409" w:rsidP="00C67409">
      <w:pPr>
        <w:rPr>
          <w:highlight w:val="yellow"/>
        </w:rPr>
      </w:pPr>
    </w:p>
    <w:p w14:paraId="0A51623C" w14:textId="77777777" w:rsidR="00A629C2" w:rsidRPr="00394842" w:rsidRDefault="00A629C2" w:rsidP="00C67409">
      <w:pPr>
        <w:rPr>
          <w:highlight w:val="yellow"/>
        </w:rPr>
      </w:pPr>
    </w:p>
    <w:p w14:paraId="5CA6738D" w14:textId="429084C4" w:rsidR="007335FF" w:rsidRPr="002D7360" w:rsidRDefault="007335FF" w:rsidP="00C97CCD">
      <w:pPr>
        <w:spacing w:before="100" w:beforeAutospacing="1" w:after="100" w:afterAutospacing="1" w:line="240" w:lineRule="auto"/>
        <w:outlineLvl w:val="1"/>
        <w:rPr>
          <w:rFonts w:ascii="Arial" w:eastAsia="Times New Roman" w:hAnsi="Arial" w:cs="Arial"/>
          <w:b/>
          <w:bCs/>
          <w:kern w:val="0"/>
          <w14:ligatures w14:val="none"/>
        </w:rPr>
      </w:pPr>
      <w:r w:rsidRPr="002D7360">
        <w:rPr>
          <w:rFonts w:ascii="Arial" w:eastAsia="Times New Roman" w:hAnsi="Arial" w:cs="Arial"/>
          <w:b/>
          <w:bCs/>
          <w:kern w:val="0"/>
          <w14:ligatures w14:val="none"/>
        </w:rPr>
        <w:t>References</w:t>
      </w:r>
    </w:p>
    <w:p w14:paraId="12A69C38" w14:textId="6A2FC756" w:rsidR="00EB14F4" w:rsidRDefault="00EB14F4" w:rsidP="00EB14F4">
      <w:pPr>
        <w:spacing w:after="0" w:line="240" w:lineRule="auto"/>
        <w:ind w:left="720" w:hanging="720"/>
        <w:jc w:val="both"/>
        <w:rPr>
          <w:rFonts w:ascii="Arial" w:eastAsia="Times New Roman" w:hAnsi="Arial" w:cs="Arial"/>
          <w:kern w:val="0"/>
          <w:sz w:val="20"/>
          <w:szCs w:val="20"/>
          <w14:ligatures w14:val="none"/>
        </w:rPr>
      </w:pPr>
      <w:r w:rsidRPr="00A174C6">
        <w:rPr>
          <w:rFonts w:ascii="Arial" w:eastAsia="Times New Roman" w:hAnsi="Arial" w:cs="Arial"/>
          <w:kern w:val="0"/>
          <w:sz w:val="20"/>
          <w:szCs w:val="20"/>
          <w14:ligatures w14:val="none"/>
        </w:rPr>
        <w:t xml:space="preserve">Abdullah, A. A., Biswas, R., </w:t>
      </w:r>
      <w:proofErr w:type="spellStart"/>
      <w:r w:rsidRPr="00A174C6">
        <w:rPr>
          <w:rFonts w:ascii="Arial" w:eastAsia="Times New Roman" w:hAnsi="Arial" w:cs="Arial"/>
          <w:kern w:val="0"/>
          <w:sz w:val="20"/>
          <w:szCs w:val="20"/>
          <w14:ligatures w14:val="none"/>
        </w:rPr>
        <w:t>Opu</w:t>
      </w:r>
      <w:proofErr w:type="spellEnd"/>
      <w:r w:rsidRPr="00A174C6">
        <w:rPr>
          <w:rFonts w:ascii="Arial" w:eastAsia="Times New Roman" w:hAnsi="Arial" w:cs="Arial"/>
          <w:kern w:val="0"/>
          <w:sz w:val="20"/>
          <w:szCs w:val="20"/>
          <w14:ligatures w14:val="none"/>
        </w:rPr>
        <w:t xml:space="preserve">, R. K., &amp; Islam, S. (2014). Irrigation water requirement estimation for wheat by FAO Penman-Monteith method: A case study of </w:t>
      </w:r>
      <w:proofErr w:type="spellStart"/>
      <w:r w:rsidRPr="00A174C6">
        <w:rPr>
          <w:rFonts w:ascii="Arial" w:eastAsia="Times New Roman" w:hAnsi="Arial" w:cs="Arial"/>
          <w:kern w:val="0"/>
          <w:sz w:val="20"/>
          <w:szCs w:val="20"/>
          <w14:ligatures w14:val="none"/>
        </w:rPr>
        <w:t>Barind</w:t>
      </w:r>
      <w:proofErr w:type="spellEnd"/>
      <w:r w:rsidRPr="00A174C6">
        <w:rPr>
          <w:rFonts w:ascii="Arial" w:eastAsia="Times New Roman" w:hAnsi="Arial" w:cs="Arial"/>
          <w:kern w:val="0"/>
          <w:sz w:val="20"/>
          <w:szCs w:val="20"/>
          <w14:ligatures w14:val="none"/>
        </w:rPr>
        <w:t xml:space="preserve"> area, </w:t>
      </w:r>
      <w:proofErr w:type="spellStart"/>
      <w:r w:rsidRPr="00A174C6">
        <w:rPr>
          <w:rFonts w:ascii="Arial" w:eastAsia="Times New Roman" w:hAnsi="Arial" w:cs="Arial"/>
          <w:kern w:val="0"/>
          <w:sz w:val="20"/>
          <w:szCs w:val="20"/>
          <w14:ligatures w14:val="none"/>
        </w:rPr>
        <w:t>Rajshahi</w:t>
      </w:r>
      <w:proofErr w:type="spellEnd"/>
      <w:r w:rsidRPr="00A174C6">
        <w:rPr>
          <w:rFonts w:ascii="Arial" w:eastAsia="Times New Roman" w:hAnsi="Arial" w:cs="Arial"/>
          <w:kern w:val="0"/>
          <w:sz w:val="20"/>
          <w:szCs w:val="20"/>
          <w14:ligatures w14:val="none"/>
        </w:rPr>
        <w:t>, Bangladesh. International Journal of Advanced Research, 2(Feb). ISSN 2320-5407</w:t>
      </w:r>
      <w:r w:rsidR="004739F0">
        <w:rPr>
          <w:rFonts w:ascii="Arial" w:eastAsia="Times New Roman" w:hAnsi="Arial" w:cs="Arial"/>
          <w:kern w:val="0"/>
          <w:sz w:val="20"/>
          <w:szCs w:val="20"/>
          <w14:ligatures w14:val="none"/>
        </w:rPr>
        <w:t xml:space="preserve"> </w:t>
      </w:r>
    </w:p>
    <w:p w14:paraId="1CC3C3D2" w14:textId="77777777" w:rsidR="00EB14F4" w:rsidRDefault="00EB14F4" w:rsidP="00EB14F4">
      <w:pPr>
        <w:spacing w:after="0" w:line="240" w:lineRule="auto"/>
        <w:ind w:left="720" w:hanging="720"/>
        <w:jc w:val="both"/>
        <w:rPr>
          <w:rFonts w:ascii="Arial" w:eastAsia="Times New Roman" w:hAnsi="Arial" w:cs="Arial"/>
          <w:kern w:val="0"/>
          <w:sz w:val="20"/>
          <w:szCs w:val="20"/>
          <w14:ligatures w14:val="none"/>
        </w:rPr>
      </w:pPr>
      <w:r w:rsidRPr="00A174C6">
        <w:rPr>
          <w:rFonts w:ascii="Arial" w:eastAsia="Times New Roman" w:hAnsi="Arial" w:cs="Arial"/>
          <w:kern w:val="0"/>
          <w:sz w:val="20"/>
          <w:szCs w:val="20"/>
          <w14:ligatures w14:val="none"/>
        </w:rPr>
        <w:t xml:space="preserve">Adger, W. N., Barnett, J., Brown, K., Marshall, N., &amp; O'Brien, K. (2013). Cultural dimensions of climate change impacts and adaptation. Nature Climate Change, 3(2), 112-117. </w:t>
      </w:r>
      <w:hyperlink r:id="rId15" w:history="1">
        <w:r w:rsidRPr="00822722">
          <w:rPr>
            <w:rStyle w:val="Hyperlink"/>
            <w:rFonts w:ascii="Arial" w:eastAsia="Times New Roman" w:hAnsi="Arial" w:cs="Arial"/>
            <w:kern w:val="0"/>
            <w:sz w:val="20"/>
            <w:szCs w:val="20"/>
            <w14:ligatures w14:val="none"/>
          </w:rPr>
          <w:t>https://doi.org/10.1038/nclimate1666</w:t>
        </w:r>
      </w:hyperlink>
    </w:p>
    <w:p w14:paraId="1D3C20F7" w14:textId="77777777" w:rsidR="00EB14F4" w:rsidRPr="005044E1" w:rsidRDefault="00EB14F4" w:rsidP="00EB14F4">
      <w:pPr>
        <w:pStyle w:val="Bibliography"/>
        <w:spacing w:after="0"/>
        <w:jc w:val="both"/>
        <w:rPr>
          <w:rFonts w:ascii="Arial" w:hAnsi="Arial" w:cs="Arial"/>
          <w:sz w:val="20"/>
        </w:rPr>
      </w:pPr>
      <w:r w:rsidRPr="005044E1">
        <w:rPr>
          <w:rFonts w:ascii="Arial" w:hAnsi="Arial" w:cs="Arial"/>
          <w:sz w:val="20"/>
        </w:rPr>
        <w:t xml:space="preserve">Basak, Setu, MD. </w:t>
      </w:r>
      <w:proofErr w:type="spellStart"/>
      <w:r w:rsidRPr="005044E1">
        <w:rPr>
          <w:rFonts w:ascii="Arial" w:hAnsi="Arial" w:cs="Arial"/>
          <w:sz w:val="20"/>
        </w:rPr>
        <w:t>Delowar</w:t>
      </w:r>
      <w:proofErr w:type="spellEnd"/>
      <w:r w:rsidRPr="005044E1">
        <w:rPr>
          <w:rFonts w:ascii="Arial" w:hAnsi="Arial" w:cs="Arial"/>
          <w:sz w:val="20"/>
        </w:rPr>
        <w:t xml:space="preserve"> Hossain Gazi, and S. M. Mazharul Hoque Chowdhury. 2020. “A Review Paper on Comparison of Different Algorithm Used in Text Summarization.” Pp. 114–19 in </w:t>
      </w:r>
      <w:r w:rsidRPr="005044E1">
        <w:rPr>
          <w:rFonts w:ascii="Arial" w:hAnsi="Arial" w:cs="Arial"/>
          <w:i/>
          <w:iCs/>
          <w:sz w:val="20"/>
        </w:rPr>
        <w:t>Intelligent Data Communication Technologies and Internet of Things</w:t>
      </w:r>
      <w:r w:rsidRPr="005044E1">
        <w:rPr>
          <w:rFonts w:ascii="Arial" w:hAnsi="Arial" w:cs="Arial"/>
          <w:sz w:val="20"/>
        </w:rPr>
        <w:t>, edited by D. J. Hemanth, S. Shakya, and Z. Baig. Cham: Springer International Publishing.</w:t>
      </w:r>
    </w:p>
    <w:p w14:paraId="26C956C2" w14:textId="118D4904" w:rsidR="00EB14F4" w:rsidRPr="00A174C6" w:rsidRDefault="00EB14F4" w:rsidP="00EB14F4">
      <w:pPr>
        <w:spacing w:after="0" w:line="240" w:lineRule="auto"/>
        <w:ind w:left="720" w:hanging="720"/>
        <w:jc w:val="both"/>
        <w:rPr>
          <w:rFonts w:ascii="Arial" w:eastAsia="Times New Roman" w:hAnsi="Arial" w:cs="Arial"/>
          <w:kern w:val="0"/>
          <w:sz w:val="20"/>
          <w:szCs w:val="20"/>
          <w14:ligatures w14:val="none"/>
        </w:rPr>
      </w:pPr>
      <w:r w:rsidRPr="00A174C6">
        <w:rPr>
          <w:rFonts w:ascii="Arial" w:eastAsia="Times New Roman" w:hAnsi="Arial" w:cs="Arial"/>
          <w:kern w:val="0"/>
          <w:sz w:val="20"/>
          <w:szCs w:val="20"/>
          <w14:ligatures w14:val="none"/>
        </w:rPr>
        <w:t xml:space="preserve">Di Baldassarre, G., </w:t>
      </w:r>
      <w:proofErr w:type="spellStart"/>
      <w:r w:rsidRPr="00A174C6">
        <w:rPr>
          <w:rFonts w:ascii="Arial" w:eastAsia="Times New Roman" w:hAnsi="Arial" w:cs="Arial"/>
          <w:kern w:val="0"/>
          <w:sz w:val="20"/>
          <w:szCs w:val="20"/>
          <w14:ligatures w14:val="none"/>
        </w:rPr>
        <w:t>Kemerink</w:t>
      </w:r>
      <w:proofErr w:type="spellEnd"/>
      <w:r w:rsidRPr="00A174C6">
        <w:rPr>
          <w:rFonts w:ascii="Arial" w:eastAsia="Times New Roman" w:hAnsi="Arial" w:cs="Arial"/>
          <w:kern w:val="0"/>
          <w:sz w:val="20"/>
          <w:szCs w:val="20"/>
          <w14:ligatures w14:val="none"/>
        </w:rPr>
        <w:t xml:space="preserve">, J. S., Kooy, M., &amp; Brandimarte, L. (2014). Floods and societies: The spatial distribution of water-related disaster risk and its dynamics. Wiley Interdisciplinary Reviews: Water, 1(2), 133-139. </w:t>
      </w:r>
      <w:hyperlink r:id="rId16" w:history="1">
        <w:r w:rsidR="00E92A81" w:rsidRPr="00BB3B23">
          <w:rPr>
            <w:rStyle w:val="Hyperlink"/>
            <w:rFonts w:ascii="Arial" w:eastAsia="Times New Roman" w:hAnsi="Arial" w:cs="Arial"/>
            <w:kern w:val="0"/>
            <w:sz w:val="20"/>
            <w:szCs w:val="20"/>
            <w14:ligatures w14:val="none"/>
          </w:rPr>
          <w:t>https://doi.org/10.1002/wat2.1015</w:t>
        </w:r>
      </w:hyperlink>
      <w:r w:rsidR="00E92A81">
        <w:rPr>
          <w:rFonts w:ascii="Arial" w:eastAsia="Times New Roman" w:hAnsi="Arial" w:cs="Arial"/>
          <w:kern w:val="0"/>
          <w:sz w:val="20"/>
          <w:szCs w:val="20"/>
          <w14:ligatures w14:val="none"/>
        </w:rPr>
        <w:t xml:space="preserve"> </w:t>
      </w:r>
    </w:p>
    <w:p w14:paraId="15121EB4" w14:textId="5E00392E" w:rsidR="00EB14F4" w:rsidRPr="00A174C6" w:rsidRDefault="00EB14F4" w:rsidP="00EB14F4">
      <w:pPr>
        <w:spacing w:after="0" w:line="240" w:lineRule="auto"/>
        <w:ind w:left="720" w:hanging="720"/>
        <w:jc w:val="both"/>
        <w:rPr>
          <w:rFonts w:ascii="Arial" w:eastAsia="Times New Roman" w:hAnsi="Arial" w:cs="Arial"/>
          <w:kern w:val="0"/>
          <w:sz w:val="20"/>
          <w:szCs w:val="20"/>
          <w14:ligatures w14:val="none"/>
        </w:rPr>
      </w:pPr>
      <w:r w:rsidRPr="00EB14F4">
        <w:rPr>
          <w:rFonts w:ascii="Arial" w:eastAsia="Times New Roman" w:hAnsi="Arial" w:cs="Arial"/>
          <w:kern w:val="0"/>
          <w:sz w:val="20"/>
          <w:szCs w:val="20"/>
          <w:lang w:val="de-DE"/>
          <w14:ligatures w14:val="none"/>
        </w:rPr>
        <w:t xml:space="preserve">Di Baldassarre, G., Martinez, F., Kalantari, Z., &amp; Viglione, A. (2017). </w:t>
      </w:r>
      <w:r w:rsidRPr="00A174C6">
        <w:rPr>
          <w:rFonts w:ascii="Arial" w:eastAsia="Times New Roman" w:hAnsi="Arial" w:cs="Arial"/>
          <w:kern w:val="0"/>
          <w:sz w:val="20"/>
          <w:szCs w:val="20"/>
          <w14:ligatures w14:val="none"/>
        </w:rPr>
        <w:t xml:space="preserve">Drought and flood in the Anthropocene: Feedback mechanisms in reservoir operation. Earth System Dynamics, 8, 225-233. </w:t>
      </w:r>
      <w:hyperlink r:id="rId17" w:history="1">
        <w:r w:rsidR="00E92A81" w:rsidRPr="00BB3B23">
          <w:rPr>
            <w:rStyle w:val="Hyperlink"/>
            <w:rFonts w:ascii="Arial" w:eastAsia="Times New Roman" w:hAnsi="Arial" w:cs="Arial"/>
            <w:kern w:val="0"/>
            <w:sz w:val="20"/>
            <w:szCs w:val="20"/>
            <w14:ligatures w14:val="none"/>
          </w:rPr>
          <w:t>https://doi.org/10.5194/esd-8-225-2017</w:t>
        </w:r>
      </w:hyperlink>
      <w:r w:rsidR="00E92A81">
        <w:rPr>
          <w:rFonts w:ascii="Arial" w:eastAsia="Times New Roman" w:hAnsi="Arial" w:cs="Arial"/>
          <w:kern w:val="0"/>
          <w:sz w:val="20"/>
          <w:szCs w:val="20"/>
          <w14:ligatures w14:val="none"/>
        </w:rPr>
        <w:t xml:space="preserve"> </w:t>
      </w:r>
    </w:p>
    <w:p w14:paraId="7330AB24" w14:textId="6DA01979" w:rsidR="00EB14F4" w:rsidRDefault="00EB14F4" w:rsidP="00EB14F4">
      <w:pPr>
        <w:spacing w:after="0" w:line="240" w:lineRule="auto"/>
        <w:ind w:left="720" w:hanging="720"/>
        <w:jc w:val="both"/>
        <w:rPr>
          <w:rFonts w:ascii="Arial" w:eastAsia="Times New Roman" w:hAnsi="Arial" w:cs="Arial"/>
          <w:kern w:val="0"/>
          <w:sz w:val="20"/>
          <w:szCs w:val="20"/>
          <w14:ligatures w14:val="none"/>
        </w:rPr>
      </w:pPr>
      <w:r w:rsidRPr="00EB14F4">
        <w:rPr>
          <w:rFonts w:ascii="Arial" w:eastAsia="Times New Roman" w:hAnsi="Arial" w:cs="Arial"/>
          <w:kern w:val="0"/>
          <w:sz w:val="20"/>
          <w:szCs w:val="20"/>
          <w:lang w:val="de-DE"/>
          <w14:ligatures w14:val="none"/>
        </w:rPr>
        <w:t xml:space="preserve">Di Baldassarre, G., Mijic, A., Kalantari, Z., &amp; Rusca, M. (2023). </w:t>
      </w:r>
      <w:r w:rsidRPr="00A174C6">
        <w:rPr>
          <w:rFonts w:ascii="Arial" w:eastAsia="Times New Roman" w:hAnsi="Arial" w:cs="Arial"/>
          <w:kern w:val="0"/>
          <w:sz w:val="20"/>
          <w:szCs w:val="20"/>
          <w14:ligatures w14:val="none"/>
        </w:rPr>
        <w:t xml:space="preserve">A meta-model of socio-hydrological phenomena for sustainable water management. Nature Water, 1, 63-75. </w:t>
      </w:r>
      <w:hyperlink r:id="rId18" w:history="1">
        <w:r w:rsidR="00F85152" w:rsidRPr="00BB3B23">
          <w:rPr>
            <w:rStyle w:val="Hyperlink"/>
            <w:rFonts w:ascii="Arial" w:eastAsia="Times New Roman" w:hAnsi="Arial" w:cs="Arial"/>
            <w:kern w:val="0"/>
            <w:sz w:val="20"/>
            <w:szCs w:val="20"/>
            <w14:ligatures w14:val="none"/>
          </w:rPr>
          <w:t>https://doi.org/10.1038/s44221-023-00123-3</w:t>
        </w:r>
      </w:hyperlink>
    </w:p>
    <w:p w14:paraId="0D6FCFBE" w14:textId="5ADA69E4" w:rsidR="00F85152" w:rsidRPr="00F85152" w:rsidRDefault="00F85152" w:rsidP="00F85152">
      <w:pPr>
        <w:pStyle w:val="Bibliography"/>
        <w:spacing w:after="0"/>
        <w:rPr>
          <w:rFonts w:ascii="Arial" w:hAnsi="Arial" w:cs="Arial"/>
          <w:sz w:val="20"/>
        </w:rPr>
      </w:pPr>
      <w:r w:rsidRPr="00F85152">
        <w:rPr>
          <w:rFonts w:ascii="Arial" w:hAnsi="Arial" w:cs="Arial"/>
          <w:sz w:val="20"/>
        </w:rPr>
        <w:t xml:space="preserve">El </w:t>
      </w:r>
      <w:proofErr w:type="spellStart"/>
      <w:r w:rsidRPr="00F85152">
        <w:rPr>
          <w:rFonts w:ascii="Arial" w:hAnsi="Arial" w:cs="Arial"/>
          <w:sz w:val="20"/>
        </w:rPr>
        <w:t>Garouani</w:t>
      </w:r>
      <w:proofErr w:type="spellEnd"/>
      <w:r w:rsidRPr="00F85152">
        <w:rPr>
          <w:rFonts w:ascii="Arial" w:hAnsi="Arial" w:cs="Arial"/>
          <w:sz w:val="20"/>
        </w:rPr>
        <w:t xml:space="preserve">, Manal, Hassan </w:t>
      </w:r>
      <w:proofErr w:type="spellStart"/>
      <w:r w:rsidRPr="00F85152">
        <w:rPr>
          <w:rFonts w:ascii="Arial" w:hAnsi="Arial" w:cs="Arial"/>
          <w:sz w:val="20"/>
        </w:rPr>
        <w:t>Radoine</w:t>
      </w:r>
      <w:proofErr w:type="spellEnd"/>
      <w:r w:rsidRPr="00F85152">
        <w:rPr>
          <w:rFonts w:ascii="Arial" w:hAnsi="Arial" w:cs="Arial"/>
          <w:sz w:val="20"/>
        </w:rPr>
        <w:t xml:space="preserve">, </w:t>
      </w:r>
      <w:proofErr w:type="spellStart"/>
      <w:r w:rsidRPr="00F85152">
        <w:rPr>
          <w:rFonts w:ascii="Arial" w:hAnsi="Arial" w:cs="Arial"/>
          <w:sz w:val="20"/>
        </w:rPr>
        <w:t>Aberrahim</w:t>
      </w:r>
      <w:proofErr w:type="spellEnd"/>
      <w:r w:rsidRPr="00F85152">
        <w:rPr>
          <w:rFonts w:ascii="Arial" w:hAnsi="Arial" w:cs="Arial"/>
          <w:sz w:val="20"/>
        </w:rPr>
        <w:t xml:space="preserve"> </w:t>
      </w:r>
      <w:proofErr w:type="spellStart"/>
      <w:r w:rsidRPr="00F85152">
        <w:rPr>
          <w:rFonts w:ascii="Arial" w:hAnsi="Arial" w:cs="Arial"/>
          <w:sz w:val="20"/>
        </w:rPr>
        <w:t>Lahrach</w:t>
      </w:r>
      <w:proofErr w:type="spellEnd"/>
      <w:r w:rsidRPr="00F85152">
        <w:rPr>
          <w:rFonts w:ascii="Arial" w:hAnsi="Arial" w:cs="Arial"/>
          <w:sz w:val="20"/>
        </w:rPr>
        <w:t xml:space="preserve">, </w:t>
      </w:r>
      <w:proofErr w:type="spellStart"/>
      <w:r w:rsidRPr="00F85152">
        <w:rPr>
          <w:rFonts w:ascii="Arial" w:hAnsi="Arial" w:cs="Arial"/>
          <w:sz w:val="20"/>
        </w:rPr>
        <w:t>Hassane</w:t>
      </w:r>
      <w:proofErr w:type="spellEnd"/>
      <w:r w:rsidRPr="00F85152">
        <w:rPr>
          <w:rFonts w:ascii="Arial" w:hAnsi="Arial" w:cs="Arial"/>
          <w:sz w:val="20"/>
        </w:rPr>
        <w:t xml:space="preserve"> </w:t>
      </w:r>
      <w:proofErr w:type="spellStart"/>
      <w:r w:rsidRPr="00F85152">
        <w:rPr>
          <w:rFonts w:ascii="Arial" w:hAnsi="Arial" w:cs="Arial"/>
          <w:sz w:val="20"/>
        </w:rPr>
        <w:t>Jarar</w:t>
      </w:r>
      <w:proofErr w:type="spellEnd"/>
      <w:r w:rsidRPr="00F85152">
        <w:rPr>
          <w:rFonts w:ascii="Arial" w:hAnsi="Arial" w:cs="Arial"/>
          <w:sz w:val="20"/>
        </w:rPr>
        <w:t xml:space="preserve"> </w:t>
      </w:r>
      <w:proofErr w:type="spellStart"/>
      <w:r w:rsidRPr="00F85152">
        <w:rPr>
          <w:rFonts w:ascii="Arial" w:hAnsi="Arial" w:cs="Arial"/>
          <w:sz w:val="20"/>
        </w:rPr>
        <w:t>Oulidi</w:t>
      </w:r>
      <w:proofErr w:type="spellEnd"/>
      <w:r w:rsidRPr="00F85152">
        <w:rPr>
          <w:rFonts w:ascii="Arial" w:hAnsi="Arial" w:cs="Arial"/>
          <w:sz w:val="20"/>
        </w:rPr>
        <w:t xml:space="preserve">, and Mohamed Salem Chaabane. 2024. “An Integrated and Multidimensional Approach for Analyzing Vulnerability of Water Resources under Territorial Climate Conditions.” </w:t>
      </w:r>
      <w:r w:rsidRPr="00F85152">
        <w:rPr>
          <w:rFonts w:ascii="Arial" w:hAnsi="Arial" w:cs="Arial"/>
          <w:i/>
          <w:iCs/>
          <w:sz w:val="20"/>
        </w:rPr>
        <w:t>Environmental and Sustainability Indicators</w:t>
      </w:r>
      <w:r w:rsidRPr="00F85152">
        <w:rPr>
          <w:rFonts w:ascii="Arial" w:hAnsi="Arial" w:cs="Arial"/>
          <w:sz w:val="20"/>
        </w:rPr>
        <w:t xml:space="preserve"> 22:100383. </w:t>
      </w:r>
      <w:proofErr w:type="gramStart"/>
      <w:r w:rsidRPr="00F85152">
        <w:rPr>
          <w:rFonts w:ascii="Arial" w:hAnsi="Arial" w:cs="Arial"/>
          <w:sz w:val="20"/>
        </w:rPr>
        <w:t>doi:10.1016/j.indic</w:t>
      </w:r>
      <w:proofErr w:type="gramEnd"/>
      <w:r w:rsidRPr="00F85152">
        <w:rPr>
          <w:rFonts w:ascii="Arial" w:hAnsi="Arial" w:cs="Arial"/>
          <w:sz w:val="20"/>
        </w:rPr>
        <w:t>.2024.100383</w:t>
      </w:r>
      <w:r w:rsidR="00E92A81">
        <w:rPr>
          <w:rFonts w:ascii="Arial" w:hAnsi="Arial" w:cs="Arial"/>
          <w:sz w:val="20"/>
        </w:rPr>
        <w:t xml:space="preserve"> </w:t>
      </w:r>
    </w:p>
    <w:p w14:paraId="2D22766C" w14:textId="0CB49664" w:rsidR="00EB14F4" w:rsidRPr="00A174C6" w:rsidRDefault="00EB14F4" w:rsidP="00EB14F4">
      <w:pPr>
        <w:spacing w:after="0" w:line="240" w:lineRule="auto"/>
        <w:ind w:left="720" w:hanging="720"/>
        <w:jc w:val="both"/>
        <w:rPr>
          <w:rFonts w:ascii="Arial" w:eastAsia="Times New Roman" w:hAnsi="Arial" w:cs="Arial"/>
          <w:kern w:val="0"/>
          <w:sz w:val="20"/>
          <w:szCs w:val="20"/>
          <w14:ligatures w14:val="none"/>
        </w:rPr>
      </w:pPr>
      <w:r w:rsidRPr="00A174C6">
        <w:rPr>
          <w:rFonts w:ascii="Arial" w:eastAsia="Times New Roman" w:hAnsi="Arial" w:cs="Arial"/>
          <w:kern w:val="0"/>
          <w:sz w:val="20"/>
          <w:szCs w:val="20"/>
          <w14:ligatures w14:val="none"/>
        </w:rPr>
        <w:t xml:space="preserve">Famiglietti, J. S. (2022). Groundwater depletion in major arid basin systems: Global assessment using GRACE satellite observations. Environmental Research Letters, 17(3), 034021. </w:t>
      </w:r>
      <w:hyperlink r:id="rId19" w:history="1">
        <w:r w:rsidR="00E92A81" w:rsidRPr="00BB3B23">
          <w:rPr>
            <w:rStyle w:val="Hyperlink"/>
            <w:rFonts w:ascii="Arial" w:eastAsia="Times New Roman" w:hAnsi="Arial" w:cs="Arial"/>
            <w:kern w:val="0"/>
            <w:sz w:val="20"/>
            <w:szCs w:val="20"/>
            <w14:ligatures w14:val="none"/>
          </w:rPr>
          <w:t>https://doi.org/10.1088/1748-9326/ac4f76</w:t>
        </w:r>
      </w:hyperlink>
      <w:r w:rsidR="00E92A81">
        <w:rPr>
          <w:rFonts w:ascii="Arial" w:eastAsia="Times New Roman" w:hAnsi="Arial" w:cs="Arial"/>
          <w:kern w:val="0"/>
          <w:sz w:val="20"/>
          <w:szCs w:val="20"/>
          <w14:ligatures w14:val="none"/>
        </w:rPr>
        <w:t xml:space="preserve"> </w:t>
      </w:r>
    </w:p>
    <w:p w14:paraId="1E25C7E8" w14:textId="309BCE63" w:rsidR="00EB14F4" w:rsidRPr="00A174C6" w:rsidRDefault="00EB14F4" w:rsidP="00EB14F4">
      <w:pPr>
        <w:spacing w:after="0" w:line="240" w:lineRule="auto"/>
        <w:ind w:left="720" w:hanging="720"/>
        <w:jc w:val="both"/>
        <w:rPr>
          <w:rFonts w:ascii="Arial" w:eastAsia="Times New Roman" w:hAnsi="Arial" w:cs="Arial"/>
          <w:kern w:val="0"/>
          <w:sz w:val="20"/>
          <w:szCs w:val="20"/>
          <w14:ligatures w14:val="none"/>
        </w:rPr>
      </w:pPr>
      <w:r w:rsidRPr="00A174C6">
        <w:rPr>
          <w:rFonts w:ascii="Arial" w:eastAsia="Times New Roman" w:hAnsi="Arial" w:cs="Arial"/>
          <w:kern w:val="0"/>
          <w:sz w:val="20"/>
          <w:szCs w:val="20"/>
          <w14:ligatures w14:val="none"/>
        </w:rPr>
        <w:t xml:space="preserve">Foster, S., &amp; MacDonald, A. (2022). Emerging climate change implications for global groundwater security. Hydrogeology Journal, 30, 1-16. </w:t>
      </w:r>
      <w:hyperlink r:id="rId20" w:history="1">
        <w:r w:rsidR="00E92A81" w:rsidRPr="00BB3B23">
          <w:rPr>
            <w:rStyle w:val="Hyperlink"/>
            <w:rFonts w:ascii="Arial" w:eastAsia="Times New Roman" w:hAnsi="Arial" w:cs="Arial"/>
            <w:kern w:val="0"/>
            <w:sz w:val="20"/>
            <w:szCs w:val="20"/>
            <w14:ligatures w14:val="none"/>
          </w:rPr>
          <w:t>https://doi.org/10.1007/s10040-021-02407-y</w:t>
        </w:r>
      </w:hyperlink>
      <w:r w:rsidR="00E92A81">
        <w:rPr>
          <w:rFonts w:ascii="Arial" w:eastAsia="Times New Roman" w:hAnsi="Arial" w:cs="Arial"/>
          <w:kern w:val="0"/>
          <w:sz w:val="20"/>
          <w:szCs w:val="20"/>
          <w14:ligatures w14:val="none"/>
        </w:rPr>
        <w:t xml:space="preserve"> </w:t>
      </w:r>
    </w:p>
    <w:p w14:paraId="2A72CB60" w14:textId="77777777" w:rsidR="00EB14F4" w:rsidRPr="00A174C6" w:rsidRDefault="00EB14F4" w:rsidP="00EB14F4">
      <w:pPr>
        <w:spacing w:after="0" w:line="240" w:lineRule="auto"/>
        <w:ind w:left="720" w:hanging="720"/>
        <w:jc w:val="both"/>
        <w:rPr>
          <w:rFonts w:ascii="Arial" w:eastAsia="Times New Roman" w:hAnsi="Arial" w:cs="Arial"/>
          <w:kern w:val="0"/>
          <w:sz w:val="20"/>
          <w:szCs w:val="20"/>
          <w14:ligatures w14:val="none"/>
        </w:rPr>
      </w:pPr>
      <w:r w:rsidRPr="00A174C6">
        <w:rPr>
          <w:rFonts w:ascii="Arial" w:eastAsia="Times New Roman" w:hAnsi="Arial" w:cs="Arial"/>
          <w:kern w:val="0"/>
          <w:sz w:val="20"/>
          <w:szCs w:val="20"/>
          <w14:ligatures w14:val="none"/>
        </w:rPr>
        <w:t>Global Water Partnership (GWP). (2021). Integrated Water Resources Management: Technical Advisory Committee Background Paper No. 4. Stockholm: Global Water Partnership.</w:t>
      </w:r>
    </w:p>
    <w:p w14:paraId="10F0EF47" w14:textId="77777777" w:rsidR="00EB14F4" w:rsidRDefault="00EB14F4" w:rsidP="00EB14F4">
      <w:pPr>
        <w:spacing w:after="0" w:line="240" w:lineRule="auto"/>
        <w:ind w:left="720" w:hanging="720"/>
        <w:jc w:val="both"/>
        <w:rPr>
          <w:rFonts w:ascii="Arial" w:eastAsia="Times New Roman" w:hAnsi="Arial" w:cs="Arial"/>
          <w:kern w:val="0"/>
          <w:sz w:val="20"/>
          <w:szCs w:val="20"/>
          <w14:ligatures w14:val="none"/>
        </w:rPr>
      </w:pPr>
      <w:r w:rsidRPr="00A174C6">
        <w:rPr>
          <w:rFonts w:ascii="Arial" w:eastAsia="Times New Roman" w:hAnsi="Arial" w:cs="Arial"/>
          <w:kern w:val="0"/>
          <w:sz w:val="20"/>
          <w:szCs w:val="20"/>
          <w14:ligatures w14:val="none"/>
        </w:rPr>
        <w:t xml:space="preserve">Holling, C. S., &amp; Gunderson, L. H. (2022). Resilience and adaptive cycles. In </w:t>
      </w:r>
      <w:proofErr w:type="spellStart"/>
      <w:r w:rsidRPr="00A174C6">
        <w:rPr>
          <w:rFonts w:ascii="Arial" w:eastAsia="Times New Roman" w:hAnsi="Arial" w:cs="Arial"/>
          <w:kern w:val="0"/>
          <w:sz w:val="20"/>
          <w:szCs w:val="20"/>
          <w14:ligatures w14:val="none"/>
        </w:rPr>
        <w:t>Panarchy</w:t>
      </w:r>
      <w:proofErr w:type="spellEnd"/>
      <w:r w:rsidRPr="00A174C6">
        <w:rPr>
          <w:rFonts w:ascii="Arial" w:eastAsia="Times New Roman" w:hAnsi="Arial" w:cs="Arial"/>
          <w:kern w:val="0"/>
          <w:sz w:val="20"/>
          <w:szCs w:val="20"/>
          <w14:ligatures w14:val="none"/>
        </w:rPr>
        <w:t xml:space="preserve">: Understanding transformations in human and natural systems (pp. 25-62). Island Press. </w:t>
      </w:r>
      <w:hyperlink r:id="rId21" w:history="1">
        <w:r w:rsidRPr="00822722">
          <w:rPr>
            <w:rStyle w:val="Hyperlink"/>
            <w:rFonts w:ascii="Arial" w:eastAsia="Times New Roman" w:hAnsi="Arial" w:cs="Arial"/>
            <w:kern w:val="0"/>
            <w:sz w:val="20"/>
            <w:szCs w:val="20"/>
            <w14:ligatures w14:val="none"/>
          </w:rPr>
          <w:t>https://doi.org/10.5822/978-1-61091-199-3_2</w:t>
        </w:r>
      </w:hyperlink>
    </w:p>
    <w:p w14:paraId="061842A0" w14:textId="509BA17A" w:rsidR="00EB14F4" w:rsidRPr="00EB14F4" w:rsidRDefault="00EB14F4" w:rsidP="00EB14F4">
      <w:pPr>
        <w:pStyle w:val="Bibliography"/>
        <w:spacing w:after="0"/>
        <w:jc w:val="both"/>
        <w:rPr>
          <w:rFonts w:ascii="Arial" w:hAnsi="Arial" w:cs="Arial"/>
          <w:sz w:val="20"/>
        </w:rPr>
      </w:pPr>
      <w:proofErr w:type="spellStart"/>
      <w:r w:rsidRPr="005044E1">
        <w:rPr>
          <w:rFonts w:ascii="Arial" w:hAnsi="Arial" w:cs="Arial"/>
          <w:sz w:val="20"/>
        </w:rPr>
        <w:t>Ibisch</w:t>
      </w:r>
      <w:proofErr w:type="spellEnd"/>
      <w:r w:rsidRPr="005044E1">
        <w:rPr>
          <w:rFonts w:ascii="Arial" w:hAnsi="Arial" w:cs="Arial"/>
          <w:sz w:val="20"/>
        </w:rPr>
        <w:t xml:space="preserve">, Ralf B., Janos J. </w:t>
      </w:r>
      <w:proofErr w:type="spellStart"/>
      <w:r w:rsidRPr="005044E1">
        <w:rPr>
          <w:rFonts w:ascii="Arial" w:hAnsi="Arial" w:cs="Arial"/>
          <w:sz w:val="20"/>
        </w:rPr>
        <w:t>Bogardi</w:t>
      </w:r>
      <w:proofErr w:type="spellEnd"/>
      <w:r w:rsidRPr="005044E1">
        <w:rPr>
          <w:rFonts w:ascii="Arial" w:hAnsi="Arial" w:cs="Arial"/>
          <w:sz w:val="20"/>
        </w:rPr>
        <w:t xml:space="preserve">, and Dietrich Borchardt. 2016. “Integrated Water Resources Management: Concept, Research and Implementation.” Pp. 3–32 in </w:t>
      </w:r>
      <w:r w:rsidRPr="005044E1">
        <w:rPr>
          <w:rFonts w:ascii="Arial" w:hAnsi="Arial" w:cs="Arial"/>
          <w:i/>
          <w:iCs/>
          <w:sz w:val="20"/>
        </w:rPr>
        <w:t>Integrated Water Resources Management: Concept, Research and Implementation</w:t>
      </w:r>
      <w:r w:rsidRPr="005044E1">
        <w:rPr>
          <w:rFonts w:ascii="Arial" w:hAnsi="Arial" w:cs="Arial"/>
          <w:sz w:val="20"/>
        </w:rPr>
        <w:t xml:space="preserve">, edited by D. Borchardt, J. J. </w:t>
      </w:r>
      <w:proofErr w:type="spellStart"/>
      <w:r w:rsidRPr="005044E1">
        <w:rPr>
          <w:rFonts w:ascii="Arial" w:hAnsi="Arial" w:cs="Arial"/>
          <w:sz w:val="20"/>
        </w:rPr>
        <w:t>Bogardi</w:t>
      </w:r>
      <w:proofErr w:type="spellEnd"/>
      <w:r w:rsidRPr="005044E1">
        <w:rPr>
          <w:rFonts w:ascii="Arial" w:hAnsi="Arial" w:cs="Arial"/>
          <w:sz w:val="20"/>
        </w:rPr>
        <w:t xml:space="preserve">, and R. B. </w:t>
      </w:r>
      <w:proofErr w:type="spellStart"/>
      <w:r w:rsidRPr="005044E1">
        <w:rPr>
          <w:rFonts w:ascii="Arial" w:hAnsi="Arial" w:cs="Arial"/>
          <w:sz w:val="20"/>
        </w:rPr>
        <w:t>Ibisch</w:t>
      </w:r>
      <w:proofErr w:type="spellEnd"/>
      <w:r w:rsidRPr="005044E1">
        <w:rPr>
          <w:rFonts w:ascii="Arial" w:hAnsi="Arial" w:cs="Arial"/>
          <w:sz w:val="20"/>
        </w:rPr>
        <w:t>. Cham: Springer International Publishing.</w:t>
      </w:r>
      <w:r w:rsidR="00E92A81">
        <w:rPr>
          <w:rFonts w:ascii="Arial" w:hAnsi="Arial" w:cs="Arial"/>
          <w:sz w:val="20"/>
        </w:rPr>
        <w:t xml:space="preserve"> </w:t>
      </w:r>
    </w:p>
    <w:p w14:paraId="6BC0A0B4" w14:textId="5B6EC6AF" w:rsidR="00EB14F4" w:rsidRPr="00A174C6" w:rsidRDefault="00EB14F4" w:rsidP="00EB14F4">
      <w:pPr>
        <w:spacing w:after="0" w:line="240" w:lineRule="auto"/>
        <w:ind w:left="720" w:hanging="720"/>
        <w:jc w:val="both"/>
        <w:rPr>
          <w:rFonts w:ascii="Arial" w:eastAsia="Times New Roman" w:hAnsi="Arial" w:cs="Arial"/>
          <w:kern w:val="0"/>
          <w:sz w:val="20"/>
          <w:szCs w:val="20"/>
          <w14:ligatures w14:val="none"/>
        </w:rPr>
      </w:pPr>
      <w:r w:rsidRPr="00A174C6">
        <w:rPr>
          <w:rFonts w:ascii="Arial" w:eastAsia="Times New Roman" w:hAnsi="Arial" w:cs="Arial"/>
          <w:kern w:val="0"/>
          <w:sz w:val="20"/>
          <w:szCs w:val="20"/>
          <w14:ligatures w14:val="none"/>
        </w:rPr>
        <w:t xml:space="preserve">IPCC. (2022). Climate Change 2022: Impacts, adaptation, and vulnerability. Contribution of Working Group II to the Sixth Assessment Report of the Intergovernmental Panel on Climate Change. Cambridge University Press. </w:t>
      </w:r>
      <w:hyperlink r:id="rId22" w:history="1">
        <w:r w:rsidR="00E92A81" w:rsidRPr="00BB3B23">
          <w:rPr>
            <w:rStyle w:val="Hyperlink"/>
            <w:rFonts w:ascii="Arial" w:eastAsia="Times New Roman" w:hAnsi="Arial" w:cs="Arial"/>
            <w:kern w:val="0"/>
            <w:sz w:val="20"/>
            <w:szCs w:val="20"/>
            <w14:ligatures w14:val="none"/>
          </w:rPr>
          <w:t>https://doi.org/10.1017/9781009325844</w:t>
        </w:r>
      </w:hyperlink>
      <w:r w:rsidR="00E92A81">
        <w:rPr>
          <w:rFonts w:ascii="Arial" w:eastAsia="Times New Roman" w:hAnsi="Arial" w:cs="Arial"/>
          <w:kern w:val="0"/>
          <w:sz w:val="20"/>
          <w:szCs w:val="20"/>
          <w14:ligatures w14:val="none"/>
        </w:rPr>
        <w:t xml:space="preserve"> </w:t>
      </w:r>
    </w:p>
    <w:p w14:paraId="57E21C84" w14:textId="1828BE7C" w:rsidR="00EB14F4" w:rsidRPr="00A174C6" w:rsidRDefault="00EB14F4" w:rsidP="00EB14F4">
      <w:pPr>
        <w:spacing w:after="0" w:line="240" w:lineRule="auto"/>
        <w:ind w:left="720" w:hanging="720"/>
        <w:jc w:val="both"/>
        <w:rPr>
          <w:rFonts w:ascii="Arial" w:eastAsia="Times New Roman" w:hAnsi="Arial" w:cs="Arial"/>
          <w:kern w:val="0"/>
          <w:sz w:val="20"/>
          <w:szCs w:val="20"/>
          <w14:ligatures w14:val="none"/>
        </w:rPr>
      </w:pPr>
      <w:proofErr w:type="spellStart"/>
      <w:r w:rsidRPr="00A174C6">
        <w:rPr>
          <w:rFonts w:ascii="Arial" w:eastAsia="Times New Roman" w:hAnsi="Arial" w:cs="Arial"/>
          <w:kern w:val="0"/>
          <w:sz w:val="20"/>
          <w:szCs w:val="20"/>
          <w14:ligatures w14:val="none"/>
        </w:rPr>
        <w:t>Marchau</w:t>
      </w:r>
      <w:proofErr w:type="spellEnd"/>
      <w:r w:rsidRPr="00A174C6">
        <w:rPr>
          <w:rFonts w:ascii="Arial" w:eastAsia="Times New Roman" w:hAnsi="Arial" w:cs="Arial"/>
          <w:kern w:val="0"/>
          <w:sz w:val="20"/>
          <w:szCs w:val="20"/>
          <w14:ligatures w14:val="none"/>
        </w:rPr>
        <w:t xml:space="preserve">, V. A. W. J., Walker, W. E., Bloemen, P. J. T. M., &amp; Popper, S. W. (Eds.). (2021). Decision making under deep uncertainty: From theory to practice. Springer Nature. </w:t>
      </w:r>
      <w:hyperlink r:id="rId23" w:history="1">
        <w:r w:rsidR="00E92A81" w:rsidRPr="00BB3B23">
          <w:rPr>
            <w:rStyle w:val="Hyperlink"/>
            <w:rFonts w:ascii="Arial" w:eastAsia="Times New Roman" w:hAnsi="Arial" w:cs="Arial"/>
            <w:kern w:val="0"/>
            <w:sz w:val="20"/>
            <w:szCs w:val="20"/>
            <w14:ligatures w14:val="none"/>
          </w:rPr>
          <w:t>https://doi.org/10.1007/978-3-030-05252-2</w:t>
        </w:r>
      </w:hyperlink>
      <w:r w:rsidR="00E92A81">
        <w:rPr>
          <w:rFonts w:ascii="Arial" w:eastAsia="Times New Roman" w:hAnsi="Arial" w:cs="Arial"/>
          <w:kern w:val="0"/>
          <w:sz w:val="20"/>
          <w:szCs w:val="20"/>
          <w14:ligatures w14:val="none"/>
        </w:rPr>
        <w:t xml:space="preserve"> </w:t>
      </w:r>
    </w:p>
    <w:p w14:paraId="186CC900" w14:textId="43958A8D" w:rsidR="00EB14F4" w:rsidRPr="00A174C6" w:rsidRDefault="00EB14F4" w:rsidP="00EB14F4">
      <w:pPr>
        <w:spacing w:after="0" w:line="240" w:lineRule="auto"/>
        <w:ind w:left="720" w:hanging="720"/>
        <w:jc w:val="both"/>
        <w:rPr>
          <w:rFonts w:ascii="Arial" w:eastAsia="Times New Roman" w:hAnsi="Arial" w:cs="Arial"/>
          <w:kern w:val="0"/>
          <w:sz w:val="20"/>
          <w:szCs w:val="20"/>
          <w14:ligatures w14:val="none"/>
        </w:rPr>
      </w:pPr>
      <w:r w:rsidRPr="00A174C6">
        <w:rPr>
          <w:rFonts w:ascii="Arial" w:eastAsia="Times New Roman" w:hAnsi="Arial" w:cs="Arial"/>
          <w:kern w:val="0"/>
          <w:sz w:val="20"/>
          <w:szCs w:val="20"/>
          <w:lang w:val="de-DE"/>
          <w14:ligatures w14:val="none"/>
        </w:rPr>
        <w:lastRenderedPageBreak/>
        <w:t xml:space="preserve">Neumann, K., Verburg, P. H., Elbersen, B., Stehfest, E., &amp; Woltjer, G. B. (2021). </w:t>
      </w:r>
      <w:r w:rsidRPr="00A174C6">
        <w:rPr>
          <w:rFonts w:ascii="Arial" w:eastAsia="Times New Roman" w:hAnsi="Arial" w:cs="Arial"/>
          <w:kern w:val="0"/>
          <w:sz w:val="20"/>
          <w:szCs w:val="20"/>
          <w14:ligatures w14:val="none"/>
        </w:rPr>
        <w:t xml:space="preserve">Multi-scale scenarios of spatial-temporal dynamics in the European livestock sector. Agriculture, Ecosystems &amp; Environment, 302, 107037. </w:t>
      </w:r>
      <w:hyperlink r:id="rId24" w:history="1">
        <w:r w:rsidR="00E92A81" w:rsidRPr="00BB3B23">
          <w:rPr>
            <w:rStyle w:val="Hyperlink"/>
            <w:rFonts w:ascii="Arial" w:eastAsia="Times New Roman" w:hAnsi="Arial" w:cs="Arial"/>
            <w:kern w:val="0"/>
            <w:sz w:val="20"/>
            <w:szCs w:val="20"/>
            <w14:ligatures w14:val="none"/>
          </w:rPr>
          <w:t>https://doi.org/10.1016/j.agee.2020.107037</w:t>
        </w:r>
      </w:hyperlink>
      <w:r w:rsidR="00E92A81">
        <w:rPr>
          <w:rFonts w:ascii="Arial" w:eastAsia="Times New Roman" w:hAnsi="Arial" w:cs="Arial"/>
          <w:kern w:val="0"/>
          <w:sz w:val="20"/>
          <w:szCs w:val="20"/>
          <w14:ligatures w14:val="none"/>
        </w:rPr>
        <w:t xml:space="preserve"> </w:t>
      </w:r>
    </w:p>
    <w:p w14:paraId="2067BEB2" w14:textId="002BB61F" w:rsidR="00EB14F4" w:rsidRPr="00A174C6" w:rsidRDefault="00EB14F4" w:rsidP="00EB14F4">
      <w:pPr>
        <w:spacing w:after="0" w:line="240" w:lineRule="auto"/>
        <w:ind w:left="720" w:hanging="720"/>
        <w:jc w:val="both"/>
        <w:rPr>
          <w:rFonts w:ascii="Arial" w:eastAsia="Times New Roman" w:hAnsi="Arial" w:cs="Arial"/>
          <w:kern w:val="0"/>
          <w:sz w:val="20"/>
          <w:szCs w:val="20"/>
          <w14:ligatures w14:val="none"/>
        </w:rPr>
      </w:pPr>
      <w:proofErr w:type="spellStart"/>
      <w:r w:rsidRPr="00A174C6">
        <w:rPr>
          <w:rFonts w:ascii="Arial" w:eastAsia="Times New Roman" w:hAnsi="Arial" w:cs="Arial"/>
          <w:kern w:val="0"/>
          <w:sz w:val="20"/>
          <w:szCs w:val="20"/>
          <w14:ligatures w14:val="none"/>
        </w:rPr>
        <w:t>Pahl-Wostl</w:t>
      </w:r>
      <w:proofErr w:type="spellEnd"/>
      <w:r w:rsidRPr="00A174C6">
        <w:rPr>
          <w:rFonts w:ascii="Arial" w:eastAsia="Times New Roman" w:hAnsi="Arial" w:cs="Arial"/>
          <w:kern w:val="0"/>
          <w:sz w:val="20"/>
          <w:szCs w:val="20"/>
          <w14:ligatures w14:val="none"/>
        </w:rPr>
        <w:t xml:space="preserve">, C. (2022). Adaptive governance of water resources shared with Indigenous peoples: The role of law. Water, 10(2), 259. </w:t>
      </w:r>
      <w:hyperlink r:id="rId25" w:history="1">
        <w:r w:rsidR="00E92A81" w:rsidRPr="00BB3B23">
          <w:rPr>
            <w:rStyle w:val="Hyperlink"/>
            <w:rFonts w:ascii="Arial" w:eastAsia="Times New Roman" w:hAnsi="Arial" w:cs="Arial"/>
            <w:kern w:val="0"/>
            <w:sz w:val="20"/>
            <w:szCs w:val="20"/>
            <w14:ligatures w14:val="none"/>
          </w:rPr>
          <w:t>https://doi.org/10.3390/w10020259</w:t>
        </w:r>
      </w:hyperlink>
      <w:r w:rsidR="00E92A81">
        <w:rPr>
          <w:rFonts w:ascii="Arial" w:eastAsia="Times New Roman" w:hAnsi="Arial" w:cs="Arial"/>
          <w:kern w:val="0"/>
          <w:sz w:val="20"/>
          <w:szCs w:val="20"/>
          <w14:ligatures w14:val="none"/>
        </w:rPr>
        <w:t xml:space="preserve"> </w:t>
      </w:r>
    </w:p>
    <w:p w14:paraId="470B8742" w14:textId="718B0236" w:rsidR="00EB14F4" w:rsidRPr="00EB14F4" w:rsidRDefault="00EB14F4" w:rsidP="00EB14F4">
      <w:pPr>
        <w:pStyle w:val="Bibliography"/>
        <w:spacing w:after="0"/>
        <w:jc w:val="both"/>
        <w:rPr>
          <w:rFonts w:ascii="Arial" w:hAnsi="Arial" w:cs="Arial"/>
          <w:sz w:val="20"/>
        </w:rPr>
      </w:pPr>
      <w:r w:rsidRPr="005044E1">
        <w:rPr>
          <w:rFonts w:ascii="Arial" w:hAnsi="Arial" w:cs="Arial"/>
          <w:sz w:val="20"/>
        </w:rPr>
        <w:t xml:space="preserve">Rahaman, Muhammad Mizanur, and Olli and Varis. 2005. “Integrated Water Resources Management: Evolution, Prospects and Future Challenges.” </w:t>
      </w:r>
      <w:r w:rsidRPr="005044E1">
        <w:rPr>
          <w:rFonts w:ascii="Arial" w:hAnsi="Arial" w:cs="Arial"/>
          <w:i/>
          <w:iCs/>
          <w:sz w:val="20"/>
        </w:rPr>
        <w:t>Sustainability: Science, Practice and Policy</w:t>
      </w:r>
      <w:r w:rsidRPr="005044E1">
        <w:rPr>
          <w:rFonts w:ascii="Arial" w:hAnsi="Arial" w:cs="Arial"/>
          <w:sz w:val="20"/>
        </w:rPr>
        <w:t xml:space="preserve"> 1(1):15–21. doi:10.1080/15487733.2005.11907961.</w:t>
      </w:r>
      <w:r w:rsidR="00E92A81">
        <w:rPr>
          <w:rFonts w:ascii="Arial" w:hAnsi="Arial" w:cs="Arial"/>
          <w:sz w:val="20"/>
        </w:rPr>
        <w:t xml:space="preserve"> </w:t>
      </w:r>
    </w:p>
    <w:p w14:paraId="2050CB97" w14:textId="77777777" w:rsidR="00EB14F4" w:rsidRDefault="00EB14F4" w:rsidP="00EB14F4">
      <w:pPr>
        <w:spacing w:after="0" w:line="240" w:lineRule="auto"/>
        <w:ind w:left="720" w:hanging="720"/>
        <w:jc w:val="both"/>
        <w:rPr>
          <w:rFonts w:ascii="Arial" w:eastAsia="Times New Roman" w:hAnsi="Arial" w:cs="Arial"/>
          <w:kern w:val="0"/>
          <w:sz w:val="20"/>
          <w:szCs w:val="20"/>
          <w14:ligatures w14:val="none"/>
        </w:rPr>
      </w:pPr>
      <w:r w:rsidRPr="00A174C6">
        <w:rPr>
          <w:rFonts w:ascii="Arial" w:eastAsia="Times New Roman" w:hAnsi="Arial" w:cs="Arial"/>
          <w:kern w:val="0"/>
          <w:sz w:val="20"/>
          <w:szCs w:val="20"/>
          <w14:ligatures w14:val="none"/>
        </w:rPr>
        <w:t xml:space="preserve">Richter, B. D., Postel, S., </w:t>
      </w:r>
      <w:proofErr w:type="spellStart"/>
      <w:r w:rsidRPr="00A174C6">
        <w:rPr>
          <w:rFonts w:ascii="Arial" w:eastAsia="Times New Roman" w:hAnsi="Arial" w:cs="Arial"/>
          <w:kern w:val="0"/>
          <w:sz w:val="20"/>
          <w:szCs w:val="20"/>
          <w14:ligatures w14:val="none"/>
        </w:rPr>
        <w:t>Revenga</w:t>
      </w:r>
      <w:proofErr w:type="spellEnd"/>
      <w:r w:rsidRPr="00A174C6">
        <w:rPr>
          <w:rFonts w:ascii="Arial" w:eastAsia="Times New Roman" w:hAnsi="Arial" w:cs="Arial"/>
          <w:kern w:val="0"/>
          <w:sz w:val="20"/>
          <w:szCs w:val="20"/>
          <w14:ligatures w14:val="none"/>
        </w:rPr>
        <w:t xml:space="preserve">, C., Scudder, T., Lehner, B., Churchill, A., &amp; Chow, M. (2023). Sustainable water management in arid regions: Comprehensive review of large-scale projects. Journal of Water Resources Planning and Management, 149(2), 04022094. </w:t>
      </w:r>
      <w:hyperlink r:id="rId26" w:history="1">
        <w:r w:rsidRPr="00822722">
          <w:rPr>
            <w:rStyle w:val="Hyperlink"/>
            <w:rFonts w:ascii="Arial" w:eastAsia="Times New Roman" w:hAnsi="Arial" w:cs="Arial"/>
            <w:kern w:val="0"/>
            <w:sz w:val="20"/>
            <w:szCs w:val="20"/>
            <w14:ligatures w14:val="none"/>
          </w:rPr>
          <w:t>https://doi.org/10.1061/(ASCE)WR.1943-5452.0001644</w:t>
        </w:r>
      </w:hyperlink>
    </w:p>
    <w:p w14:paraId="569F26D0" w14:textId="510C936E" w:rsidR="00EB14F4" w:rsidRPr="00A174C6" w:rsidRDefault="00EB14F4" w:rsidP="00EB14F4">
      <w:pPr>
        <w:spacing w:after="0" w:line="240" w:lineRule="auto"/>
        <w:ind w:left="720" w:hanging="720"/>
        <w:jc w:val="both"/>
        <w:rPr>
          <w:rFonts w:ascii="Arial" w:eastAsia="Times New Roman" w:hAnsi="Arial" w:cs="Arial"/>
          <w:kern w:val="0"/>
          <w:sz w:val="20"/>
          <w:szCs w:val="20"/>
          <w:lang w:val="de-DE"/>
          <w14:ligatures w14:val="none"/>
        </w:rPr>
      </w:pPr>
      <w:proofErr w:type="spellStart"/>
      <w:r w:rsidRPr="00A174C6">
        <w:rPr>
          <w:rFonts w:ascii="Arial" w:eastAsia="Times New Roman" w:hAnsi="Arial" w:cs="Arial"/>
          <w:kern w:val="0"/>
          <w:sz w:val="20"/>
          <w:szCs w:val="20"/>
          <w14:ligatures w14:val="none"/>
        </w:rPr>
        <w:t>Rockström</w:t>
      </w:r>
      <w:proofErr w:type="spellEnd"/>
      <w:r w:rsidRPr="00A174C6">
        <w:rPr>
          <w:rFonts w:ascii="Arial" w:eastAsia="Times New Roman" w:hAnsi="Arial" w:cs="Arial"/>
          <w:kern w:val="0"/>
          <w:sz w:val="20"/>
          <w:szCs w:val="20"/>
          <w14:ligatures w14:val="none"/>
        </w:rPr>
        <w:t xml:space="preserve">, J., Steffen, W., Noone, K., Persson, Å., Chapin, F. S., Lambin, E. F., Lenton, T. M., Scheffer, M., Folke, C., </w:t>
      </w:r>
      <w:proofErr w:type="spellStart"/>
      <w:r w:rsidRPr="00A174C6">
        <w:rPr>
          <w:rFonts w:ascii="Arial" w:eastAsia="Times New Roman" w:hAnsi="Arial" w:cs="Arial"/>
          <w:kern w:val="0"/>
          <w:sz w:val="20"/>
          <w:szCs w:val="20"/>
          <w14:ligatures w14:val="none"/>
        </w:rPr>
        <w:t>Schellnhuber</w:t>
      </w:r>
      <w:proofErr w:type="spellEnd"/>
      <w:r w:rsidRPr="00A174C6">
        <w:rPr>
          <w:rFonts w:ascii="Arial" w:eastAsia="Times New Roman" w:hAnsi="Arial" w:cs="Arial"/>
          <w:kern w:val="0"/>
          <w:sz w:val="20"/>
          <w:szCs w:val="20"/>
          <w14:ligatures w14:val="none"/>
        </w:rPr>
        <w:t xml:space="preserve">, H. J., Nykvist, B., de Wit, C. A., Hughes, T., van der Leeuw, S., Rodhe, H., </w:t>
      </w:r>
      <w:proofErr w:type="spellStart"/>
      <w:r w:rsidRPr="00A174C6">
        <w:rPr>
          <w:rFonts w:ascii="Arial" w:eastAsia="Times New Roman" w:hAnsi="Arial" w:cs="Arial"/>
          <w:kern w:val="0"/>
          <w:sz w:val="20"/>
          <w:szCs w:val="20"/>
          <w14:ligatures w14:val="none"/>
        </w:rPr>
        <w:t>Sörlin</w:t>
      </w:r>
      <w:proofErr w:type="spellEnd"/>
      <w:r w:rsidRPr="00A174C6">
        <w:rPr>
          <w:rFonts w:ascii="Arial" w:eastAsia="Times New Roman" w:hAnsi="Arial" w:cs="Arial"/>
          <w:kern w:val="0"/>
          <w:sz w:val="20"/>
          <w:szCs w:val="20"/>
          <w14:ligatures w14:val="none"/>
        </w:rPr>
        <w:t xml:space="preserve">, S., Snyder, P. K., Costanza, R., Svedin, U., &amp; Foley, J. A. (2022). A safe operating space for humanity: Planetary boundaries for sustainable development. </w:t>
      </w:r>
      <w:r w:rsidRPr="00A174C6">
        <w:rPr>
          <w:rFonts w:ascii="Arial" w:eastAsia="Times New Roman" w:hAnsi="Arial" w:cs="Arial"/>
          <w:kern w:val="0"/>
          <w:sz w:val="20"/>
          <w:szCs w:val="20"/>
          <w:lang w:val="de-DE"/>
          <w14:ligatures w14:val="none"/>
        </w:rPr>
        <w:t xml:space="preserve">Nature, 491(7422), 472-475. </w:t>
      </w:r>
      <w:hyperlink r:id="rId27" w:history="1">
        <w:r w:rsidR="00E92A81" w:rsidRPr="00BB3B23">
          <w:rPr>
            <w:rStyle w:val="Hyperlink"/>
            <w:rFonts w:ascii="Arial" w:eastAsia="Times New Roman" w:hAnsi="Arial" w:cs="Arial"/>
            <w:kern w:val="0"/>
            <w:sz w:val="20"/>
            <w:szCs w:val="20"/>
            <w:lang w:val="de-DE"/>
            <w14:ligatures w14:val="none"/>
          </w:rPr>
          <w:t>https://doi.org/10.1038/461472a</w:t>
        </w:r>
      </w:hyperlink>
      <w:r w:rsidR="00E92A81">
        <w:rPr>
          <w:rFonts w:ascii="Arial" w:eastAsia="Times New Roman" w:hAnsi="Arial" w:cs="Arial"/>
          <w:kern w:val="0"/>
          <w:sz w:val="20"/>
          <w:szCs w:val="20"/>
          <w:lang w:val="de-DE"/>
          <w14:ligatures w14:val="none"/>
        </w:rPr>
        <w:t xml:space="preserve"> </w:t>
      </w:r>
    </w:p>
    <w:p w14:paraId="32A0D3ED" w14:textId="06D05957" w:rsidR="00EB14F4" w:rsidRPr="00A174C6" w:rsidRDefault="00EB14F4" w:rsidP="00EB14F4">
      <w:pPr>
        <w:spacing w:after="0" w:line="240" w:lineRule="auto"/>
        <w:ind w:left="720" w:hanging="720"/>
        <w:jc w:val="both"/>
        <w:rPr>
          <w:rFonts w:ascii="Arial" w:eastAsia="Times New Roman" w:hAnsi="Arial" w:cs="Arial"/>
          <w:kern w:val="0"/>
          <w:sz w:val="20"/>
          <w:szCs w:val="20"/>
          <w14:ligatures w14:val="none"/>
        </w:rPr>
      </w:pPr>
      <w:r w:rsidRPr="00A174C6">
        <w:rPr>
          <w:rFonts w:ascii="Arial" w:eastAsia="Times New Roman" w:hAnsi="Arial" w:cs="Arial"/>
          <w:kern w:val="0"/>
          <w:sz w:val="20"/>
          <w:szCs w:val="20"/>
          <w:lang w:val="de-DE"/>
          <w14:ligatures w14:val="none"/>
        </w:rPr>
        <w:t xml:space="preserve">Rodell, M., Famiglietti, J. S., Wiese, D. N., Reager, J. T., Beaudoing, H. K., Landerer, F. W., &amp; Lo, M. H. (2023). </w:t>
      </w:r>
      <w:r w:rsidRPr="00A174C6">
        <w:rPr>
          <w:rFonts w:ascii="Arial" w:eastAsia="Times New Roman" w:hAnsi="Arial" w:cs="Arial"/>
          <w:kern w:val="0"/>
          <w:sz w:val="20"/>
          <w:szCs w:val="20"/>
          <w14:ligatures w14:val="none"/>
        </w:rPr>
        <w:t xml:space="preserve">Emerging trends in global freshwater availability. Nature, 557(7707), 651-659. </w:t>
      </w:r>
      <w:hyperlink r:id="rId28" w:history="1">
        <w:r w:rsidR="00E92A81" w:rsidRPr="00BB3B23">
          <w:rPr>
            <w:rStyle w:val="Hyperlink"/>
            <w:rFonts w:ascii="Arial" w:eastAsia="Times New Roman" w:hAnsi="Arial" w:cs="Arial"/>
            <w:kern w:val="0"/>
            <w:sz w:val="20"/>
            <w:szCs w:val="20"/>
            <w14:ligatures w14:val="none"/>
          </w:rPr>
          <w:t>https://doi.org/10.1038/s41586-018-0123-1</w:t>
        </w:r>
      </w:hyperlink>
      <w:r w:rsidR="00E92A81">
        <w:rPr>
          <w:rFonts w:ascii="Arial" w:eastAsia="Times New Roman" w:hAnsi="Arial" w:cs="Arial"/>
          <w:kern w:val="0"/>
          <w:sz w:val="20"/>
          <w:szCs w:val="20"/>
          <w14:ligatures w14:val="none"/>
        </w:rPr>
        <w:t xml:space="preserve"> </w:t>
      </w:r>
    </w:p>
    <w:p w14:paraId="5EEF072F" w14:textId="63773B6B" w:rsidR="00EB14F4" w:rsidRPr="00A174C6" w:rsidRDefault="00EB14F4" w:rsidP="00EB14F4">
      <w:pPr>
        <w:spacing w:after="0" w:line="240" w:lineRule="auto"/>
        <w:ind w:left="720" w:hanging="720"/>
        <w:jc w:val="both"/>
        <w:rPr>
          <w:rFonts w:ascii="Arial" w:eastAsia="Times New Roman" w:hAnsi="Arial" w:cs="Arial"/>
          <w:kern w:val="0"/>
          <w:sz w:val="20"/>
          <w:szCs w:val="20"/>
          <w14:ligatures w14:val="none"/>
        </w:rPr>
      </w:pPr>
      <w:r w:rsidRPr="00A174C6">
        <w:rPr>
          <w:rFonts w:ascii="Arial" w:eastAsia="Times New Roman" w:hAnsi="Arial" w:cs="Arial"/>
          <w:kern w:val="0"/>
          <w:sz w:val="20"/>
          <w:szCs w:val="20"/>
          <w14:ligatures w14:val="none"/>
        </w:rPr>
        <w:t xml:space="preserve">Shah, T., &amp; Venot, J. P. (2020). Re-building or building back better? Critical lessons from ground water governance reforms in India. Climate Risk Management, 29, 100256. </w:t>
      </w:r>
      <w:hyperlink r:id="rId29" w:history="1">
        <w:r w:rsidR="00E92A81" w:rsidRPr="00BB3B23">
          <w:rPr>
            <w:rStyle w:val="Hyperlink"/>
            <w:rFonts w:ascii="Arial" w:eastAsia="Times New Roman" w:hAnsi="Arial" w:cs="Arial"/>
            <w:kern w:val="0"/>
            <w:sz w:val="20"/>
            <w:szCs w:val="20"/>
            <w14:ligatures w14:val="none"/>
          </w:rPr>
          <w:t>https://doi.org/10.1016/j.crm.2020.100256</w:t>
        </w:r>
      </w:hyperlink>
      <w:r w:rsidR="00E92A81">
        <w:rPr>
          <w:rFonts w:ascii="Arial" w:eastAsia="Times New Roman" w:hAnsi="Arial" w:cs="Arial"/>
          <w:kern w:val="0"/>
          <w:sz w:val="20"/>
          <w:szCs w:val="20"/>
          <w14:ligatures w14:val="none"/>
        </w:rPr>
        <w:t xml:space="preserve"> </w:t>
      </w:r>
    </w:p>
    <w:p w14:paraId="71E77129" w14:textId="102C2FB3" w:rsidR="00F85152" w:rsidRPr="00F85152" w:rsidRDefault="00EB14F4" w:rsidP="00F85152">
      <w:pPr>
        <w:spacing w:after="0" w:line="240" w:lineRule="auto"/>
        <w:ind w:left="720" w:hanging="720"/>
        <w:jc w:val="both"/>
        <w:rPr>
          <w:rFonts w:ascii="Arial" w:eastAsia="Times New Roman" w:hAnsi="Arial" w:cs="Arial"/>
          <w:kern w:val="0"/>
          <w:sz w:val="20"/>
          <w:szCs w:val="20"/>
          <w14:ligatures w14:val="none"/>
        </w:rPr>
      </w:pPr>
      <w:r w:rsidRPr="00A174C6">
        <w:rPr>
          <w:rFonts w:ascii="Arial" w:eastAsia="Times New Roman" w:hAnsi="Arial" w:cs="Arial"/>
          <w:kern w:val="0"/>
          <w:sz w:val="20"/>
          <w:szCs w:val="20"/>
          <w14:ligatures w14:val="none"/>
        </w:rPr>
        <w:t xml:space="preserve">Trnka, M., Feng, S., Semenov, M. A., Olesen, J. E., </w:t>
      </w:r>
      <w:proofErr w:type="spellStart"/>
      <w:r w:rsidRPr="00A174C6">
        <w:rPr>
          <w:rFonts w:ascii="Arial" w:eastAsia="Times New Roman" w:hAnsi="Arial" w:cs="Arial"/>
          <w:kern w:val="0"/>
          <w:sz w:val="20"/>
          <w:szCs w:val="20"/>
          <w14:ligatures w14:val="none"/>
        </w:rPr>
        <w:t>Kersebaum</w:t>
      </w:r>
      <w:proofErr w:type="spellEnd"/>
      <w:r w:rsidRPr="00A174C6">
        <w:rPr>
          <w:rFonts w:ascii="Arial" w:eastAsia="Times New Roman" w:hAnsi="Arial" w:cs="Arial"/>
          <w:kern w:val="0"/>
          <w:sz w:val="20"/>
          <w:szCs w:val="20"/>
          <w14:ligatures w14:val="none"/>
        </w:rPr>
        <w:t xml:space="preserve">, K. C., </w:t>
      </w:r>
      <w:proofErr w:type="spellStart"/>
      <w:r w:rsidRPr="00A174C6">
        <w:rPr>
          <w:rFonts w:ascii="Arial" w:eastAsia="Times New Roman" w:hAnsi="Arial" w:cs="Arial"/>
          <w:kern w:val="0"/>
          <w:sz w:val="20"/>
          <w:szCs w:val="20"/>
          <w14:ligatures w14:val="none"/>
        </w:rPr>
        <w:t>Rötter</w:t>
      </w:r>
      <w:proofErr w:type="spellEnd"/>
      <w:r w:rsidRPr="00A174C6">
        <w:rPr>
          <w:rFonts w:ascii="Arial" w:eastAsia="Times New Roman" w:hAnsi="Arial" w:cs="Arial"/>
          <w:kern w:val="0"/>
          <w:sz w:val="20"/>
          <w:szCs w:val="20"/>
          <w14:ligatures w14:val="none"/>
        </w:rPr>
        <w:t xml:space="preserve">, R. P., </w:t>
      </w:r>
      <w:proofErr w:type="spellStart"/>
      <w:r w:rsidRPr="00A174C6">
        <w:rPr>
          <w:rFonts w:ascii="Arial" w:eastAsia="Times New Roman" w:hAnsi="Arial" w:cs="Arial"/>
          <w:kern w:val="0"/>
          <w:sz w:val="20"/>
          <w:szCs w:val="20"/>
          <w14:ligatures w14:val="none"/>
        </w:rPr>
        <w:t>Semerádová</w:t>
      </w:r>
      <w:proofErr w:type="spellEnd"/>
      <w:r w:rsidRPr="00A174C6">
        <w:rPr>
          <w:rFonts w:ascii="Arial" w:eastAsia="Times New Roman" w:hAnsi="Arial" w:cs="Arial"/>
          <w:kern w:val="0"/>
          <w:sz w:val="20"/>
          <w:szCs w:val="20"/>
          <w14:ligatures w14:val="none"/>
        </w:rPr>
        <w:t xml:space="preserve">, D., Klem, K., Huang, W., Ruiz-Ramos, M., Hlavinka, P., Meitner, J., Balek, J., Havlík, P., &amp; </w:t>
      </w:r>
      <w:proofErr w:type="spellStart"/>
      <w:r w:rsidRPr="00A174C6">
        <w:rPr>
          <w:rFonts w:ascii="Arial" w:eastAsia="Times New Roman" w:hAnsi="Arial" w:cs="Arial"/>
          <w:kern w:val="0"/>
          <w:sz w:val="20"/>
          <w:szCs w:val="20"/>
          <w14:ligatures w14:val="none"/>
        </w:rPr>
        <w:t>Büntgen</w:t>
      </w:r>
      <w:proofErr w:type="spellEnd"/>
      <w:r w:rsidRPr="00A174C6">
        <w:rPr>
          <w:rFonts w:ascii="Arial" w:eastAsia="Times New Roman" w:hAnsi="Arial" w:cs="Arial"/>
          <w:kern w:val="0"/>
          <w:sz w:val="20"/>
          <w:szCs w:val="20"/>
          <w14:ligatures w14:val="none"/>
        </w:rPr>
        <w:t xml:space="preserve">, U. (2023). Climate change threats to agricultural water availability in semi-arid regions. Global Change Biology, 29(9), 2459-2476. </w:t>
      </w:r>
      <w:hyperlink r:id="rId30" w:history="1">
        <w:r w:rsidR="00E92A81" w:rsidRPr="00BB3B23">
          <w:rPr>
            <w:rStyle w:val="Hyperlink"/>
            <w:rFonts w:ascii="Arial" w:eastAsia="Times New Roman" w:hAnsi="Arial" w:cs="Arial"/>
            <w:kern w:val="0"/>
            <w:sz w:val="20"/>
            <w:szCs w:val="20"/>
            <w14:ligatures w14:val="none"/>
          </w:rPr>
          <w:t>https://doi.org/10.1111/gcb.16597</w:t>
        </w:r>
      </w:hyperlink>
      <w:r w:rsidR="00E92A81">
        <w:rPr>
          <w:rFonts w:ascii="Arial" w:eastAsia="Times New Roman" w:hAnsi="Arial" w:cs="Arial"/>
          <w:kern w:val="0"/>
          <w:sz w:val="20"/>
          <w:szCs w:val="20"/>
          <w14:ligatures w14:val="none"/>
        </w:rPr>
        <w:t xml:space="preserve"> </w:t>
      </w:r>
      <w:r w:rsidR="00F85152">
        <w:rPr>
          <w:rFonts w:ascii="Arial" w:eastAsia="Times New Roman" w:hAnsi="Arial" w:cs="Arial"/>
          <w:sz w:val="20"/>
          <w:szCs w:val="20"/>
          <w14:ligatures w14:val="none"/>
        </w:rPr>
        <w:fldChar w:fldCharType="begin"/>
      </w:r>
      <w:r w:rsidR="00F85152">
        <w:rPr>
          <w:rFonts w:ascii="Arial" w:eastAsia="Times New Roman" w:hAnsi="Arial" w:cs="Arial"/>
          <w:sz w:val="20"/>
          <w:szCs w:val="20"/>
          <w14:ligatures w14:val="none"/>
        </w:rPr>
        <w:instrText xml:space="preserve"> ADDIN ZOTERO_BIBL {"uncited":[],"omitted":[],"custom":[]} CSL_BIBLIOGRAPHY </w:instrText>
      </w:r>
      <w:r w:rsidR="00F85152">
        <w:rPr>
          <w:rFonts w:ascii="Arial" w:eastAsia="Times New Roman" w:hAnsi="Arial" w:cs="Arial"/>
          <w:sz w:val="20"/>
          <w:szCs w:val="20"/>
          <w14:ligatures w14:val="none"/>
        </w:rPr>
        <w:fldChar w:fldCharType="separate"/>
      </w:r>
    </w:p>
    <w:p w14:paraId="0DB8DE8B" w14:textId="77777777" w:rsidR="00E92A81" w:rsidRDefault="00F85152" w:rsidP="00F85152">
      <w:pPr>
        <w:pStyle w:val="Bibliography"/>
        <w:rPr>
          <w:rFonts w:ascii="Arial" w:hAnsi="Arial" w:cs="Arial"/>
          <w:sz w:val="20"/>
        </w:rPr>
      </w:pPr>
      <w:r w:rsidRPr="00F85152">
        <w:rPr>
          <w:rFonts w:ascii="Arial" w:hAnsi="Arial" w:cs="Arial"/>
          <w:sz w:val="20"/>
        </w:rPr>
        <w:t xml:space="preserve">Zhang, Yufei, Yongping Li, Guohe Huang, Yuan Ma, and Yanxiao Zhou. 2025. “Optimizing Sustainable Development in Arid River Basins: A Multi-Objective Approach to Balancing Water, Energy, Economy, Carbon and Ecology Nexus.” </w:t>
      </w:r>
      <w:r w:rsidRPr="00F85152">
        <w:rPr>
          <w:rFonts w:ascii="Arial" w:hAnsi="Arial" w:cs="Arial"/>
          <w:i/>
          <w:iCs/>
          <w:sz w:val="20"/>
        </w:rPr>
        <w:t>Environmental Science and Ecotechnology</w:t>
      </w:r>
      <w:r w:rsidRPr="00F85152">
        <w:rPr>
          <w:rFonts w:ascii="Arial" w:hAnsi="Arial" w:cs="Arial"/>
          <w:sz w:val="20"/>
        </w:rPr>
        <w:t xml:space="preserve"> 23:100481. doi:10.1016/j.ese.2024.100481</w:t>
      </w:r>
      <w:r w:rsidR="00E92A81">
        <w:rPr>
          <w:rFonts w:ascii="Arial" w:hAnsi="Arial" w:cs="Arial"/>
          <w:sz w:val="20"/>
        </w:rPr>
        <w:t xml:space="preserve"> </w:t>
      </w:r>
    </w:p>
    <w:p w14:paraId="64BE5BBD" w14:textId="0BFD4125" w:rsidR="00F85152" w:rsidRPr="00F85152" w:rsidRDefault="00E92A81" w:rsidP="00F85152">
      <w:pPr>
        <w:pStyle w:val="Bibliography"/>
        <w:rPr>
          <w:rFonts w:ascii="Arial" w:hAnsi="Arial" w:cs="Arial"/>
          <w:sz w:val="20"/>
        </w:rPr>
      </w:pPr>
      <w:r>
        <w:rPr>
          <w:rFonts w:ascii="Arial" w:hAnsi="Arial" w:cs="Arial"/>
          <w:sz w:val="20"/>
        </w:rPr>
        <w:t xml:space="preserve"> </w:t>
      </w:r>
    </w:p>
    <w:p w14:paraId="54540B56" w14:textId="569A4597" w:rsidR="005044E1" w:rsidRPr="002D7360" w:rsidRDefault="00F85152" w:rsidP="00EB14F4">
      <w:pPr>
        <w:spacing w:after="0" w:line="240" w:lineRule="auto"/>
        <w:ind w:left="720" w:hanging="720"/>
        <w:jc w:val="both"/>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fldChar w:fldCharType="end"/>
      </w:r>
    </w:p>
    <w:sectPr w:rsidR="005044E1" w:rsidRPr="002D7360">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53DBD1" w14:textId="77777777" w:rsidR="0010465B" w:rsidRDefault="0010465B" w:rsidP="001C7A3E">
      <w:pPr>
        <w:spacing w:after="0" w:line="240" w:lineRule="auto"/>
      </w:pPr>
      <w:r>
        <w:separator/>
      </w:r>
    </w:p>
  </w:endnote>
  <w:endnote w:type="continuationSeparator" w:id="0">
    <w:p w14:paraId="37AB7617" w14:textId="77777777" w:rsidR="0010465B" w:rsidRDefault="0010465B" w:rsidP="001C7A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9B3C9" w14:textId="77777777" w:rsidR="001C7A3E" w:rsidRDefault="001C7A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7BA3F" w14:textId="77777777" w:rsidR="001C7A3E" w:rsidRDefault="001C7A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E21DA" w14:textId="77777777" w:rsidR="001C7A3E" w:rsidRDefault="001C7A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FFA2C8" w14:textId="77777777" w:rsidR="0010465B" w:rsidRDefault="0010465B" w:rsidP="001C7A3E">
      <w:pPr>
        <w:spacing w:after="0" w:line="240" w:lineRule="auto"/>
      </w:pPr>
      <w:r>
        <w:separator/>
      </w:r>
    </w:p>
  </w:footnote>
  <w:footnote w:type="continuationSeparator" w:id="0">
    <w:p w14:paraId="3CB44F9A" w14:textId="77777777" w:rsidR="0010465B" w:rsidRDefault="0010465B" w:rsidP="001C7A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13892" w14:textId="5A995BF1" w:rsidR="001C7A3E" w:rsidRDefault="0010465B">
    <w:pPr>
      <w:pStyle w:val="Header"/>
    </w:pPr>
    <w:r>
      <w:rPr>
        <w:noProof/>
      </w:rPr>
      <w:pict w14:anchorId="7EF00F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2218407"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8C6AE" w14:textId="10E00350" w:rsidR="001C7A3E" w:rsidRDefault="0010465B">
    <w:pPr>
      <w:pStyle w:val="Header"/>
    </w:pPr>
    <w:r>
      <w:rPr>
        <w:noProof/>
      </w:rPr>
      <w:pict w14:anchorId="02D718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2218408"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98351" w14:textId="4A7748D3" w:rsidR="001C7A3E" w:rsidRDefault="0010465B">
    <w:pPr>
      <w:pStyle w:val="Header"/>
    </w:pPr>
    <w:r>
      <w:rPr>
        <w:noProof/>
      </w:rPr>
      <w:pict w14:anchorId="15C53B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2218406"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0C58F8"/>
    <w:multiLevelType w:val="multilevel"/>
    <w:tmpl w:val="5F909E56"/>
    <w:lvl w:ilvl="0">
      <w:start w:val="3"/>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0A0743B"/>
    <w:multiLevelType w:val="hybridMultilevel"/>
    <w:tmpl w:val="98821F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493FD6"/>
    <w:multiLevelType w:val="multilevel"/>
    <w:tmpl w:val="7A9628B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04C7E8F"/>
    <w:multiLevelType w:val="hybridMultilevel"/>
    <w:tmpl w:val="504E2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5D6627"/>
    <w:multiLevelType w:val="hybridMultilevel"/>
    <w:tmpl w:val="5972E6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416A13"/>
    <w:multiLevelType w:val="hybridMultilevel"/>
    <w:tmpl w:val="591610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D01646"/>
    <w:multiLevelType w:val="hybridMultilevel"/>
    <w:tmpl w:val="80E8C3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D07611"/>
    <w:multiLevelType w:val="hybridMultilevel"/>
    <w:tmpl w:val="0B3084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47E452A"/>
    <w:multiLevelType w:val="multilevel"/>
    <w:tmpl w:val="84A89EF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2"/>
  </w:num>
  <w:num w:numId="4">
    <w:abstractNumId w:val="1"/>
  </w:num>
  <w:num w:numId="5">
    <w:abstractNumId w:val="8"/>
  </w:num>
  <w:num w:numId="6">
    <w:abstractNumId w:val="4"/>
  </w:num>
  <w:num w:numId="7">
    <w:abstractNumId w:val="6"/>
  </w:num>
  <w:num w:numId="8">
    <w:abstractNumId w:val="5"/>
  </w:num>
  <w:num w:numId="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5FF"/>
    <w:rsid w:val="000B6BEB"/>
    <w:rsid w:val="000C7284"/>
    <w:rsid w:val="000C72D5"/>
    <w:rsid w:val="000D6DE8"/>
    <w:rsid w:val="000D79BB"/>
    <w:rsid w:val="0010465B"/>
    <w:rsid w:val="00160D2B"/>
    <w:rsid w:val="001B2FA4"/>
    <w:rsid w:val="001C7A3E"/>
    <w:rsid w:val="001E37D3"/>
    <w:rsid w:val="001F36EA"/>
    <w:rsid w:val="0021583F"/>
    <w:rsid w:val="00260EF2"/>
    <w:rsid w:val="002843C0"/>
    <w:rsid w:val="002A2201"/>
    <w:rsid w:val="002D7360"/>
    <w:rsid w:val="002E146C"/>
    <w:rsid w:val="00355FCF"/>
    <w:rsid w:val="003B5080"/>
    <w:rsid w:val="003B6F69"/>
    <w:rsid w:val="003D17FC"/>
    <w:rsid w:val="0044557C"/>
    <w:rsid w:val="00452B65"/>
    <w:rsid w:val="00460369"/>
    <w:rsid w:val="004739F0"/>
    <w:rsid w:val="005044E1"/>
    <w:rsid w:val="00534D78"/>
    <w:rsid w:val="0054279F"/>
    <w:rsid w:val="00555CF1"/>
    <w:rsid w:val="00592A59"/>
    <w:rsid w:val="005A081E"/>
    <w:rsid w:val="005D7B39"/>
    <w:rsid w:val="006104BF"/>
    <w:rsid w:val="00614BE3"/>
    <w:rsid w:val="00615078"/>
    <w:rsid w:val="00665E15"/>
    <w:rsid w:val="006A6159"/>
    <w:rsid w:val="006E3A6C"/>
    <w:rsid w:val="00717010"/>
    <w:rsid w:val="007335FF"/>
    <w:rsid w:val="00743CF9"/>
    <w:rsid w:val="00794DC2"/>
    <w:rsid w:val="008F54D6"/>
    <w:rsid w:val="009D2ABE"/>
    <w:rsid w:val="00A01B40"/>
    <w:rsid w:val="00A174C6"/>
    <w:rsid w:val="00A36618"/>
    <w:rsid w:val="00A629C2"/>
    <w:rsid w:val="00A97FFE"/>
    <w:rsid w:val="00AB7D52"/>
    <w:rsid w:val="00B46F20"/>
    <w:rsid w:val="00B50E54"/>
    <w:rsid w:val="00BA1321"/>
    <w:rsid w:val="00BA5CB4"/>
    <w:rsid w:val="00BB4776"/>
    <w:rsid w:val="00BF18A4"/>
    <w:rsid w:val="00C12A8E"/>
    <w:rsid w:val="00C43024"/>
    <w:rsid w:val="00C67409"/>
    <w:rsid w:val="00C97CCD"/>
    <w:rsid w:val="00CA030A"/>
    <w:rsid w:val="00CD06E2"/>
    <w:rsid w:val="00CF40CB"/>
    <w:rsid w:val="00D638E1"/>
    <w:rsid w:val="00DA5352"/>
    <w:rsid w:val="00DC2203"/>
    <w:rsid w:val="00DF6228"/>
    <w:rsid w:val="00E05A24"/>
    <w:rsid w:val="00E7014E"/>
    <w:rsid w:val="00E92A81"/>
    <w:rsid w:val="00E97C9F"/>
    <w:rsid w:val="00EA4690"/>
    <w:rsid w:val="00EB14F4"/>
    <w:rsid w:val="00EE0F23"/>
    <w:rsid w:val="00F0140D"/>
    <w:rsid w:val="00F14756"/>
    <w:rsid w:val="00F41EEE"/>
    <w:rsid w:val="00F56FB9"/>
    <w:rsid w:val="00F85152"/>
    <w:rsid w:val="00FE48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374B896"/>
  <w15:chartTrackingRefBased/>
  <w15:docId w15:val="{2F7768C4-FC46-4838-8EC4-4CC755C69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335F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335F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335F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335F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335F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335F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335F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335F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335F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35F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335F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335F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335F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335F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335F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335F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335F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335FF"/>
    <w:rPr>
      <w:rFonts w:eastAsiaTheme="majorEastAsia" w:cstheme="majorBidi"/>
      <w:color w:val="272727" w:themeColor="text1" w:themeTint="D8"/>
    </w:rPr>
  </w:style>
  <w:style w:type="paragraph" w:styleId="Title">
    <w:name w:val="Title"/>
    <w:basedOn w:val="Normal"/>
    <w:next w:val="Normal"/>
    <w:link w:val="TitleChar"/>
    <w:uiPriority w:val="10"/>
    <w:qFormat/>
    <w:rsid w:val="007335F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35F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335F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335F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335FF"/>
    <w:pPr>
      <w:spacing w:before="160"/>
      <w:jc w:val="center"/>
    </w:pPr>
    <w:rPr>
      <w:i/>
      <w:iCs/>
      <w:color w:val="404040" w:themeColor="text1" w:themeTint="BF"/>
    </w:rPr>
  </w:style>
  <w:style w:type="character" w:customStyle="1" w:styleId="QuoteChar">
    <w:name w:val="Quote Char"/>
    <w:basedOn w:val="DefaultParagraphFont"/>
    <w:link w:val="Quote"/>
    <w:uiPriority w:val="29"/>
    <w:rsid w:val="007335FF"/>
    <w:rPr>
      <w:i/>
      <w:iCs/>
      <w:color w:val="404040" w:themeColor="text1" w:themeTint="BF"/>
    </w:rPr>
  </w:style>
  <w:style w:type="paragraph" w:styleId="ListParagraph">
    <w:name w:val="List Paragraph"/>
    <w:basedOn w:val="Normal"/>
    <w:uiPriority w:val="34"/>
    <w:qFormat/>
    <w:rsid w:val="007335FF"/>
    <w:pPr>
      <w:ind w:left="720"/>
      <w:contextualSpacing/>
    </w:pPr>
  </w:style>
  <w:style w:type="character" w:styleId="IntenseEmphasis">
    <w:name w:val="Intense Emphasis"/>
    <w:basedOn w:val="DefaultParagraphFont"/>
    <w:uiPriority w:val="21"/>
    <w:qFormat/>
    <w:rsid w:val="007335FF"/>
    <w:rPr>
      <w:i/>
      <w:iCs/>
      <w:color w:val="0F4761" w:themeColor="accent1" w:themeShade="BF"/>
    </w:rPr>
  </w:style>
  <w:style w:type="paragraph" w:styleId="IntenseQuote">
    <w:name w:val="Intense Quote"/>
    <w:basedOn w:val="Normal"/>
    <w:next w:val="Normal"/>
    <w:link w:val="IntenseQuoteChar"/>
    <w:uiPriority w:val="30"/>
    <w:qFormat/>
    <w:rsid w:val="007335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335FF"/>
    <w:rPr>
      <w:i/>
      <w:iCs/>
      <w:color w:val="0F4761" w:themeColor="accent1" w:themeShade="BF"/>
    </w:rPr>
  </w:style>
  <w:style w:type="character" w:styleId="IntenseReference">
    <w:name w:val="Intense Reference"/>
    <w:basedOn w:val="DefaultParagraphFont"/>
    <w:uiPriority w:val="32"/>
    <w:qFormat/>
    <w:rsid w:val="007335FF"/>
    <w:rPr>
      <w:b/>
      <w:bCs/>
      <w:smallCaps/>
      <w:color w:val="0F4761" w:themeColor="accent1" w:themeShade="BF"/>
      <w:spacing w:val="5"/>
    </w:rPr>
  </w:style>
  <w:style w:type="paragraph" w:styleId="NormalWeb">
    <w:name w:val="Normal (Web)"/>
    <w:basedOn w:val="Normal"/>
    <w:uiPriority w:val="99"/>
    <w:semiHidden/>
    <w:unhideWhenUsed/>
    <w:rsid w:val="00AB7D52"/>
    <w:rPr>
      <w:rFonts w:ascii="Times New Roman" w:hAnsi="Times New Roman" w:cs="Times New Roman"/>
    </w:rPr>
  </w:style>
  <w:style w:type="character" w:styleId="Hyperlink">
    <w:name w:val="Hyperlink"/>
    <w:basedOn w:val="DefaultParagraphFont"/>
    <w:uiPriority w:val="99"/>
    <w:unhideWhenUsed/>
    <w:rsid w:val="006E3A6C"/>
    <w:rPr>
      <w:color w:val="467886" w:themeColor="hyperlink"/>
      <w:u w:val="single"/>
    </w:rPr>
  </w:style>
  <w:style w:type="character" w:customStyle="1" w:styleId="UnresolvedMention1">
    <w:name w:val="Unresolved Mention1"/>
    <w:basedOn w:val="DefaultParagraphFont"/>
    <w:uiPriority w:val="99"/>
    <w:semiHidden/>
    <w:unhideWhenUsed/>
    <w:rsid w:val="006E3A6C"/>
    <w:rPr>
      <w:color w:val="605E5C"/>
      <w:shd w:val="clear" w:color="auto" w:fill="E1DFDD"/>
    </w:rPr>
  </w:style>
  <w:style w:type="character" w:styleId="Strong">
    <w:name w:val="Strong"/>
    <w:basedOn w:val="DefaultParagraphFont"/>
    <w:uiPriority w:val="22"/>
    <w:qFormat/>
    <w:rsid w:val="006E3A6C"/>
    <w:rPr>
      <w:b/>
      <w:bCs/>
    </w:rPr>
  </w:style>
  <w:style w:type="paragraph" w:customStyle="1" w:styleId="Body">
    <w:name w:val="Body"/>
    <w:basedOn w:val="Normal"/>
    <w:rsid w:val="00A174C6"/>
    <w:pPr>
      <w:spacing w:after="240" w:line="240" w:lineRule="auto"/>
      <w:jc w:val="both"/>
    </w:pPr>
    <w:rPr>
      <w:rFonts w:ascii="Helvetica" w:eastAsia="Times New Roman" w:hAnsi="Helvetica" w:cs="Times New Roman"/>
      <w:kern w:val="0"/>
      <w:sz w:val="20"/>
      <w:szCs w:val="20"/>
      <w14:ligatures w14:val="none"/>
    </w:rPr>
  </w:style>
  <w:style w:type="paragraph" w:customStyle="1" w:styleId="AbstHead">
    <w:name w:val="Abst Head"/>
    <w:basedOn w:val="Normal"/>
    <w:rsid w:val="00A174C6"/>
    <w:pPr>
      <w:keepNext/>
      <w:spacing w:after="240" w:line="240" w:lineRule="auto"/>
    </w:pPr>
    <w:rPr>
      <w:rFonts w:ascii="Helvetica" w:eastAsia="Times New Roman" w:hAnsi="Helvetica" w:cs="Times New Roman"/>
      <w:b/>
      <w:caps/>
      <w:kern w:val="0"/>
      <w:sz w:val="22"/>
      <w:szCs w:val="20"/>
      <w14:ligatures w14:val="none"/>
    </w:rPr>
  </w:style>
  <w:style w:type="paragraph" w:styleId="NoSpacing">
    <w:name w:val="No Spacing"/>
    <w:uiPriority w:val="1"/>
    <w:qFormat/>
    <w:rsid w:val="001F36EA"/>
    <w:pPr>
      <w:spacing w:after="0" w:line="240" w:lineRule="auto"/>
    </w:pPr>
  </w:style>
  <w:style w:type="paragraph" w:styleId="Header">
    <w:name w:val="header"/>
    <w:basedOn w:val="Normal"/>
    <w:link w:val="HeaderChar"/>
    <w:uiPriority w:val="99"/>
    <w:unhideWhenUsed/>
    <w:rsid w:val="001C7A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7A3E"/>
  </w:style>
  <w:style w:type="paragraph" w:styleId="Footer">
    <w:name w:val="footer"/>
    <w:basedOn w:val="Normal"/>
    <w:link w:val="FooterChar"/>
    <w:uiPriority w:val="99"/>
    <w:unhideWhenUsed/>
    <w:rsid w:val="001C7A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7A3E"/>
  </w:style>
  <w:style w:type="paragraph" w:styleId="Bibliography">
    <w:name w:val="Bibliography"/>
    <w:basedOn w:val="Normal"/>
    <w:next w:val="Normal"/>
    <w:uiPriority w:val="37"/>
    <w:unhideWhenUsed/>
    <w:rsid w:val="005044E1"/>
    <w:pPr>
      <w:spacing w:after="240" w:line="240" w:lineRule="auto"/>
      <w:ind w:left="720" w:hanging="720"/>
    </w:pPr>
  </w:style>
  <w:style w:type="character" w:styleId="UnresolvedMention">
    <w:name w:val="Unresolved Mention"/>
    <w:basedOn w:val="DefaultParagraphFont"/>
    <w:uiPriority w:val="99"/>
    <w:semiHidden/>
    <w:unhideWhenUsed/>
    <w:rsid w:val="00EB14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166598">
      <w:bodyDiv w:val="1"/>
      <w:marLeft w:val="0"/>
      <w:marRight w:val="0"/>
      <w:marTop w:val="0"/>
      <w:marBottom w:val="0"/>
      <w:divBdr>
        <w:top w:val="none" w:sz="0" w:space="0" w:color="auto"/>
        <w:left w:val="none" w:sz="0" w:space="0" w:color="auto"/>
        <w:bottom w:val="none" w:sz="0" w:space="0" w:color="auto"/>
        <w:right w:val="none" w:sz="0" w:space="0" w:color="auto"/>
      </w:divBdr>
    </w:div>
    <w:div w:id="59257579">
      <w:bodyDiv w:val="1"/>
      <w:marLeft w:val="0"/>
      <w:marRight w:val="0"/>
      <w:marTop w:val="0"/>
      <w:marBottom w:val="0"/>
      <w:divBdr>
        <w:top w:val="none" w:sz="0" w:space="0" w:color="auto"/>
        <w:left w:val="none" w:sz="0" w:space="0" w:color="auto"/>
        <w:bottom w:val="none" w:sz="0" w:space="0" w:color="auto"/>
        <w:right w:val="none" w:sz="0" w:space="0" w:color="auto"/>
      </w:divBdr>
    </w:div>
    <w:div w:id="61804669">
      <w:bodyDiv w:val="1"/>
      <w:marLeft w:val="0"/>
      <w:marRight w:val="0"/>
      <w:marTop w:val="0"/>
      <w:marBottom w:val="0"/>
      <w:divBdr>
        <w:top w:val="none" w:sz="0" w:space="0" w:color="auto"/>
        <w:left w:val="none" w:sz="0" w:space="0" w:color="auto"/>
        <w:bottom w:val="none" w:sz="0" w:space="0" w:color="auto"/>
        <w:right w:val="none" w:sz="0" w:space="0" w:color="auto"/>
      </w:divBdr>
    </w:div>
    <w:div w:id="111677198">
      <w:bodyDiv w:val="1"/>
      <w:marLeft w:val="0"/>
      <w:marRight w:val="0"/>
      <w:marTop w:val="0"/>
      <w:marBottom w:val="0"/>
      <w:divBdr>
        <w:top w:val="none" w:sz="0" w:space="0" w:color="auto"/>
        <w:left w:val="none" w:sz="0" w:space="0" w:color="auto"/>
        <w:bottom w:val="none" w:sz="0" w:space="0" w:color="auto"/>
        <w:right w:val="none" w:sz="0" w:space="0" w:color="auto"/>
      </w:divBdr>
    </w:div>
    <w:div w:id="148909166">
      <w:bodyDiv w:val="1"/>
      <w:marLeft w:val="0"/>
      <w:marRight w:val="0"/>
      <w:marTop w:val="0"/>
      <w:marBottom w:val="0"/>
      <w:divBdr>
        <w:top w:val="none" w:sz="0" w:space="0" w:color="auto"/>
        <w:left w:val="none" w:sz="0" w:space="0" w:color="auto"/>
        <w:bottom w:val="none" w:sz="0" w:space="0" w:color="auto"/>
        <w:right w:val="none" w:sz="0" w:space="0" w:color="auto"/>
      </w:divBdr>
    </w:div>
    <w:div w:id="216432578">
      <w:bodyDiv w:val="1"/>
      <w:marLeft w:val="0"/>
      <w:marRight w:val="0"/>
      <w:marTop w:val="0"/>
      <w:marBottom w:val="0"/>
      <w:divBdr>
        <w:top w:val="none" w:sz="0" w:space="0" w:color="auto"/>
        <w:left w:val="none" w:sz="0" w:space="0" w:color="auto"/>
        <w:bottom w:val="none" w:sz="0" w:space="0" w:color="auto"/>
        <w:right w:val="none" w:sz="0" w:space="0" w:color="auto"/>
      </w:divBdr>
    </w:div>
    <w:div w:id="233784420">
      <w:bodyDiv w:val="1"/>
      <w:marLeft w:val="0"/>
      <w:marRight w:val="0"/>
      <w:marTop w:val="0"/>
      <w:marBottom w:val="0"/>
      <w:divBdr>
        <w:top w:val="none" w:sz="0" w:space="0" w:color="auto"/>
        <w:left w:val="none" w:sz="0" w:space="0" w:color="auto"/>
        <w:bottom w:val="none" w:sz="0" w:space="0" w:color="auto"/>
        <w:right w:val="none" w:sz="0" w:space="0" w:color="auto"/>
      </w:divBdr>
    </w:div>
    <w:div w:id="267392091">
      <w:bodyDiv w:val="1"/>
      <w:marLeft w:val="0"/>
      <w:marRight w:val="0"/>
      <w:marTop w:val="0"/>
      <w:marBottom w:val="0"/>
      <w:divBdr>
        <w:top w:val="none" w:sz="0" w:space="0" w:color="auto"/>
        <w:left w:val="none" w:sz="0" w:space="0" w:color="auto"/>
        <w:bottom w:val="none" w:sz="0" w:space="0" w:color="auto"/>
        <w:right w:val="none" w:sz="0" w:space="0" w:color="auto"/>
      </w:divBdr>
    </w:div>
    <w:div w:id="371468555">
      <w:bodyDiv w:val="1"/>
      <w:marLeft w:val="0"/>
      <w:marRight w:val="0"/>
      <w:marTop w:val="0"/>
      <w:marBottom w:val="0"/>
      <w:divBdr>
        <w:top w:val="none" w:sz="0" w:space="0" w:color="auto"/>
        <w:left w:val="none" w:sz="0" w:space="0" w:color="auto"/>
        <w:bottom w:val="none" w:sz="0" w:space="0" w:color="auto"/>
        <w:right w:val="none" w:sz="0" w:space="0" w:color="auto"/>
      </w:divBdr>
    </w:div>
    <w:div w:id="477914662">
      <w:bodyDiv w:val="1"/>
      <w:marLeft w:val="0"/>
      <w:marRight w:val="0"/>
      <w:marTop w:val="0"/>
      <w:marBottom w:val="0"/>
      <w:divBdr>
        <w:top w:val="none" w:sz="0" w:space="0" w:color="auto"/>
        <w:left w:val="none" w:sz="0" w:space="0" w:color="auto"/>
        <w:bottom w:val="none" w:sz="0" w:space="0" w:color="auto"/>
        <w:right w:val="none" w:sz="0" w:space="0" w:color="auto"/>
      </w:divBdr>
    </w:div>
    <w:div w:id="486629147">
      <w:bodyDiv w:val="1"/>
      <w:marLeft w:val="0"/>
      <w:marRight w:val="0"/>
      <w:marTop w:val="0"/>
      <w:marBottom w:val="0"/>
      <w:divBdr>
        <w:top w:val="none" w:sz="0" w:space="0" w:color="auto"/>
        <w:left w:val="none" w:sz="0" w:space="0" w:color="auto"/>
        <w:bottom w:val="none" w:sz="0" w:space="0" w:color="auto"/>
        <w:right w:val="none" w:sz="0" w:space="0" w:color="auto"/>
      </w:divBdr>
    </w:div>
    <w:div w:id="504248071">
      <w:bodyDiv w:val="1"/>
      <w:marLeft w:val="0"/>
      <w:marRight w:val="0"/>
      <w:marTop w:val="0"/>
      <w:marBottom w:val="0"/>
      <w:divBdr>
        <w:top w:val="none" w:sz="0" w:space="0" w:color="auto"/>
        <w:left w:val="none" w:sz="0" w:space="0" w:color="auto"/>
        <w:bottom w:val="none" w:sz="0" w:space="0" w:color="auto"/>
        <w:right w:val="none" w:sz="0" w:space="0" w:color="auto"/>
      </w:divBdr>
    </w:div>
    <w:div w:id="566231974">
      <w:bodyDiv w:val="1"/>
      <w:marLeft w:val="0"/>
      <w:marRight w:val="0"/>
      <w:marTop w:val="0"/>
      <w:marBottom w:val="0"/>
      <w:divBdr>
        <w:top w:val="none" w:sz="0" w:space="0" w:color="auto"/>
        <w:left w:val="none" w:sz="0" w:space="0" w:color="auto"/>
        <w:bottom w:val="none" w:sz="0" w:space="0" w:color="auto"/>
        <w:right w:val="none" w:sz="0" w:space="0" w:color="auto"/>
      </w:divBdr>
    </w:div>
    <w:div w:id="671760799">
      <w:bodyDiv w:val="1"/>
      <w:marLeft w:val="0"/>
      <w:marRight w:val="0"/>
      <w:marTop w:val="0"/>
      <w:marBottom w:val="0"/>
      <w:divBdr>
        <w:top w:val="none" w:sz="0" w:space="0" w:color="auto"/>
        <w:left w:val="none" w:sz="0" w:space="0" w:color="auto"/>
        <w:bottom w:val="none" w:sz="0" w:space="0" w:color="auto"/>
        <w:right w:val="none" w:sz="0" w:space="0" w:color="auto"/>
      </w:divBdr>
    </w:div>
    <w:div w:id="767503550">
      <w:bodyDiv w:val="1"/>
      <w:marLeft w:val="0"/>
      <w:marRight w:val="0"/>
      <w:marTop w:val="0"/>
      <w:marBottom w:val="0"/>
      <w:divBdr>
        <w:top w:val="none" w:sz="0" w:space="0" w:color="auto"/>
        <w:left w:val="none" w:sz="0" w:space="0" w:color="auto"/>
        <w:bottom w:val="none" w:sz="0" w:space="0" w:color="auto"/>
        <w:right w:val="none" w:sz="0" w:space="0" w:color="auto"/>
      </w:divBdr>
    </w:div>
    <w:div w:id="832258447">
      <w:bodyDiv w:val="1"/>
      <w:marLeft w:val="0"/>
      <w:marRight w:val="0"/>
      <w:marTop w:val="0"/>
      <w:marBottom w:val="0"/>
      <w:divBdr>
        <w:top w:val="none" w:sz="0" w:space="0" w:color="auto"/>
        <w:left w:val="none" w:sz="0" w:space="0" w:color="auto"/>
        <w:bottom w:val="none" w:sz="0" w:space="0" w:color="auto"/>
        <w:right w:val="none" w:sz="0" w:space="0" w:color="auto"/>
      </w:divBdr>
    </w:div>
    <w:div w:id="962349381">
      <w:bodyDiv w:val="1"/>
      <w:marLeft w:val="0"/>
      <w:marRight w:val="0"/>
      <w:marTop w:val="0"/>
      <w:marBottom w:val="0"/>
      <w:divBdr>
        <w:top w:val="none" w:sz="0" w:space="0" w:color="auto"/>
        <w:left w:val="none" w:sz="0" w:space="0" w:color="auto"/>
        <w:bottom w:val="none" w:sz="0" w:space="0" w:color="auto"/>
        <w:right w:val="none" w:sz="0" w:space="0" w:color="auto"/>
      </w:divBdr>
    </w:div>
    <w:div w:id="1014961279">
      <w:bodyDiv w:val="1"/>
      <w:marLeft w:val="0"/>
      <w:marRight w:val="0"/>
      <w:marTop w:val="0"/>
      <w:marBottom w:val="0"/>
      <w:divBdr>
        <w:top w:val="none" w:sz="0" w:space="0" w:color="auto"/>
        <w:left w:val="none" w:sz="0" w:space="0" w:color="auto"/>
        <w:bottom w:val="none" w:sz="0" w:space="0" w:color="auto"/>
        <w:right w:val="none" w:sz="0" w:space="0" w:color="auto"/>
      </w:divBdr>
      <w:divsChild>
        <w:div w:id="593830419">
          <w:marLeft w:val="0"/>
          <w:marRight w:val="0"/>
          <w:marTop w:val="0"/>
          <w:marBottom w:val="0"/>
          <w:divBdr>
            <w:top w:val="none" w:sz="0" w:space="0" w:color="auto"/>
            <w:left w:val="none" w:sz="0" w:space="0" w:color="auto"/>
            <w:bottom w:val="none" w:sz="0" w:space="0" w:color="auto"/>
            <w:right w:val="none" w:sz="0" w:space="0" w:color="auto"/>
          </w:divBdr>
          <w:divsChild>
            <w:div w:id="1083066237">
              <w:marLeft w:val="0"/>
              <w:marRight w:val="0"/>
              <w:marTop w:val="0"/>
              <w:marBottom w:val="0"/>
              <w:divBdr>
                <w:top w:val="none" w:sz="0" w:space="0" w:color="auto"/>
                <w:left w:val="none" w:sz="0" w:space="0" w:color="auto"/>
                <w:bottom w:val="none" w:sz="0" w:space="0" w:color="auto"/>
                <w:right w:val="none" w:sz="0" w:space="0" w:color="auto"/>
              </w:divBdr>
              <w:divsChild>
                <w:div w:id="634651289">
                  <w:marLeft w:val="0"/>
                  <w:marRight w:val="0"/>
                  <w:marTop w:val="0"/>
                  <w:marBottom w:val="0"/>
                  <w:divBdr>
                    <w:top w:val="none" w:sz="0" w:space="0" w:color="auto"/>
                    <w:left w:val="none" w:sz="0" w:space="0" w:color="auto"/>
                    <w:bottom w:val="none" w:sz="0" w:space="0" w:color="auto"/>
                    <w:right w:val="none" w:sz="0" w:space="0" w:color="auto"/>
                  </w:divBdr>
                  <w:divsChild>
                    <w:div w:id="1458259797">
                      <w:marLeft w:val="0"/>
                      <w:marRight w:val="0"/>
                      <w:marTop w:val="0"/>
                      <w:marBottom w:val="0"/>
                      <w:divBdr>
                        <w:top w:val="none" w:sz="0" w:space="0" w:color="auto"/>
                        <w:left w:val="none" w:sz="0" w:space="0" w:color="auto"/>
                        <w:bottom w:val="none" w:sz="0" w:space="0" w:color="auto"/>
                        <w:right w:val="none" w:sz="0" w:space="0" w:color="auto"/>
                      </w:divBdr>
                      <w:divsChild>
                        <w:div w:id="1117723777">
                          <w:marLeft w:val="0"/>
                          <w:marRight w:val="0"/>
                          <w:marTop w:val="0"/>
                          <w:marBottom w:val="0"/>
                          <w:divBdr>
                            <w:top w:val="none" w:sz="0" w:space="0" w:color="auto"/>
                            <w:left w:val="none" w:sz="0" w:space="0" w:color="auto"/>
                            <w:bottom w:val="none" w:sz="0" w:space="0" w:color="auto"/>
                            <w:right w:val="none" w:sz="0" w:space="0" w:color="auto"/>
                          </w:divBdr>
                          <w:divsChild>
                            <w:div w:id="1290283893">
                              <w:marLeft w:val="0"/>
                              <w:marRight w:val="0"/>
                              <w:marTop w:val="0"/>
                              <w:marBottom w:val="0"/>
                              <w:divBdr>
                                <w:top w:val="none" w:sz="0" w:space="0" w:color="auto"/>
                                <w:left w:val="none" w:sz="0" w:space="0" w:color="auto"/>
                                <w:bottom w:val="none" w:sz="0" w:space="0" w:color="auto"/>
                                <w:right w:val="none" w:sz="0" w:space="0" w:color="auto"/>
                              </w:divBdr>
                              <w:divsChild>
                                <w:div w:id="127370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83508">
                          <w:marLeft w:val="0"/>
                          <w:marRight w:val="0"/>
                          <w:marTop w:val="0"/>
                          <w:marBottom w:val="0"/>
                          <w:divBdr>
                            <w:top w:val="none" w:sz="0" w:space="0" w:color="auto"/>
                            <w:left w:val="none" w:sz="0" w:space="0" w:color="auto"/>
                            <w:bottom w:val="none" w:sz="0" w:space="0" w:color="auto"/>
                            <w:right w:val="none" w:sz="0" w:space="0" w:color="auto"/>
                          </w:divBdr>
                          <w:divsChild>
                            <w:div w:id="684013280">
                              <w:marLeft w:val="0"/>
                              <w:marRight w:val="0"/>
                              <w:marTop w:val="0"/>
                              <w:marBottom w:val="0"/>
                              <w:divBdr>
                                <w:top w:val="none" w:sz="0" w:space="0" w:color="auto"/>
                                <w:left w:val="none" w:sz="0" w:space="0" w:color="auto"/>
                                <w:bottom w:val="none" w:sz="0" w:space="0" w:color="auto"/>
                                <w:right w:val="none" w:sz="0" w:space="0" w:color="auto"/>
                              </w:divBdr>
                              <w:divsChild>
                                <w:div w:id="297075089">
                                  <w:marLeft w:val="0"/>
                                  <w:marRight w:val="0"/>
                                  <w:marTop w:val="0"/>
                                  <w:marBottom w:val="0"/>
                                  <w:divBdr>
                                    <w:top w:val="none" w:sz="0" w:space="0" w:color="auto"/>
                                    <w:left w:val="none" w:sz="0" w:space="0" w:color="auto"/>
                                    <w:bottom w:val="none" w:sz="0" w:space="0" w:color="auto"/>
                                    <w:right w:val="none" w:sz="0" w:space="0" w:color="auto"/>
                                  </w:divBdr>
                                  <w:divsChild>
                                    <w:div w:id="19177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9065317">
              <w:marLeft w:val="0"/>
              <w:marRight w:val="0"/>
              <w:marTop w:val="0"/>
              <w:marBottom w:val="0"/>
              <w:divBdr>
                <w:top w:val="none" w:sz="0" w:space="0" w:color="auto"/>
                <w:left w:val="none" w:sz="0" w:space="0" w:color="auto"/>
                <w:bottom w:val="none" w:sz="0" w:space="0" w:color="auto"/>
                <w:right w:val="none" w:sz="0" w:space="0" w:color="auto"/>
              </w:divBdr>
              <w:divsChild>
                <w:div w:id="925383470">
                  <w:marLeft w:val="0"/>
                  <w:marRight w:val="0"/>
                  <w:marTop w:val="0"/>
                  <w:marBottom w:val="0"/>
                  <w:divBdr>
                    <w:top w:val="none" w:sz="0" w:space="0" w:color="auto"/>
                    <w:left w:val="none" w:sz="0" w:space="0" w:color="auto"/>
                    <w:bottom w:val="none" w:sz="0" w:space="0" w:color="auto"/>
                    <w:right w:val="none" w:sz="0" w:space="0" w:color="auto"/>
                  </w:divBdr>
                  <w:divsChild>
                    <w:div w:id="68001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600099">
      <w:bodyDiv w:val="1"/>
      <w:marLeft w:val="0"/>
      <w:marRight w:val="0"/>
      <w:marTop w:val="0"/>
      <w:marBottom w:val="0"/>
      <w:divBdr>
        <w:top w:val="none" w:sz="0" w:space="0" w:color="auto"/>
        <w:left w:val="none" w:sz="0" w:space="0" w:color="auto"/>
        <w:bottom w:val="none" w:sz="0" w:space="0" w:color="auto"/>
        <w:right w:val="none" w:sz="0" w:space="0" w:color="auto"/>
      </w:divBdr>
    </w:div>
    <w:div w:id="1113788001">
      <w:bodyDiv w:val="1"/>
      <w:marLeft w:val="0"/>
      <w:marRight w:val="0"/>
      <w:marTop w:val="0"/>
      <w:marBottom w:val="0"/>
      <w:divBdr>
        <w:top w:val="none" w:sz="0" w:space="0" w:color="auto"/>
        <w:left w:val="none" w:sz="0" w:space="0" w:color="auto"/>
        <w:bottom w:val="none" w:sz="0" w:space="0" w:color="auto"/>
        <w:right w:val="none" w:sz="0" w:space="0" w:color="auto"/>
      </w:divBdr>
    </w:div>
    <w:div w:id="1203640653">
      <w:bodyDiv w:val="1"/>
      <w:marLeft w:val="0"/>
      <w:marRight w:val="0"/>
      <w:marTop w:val="0"/>
      <w:marBottom w:val="0"/>
      <w:divBdr>
        <w:top w:val="none" w:sz="0" w:space="0" w:color="auto"/>
        <w:left w:val="none" w:sz="0" w:space="0" w:color="auto"/>
        <w:bottom w:val="none" w:sz="0" w:space="0" w:color="auto"/>
        <w:right w:val="none" w:sz="0" w:space="0" w:color="auto"/>
      </w:divBdr>
    </w:div>
    <w:div w:id="1226723046">
      <w:bodyDiv w:val="1"/>
      <w:marLeft w:val="0"/>
      <w:marRight w:val="0"/>
      <w:marTop w:val="0"/>
      <w:marBottom w:val="0"/>
      <w:divBdr>
        <w:top w:val="none" w:sz="0" w:space="0" w:color="auto"/>
        <w:left w:val="none" w:sz="0" w:space="0" w:color="auto"/>
        <w:bottom w:val="none" w:sz="0" w:space="0" w:color="auto"/>
        <w:right w:val="none" w:sz="0" w:space="0" w:color="auto"/>
      </w:divBdr>
    </w:div>
    <w:div w:id="1247687549">
      <w:bodyDiv w:val="1"/>
      <w:marLeft w:val="0"/>
      <w:marRight w:val="0"/>
      <w:marTop w:val="0"/>
      <w:marBottom w:val="0"/>
      <w:divBdr>
        <w:top w:val="none" w:sz="0" w:space="0" w:color="auto"/>
        <w:left w:val="none" w:sz="0" w:space="0" w:color="auto"/>
        <w:bottom w:val="none" w:sz="0" w:space="0" w:color="auto"/>
        <w:right w:val="none" w:sz="0" w:space="0" w:color="auto"/>
      </w:divBdr>
    </w:div>
    <w:div w:id="1323705149">
      <w:bodyDiv w:val="1"/>
      <w:marLeft w:val="0"/>
      <w:marRight w:val="0"/>
      <w:marTop w:val="0"/>
      <w:marBottom w:val="0"/>
      <w:divBdr>
        <w:top w:val="none" w:sz="0" w:space="0" w:color="auto"/>
        <w:left w:val="none" w:sz="0" w:space="0" w:color="auto"/>
        <w:bottom w:val="none" w:sz="0" w:space="0" w:color="auto"/>
        <w:right w:val="none" w:sz="0" w:space="0" w:color="auto"/>
      </w:divBdr>
    </w:div>
    <w:div w:id="1329090627">
      <w:bodyDiv w:val="1"/>
      <w:marLeft w:val="0"/>
      <w:marRight w:val="0"/>
      <w:marTop w:val="0"/>
      <w:marBottom w:val="0"/>
      <w:divBdr>
        <w:top w:val="none" w:sz="0" w:space="0" w:color="auto"/>
        <w:left w:val="none" w:sz="0" w:space="0" w:color="auto"/>
        <w:bottom w:val="none" w:sz="0" w:space="0" w:color="auto"/>
        <w:right w:val="none" w:sz="0" w:space="0" w:color="auto"/>
      </w:divBdr>
    </w:div>
    <w:div w:id="1400324025">
      <w:bodyDiv w:val="1"/>
      <w:marLeft w:val="0"/>
      <w:marRight w:val="0"/>
      <w:marTop w:val="0"/>
      <w:marBottom w:val="0"/>
      <w:divBdr>
        <w:top w:val="none" w:sz="0" w:space="0" w:color="auto"/>
        <w:left w:val="none" w:sz="0" w:space="0" w:color="auto"/>
        <w:bottom w:val="none" w:sz="0" w:space="0" w:color="auto"/>
        <w:right w:val="none" w:sz="0" w:space="0" w:color="auto"/>
      </w:divBdr>
    </w:div>
    <w:div w:id="1438871678">
      <w:bodyDiv w:val="1"/>
      <w:marLeft w:val="0"/>
      <w:marRight w:val="0"/>
      <w:marTop w:val="0"/>
      <w:marBottom w:val="0"/>
      <w:divBdr>
        <w:top w:val="none" w:sz="0" w:space="0" w:color="auto"/>
        <w:left w:val="none" w:sz="0" w:space="0" w:color="auto"/>
        <w:bottom w:val="none" w:sz="0" w:space="0" w:color="auto"/>
        <w:right w:val="none" w:sz="0" w:space="0" w:color="auto"/>
      </w:divBdr>
    </w:div>
    <w:div w:id="1523208343">
      <w:bodyDiv w:val="1"/>
      <w:marLeft w:val="0"/>
      <w:marRight w:val="0"/>
      <w:marTop w:val="0"/>
      <w:marBottom w:val="0"/>
      <w:divBdr>
        <w:top w:val="none" w:sz="0" w:space="0" w:color="auto"/>
        <w:left w:val="none" w:sz="0" w:space="0" w:color="auto"/>
        <w:bottom w:val="none" w:sz="0" w:space="0" w:color="auto"/>
        <w:right w:val="none" w:sz="0" w:space="0" w:color="auto"/>
      </w:divBdr>
    </w:div>
    <w:div w:id="1550339132">
      <w:bodyDiv w:val="1"/>
      <w:marLeft w:val="0"/>
      <w:marRight w:val="0"/>
      <w:marTop w:val="0"/>
      <w:marBottom w:val="0"/>
      <w:divBdr>
        <w:top w:val="none" w:sz="0" w:space="0" w:color="auto"/>
        <w:left w:val="none" w:sz="0" w:space="0" w:color="auto"/>
        <w:bottom w:val="none" w:sz="0" w:space="0" w:color="auto"/>
        <w:right w:val="none" w:sz="0" w:space="0" w:color="auto"/>
      </w:divBdr>
      <w:divsChild>
        <w:div w:id="2066292247">
          <w:marLeft w:val="0"/>
          <w:marRight w:val="0"/>
          <w:marTop w:val="0"/>
          <w:marBottom w:val="0"/>
          <w:divBdr>
            <w:top w:val="none" w:sz="0" w:space="0" w:color="auto"/>
            <w:left w:val="none" w:sz="0" w:space="0" w:color="auto"/>
            <w:bottom w:val="none" w:sz="0" w:space="0" w:color="auto"/>
            <w:right w:val="none" w:sz="0" w:space="0" w:color="auto"/>
          </w:divBdr>
          <w:divsChild>
            <w:div w:id="339048232">
              <w:marLeft w:val="0"/>
              <w:marRight w:val="0"/>
              <w:marTop w:val="0"/>
              <w:marBottom w:val="0"/>
              <w:divBdr>
                <w:top w:val="none" w:sz="0" w:space="0" w:color="auto"/>
                <w:left w:val="none" w:sz="0" w:space="0" w:color="auto"/>
                <w:bottom w:val="none" w:sz="0" w:space="0" w:color="auto"/>
                <w:right w:val="none" w:sz="0" w:space="0" w:color="auto"/>
              </w:divBdr>
              <w:divsChild>
                <w:div w:id="1158958463">
                  <w:marLeft w:val="0"/>
                  <w:marRight w:val="0"/>
                  <w:marTop w:val="0"/>
                  <w:marBottom w:val="0"/>
                  <w:divBdr>
                    <w:top w:val="none" w:sz="0" w:space="0" w:color="auto"/>
                    <w:left w:val="none" w:sz="0" w:space="0" w:color="auto"/>
                    <w:bottom w:val="none" w:sz="0" w:space="0" w:color="auto"/>
                    <w:right w:val="none" w:sz="0" w:space="0" w:color="auto"/>
                  </w:divBdr>
                  <w:divsChild>
                    <w:div w:id="727338722">
                      <w:marLeft w:val="0"/>
                      <w:marRight w:val="0"/>
                      <w:marTop w:val="0"/>
                      <w:marBottom w:val="0"/>
                      <w:divBdr>
                        <w:top w:val="none" w:sz="0" w:space="0" w:color="auto"/>
                        <w:left w:val="none" w:sz="0" w:space="0" w:color="auto"/>
                        <w:bottom w:val="none" w:sz="0" w:space="0" w:color="auto"/>
                        <w:right w:val="none" w:sz="0" w:space="0" w:color="auto"/>
                      </w:divBdr>
                      <w:divsChild>
                        <w:div w:id="2033066644">
                          <w:marLeft w:val="0"/>
                          <w:marRight w:val="0"/>
                          <w:marTop w:val="0"/>
                          <w:marBottom w:val="0"/>
                          <w:divBdr>
                            <w:top w:val="none" w:sz="0" w:space="0" w:color="auto"/>
                            <w:left w:val="none" w:sz="0" w:space="0" w:color="auto"/>
                            <w:bottom w:val="none" w:sz="0" w:space="0" w:color="auto"/>
                            <w:right w:val="none" w:sz="0" w:space="0" w:color="auto"/>
                          </w:divBdr>
                          <w:divsChild>
                            <w:div w:id="24252554">
                              <w:marLeft w:val="0"/>
                              <w:marRight w:val="0"/>
                              <w:marTop w:val="0"/>
                              <w:marBottom w:val="0"/>
                              <w:divBdr>
                                <w:top w:val="none" w:sz="0" w:space="0" w:color="auto"/>
                                <w:left w:val="none" w:sz="0" w:space="0" w:color="auto"/>
                                <w:bottom w:val="none" w:sz="0" w:space="0" w:color="auto"/>
                                <w:right w:val="none" w:sz="0" w:space="0" w:color="auto"/>
                              </w:divBdr>
                              <w:divsChild>
                                <w:div w:id="197443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604149">
                          <w:marLeft w:val="0"/>
                          <w:marRight w:val="0"/>
                          <w:marTop w:val="0"/>
                          <w:marBottom w:val="0"/>
                          <w:divBdr>
                            <w:top w:val="none" w:sz="0" w:space="0" w:color="auto"/>
                            <w:left w:val="none" w:sz="0" w:space="0" w:color="auto"/>
                            <w:bottom w:val="none" w:sz="0" w:space="0" w:color="auto"/>
                            <w:right w:val="none" w:sz="0" w:space="0" w:color="auto"/>
                          </w:divBdr>
                          <w:divsChild>
                            <w:div w:id="433550737">
                              <w:marLeft w:val="0"/>
                              <w:marRight w:val="0"/>
                              <w:marTop w:val="0"/>
                              <w:marBottom w:val="0"/>
                              <w:divBdr>
                                <w:top w:val="none" w:sz="0" w:space="0" w:color="auto"/>
                                <w:left w:val="none" w:sz="0" w:space="0" w:color="auto"/>
                                <w:bottom w:val="none" w:sz="0" w:space="0" w:color="auto"/>
                                <w:right w:val="none" w:sz="0" w:space="0" w:color="auto"/>
                              </w:divBdr>
                              <w:divsChild>
                                <w:div w:id="96944693">
                                  <w:marLeft w:val="0"/>
                                  <w:marRight w:val="0"/>
                                  <w:marTop w:val="0"/>
                                  <w:marBottom w:val="0"/>
                                  <w:divBdr>
                                    <w:top w:val="none" w:sz="0" w:space="0" w:color="auto"/>
                                    <w:left w:val="none" w:sz="0" w:space="0" w:color="auto"/>
                                    <w:bottom w:val="none" w:sz="0" w:space="0" w:color="auto"/>
                                    <w:right w:val="none" w:sz="0" w:space="0" w:color="auto"/>
                                  </w:divBdr>
                                  <w:divsChild>
                                    <w:div w:id="45614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006555">
              <w:marLeft w:val="0"/>
              <w:marRight w:val="0"/>
              <w:marTop w:val="0"/>
              <w:marBottom w:val="0"/>
              <w:divBdr>
                <w:top w:val="none" w:sz="0" w:space="0" w:color="auto"/>
                <w:left w:val="none" w:sz="0" w:space="0" w:color="auto"/>
                <w:bottom w:val="none" w:sz="0" w:space="0" w:color="auto"/>
                <w:right w:val="none" w:sz="0" w:space="0" w:color="auto"/>
              </w:divBdr>
              <w:divsChild>
                <w:div w:id="608895225">
                  <w:marLeft w:val="0"/>
                  <w:marRight w:val="0"/>
                  <w:marTop w:val="0"/>
                  <w:marBottom w:val="0"/>
                  <w:divBdr>
                    <w:top w:val="none" w:sz="0" w:space="0" w:color="auto"/>
                    <w:left w:val="none" w:sz="0" w:space="0" w:color="auto"/>
                    <w:bottom w:val="none" w:sz="0" w:space="0" w:color="auto"/>
                    <w:right w:val="none" w:sz="0" w:space="0" w:color="auto"/>
                  </w:divBdr>
                  <w:divsChild>
                    <w:div w:id="154667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483046">
      <w:bodyDiv w:val="1"/>
      <w:marLeft w:val="0"/>
      <w:marRight w:val="0"/>
      <w:marTop w:val="0"/>
      <w:marBottom w:val="0"/>
      <w:divBdr>
        <w:top w:val="none" w:sz="0" w:space="0" w:color="auto"/>
        <w:left w:val="none" w:sz="0" w:space="0" w:color="auto"/>
        <w:bottom w:val="none" w:sz="0" w:space="0" w:color="auto"/>
        <w:right w:val="none" w:sz="0" w:space="0" w:color="auto"/>
      </w:divBdr>
    </w:div>
    <w:div w:id="1662000899">
      <w:bodyDiv w:val="1"/>
      <w:marLeft w:val="0"/>
      <w:marRight w:val="0"/>
      <w:marTop w:val="0"/>
      <w:marBottom w:val="0"/>
      <w:divBdr>
        <w:top w:val="none" w:sz="0" w:space="0" w:color="auto"/>
        <w:left w:val="none" w:sz="0" w:space="0" w:color="auto"/>
        <w:bottom w:val="none" w:sz="0" w:space="0" w:color="auto"/>
        <w:right w:val="none" w:sz="0" w:space="0" w:color="auto"/>
      </w:divBdr>
    </w:div>
    <w:div w:id="2023044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doi.org/10.1038/s44221-023-00123-3" TargetMode="External"/><Relationship Id="rId26" Type="http://schemas.openxmlformats.org/officeDocument/2006/relationships/hyperlink" Target="https://doi.org/10.1061/(ASCE)WR.1943-5452.0001644" TargetMode="External"/><Relationship Id="rId21" Type="http://schemas.openxmlformats.org/officeDocument/2006/relationships/hyperlink" Target="https://doi.org/10.5822/978-1-61091-199-3_2" TargetMode="External"/><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5194/esd-8-225-2017" TargetMode="External"/><Relationship Id="rId25" Type="http://schemas.openxmlformats.org/officeDocument/2006/relationships/hyperlink" Target="https://doi.org/10.3390/w10020259"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002/wat2.1015" TargetMode="External"/><Relationship Id="rId20" Type="http://schemas.openxmlformats.org/officeDocument/2006/relationships/hyperlink" Target="https://doi.org/10.1007/s10040-021-02407-y" TargetMode="External"/><Relationship Id="rId29" Type="http://schemas.openxmlformats.org/officeDocument/2006/relationships/hyperlink" Target="https://doi.org/10.1016/j.crm.2020.10025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016/j.agee.2020.107037"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1038/nclimate1666" TargetMode="External"/><Relationship Id="rId23" Type="http://schemas.openxmlformats.org/officeDocument/2006/relationships/hyperlink" Target="https://doi.org/10.1007/978-3-030-05252-2" TargetMode="External"/><Relationship Id="rId28" Type="http://schemas.openxmlformats.org/officeDocument/2006/relationships/hyperlink" Target="https://doi.org/10.1038/s41586-018-0123-1" TargetMode="External"/><Relationship Id="rId36"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yperlink" Target="https://doi.org/10.1088/1748-9326/ac4f76"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1017/9781009325844" TargetMode="External"/><Relationship Id="rId27" Type="http://schemas.openxmlformats.org/officeDocument/2006/relationships/hyperlink" Target="https://doi.org/10.1038/461472a" TargetMode="External"/><Relationship Id="rId30" Type="http://schemas.openxmlformats.org/officeDocument/2006/relationships/hyperlink" Target="https://doi.org/10.1111/gcb.16597" TargetMode="External"/><Relationship Id="rId35" Type="http://schemas.openxmlformats.org/officeDocument/2006/relationships/header" Target="header3.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122</TotalTime>
  <Pages>17</Pages>
  <Words>9498</Words>
  <Characters>54143</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Shoaib Rufsun</dc:creator>
  <cp:keywords/>
  <dc:description/>
  <cp:lastModifiedBy>SDI 1183</cp:lastModifiedBy>
  <cp:revision>26</cp:revision>
  <dcterms:created xsi:type="dcterms:W3CDTF">2025-05-26T08:15:00Z</dcterms:created>
  <dcterms:modified xsi:type="dcterms:W3CDTF">2025-06-05T06:58:00Z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id="eebGZP69"/&gt;&lt;style id="http://www.zotero.org/styles/american-sociological-association" locale="en-US" hasBibliography="1" bibliographyStyleHasBeenSet="1"/&gt;&lt;prefs&gt;&lt;pref name="fieldType" value="Fiel</vt:lpwstr>
  </property>
  <property fmtid="{D5CDD505-2E9C-101B-9397-08002B2CF9AE}" pid="3" name="ZOTERO_PREF_2">
    <vt:lpwstr>d"/&gt;&lt;/prefs&gt;&lt;/data&gt;</vt:lpwstr>
  </property>
</Properties>
</file>