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1C383" w14:textId="73900767" w:rsidR="007E3FD3" w:rsidRPr="007E3FD3" w:rsidRDefault="007E3FD3" w:rsidP="007E3FD3">
      <w:pPr>
        <w:jc w:val="center"/>
        <w:rPr>
          <w:rFonts w:ascii="Times New Roman" w:eastAsia="Calibri" w:hAnsi="Times New Roman" w:cs="Times New Roman"/>
          <w:b/>
          <w:bCs/>
          <w:color w:val="000000"/>
          <w:kern w:val="2"/>
          <w:sz w:val="32"/>
          <w:szCs w:val="32"/>
          <w14:ligatures w14:val="standardContextual"/>
        </w:rPr>
      </w:pPr>
      <w:r w:rsidRPr="007E3FD3">
        <w:rPr>
          <w:rFonts w:ascii="Times New Roman" w:eastAsia="Calibri" w:hAnsi="Times New Roman" w:cs="Times New Roman"/>
          <w:b/>
          <w:bCs/>
          <w:color w:val="000000"/>
          <w:kern w:val="2"/>
          <w:sz w:val="32"/>
          <w:szCs w:val="32"/>
          <w14:ligatures w14:val="standardContextual"/>
        </w:rPr>
        <w:t>"The Effect of CEO Overconfidence on Corporate ESG Performance: An Empirical Study of Chinese A-share Listed Companies"</w:t>
      </w:r>
    </w:p>
    <w:p w14:paraId="2DE5BFAB" w14:textId="77777777" w:rsidR="00213578" w:rsidRPr="00213578" w:rsidRDefault="00213578" w:rsidP="00213578">
      <w:pPr>
        <w:jc w:val="center"/>
        <w:rPr>
          <w:rFonts w:ascii="Times New Roman" w:eastAsia="SimSun" w:hAnsi="Times New Roman" w:cs="Times New Roman"/>
          <w:b/>
          <w:bCs/>
          <w:color w:val="000000"/>
          <w:kern w:val="2"/>
          <w:sz w:val="32"/>
          <w:szCs w:val="32"/>
          <w:lang w:eastAsia="zh-CN"/>
          <w14:ligatures w14:val="standardContextual"/>
        </w:rPr>
      </w:pPr>
    </w:p>
    <w:p w14:paraId="61F6DCE2" w14:textId="77777777" w:rsidR="00213578" w:rsidRPr="00213578" w:rsidRDefault="00213578" w:rsidP="00213578">
      <w:pPr>
        <w:jc w:val="center"/>
        <w:rPr>
          <w:rFonts w:ascii="Times New Roman" w:eastAsia="SimSun" w:hAnsi="Times New Roman" w:cs="Times New Roman"/>
          <w:b/>
          <w:bCs/>
          <w:color w:val="000000"/>
          <w:kern w:val="2"/>
          <w:sz w:val="32"/>
          <w:szCs w:val="32"/>
          <w:lang w:eastAsia="zh-CN"/>
          <w14:ligatures w14:val="standardContextual"/>
        </w:rPr>
      </w:pPr>
    </w:p>
    <w:p w14:paraId="6682AA0E" w14:textId="77777777" w:rsidR="007E3FD3" w:rsidRPr="00213578" w:rsidRDefault="007E3FD3" w:rsidP="007E3FD3">
      <w:pPr>
        <w:spacing w:after="200" w:line="276" w:lineRule="auto"/>
        <w:rPr>
          <w:rFonts w:ascii="Times New Roman" w:eastAsia="SimSun" w:hAnsi="Times New Roman" w:cs="Times New Roman"/>
          <w:b/>
          <w:bCs/>
          <w:sz w:val="28"/>
          <w:szCs w:val="28"/>
          <w:lang w:eastAsia="zh-CN"/>
        </w:rPr>
      </w:pPr>
      <w:r w:rsidRPr="00213578">
        <w:rPr>
          <w:rFonts w:ascii="Times New Roman" w:eastAsia="SimSun" w:hAnsi="Times New Roman" w:cs="Times New Roman"/>
          <w:b/>
          <w:bCs/>
          <w:sz w:val="28"/>
          <w:szCs w:val="28"/>
          <w:lang w:eastAsia="zh-CN"/>
        </w:rPr>
        <w:t>ABSTRACT</w:t>
      </w:r>
    </w:p>
    <w:p w14:paraId="1A1EFD5B" w14:textId="77777777" w:rsidR="00777F58" w:rsidRDefault="00777F58" w:rsidP="00777F58">
      <w:pPr>
        <w:spacing w:after="200" w:line="360" w:lineRule="auto"/>
        <w:jc w:val="both"/>
        <w:rPr>
          <w:rFonts w:ascii="Times New Roman" w:eastAsia="SimSun" w:hAnsi="Times New Roman" w:cs="Times New Roman"/>
          <w:lang w:eastAsia="zh-CN"/>
        </w:rPr>
      </w:pPr>
      <w:r w:rsidRPr="00777F58">
        <w:rPr>
          <w:rFonts w:ascii="Times New Roman" w:eastAsia="SimSun" w:hAnsi="Times New Roman" w:cs="Times New Roman"/>
          <w:sz w:val="28"/>
          <w:szCs w:val="28"/>
          <w:lang w:eastAsia="zh-CN"/>
        </w:rPr>
        <w:t xml:space="preserve">Environmental, social, and governance (ESG) has become a prominent focus in recent research. While existing studies </w:t>
      </w:r>
      <w:proofErr w:type="spellStart"/>
      <w:r w:rsidRPr="00777F58">
        <w:rPr>
          <w:rFonts w:ascii="Times New Roman" w:eastAsia="SimSun" w:hAnsi="Times New Roman" w:cs="Times New Roman"/>
          <w:sz w:val="28"/>
          <w:szCs w:val="28"/>
          <w:lang w:eastAsia="zh-CN"/>
        </w:rPr>
        <w:t>emphasise</w:t>
      </w:r>
      <w:proofErr w:type="spellEnd"/>
      <w:r w:rsidRPr="00777F58">
        <w:rPr>
          <w:rFonts w:ascii="Times New Roman" w:eastAsia="SimSun" w:hAnsi="Times New Roman" w:cs="Times New Roman"/>
          <w:sz w:val="28"/>
          <w:szCs w:val="28"/>
          <w:lang w:eastAsia="zh-CN"/>
        </w:rPr>
        <w:t xml:space="preserve"> the roles of corporate values, managerial traits, and shareholder preferences, the impact of CEO psychological biases, particularly overconfidence, on ESG outcomes remains underexplored. To fill this void, our study employs the upper echelon theory to investigate the potential influence of CEO overconfidence on corporate ESG performance. Specifically, we gathered data for Chinese A-share non-financial firms between 2007 and 2022. </w:t>
      </w:r>
      <w:bookmarkStart w:id="0" w:name="_Hlk199604362"/>
      <w:r w:rsidRPr="00777F58">
        <w:rPr>
          <w:rFonts w:ascii="Times New Roman" w:eastAsia="SimSun" w:hAnsi="Times New Roman" w:cs="Times New Roman"/>
          <w:sz w:val="28"/>
          <w:szCs w:val="28"/>
          <w:lang w:eastAsia="zh-CN"/>
        </w:rPr>
        <w:t>Our findings reveal that companies helmed by overconfident CEOs are more inclined to push for changes in ESG performance, especially with SOEs and high institutional investor engagement.</w:t>
      </w:r>
      <w:bookmarkEnd w:id="0"/>
      <w:r w:rsidRPr="00777F58">
        <w:rPr>
          <w:rFonts w:ascii="Times New Roman" w:eastAsia="SimSun" w:hAnsi="Times New Roman" w:cs="Times New Roman"/>
          <w:sz w:val="28"/>
          <w:szCs w:val="28"/>
          <w:lang w:eastAsia="zh-CN"/>
        </w:rPr>
        <w:t xml:space="preserve"> Our study contributes to the literature on understanding the psychological dimensions of executive leadership in ESG performance. It offers practical implications for governance and policymaking in emerging markets with evolving ESG frameworks.</w:t>
      </w:r>
    </w:p>
    <w:p w14:paraId="27991225" w14:textId="0D4A0414" w:rsidR="00213578" w:rsidRPr="00777F58" w:rsidRDefault="00213578" w:rsidP="00777F58">
      <w:pPr>
        <w:spacing w:after="200" w:line="360" w:lineRule="auto"/>
        <w:jc w:val="both"/>
        <w:rPr>
          <w:rFonts w:ascii="Times New Roman" w:eastAsia="SimSun" w:hAnsi="Times New Roman" w:cs="Times New Roman"/>
          <w:lang w:eastAsia="zh-CN"/>
        </w:rPr>
      </w:pPr>
      <w:r w:rsidRPr="00213578">
        <w:rPr>
          <w:rFonts w:ascii="Times New Roman" w:eastAsia="SimSun" w:hAnsi="Times New Roman" w:cs="Times New Roman"/>
          <w:b/>
          <w:bCs/>
          <w:sz w:val="28"/>
          <w:szCs w:val="28"/>
          <w:lang w:eastAsia="zh-CN"/>
        </w:rPr>
        <w:t>Keywords:</w:t>
      </w:r>
      <w:r w:rsidRPr="00213578">
        <w:rPr>
          <w:rFonts w:ascii="Times New Roman" w:eastAsia="SimSun" w:hAnsi="Times New Roman" w:cs="Times New Roman"/>
          <w:sz w:val="24"/>
          <w:szCs w:val="24"/>
          <w:lang w:eastAsia="zh-CN"/>
        </w:rPr>
        <w:t xml:space="preserve"> </w:t>
      </w:r>
    </w:p>
    <w:p w14:paraId="3659F055" w14:textId="31EA55B7" w:rsidR="00213578" w:rsidRDefault="00213578" w:rsidP="00213578">
      <w:pPr>
        <w:spacing w:after="200" w:line="360" w:lineRule="auto"/>
        <w:jc w:val="both"/>
        <w:rPr>
          <w:rFonts w:ascii="Times New Roman" w:eastAsia="SimSun" w:hAnsi="Times New Roman" w:cs="Times New Roman"/>
          <w:sz w:val="28"/>
          <w:szCs w:val="28"/>
          <w:lang w:eastAsia="zh-CN"/>
        </w:rPr>
      </w:pPr>
      <w:r w:rsidRPr="00213578">
        <w:rPr>
          <w:rFonts w:ascii="Times New Roman" w:eastAsia="SimSun" w:hAnsi="Times New Roman" w:cs="Times New Roman"/>
          <w:sz w:val="28"/>
          <w:szCs w:val="28"/>
          <w:lang w:eastAsia="zh-CN"/>
        </w:rPr>
        <w:t>CEO Overconfidence, ESG Performance, Upper echelon theory, corporate governance, state-owned enterprises, institutional investors.</w:t>
      </w:r>
    </w:p>
    <w:p w14:paraId="05E7162A" w14:textId="6B8B3D4B" w:rsidR="00777F58" w:rsidRDefault="00777F58" w:rsidP="00213578">
      <w:pPr>
        <w:spacing w:after="200" w:line="360" w:lineRule="auto"/>
        <w:jc w:val="both"/>
        <w:rPr>
          <w:rFonts w:ascii="Times New Roman" w:eastAsia="SimSun" w:hAnsi="Times New Roman" w:cs="Times New Roman"/>
          <w:sz w:val="28"/>
          <w:szCs w:val="28"/>
          <w:lang w:eastAsia="zh-CN"/>
        </w:rPr>
      </w:pPr>
    </w:p>
    <w:p w14:paraId="57BB51C4" w14:textId="77777777" w:rsidR="00777F58" w:rsidRPr="00213578" w:rsidRDefault="00777F58" w:rsidP="00213578">
      <w:pPr>
        <w:spacing w:after="200" w:line="360" w:lineRule="auto"/>
        <w:jc w:val="both"/>
        <w:rPr>
          <w:rFonts w:ascii="Times New Roman" w:eastAsia="SimSun" w:hAnsi="Times New Roman" w:cs="Times New Roman"/>
          <w:sz w:val="28"/>
          <w:szCs w:val="28"/>
          <w:lang w:eastAsia="zh-CN"/>
        </w:rPr>
      </w:pPr>
    </w:p>
    <w:p w14:paraId="08DCBCBF" w14:textId="17419606" w:rsidR="00213578" w:rsidRDefault="00213578"/>
    <w:p w14:paraId="266ADE7D" w14:textId="62A51946" w:rsidR="00CD4DD8" w:rsidRDefault="00CD4DD8" w:rsidP="00CD4DD8">
      <w:pPr>
        <w:spacing w:after="200" w:line="360" w:lineRule="auto"/>
        <w:jc w:val="both"/>
        <w:rPr>
          <w:rFonts w:ascii="Times New Roman" w:eastAsia="SimSun" w:hAnsi="Times New Roman" w:cs="Times New Roman"/>
          <w:b/>
          <w:bCs/>
          <w:sz w:val="28"/>
          <w:szCs w:val="28"/>
          <w:lang w:eastAsia="zh-CN"/>
        </w:rPr>
      </w:pPr>
      <w:bookmarkStart w:id="1" w:name="_Hlk199651299"/>
      <w:r w:rsidRPr="00CD4DD8">
        <w:rPr>
          <w:rFonts w:ascii="Times New Roman" w:eastAsia="SimSun" w:hAnsi="Times New Roman" w:cs="Times New Roman"/>
          <w:b/>
          <w:bCs/>
          <w:sz w:val="28"/>
          <w:szCs w:val="28"/>
          <w:lang w:eastAsia="zh-CN"/>
        </w:rPr>
        <w:t>1 | INTRODUCTION</w:t>
      </w:r>
    </w:p>
    <w:p w14:paraId="72C77FF9" w14:textId="05BDEF86" w:rsidR="008C36F3" w:rsidRPr="008C36F3" w:rsidRDefault="008C36F3" w:rsidP="00CD4DD8">
      <w:pPr>
        <w:spacing w:after="20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8C36F3">
        <w:rPr>
          <w:rFonts w:ascii="Times New Roman" w:eastAsia="SimSun" w:hAnsi="Times New Roman" w:cs="Times New Roman"/>
          <w:sz w:val="28"/>
          <w:szCs w:val="28"/>
          <w:lang w:eastAsia="zh-CN"/>
        </w:rPr>
        <w:t>In the era of sustainability-driven business, CEO overconfidence has emerged as a key internal factor impacting companies' ESG performance, particularly in the evolving Chinese market. Although ESG has become a global focus driving sustainable corporate strategies, China’s listed companies still show insufficient ESG disclosures, especially in governance and environmental areas, limiting the market’s ability to evaluate non-financial risks effectively. These difficulties are mostly caused by low levels of voluntary disclosure and the lack of standardized reporting standards.</w:t>
      </w:r>
      <w:r w:rsidR="006C04C8" w:rsidRPr="006C04C8">
        <w:t xml:space="preserve"> </w:t>
      </w:r>
      <w:r w:rsidR="006C04C8" w:rsidRPr="006C04C8">
        <w:rPr>
          <w:rFonts w:ascii="Times New Roman" w:eastAsia="SimSun" w:hAnsi="Times New Roman" w:cs="Times New Roman"/>
          <w:sz w:val="28"/>
          <w:szCs w:val="28"/>
          <w:lang w:eastAsia="zh-CN"/>
        </w:rPr>
        <w:t>However, growing regulatory pressure and national climate goals, such as peak carbon emissions by 2030 and achieving carbon neutrality by 2060, have made it essential to integrate ESG factors into investment and corporate decisions (Li et al., 2024).</w:t>
      </w:r>
    </w:p>
    <w:p w14:paraId="296AA03D" w14:textId="704258D7" w:rsidR="0011563A" w:rsidRDefault="006C04C8" w:rsidP="00E55A5D">
      <w:pPr>
        <w:spacing w:after="20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6C04C8">
        <w:rPr>
          <w:rFonts w:ascii="Times New Roman" w:eastAsia="SimSun" w:hAnsi="Times New Roman" w:cs="Times New Roman"/>
          <w:sz w:val="28"/>
          <w:szCs w:val="28"/>
          <w:lang w:eastAsia="zh-CN"/>
        </w:rPr>
        <w:t>Numerous factors influence ESG performance, according to recent research.</w:t>
      </w:r>
      <w:r w:rsidR="00855586" w:rsidRPr="00855586">
        <w:t xml:space="preserve"> </w:t>
      </w:r>
      <w:r w:rsidR="00855586" w:rsidRPr="00855586">
        <w:rPr>
          <w:rFonts w:ascii="Times New Roman" w:eastAsia="SimSun" w:hAnsi="Times New Roman" w:cs="Times New Roman"/>
          <w:sz w:val="28"/>
          <w:szCs w:val="28"/>
          <w:lang w:eastAsia="zh-CN"/>
        </w:rPr>
        <w:t xml:space="preserve">These factors include external influences such as societal norms (Liu et al., 2022; </w:t>
      </w:r>
      <w:proofErr w:type="spellStart"/>
      <w:r w:rsidR="00855586" w:rsidRPr="00855586">
        <w:rPr>
          <w:rFonts w:ascii="Times New Roman" w:eastAsia="SimSun" w:hAnsi="Times New Roman" w:cs="Times New Roman"/>
          <w:sz w:val="28"/>
          <w:szCs w:val="28"/>
          <w:lang w:eastAsia="zh-CN"/>
        </w:rPr>
        <w:t>Terzani</w:t>
      </w:r>
      <w:proofErr w:type="spellEnd"/>
      <w:r w:rsidR="00855586" w:rsidRPr="00855586">
        <w:rPr>
          <w:rFonts w:ascii="Times New Roman" w:eastAsia="SimSun" w:hAnsi="Times New Roman" w:cs="Times New Roman"/>
          <w:sz w:val="28"/>
          <w:szCs w:val="28"/>
          <w:lang w:eastAsia="zh-CN"/>
        </w:rPr>
        <w:t xml:space="preserve"> &amp; </w:t>
      </w:r>
      <w:proofErr w:type="spellStart"/>
      <w:r w:rsidR="00855586" w:rsidRPr="00855586">
        <w:rPr>
          <w:rFonts w:ascii="Times New Roman" w:eastAsia="SimSun" w:hAnsi="Times New Roman" w:cs="Times New Roman"/>
          <w:sz w:val="28"/>
          <w:szCs w:val="28"/>
          <w:lang w:eastAsia="zh-CN"/>
        </w:rPr>
        <w:t>Turzo</w:t>
      </w:r>
      <w:proofErr w:type="spellEnd"/>
      <w:r w:rsidR="00855586" w:rsidRPr="00855586">
        <w:rPr>
          <w:rFonts w:ascii="Times New Roman" w:eastAsia="SimSun" w:hAnsi="Times New Roman" w:cs="Times New Roman"/>
          <w:sz w:val="28"/>
          <w:szCs w:val="28"/>
          <w:lang w:eastAsia="zh-CN"/>
        </w:rPr>
        <w:t>, 2021), banking relationships (Bruno et al., 2024; Xing et al., 2024), government policies (Yan et al., 2023; Zhang et al., 2023), investor pressure (Liu et al., 2023; Zhang &amp; Zhang, 2024), and media scrutiny (Cai et al., 2024; Chen et al., 2024; He et al., 2024). Internal drivers also play a crucial role, including corporate values (Tan et al., 2025; Zheng et al., 2022), managerial traits (</w:t>
      </w:r>
      <w:proofErr w:type="spellStart"/>
      <w:r w:rsidR="00855586" w:rsidRPr="00855586">
        <w:rPr>
          <w:rFonts w:ascii="Times New Roman" w:eastAsia="SimSun" w:hAnsi="Times New Roman" w:cs="Times New Roman"/>
          <w:sz w:val="28"/>
          <w:szCs w:val="28"/>
          <w:lang w:eastAsia="zh-CN"/>
        </w:rPr>
        <w:t>Menicucci</w:t>
      </w:r>
      <w:proofErr w:type="spellEnd"/>
      <w:r w:rsidR="00855586" w:rsidRPr="00855586">
        <w:rPr>
          <w:rFonts w:ascii="Times New Roman" w:eastAsia="SimSun" w:hAnsi="Times New Roman" w:cs="Times New Roman"/>
          <w:sz w:val="28"/>
          <w:szCs w:val="28"/>
          <w:lang w:eastAsia="zh-CN"/>
        </w:rPr>
        <w:t xml:space="preserve"> &amp; </w:t>
      </w:r>
      <w:proofErr w:type="spellStart"/>
      <w:r w:rsidR="00855586" w:rsidRPr="00855586">
        <w:rPr>
          <w:rFonts w:ascii="Times New Roman" w:eastAsia="SimSun" w:hAnsi="Times New Roman" w:cs="Times New Roman"/>
          <w:sz w:val="28"/>
          <w:szCs w:val="28"/>
          <w:lang w:eastAsia="zh-CN"/>
        </w:rPr>
        <w:t>Paolucci</w:t>
      </w:r>
      <w:proofErr w:type="spellEnd"/>
      <w:r w:rsidR="00855586" w:rsidRPr="00855586">
        <w:rPr>
          <w:rFonts w:ascii="Times New Roman" w:eastAsia="SimSun" w:hAnsi="Times New Roman" w:cs="Times New Roman"/>
          <w:sz w:val="28"/>
          <w:szCs w:val="28"/>
          <w:lang w:eastAsia="zh-CN"/>
        </w:rPr>
        <w:t xml:space="preserve">, 2022; Miranda et al., 2023; </w:t>
      </w:r>
      <w:proofErr w:type="spellStart"/>
      <w:r w:rsidR="00855586" w:rsidRPr="00855586">
        <w:rPr>
          <w:rFonts w:ascii="Times New Roman" w:eastAsia="SimSun" w:hAnsi="Times New Roman" w:cs="Times New Roman"/>
          <w:sz w:val="28"/>
          <w:szCs w:val="28"/>
          <w:lang w:eastAsia="zh-CN"/>
        </w:rPr>
        <w:t>Paolone</w:t>
      </w:r>
      <w:proofErr w:type="spellEnd"/>
      <w:r w:rsidR="00855586" w:rsidRPr="00855586">
        <w:rPr>
          <w:rFonts w:ascii="Times New Roman" w:eastAsia="SimSun" w:hAnsi="Times New Roman" w:cs="Times New Roman"/>
          <w:sz w:val="28"/>
          <w:szCs w:val="28"/>
          <w:lang w:eastAsia="zh-CN"/>
        </w:rPr>
        <w:t xml:space="preserve"> et al., 2024), and shareholder preferences (</w:t>
      </w:r>
      <w:proofErr w:type="spellStart"/>
      <w:r w:rsidR="00855586" w:rsidRPr="00855586">
        <w:rPr>
          <w:rFonts w:ascii="Times New Roman" w:eastAsia="SimSun" w:hAnsi="Times New Roman" w:cs="Times New Roman"/>
          <w:sz w:val="28"/>
          <w:szCs w:val="28"/>
          <w:lang w:eastAsia="zh-CN"/>
        </w:rPr>
        <w:t>Fiorillo</w:t>
      </w:r>
      <w:proofErr w:type="spellEnd"/>
      <w:r w:rsidR="00855586" w:rsidRPr="00855586">
        <w:rPr>
          <w:rFonts w:ascii="Times New Roman" w:eastAsia="SimSun" w:hAnsi="Times New Roman" w:cs="Times New Roman"/>
          <w:sz w:val="28"/>
          <w:szCs w:val="28"/>
          <w:lang w:eastAsia="zh-CN"/>
        </w:rPr>
        <w:t xml:space="preserve"> &amp; </w:t>
      </w:r>
      <w:proofErr w:type="spellStart"/>
      <w:r w:rsidR="00855586" w:rsidRPr="00855586">
        <w:rPr>
          <w:rFonts w:ascii="Times New Roman" w:eastAsia="SimSun" w:hAnsi="Times New Roman" w:cs="Times New Roman"/>
          <w:sz w:val="28"/>
          <w:szCs w:val="28"/>
          <w:lang w:eastAsia="zh-CN"/>
        </w:rPr>
        <w:t>Santilli</w:t>
      </w:r>
      <w:proofErr w:type="spellEnd"/>
      <w:r w:rsidR="00855586" w:rsidRPr="00855586">
        <w:rPr>
          <w:rFonts w:ascii="Times New Roman" w:eastAsia="SimSun" w:hAnsi="Times New Roman" w:cs="Times New Roman"/>
          <w:sz w:val="28"/>
          <w:szCs w:val="28"/>
          <w:lang w:eastAsia="zh-CN"/>
        </w:rPr>
        <w:t xml:space="preserve">, 2024; Jia et al., 2022; Lopez-De-Silanes et al., </w:t>
      </w:r>
      <w:r w:rsidR="00D1196F">
        <w:rPr>
          <w:rFonts w:ascii="Times New Roman" w:eastAsia="SimSun" w:hAnsi="Times New Roman" w:cs="Times New Roman"/>
          <w:sz w:val="28"/>
          <w:szCs w:val="28"/>
          <w:lang w:eastAsia="zh-CN"/>
        </w:rPr>
        <w:t>2022</w:t>
      </w:r>
      <w:r w:rsidR="00855586" w:rsidRPr="00855586">
        <w:rPr>
          <w:rFonts w:ascii="Times New Roman" w:eastAsia="SimSun" w:hAnsi="Times New Roman" w:cs="Times New Roman"/>
          <w:sz w:val="28"/>
          <w:szCs w:val="28"/>
          <w:lang w:eastAsia="zh-CN"/>
        </w:rPr>
        <w:t>).</w:t>
      </w:r>
      <w:r w:rsidR="0021132D" w:rsidRPr="0021132D">
        <w:t xml:space="preserve"> </w:t>
      </w:r>
      <w:r w:rsidR="00F9640A" w:rsidRPr="00F9640A">
        <w:rPr>
          <w:rFonts w:ascii="Times New Roman" w:eastAsia="SimSun" w:hAnsi="Times New Roman" w:cs="Times New Roman"/>
          <w:sz w:val="28"/>
          <w:szCs w:val="28"/>
          <w:lang w:eastAsia="zh-CN"/>
        </w:rPr>
        <w:t>Notably,</w:t>
      </w:r>
      <w:r w:rsidR="00F9640A">
        <w:rPr>
          <w:rFonts w:ascii="Times New Roman" w:eastAsia="SimSun" w:hAnsi="Times New Roman" w:cs="Times New Roman"/>
          <w:sz w:val="28"/>
          <w:szCs w:val="28"/>
          <w:lang w:eastAsia="zh-CN"/>
        </w:rPr>
        <w:t xml:space="preserve"> </w:t>
      </w:r>
      <w:r w:rsidR="0021132D" w:rsidRPr="0021132D">
        <w:rPr>
          <w:rFonts w:ascii="Times New Roman" w:eastAsia="SimSun" w:hAnsi="Times New Roman" w:cs="Times New Roman"/>
          <w:sz w:val="28"/>
          <w:szCs w:val="28"/>
          <w:lang w:eastAsia="zh-CN"/>
        </w:rPr>
        <w:t>CEO leadership is particularly influential among internal drivers, and psychological traits such as overconfidence are increasingly seen as important in shaping ESG strategies. While prior studies have explored the impact of CEO overconfidence on financial decisions like investment and mergers (</w:t>
      </w:r>
      <w:proofErr w:type="spellStart"/>
      <w:r w:rsidR="0021132D" w:rsidRPr="0021132D">
        <w:rPr>
          <w:rFonts w:ascii="Times New Roman" w:eastAsia="SimSun" w:hAnsi="Times New Roman" w:cs="Times New Roman"/>
          <w:sz w:val="28"/>
          <w:szCs w:val="28"/>
          <w:lang w:eastAsia="zh-CN"/>
        </w:rPr>
        <w:t>Malmendier</w:t>
      </w:r>
      <w:proofErr w:type="spellEnd"/>
      <w:r w:rsidR="0021132D" w:rsidRPr="0021132D">
        <w:rPr>
          <w:rFonts w:ascii="Times New Roman" w:eastAsia="SimSun" w:hAnsi="Times New Roman" w:cs="Times New Roman"/>
          <w:sz w:val="28"/>
          <w:szCs w:val="28"/>
          <w:lang w:eastAsia="zh-CN"/>
        </w:rPr>
        <w:t xml:space="preserve"> &amp; </w:t>
      </w:r>
      <w:r w:rsidR="0021132D" w:rsidRPr="0021132D">
        <w:rPr>
          <w:rFonts w:ascii="Times New Roman" w:eastAsia="SimSun" w:hAnsi="Times New Roman" w:cs="Times New Roman"/>
          <w:sz w:val="28"/>
          <w:szCs w:val="28"/>
          <w:lang w:eastAsia="zh-CN"/>
        </w:rPr>
        <w:lastRenderedPageBreak/>
        <w:t>Tate, 2004, 2005; Ferris et al.,</w:t>
      </w:r>
      <w:r w:rsidR="008506BB">
        <w:rPr>
          <w:rFonts w:ascii="Times New Roman" w:eastAsia="SimSun" w:hAnsi="Times New Roman" w:cs="Times New Roman"/>
          <w:sz w:val="28"/>
          <w:szCs w:val="28"/>
          <w:lang w:eastAsia="zh-CN"/>
        </w:rPr>
        <w:t>2013</w:t>
      </w:r>
      <w:r w:rsidR="0021132D" w:rsidRPr="0021132D">
        <w:rPr>
          <w:rFonts w:ascii="Times New Roman" w:eastAsia="SimSun" w:hAnsi="Times New Roman" w:cs="Times New Roman"/>
          <w:sz w:val="28"/>
          <w:szCs w:val="28"/>
          <w:lang w:eastAsia="zh-CN"/>
        </w:rPr>
        <w:t>; Lee et al., n.d.; Tang &amp; Chang, 2024), its influence on ESG performance remains underexplored, revealing a key gap this study aims to address.</w:t>
      </w:r>
      <w:r w:rsidR="005E598A" w:rsidRPr="005E598A">
        <w:t xml:space="preserve"> </w:t>
      </w:r>
      <w:r w:rsidR="00E55A5D">
        <w:rPr>
          <w:rFonts w:ascii="Times New Roman" w:eastAsia="SimSun" w:hAnsi="Times New Roman" w:cs="Times New Roman"/>
          <w:sz w:val="28"/>
          <w:szCs w:val="28"/>
          <w:lang w:eastAsia="zh-CN"/>
        </w:rPr>
        <w:t>Our</w:t>
      </w:r>
      <w:r w:rsidR="005E598A" w:rsidRPr="005E598A">
        <w:rPr>
          <w:rFonts w:ascii="Times New Roman" w:eastAsia="SimSun" w:hAnsi="Times New Roman" w:cs="Times New Roman"/>
          <w:sz w:val="28"/>
          <w:szCs w:val="28"/>
          <w:lang w:eastAsia="zh-CN"/>
        </w:rPr>
        <w:t xml:space="preserve"> study aims to fill this gap by examining the possible impact of CEO overconfidence on corporate ESG performance</w:t>
      </w:r>
      <w:r w:rsidR="0011563A">
        <w:rPr>
          <w:rFonts w:ascii="Times New Roman" w:eastAsia="SimSun" w:hAnsi="Times New Roman" w:cs="Times New Roman"/>
          <w:sz w:val="28"/>
          <w:szCs w:val="28"/>
          <w:lang w:eastAsia="zh-CN"/>
        </w:rPr>
        <w:t xml:space="preserve">. </w:t>
      </w:r>
    </w:p>
    <w:p w14:paraId="5B330D88" w14:textId="77777777" w:rsidR="00411307" w:rsidRDefault="0011563A" w:rsidP="00E55A5D">
      <w:pPr>
        <w:spacing w:after="20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11563A">
        <w:rPr>
          <w:rFonts w:ascii="Times New Roman" w:eastAsia="SimSun" w:hAnsi="Times New Roman" w:cs="Times New Roman"/>
          <w:sz w:val="28"/>
          <w:szCs w:val="28"/>
          <w:lang w:eastAsia="zh-CN"/>
        </w:rPr>
        <w:t>The study analyzes a sample of A-share non-financial companies listed on the Shanghai and Shenzhen stock exchanges from 2007 to 2022. It specifically examines how CEO overconfidence influences corporate decisions regarding ESG practices. Additionally, the research assesses the moderating effects of state-owned enterprises (SOEs) and institutional investors on this relationship.</w:t>
      </w:r>
      <w:r w:rsidR="00E55A5D">
        <w:rPr>
          <w:rFonts w:ascii="Times New Roman" w:eastAsia="SimSun" w:hAnsi="Times New Roman" w:cs="Times New Roman"/>
          <w:sz w:val="28"/>
          <w:szCs w:val="28"/>
          <w:lang w:eastAsia="zh-CN"/>
        </w:rPr>
        <w:t xml:space="preserve"> </w:t>
      </w:r>
      <w:r w:rsidR="00411307" w:rsidRPr="00777F58">
        <w:rPr>
          <w:rFonts w:ascii="Times New Roman" w:eastAsia="SimSun" w:hAnsi="Times New Roman" w:cs="Times New Roman"/>
          <w:sz w:val="28"/>
          <w:szCs w:val="28"/>
          <w:lang w:eastAsia="zh-CN"/>
        </w:rPr>
        <w:t>Our findings reveal that companies helmed by overconfident CEOs are more inclined to push for changes in ESG performance, especially with SOEs and high institutional investor engagement.</w:t>
      </w:r>
    </w:p>
    <w:p w14:paraId="3A9A3979" w14:textId="2046FF1E" w:rsidR="0059137A" w:rsidRDefault="0061671F" w:rsidP="0059137A">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61671F">
        <w:rPr>
          <w:rFonts w:asciiTheme="majorBidi" w:hAnsiTheme="majorBidi" w:cstheme="majorBidi"/>
          <w:sz w:val="28"/>
          <w:szCs w:val="28"/>
        </w:rPr>
        <w:t xml:space="preserve">Our study offers several important contributions to corporate governance and sustainability. First, it extends research on the economic effects of CEO overconfidence by moving beyond traditional financial decisions to examine its influence on ESG performance. Second, it enhances understanding of the factors shaping corporate ESG outcomes by highlighting the role of executive overconfidence—a psychological bias often overlooked in sustainability research. While prior studies mainly focus on the economic benefits of ESG, our work explores the behavioral mechanisms through which overconfident CEOs may impact ESG strategies, providing a fresh perspective on executive decision-making in sustainability. This deeper insight into the behavioral drivers of ESG performance can help companies improve sustainability efforts by fostering more informed leadership. Finally, our findings offer practical implications for executive recruitment and human resource management, suggesting that recognizing the strengths and risks associated with overconfidence can promote healthier, more </w:t>
      </w:r>
      <w:r w:rsidRPr="0061671F">
        <w:rPr>
          <w:rFonts w:asciiTheme="majorBidi" w:hAnsiTheme="majorBidi" w:cstheme="majorBidi"/>
          <w:sz w:val="28"/>
          <w:szCs w:val="28"/>
        </w:rPr>
        <w:lastRenderedPageBreak/>
        <w:t>sustainable corporate development. Additionally, the research informs policymakers seeking to enhance ESG standards and corporate responsibility through targeted regulation and guidance.</w:t>
      </w:r>
    </w:p>
    <w:p w14:paraId="240FA48A" w14:textId="2AA5C164" w:rsidR="0061671F" w:rsidRPr="0061671F" w:rsidRDefault="0061671F" w:rsidP="0061671F">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61671F">
        <w:rPr>
          <w:rFonts w:asciiTheme="majorBidi" w:hAnsiTheme="majorBidi" w:cstheme="majorBidi"/>
          <w:sz w:val="28"/>
          <w:szCs w:val="28"/>
        </w:rPr>
        <w:t>The paper is organized as follows: Section 2 presents a comprehensive literature review. Section 3 develops the research hypotheses. Section 4 outlines the research design and methodology. Section 5 reports the empirical results and provides an in-depth analysis. Finally, Section 6 concludes the study and discusses the implications of our findings.</w:t>
      </w:r>
    </w:p>
    <w:bookmarkEnd w:id="1"/>
    <w:p w14:paraId="5EB5D72C" w14:textId="1E5C9ABE" w:rsidR="0061671F" w:rsidRDefault="0061671F" w:rsidP="0059137A">
      <w:pPr>
        <w:spacing w:line="360" w:lineRule="auto"/>
        <w:jc w:val="both"/>
        <w:rPr>
          <w:rFonts w:asciiTheme="majorBidi" w:hAnsiTheme="majorBidi" w:cstheme="majorBidi"/>
          <w:sz w:val="28"/>
          <w:szCs w:val="28"/>
        </w:rPr>
      </w:pPr>
    </w:p>
    <w:p w14:paraId="2D96C458" w14:textId="77777777" w:rsidR="005C668A" w:rsidRPr="005C668A" w:rsidRDefault="005C668A" w:rsidP="005C668A">
      <w:pPr>
        <w:spacing w:after="200" w:line="360" w:lineRule="auto"/>
        <w:jc w:val="both"/>
        <w:rPr>
          <w:rFonts w:ascii="Times New Roman" w:eastAsia="SimSun" w:hAnsi="Times New Roman" w:cs="Times New Roman"/>
          <w:b/>
          <w:bCs/>
          <w:sz w:val="28"/>
          <w:szCs w:val="28"/>
          <w:lang w:eastAsia="zh-CN"/>
        </w:rPr>
      </w:pPr>
      <w:bookmarkStart w:id="2" w:name="_Hlk199653961"/>
      <w:r w:rsidRPr="005C668A">
        <w:rPr>
          <w:rFonts w:ascii="Times New Roman" w:eastAsia="SimSun" w:hAnsi="Times New Roman" w:cs="Times New Roman"/>
          <w:b/>
          <w:bCs/>
          <w:sz w:val="28"/>
          <w:szCs w:val="28"/>
          <w:lang w:eastAsia="zh-CN"/>
        </w:rPr>
        <w:t>2 | LITERATURE REVIEW AND HYPOTHESIS DEVELOPMENT</w:t>
      </w:r>
    </w:p>
    <w:p w14:paraId="0BF7398A" w14:textId="77777777" w:rsidR="005C668A" w:rsidRPr="005C668A" w:rsidRDefault="005C668A" w:rsidP="005C668A">
      <w:pPr>
        <w:spacing w:after="200" w:line="360" w:lineRule="auto"/>
        <w:jc w:val="both"/>
        <w:rPr>
          <w:rFonts w:ascii="Times New Roman" w:eastAsia="SimSun" w:hAnsi="Times New Roman" w:cs="Times New Roman"/>
          <w:b/>
          <w:bCs/>
          <w:sz w:val="28"/>
          <w:szCs w:val="28"/>
          <w:lang w:eastAsia="zh-CN"/>
        </w:rPr>
      </w:pPr>
      <w:r w:rsidRPr="005C668A">
        <w:rPr>
          <w:rFonts w:ascii="Times New Roman" w:eastAsia="SimSun" w:hAnsi="Times New Roman" w:cs="Times New Roman"/>
          <w:b/>
          <w:bCs/>
          <w:sz w:val="28"/>
          <w:szCs w:val="28"/>
          <w:lang w:eastAsia="zh-CN"/>
        </w:rPr>
        <w:t xml:space="preserve">2.1 | </w:t>
      </w:r>
      <w:r w:rsidRPr="005C668A">
        <w:rPr>
          <w:rFonts w:ascii="Times New Roman" w:eastAsia="Times New Roman" w:hAnsi="Times New Roman" w:cs="Times New Roman"/>
          <w:b/>
          <w:bCs/>
          <w:sz w:val="28"/>
          <w:szCs w:val="28"/>
        </w:rPr>
        <w:t xml:space="preserve">Economic Consequences of </w:t>
      </w:r>
      <w:bookmarkStart w:id="3" w:name="_Hlk198924237"/>
      <w:r w:rsidRPr="005C668A">
        <w:rPr>
          <w:rFonts w:ascii="Times New Roman" w:eastAsia="Times New Roman" w:hAnsi="Times New Roman" w:cs="Times New Roman"/>
          <w:b/>
          <w:bCs/>
          <w:sz w:val="28"/>
          <w:szCs w:val="28"/>
        </w:rPr>
        <w:t>CEO Overconfidence</w:t>
      </w:r>
      <w:bookmarkEnd w:id="3"/>
    </w:p>
    <w:p w14:paraId="2667273F" w14:textId="667EAA6F" w:rsidR="005C668A" w:rsidRPr="005C668A" w:rsidRDefault="005C668A" w:rsidP="00B2543F">
      <w:pPr>
        <w:spacing w:after="200" w:line="360" w:lineRule="auto"/>
        <w:jc w:val="both"/>
        <w:rPr>
          <w:rFonts w:ascii="Times New Roman" w:eastAsia="Times New Roman" w:hAnsi="Times New Roman" w:cs="Times New Roman"/>
          <w:sz w:val="28"/>
          <w:szCs w:val="28"/>
        </w:rPr>
      </w:pPr>
      <w:r w:rsidRPr="000B3431">
        <w:rPr>
          <w:rFonts w:asciiTheme="majorBidi" w:eastAsia="Times New Roman" w:hAnsiTheme="majorBidi" w:cstheme="majorBidi"/>
          <w:sz w:val="28"/>
          <w:szCs w:val="28"/>
        </w:rPr>
        <w:t>Overconfidence has its roots in cognitive psychology and is a tendency for people to overestimate their skills and knowledge, especially in situations where they are uncertain. The likelihood of success is overestimated while the likelihood of failure is underestimated as a result of this tendency. Notably, studies have revealed that executives are more likely than the general public to display overconfidence</w:t>
      </w:r>
      <w:sdt>
        <w:sdtPr>
          <w:rPr>
            <w:rFonts w:asciiTheme="majorBidi" w:eastAsia="Times New Roman" w:hAnsiTheme="majorBidi" w:cstheme="majorBidi"/>
            <w:color w:val="000000"/>
            <w:sz w:val="28"/>
            <w:szCs w:val="28"/>
          </w:rPr>
          <w:tag w:val="MENDELEY_CITATION_v3_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"/>
          <w:id w:val="-1192990762"/>
          <w:placeholder>
            <w:docPart w:val="96B8FBFA39F34DF6A5F6E6354226AFB3"/>
          </w:placeholder>
        </w:sdtPr>
        <w:sdtEndPr/>
        <w:sdtContent>
          <w:r w:rsidRPr="000B3431">
            <w:rPr>
              <w:rFonts w:asciiTheme="majorBidi" w:eastAsia="Times New Roman" w:hAnsiTheme="majorBidi" w:cstheme="majorBidi"/>
              <w:color w:val="000000"/>
              <w:sz w:val="28"/>
              <w:szCs w:val="28"/>
            </w:rPr>
            <w:t>(Dunning et al., 1990).</w:t>
          </w:r>
        </w:sdtContent>
      </w:sdt>
      <w:r w:rsidRPr="000B3431">
        <w:rPr>
          <w:rFonts w:asciiTheme="majorBidi" w:eastAsia="SimSun" w:hAnsiTheme="majorBidi" w:cstheme="majorBidi"/>
          <w:sz w:val="24"/>
          <w:szCs w:val="24"/>
          <w:lang w:eastAsia="zh-CN"/>
        </w:rPr>
        <w:t xml:space="preserve"> </w:t>
      </w:r>
      <w:r w:rsidRPr="000B3431">
        <w:rPr>
          <w:rFonts w:asciiTheme="majorBidi" w:eastAsia="Times New Roman" w:hAnsiTheme="majorBidi" w:cstheme="majorBidi"/>
          <w:color w:val="000000"/>
          <w:sz w:val="28"/>
          <w:szCs w:val="28"/>
        </w:rPr>
        <w:t>Scholars have examined the effects of executive overconfidence on corporate decision-making from a variety of angles since behavioral finance gained popularity. Regarding investment choices, overconfident executives are more likely to overinvest and exhibit a greater desire to seek expansion, frequently through mergers and acquisitions, when a company has sufficient cash flow</w:t>
      </w:r>
      <w:sdt>
        <w:sdtPr>
          <w:rPr>
            <w:rFonts w:asciiTheme="majorBidi" w:eastAsia="Times New Roman" w:hAnsiTheme="majorBidi" w:cstheme="majorBidi"/>
            <w:color w:val="000000"/>
            <w:sz w:val="28"/>
            <w:szCs w:val="28"/>
          </w:rPr>
          <w:tag w:val="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"/>
          <w:id w:val="-255604469"/>
          <w:placeholder>
            <w:docPart w:val="96B8FBFA39F34DF6A5F6E6354226AFB3"/>
          </w:placeholder>
        </w:sdtPr>
        <w:sdtEndPr/>
        <w:sdtContent>
          <w:r w:rsidRPr="000B3431">
            <w:rPr>
              <w:rFonts w:asciiTheme="majorBidi" w:eastAsia="Times New Roman" w:hAnsiTheme="majorBidi" w:cstheme="majorBidi"/>
              <w:color w:val="000000"/>
              <w:sz w:val="28"/>
              <w:lang w:eastAsia="zh-CN"/>
            </w:rPr>
            <w:t xml:space="preserve">(Nguyen &amp; Thuy, </w:t>
          </w:r>
          <w:r w:rsidR="00021F5B">
            <w:rPr>
              <w:rFonts w:asciiTheme="majorBidi" w:eastAsia="Times New Roman" w:hAnsiTheme="majorBidi" w:cstheme="majorBidi"/>
              <w:color w:val="000000"/>
              <w:sz w:val="28"/>
              <w:lang w:eastAsia="zh-CN"/>
            </w:rPr>
            <w:t>2015</w:t>
          </w:r>
          <w:r w:rsidRPr="000B3431">
            <w:rPr>
              <w:rFonts w:asciiTheme="majorBidi" w:eastAsia="Times New Roman" w:hAnsiTheme="majorBidi" w:cstheme="majorBidi"/>
              <w:color w:val="000000"/>
              <w:sz w:val="28"/>
              <w:lang w:eastAsia="zh-CN"/>
            </w:rPr>
            <w:t xml:space="preserve">; Pan et al., 2019; </w:t>
          </w:r>
          <w:proofErr w:type="spellStart"/>
          <w:r w:rsidRPr="000B3431">
            <w:rPr>
              <w:rFonts w:asciiTheme="majorBidi" w:eastAsia="Times New Roman" w:hAnsiTheme="majorBidi" w:cstheme="majorBidi"/>
              <w:color w:val="000000"/>
              <w:sz w:val="28"/>
              <w:lang w:eastAsia="zh-CN"/>
            </w:rPr>
            <w:t>Twardawski</w:t>
          </w:r>
          <w:proofErr w:type="spellEnd"/>
          <w:r w:rsidRPr="000B3431">
            <w:rPr>
              <w:rFonts w:asciiTheme="majorBidi" w:eastAsia="Times New Roman" w:hAnsiTheme="majorBidi" w:cstheme="majorBidi"/>
              <w:color w:val="000000"/>
              <w:sz w:val="28"/>
              <w:lang w:eastAsia="zh-CN"/>
            </w:rPr>
            <w:t xml:space="preserve"> &amp; Kind, 2023).</w:t>
          </w:r>
        </w:sdtContent>
      </w:sdt>
      <w:r w:rsidRPr="000B3431">
        <w:rPr>
          <w:rFonts w:asciiTheme="majorBidi" w:eastAsia="Times New Roman" w:hAnsiTheme="majorBidi" w:cstheme="majorBidi"/>
          <w:color w:val="000000"/>
          <w:sz w:val="28"/>
          <w:szCs w:val="28"/>
        </w:rPr>
        <w:t>When it comes to financing, overconfident executives frequently think that the market is undervaluing their company's stock. As a result, they exhibit a preference for shorter-term financing arrangements</w:t>
      </w:r>
      <w:sdt>
        <w:sdtPr>
          <w:rPr>
            <w:rFonts w:asciiTheme="majorBidi" w:eastAsia="Times New Roman" w:hAnsiTheme="majorBidi" w:cstheme="majorBidi"/>
            <w:color w:val="000000"/>
            <w:sz w:val="28"/>
            <w:szCs w:val="28"/>
          </w:rPr>
          <w:tag w:val="MENDELEY_CITATION_v3_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"/>
          <w:id w:val="512502554"/>
          <w:placeholder>
            <w:docPart w:val="96B8FBFA39F34DF6A5F6E6354226AFB3"/>
          </w:placeholder>
        </w:sdtPr>
        <w:sdtEndPr/>
        <w:sdtContent>
          <w:r w:rsidRPr="000B3431">
            <w:rPr>
              <w:rFonts w:asciiTheme="majorBidi" w:eastAsia="Times New Roman" w:hAnsiTheme="majorBidi" w:cstheme="majorBidi"/>
              <w:color w:val="000000"/>
              <w:sz w:val="28"/>
              <w:lang w:eastAsia="zh-CN"/>
            </w:rPr>
            <w:t>(</w:t>
          </w:r>
          <w:r w:rsidR="00B2543F" w:rsidRPr="00B2543F">
            <w:rPr>
              <w:rFonts w:asciiTheme="majorBidi" w:eastAsia="Times New Roman" w:hAnsiTheme="majorBidi" w:cstheme="majorBidi"/>
              <w:color w:val="000000"/>
              <w:sz w:val="28"/>
              <w:lang w:eastAsia="zh-CN"/>
            </w:rPr>
            <w:t>Huang</w:t>
          </w:r>
          <w:r w:rsidR="00B2543F">
            <w:rPr>
              <w:rFonts w:asciiTheme="majorBidi" w:eastAsia="Times New Roman" w:hAnsiTheme="majorBidi" w:cstheme="majorBidi"/>
              <w:color w:val="000000"/>
              <w:sz w:val="28"/>
              <w:lang w:eastAsia="zh-CN"/>
            </w:rPr>
            <w:t xml:space="preserve"> et al.</w:t>
          </w:r>
          <w:r w:rsidRPr="000B3431">
            <w:rPr>
              <w:rFonts w:asciiTheme="majorBidi" w:eastAsia="Times New Roman" w:hAnsiTheme="majorBidi" w:cstheme="majorBidi"/>
              <w:color w:val="000000"/>
              <w:sz w:val="28"/>
              <w:lang w:eastAsia="zh-CN"/>
            </w:rPr>
            <w:t>, 201</w:t>
          </w:r>
          <w:r w:rsidR="00B2543F">
            <w:rPr>
              <w:rFonts w:asciiTheme="majorBidi" w:eastAsia="Times New Roman" w:hAnsiTheme="majorBidi" w:cstheme="majorBidi"/>
              <w:color w:val="000000"/>
              <w:sz w:val="28"/>
              <w:lang w:eastAsia="zh-CN"/>
            </w:rPr>
            <w:t>6</w:t>
          </w:r>
          <w:r w:rsidRPr="000B3431">
            <w:rPr>
              <w:rFonts w:asciiTheme="majorBidi" w:eastAsia="Times New Roman" w:hAnsiTheme="majorBidi" w:cstheme="majorBidi"/>
              <w:color w:val="000000"/>
              <w:sz w:val="28"/>
              <w:lang w:eastAsia="zh-CN"/>
            </w:rPr>
            <w:t>)</w:t>
          </w:r>
        </w:sdtContent>
      </w:sdt>
      <w:r w:rsidRPr="000B3431">
        <w:rPr>
          <w:rFonts w:asciiTheme="majorBidi" w:eastAsia="Times New Roman" w:hAnsiTheme="majorBidi" w:cstheme="majorBidi"/>
          <w:color w:val="000000"/>
          <w:sz w:val="28"/>
          <w:szCs w:val="28"/>
        </w:rPr>
        <w:t>and favor</w:t>
      </w:r>
      <w:r w:rsidRPr="005C668A">
        <w:rPr>
          <w:rFonts w:ascii="Times New Roman" w:eastAsia="Times New Roman" w:hAnsi="Times New Roman" w:cs="Times New Roman"/>
          <w:color w:val="000000"/>
          <w:sz w:val="28"/>
          <w:szCs w:val="28"/>
        </w:rPr>
        <w:t xml:space="preserve"> </w:t>
      </w:r>
      <w:r w:rsidRPr="005C668A">
        <w:rPr>
          <w:rFonts w:ascii="Times New Roman" w:eastAsia="Times New Roman" w:hAnsi="Times New Roman" w:cs="Times New Roman"/>
          <w:color w:val="000000"/>
          <w:sz w:val="28"/>
          <w:szCs w:val="28"/>
        </w:rPr>
        <w:lastRenderedPageBreak/>
        <w:t>debt financing over other options</w:t>
      </w:r>
      <w:sdt>
        <w:sdtPr>
          <w:rPr>
            <w:rFonts w:ascii="Times New Roman" w:eastAsia="Times New Roman" w:hAnsi="Times New Roman" w:cs="Times New Roman"/>
            <w:color w:val="000000"/>
            <w:sz w:val="28"/>
            <w:szCs w:val="28"/>
          </w:rPr>
          <w:tag w:val="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"/>
          <w:id w:val="-1203015943"/>
          <w:placeholder>
            <w:docPart w:val="96B8FBFA39F34DF6A5F6E6354226AFB3"/>
          </w:placeholder>
        </w:sdtPr>
        <w:sdtEndPr/>
        <w:sdtContent>
          <w:r w:rsidRPr="005C668A">
            <w:rPr>
              <w:rFonts w:ascii="Times New Roman" w:eastAsia="Times New Roman" w:hAnsi="Times New Roman" w:cs="Times New Roman"/>
              <w:color w:val="000000"/>
              <w:sz w:val="28"/>
              <w:szCs w:val="28"/>
            </w:rPr>
            <w:t>(</w:t>
          </w:r>
          <w:proofErr w:type="spellStart"/>
          <w:r w:rsidRPr="005C668A">
            <w:rPr>
              <w:rFonts w:ascii="Times New Roman" w:eastAsia="Times New Roman" w:hAnsi="Times New Roman" w:cs="Times New Roman"/>
              <w:color w:val="000000"/>
              <w:sz w:val="28"/>
              <w:szCs w:val="28"/>
            </w:rPr>
            <w:t>Malmendier</w:t>
          </w:r>
          <w:proofErr w:type="spellEnd"/>
          <w:r w:rsidRPr="005C668A">
            <w:rPr>
              <w:rFonts w:ascii="Times New Roman" w:eastAsia="Times New Roman" w:hAnsi="Times New Roman" w:cs="Times New Roman"/>
              <w:color w:val="000000"/>
              <w:sz w:val="28"/>
              <w:szCs w:val="28"/>
            </w:rPr>
            <w:t xml:space="preserve"> et al., 2010).</w:t>
          </w:r>
        </w:sdtContent>
      </w:sdt>
      <w:r w:rsidRPr="005C668A">
        <w:rPr>
          <w:rFonts w:ascii="Times New Roman" w:eastAsia="Times New Roman" w:hAnsi="Times New Roman" w:cs="Times New Roman"/>
          <w:color w:val="000000"/>
          <w:sz w:val="28"/>
          <w:szCs w:val="28"/>
        </w:rPr>
        <w:t>Furthermore, overconfident executives are less likely to pay dividends because they are more likely to keep surplus funds in the company while actively looking for new growth opportunities</w:t>
      </w:r>
      <w:sdt>
        <w:sdtPr>
          <w:rPr>
            <w:rFonts w:ascii="Times New Roman" w:eastAsia="Times New Roman" w:hAnsi="Times New Roman" w:cs="Times New Roman"/>
            <w:color w:val="000000"/>
            <w:sz w:val="28"/>
            <w:szCs w:val="28"/>
          </w:rPr>
          <w:tag w:val="MENDELEY_CITATION_v3_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"/>
          <w:id w:val="-1632234500"/>
          <w:placeholder>
            <w:docPart w:val="96B8FBFA39F34DF6A5F6E6354226AFB3"/>
          </w:placeholder>
        </w:sdtPr>
        <w:sdtEndPr/>
        <w:sdtContent>
          <w:r w:rsidRPr="005C668A">
            <w:rPr>
              <w:rFonts w:ascii="Times New Roman" w:eastAsia="Times New Roman" w:hAnsi="Times New Roman" w:cs="Times New Roman"/>
              <w:color w:val="000000"/>
              <w:sz w:val="28"/>
              <w:szCs w:val="28"/>
            </w:rPr>
            <w:t xml:space="preserve">(Cordeiro, 2009; Deshmukh et al., </w:t>
          </w:r>
          <w:r w:rsidR="00DF33BF">
            <w:rPr>
              <w:rFonts w:ascii="Times New Roman" w:eastAsia="Times New Roman" w:hAnsi="Times New Roman" w:cs="Times New Roman"/>
              <w:color w:val="000000"/>
              <w:sz w:val="28"/>
              <w:szCs w:val="28"/>
            </w:rPr>
            <w:t>2013</w:t>
          </w:r>
          <w:r w:rsidRPr="005C668A">
            <w:rPr>
              <w:rFonts w:ascii="Times New Roman" w:eastAsia="Times New Roman" w:hAnsi="Times New Roman" w:cs="Times New Roman"/>
              <w:color w:val="000000"/>
              <w:sz w:val="28"/>
              <w:szCs w:val="28"/>
            </w:rPr>
            <w:t xml:space="preserve">; </w:t>
          </w:r>
          <w:proofErr w:type="spellStart"/>
          <w:r w:rsidRPr="005C668A">
            <w:rPr>
              <w:rFonts w:ascii="Times New Roman" w:eastAsia="Times New Roman" w:hAnsi="Times New Roman" w:cs="Times New Roman"/>
              <w:color w:val="000000"/>
              <w:sz w:val="28"/>
              <w:szCs w:val="28"/>
            </w:rPr>
            <w:t>Dinh</w:t>
          </w:r>
          <w:proofErr w:type="spellEnd"/>
          <w:r w:rsidRPr="005C668A">
            <w:rPr>
              <w:rFonts w:ascii="Times New Roman" w:eastAsia="Times New Roman" w:hAnsi="Times New Roman" w:cs="Times New Roman"/>
              <w:color w:val="000000"/>
              <w:sz w:val="28"/>
              <w:szCs w:val="28"/>
            </w:rPr>
            <w:t xml:space="preserve"> Nguyen et al., 2021)</w:t>
          </w:r>
        </w:sdtContent>
      </w:sdt>
      <w:r w:rsidRPr="005C668A">
        <w:rPr>
          <w:rFonts w:ascii="Times New Roman" w:eastAsia="Times New Roman" w:hAnsi="Times New Roman" w:cs="Times New Roman"/>
          <w:color w:val="000000"/>
          <w:sz w:val="28"/>
          <w:szCs w:val="28"/>
        </w:rPr>
        <w:t>Nonetheless, some academics contend that overconfident executives are more inclined to take on risks and challenges because they have a positive outlook on the future and a strong belief in their abilities. As a result, they make long-term investments in things like technological innovation</w:t>
      </w:r>
      <w:sdt>
        <w:sdtPr>
          <w:rPr>
            <w:rFonts w:ascii="Times New Roman" w:eastAsia="Times New Roman" w:hAnsi="Times New Roman" w:cs="Times New Roman"/>
            <w:color w:val="000000"/>
            <w:sz w:val="28"/>
            <w:szCs w:val="28"/>
          </w:rPr>
          <w:tag w:val="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"/>
          <w:id w:val="1895390796"/>
          <w:placeholder>
            <w:docPart w:val="96B8FBFA39F34DF6A5F6E6354226AFB3"/>
          </w:placeholder>
        </w:sdtPr>
        <w:sdtEndPr/>
        <w:sdtContent>
          <w:r w:rsidRPr="005C668A">
            <w:rPr>
              <w:rFonts w:ascii="Times New Roman" w:eastAsia="Times New Roman" w:hAnsi="Times New Roman" w:cs="Times New Roman"/>
              <w:color w:val="000000"/>
              <w:sz w:val="28"/>
              <w:szCs w:val="28"/>
            </w:rPr>
            <w:t xml:space="preserve">(Galasso Timothy Simcoe et al., 2010; </w:t>
          </w:r>
          <w:proofErr w:type="spellStart"/>
          <w:r w:rsidRPr="005C668A">
            <w:rPr>
              <w:rFonts w:ascii="Times New Roman" w:eastAsia="Times New Roman" w:hAnsi="Times New Roman" w:cs="Times New Roman"/>
              <w:color w:val="000000"/>
              <w:sz w:val="28"/>
              <w:szCs w:val="28"/>
            </w:rPr>
            <w:t>Hirshleifer</w:t>
          </w:r>
          <w:proofErr w:type="spellEnd"/>
          <w:r w:rsidRPr="005C668A">
            <w:rPr>
              <w:rFonts w:ascii="Times New Roman" w:eastAsia="Times New Roman" w:hAnsi="Times New Roman" w:cs="Times New Roman"/>
              <w:color w:val="000000"/>
              <w:sz w:val="28"/>
              <w:szCs w:val="28"/>
            </w:rPr>
            <w:t xml:space="preserve"> et al., </w:t>
          </w:r>
          <w:r w:rsidR="00F371DF">
            <w:rPr>
              <w:rFonts w:ascii="Times New Roman" w:eastAsia="Times New Roman" w:hAnsi="Times New Roman" w:cs="Times New Roman"/>
              <w:color w:val="000000"/>
              <w:sz w:val="28"/>
              <w:szCs w:val="28"/>
            </w:rPr>
            <w:t>2012</w:t>
          </w:r>
          <w:r w:rsidRPr="005C668A">
            <w:rPr>
              <w:rFonts w:ascii="Times New Roman" w:eastAsia="Times New Roman" w:hAnsi="Times New Roman" w:cs="Times New Roman"/>
              <w:color w:val="000000"/>
              <w:sz w:val="28"/>
              <w:szCs w:val="28"/>
            </w:rPr>
            <w:t>; Zheng et al., 2025)</w:t>
          </w:r>
        </w:sdtContent>
      </w:sdt>
      <w:r w:rsidRPr="005C668A">
        <w:rPr>
          <w:rFonts w:ascii="Times New Roman" w:eastAsia="Times New Roman" w:hAnsi="Times New Roman" w:cs="Times New Roman"/>
          <w:color w:val="000000"/>
          <w:sz w:val="28"/>
          <w:szCs w:val="28"/>
        </w:rPr>
        <w:t xml:space="preserve">Additionally, according to </w:t>
      </w:r>
      <w:sdt>
        <w:sdtPr>
          <w:rPr>
            <w:rFonts w:ascii="Times New Roman" w:eastAsia="Times New Roman" w:hAnsi="Times New Roman" w:cs="Times New Roman"/>
            <w:color w:val="000000"/>
            <w:sz w:val="28"/>
            <w:szCs w:val="28"/>
          </w:rPr>
          <w:tag w:val="MENDELEY_CITATION_v3_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"/>
          <w:id w:val="3492090"/>
          <w:placeholder>
            <w:docPart w:val="96B8FBFA39F34DF6A5F6E6354226AFB3"/>
          </w:placeholder>
        </w:sdtPr>
        <w:sdtEndPr/>
        <w:sdtContent>
          <w:r w:rsidRPr="005C668A">
            <w:rPr>
              <w:rFonts w:ascii="Times New Roman" w:eastAsia="Times New Roman" w:hAnsi="Times New Roman" w:cs="Times New Roman"/>
              <w:color w:val="000000"/>
              <w:sz w:val="28"/>
              <w:szCs w:val="28"/>
            </w:rPr>
            <w:t>Park et al. (2020)</w:t>
          </w:r>
        </w:sdtContent>
      </w:sdt>
      <w:r w:rsidRPr="005C668A">
        <w:rPr>
          <w:rFonts w:ascii="Times New Roman" w:eastAsia="Times New Roman" w:hAnsi="Times New Roman" w:cs="Times New Roman"/>
          <w:color w:val="000000"/>
          <w:sz w:val="28"/>
          <w:szCs w:val="28"/>
        </w:rPr>
        <w:t>, overconfident executives are more likely to overestimate their company's future profitability, encouraging them to devote resources to meeting their social obligations.</w:t>
      </w:r>
    </w:p>
    <w:p w14:paraId="5E5953A2" w14:textId="77777777" w:rsidR="005C668A" w:rsidRPr="005C668A" w:rsidRDefault="005C668A" w:rsidP="005C668A">
      <w:pPr>
        <w:spacing w:after="200" w:line="360" w:lineRule="auto"/>
        <w:jc w:val="both"/>
        <w:rPr>
          <w:rFonts w:ascii="Times New Roman" w:eastAsia="SimSun" w:hAnsi="Times New Roman" w:cs="Times New Roman"/>
          <w:b/>
          <w:bCs/>
          <w:sz w:val="28"/>
          <w:szCs w:val="28"/>
          <w:lang w:eastAsia="zh-CN"/>
        </w:rPr>
      </w:pPr>
      <w:r w:rsidRPr="005C668A">
        <w:rPr>
          <w:rFonts w:ascii="Times New Roman" w:eastAsia="SimSun" w:hAnsi="Times New Roman" w:cs="Times New Roman"/>
          <w:b/>
          <w:bCs/>
          <w:sz w:val="28"/>
          <w:szCs w:val="28"/>
          <w:lang w:eastAsia="zh-CN"/>
        </w:rPr>
        <w:t xml:space="preserve">2.2 | </w:t>
      </w:r>
      <w:r w:rsidRPr="005C668A">
        <w:rPr>
          <w:rFonts w:ascii="Times New Roman" w:eastAsia="Times New Roman" w:hAnsi="Times New Roman" w:cs="Times New Roman"/>
          <w:b/>
          <w:bCs/>
          <w:sz w:val="27"/>
          <w:szCs w:val="27"/>
        </w:rPr>
        <w:t>Overview of ESG Performance Literature</w:t>
      </w:r>
    </w:p>
    <w:p w14:paraId="23EA4D16" w14:textId="500922E6" w:rsidR="005C668A" w:rsidRPr="005C668A" w:rsidRDefault="005C668A" w:rsidP="005C668A">
      <w:pPr>
        <w:spacing w:after="200" w:line="360" w:lineRule="auto"/>
        <w:jc w:val="both"/>
        <w:rPr>
          <w:rFonts w:ascii="Times New Roman" w:eastAsia="SimSun" w:hAnsi="Times New Roman" w:cs="Times New Roman"/>
          <w:sz w:val="28"/>
          <w:szCs w:val="28"/>
          <w:lang w:eastAsia="zh-CN"/>
        </w:rPr>
      </w:pPr>
      <w:r w:rsidRPr="005C668A">
        <w:rPr>
          <w:rFonts w:ascii="Times New Roman" w:eastAsia="SimSun" w:hAnsi="Times New Roman" w:cs="Times New Roman"/>
          <w:sz w:val="28"/>
          <w:szCs w:val="28"/>
          <w:lang w:eastAsia="zh-CN"/>
        </w:rPr>
        <w:t xml:space="preserve">             ESG performance has become a core value for firms worldwide </w:t>
      </w:r>
      <w:sdt>
        <w:sdtPr>
          <w:rPr>
            <w:rFonts w:asciiTheme="majorBidi" w:eastAsia="SimSun" w:hAnsiTheme="majorBidi" w:cstheme="majorBidi"/>
            <w:color w:val="000000"/>
            <w:sz w:val="28"/>
            <w:szCs w:val="28"/>
            <w:lang w:eastAsia="zh-CN"/>
          </w:rPr>
          <w:tag w:val="MENDELEY_CITATION_v3_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"/>
          <w:id w:val="-1932575041"/>
          <w:placeholder>
            <w:docPart w:val="96B8FBFA39F34DF6A5F6E6354226AFB3"/>
          </w:placeholder>
        </w:sdtPr>
        <w:sdtEndPr/>
        <w:sdtContent>
          <w:r w:rsidRPr="00515958">
            <w:rPr>
              <w:rFonts w:asciiTheme="majorBidi" w:eastAsia="Times New Roman" w:hAnsiTheme="majorBidi" w:cstheme="majorBidi"/>
              <w:color w:val="000000"/>
              <w:sz w:val="28"/>
              <w:lang w:eastAsia="zh-CN"/>
            </w:rPr>
            <w:t>(</w:t>
          </w:r>
          <w:proofErr w:type="spellStart"/>
          <w:r w:rsidRPr="00515958">
            <w:rPr>
              <w:rFonts w:asciiTheme="majorBidi" w:eastAsia="Times New Roman" w:hAnsiTheme="majorBidi" w:cstheme="majorBidi"/>
              <w:color w:val="000000"/>
              <w:sz w:val="28"/>
              <w:lang w:eastAsia="zh-CN"/>
            </w:rPr>
            <w:t>Huarng</w:t>
          </w:r>
          <w:proofErr w:type="spellEnd"/>
          <w:r w:rsidRPr="00515958">
            <w:rPr>
              <w:rFonts w:asciiTheme="majorBidi" w:eastAsia="Times New Roman" w:hAnsiTheme="majorBidi" w:cstheme="majorBidi"/>
              <w:color w:val="000000"/>
              <w:sz w:val="28"/>
              <w:lang w:eastAsia="zh-CN"/>
            </w:rPr>
            <w:t xml:space="preserve"> &amp; Yu, 2024)</w:t>
          </w:r>
        </w:sdtContent>
      </w:sdt>
      <w:r w:rsidRPr="00515958">
        <w:rPr>
          <w:rFonts w:asciiTheme="majorBidi" w:eastAsia="SimSun" w:hAnsiTheme="majorBidi" w:cstheme="majorBidi"/>
          <w:sz w:val="28"/>
          <w:szCs w:val="28"/>
          <w:lang w:eastAsia="zh-CN"/>
        </w:rPr>
        <w:t>.</w:t>
      </w:r>
      <w:r w:rsidRPr="005C668A">
        <w:rPr>
          <w:rFonts w:ascii="Times New Roman" w:eastAsia="SimSun" w:hAnsi="Times New Roman" w:cs="Times New Roman"/>
          <w:sz w:val="28"/>
          <w:szCs w:val="28"/>
          <w:lang w:eastAsia="zh-CN"/>
        </w:rPr>
        <w:t xml:space="preserve"> It reflects a corporation's long-term development potential and sustainability, gaining increasing emphasis from investors and corporations</w:t>
      </w:r>
      <w:sdt>
        <w:sdtPr>
          <w:rPr>
            <w:rFonts w:ascii="Times New Roman" w:eastAsia="SimSun" w:hAnsi="Times New Roman" w:cs="Times New Roman"/>
            <w:color w:val="000000"/>
            <w:sz w:val="28"/>
            <w:szCs w:val="28"/>
            <w:lang w:eastAsia="zh-CN"/>
          </w:rPr>
          <w:tag w:val="MENDELEY_CITATION_v3_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"/>
          <w:id w:val="-716423925"/>
          <w:placeholder>
            <w:docPart w:val="96B8FBFA39F34DF6A5F6E6354226AFB3"/>
          </w:placeholder>
        </w:sdtPr>
        <w:sdtEndPr/>
        <w:sdtContent>
          <w:r w:rsidRPr="005C668A">
            <w:rPr>
              <w:rFonts w:ascii="Times New Roman" w:eastAsia="SimSun" w:hAnsi="Times New Roman" w:cs="Times New Roman"/>
              <w:color w:val="000000"/>
              <w:sz w:val="28"/>
              <w:szCs w:val="28"/>
              <w:lang w:eastAsia="zh-CN"/>
            </w:rPr>
            <w:t>(Gong, 2024)</w:t>
          </w:r>
        </w:sdtContent>
      </w:sdt>
      <w:r w:rsidRPr="005C668A">
        <w:rPr>
          <w:rFonts w:ascii="Times New Roman" w:eastAsia="SimSun" w:hAnsi="Times New Roman" w:cs="Times New Roman"/>
          <w:sz w:val="28"/>
          <w:szCs w:val="28"/>
          <w:lang w:eastAsia="zh-CN"/>
        </w:rPr>
        <w:t>. ESG encompasses environmental protection, social responsibility, and governance structure, influencing various factors in the external environment and promoting the sustainable development of social resources</w:t>
      </w:r>
      <w:sdt>
        <w:sdtPr>
          <w:rPr>
            <w:rFonts w:ascii="Times New Roman" w:eastAsia="SimSun" w:hAnsi="Times New Roman" w:cs="Times New Roman"/>
            <w:color w:val="000000"/>
            <w:sz w:val="28"/>
            <w:szCs w:val="28"/>
            <w:lang w:eastAsia="zh-CN"/>
          </w:rPr>
          <w:tag w:val="MENDELEY_CITATION_v3_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"/>
          <w:id w:val="-1121533602"/>
          <w:placeholder>
            <w:docPart w:val="96B8FBFA39F34DF6A5F6E6354226AFB3"/>
          </w:placeholder>
        </w:sdtPr>
        <w:sdtEndPr/>
        <w:sdtContent>
          <w:r w:rsidRPr="005C668A">
            <w:rPr>
              <w:rFonts w:ascii="Times New Roman" w:eastAsia="SimSun" w:hAnsi="Times New Roman" w:cs="Times New Roman"/>
              <w:color w:val="000000"/>
              <w:sz w:val="28"/>
              <w:szCs w:val="28"/>
              <w:lang w:eastAsia="zh-CN"/>
            </w:rPr>
            <w:t>(Zhao, 2024)</w:t>
          </w:r>
        </w:sdtContent>
      </w:sdt>
      <w:r w:rsidRPr="005C668A">
        <w:rPr>
          <w:rFonts w:ascii="Times New Roman" w:eastAsia="SimSun" w:hAnsi="Times New Roman" w:cs="Times New Roman"/>
          <w:sz w:val="28"/>
          <w:szCs w:val="28"/>
          <w:lang w:eastAsia="zh-CN"/>
        </w:rPr>
        <w:t>.</w:t>
      </w:r>
    </w:p>
    <w:p w14:paraId="6E9C19A9" w14:textId="16BAAA07" w:rsidR="005C668A" w:rsidRPr="005C668A" w:rsidRDefault="005C668A" w:rsidP="00515958">
      <w:pPr>
        <w:spacing w:after="200" w:line="360" w:lineRule="auto"/>
        <w:jc w:val="both"/>
        <w:rPr>
          <w:rFonts w:ascii="Times New Roman" w:eastAsia="SimSun" w:hAnsi="Times New Roman" w:cs="Times New Roman"/>
          <w:sz w:val="28"/>
          <w:szCs w:val="28"/>
          <w:lang w:eastAsia="zh-CN"/>
        </w:rPr>
      </w:pPr>
      <w:r w:rsidRPr="005C668A">
        <w:rPr>
          <w:rFonts w:ascii="Times New Roman" w:eastAsia="SimSun" w:hAnsi="Times New Roman" w:cs="Times New Roman"/>
          <w:sz w:val="28"/>
          <w:szCs w:val="28"/>
          <w:lang w:eastAsia="zh-CN"/>
        </w:rPr>
        <w:t xml:space="preserve">            There remains a significant gap in research focused on improving corporate ESG performance, with most studies primarily concentrating on</w:t>
      </w:r>
      <w:r w:rsidRPr="00515958">
        <w:rPr>
          <w:rFonts w:ascii="Times New Roman" w:eastAsia="SimSun" w:hAnsi="Times New Roman" w:cs="Times New Roman"/>
          <w:sz w:val="28"/>
          <w:szCs w:val="28"/>
          <w:lang w:eastAsia="zh-CN"/>
        </w:rPr>
        <w:t xml:space="preserve"> internal corporate characteristics and external environmental factors.</w:t>
      </w:r>
      <w:r w:rsidRPr="005C668A">
        <w:rPr>
          <w:rFonts w:ascii="Times New Roman" w:eastAsia="SimSun" w:hAnsi="Times New Roman" w:cs="Times New Roman"/>
          <w:sz w:val="28"/>
          <w:szCs w:val="28"/>
          <w:lang w:eastAsia="zh-CN"/>
        </w:rPr>
        <w:t xml:space="preserve"> In terms of internal characteristics, prior research has identified several key factors that can positively influence ESG performance. These factors include </w:t>
      </w:r>
      <w:r w:rsidRPr="00515958">
        <w:rPr>
          <w:rFonts w:ascii="Times New Roman" w:eastAsia="SimSun" w:hAnsi="Times New Roman" w:cs="Times New Roman"/>
          <w:sz w:val="28"/>
          <w:szCs w:val="28"/>
          <w:lang w:eastAsia="zh-CN"/>
        </w:rPr>
        <w:t>company size</w:t>
      </w:r>
      <w:r w:rsidRPr="005C668A">
        <w:rPr>
          <w:rFonts w:ascii="Times New Roman" w:eastAsia="SimSun" w:hAnsi="Times New Roman" w:cs="Times New Roman"/>
          <w:sz w:val="28"/>
          <w:szCs w:val="28"/>
          <w:lang w:eastAsia="zh-CN"/>
        </w:rPr>
        <w:t>, which can provide greater resources for implementing sustainable practices</w:t>
      </w:r>
      <w:sdt>
        <w:sdtPr>
          <w:rPr>
            <w:rFonts w:ascii="Times New Roman" w:eastAsia="SimSun" w:hAnsi="Times New Roman" w:cs="Times New Roman"/>
            <w:color w:val="000000"/>
            <w:sz w:val="28"/>
            <w:szCs w:val="28"/>
            <w:lang w:eastAsia="zh-CN"/>
          </w:rPr>
          <w:tag w:val="MENDELEY_CITATION_v3_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"/>
          <w:id w:val="660748896"/>
          <w:placeholder>
            <w:docPart w:val="96B8FBFA39F34DF6A5F6E6354226AFB3"/>
          </w:placeholder>
        </w:sdtPr>
        <w:sdtEndPr/>
        <w:sdtContent>
          <w:r w:rsidR="00817BFE">
            <w:rPr>
              <w:rFonts w:ascii="Times New Roman" w:eastAsia="SimSun" w:hAnsi="Times New Roman" w:cs="Times New Roman"/>
              <w:color w:val="000000"/>
              <w:sz w:val="28"/>
              <w:szCs w:val="28"/>
              <w:lang w:eastAsia="zh-CN"/>
            </w:rPr>
            <w:t xml:space="preserve"> </w:t>
          </w:r>
          <w:r w:rsidRPr="005C668A">
            <w:rPr>
              <w:rFonts w:ascii="Times New Roman" w:eastAsia="SimSun" w:hAnsi="Times New Roman" w:cs="Times New Roman"/>
              <w:color w:val="000000"/>
              <w:sz w:val="28"/>
              <w:szCs w:val="28"/>
              <w:lang w:eastAsia="zh-CN"/>
            </w:rPr>
            <w:t>(</w:t>
          </w:r>
          <w:proofErr w:type="spellStart"/>
          <w:r w:rsidRPr="005C668A">
            <w:rPr>
              <w:rFonts w:ascii="Times New Roman" w:eastAsia="SimSun" w:hAnsi="Times New Roman" w:cs="Times New Roman"/>
              <w:color w:val="000000"/>
              <w:sz w:val="28"/>
              <w:szCs w:val="28"/>
              <w:lang w:eastAsia="zh-CN"/>
            </w:rPr>
            <w:t>Drempetic</w:t>
          </w:r>
          <w:proofErr w:type="spellEnd"/>
          <w:r w:rsidRPr="005C668A">
            <w:rPr>
              <w:rFonts w:ascii="Times New Roman" w:eastAsia="SimSun" w:hAnsi="Times New Roman" w:cs="Times New Roman"/>
              <w:color w:val="000000"/>
              <w:sz w:val="28"/>
              <w:szCs w:val="28"/>
              <w:lang w:eastAsia="zh-CN"/>
            </w:rPr>
            <w:t xml:space="preserve"> et al., 2020)</w:t>
          </w:r>
        </w:sdtContent>
      </w:sdt>
      <w:r w:rsidRPr="005C668A">
        <w:rPr>
          <w:rFonts w:ascii="Times New Roman" w:eastAsia="SimSun" w:hAnsi="Times New Roman" w:cs="Times New Roman"/>
          <w:sz w:val="28"/>
          <w:szCs w:val="28"/>
          <w:lang w:eastAsia="zh-CN"/>
        </w:rPr>
        <w:t xml:space="preserve">; </w:t>
      </w:r>
      <w:r w:rsidRPr="00515958">
        <w:rPr>
          <w:rFonts w:ascii="Times New Roman" w:eastAsia="SimSun" w:hAnsi="Times New Roman" w:cs="Times New Roman"/>
          <w:sz w:val="28"/>
          <w:szCs w:val="28"/>
          <w:lang w:eastAsia="zh-CN"/>
        </w:rPr>
        <w:lastRenderedPageBreak/>
        <w:t>debt repayment capacity</w:t>
      </w:r>
      <w:r w:rsidRPr="005C668A">
        <w:rPr>
          <w:rFonts w:ascii="Times New Roman" w:eastAsia="SimSun" w:hAnsi="Times New Roman" w:cs="Times New Roman"/>
          <w:sz w:val="28"/>
          <w:szCs w:val="28"/>
          <w:lang w:eastAsia="zh-CN"/>
        </w:rPr>
        <w:t>, which ensures financial stability and reduces the pressure for short-term profit maximization at the expense of ESG commitments</w:t>
      </w:r>
      <w:r w:rsidR="00515958">
        <w:rPr>
          <w:rFonts w:ascii="Times New Roman" w:eastAsia="SimSun" w:hAnsi="Times New Roman" w:cs="Times New Roman"/>
          <w:sz w:val="28"/>
          <w:szCs w:val="28"/>
          <w:lang w:eastAsia="zh-CN"/>
        </w:rPr>
        <w:t xml:space="preserve"> </w:t>
      </w:r>
      <w:sdt>
        <w:sdtPr>
          <w:rPr>
            <w:rFonts w:ascii="Times New Roman" w:eastAsia="SimSun" w:hAnsi="Times New Roman" w:cs="Times New Roman"/>
            <w:sz w:val="28"/>
            <w:szCs w:val="28"/>
            <w:lang w:eastAsia="zh-CN"/>
          </w:rPr>
          <w:tag w:val="MENDELEY_CITATION_v3_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"/>
          <w:id w:val="-456249997"/>
          <w:placeholder>
            <w:docPart w:val="BA7DF0F5A7514C4E8E0CC9DCBFEDD388"/>
          </w:placeholder>
        </w:sdtPr>
        <w:sdtContent>
          <w:r w:rsidR="00515958" w:rsidRPr="00515958">
            <w:rPr>
              <w:rFonts w:ascii="Times New Roman" w:eastAsia="SimSun" w:hAnsi="Times New Roman" w:cs="Times New Roman"/>
              <w:sz w:val="28"/>
              <w:szCs w:val="28"/>
              <w:lang w:eastAsia="zh-CN"/>
            </w:rPr>
            <w:t xml:space="preserve">Empirical Analysis of the Impact of ESG Scores on Access to Debt </w:t>
          </w:r>
          <w:r w:rsidR="00515958">
            <w:rPr>
              <w:rFonts w:ascii="Times New Roman" w:eastAsia="SimSun" w:hAnsi="Times New Roman" w:cs="Times New Roman"/>
              <w:sz w:val="28"/>
              <w:szCs w:val="28"/>
              <w:lang w:eastAsia="zh-CN"/>
            </w:rPr>
            <w:t>(</w:t>
          </w:r>
          <w:r w:rsidR="00515958" w:rsidRPr="00515958">
            <w:rPr>
              <w:rFonts w:ascii="Times New Roman" w:eastAsia="SimSun" w:hAnsi="Times New Roman" w:cs="Times New Roman"/>
              <w:sz w:val="28"/>
              <w:szCs w:val="28"/>
              <w:lang w:eastAsia="zh-CN"/>
            </w:rPr>
            <w:t xml:space="preserve"> Zhao et al., 2024)</w:t>
          </w:r>
        </w:sdtContent>
      </w:sdt>
      <w:r w:rsidR="00515958" w:rsidRPr="00515958">
        <w:rPr>
          <w:rFonts w:ascii="Times New Roman" w:eastAsia="SimSun" w:hAnsi="Times New Roman" w:cs="Times New Roman"/>
          <w:sz w:val="28"/>
          <w:szCs w:val="28"/>
          <w:lang w:eastAsia="zh-CN"/>
        </w:rPr>
        <w:t xml:space="preserve">; </w:t>
      </w:r>
      <w:r w:rsidRPr="005C668A">
        <w:rPr>
          <w:rFonts w:ascii="Times New Roman" w:eastAsia="SimSun" w:hAnsi="Times New Roman" w:cs="Times New Roman"/>
          <w:sz w:val="28"/>
          <w:szCs w:val="28"/>
          <w:lang w:eastAsia="zh-CN"/>
        </w:rPr>
        <w:t xml:space="preserve">and </w:t>
      </w:r>
      <w:r w:rsidRPr="00515958">
        <w:rPr>
          <w:rFonts w:ascii="Times New Roman" w:eastAsia="SimSun" w:hAnsi="Times New Roman" w:cs="Times New Roman"/>
          <w:sz w:val="28"/>
          <w:szCs w:val="28"/>
          <w:lang w:eastAsia="zh-CN"/>
        </w:rPr>
        <w:t>profitability</w:t>
      </w:r>
      <w:r w:rsidRPr="005C668A">
        <w:rPr>
          <w:rFonts w:ascii="Times New Roman" w:eastAsia="SimSun" w:hAnsi="Times New Roman" w:cs="Times New Roman"/>
          <w:sz w:val="28"/>
          <w:szCs w:val="28"/>
          <w:lang w:eastAsia="zh-CN"/>
        </w:rPr>
        <w:t>, which allows firms to allocate funds toward long-term sustainability initiatives</w:t>
      </w:r>
      <w:sdt>
        <w:sdtPr>
          <w:rPr>
            <w:rFonts w:ascii="Times New Roman" w:eastAsia="SimSun" w:hAnsi="Times New Roman" w:cs="Times New Roman"/>
            <w:color w:val="000000"/>
            <w:sz w:val="28"/>
            <w:szCs w:val="28"/>
            <w:lang w:eastAsia="zh-CN"/>
          </w:rPr>
          <w:tag w:val="MENDELEY_CITATION_v3_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"/>
          <w:id w:val="291562931"/>
          <w:placeholder>
            <w:docPart w:val="96B8FBFA39F34DF6A5F6E6354226AFB3"/>
          </w:placeholder>
        </w:sdtPr>
        <w:sdtEndPr/>
        <w:sdtContent>
          <w:r w:rsidRPr="005C668A">
            <w:rPr>
              <w:rFonts w:ascii="Times New Roman" w:eastAsia="SimSun" w:hAnsi="Times New Roman" w:cs="Times New Roman"/>
              <w:color w:val="000000"/>
              <w:sz w:val="28"/>
              <w:szCs w:val="28"/>
              <w:lang w:eastAsia="zh-CN"/>
            </w:rPr>
            <w:t>(D’Amato et al., 2024)</w:t>
          </w:r>
        </w:sdtContent>
      </w:sdt>
      <w:r w:rsidRPr="005C668A">
        <w:rPr>
          <w:rFonts w:ascii="Times New Roman" w:eastAsia="SimSun" w:hAnsi="Times New Roman" w:cs="Times New Roman"/>
          <w:sz w:val="28"/>
          <w:szCs w:val="28"/>
          <w:lang w:eastAsia="zh-CN"/>
        </w:rPr>
        <w:t xml:space="preserve">. Additionally, a well-structured </w:t>
      </w:r>
      <w:r w:rsidRPr="00515958">
        <w:rPr>
          <w:rFonts w:ascii="Times New Roman" w:eastAsia="SimSun" w:hAnsi="Times New Roman" w:cs="Times New Roman"/>
          <w:sz w:val="28"/>
          <w:szCs w:val="28"/>
          <w:lang w:eastAsia="zh-CN"/>
        </w:rPr>
        <w:t>capital arrangement</w:t>
      </w:r>
      <w:r w:rsidRPr="005C668A">
        <w:rPr>
          <w:rFonts w:ascii="Times New Roman" w:eastAsia="SimSun" w:hAnsi="Times New Roman" w:cs="Times New Roman"/>
          <w:sz w:val="28"/>
          <w:szCs w:val="28"/>
          <w:lang w:eastAsia="zh-CN"/>
        </w:rPr>
        <w:t xml:space="preserve"> is essential for enabling companies to make strategic investments in ESG efforts</w:t>
      </w:r>
      <w:sdt>
        <w:sdtPr>
          <w:rPr>
            <w:rFonts w:ascii="Times New Roman" w:eastAsia="SimSun" w:hAnsi="Times New Roman" w:cs="Times New Roman"/>
            <w:color w:val="000000"/>
            <w:sz w:val="28"/>
            <w:szCs w:val="28"/>
            <w:lang w:eastAsia="zh-CN"/>
          </w:rPr>
          <w:tag w:val="MENDELEY_CITATION_v3_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"/>
          <w:id w:val="-1854793552"/>
          <w:placeholder>
            <w:docPart w:val="96B8FBFA39F34DF6A5F6E6354226AFB3"/>
          </w:placeholder>
        </w:sdtPr>
        <w:sdtEndPr/>
        <w:sdtContent>
          <w:r w:rsidRPr="005C668A">
            <w:rPr>
              <w:rFonts w:ascii="Times New Roman" w:eastAsia="SimSun" w:hAnsi="Times New Roman" w:cs="Times New Roman"/>
              <w:color w:val="000000"/>
              <w:sz w:val="28"/>
              <w:szCs w:val="28"/>
              <w:lang w:eastAsia="zh-CN"/>
            </w:rPr>
            <w:t>(</w:t>
          </w:r>
          <w:proofErr w:type="spellStart"/>
          <w:r w:rsidRPr="005C668A">
            <w:rPr>
              <w:rFonts w:ascii="Times New Roman" w:eastAsia="SimSun" w:hAnsi="Times New Roman" w:cs="Times New Roman"/>
              <w:color w:val="000000"/>
              <w:sz w:val="28"/>
              <w:szCs w:val="28"/>
              <w:lang w:eastAsia="zh-CN"/>
            </w:rPr>
            <w:t>Adeneye</w:t>
          </w:r>
          <w:proofErr w:type="spellEnd"/>
          <w:r w:rsidRPr="005C668A">
            <w:rPr>
              <w:rFonts w:ascii="Times New Roman" w:eastAsia="SimSun" w:hAnsi="Times New Roman" w:cs="Times New Roman"/>
              <w:color w:val="000000"/>
              <w:sz w:val="28"/>
              <w:szCs w:val="28"/>
              <w:lang w:eastAsia="zh-CN"/>
            </w:rPr>
            <w:t xml:space="preserve"> et al., 2023)</w:t>
          </w:r>
        </w:sdtContent>
      </w:sdt>
      <w:r w:rsidRPr="005C668A">
        <w:rPr>
          <w:rFonts w:ascii="Times New Roman" w:eastAsia="SimSun" w:hAnsi="Times New Roman" w:cs="Times New Roman"/>
          <w:sz w:val="28"/>
          <w:szCs w:val="28"/>
          <w:lang w:eastAsia="zh-CN"/>
        </w:rPr>
        <w:t>. These internal attributes are vital for creating a conducive environment for sustainable business practices and enhancing a company's overall ESG performance.</w:t>
      </w:r>
    </w:p>
    <w:p w14:paraId="75914BF9" w14:textId="69060682" w:rsidR="005C668A" w:rsidRDefault="005C668A" w:rsidP="005C668A">
      <w:pPr>
        <w:spacing w:after="200" w:line="360" w:lineRule="auto"/>
        <w:jc w:val="both"/>
        <w:rPr>
          <w:rFonts w:ascii="Times New Roman" w:eastAsia="SimSun" w:hAnsi="Times New Roman" w:cs="Times New Roman"/>
          <w:sz w:val="28"/>
          <w:szCs w:val="28"/>
          <w:lang w:eastAsia="zh-CN"/>
        </w:rPr>
      </w:pPr>
      <w:r w:rsidRPr="005C668A">
        <w:rPr>
          <w:rFonts w:ascii="Times New Roman" w:eastAsia="SimSun" w:hAnsi="Times New Roman" w:cs="Times New Roman"/>
          <w:sz w:val="28"/>
          <w:szCs w:val="28"/>
          <w:lang w:eastAsia="zh-CN"/>
        </w:rPr>
        <w:t xml:space="preserve">              In summary, existing literature has extensively investigated the factors affecting corporate ESG performance. A significant knowledge vacuum still exists regarding the impact of executives' irrational psychology, specifically their psychological characteristics, on ESG outcomes. Fewer studies have examined how executive traits impact non-financial aspects like corporate governance, social initiatives, and environmental responsibility, even though a large body of research has examined the financial implications of these traits. Executives' psychological characteristics have a big impact on both financial and non-financial performance since they are the ones who make the decisions that determine a company's strategic direction. By examining the potential effects of executive overconfidence on ESG performance, this paper aims to close this knowledge gap and provide insightful information about this largely unexplored area of corporate governance and sustainability.</w:t>
      </w:r>
    </w:p>
    <w:p w14:paraId="27349413" w14:textId="607716F2" w:rsidR="0084155E" w:rsidRDefault="0084155E" w:rsidP="005C668A">
      <w:pPr>
        <w:spacing w:after="200" w:line="360" w:lineRule="auto"/>
        <w:jc w:val="both"/>
        <w:rPr>
          <w:rFonts w:ascii="Times New Roman" w:eastAsia="SimSun" w:hAnsi="Times New Roman" w:cs="Times New Roman"/>
          <w:sz w:val="28"/>
          <w:szCs w:val="28"/>
          <w:lang w:eastAsia="zh-CN"/>
        </w:rPr>
      </w:pPr>
    </w:p>
    <w:p w14:paraId="53B8311B" w14:textId="50A86043" w:rsidR="0084155E" w:rsidRDefault="0084155E" w:rsidP="005C668A">
      <w:pPr>
        <w:spacing w:after="200" w:line="360" w:lineRule="auto"/>
        <w:jc w:val="both"/>
        <w:rPr>
          <w:rFonts w:ascii="Times New Roman" w:eastAsia="SimSun" w:hAnsi="Times New Roman" w:cs="Times New Roman"/>
          <w:sz w:val="28"/>
          <w:szCs w:val="28"/>
          <w:lang w:eastAsia="zh-CN"/>
        </w:rPr>
      </w:pPr>
    </w:p>
    <w:p w14:paraId="6681D496" w14:textId="77777777" w:rsidR="0084155E" w:rsidRPr="005C668A" w:rsidRDefault="0084155E" w:rsidP="005C668A">
      <w:pPr>
        <w:spacing w:after="200" w:line="360" w:lineRule="auto"/>
        <w:jc w:val="both"/>
        <w:rPr>
          <w:rFonts w:ascii="Times New Roman" w:eastAsia="SimSun" w:hAnsi="Times New Roman" w:cs="Times New Roman"/>
          <w:sz w:val="28"/>
          <w:szCs w:val="28"/>
          <w:lang w:eastAsia="zh-CN"/>
        </w:rPr>
      </w:pPr>
    </w:p>
    <w:bookmarkEnd w:id="2"/>
    <w:p w14:paraId="621C78BB" w14:textId="77777777" w:rsidR="005C668A" w:rsidRPr="005C668A" w:rsidRDefault="005C668A" w:rsidP="005C668A">
      <w:pPr>
        <w:spacing w:after="200" w:line="360" w:lineRule="auto"/>
        <w:jc w:val="both"/>
        <w:rPr>
          <w:rFonts w:ascii="Times New Roman" w:eastAsia="SimSun" w:hAnsi="Times New Roman" w:cs="Times New Roman"/>
          <w:b/>
          <w:bCs/>
          <w:sz w:val="32"/>
          <w:szCs w:val="32"/>
          <w:lang w:eastAsia="zh-CN"/>
        </w:rPr>
      </w:pPr>
      <w:r w:rsidRPr="005C668A">
        <w:rPr>
          <w:rFonts w:ascii="Times New Roman" w:eastAsia="SimSun" w:hAnsi="Times New Roman" w:cs="Times New Roman"/>
          <w:b/>
          <w:bCs/>
          <w:sz w:val="32"/>
          <w:szCs w:val="32"/>
          <w:lang w:eastAsia="zh-CN"/>
        </w:rPr>
        <w:lastRenderedPageBreak/>
        <w:t>2.3 | Hypothesis development</w:t>
      </w:r>
    </w:p>
    <w:p w14:paraId="79507FB6" w14:textId="77777777" w:rsidR="005C668A" w:rsidRPr="005C668A" w:rsidRDefault="005C668A" w:rsidP="005C668A">
      <w:pPr>
        <w:spacing w:after="200" w:line="360" w:lineRule="auto"/>
        <w:jc w:val="both"/>
        <w:rPr>
          <w:rFonts w:ascii="Times New Roman" w:eastAsia="SimSun" w:hAnsi="Times New Roman" w:cs="Times New Roman"/>
          <w:b/>
          <w:bCs/>
          <w:sz w:val="28"/>
          <w:szCs w:val="28"/>
          <w:lang w:eastAsia="zh-CN"/>
        </w:rPr>
      </w:pPr>
      <w:r w:rsidRPr="005C668A">
        <w:rPr>
          <w:rFonts w:ascii="Times New Roman" w:eastAsia="SimSun" w:hAnsi="Times New Roman" w:cs="Times New Roman"/>
          <w:b/>
          <w:bCs/>
          <w:sz w:val="28"/>
          <w:szCs w:val="28"/>
          <w:lang w:eastAsia="zh-CN"/>
        </w:rPr>
        <w:t>2.3.1 | CEO Overconfidence and ESG performance</w:t>
      </w:r>
    </w:p>
    <w:p w14:paraId="61A93FD7" w14:textId="4FFCE81F" w:rsidR="0061671F" w:rsidRDefault="00D6639F" w:rsidP="00D6639F">
      <w:pPr>
        <w:spacing w:line="360" w:lineRule="auto"/>
        <w:jc w:val="both"/>
        <w:rPr>
          <w:rFonts w:asciiTheme="majorBidi" w:hAnsiTheme="majorBidi" w:cstheme="majorBidi"/>
          <w:sz w:val="28"/>
          <w:szCs w:val="28"/>
        </w:rPr>
      </w:pPr>
      <w:bookmarkStart w:id="4" w:name="_Hlk199657824"/>
      <w:r w:rsidRPr="00D6639F">
        <w:rPr>
          <w:rFonts w:asciiTheme="majorBidi" w:hAnsiTheme="majorBidi" w:cstheme="majorBidi"/>
          <w:sz w:val="28"/>
          <w:szCs w:val="28"/>
        </w:rPr>
        <w:t xml:space="preserve">We propose that CEO overconfidence </w:t>
      </w:r>
      <w:r>
        <w:rPr>
          <w:rFonts w:asciiTheme="majorBidi" w:hAnsiTheme="majorBidi" w:cstheme="majorBidi"/>
          <w:sz w:val="28"/>
          <w:szCs w:val="28"/>
        </w:rPr>
        <w:t>posit</w:t>
      </w:r>
      <w:r w:rsidRPr="00D6639F">
        <w:rPr>
          <w:rFonts w:asciiTheme="majorBidi" w:hAnsiTheme="majorBidi" w:cstheme="majorBidi"/>
          <w:sz w:val="28"/>
          <w:szCs w:val="28"/>
        </w:rPr>
        <w:t xml:space="preserve">ively affect the </w:t>
      </w:r>
      <w:r>
        <w:rPr>
          <w:rFonts w:asciiTheme="majorBidi" w:hAnsiTheme="majorBidi" w:cstheme="majorBidi"/>
          <w:sz w:val="28"/>
          <w:szCs w:val="28"/>
        </w:rPr>
        <w:t>ESG performance</w:t>
      </w:r>
      <w:r w:rsidRPr="00D6639F">
        <w:rPr>
          <w:rFonts w:asciiTheme="majorBidi" w:hAnsiTheme="majorBidi" w:cstheme="majorBidi"/>
          <w:sz w:val="28"/>
          <w:szCs w:val="28"/>
        </w:rPr>
        <w:t xml:space="preserve"> of their firms for </w:t>
      </w:r>
      <w:r w:rsidR="00002CAA">
        <w:rPr>
          <w:rFonts w:asciiTheme="majorBidi" w:hAnsiTheme="majorBidi" w:cstheme="majorBidi"/>
          <w:sz w:val="28"/>
          <w:szCs w:val="28"/>
        </w:rPr>
        <w:t>two</w:t>
      </w:r>
      <w:r w:rsidRPr="00D6639F">
        <w:rPr>
          <w:rFonts w:asciiTheme="majorBidi" w:hAnsiTheme="majorBidi" w:cstheme="majorBidi"/>
          <w:sz w:val="28"/>
          <w:szCs w:val="28"/>
        </w:rPr>
        <w:t xml:space="preserve"> reasons.</w:t>
      </w:r>
      <w:r>
        <w:rPr>
          <w:rFonts w:asciiTheme="majorBidi" w:hAnsiTheme="majorBidi" w:cstheme="majorBidi"/>
          <w:sz w:val="28"/>
          <w:szCs w:val="28"/>
        </w:rPr>
        <w:t xml:space="preserve"> First, </w:t>
      </w:r>
      <w:r w:rsidRPr="00D6639F">
        <w:rPr>
          <w:rFonts w:asciiTheme="majorBidi" w:hAnsiTheme="majorBidi" w:cstheme="majorBidi"/>
          <w:sz w:val="28"/>
          <w:szCs w:val="28"/>
        </w:rPr>
        <w:t>According to Upper Echelon Theory, a firm’s strategic choices and outcomes are deeply influenced by the characteristics and cognitive biases of its top executives, particularly the CEO. Overconfident CEOs often hold an inflated belief in their ability to manage risks and uncertainties, which motivates them to pursue bold strategic decisions that emphasize long-term goals over short-term profits. Research by Burkhard et al. (202</w:t>
      </w:r>
      <w:r w:rsidR="0018282D">
        <w:rPr>
          <w:rFonts w:asciiTheme="majorBidi" w:hAnsiTheme="majorBidi" w:cstheme="majorBidi"/>
          <w:sz w:val="28"/>
          <w:szCs w:val="28"/>
        </w:rPr>
        <w:t>3</w:t>
      </w:r>
      <w:r w:rsidRPr="00D6639F">
        <w:rPr>
          <w:rFonts w:asciiTheme="majorBidi" w:hAnsiTheme="majorBidi" w:cstheme="majorBidi"/>
          <w:sz w:val="28"/>
          <w:szCs w:val="28"/>
        </w:rPr>
        <w:t xml:space="preserve">) demonstrates that </w:t>
      </w:r>
      <w:bookmarkStart w:id="5" w:name="_Hlk199008365"/>
      <w:r w:rsidRPr="00D6639F">
        <w:rPr>
          <w:rFonts w:asciiTheme="majorBidi" w:hAnsiTheme="majorBidi" w:cstheme="majorBidi"/>
          <w:sz w:val="28"/>
          <w:szCs w:val="28"/>
        </w:rPr>
        <w:t xml:space="preserve">CEO overconfidence </w:t>
      </w:r>
      <w:bookmarkEnd w:id="5"/>
      <w:r w:rsidRPr="00D6639F">
        <w:rPr>
          <w:rFonts w:asciiTheme="majorBidi" w:hAnsiTheme="majorBidi" w:cstheme="majorBidi"/>
          <w:sz w:val="28"/>
          <w:szCs w:val="28"/>
        </w:rPr>
        <w:t xml:space="preserve">encourages strategic risk-taking, potentially enhancing firm performance by unlocking new opportunities, strengthening competitive positioning, and generating long-term value. </w:t>
      </w:r>
      <w:r w:rsidR="00F27F02">
        <w:rPr>
          <w:rFonts w:asciiTheme="majorBidi" w:hAnsiTheme="majorBidi" w:cstheme="majorBidi"/>
          <w:sz w:val="28"/>
          <w:szCs w:val="28"/>
        </w:rPr>
        <w:t xml:space="preserve">Likewise, Du et al. (2025) find that </w:t>
      </w:r>
      <w:r w:rsidR="00F27F02" w:rsidRPr="00F27F02">
        <w:rPr>
          <w:rFonts w:asciiTheme="majorBidi" w:hAnsiTheme="majorBidi" w:cstheme="majorBidi"/>
          <w:sz w:val="28"/>
          <w:szCs w:val="28"/>
        </w:rPr>
        <w:t xml:space="preserve">Managerial overconfidence indeed has a positive impact on corporate ESG performance. </w:t>
      </w:r>
      <w:r w:rsidRPr="00D6639F">
        <w:rPr>
          <w:rFonts w:asciiTheme="majorBidi" w:hAnsiTheme="majorBidi" w:cstheme="majorBidi"/>
          <w:sz w:val="28"/>
          <w:szCs w:val="28"/>
        </w:rPr>
        <w:t>Within the Environmental, Social, and Governance (ESG) context, overconfident executives may view sustainability initiatives as critical drivers of sustained competitive advantage. This perspective drives investments in environmental protection, social responsibility, and strong governance practices—even when immediate financial returns are uncertain. Scholars like Russo and Schoemaker (1992) and Gervais et al. (2011) contend that overconfident CEOs are more likely to champion innovation and long-term investments, which align closely with corporate sustainability goals. Their optimism and confidence often position them as leaders who actively promote ESG initiatives, perceiving these efforts not just as ethical imperatives but as strategic investments in the firm’s future growth and resilience.</w:t>
      </w:r>
    </w:p>
    <w:p w14:paraId="61524286" w14:textId="5AEBF899" w:rsidR="00002CAA" w:rsidRPr="00002CAA" w:rsidRDefault="00002CAA" w:rsidP="00002CAA">
      <w:pPr>
        <w:spacing w:after="200" w:line="360" w:lineRule="auto"/>
        <w:jc w:val="both"/>
        <w:rPr>
          <w:rFonts w:ascii="Times New Roman" w:eastAsia="SimSun" w:hAnsi="Times New Roman" w:cs="Times New Roman"/>
          <w:b/>
          <w:bCs/>
          <w:sz w:val="24"/>
          <w:szCs w:val="24"/>
          <w:lang w:eastAsia="zh-CN"/>
        </w:rPr>
      </w:pPr>
      <w:r>
        <w:rPr>
          <w:rFonts w:ascii="Times New Roman" w:eastAsia="SimSun" w:hAnsi="Times New Roman" w:cs="Times New Roman"/>
          <w:sz w:val="28"/>
          <w:szCs w:val="28"/>
          <w:lang w:eastAsia="zh-CN"/>
        </w:rPr>
        <w:lastRenderedPageBreak/>
        <w:t xml:space="preserve">         </w:t>
      </w:r>
      <w:r w:rsidRPr="00002CAA">
        <w:rPr>
          <w:rFonts w:ascii="Times New Roman" w:eastAsia="SimSun" w:hAnsi="Times New Roman" w:cs="Times New Roman"/>
          <w:sz w:val="28"/>
          <w:szCs w:val="28"/>
          <w:lang w:eastAsia="zh-CN"/>
        </w:rPr>
        <w:t>Secondly, overconfident executives are strongly motivated to seek attention and recognition. They strive to build a positive corporate image by enhancing ESG performance, which helps them gain accolades and affirmation from diverse stakeholders. In today’s era of rapid internet technology and pervasive social media, negative news—such as environmental penalties or fraudulent donations—can spread quickly and severely damage a company’s reputation. Conversely, strong ESG performance creates a win–win outcome by generating economic, social, and ecological benefits, thereby fostering a favorable corporate image and earning executives’ external recognition and respect. Overconfident leaders often crave attention and relish opportunities to demonstrate their capabilities, viewing applause as a source of motivation and personal fulfillment</w:t>
      </w:r>
      <w:sdt>
        <w:sdtPr>
          <w:rPr>
            <w:rFonts w:ascii="Times New Roman" w:eastAsia="SimSun" w:hAnsi="Times New Roman" w:cs="Times New Roman"/>
            <w:color w:val="000000"/>
            <w:sz w:val="28"/>
            <w:szCs w:val="28"/>
            <w:lang w:eastAsia="zh-CN"/>
          </w:rPr>
          <w:tag w:val="MENDELEY_CITATION_v3_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"/>
          <w:id w:val="-1595390072"/>
          <w:placeholder>
            <w:docPart w:val="94F7EFBC4FDB4B1887D1AA67706FBD4B"/>
          </w:placeholder>
        </w:sdtPr>
        <w:sdtEndPr/>
        <w:sdtContent>
          <w:r w:rsidRPr="00002CAA">
            <w:rPr>
              <w:rFonts w:ascii="Calibri" w:eastAsia="Times New Roman" w:hAnsi="Calibri" w:cs="Arial"/>
              <w:color w:val="000000"/>
              <w:sz w:val="28"/>
              <w:lang w:eastAsia="zh-CN"/>
            </w:rPr>
            <w:t>(Wallace &amp; Baumeister, 2002)</w:t>
          </w:r>
        </w:sdtContent>
      </w:sdt>
      <w:r w:rsidRPr="00002CAA">
        <w:rPr>
          <w:rFonts w:ascii="Times New Roman" w:eastAsia="SimSun" w:hAnsi="Times New Roman" w:cs="Times New Roman"/>
          <w:sz w:val="28"/>
          <w:szCs w:val="28"/>
          <w:lang w:eastAsia="zh-CN"/>
        </w:rPr>
        <w:t>. Their drive to improve ESG outcomes satisfies their sense of superiority and aligns with the “better-than-average effect,” where overconfident executives believe their skills exceed those of their peers</w:t>
      </w:r>
      <w:sdt>
        <w:sdtPr>
          <w:rPr>
            <w:rFonts w:ascii="Times New Roman" w:eastAsia="SimSun" w:hAnsi="Times New Roman" w:cs="Times New Roman"/>
            <w:color w:val="000000"/>
            <w:sz w:val="28"/>
            <w:szCs w:val="28"/>
            <w:lang w:eastAsia="zh-CN"/>
          </w:rPr>
          <w:tag w:val="MENDELEY_CITATION_v3_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"/>
          <w:id w:val="1993682756"/>
          <w:placeholder>
            <w:docPart w:val="94F7EFBC4FDB4B1887D1AA67706FBD4B"/>
          </w:placeholder>
        </w:sdtPr>
        <w:sdtEndPr/>
        <w:sdtContent>
          <w:r w:rsidRPr="00002CAA">
            <w:rPr>
              <w:rFonts w:ascii="Times New Roman" w:eastAsia="SimSun" w:hAnsi="Times New Roman" w:cs="Times New Roman"/>
              <w:color w:val="000000"/>
              <w:sz w:val="28"/>
              <w:szCs w:val="28"/>
              <w:lang w:eastAsia="zh-CN"/>
            </w:rPr>
            <w:t>(Kaplan et al., 2022)</w:t>
          </w:r>
        </w:sdtContent>
      </w:sdt>
      <w:r w:rsidRPr="00002CAA">
        <w:rPr>
          <w:rFonts w:ascii="Times New Roman" w:eastAsia="SimSun" w:hAnsi="Times New Roman" w:cs="Times New Roman"/>
          <w:sz w:val="28"/>
          <w:szCs w:val="28"/>
          <w:lang w:eastAsia="zh-CN"/>
        </w:rPr>
        <w:t>. This belief further fuels their ambition for self-improvement and self-presentation. Since ESG performance is increasingly seen as a key measure of entrepreneurial success, overconfident CEOs set high standards for themselves in this area to showcase their abilities and attract external praise.</w:t>
      </w:r>
    </w:p>
    <w:p w14:paraId="2BCF0179" w14:textId="77777777" w:rsidR="00002CAA" w:rsidRPr="00002CAA" w:rsidRDefault="00002CAA" w:rsidP="00002CAA">
      <w:pPr>
        <w:spacing w:after="200" w:line="360" w:lineRule="auto"/>
        <w:jc w:val="both"/>
        <w:rPr>
          <w:rFonts w:ascii="Times New Roman" w:eastAsia="SimSun" w:hAnsi="Times New Roman" w:cs="Times New Roman"/>
          <w:i/>
          <w:iCs/>
          <w:sz w:val="28"/>
          <w:szCs w:val="28"/>
          <w:lang w:eastAsia="zh-CN"/>
        </w:rPr>
      </w:pPr>
      <w:r w:rsidRPr="00002CAA">
        <w:rPr>
          <w:rFonts w:ascii="Times New Roman" w:eastAsia="SimSun" w:hAnsi="Times New Roman" w:cs="Times New Roman"/>
          <w:i/>
          <w:iCs/>
          <w:sz w:val="28"/>
          <w:szCs w:val="28"/>
          <w:lang w:eastAsia="zh-CN"/>
        </w:rPr>
        <w:t>Building upon the discussion above, this paper proposes the following research hypothesis:</w:t>
      </w:r>
    </w:p>
    <w:p w14:paraId="3F783CEC" w14:textId="1D1F4BA9" w:rsidR="00002CAA" w:rsidRDefault="00002CAA" w:rsidP="00002CAA">
      <w:pPr>
        <w:spacing w:after="200" w:line="360" w:lineRule="auto"/>
        <w:jc w:val="both"/>
        <w:rPr>
          <w:rFonts w:ascii="Times New Roman" w:eastAsia="SimSun" w:hAnsi="Times New Roman" w:cs="Times New Roman"/>
          <w:i/>
          <w:iCs/>
          <w:sz w:val="28"/>
          <w:szCs w:val="28"/>
          <w:lang w:eastAsia="zh-CN"/>
        </w:rPr>
      </w:pPr>
      <w:bookmarkStart w:id="6" w:name="_Hlk199616627"/>
      <w:bookmarkEnd w:id="4"/>
      <w:r w:rsidRPr="00002CAA">
        <w:rPr>
          <w:rFonts w:ascii="Times New Roman" w:eastAsia="SimSun" w:hAnsi="Times New Roman" w:cs="Times New Roman"/>
          <w:b/>
          <w:bCs/>
          <w:sz w:val="28"/>
          <w:szCs w:val="28"/>
          <w:lang w:eastAsia="zh-CN"/>
        </w:rPr>
        <w:t>Hypothesis 1</w:t>
      </w:r>
      <w:r w:rsidR="00E221D6">
        <w:rPr>
          <w:rFonts w:ascii="Times New Roman" w:eastAsia="SimSun" w:hAnsi="Times New Roman" w:cs="Times New Roman"/>
          <w:b/>
          <w:bCs/>
          <w:sz w:val="28"/>
          <w:szCs w:val="28"/>
          <w:lang w:eastAsia="zh-CN"/>
        </w:rPr>
        <w:t>A</w:t>
      </w:r>
      <w:r w:rsidRPr="00002CAA">
        <w:rPr>
          <w:rFonts w:ascii="Times New Roman" w:eastAsia="SimSun" w:hAnsi="Times New Roman" w:cs="Times New Roman"/>
          <w:i/>
          <w:iCs/>
          <w:sz w:val="28"/>
          <w:szCs w:val="28"/>
          <w:lang w:eastAsia="zh-CN"/>
        </w:rPr>
        <w:t>: CEOs' overconfidence is positively associated with improved corporate ESG performance.</w:t>
      </w:r>
    </w:p>
    <w:bookmarkEnd w:id="6"/>
    <w:p w14:paraId="14ED4DBB" w14:textId="3A9DE241" w:rsidR="00D6639F" w:rsidRDefault="00B05C25" w:rsidP="004F2813">
      <w:pPr>
        <w:spacing w:line="360" w:lineRule="auto"/>
        <w:jc w:val="both"/>
        <w:rPr>
          <w:rFonts w:asciiTheme="majorBidi" w:hAnsiTheme="majorBidi" w:cstheme="majorBidi"/>
          <w:sz w:val="28"/>
          <w:szCs w:val="28"/>
        </w:rPr>
      </w:pPr>
      <w:r w:rsidRPr="00B05C25">
        <w:rPr>
          <w:rFonts w:ascii="Times New Roman" w:eastAsia="SimSun" w:hAnsi="Times New Roman" w:cs="Times New Roman"/>
          <w:sz w:val="28"/>
          <w:szCs w:val="28"/>
          <w:lang w:eastAsia="zh-CN"/>
        </w:rPr>
        <w:t>On the other hand, beyond the extensive literature supporting a positive relationship between overconfident CEOs and ESG performance, there are studies suggesting that overconfident CEOs may also exhibit the opposite effect for two key reasons:</w:t>
      </w:r>
      <w:r w:rsidRPr="00B05C25">
        <w:rPr>
          <w:rFonts w:ascii="Times New Roman" w:eastAsia="SimSun" w:hAnsi="Times New Roman" w:cs="Times New Roman"/>
          <w:sz w:val="28"/>
          <w:szCs w:val="28"/>
          <w:lang w:eastAsia="zh-CN"/>
        </w:rPr>
        <w:t xml:space="preserve"> </w:t>
      </w:r>
      <w:r w:rsidR="004D6233">
        <w:rPr>
          <w:rFonts w:asciiTheme="majorBidi" w:hAnsiTheme="majorBidi" w:cstheme="majorBidi"/>
          <w:sz w:val="28"/>
          <w:szCs w:val="28"/>
        </w:rPr>
        <w:lastRenderedPageBreak/>
        <w:t xml:space="preserve">First, </w:t>
      </w:r>
      <w:r w:rsidR="004D6233" w:rsidRPr="004D6233">
        <w:rPr>
          <w:rFonts w:asciiTheme="majorBidi" w:hAnsiTheme="majorBidi" w:cstheme="majorBidi"/>
          <w:sz w:val="28"/>
          <w:szCs w:val="28"/>
        </w:rPr>
        <w:t>Overconfident CEOs may inflate the perceived capabilities of</w:t>
      </w:r>
      <w:r w:rsidR="004D6233">
        <w:rPr>
          <w:rFonts w:asciiTheme="majorBidi" w:hAnsiTheme="majorBidi" w:cstheme="majorBidi"/>
          <w:sz w:val="28"/>
          <w:szCs w:val="28"/>
        </w:rPr>
        <w:t xml:space="preserve"> </w:t>
      </w:r>
      <w:r w:rsidR="004D6233" w:rsidRPr="004D6233">
        <w:rPr>
          <w:rFonts w:asciiTheme="majorBidi" w:hAnsiTheme="majorBidi" w:cstheme="majorBidi"/>
          <w:sz w:val="28"/>
          <w:szCs w:val="28"/>
        </w:rPr>
        <w:t>implementing ESG initiatives. They focus on maintaining a positive image rather than achieving tangible ESG performance.</w:t>
      </w:r>
      <w:r w:rsidR="00F514F5">
        <w:rPr>
          <w:rFonts w:asciiTheme="majorBidi" w:hAnsiTheme="majorBidi" w:cstheme="majorBidi"/>
          <w:sz w:val="28"/>
          <w:szCs w:val="28"/>
        </w:rPr>
        <w:t xml:space="preserve"> </w:t>
      </w:r>
      <w:r w:rsidR="004F2813" w:rsidRPr="004F2813">
        <w:rPr>
          <w:rFonts w:asciiTheme="majorBidi" w:hAnsiTheme="majorBidi" w:cstheme="majorBidi"/>
          <w:sz w:val="28"/>
          <w:szCs w:val="28"/>
        </w:rPr>
        <w:t xml:space="preserve">For instance, </w:t>
      </w:r>
      <w:proofErr w:type="spellStart"/>
      <w:r w:rsidR="00F514F5" w:rsidRPr="00F514F5">
        <w:rPr>
          <w:rFonts w:asciiTheme="majorBidi" w:hAnsiTheme="majorBidi" w:cstheme="majorBidi"/>
          <w:sz w:val="28"/>
          <w:szCs w:val="28"/>
        </w:rPr>
        <w:t>Petrenko</w:t>
      </w:r>
      <w:proofErr w:type="spellEnd"/>
      <w:r w:rsidR="00F514F5" w:rsidRPr="00F514F5">
        <w:rPr>
          <w:rFonts w:asciiTheme="majorBidi" w:hAnsiTheme="majorBidi" w:cstheme="majorBidi"/>
          <w:sz w:val="28"/>
          <w:szCs w:val="28"/>
        </w:rPr>
        <w:t xml:space="preserve"> et al. (2016) find that narcissistic CEOs, who are typically overconfident, invest extensive resources into CSR but do not effectively use the Goodwill created by their CSR investments.</w:t>
      </w:r>
      <w:r w:rsidR="00F514F5">
        <w:rPr>
          <w:rFonts w:asciiTheme="majorBidi" w:hAnsiTheme="majorBidi" w:cstheme="majorBidi"/>
          <w:sz w:val="28"/>
          <w:szCs w:val="28"/>
        </w:rPr>
        <w:t xml:space="preserve"> </w:t>
      </w:r>
      <w:bookmarkStart w:id="7" w:name="_Hlk199609082"/>
      <w:r w:rsidR="004F2813">
        <w:rPr>
          <w:rFonts w:asciiTheme="majorBidi" w:hAnsiTheme="majorBidi" w:cstheme="majorBidi"/>
          <w:sz w:val="28"/>
          <w:szCs w:val="28"/>
        </w:rPr>
        <w:t>Likewise</w:t>
      </w:r>
      <w:r w:rsidR="004F2813" w:rsidRPr="004F2813">
        <w:rPr>
          <w:rFonts w:asciiTheme="majorBidi" w:hAnsiTheme="majorBidi" w:cstheme="majorBidi"/>
          <w:sz w:val="28"/>
          <w:szCs w:val="28"/>
        </w:rPr>
        <w:t xml:space="preserve">, </w:t>
      </w:r>
      <w:bookmarkEnd w:id="7"/>
      <w:r w:rsidR="004F2813" w:rsidRPr="004F2813">
        <w:rPr>
          <w:rFonts w:asciiTheme="majorBidi" w:hAnsiTheme="majorBidi" w:cstheme="majorBidi"/>
          <w:sz w:val="28"/>
          <w:szCs w:val="28"/>
        </w:rPr>
        <w:t>Tang</w:t>
      </w:r>
      <w:r w:rsidR="007B3B3C">
        <w:rPr>
          <w:rFonts w:asciiTheme="majorBidi" w:hAnsiTheme="majorBidi" w:cstheme="majorBidi"/>
          <w:sz w:val="28"/>
          <w:szCs w:val="28"/>
        </w:rPr>
        <w:t xml:space="preserve"> et al.</w:t>
      </w:r>
      <w:r w:rsidR="004F2813" w:rsidRPr="004F2813">
        <w:rPr>
          <w:rFonts w:asciiTheme="majorBidi" w:hAnsiTheme="majorBidi" w:cstheme="majorBidi"/>
          <w:sz w:val="28"/>
          <w:szCs w:val="28"/>
        </w:rPr>
        <w:t xml:space="preserve"> (2015) argue that overconfident CEOs</w:t>
      </w:r>
      <w:r w:rsidR="004F2813">
        <w:rPr>
          <w:rFonts w:asciiTheme="majorBidi" w:hAnsiTheme="majorBidi" w:cstheme="majorBidi"/>
          <w:sz w:val="28"/>
          <w:szCs w:val="28"/>
        </w:rPr>
        <w:t xml:space="preserve"> </w:t>
      </w:r>
      <w:r w:rsidR="004F2813" w:rsidRPr="004F2813">
        <w:rPr>
          <w:rFonts w:asciiTheme="majorBidi" w:hAnsiTheme="majorBidi" w:cstheme="majorBidi"/>
          <w:sz w:val="28"/>
          <w:szCs w:val="28"/>
        </w:rPr>
        <w:t>invest fewer resources in CSR because they feel less dependent on the</w:t>
      </w:r>
      <w:r w:rsidR="004F2813">
        <w:rPr>
          <w:rFonts w:asciiTheme="majorBidi" w:hAnsiTheme="majorBidi" w:cstheme="majorBidi"/>
          <w:sz w:val="28"/>
          <w:szCs w:val="28"/>
        </w:rPr>
        <w:t xml:space="preserve"> </w:t>
      </w:r>
      <w:r w:rsidR="004F2813" w:rsidRPr="004F2813">
        <w:rPr>
          <w:rFonts w:asciiTheme="majorBidi" w:hAnsiTheme="majorBidi" w:cstheme="majorBidi"/>
          <w:sz w:val="28"/>
          <w:szCs w:val="28"/>
        </w:rPr>
        <w:t>firm's stakeholders.</w:t>
      </w:r>
    </w:p>
    <w:p w14:paraId="1BA36956" w14:textId="3E6CFE70" w:rsidR="003A239B" w:rsidRDefault="003A239B" w:rsidP="00805278">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Second, </w:t>
      </w:r>
      <w:r w:rsidR="00CB2C2B" w:rsidRPr="00CB2C2B">
        <w:rPr>
          <w:rFonts w:asciiTheme="majorBidi" w:hAnsiTheme="majorBidi" w:cstheme="majorBidi"/>
          <w:sz w:val="28"/>
          <w:szCs w:val="28"/>
        </w:rPr>
        <w:t>Previous literature finds that overconfident CEOs tend to underinvest in CSR, viewing it as unnecessary due to their overestimating abilities and optimism about company outcomes (</w:t>
      </w:r>
      <w:proofErr w:type="spellStart"/>
      <w:r w:rsidR="00CB2C2B" w:rsidRPr="00CB2C2B">
        <w:rPr>
          <w:rFonts w:asciiTheme="majorBidi" w:hAnsiTheme="majorBidi" w:cstheme="majorBidi"/>
          <w:sz w:val="28"/>
          <w:szCs w:val="28"/>
        </w:rPr>
        <w:t>Karavitis</w:t>
      </w:r>
      <w:proofErr w:type="spellEnd"/>
      <w:r w:rsidR="00CB2C2B" w:rsidRPr="00CB2C2B">
        <w:rPr>
          <w:rFonts w:asciiTheme="majorBidi" w:hAnsiTheme="majorBidi" w:cstheme="majorBidi"/>
          <w:sz w:val="28"/>
          <w:szCs w:val="28"/>
        </w:rPr>
        <w:t xml:space="preserve"> et al., 2025; Saini &amp; Singh, 2025; Qin, 2019; McCarthy et al., 2017). </w:t>
      </w:r>
      <w:r w:rsidR="00CB2C2B">
        <w:rPr>
          <w:rFonts w:asciiTheme="majorBidi" w:hAnsiTheme="majorBidi" w:cstheme="majorBidi"/>
          <w:sz w:val="28"/>
          <w:szCs w:val="28"/>
        </w:rPr>
        <w:t>O</w:t>
      </w:r>
      <w:r w:rsidR="00B05C25" w:rsidRPr="00B05C25">
        <w:rPr>
          <w:rFonts w:asciiTheme="majorBidi" w:hAnsiTheme="majorBidi" w:cstheme="majorBidi"/>
          <w:sz w:val="28"/>
          <w:szCs w:val="28"/>
        </w:rPr>
        <w:t xml:space="preserve">verconfident CEOs may overestimate their abilities, underestimate risks, and disregard stakeholder concerns related to </w:t>
      </w:r>
      <w:r w:rsidR="00B05C25" w:rsidRPr="00B05C25">
        <w:rPr>
          <w:rFonts w:asciiTheme="majorBidi" w:hAnsiTheme="majorBidi" w:cstheme="majorBidi"/>
          <w:sz w:val="28"/>
          <w:szCs w:val="28"/>
        </w:rPr>
        <w:t>ESG (</w:t>
      </w:r>
      <w:proofErr w:type="spellStart"/>
      <w:r w:rsidR="00456F35" w:rsidRPr="00456F35">
        <w:rPr>
          <w:rFonts w:asciiTheme="majorBidi" w:hAnsiTheme="majorBidi" w:cstheme="majorBidi"/>
          <w:sz w:val="28"/>
          <w:szCs w:val="28"/>
        </w:rPr>
        <w:t>Malmendier</w:t>
      </w:r>
      <w:proofErr w:type="spellEnd"/>
      <w:r w:rsidR="00456F35">
        <w:rPr>
          <w:rFonts w:asciiTheme="majorBidi" w:hAnsiTheme="majorBidi" w:cstheme="majorBidi"/>
          <w:sz w:val="28"/>
          <w:szCs w:val="28"/>
        </w:rPr>
        <w:t xml:space="preserve"> </w:t>
      </w:r>
      <w:r w:rsidR="00456F35" w:rsidRPr="00456F35">
        <w:rPr>
          <w:rFonts w:asciiTheme="majorBidi" w:hAnsiTheme="majorBidi" w:cstheme="majorBidi"/>
          <w:sz w:val="28"/>
          <w:szCs w:val="28"/>
        </w:rPr>
        <w:t>&amp; Tate, 2005b</w:t>
      </w:r>
      <w:r w:rsidR="00B05C25">
        <w:rPr>
          <w:rFonts w:asciiTheme="majorBidi" w:hAnsiTheme="majorBidi" w:cstheme="majorBidi"/>
          <w:sz w:val="28"/>
          <w:szCs w:val="28"/>
        </w:rPr>
        <w:t>;</w:t>
      </w:r>
      <w:r w:rsidR="00B05C25" w:rsidRPr="00B05C25">
        <w:rPr>
          <w:rFonts w:asciiTheme="majorBidi" w:hAnsiTheme="majorBidi" w:cstheme="majorBidi"/>
          <w:sz w:val="28"/>
          <w:szCs w:val="28"/>
        </w:rPr>
        <w:t xml:space="preserve"> </w:t>
      </w:r>
      <w:r w:rsidR="00C74EC2" w:rsidRPr="00C74EC2">
        <w:rPr>
          <w:rFonts w:asciiTheme="majorBidi" w:hAnsiTheme="majorBidi" w:cstheme="majorBidi"/>
          <w:sz w:val="28"/>
          <w:szCs w:val="28"/>
        </w:rPr>
        <w:t>Hsu &amp; Lee</w:t>
      </w:r>
      <w:r w:rsidR="00B05C25" w:rsidRPr="00B05C25">
        <w:rPr>
          <w:rFonts w:asciiTheme="majorBidi" w:hAnsiTheme="majorBidi" w:cstheme="majorBidi"/>
          <w:sz w:val="28"/>
          <w:szCs w:val="28"/>
        </w:rPr>
        <w:t>, 2024</w:t>
      </w:r>
      <w:r w:rsidR="00B05C25" w:rsidRPr="00B05C25">
        <w:rPr>
          <w:rFonts w:asciiTheme="majorBidi" w:hAnsiTheme="majorBidi" w:cstheme="majorBidi"/>
          <w:sz w:val="28"/>
          <w:szCs w:val="28"/>
        </w:rPr>
        <w:t>).</w:t>
      </w:r>
      <w:r w:rsidR="00B05C25" w:rsidRPr="00B05C25">
        <w:rPr>
          <w:rFonts w:asciiTheme="majorBidi" w:hAnsiTheme="majorBidi" w:cstheme="majorBidi"/>
          <w:sz w:val="28"/>
          <w:szCs w:val="28"/>
        </w:rPr>
        <w:t xml:space="preserve"> Moreover, Overconfident CEOs can significantly influence a firm's strategic and financial decisions, often prioritizing short-term gains over long-term strategic </w:t>
      </w:r>
      <w:r w:rsidR="00B05C25" w:rsidRPr="00B05C25">
        <w:rPr>
          <w:rFonts w:asciiTheme="majorBidi" w:hAnsiTheme="majorBidi" w:cstheme="majorBidi"/>
          <w:sz w:val="28"/>
          <w:szCs w:val="28"/>
        </w:rPr>
        <w:t>goals (</w:t>
      </w:r>
      <w:bookmarkStart w:id="8" w:name="_Hlk199660268"/>
      <w:r w:rsidR="00B05C25" w:rsidRPr="00B05C25">
        <w:rPr>
          <w:rFonts w:asciiTheme="majorBidi" w:hAnsiTheme="majorBidi" w:cstheme="majorBidi"/>
          <w:sz w:val="28"/>
          <w:szCs w:val="28"/>
        </w:rPr>
        <w:t xml:space="preserve">Wang, </w:t>
      </w:r>
      <w:r w:rsidR="00805278">
        <w:rPr>
          <w:rFonts w:asciiTheme="majorBidi" w:hAnsiTheme="majorBidi" w:cstheme="majorBidi"/>
          <w:sz w:val="28"/>
          <w:szCs w:val="28"/>
        </w:rPr>
        <w:t>et al., 2023</w:t>
      </w:r>
      <w:bookmarkEnd w:id="8"/>
      <w:r w:rsidR="00B05C25" w:rsidRPr="00B05C25">
        <w:rPr>
          <w:rFonts w:asciiTheme="majorBidi" w:hAnsiTheme="majorBidi" w:cstheme="majorBidi"/>
          <w:sz w:val="28"/>
          <w:szCs w:val="28"/>
        </w:rPr>
        <w:t>).</w:t>
      </w:r>
      <w:r w:rsidR="00B05C25" w:rsidRPr="00B05C25">
        <w:rPr>
          <w:rFonts w:asciiTheme="majorBidi" w:hAnsiTheme="majorBidi" w:cstheme="majorBidi"/>
          <w:sz w:val="28"/>
          <w:szCs w:val="28"/>
        </w:rPr>
        <w:t xml:space="preserve"> This stems from their tendency to overestimate their abilities and the prospects of their </w:t>
      </w:r>
      <w:r w:rsidR="00B05C25" w:rsidRPr="00B05C25">
        <w:rPr>
          <w:rFonts w:asciiTheme="majorBidi" w:hAnsiTheme="majorBidi" w:cstheme="majorBidi"/>
          <w:sz w:val="28"/>
          <w:szCs w:val="28"/>
        </w:rPr>
        <w:t>firms,</w:t>
      </w:r>
      <w:r w:rsidR="00B05C25" w:rsidRPr="00B05C25">
        <w:rPr>
          <w:rFonts w:asciiTheme="majorBidi" w:hAnsiTheme="majorBidi" w:cstheme="majorBidi"/>
          <w:sz w:val="28"/>
          <w:szCs w:val="28"/>
        </w:rPr>
        <w:t xml:space="preserve"> leading to increased risk-</w:t>
      </w:r>
      <w:r w:rsidR="00B05C25" w:rsidRPr="00B05C25">
        <w:rPr>
          <w:rFonts w:asciiTheme="majorBidi" w:hAnsiTheme="majorBidi" w:cstheme="majorBidi"/>
          <w:sz w:val="28"/>
          <w:szCs w:val="28"/>
        </w:rPr>
        <w:t>taking and</w:t>
      </w:r>
      <w:r w:rsidR="00B05C25" w:rsidRPr="00B05C25">
        <w:rPr>
          <w:rFonts w:asciiTheme="majorBidi" w:hAnsiTheme="majorBidi" w:cstheme="majorBidi"/>
          <w:sz w:val="28"/>
          <w:szCs w:val="28"/>
        </w:rPr>
        <w:t xml:space="preserve"> potentially detrimental financial strategies</w:t>
      </w:r>
      <w:r w:rsidR="00805278">
        <w:rPr>
          <w:rFonts w:asciiTheme="majorBidi" w:hAnsiTheme="majorBidi" w:cstheme="majorBidi"/>
          <w:sz w:val="28"/>
          <w:szCs w:val="28"/>
        </w:rPr>
        <w:t xml:space="preserve"> </w:t>
      </w:r>
      <w:r w:rsidR="00805278" w:rsidRPr="00B05C25">
        <w:rPr>
          <w:rFonts w:asciiTheme="majorBidi" w:hAnsiTheme="majorBidi" w:cstheme="majorBidi"/>
          <w:sz w:val="28"/>
          <w:szCs w:val="28"/>
        </w:rPr>
        <w:t>(</w:t>
      </w:r>
      <w:r w:rsidR="00805278" w:rsidRPr="00805278">
        <w:rPr>
          <w:rFonts w:asciiTheme="majorBidi" w:hAnsiTheme="majorBidi" w:cstheme="majorBidi"/>
          <w:sz w:val="28"/>
          <w:szCs w:val="28"/>
        </w:rPr>
        <w:t>Wang, et al., 2023</w:t>
      </w:r>
      <w:r w:rsidR="00805278">
        <w:rPr>
          <w:rFonts w:asciiTheme="majorBidi" w:hAnsiTheme="majorBidi" w:cstheme="majorBidi"/>
          <w:sz w:val="28"/>
          <w:szCs w:val="28"/>
        </w:rPr>
        <w:t xml:space="preserve">; </w:t>
      </w:r>
      <w:proofErr w:type="spellStart"/>
      <w:r w:rsidR="00805278" w:rsidRPr="00B05C25">
        <w:rPr>
          <w:rFonts w:asciiTheme="majorBidi" w:hAnsiTheme="majorBidi" w:cstheme="majorBidi"/>
          <w:sz w:val="28"/>
          <w:szCs w:val="28"/>
        </w:rPr>
        <w:t>Seo</w:t>
      </w:r>
      <w:proofErr w:type="spellEnd"/>
      <w:r w:rsidR="00805278" w:rsidRPr="00B05C25">
        <w:rPr>
          <w:rFonts w:asciiTheme="majorBidi" w:hAnsiTheme="majorBidi" w:cstheme="majorBidi"/>
          <w:sz w:val="28"/>
          <w:szCs w:val="28"/>
        </w:rPr>
        <w:t xml:space="preserve"> et al., 2017)</w:t>
      </w:r>
      <w:r w:rsidR="00B05C25" w:rsidRPr="00B05C25">
        <w:rPr>
          <w:rFonts w:asciiTheme="majorBidi" w:hAnsiTheme="majorBidi" w:cstheme="majorBidi"/>
          <w:sz w:val="28"/>
          <w:szCs w:val="28"/>
        </w:rPr>
        <w:t>.</w:t>
      </w:r>
    </w:p>
    <w:p w14:paraId="63AAAC05" w14:textId="69FA13AA" w:rsidR="004D6233" w:rsidRDefault="00805278" w:rsidP="00B05C25">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B05C25" w:rsidRPr="00B05C25">
        <w:rPr>
          <w:rFonts w:asciiTheme="majorBidi" w:hAnsiTheme="majorBidi" w:cstheme="majorBidi"/>
          <w:sz w:val="28"/>
          <w:szCs w:val="28"/>
        </w:rPr>
        <w:t xml:space="preserve">In sum, while overconfidence may push CEOs to take bold steps, it often results in a misalignment between their strategic ambitions and the practical demands of corporate sustainability, ultimately hindering ESG </w:t>
      </w:r>
      <w:r w:rsidR="00B05C25" w:rsidRPr="00B05C25">
        <w:rPr>
          <w:rFonts w:asciiTheme="majorBidi" w:hAnsiTheme="majorBidi" w:cstheme="majorBidi"/>
          <w:sz w:val="28"/>
          <w:szCs w:val="28"/>
        </w:rPr>
        <w:t>performance.</w:t>
      </w:r>
      <w:r w:rsidR="00B05C25" w:rsidRPr="00B05C25">
        <w:rPr>
          <w:rFonts w:asciiTheme="majorBidi" w:hAnsiTheme="majorBidi" w:cstheme="majorBidi"/>
          <w:sz w:val="28"/>
          <w:szCs w:val="28"/>
        </w:rPr>
        <w:t xml:space="preserve"> Thus, we develop the following hypothesis:</w:t>
      </w:r>
    </w:p>
    <w:p w14:paraId="79C7A55B" w14:textId="0962C44D" w:rsidR="00B05C25" w:rsidRDefault="00B05C25" w:rsidP="00B05C25">
      <w:pPr>
        <w:spacing w:after="200" w:line="360" w:lineRule="auto"/>
        <w:jc w:val="both"/>
        <w:rPr>
          <w:rFonts w:ascii="Times New Roman" w:eastAsia="SimSun" w:hAnsi="Times New Roman" w:cs="Times New Roman"/>
          <w:i/>
          <w:iCs/>
          <w:sz w:val="28"/>
          <w:szCs w:val="28"/>
          <w:lang w:eastAsia="zh-CN"/>
        </w:rPr>
      </w:pPr>
      <w:r w:rsidRPr="00002CAA">
        <w:rPr>
          <w:rFonts w:ascii="Times New Roman" w:eastAsia="SimSun" w:hAnsi="Times New Roman" w:cs="Times New Roman"/>
          <w:b/>
          <w:bCs/>
          <w:sz w:val="28"/>
          <w:szCs w:val="28"/>
          <w:lang w:eastAsia="zh-CN"/>
        </w:rPr>
        <w:t>Hypothesis 1</w:t>
      </w:r>
      <w:r>
        <w:rPr>
          <w:rFonts w:ascii="Times New Roman" w:eastAsia="SimSun" w:hAnsi="Times New Roman" w:cs="Times New Roman"/>
          <w:b/>
          <w:bCs/>
          <w:sz w:val="28"/>
          <w:szCs w:val="28"/>
          <w:lang w:eastAsia="zh-CN"/>
        </w:rPr>
        <w:t>B</w:t>
      </w:r>
      <w:r w:rsidRPr="00002CAA">
        <w:rPr>
          <w:rFonts w:ascii="Times New Roman" w:eastAsia="SimSun" w:hAnsi="Times New Roman" w:cs="Times New Roman"/>
          <w:i/>
          <w:iCs/>
          <w:sz w:val="28"/>
          <w:szCs w:val="28"/>
          <w:lang w:eastAsia="zh-CN"/>
        </w:rPr>
        <w:t xml:space="preserve">: CEOs' overconfidence is </w:t>
      </w:r>
      <w:r w:rsidRPr="00B05C25">
        <w:rPr>
          <w:rFonts w:ascii="Times New Roman" w:eastAsia="SimSun" w:hAnsi="Times New Roman" w:cs="Times New Roman"/>
          <w:i/>
          <w:iCs/>
          <w:sz w:val="28"/>
          <w:szCs w:val="28"/>
          <w:lang w:eastAsia="zh-CN"/>
        </w:rPr>
        <w:t xml:space="preserve">negatively </w:t>
      </w:r>
      <w:r w:rsidRPr="00002CAA">
        <w:rPr>
          <w:rFonts w:ascii="Times New Roman" w:eastAsia="SimSun" w:hAnsi="Times New Roman" w:cs="Times New Roman"/>
          <w:i/>
          <w:iCs/>
          <w:sz w:val="28"/>
          <w:szCs w:val="28"/>
          <w:lang w:eastAsia="zh-CN"/>
        </w:rPr>
        <w:t>associated with improved corporate ESG performance.</w:t>
      </w:r>
    </w:p>
    <w:p w14:paraId="3C8BF272" w14:textId="77777777" w:rsidR="004D6233" w:rsidRPr="00D6639F" w:rsidRDefault="004D6233" w:rsidP="004D6233">
      <w:pPr>
        <w:rPr>
          <w:rFonts w:asciiTheme="majorBidi" w:hAnsiTheme="majorBidi" w:cstheme="majorBidi"/>
          <w:sz w:val="28"/>
          <w:szCs w:val="28"/>
        </w:rPr>
      </w:pPr>
    </w:p>
    <w:p w14:paraId="3658DA74" w14:textId="77777777" w:rsidR="00002CAA" w:rsidRPr="00002CAA" w:rsidRDefault="00002CAA" w:rsidP="00002CAA">
      <w:pPr>
        <w:spacing w:after="200" w:line="360" w:lineRule="auto"/>
        <w:jc w:val="both"/>
        <w:rPr>
          <w:rFonts w:ascii="Times New Roman" w:eastAsia="SimSun" w:hAnsi="Times New Roman" w:cs="Times New Roman"/>
          <w:b/>
          <w:bCs/>
          <w:sz w:val="28"/>
          <w:szCs w:val="28"/>
          <w:lang w:eastAsia="zh-CN"/>
        </w:rPr>
      </w:pPr>
      <w:r w:rsidRPr="00002CAA">
        <w:rPr>
          <w:rFonts w:ascii="Times New Roman" w:eastAsia="SimSun" w:hAnsi="Times New Roman" w:cs="Times New Roman"/>
          <w:b/>
          <w:bCs/>
          <w:sz w:val="28"/>
          <w:szCs w:val="28"/>
          <w:lang w:eastAsia="zh-CN"/>
        </w:rPr>
        <w:lastRenderedPageBreak/>
        <w:t xml:space="preserve">3 | METHODS </w:t>
      </w:r>
    </w:p>
    <w:p w14:paraId="09C1685D" w14:textId="77777777" w:rsidR="00002CAA" w:rsidRPr="00002CAA" w:rsidRDefault="00002CAA" w:rsidP="00002CAA">
      <w:pPr>
        <w:spacing w:after="200" w:line="360" w:lineRule="auto"/>
        <w:jc w:val="both"/>
        <w:rPr>
          <w:rFonts w:ascii="Times New Roman" w:eastAsia="SimSun" w:hAnsi="Times New Roman" w:cs="Times New Roman"/>
          <w:b/>
          <w:bCs/>
          <w:sz w:val="28"/>
          <w:szCs w:val="28"/>
          <w:lang w:eastAsia="zh-CN"/>
        </w:rPr>
      </w:pPr>
      <w:r w:rsidRPr="00002CAA">
        <w:rPr>
          <w:rFonts w:ascii="Times New Roman" w:eastAsia="SimSun" w:hAnsi="Times New Roman" w:cs="Times New Roman"/>
          <w:b/>
          <w:bCs/>
          <w:sz w:val="28"/>
          <w:szCs w:val="28"/>
          <w:lang w:eastAsia="zh-CN"/>
        </w:rPr>
        <w:t>3.1 | Sample</w:t>
      </w:r>
    </w:p>
    <w:p w14:paraId="5BCD718E" w14:textId="77777777" w:rsidR="00002CAA" w:rsidRPr="00002CAA" w:rsidRDefault="00002CAA" w:rsidP="00002CAA">
      <w:pPr>
        <w:spacing w:after="200" w:line="360" w:lineRule="auto"/>
        <w:jc w:val="both"/>
        <w:rPr>
          <w:rFonts w:ascii="Times New Roman" w:eastAsia="SimSun" w:hAnsi="Times New Roman" w:cs="Times New Roman"/>
          <w:sz w:val="28"/>
          <w:szCs w:val="28"/>
          <w:lang w:eastAsia="zh-CN"/>
        </w:rPr>
      </w:pPr>
      <w:r w:rsidRPr="00002CAA">
        <w:rPr>
          <w:rFonts w:ascii="Times New Roman" w:eastAsia="SimSun" w:hAnsi="Times New Roman" w:cs="Times New Roman"/>
          <w:sz w:val="28"/>
          <w:szCs w:val="28"/>
          <w:lang w:eastAsia="zh-CN"/>
        </w:rPr>
        <w:t xml:space="preserve">            To conduct our analysis, we </w:t>
      </w:r>
      <w:bookmarkStart w:id="9" w:name="_Hlk198916625"/>
      <w:r w:rsidRPr="00002CAA">
        <w:rPr>
          <w:rFonts w:ascii="Times New Roman" w:eastAsia="SimSun" w:hAnsi="Times New Roman" w:cs="Times New Roman"/>
          <w:sz w:val="28"/>
          <w:szCs w:val="28"/>
          <w:lang w:eastAsia="zh-CN"/>
        </w:rPr>
        <w:t>utilized a sample of A-share non-financial companies listed on the Shanghai and Shenzhen stock exchanges from 2007 to 2022.</w:t>
      </w:r>
      <w:r w:rsidRPr="00002CAA">
        <w:rPr>
          <w:rFonts w:ascii="Times New Roman" w:eastAsia="SimSun" w:hAnsi="Times New Roman" w:cs="Times New Roman"/>
          <w:sz w:val="24"/>
          <w:szCs w:val="24"/>
          <w:lang w:eastAsia="zh-CN"/>
        </w:rPr>
        <w:t xml:space="preserve"> </w:t>
      </w:r>
      <w:bookmarkEnd w:id="9"/>
      <w:r w:rsidRPr="00002CAA">
        <w:rPr>
          <w:rFonts w:ascii="Times New Roman" w:eastAsia="SimSun" w:hAnsi="Times New Roman" w:cs="Times New Roman"/>
          <w:sz w:val="28"/>
          <w:szCs w:val="28"/>
          <w:lang w:eastAsia="zh-CN"/>
        </w:rPr>
        <w:t>The dataset was compiled from multiple reliable sources: ESG performance data came from Bloomberg, CEO data came from the CSMAR and Wind databases, and other financial data came from the CSMAR and Wind databases.</w:t>
      </w:r>
      <w:r w:rsidRPr="00002CAA">
        <w:rPr>
          <w:rFonts w:ascii="Times New Roman" w:eastAsia="SimSun" w:hAnsi="Times New Roman" w:cs="Times New Roman"/>
          <w:sz w:val="24"/>
          <w:szCs w:val="24"/>
          <w:lang w:eastAsia="zh-CN"/>
        </w:rPr>
        <w:t xml:space="preserve"> </w:t>
      </w:r>
      <w:r w:rsidRPr="00002CAA">
        <w:rPr>
          <w:rFonts w:ascii="Times New Roman" w:eastAsia="SimSun" w:hAnsi="Times New Roman" w:cs="Times New Roman"/>
          <w:sz w:val="28"/>
          <w:szCs w:val="28"/>
          <w:lang w:eastAsia="zh-CN"/>
        </w:rPr>
        <w:t xml:space="preserve">Then, we excluded the firm-year observations (1) with CEOs born outside mainland China, (2) only 1-year observations, and (3) with missing information on variables. After applying these filters, we obtained a sample of 8,389 firm-year observations. Finally, we </w:t>
      </w:r>
      <w:proofErr w:type="spellStart"/>
      <w:r w:rsidRPr="00002CAA">
        <w:rPr>
          <w:rFonts w:ascii="Times New Roman" w:eastAsia="SimSun" w:hAnsi="Times New Roman" w:cs="Times New Roman"/>
          <w:sz w:val="28"/>
          <w:szCs w:val="28"/>
          <w:lang w:eastAsia="zh-CN"/>
        </w:rPr>
        <w:t>winsorized</w:t>
      </w:r>
      <w:proofErr w:type="spellEnd"/>
      <w:r w:rsidRPr="00002CAA">
        <w:rPr>
          <w:rFonts w:ascii="Times New Roman" w:eastAsia="SimSun" w:hAnsi="Times New Roman" w:cs="Times New Roman"/>
          <w:sz w:val="28"/>
          <w:szCs w:val="28"/>
          <w:lang w:eastAsia="zh-CN"/>
        </w:rPr>
        <w:t xml:space="preserve"> continuous variables at 1% and 99% to reduce the influence of outliers on our regression results.</w:t>
      </w:r>
    </w:p>
    <w:p w14:paraId="4A3005FD" w14:textId="77777777" w:rsidR="00002CAA" w:rsidRPr="00002CAA" w:rsidRDefault="00002CAA" w:rsidP="00002CAA">
      <w:pPr>
        <w:spacing w:after="200" w:line="360" w:lineRule="auto"/>
        <w:jc w:val="both"/>
        <w:rPr>
          <w:rFonts w:ascii="Times New Roman" w:eastAsia="SimSun" w:hAnsi="Times New Roman" w:cs="Times New Roman"/>
          <w:b/>
          <w:bCs/>
          <w:sz w:val="28"/>
          <w:szCs w:val="28"/>
          <w:lang w:eastAsia="zh-CN"/>
        </w:rPr>
      </w:pPr>
      <w:r w:rsidRPr="00002CAA">
        <w:rPr>
          <w:rFonts w:ascii="Times New Roman" w:eastAsia="SimSun" w:hAnsi="Times New Roman" w:cs="Times New Roman"/>
          <w:b/>
          <w:bCs/>
          <w:sz w:val="28"/>
          <w:szCs w:val="28"/>
          <w:lang w:eastAsia="zh-CN"/>
        </w:rPr>
        <w:t xml:space="preserve">3.2 | Variables </w:t>
      </w:r>
    </w:p>
    <w:p w14:paraId="2F62A922" w14:textId="77777777" w:rsidR="00002CAA" w:rsidRPr="00002CAA" w:rsidRDefault="00002CAA" w:rsidP="00002CAA">
      <w:pPr>
        <w:spacing w:after="200" w:line="360" w:lineRule="auto"/>
        <w:jc w:val="both"/>
        <w:rPr>
          <w:rFonts w:ascii="Times New Roman" w:eastAsia="SimSun" w:hAnsi="Times New Roman" w:cs="Times New Roman"/>
          <w:b/>
          <w:bCs/>
          <w:sz w:val="28"/>
          <w:szCs w:val="28"/>
          <w:lang w:eastAsia="zh-CN"/>
        </w:rPr>
      </w:pPr>
      <w:r w:rsidRPr="00002CAA">
        <w:rPr>
          <w:rFonts w:ascii="Times New Roman" w:eastAsia="SimSun" w:hAnsi="Times New Roman" w:cs="Times New Roman"/>
          <w:b/>
          <w:bCs/>
          <w:sz w:val="28"/>
          <w:szCs w:val="28"/>
          <w:lang w:eastAsia="zh-CN"/>
        </w:rPr>
        <w:t>3.2.1 | Dependent variable</w:t>
      </w:r>
      <w:r w:rsidRPr="00002CAA">
        <w:rPr>
          <w:rFonts w:ascii="Times New Roman" w:eastAsia="SimSun" w:hAnsi="Times New Roman" w:cs="Times New Roman"/>
          <w:b/>
          <w:bCs/>
          <w:sz w:val="28"/>
          <w:szCs w:val="28"/>
          <w:rtl/>
          <w:lang w:eastAsia="zh-CN"/>
        </w:rPr>
        <w:t xml:space="preserve">: </w:t>
      </w:r>
      <w:r w:rsidRPr="00002CAA">
        <w:rPr>
          <w:rFonts w:ascii="Times New Roman" w:eastAsia="SimSun" w:hAnsi="Times New Roman" w:cs="Times New Roman"/>
          <w:b/>
          <w:bCs/>
          <w:sz w:val="28"/>
          <w:szCs w:val="28"/>
          <w:lang w:eastAsia="zh-CN"/>
        </w:rPr>
        <w:t>ESG performance (ESG)</w:t>
      </w:r>
    </w:p>
    <w:p w14:paraId="76FF383E" w14:textId="77777777" w:rsidR="00002CAA" w:rsidRPr="00002CAA" w:rsidRDefault="00002CAA" w:rsidP="00002CAA">
      <w:pPr>
        <w:spacing w:after="200" w:line="360" w:lineRule="auto"/>
        <w:jc w:val="both"/>
        <w:rPr>
          <w:rFonts w:ascii="Times New Roman" w:eastAsia="Calibri" w:hAnsi="Times New Roman" w:cs="Times New Roman"/>
          <w:kern w:val="2"/>
          <w:sz w:val="28"/>
          <w:szCs w:val="28"/>
          <w14:ligatures w14:val="standardContextual"/>
        </w:rPr>
      </w:pPr>
      <w:r w:rsidRPr="00002CAA">
        <w:rPr>
          <w:rFonts w:ascii="Times New Roman" w:eastAsia="Calibri" w:hAnsi="Times New Roman" w:cs="Times New Roman"/>
          <w:kern w:val="2"/>
          <w:sz w:val="28"/>
          <w:szCs w:val="28"/>
          <w14:ligatures w14:val="standardContextual"/>
        </w:rPr>
        <w:t xml:space="preserve">Following the approach of </w:t>
      </w:r>
      <w:sdt>
        <w:sdtPr>
          <w:rPr>
            <w:rFonts w:ascii="Times New Roman" w:eastAsia="Calibri" w:hAnsi="Times New Roman" w:cs="Times New Roman"/>
            <w:color w:val="000000"/>
            <w:kern w:val="2"/>
            <w:sz w:val="28"/>
            <w:szCs w:val="28"/>
            <w14:ligatures w14:val="standardContextual"/>
          </w:rPr>
          <w:tag w:val="MENDELEY_CITATION_v3_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"/>
          <w:id w:val="1299875407"/>
          <w:placeholder>
            <w:docPart w:val="27495CB434044F3E84E262A7A4DD3BF5"/>
          </w:placeholder>
        </w:sdtPr>
        <w:sdtEndPr/>
        <w:sdtContent>
          <w:r w:rsidRPr="00002CAA">
            <w:rPr>
              <w:rFonts w:ascii="Times New Roman" w:eastAsia="Calibri" w:hAnsi="Times New Roman" w:cs="Times New Roman"/>
              <w:color w:val="000000"/>
              <w:kern w:val="2"/>
              <w:sz w:val="28"/>
              <w:szCs w:val="28"/>
              <w14:ligatures w14:val="standardContextual"/>
            </w:rPr>
            <w:t>Wang et al. (2022)</w:t>
          </w:r>
        </w:sdtContent>
      </w:sdt>
      <w:r w:rsidRPr="00002CAA">
        <w:rPr>
          <w:rFonts w:ascii="Times New Roman" w:eastAsia="Calibri" w:hAnsi="Times New Roman" w:cs="Times New Roman"/>
          <w:kern w:val="2"/>
          <w:sz w:val="28"/>
          <w:szCs w:val="28"/>
          <w14:ligatures w14:val="standardContextual"/>
        </w:rPr>
        <w:t xml:space="preserve"> and </w:t>
      </w:r>
      <w:sdt>
        <w:sdtPr>
          <w:rPr>
            <w:rFonts w:ascii="Times New Roman" w:eastAsia="Calibri" w:hAnsi="Times New Roman" w:cs="Times New Roman"/>
            <w:color w:val="000000"/>
            <w:kern w:val="2"/>
            <w:sz w:val="28"/>
            <w:szCs w:val="28"/>
            <w14:ligatures w14:val="standardContextual"/>
          </w:rPr>
          <w:tag w:val="MENDELEY_CITATION_v3_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"/>
          <w:id w:val="1809743047"/>
          <w:placeholder>
            <w:docPart w:val="27495CB434044F3E84E262A7A4DD3BF5"/>
          </w:placeholder>
        </w:sdtPr>
        <w:sdtEndPr/>
        <w:sdtContent>
          <w:r w:rsidRPr="00002CAA">
            <w:rPr>
              <w:rFonts w:ascii="Times New Roman" w:eastAsia="Calibri" w:hAnsi="Times New Roman" w:cs="Times New Roman"/>
              <w:color w:val="000000"/>
              <w:kern w:val="2"/>
              <w:sz w:val="28"/>
              <w:szCs w:val="28"/>
              <w14:ligatures w14:val="standardContextual"/>
            </w:rPr>
            <w:t>Minutolo et al. (2019)</w:t>
          </w:r>
        </w:sdtContent>
      </w:sdt>
      <w:r w:rsidRPr="00002CAA">
        <w:rPr>
          <w:rFonts w:ascii="Times New Roman" w:eastAsia="Calibri" w:hAnsi="Times New Roman" w:cs="Times New Roman"/>
          <w:kern w:val="2"/>
          <w:sz w:val="28"/>
          <w:szCs w:val="28"/>
          <w14:ligatures w14:val="standardContextual"/>
        </w:rPr>
        <w:t xml:space="preserve"> this study uses the </w:t>
      </w:r>
      <w:r w:rsidRPr="005F5CAF">
        <w:rPr>
          <w:rFonts w:ascii="Times New Roman" w:eastAsia="Calibri" w:hAnsi="Times New Roman" w:cs="Times New Roman"/>
          <w:kern w:val="2"/>
          <w:sz w:val="28"/>
          <w:szCs w:val="28"/>
          <w14:ligatures w14:val="standardContextual"/>
        </w:rPr>
        <w:t>ESG score from the Bloomberg database</w:t>
      </w:r>
      <w:r w:rsidRPr="00002CAA">
        <w:rPr>
          <w:rFonts w:ascii="Times New Roman" w:eastAsia="Calibri" w:hAnsi="Times New Roman" w:cs="Times New Roman"/>
          <w:kern w:val="2"/>
          <w:sz w:val="28"/>
          <w:szCs w:val="28"/>
          <w14:ligatures w14:val="standardContextual"/>
        </w:rPr>
        <w:t xml:space="preserve"> to measure corporate ESG performance. Bloomberg publicly provides comprehensive ESG data, including an overall ESG composite score as well as individual scores for the Environmental (E), Social (S), and Governance (G) dimensions. These scores are based on the quality and extent of ESG disclosure by firms, with scores ranging from 0 to 100—the higher the score, the more comprehensive and transparent the company’s ESG reporting. The choice of Bloomberg’s ESG data is motivated by several factors. First, Bloomberg derives its ESG scores primarily from company CSR and sustainability reports, along with other publicly available sources, which enhances the objectivity and reliability of the data. Second, compared to alternative ESG rating providers, </w:t>
      </w:r>
      <w:r w:rsidRPr="00002CAA">
        <w:rPr>
          <w:rFonts w:ascii="Times New Roman" w:eastAsia="Calibri" w:hAnsi="Times New Roman" w:cs="Times New Roman"/>
          <w:kern w:val="2"/>
          <w:sz w:val="28"/>
          <w:szCs w:val="28"/>
          <w14:ligatures w14:val="standardContextual"/>
        </w:rPr>
        <w:lastRenderedPageBreak/>
        <w:t>Bloomberg offers broader coverage across industries and markets, making its dataset more representative and convincing for empirical analysis. Additionally, Bloomberg provides transparency in its scoring methodology and detailed score reports, allowing investors and researchers to access and verify the basis of each firm’s ESG rating.</w:t>
      </w:r>
    </w:p>
    <w:p w14:paraId="381D99E3" w14:textId="77777777" w:rsidR="00002CAA" w:rsidRPr="00002CAA" w:rsidRDefault="00002CAA" w:rsidP="00002CAA">
      <w:pPr>
        <w:spacing w:after="200" w:line="360" w:lineRule="auto"/>
        <w:jc w:val="both"/>
        <w:rPr>
          <w:rFonts w:ascii="Times New Roman" w:eastAsia="SimSun" w:hAnsi="Times New Roman" w:cs="Times New Roman"/>
          <w:bCs/>
          <w:i/>
          <w:iCs/>
          <w:sz w:val="28"/>
          <w:szCs w:val="28"/>
          <w:lang w:eastAsia="zh-CN"/>
        </w:rPr>
      </w:pPr>
      <w:r w:rsidRPr="00002CAA">
        <w:rPr>
          <w:rFonts w:ascii="Times New Roman" w:eastAsia="SimSun" w:hAnsi="Times New Roman" w:cs="Times New Roman"/>
          <w:b/>
          <w:bCs/>
          <w:sz w:val="28"/>
          <w:szCs w:val="28"/>
          <w:lang w:eastAsia="zh-CN"/>
        </w:rPr>
        <w:t xml:space="preserve">3.2.2 | Independent variable: </w:t>
      </w:r>
      <w:r w:rsidRPr="00002CAA">
        <w:rPr>
          <w:rFonts w:ascii="Times New Roman" w:eastAsia="SimSun" w:hAnsi="Times New Roman" w:cs="Times New Roman"/>
          <w:sz w:val="28"/>
          <w:szCs w:val="28"/>
          <w:lang w:eastAsia="zh-CN"/>
        </w:rPr>
        <w:t>CEO overconfidence (OC</w:t>
      </w:r>
      <w:r w:rsidRPr="00002CAA">
        <w:rPr>
          <w:rFonts w:ascii="Times New Roman" w:eastAsia="SimSun" w:hAnsi="Times New Roman" w:cs="Times New Roman"/>
          <w:bCs/>
          <w:i/>
          <w:iCs/>
          <w:sz w:val="28"/>
          <w:szCs w:val="28"/>
          <w:lang w:eastAsia="zh-CN"/>
        </w:rPr>
        <w:t>)</w:t>
      </w:r>
    </w:p>
    <w:p w14:paraId="62A55A93" w14:textId="77777777" w:rsidR="00002CAA" w:rsidRPr="00002CAA" w:rsidRDefault="00002CAA" w:rsidP="00002CAA">
      <w:pPr>
        <w:spacing w:after="200" w:line="360" w:lineRule="auto"/>
        <w:jc w:val="both"/>
        <w:rPr>
          <w:rFonts w:ascii="Times New Roman" w:eastAsia="SimSun" w:hAnsi="Times New Roman" w:cs="Times New Roman"/>
          <w:bCs/>
          <w:sz w:val="28"/>
          <w:szCs w:val="28"/>
          <w:lang w:eastAsia="zh-CN"/>
        </w:rPr>
      </w:pPr>
      <w:r w:rsidRPr="00002CAA">
        <w:rPr>
          <w:rFonts w:ascii="Times New Roman" w:eastAsia="SimSun" w:hAnsi="Times New Roman" w:cs="Times New Roman"/>
          <w:bCs/>
          <w:sz w:val="28"/>
          <w:szCs w:val="28"/>
          <w:lang w:eastAsia="zh-CN"/>
        </w:rPr>
        <w:t xml:space="preserve">CEO overconfidence will be measured using a composite index based on four key demographic and role-related factors: gender, age, education, and dual roles (i.e., whether the CEO also serves as the board chair) </w:t>
      </w:r>
      <w:sdt>
        <w:sdtPr>
          <w:rPr>
            <w:rFonts w:ascii="Times New Roman" w:eastAsia="SimSun" w:hAnsi="Times New Roman" w:cs="Times New Roman"/>
            <w:bCs/>
            <w:color w:val="000000"/>
            <w:sz w:val="28"/>
            <w:szCs w:val="28"/>
            <w:lang w:eastAsia="zh-CN"/>
          </w:rPr>
          <w:tag w:val="MENDELEY_CITATION_v3_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"/>
          <w:id w:val="958373211"/>
          <w:placeholder>
            <w:docPart w:val="27495CB434044F3E84E262A7A4DD3BF5"/>
          </w:placeholder>
        </w:sdtPr>
        <w:sdtEndPr/>
        <w:sdtContent>
          <w:r w:rsidRPr="00002CAA">
            <w:rPr>
              <w:rFonts w:ascii="Times New Roman" w:eastAsia="SimSun" w:hAnsi="Times New Roman" w:cs="Times New Roman"/>
              <w:bCs/>
              <w:color w:val="000000"/>
              <w:sz w:val="28"/>
              <w:szCs w:val="28"/>
              <w:lang w:eastAsia="zh-CN"/>
            </w:rPr>
            <w:t>(Hatoum et al., 2022)</w:t>
          </w:r>
        </w:sdtContent>
      </w:sdt>
      <w:r w:rsidRPr="00002CAA">
        <w:rPr>
          <w:rFonts w:ascii="Times New Roman" w:eastAsia="SimSun" w:hAnsi="Times New Roman" w:cs="Times New Roman"/>
          <w:bCs/>
          <w:sz w:val="28"/>
          <w:szCs w:val="28"/>
          <w:lang w:eastAsia="zh-CN"/>
        </w:rPr>
        <w:t>. This approach reflects common proxies used in prior research to capture executive psychological traits linked to overconfidence. Typically, male CEOs, younger executives, those with higher education levels, and CEOs holding dual roles are considered more likely to exhibit overconfidence due to greater risk tolerance, optimism, and control over firm decisions. By combining these variables into a single composite index, this study aims to assess the overall level of CEO overconfidence and examine its impact on corporate ESG performance.</w:t>
      </w:r>
    </w:p>
    <w:p w14:paraId="65454A6D" w14:textId="77777777" w:rsidR="00E561D7" w:rsidRPr="00E561D7" w:rsidRDefault="00E561D7" w:rsidP="00E561D7">
      <w:pPr>
        <w:spacing w:after="200" w:line="360" w:lineRule="auto"/>
        <w:jc w:val="both"/>
        <w:rPr>
          <w:rFonts w:ascii="Times New Roman" w:eastAsia="SimSun" w:hAnsi="Times New Roman" w:cs="Times New Roman"/>
          <w:b/>
          <w:bCs/>
          <w:sz w:val="24"/>
          <w:szCs w:val="24"/>
          <w:lang w:eastAsia="zh-CN"/>
        </w:rPr>
      </w:pPr>
      <w:r w:rsidRPr="00E561D7">
        <w:rPr>
          <w:rFonts w:ascii="Times New Roman" w:eastAsia="SimSun" w:hAnsi="Times New Roman" w:cs="Times New Roman"/>
          <w:b/>
          <w:bCs/>
          <w:sz w:val="24"/>
          <w:szCs w:val="24"/>
          <w:lang w:eastAsia="zh-CN"/>
        </w:rPr>
        <w:t>3.2.3 | Control variables</w:t>
      </w:r>
    </w:p>
    <w:p w14:paraId="69D1F302" w14:textId="3AC6E5F4" w:rsidR="00E561D7" w:rsidRPr="00E561D7" w:rsidRDefault="00E561D7" w:rsidP="00E561D7">
      <w:pPr>
        <w:spacing w:after="200" w:line="360" w:lineRule="auto"/>
        <w:jc w:val="both"/>
        <w:rPr>
          <w:rFonts w:ascii="Times New Roman" w:eastAsia="SimSun" w:hAnsi="Times New Roman" w:cs="Times New Roman"/>
          <w:b/>
          <w:bCs/>
          <w:sz w:val="28"/>
          <w:szCs w:val="28"/>
          <w:lang w:eastAsia="zh-CN"/>
        </w:rPr>
      </w:pPr>
      <w:r w:rsidRPr="00E561D7">
        <w:rPr>
          <w:rFonts w:ascii="Times New Roman" w:eastAsia="SimSun" w:hAnsi="Times New Roman" w:cs="Times New Roman"/>
          <w:b/>
          <w:bCs/>
          <w:sz w:val="28"/>
          <w:szCs w:val="28"/>
          <w:lang w:eastAsia="zh-CN"/>
        </w:rPr>
        <w:t>3.2.3 | Control variables</w:t>
      </w:r>
    </w:p>
    <w:p w14:paraId="1934848D" w14:textId="2C94F6EF" w:rsidR="00D6639F" w:rsidRPr="00D6639F" w:rsidRDefault="00E561D7" w:rsidP="00E561D7">
      <w:pPr>
        <w:spacing w:line="360" w:lineRule="auto"/>
        <w:jc w:val="both"/>
        <w:rPr>
          <w:rFonts w:asciiTheme="majorBidi" w:hAnsiTheme="majorBidi" w:cstheme="majorBidi"/>
          <w:sz w:val="28"/>
          <w:szCs w:val="28"/>
        </w:rPr>
      </w:pPr>
      <w:r w:rsidRPr="00E561D7">
        <w:rPr>
          <w:rFonts w:asciiTheme="majorBidi" w:hAnsiTheme="majorBidi" w:cstheme="majorBidi"/>
          <w:sz w:val="28"/>
          <w:szCs w:val="28"/>
        </w:rPr>
        <w:t>We include several control variables that may influence corporate ESG performance, consistent with prior research. These controls encompass company size (Size), asset-liability ratio (Lev), operating revenue growth rate (Growth), return on assets (ROA), Tobin’s Q (</w:t>
      </w:r>
      <w:proofErr w:type="spellStart"/>
      <w:r w:rsidRPr="00E561D7">
        <w:rPr>
          <w:rFonts w:asciiTheme="majorBidi" w:hAnsiTheme="majorBidi" w:cstheme="majorBidi"/>
          <w:sz w:val="28"/>
          <w:szCs w:val="28"/>
        </w:rPr>
        <w:t>TobinQ</w:t>
      </w:r>
      <w:proofErr w:type="spellEnd"/>
      <w:r w:rsidRPr="00E561D7">
        <w:rPr>
          <w:rFonts w:asciiTheme="majorBidi" w:hAnsiTheme="majorBidi" w:cstheme="majorBidi"/>
          <w:sz w:val="28"/>
          <w:szCs w:val="28"/>
        </w:rPr>
        <w:t>), firm age (</w:t>
      </w:r>
      <w:proofErr w:type="spellStart"/>
      <w:r w:rsidRPr="00E561D7">
        <w:rPr>
          <w:rFonts w:asciiTheme="majorBidi" w:hAnsiTheme="majorBidi" w:cstheme="majorBidi"/>
          <w:sz w:val="28"/>
          <w:szCs w:val="28"/>
        </w:rPr>
        <w:t>FirmAge</w:t>
      </w:r>
      <w:proofErr w:type="spellEnd"/>
      <w:r w:rsidRPr="00E561D7">
        <w:rPr>
          <w:rFonts w:asciiTheme="majorBidi" w:hAnsiTheme="majorBidi" w:cstheme="majorBidi"/>
          <w:sz w:val="28"/>
          <w:szCs w:val="28"/>
        </w:rPr>
        <w:t>), and audit fees (</w:t>
      </w:r>
      <w:proofErr w:type="spellStart"/>
      <w:r w:rsidRPr="00E561D7">
        <w:rPr>
          <w:rFonts w:asciiTheme="majorBidi" w:hAnsiTheme="majorBidi" w:cstheme="majorBidi"/>
          <w:sz w:val="28"/>
          <w:szCs w:val="28"/>
        </w:rPr>
        <w:t>AuditFee</w:t>
      </w:r>
      <w:proofErr w:type="spellEnd"/>
      <w:r w:rsidRPr="00E561D7">
        <w:rPr>
          <w:rFonts w:asciiTheme="majorBidi" w:hAnsiTheme="majorBidi" w:cstheme="majorBidi"/>
          <w:sz w:val="28"/>
          <w:szCs w:val="28"/>
        </w:rPr>
        <w:t>). Additionally, to control for industry-specific and temporal variations, we incorporate industry-fixed effects (Ind) and year-fixed effects (Year) in our analysis. Detailed definitions of all main variables are provided in Appendix 1.</w:t>
      </w:r>
    </w:p>
    <w:p w14:paraId="443BBFB0" w14:textId="77777777" w:rsidR="00E561D7" w:rsidRPr="00E561D7" w:rsidRDefault="00E561D7" w:rsidP="00E561D7">
      <w:pPr>
        <w:spacing w:after="200" w:line="360" w:lineRule="auto"/>
        <w:jc w:val="both"/>
        <w:rPr>
          <w:rFonts w:ascii="Times New Roman" w:eastAsia="SimSun" w:hAnsi="Times New Roman" w:cs="Times New Roman"/>
          <w:b/>
          <w:bCs/>
          <w:sz w:val="32"/>
          <w:szCs w:val="32"/>
          <w:rtl/>
          <w:lang w:eastAsia="zh-CN"/>
        </w:rPr>
      </w:pPr>
      <w:r w:rsidRPr="00E561D7">
        <w:rPr>
          <w:rFonts w:ascii="Times New Roman" w:eastAsia="SimSun" w:hAnsi="Times New Roman" w:cs="Times New Roman"/>
          <w:b/>
          <w:bCs/>
          <w:sz w:val="32"/>
          <w:szCs w:val="32"/>
          <w:lang w:eastAsia="zh-CN"/>
        </w:rPr>
        <w:lastRenderedPageBreak/>
        <w:t>3.3 | Model</w:t>
      </w:r>
    </w:p>
    <w:p w14:paraId="43359C8D" w14:textId="77777777" w:rsidR="00E561D7" w:rsidRPr="00E561D7" w:rsidRDefault="00E561D7" w:rsidP="00E561D7">
      <w:pPr>
        <w:spacing w:after="200" w:line="360" w:lineRule="auto"/>
        <w:jc w:val="both"/>
        <w:rPr>
          <w:rFonts w:ascii="Times New Roman" w:eastAsia="SimSun" w:hAnsi="Times New Roman" w:cs="Times New Roman"/>
          <w:sz w:val="28"/>
          <w:szCs w:val="28"/>
          <w:lang w:eastAsia="zh-CN"/>
        </w:rPr>
      </w:pPr>
      <w:r w:rsidRPr="00E561D7">
        <w:rPr>
          <w:rFonts w:ascii="Times New Roman" w:eastAsia="SimSun" w:hAnsi="Times New Roman" w:cs="Times New Roman"/>
          <w:sz w:val="28"/>
          <w:szCs w:val="28"/>
          <w:lang w:eastAsia="zh-CN"/>
        </w:rPr>
        <w:t>We estimate the following panel regression model with firm-clustered standard errors, including year and industry fixed effects:</w:t>
      </w:r>
    </w:p>
    <w:p w14:paraId="7AC3B059" w14:textId="77777777" w:rsidR="00E561D7" w:rsidRPr="00E561D7" w:rsidRDefault="00E561D7" w:rsidP="00E561D7">
      <w:pPr>
        <w:spacing w:after="200" w:line="360" w:lineRule="auto"/>
        <w:jc w:val="center"/>
        <w:rPr>
          <w:rFonts w:ascii="Times New Roman" w:eastAsia="SimSun" w:hAnsi="Times New Roman" w:cs="Times New Roman"/>
          <w:sz w:val="28"/>
          <w:szCs w:val="28"/>
          <w:rtl/>
          <w:lang w:eastAsia="zh-CN" w:bidi="ar-EG"/>
        </w:rPr>
      </w:pPr>
      <w:proofErr w:type="spellStart"/>
      <w:r w:rsidRPr="00E561D7">
        <w:rPr>
          <w:rFonts w:ascii="Times New Roman" w:eastAsia="SimSun" w:hAnsi="Times New Roman" w:cs="Times New Roman"/>
          <w:sz w:val="28"/>
          <w:szCs w:val="28"/>
          <w:lang w:eastAsia="zh-CN"/>
        </w:rPr>
        <w:t>ESG</w:t>
      </w:r>
      <w:r w:rsidRPr="00E561D7">
        <w:rPr>
          <w:rFonts w:ascii="Times New Roman" w:eastAsia="SimSun" w:hAnsi="Times New Roman" w:cs="Times New Roman"/>
          <w:i/>
          <w:iCs/>
          <w:sz w:val="28"/>
          <w:szCs w:val="28"/>
          <w:vertAlign w:val="subscript"/>
          <w:lang w:eastAsia="zh-CN"/>
        </w:rPr>
        <w:t>it</w:t>
      </w:r>
      <w:proofErr w:type="spellEnd"/>
      <w:r w:rsidRPr="00E561D7">
        <w:rPr>
          <w:rFonts w:ascii="Times New Roman" w:eastAsia="SimSun" w:hAnsi="Times New Roman" w:cs="Times New Roman"/>
          <w:sz w:val="28"/>
          <w:szCs w:val="28"/>
          <w:lang w:eastAsia="zh-CN"/>
        </w:rPr>
        <w:t xml:space="preserve"> = β</w:t>
      </w:r>
      <w:r w:rsidRPr="00E561D7">
        <w:rPr>
          <w:rFonts w:ascii="Times New Roman" w:eastAsia="SimSun" w:hAnsi="Times New Roman" w:cs="Times New Roman"/>
          <w:sz w:val="28"/>
          <w:szCs w:val="28"/>
          <w:vertAlign w:val="subscript"/>
          <w:lang w:eastAsia="zh-CN"/>
        </w:rPr>
        <w:t>0</w:t>
      </w:r>
      <w:r w:rsidRPr="00E561D7">
        <w:rPr>
          <w:rFonts w:ascii="Times New Roman" w:eastAsia="SimSun" w:hAnsi="Times New Roman" w:cs="Times New Roman"/>
          <w:sz w:val="28"/>
          <w:szCs w:val="28"/>
          <w:lang w:eastAsia="zh-CN"/>
        </w:rPr>
        <w:t xml:space="preserve"> + β</w:t>
      </w:r>
      <w:r w:rsidRPr="00E561D7">
        <w:rPr>
          <w:rFonts w:ascii="Times New Roman" w:eastAsia="SimSun" w:hAnsi="Times New Roman" w:cs="Times New Roman"/>
          <w:sz w:val="28"/>
          <w:szCs w:val="28"/>
          <w:vertAlign w:val="subscript"/>
          <w:lang w:eastAsia="zh-CN"/>
        </w:rPr>
        <w:t>1</w:t>
      </w:r>
      <w:r w:rsidRPr="00E561D7">
        <w:rPr>
          <w:rFonts w:ascii="Times New Roman" w:eastAsia="SimSun" w:hAnsi="Times New Roman" w:cs="Times New Roman"/>
          <w:sz w:val="28"/>
          <w:szCs w:val="28"/>
          <w:lang w:eastAsia="zh-CN"/>
        </w:rPr>
        <w:t xml:space="preserve"> </w:t>
      </w:r>
      <w:proofErr w:type="spellStart"/>
      <w:r w:rsidRPr="00E561D7">
        <w:rPr>
          <w:rFonts w:ascii="Times New Roman" w:eastAsia="SimSun" w:hAnsi="Times New Roman" w:cs="Times New Roman"/>
          <w:sz w:val="28"/>
          <w:szCs w:val="28"/>
          <w:lang w:eastAsia="zh-CN"/>
        </w:rPr>
        <w:t>OC</w:t>
      </w:r>
      <w:r w:rsidRPr="00E561D7">
        <w:rPr>
          <w:rFonts w:ascii="Times New Roman" w:eastAsia="SimSun" w:hAnsi="Times New Roman" w:cs="Times New Roman"/>
          <w:i/>
          <w:iCs/>
          <w:sz w:val="28"/>
          <w:szCs w:val="28"/>
          <w:vertAlign w:val="subscript"/>
          <w:lang w:eastAsia="zh-CN"/>
        </w:rPr>
        <w:t>it</w:t>
      </w:r>
      <w:proofErr w:type="spellEnd"/>
      <w:r w:rsidRPr="00E561D7">
        <w:rPr>
          <w:rFonts w:ascii="Times New Roman" w:eastAsia="SimSun" w:hAnsi="Times New Roman" w:cs="Times New Roman"/>
          <w:sz w:val="28"/>
          <w:szCs w:val="28"/>
          <w:vertAlign w:val="subscript"/>
          <w:lang w:eastAsia="zh-CN"/>
        </w:rPr>
        <w:t>+</w:t>
      </w:r>
      <w:r w:rsidRPr="00E561D7">
        <w:rPr>
          <w:rFonts w:ascii="Times New Roman" w:eastAsia="SimSun" w:hAnsi="Times New Roman" w:cs="Times New Roman"/>
          <w:sz w:val="28"/>
          <w:szCs w:val="28"/>
          <w:lang w:eastAsia="zh-CN"/>
        </w:rPr>
        <w:t xml:space="preserve"> β</w:t>
      </w:r>
      <w:r w:rsidRPr="00E561D7">
        <w:rPr>
          <w:rFonts w:ascii="Times New Roman" w:eastAsia="SimSun" w:hAnsi="Times New Roman" w:cs="Times New Roman"/>
          <w:sz w:val="28"/>
          <w:szCs w:val="28"/>
          <w:vertAlign w:val="subscript"/>
          <w:lang w:eastAsia="zh-CN"/>
        </w:rPr>
        <w:t xml:space="preserve">2 </w:t>
      </w:r>
      <m:oMath>
        <m:nary>
          <m:naryPr>
            <m:chr m:val="∑"/>
            <m:grow m:val="1"/>
            <m:ctrlPr>
              <w:rPr>
                <w:rFonts w:ascii="Cambria Math" w:eastAsia="SimSun" w:hAnsi="Cambria Math" w:cs="Times New Roman"/>
                <w:sz w:val="28"/>
                <w:szCs w:val="28"/>
                <w:lang w:eastAsia="zh-CN"/>
              </w:rPr>
            </m:ctrlPr>
          </m:naryPr>
          <m:sub>
            <m:r>
              <w:rPr>
                <w:rFonts w:ascii="Cambria Math" w:eastAsia="SimSun" w:hAnsi="Cambria Math" w:cs="Times New Roman"/>
                <w:sz w:val="28"/>
                <w:szCs w:val="28"/>
                <w:lang w:eastAsia="zh-CN"/>
              </w:rPr>
              <m:t>i-1</m:t>
            </m:r>
          </m:sub>
          <m:sup>
            <m:r>
              <w:rPr>
                <w:rFonts w:ascii="Cambria Math" w:eastAsia="SimSun" w:hAnsi="Cambria Math" w:cs="Times New Roman"/>
                <w:sz w:val="28"/>
                <w:szCs w:val="28"/>
                <w:lang w:eastAsia="zh-CN"/>
              </w:rPr>
              <m:t>n</m:t>
            </m:r>
          </m:sup>
          <m:e>
            <m:r>
              <w:rPr>
                <w:rFonts w:ascii="Cambria Math" w:eastAsia="SimSun" w:hAnsi="Cambria Math" w:cs="Times New Roman"/>
                <w:sz w:val="28"/>
                <w:szCs w:val="28"/>
                <w:lang w:eastAsia="zh-CN"/>
              </w:rPr>
              <m:t>controls</m:t>
            </m:r>
          </m:e>
        </m:nary>
      </m:oMath>
      <w:r w:rsidRPr="00E561D7">
        <w:rPr>
          <w:rFonts w:ascii="Times New Roman" w:eastAsia="SimSun" w:hAnsi="Times New Roman" w:cs="Times New Roman"/>
          <w:i/>
          <w:iCs/>
          <w:sz w:val="28"/>
          <w:szCs w:val="28"/>
          <w:vertAlign w:val="subscript"/>
          <w:lang w:eastAsia="zh-CN"/>
        </w:rPr>
        <w:t>it</w:t>
      </w:r>
      <w:r w:rsidRPr="00E561D7">
        <w:rPr>
          <w:rFonts w:ascii="Times New Roman" w:eastAsia="SimSun" w:hAnsi="Times New Roman" w:cs="Times New Roman"/>
          <w:sz w:val="28"/>
          <w:szCs w:val="28"/>
          <w:lang w:eastAsia="zh-CN"/>
        </w:rPr>
        <w:t xml:space="preserve"> + β</w:t>
      </w:r>
      <w:r w:rsidRPr="00E561D7">
        <w:rPr>
          <w:rFonts w:ascii="Times New Roman" w:eastAsia="SimSun" w:hAnsi="Times New Roman" w:cs="Times New Roman"/>
          <w:sz w:val="28"/>
          <w:szCs w:val="28"/>
          <w:vertAlign w:val="subscript"/>
          <w:lang w:eastAsia="zh-CN"/>
        </w:rPr>
        <w:t>3</w:t>
      </w:r>
      <w:r w:rsidRPr="00E561D7">
        <w:rPr>
          <w:rFonts w:ascii="Times New Roman" w:eastAsia="SimSun" w:hAnsi="Times New Roman" w:cs="Times New Roman"/>
          <w:sz w:val="28"/>
          <w:szCs w:val="28"/>
          <w:lang w:eastAsia="zh-CN"/>
        </w:rPr>
        <w:t>Year</w:t>
      </w:r>
      <w:r w:rsidRPr="00E561D7">
        <w:rPr>
          <w:rFonts w:ascii="Times New Roman" w:eastAsia="SimSun" w:hAnsi="Times New Roman" w:cs="Times New Roman"/>
          <w:i/>
          <w:iCs/>
          <w:sz w:val="28"/>
          <w:szCs w:val="28"/>
          <w:vertAlign w:val="subscript"/>
          <w:lang w:eastAsia="zh-CN"/>
        </w:rPr>
        <w:t>t</w:t>
      </w:r>
      <w:r w:rsidRPr="00E561D7">
        <w:rPr>
          <w:rFonts w:ascii="Times New Roman" w:eastAsia="SimSun" w:hAnsi="Times New Roman" w:cs="Times New Roman"/>
          <w:sz w:val="28"/>
          <w:szCs w:val="28"/>
          <w:lang w:eastAsia="zh-CN"/>
        </w:rPr>
        <w:t xml:space="preserve"> + β</w:t>
      </w:r>
      <w:r w:rsidRPr="00E561D7">
        <w:rPr>
          <w:rFonts w:ascii="Times New Roman" w:eastAsia="SimSun" w:hAnsi="Times New Roman" w:cs="Times New Roman"/>
          <w:sz w:val="28"/>
          <w:szCs w:val="28"/>
          <w:vertAlign w:val="subscript"/>
          <w:lang w:eastAsia="zh-CN"/>
        </w:rPr>
        <w:t>4</w:t>
      </w:r>
      <w:r w:rsidRPr="00E561D7">
        <w:rPr>
          <w:rFonts w:ascii="Times New Roman" w:eastAsia="SimSun" w:hAnsi="Times New Roman" w:cs="Times New Roman"/>
          <w:sz w:val="28"/>
          <w:szCs w:val="28"/>
          <w:lang w:eastAsia="zh-CN"/>
        </w:rPr>
        <w:t>Industry</w:t>
      </w:r>
      <w:r w:rsidRPr="00E561D7">
        <w:rPr>
          <w:rFonts w:ascii="Times New Roman" w:eastAsia="SimSun" w:hAnsi="Times New Roman" w:cs="Times New Roman"/>
          <w:i/>
          <w:iCs/>
          <w:sz w:val="28"/>
          <w:szCs w:val="28"/>
          <w:vertAlign w:val="subscript"/>
          <w:lang w:eastAsia="zh-CN"/>
        </w:rPr>
        <w:t>i</w:t>
      </w:r>
      <w:r w:rsidRPr="00E561D7">
        <w:rPr>
          <w:rFonts w:ascii="Times New Roman" w:eastAsia="SimSun" w:hAnsi="Times New Roman" w:cs="Times New Roman"/>
          <w:sz w:val="28"/>
          <w:szCs w:val="28"/>
          <w:lang w:eastAsia="zh-CN"/>
        </w:rPr>
        <w:t xml:space="preserve"> + </w:t>
      </w:r>
      <w:proofErr w:type="spellStart"/>
      <w:r w:rsidRPr="00E561D7">
        <w:rPr>
          <w:rFonts w:ascii="Times New Roman" w:eastAsia="SimSun" w:hAnsi="Times New Roman" w:cs="Times New Roman"/>
          <w:sz w:val="28"/>
          <w:szCs w:val="28"/>
          <w:lang w:eastAsia="zh-CN"/>
        </w:rPr>
        <w:t>ε</w:t>
      </w:r>
      <w:r w:rsidRPr="00E561D7">
        <w:rPr>
          <w:rFonts w:ascii="Times New Roman" w:eastAsia="SimSun" w:hAnsi="Times New Roman" w:cs="Times New Roman"/>
          <w:i/>
          <w:iCs/>
          <w:sz w:val="28"/>
          <w:szCs w:val="28"/>
          <w:vertAlign w:val="subscript"/>
          <w:lang w:eastAsia="zh-CN"/>
        </w:rPr>
        <w:t>it</w:t>
      </w:r>
      <w:proofErr w:type="spellEnd"/>
    </w:p>
    <w:p w14:paraId="40515273" w14:textId="77777777" w:rsidR="00E561D7" w:rsidRPr="00E561D7" w:rsidRDefault="00E561D7" w:rsidP="00E561D7">
      <w:pPr>
        <w:spacing w:after="200" w:line="360" w:lineRule="auto"/>
        <w:jc w:val="center"/>
        <w:rPr>
          <w:rFonts w:ascii="Times New Roman" w:eastAsia="SimSun" w:hAnsi="Times New Roman" w:cs="Times New Roman"/>
          <w:sz w:val="28"/>
          <w:szCs w:val="28"/>
          <w:lang w:eastAsia="zh-CN"/>
        </w:rPr>
      </w:pPr>
      <w:r w:rsidRPr="00E561D7">
        <w:rPr>
          <w:rFonts w:ascii="Times New Roman" w:eastAsia="SimSun" w:hAnsi="Times New Roman" w:cs="Times New Roman"/>
          <w:sz w:val="28"/>
          <w:szCs w:val="28"/>
          <w:lang w:eastAsia="zh-CN"/>
        </w:rPr>
        <w:t>Where (</w:t>
      </w:r>
      <w:proofErr w:type="spellStart"/>
      <w:r w:rsidRPr="00E561D7">
        <w:rPr>
          <w:rFonts w:ascii="Times New Roman" w:eastAsia="SimSun" w:hAnsi="Times New Roman" w:cs="Times New Roman"/>
          <w:i/>
          <w:iCs/>
          <w:sz w:val="28"/>
          <w:szCs w:val="28"/>
          <w:lang w:eastAsia="zh-CN"/>
        </w:rPr>
        <w:t>i</w:t>
      </w:r>
      <w:proofErr w:type="spellEnd"/>
      <w:r w:rsidRPr="00E561D7">
        <w:rPr>
          <w:rFonts w:ascii="Times New Roman" w:eastAsia="SimSun" w:hAnsi="Times New Roman" w:cs="Times New Roman"/>
          <w:sz w:val="28"/>
          <w:szCs w:val="28"/>
          <w:lang w:eastAsia="zh-CN"/>
        </w:rPr>
        <w:t>) and (</w:t>
      </w:r>
      <w:r w:rsidRPr="00E561D7">
        <w:rPr>
          <w:rFonts w:ascii="Times New Roman" w:eastAsia="SimSun" w:hAnsi="Times New Roman" w:cs="Times New Roman"/>
          <w:i/>
          <w:iCs/>
          <w:sz w:val="28"/>
          <w:szCs w:val="28"/>
          <w:lang w:eastAsia="zh-CN"/>
        </w:rPr>
        <w:t>t</w:t>
      </w:r>
      <w:r w:rsidRPr="00E561D7">
        <w:rPr>
          <w:rFonts w:ascii="Times New Roman" w:eastAsia="SimSun" w:hAnsi="Times New Roman" w:cs="Times New Roman"/>
          <w:sz w:val="28"/>
          <w:szCs w:val="28"/>
          <w:lang w:eastAsia="zh-CN"/>
        </w:rPr>
        <w:t>) denote firm and year, respectively.</w:t>
      </w:r>
    </w:p>
    <w:p w14:paraId="07824DBD" w14:textId="2CECF94B" w:rsidR="00D6639F" w:rsidRPr="00D6639F" w:rsidRDefault="00D6639F" w:rsidP="00D6639F">
      <w:pPr>
        <w:rPr>
          <w:rFonts w:asciiTheme="majorBidi" w:hAnsiTheme="majorBidi" w:cstheme="majorBidi"/>
          <w:sz w:val="28"/>
          <w:szCs w:val="28"/>
        </w:rPr>
      </w:pPr>
    </w:p>
    <w:p w14:paraId="75433D98" w14:textId="77777777" w:rsidR="00C33495" w:rsidRPr="00C33495" w:rsidRDefault="00C33495" w:rsidP="00C33495">
      <w:pPr>
        <w:spacing w:after="0" w:line="360" w:lineRule="auto"/>
        <w:ind w:left="90"/>
        <w:jc w:val="both"/>
        <w:rPr>
          <w:rFonts w:ascii="Times New Roman" w:eastAsia="SimSun" w:hAnsi="Times New Roman" w:cs="Times New Roman"/>
          <w:b/>
          <w:bCs/>
          <w:sz w:val="28"/>
          <w:szCs w:val="28"/>
          <w:rtl/>
          <w:lang w:eastAsia="zh-CN"/>
        </w:rPr>
      </w:pPr>
      <w:r w:rsidRPr="00C33495">
        <w:rPr>
          <w:rFonts w:ascii="Times New Roman" w:eastAsia="SimSun" w:hAnsi="Times New Roman" w:cs="Times New Roman"/>
          <w:b/>
          <w:bCs/>
          <w:sz w:val="28"/>
          <w:szCs w:val="28"/>
          <w:lang w:eastAsia="zh-CN"/>
        </w:rPr>
        <w:t xml:space="preserve">4 | RESULTS </w:t>
      </w:r>
    </w:p>
    <w:p w14:paraId="2F9ED4A0" w14:textId="77777777" w:rsidR="00C33495" w:rsidRPr="00C33495" w:rsidRDefault="00C33495" w:rsidP="00C33495">
      <w:pPr>
        <w:spacing w:after="0" w:line="360" w:lineRule="auto"/>
        <w:ind w:left="90"/>
        <w:jc w:val="both"/>
        <w:rPr>
          <w:rFonts w:ascii="Times New Roman" w:eastAsia="SimSun" w:hAnsi="Times New Roman" w:cs="Times New Roman"/>
          <w:b/>
          <w:bCs/>
          <w:sz w:val="28"/>
          <w:szCs w:val="28"/>
          <w:rtl/>
          <w:lang w:eastAsia="zh-CN"/>
        </w:rPr>
      </w:pPr>
      <w:r w:rsidRPr="00C33495">
        <w:rPr>
          <w:rFonts w:ascii="Times New Roman" w:eastAsia="SimSun" w:hAnsi="Times New Roman" w:cs="Times New Roman"/>
          <w:b/>
          <w:bCs/>
          <w:sz w:val="28"/>
          <w:szCs w:val="28"/>
          <w:lang w:eastAsia="zh-CN"/>
        </w:rPr>
        <w:t>4.1 | Descriptive statistics and correlation analysis</w:t>
      </w:r>
    </w:p>
    <w:p w14:paraId="7B4FC0E2" w14:textId="77777777" w:rsidR="00C33495" w:rsidRPr="00C33495" w:rsidRDefault="00C33495" w:rsidP="00C33495">
      <w:pPr>
        <w:spacing w:after="0" w:line="360" w:lineRule="auto"/>
        <w:jc w:val="both"/>
        <w:rPr>
          <w:rFonts w:ascii="Times New Roman" w:eastAsia="SimSun" w:hAnsi="Times New Roman" w:cs="Times New Roman"/>
          <w:sz w:val="28"/>
          <w:szCs w:val="28"/>
          <w:lang w:eastAsia="zh-CN"/>
        </w:rPr>
      </w:pPr>
      <w:r w:rsidRPr="00C33495">
        <w:rPr>
          <w:rFonts w:ascii="Times New Roman" w:eastAsia="SimSun" w:hAnsi="Times New Roman" w:cs="Times New Roman"/>
          <w:sz w:val="28"/>
          <w:szCs w:val="28"/>
          <w:lang w:eastAsia="zh-CN"/>
        </w:rPr>
        <w:t xml:space="preserve">            Table 1 presents the descriptive statistics of the main variables in this study. The results show that, on average, firms have an ESG performance rating of 28.03, with a median value of 27.42. This suggests that more than half of the firms in the sample have received an ESG rating of A or higher, indicating generally positive ESG performance across the firms. The ESG ratings range from a minimum of 6.19 to a maximum of 71.18, with a standard deviation of 10.23, revealing substantial variability in ESG performance among the sampled companies.</w:t>
      </w:r>
    </w:p>
    <w:p w14:paraId="3DA7983C" w14:textId="626D746E" w:rsidR="00C33495" w:rsidRDefault="00C33495" w:rsidP="00C33495">
      <w:pPr>
        <w:spacing w:after="0" w:line="360" w:lineRule="auto"/>
        <w:jc w:val="both"/>
        <w:rPr>
          <w:rFonts w:ascii="Times New Roman" w:eastAsia="SimSun" w:hAnsi="Times New Roman" w:cs="Times New Roman"/>
          <w:sz w:val="28"/>
          <w:szCs w:val="28"/>
          <w:lang w:eastAsia="zh-CN"/>
        </w:rPr>
      </w:pPr>
      <w:r w:rsidRPr="00C33495">
        <w:rPr>
          <w:rFonts w:ascii="Times New Roman" w:eastAsia="SimSun" w:hAnsi="Times New Roman" w:cs="Times New Roman"/>
          <w:sz w:val="28"/>
          <w:szCs w:val="28"/>
          <w:lang w:eastAsia="zh-CN"/>
        </w:rPr>
        <w:t xml:space="preserve">            Regarding the primary explanatory variable, </w:t>
      </w:r>
      <w:bookmarkStart w:id="10" w:name="_Hlk198933423"/>
      <w:r w:rsidRPr="00C33495">
        <w:rPr>
          <w:rFonts w:ascii="Times New Roman" w:eastAsia="SimSun" w:hAnsi="Times New Roman" w:cs="Times New Roman"/>
          <w:sz w:val="28"/>
          <w:szCs w:val="28"/>
          <w:lang w:eastAsia="zh-CN"/>
        </w:rPr>
        <w:t>CEO overconfidence (OC)</w:t>
      </w:r>
      <w:bookmarkEnd w:id="10"/>
      <w:r w:rsidRPr="00C33495">
        <w:rPr>
          <w:rFonts w:ascii="Times New Roman" w:eastAsia="SimSun" w:hAnsi="Times New Roman" w:cs="Times New Roman"/>
          <w:sz w:val="28"/>
          <w:szCs w:val="28"/>
          <w:lang w:eastAsia="zh-CN"/>
        </w:rPr>
        <w:t>, the average value is 0.65, with a median of 0.64. This suggests that overconfident CEOs are slightly more prevalent than their non-overconfident counterparts in the sample, with the overconfidence metric skewed toward higher values. This indicates a moderate prevalence of overconfident CEOs in the firms studied, which may influence their decision-making and, potentially, their approach to corporate sustainability and ESG performance.</w:t>
      </w:r>
    </w:p>
    <w:p w14:paraId="1C188A5D" w14:textId="7480C290" w:rsidR="005F5CAF" w:rsidRDefault="005F5CAF" w:rsidP="00C33495">
      <w:pPr>
        <w:spacing w:after="0" w:line="360" w:lineRule="auto"/>
        <w:jc w:val="both"/>
        <w:rPr>
          <w:rFonts w:ascii="Times New Roman" w:eastAsia="SimSun" w:hAnsi="Times New Roman" w:cs="Times New Roman"/>
          <w:sz w:val="28"/>
          <w:szCs w:val="28"/>
          <w:lang w:eastAsia="zh-CN"/>
        </w:rPr>
      </w:pPr>
    </w:p>
    <w:p w14:paraId="0AB4F1AC" w14:textId="5AA80190" w:rsidR="005F5CAF" w:rsidRDefault="005F5CAF" w:rsidP="00C33495">
      <w:pPr>
        <w:spacing w:after="0" w:line="360" w:lineRule="auto"/>
        <w:jc w:val="both"/>
        <w:rPr>
          <w:rFonts w:ascii="Times New Roman" w:eastAsia="SimSun" w:hAnsi="Times New Roman" w:cs="Times New Roman"/>
          <w:sz w:val="28"/>
          <w:szCs w:val="28"/>
          <w:lang w:eastAsia="zh-CN"/>
        </w:rPr>
      </w:pPr>
    </w:p>
    <w:p w14:paraId="7A50E659" w14:textId="77777777" w:rsidR="005F5CAF" w:rsidRPr="00C33495" w:rsidRDefault="005F5CAF" w:rsidP="00C33495">
      <w:pPr>
        <w:spacing w:after="0" w:line="360" w:lineRule="auto"/>
        <w:jc w:val="both"/>
        <w:rPr>
          <w:rFonts w:ascii="Times New Roman" w:eastAsia="DengXian" w:hAnsi="Times New Roman" w:cs="Times New Roman"/>
          <w:sz w:val="28"/>
          <w:szCs w:val="28"/>
          <w:lang w:eastAsia="zh-CN"/>
        </w:rPr>
      </w:pPr>
    </w:p>
    <w:tbl>
      <w:tblPr>
        <w:tblW w:w="9544" w:type="dxa"/>
        <w:jc w:val="center"/>
        <w:tblLayout w:type="fixed"/>
        <w:tblLook w:val="04A0" w:firstRow="1" w:lastRow="0" w:firstColumn="1" w:lastColumn="0" w:noHBand="0" w:noVBand="1"/>
      </w:tblPr>
      <w:tblGrid>
        <w:gridCol w:w="1532"/>
        <w:gridCol w:w="1351"/>
        <w:gridCol w:w="1090"/>
        <w:gridCol w:w="1090"/>
        <w:gridCol w:w="1061"/>
        <w:gridCol w:w="1260"/>
        <w:gridCol w:w="1170"/>
        <w:gridCol w:w="990"/>
      </w:tblGrid>
      <w:tr w:rsidR="00C33495" w:rsidRPr="00C33495" w14:paraId="5944699C" w14:textId="77777777" w:rsidTr="00C33495">
        <w:trPr>
          <w:trHeight w:val="314"/>
          <w:jc w:val="center"/>
        </w:trPr>
        <w:tc>
          <w:tcPr>
            <w:tcW w:w="9544" w:type="dxa"/>
            <w:gridSpan w:val="8"/>
            <w:tcBorders>
              <w:bottom w:val="single" w:sz="4" w:space="0" w:color="auto"/>
            </w:tcBorders>
            <w:shd w:val="clear" w:color="auto" w:fill="F2F2F2"/>
            <w:vAlign w:val="center"/>
          </w:tcPr>
          <w:p w14:paraId="74361159" w14:textId="77777777" w:rsidR="00C33495" w:rsidRPr="00C33495" w:rsidRDefault="00C33495" w:rsidP="00C33495">
            <w:pPr>
              <w:spacing w:before="100" w:beforeAutospacing="1" w:after="0" w:line="273" w:lineRule="auto"/>
              <w:rPr>
                <w:rFonts w:ascii="Times New Roman" w:eastAsia="SimSun" w:hAnsi="Times New Roman" w:cs="Times New Roman"/>
                <w:b/>
                <w:bCs/>
                <w:sz w:val="24"/>
                <w:szCs w:val="24"/>
                <w:lang w:eastAsia="zh-CN"/>
              </w:rPr>
            </w:pPr>
            <w:r w:rsidRPr="00C33495">
              <w:rPr>
                <w:rFonts w:ascii="Times New Roman" w:eastAsia="SimSun" w:hAnsi="Times New Roman" w:cs="Times New Roman"/>
                <w:b/>
                <w:bCs/>
                <w:sz w:val="24"/>
                <w:szCs w:val="24"/>
                <w:lang w:eastAsia="zh-CN"/>
              </w:rPr>
              <w:lastRenderedPageBreak/>
              <w:t>TABLE 1 Descriptive statistics.</w:t>
            </w:r>
          </w:p>
        </w:tc>
      </w:tr>
      <w:tr w:rsidR="00C33495" w:rsidRPr="00C33495" w14:paraId="46CABA24" w14:textId="77777777" w:rsidTr="00C33495">
        <w:trPr>
          <w:trHeight w:val="314"/>
          <w:jc w:val="center"/>
        </w:trPr>
        <w:tc>
          <w:tcPr>
            <w:tcW w:w="9544" w:type="dxa"/>
            <w:gridSpan w:val="8"/>
            <w:tcBorders>
              <w:bottom w:val="single" w:sz="4" w:space="0" w:color="auto"/>
            </w:tcBorders>
            <w:shd w:val="clear" w:color="auto" w:fill="F2F2F2"/>
            <w:vAlign w:val="center"/>
          </w:tcPr>
          <w:p w14:paraId="30945D44" w14:textId="77777777" w:rsidR="00C33495" w:rsidRPr="00C33495" w:rsidRDefault="00C33495" w:rsidP="00C33495">
            <w:pPr>
              <w:numPr>
                <w:ilvl w:val="0"/>
                <w:numId w:val="2"/>
              </w:numPr>
              <w:spacing w:before="100" w:beforeAutospacing="1" w:after="0" w:line="273" w:lineRule="auto"/>
              <w:contextualSpacing/>
              <w:rPr>
                <w:rFonts w:ascii="Times New Roman" w:eastAsia="SimSun" w:hAnsi="Times New Roman" w:cs="Times New Roman"/>
                <w:b/>
                <w:bCs/>
                <w:sz w:val="24"/>
                <w:szCs w:val="24"/>
                <w:lang w:eastAsia="zh-CN"/>
              </w:rPr>
            </w:pPr>
            <w:r w:rsidRPr="00C33495">
              <w:rPr>
                <w:rFonts w:ascii="Times New Roman" w:eastAsia="SimSun" w:hAnsi="Times New Roman" w:cs="Times New Roman"/>
                <w:b/>
                <w:bCs/>
                <w:sz w:val="24"/>
                <w:szCs w:val="24"/>
                <w:lang w:eastAsia="zh-CN"/>
              </w:rPr>
              <w:t xml:space="preserve">            (2)</w:t>
            </w:r>
            <w:r w:rsidRPr="00C33495">
              <w:rPr>
                <w:rFonts w:ascii="Times New Roman" w:eastAsia="SimSun" w:hAnsi="Times New Roman" w:cs="Times New Roman"/>
                <w:b/>
                <w:bCs/>
                <w:sz w:val="24"/>
                <w:szCs w:val="24"/>
                <w:lang w:eastAsia="zh-CN"/>
              </w:rPr>
              <w:tab/>
              <w:t xml:space="preserve">        </w:t>
            </w:r>
            <w:proofErr w:type="gramStart"/>
            <w:r w:rsidRPr="00C33495">
              <w:rPr>
                <w:rFonts w:ascii="Times New Roman" w:eastAsia="SimSun" w:hAnsi="Times New Roman" w:cs="Times New Roman"/>
                <w:b/>
                <w:bCs/>
                <w:sz w:val="24"/>
                <w:szCs w:val="24"/>
                <w:lang w:eastAsia="zh-CN"/>
              </w:rPr>
              <w:t xml:space="preserve">   (</w:t>
            </w:r>
            <w:proofErr w:type="gramEnd"/>
            <w:r w:rsidRPr="00C33495">
              <w:rPr>
                <w:rFonts w:ascii="Times New Roman" w:eastAsia="SimSun" w:hAnsi="Times New Roman" w:cs="Times New Roman"/>
                <w:b/>
                <w:bCs/>
                <w:sz w:val="24"/>
                <w:szCs w:val="24"/>
                <w:lang w:eastAsia="zh-CN"/>
              </w:rPr>
              <w:t xml:space="preserve">3)  </w:t>
            </w:r>
            <w:r w:rsidRPr="00C33495">
              <w:rPr>
                <w:rFonts w:ascii="Times New Roman" w:eastAsia="SimSun" w:hAnsi="Times New Roman" w:cs="Times New Roman"/>
                <w:b/>
                <w:bCs/>
                <w:sz w:val="24"/>
                <w:szCs w:val="24"/>
                <w:lang w:eastAsia="zh-CN"/>
              </w:rPr>
              <w:tab/>
              <w:t xml:space="preserve">     (4)</w:t>
            </w:r>
            <w:r w:rsidRPr="00C33495">
              <w:rPr>
                <w:rFonts w:ascii="Times New Roman" w:eastAsia="SimSun" w:hAnsi="Times New Roman" w:cs="Times New Roman"/>
                <w:b/>
                <w:bCs/>
                <w:sz w:val="24"/>
                <w:szCs w:val="24"/>
                <w:lang w:eastAsia="zh-CN"/>
              </w:rPr>
              <w:tab/>
              <w:t xml:space="preserve">            (5)                (6)</w:t>
            </w:r>
            <w:r w:rsidRPr="00C33495">
              <w:rPr>
                <w:rFonts w:ascii="Times New Roman" w:eastAsia="SimSun" w:hAnsi="Times New Roman" w:cs="Times New Roman"/>
                <w:b/>
                <w:bCs/>
                <w:sz w:val="24"/>
                <w:szCs w:val="24"/>
                <w:lang w:eastAsia="zh-CN"/>
              </w:rPr>
              <w:tab/>
              <w:t xml:space="preserve">  (7)</w:t>
            </w:r>
          </w:p>
        </w:tc>
      </w:tr>
      <w:tr w:rsidR="00C33495" w:rsidRPr="00C33495" w14:paraId="2DB90B14" w14:textId="77777777" w:rsidTr="00C33495">
        <w:trPr>
          <w:trHeight w:val="314"/>
          <w:jc w:val="center"/>
        </w:trPr>
        <w:tc>
          <w:tcPr>
            <w:tcW w:w="9544" w:type="dxa"/>
            <w:gridSpan w:val="8"/>
            <w:tcBorders>
              <w:bottom w:val="single" w:sz="4" w:space="0" w:color="auto"/>
            </w:tcBorders>
            <w:shd w:val="clear" w:color="auto" w:fill="F2F2F2"/>
            <w:vAlign w:val="center"/>
          </w:tcPr>
          <w:p w14:paraId="6A53D902" w14:textId="77777777" w:rsidR="00C33495" w:rsidRPr="00C33495" w:rsidRDefault="00C33495" w:rsidP="00C33495">
            <w:pPr>
              <w:spacing w:before="100" w:beforeAutospacing="1" w:after="0" w:line="273" w:lineRule="auto"/>
              <w:rPr>
                <w:rFonts w:ascii="Times New Roman" w:eastAsia="SimSun" w:hAnsi="Times New Roman" w:cs="Times New Roman"/>
                <w:b/>
                <w:bCs/>
                <w:sz w:val="24"/>
                <w:szCs w:val="24"/>
                <w:lang w:eastAsia="zh-CN"/>
              </w:rPr>
            </w:pPr>
            <w:r w:rsidRPr="00C33495">
              <w:rPr>
                <w:rFonts w:ascii="Times New Roman" w:eastAsia="SimSun" w:hAnsi="Times New Roman" w:cs="Times New Roman"/>
                <w:b/>
                <w:bCs/>
                <w:sz w:val="24"/>
                <w:szCs w:val="24"/>
                <w:lang w:eastAsia="zh-CN"/>
              </w:rPr>
              <w:t xml:space="preserve">                                Mean       Std. dev.      Min           p25</w:t>
            </w:r>
            <w:r w:rsidRPr="00C33495">
              <w:rPr>
                <w:rFonts w:ascii="Times New Roman" w:eastAsia="SimSun" w:hAnsi="Times New Roman" w:cs="Times New Roman"/>
                <w:b/>
                <w:kern w:val="2"/>
                <w:lang w:eastAsia="zh-CN"/>
              </w:rPr>
              <w:t xml:space="preserve">              </w:t>
            </w:r>
            <w:proofErr w:type="spellStart"/>
            <w:r w:rsidRPr="00C33495">
              <w:rPr>
                <w:rFonts w:ascii="Times New Roman" w:eastAsia="SimSun" w:hAnsi="Times New Roman" w:cs="Times New Roman"/>
                <w:b/>
                <w:bCs/>
                <w:sz w:val="24"/>
                <w:szCs w:val="24"/>
                <w:lang w:eastAsia="zh-CN"/>
              </w:rPr>
              <w:t>Mdn</w:t>
            </w:r>
            <w:proofErr w:type="spellEnd"/>
            <w:r w:rsidRPr="00C33495">
              <w:rPr>
                <w:rFonts w:ascii="Times New Roman" w:eastAsia="SimSun" w:hAnsi="Times New Roman" w:cs="Times New Roman"/>
                <w:b/>
                <w:kern w:val="2"/>
                <w:lang w:eastAsia="zh-CN"/>
              </w:rPr>
              <w:t xml:space="preserve">              p75</w:t>
            </w:r>
            <w:r w:rsidRPr="00C33495">
              <w:rPr>
                <w:rFonts w:ascii="Calibri" w:eastAsia="SimSun" w:hAnsi="Calibri" w:cs="Arial"/>
                <w:lang w:eastAsia="zh-CN"/>
              </w:rPr>
              <w:t xml:space="preserve">              </w:t>
            </w:r>
            <w:r w:rsidRPr="00C33495">
              <w:rPr>
                <w:rFonts w:ascii="Times New Roman" w:eastAsia="SimSun" w:hAnsi="Times New Roman" w:cs="Times New Roman"/>
                <w:b/>
                <w:kern w:val="2"/>
                <w:lang w:eastAsia="zh-CN"/>
              </w:rPr>
              <w:t>max</w:t>
            </w:r>
          </w:p>
        </w:tc>
      </w:tr>
      <w:tr w:rsidR="00C33495" w:rsidRPr="00C33495" w14:paraId="62EADBCB" w14:textId="77777777" w:rsidTr="00617949">
        <w:trPr>
          <w:trHeight w:val="280"/>
          <w:jc w:val="center"/>
        </w:trPr>
        <w:tc>
          <w:tcPr>
            <w:tcW w:w="1532" w:type="dxa"/>
            <w:tcBorders>
              <w:left w:val="single" w:sz="4" w:space="0" w:color="auto"/>
              <w:right w:val="single" w:sz="4" w:space="0" w:color="auto"/>
            </w:tcBorders>
            <w:vAlign w:val="center"/>
          </w:tcPr>
          <w:p w14:paraId="2EEAC094" w14:textId="77777777" w:rsidR="00C33495" w:rsidRPr="00C33495" w:rsidRDefault="00C33495" w:rsidP="00C33495">
            <w:pPr>
              <w:spacing w:before="100" w:beforeAutospacing="1" w:after="0" w:line="480" w:lineRule="auto"/>
              <w:jc w:val="center"/>
              <w:rPr>
                <w:rFonts w:ascii="Times New Roman" w:eastAsia="SimSun" w:hAnsi="Times New Roman" w:cs="Times New Roman"/>
                <w:b/>
                <w:i/>
                <w:iCs/>
                <w:sz w:val="20"/>
                <w:szCs w:val="20"/>
                <w:lang w:eastAsia="zh-CN"/>
              </w:rPr>
            </w:pPr>
            <w:r w:rsidRPr="00C33495">
              <w:rPr>
                <w:rFonts w:ascii="Times New Roman" w:eastAsia="SimSun" w:hAnsi="Times New Roman" w:cs="Times New Roman"/>
                <w:b/>
                <w:i/>
                <w:iCs/>
                <w:sz w:val="20"/>
                <w:szCs w:val="20"/>
                <w:lang w:eastAsia="zh-CN"/>
              </w:rPr>
              <w:t>ESG</w:t>
            </w:r>
          </w:p>
        </w:tc>
        <w:tc>
          <w:tcPr>
            <w:tcW w:w="1351" w:type="dxa"/>
            <w:tcBorders>
              <w:top w:val="single" w:sz="4" w:space="0" w:color="auto"/>
              <w:left w:val="single" w:sz="4" w:space="0" w:color="auto"/>
            </w:tcBorders>
            <w:vAlign w:val="center"/>
          </w:tcPr>
          <w:p w14:paraId="7EEABE16"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28.03</w:t>
            </w:r>
          </w:p>
        </w:tc>
        <w:tc>
          <w:tcPr>
            <w:tcW w:w="1090" w:type="dxa"/>
            <w:tcBorders>
              <w:top w:val="single" w:sz="4" w:space="0" w:color="auto"/>
            </w:tcBorders>
          </w:tcPr>
          <w:p w14:paraId="0E8B4768" w14:textId="77777777" w:rsidR="00C33495" w:rsidRPr="00C33495" w:rsidRDefault="00C33495" w:rsidP="00C33495">
            <w:pPr>
              <w:spacing w:before="100" w:beforeAutospacing="1" w:after="0" w:line="273"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10.23</w:t>
            </w:r>
          </w:p>
        </w:tc>
        <w:tc>
          <w:tcPr>
            <w:tcW w:w="1090" w:type="dxa"/>
            <w:tcBorders>
              <w:top w:val="single" w:sz="4" w:space="0" w:color="auto"/>
            </w:tcBorders>
            <w:vAlign w:val="center"/>
          </w:tcPr>
          <w:p w14:paraId="103F2C89"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6.19</w:t>
            </w:r>
          </w:p>
        </w:tc>
        <w:tc>
          <w:tcPr>
            <w:tcW w:w="1061" w:type="dxa"/>
            <w:tcBorders>
              <w:top w:val="single" w:sz="4" w:space="0" w:color="auto"/>
            </w:tcBorders>
            <w:vAlign w:val="center"/>
          </w:tcPr>
          <w:p w14:paraId="629C4FBF"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20.14</w:t>
            </w:r>
          </w:p>
        </w:tc>
        <w:tc>
          <w:tcPr>
            <w:tcW w:w="1260" w:type="dxa"/>
            <w:tcBorders>
              <w:top w:val="single" w:sz="4" w:space="0" w:color="auto"/>
            </w:tcBorders>
            <w:vAlign w:val="center"/>
          </w:tcPr>
          <w:p w14:paraId="21AC3345"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27.42</w:t>
            </w:r>
          </w:p>
        </w:tc>
        <w:tc>
          <w:tcPr>
            <w:tcW w:w="1170" w:type="dxa"/>
            <w:tcBorders>
              <w:top w:val="single" w:sz="4" w:space="0" w:color="auto"/>
            </w:tcBorders>
            <w:vAlign w:val="center"/>
          </w:tcPr>
          <w:p w14:paraId="6637B295"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33.06</w:t>
            </w:r>
          </w:p>
        </w:tc>
        <w:tc>
          <w:tcPr>
            <w:tcW w:w="990" w:type="dxa"/>
            <w:tcBorders>
              <w:top w:val="single" w:sz="4" w:space="0" w:color="auto"/>
              <w:right w:val="single" w:sz="4" w:space="0" w:color="auto"/>
            </w:tcBorders>
            <w:vAlign w:val="center"/>
          </w:tcPr>
          <w:p w14:paraId="01CAFA24"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71.18</w:t>
            </w:r>
          </w:p>
        </w:tc>
      </w:tr>
      <w:tr w:rsidR="00C33495" w:rsidRPr="00C33495" w14:paraId="7E5EF17D" w14:textId="77777777" w:rsidTr="00617949">
        <w:trPr>
          <w:trHeight w:val="280"/>
          <w:jc w:val="center"/>
        </w:trPr>
        <w:tc>
          <w:tcPr>
            <w:tcW w:w="1532" w:type="dxa"/>
            <w:tcBorders>
              <w:left w:val="single" w:sz="4" w:space="0" w:color="auto"/>
              <w:right w:val="single" w:sz="4" w:space="0" w:color="auto"/>
            </w:tcBorders>
            <w:vAlign w:val="center"/>
          </w:tcPr>
          <w:p w14:paraId="66FED4BC" w14:textId="77777777" w:rsidR="00C33495" w:rsidRPr="00C33495" w:rsidRDefault="00C33495" w:rsidP="00C33495">
            <w:pPr>
              <w:spacing w:before="100" w:beforeAutospacing="1" w:after="0" w:line="480" w:lineRule="auto"/>
              <w:jc w:val="center"/>
              <w:rPr>
                <w:rFonts w:ascii="Times New Roman" w:eastAsia="SimSun" w:hAnsi="Times New Roman" w:cs="Times New Roman"/>
                <w:b/>
                <w:i/>
                <w:iCs/>
                <w:sz w:val="20"/>
                <w:szCs w:val="20"/>
                <w:lang w:eastAsia="zh-CN"/>
              </w:rPr>
            </w:pPr>
            <w:r w:rsidRPr="00C33495">
              <w:rPr>
                <w:rFonts w:ascii="Times New Roman" w:eastAsia="SimSun" w:hAnsi="Times New Roman" w:cs="Times New Roman"/>
                <w:b/>
                <w:i/>
                <w:iCs/>
                <w:sz w:val="20"/>
                <w:szCs w:val="20"/>
                <w:lang w:eastAsia="zh-CN"/>
              </w:rPr>
              <w:t>OC</w:t>
            </w:r>
          </w:p>
        </w:tc>
        <w:tc>
          <w:tcPr>
            <w:tcW w:w="1351" w:type="dxa"/>
            <w:tcBorders>
              <w:left w:val="single" w:sz="4" w:space="0" w:color="auto"/>
            </w:tcBorders>
            <w:vAlign w:val="center"/>
          </w:tcPr>
          <w:p w14:paraId="593426E8"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0.65</w:t>
            </w:r>
          </w:p>
        </w:tc>
        <w:tc>
          <w:tcPr>
            <w:tcW w:w="1090" w:type="dxa"/>
            <w:vAlign w:val="center"/>
          </w:tcPr>
          <w:p w14:paraId="40C580BA"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0.16</w:t>
            </w:r>
          </w:p>
        </w:tc>
        <w:tc>
          <w:tcPr>
            <w:tcW w:w="1090" w:type="dxa"/>
          </w:tcPr>
          <w:p w14:paraId="73E82F5E"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0.01</w:t>
            </w:r>
          </w:p>
        </w:tc>
        <w:tc>
          <w:tcPr>
            <w:tcW w:w="1061" w:type="dxa"/>
          </w:tcPr>
          <w:p w14:paraId="2D6E1426"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0 .60</w:t>
            </w:r>
          </w:p>
        </w:tc>
        <w:tc>
          <w:tcPr>
            <w:tcW w:w="1260" w:type="dxa"/>
          </w:tcPr>
          <w:p w14:paraId="7307B7F7"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0 .64</w:t>
            </w:r>
          </w:p>
        </w:tc>
        <w:tc>
          <w:tcPr>
            <w:tcW w:w="1170" w:type="dxa"/>
            <w:vAlign w:val="center"/>
          </w:tcPr>
          <w:p w14:paraId="0A29677C"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i/>
                <w:iCs/>
                <w:kern w:val="2"/>
                <w:lang w:eastAsia="zh-CN"/>
              </w:rPr>
              <w:t>0 .71</w:t>
            </w:r>
          </w:p>
        </w:tc>
        <w:tc>
          <w:tcPr>
            <w:tcW w:w="990" w:type="dxa"/>
            <w:tcBorders>
              <w:right w:val="single" w:sz="4" w:space="0" w:color="auto"/>
            </w:tcBorders>
            <w:vAlign w:val="center"/>
          </w:tcPr>
          <w:p w14:paraId="7173B11F"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1.00</w:t>
            </w:r>
          </w:p>
        </w:tc>
      </w:tr>
      <w:tr w:rsidR="00C33495" w:rsidRPr="00C33495" w14:paraId="1DB4E103" w14:textId="77777777" w:rsidTr="00617949">
        <w:trPr>
          <w:trHeight w:val="280"/>
          <w:jc w:val="center"/>
        </w:trPr>
        <w:tc>
          <w:tcPr>
            <w:tcW w:w="1532" w:type="dxa"/>
            <w:tcBorders>
              <w:left w:val="single" w:sz="4" w:space="0" w:color="auto"/>
              <w:right w:val="single" w:sz="4" w:space="0" w:color="auto"/>
            </w:tcBorders>
            <w:vAlign w:val="center"/>
          </w:tcPr>
          <w:p w14:paraId="1B6332BC" w14:textId="77777777" w:rsidR="00C33495" w:rsidRPr="00C33495" w:rsidRDefault="00C33495" w:rsidP="00C33495">
            <w:pPr>
              <w:spacing w:before="100" w:beforeAutospacing="1" w:after="0" w:line="480" w:lineRule="auto"/>
              <w:jc w:val="center"/>
              <w:rPr>
                <w:rFonts w:ascii="Times New Roman" w:eastAsia="SimSun" w:hAnsi="Times New Roman" w:cs="Times New Roman"/>
                <w:b/>
                <w:i/>
                <w:iCs/>
                <w:sz w:val="20"/>
                <w:szCs w:val="20"/>
                <w:lang w:eastAsia="zh-CN"/>
              </w:rPr>
            </w:pPr>
            <w:r w:rsidRPr="00C33495">
              <w:rPr>
                <w:rFonts w:ascii="Times New Roman" w:eastAsia="SimSun" w:hAnsi="Times New Roman" w:cs="Times New Roman"/>
                <w:b/>
                <w:i/>
                <w:iCs/>
                <w:sz w:val="20"/>
                <w:szCs w:val="20"/>
                <w:lang w:eastAsia="zh-CN"/>
              </w:rPr>
              <w:t>Size</w:t>
            </w:r>
          </w:p>
        </w:tc>
        <w:tc>
          <w:tcPr>
            <w:tcW w:w="1351" w:type="dxa"/>
            <w:tcBorders>
              <w:left w:val="single" w:sz="4" w:space="0" w:color="auto"/>
            </w:tcBorders>
            <w:vAlign w:val="center"/>
          </w:tcPr>
          <w:p w14:paraId="479E268C"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22.04</w:t>
            </w:r>
          </w:p>
        </w:tc>
        <w:tc>
          <w:tcPr>
            <w:tcW w:w="1090" w:type="dxa"/>
            <w:vAlign w:val="center"/>
          </w:tcPr>
          <w:p w14:paraId="193990F1"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1.51</w:t>
            </w:r>
          </w:p>
        </w:tc>
        <w:tc>
          <w:tcPr>
            <w:tcW w:w="1090" w:type="dxa"/>
            <w:vAlign w:val="center"/>
          </w:tcPr>
          <w:p w14:paraId="507A3D59"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lang w:eastAsia="zh-CN"/>
              </w:rPr>
            </w:pPr>
            <w:r w:rsidRPr="00C33495">
              <w:rPr>
                <w:rFonts w:ascii="Times New Roman" w:eastAsia="SimSun" w:hAnsi="Times New Roman" w:cs="Times New Roman"/>
                <w:i/>
                <w:iCs/>
                <w:lang w:eastAsia="zh-CN"/>
              </w:rPr>
              <w:t>10.84</w:t>
            </w:r>
          </w:p>
        </w:tc>
        <w:tc>
          <w:tcPr>
            <w:tcW w:w="1061" w:type="dxa"/>
            <w:vAlign w:val="center"/>
          </w:tcPr>
          <w:p w14:paraId="7C906A54"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21.03</w:t>
            </w:r>
          </w:p>
        </w:tc>
        <w:tc>
          <w:tcPr>
            <w:tcW w:w="1260" w:type="dxa"/>
            <w:vAlign w:val="center"/>
          </w:tcPr>
          <w:p w14:paraId="4B4C010A"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21.80</w:t>
            </w:r>
          </w:p>
        </w:tc>
        <w:tc>
          <w:tcPr>
            <w:tcW w:w="1170" w:type="dxa"/>
            <w:vAlign w:val="center"/>
          </w:tcPr>
          <w:p w14:paraId="3DD0C575"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22.75</w:t>
            </w:r>
          </w:p>
        </w:tc>
        <w:tc>
          <w:tcPr>
            <w:tcW w:w="990" w:type="dxa"/>
            <w:tcBorders>
              <w:right w:val="single" w:sz="4" w:space="0" w:color="auto"/>
            </w:tcBorders>
            <w:vAlign w:val="center"/>
          </w:tcPr>
          <w:p w14:paraId="0D33F7C4"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31.43</w:t>
            </w:r>
          </w:p>
        </w:tc>
      </w:tr>
      <w:tr w:rsidR="00C33495" w:rsidRPr="00C33495" w14:paraId="0404255F" w14:textId="77777777" w:rsidTr="00617949">
        <w:trPr>
          <w:trHeight w:val="280"/>
          <w:jc w:val="center"/>
        </w:trPr>
        <w:tc>
          <w:tcPr>
            <w:tcW w:w="1532" w:type="dxa"/>
            <w:tcBorders>
              <w:left w:val="single" w:sz="4" w:space="0" w:color="auto"/>
              <w:right w:val="single" w:sz="4" w:space="0" w:color="auto"/>
            </w:tcBorders>
            <w:vAlign w:val="center"/>
          </w:tcPr>
          <w:p w14:paraId="3F28FC84" w14:textId="77777777" w:rsidR="00C33495" w:rsidRPr="00C33495" w:rsidRDefault="00C33495" w:rsidP="00C33495">
            <w:pPr>
              <w:spacing w:before="100" w:beforeAutospacing="1" w:after="0" w:line="480" w:lineRule="auto"/>
              <w:jc w:val="center"/>
              <w:rPr>
                <w:rFonts w:ascii="Times New Roman" w:eastAsia="SimSun" w:hAnsi="Times New Roman" w:cs="Times New Roman"/>
                <w:b/>
                <w:i/>
                <w:iCs/>
                <w:sz w:val="20"/>
                <w:szCs w:val="20"/>
                <w:lang w:eastAsia="zh-CN"/>
              </w:rPr>
            </w:pPr>
            <w:r w:rsidRPr="00C33495">
              <w:rPr>
                <w:rFonts w:ascii="Times New Roman" w:eastAsia="SimSun" w:hAnsi="Times New Roman" w:cs="Times New Roman"/>
                <w:b/>
                <w:i/>
                <w:iCs/>
                <w:sz w:val="20"/>
                <w:szCs w:val="20"/>
                <w:lang w:eastAsia="zh-CN"/>
              </w:rPr>
              <w:t>Leverage</w:t>
            </w:r>
          </w:p>
        </w:tc>
        <w:tc>
          <w:tcPr>
            <w:tcW w:w="1351" w:type="dxa"/>
            <w:tcBorders>
              <w:left w:val="single" w:sz="4" w:space="0" w:color="auto"/>
            </w:tcBorders>
            <w:vAlign w:val="center"/>
          </w:tcPr>
          <w:p w14:paraId="226C3849"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0.49</w:t>
            </w:r>
          </w:p>
        </w:tc>
        <w:tc>
          <w:tcPr>
            <w:tcW w:w="1090" w:type="dxa"/>
            <w:vAlign w:val="center"/>
          </w:tcPr>
          <w:p w14:paraId="2CB80450"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3.93</w:t>
            </w:r>
          </w:p>
        </w:tc>
        <w:tc>
          <w:tcPr>
            <w:tcW w:w="1090" w:type="dxa"/>
            <w:vAlign w:val="center"/>
          </w:tcPr>
          <w:p w14:paraId="2A8A48F4"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lang w:eastAsia="zh-CN"/>
              </w:rPr>
            </w:pPr>
            <w:r w:rsidRPr="00C33495">
              <w:rPr>
                <w:rFonts w:ascii="Times New Roman" w:eastAsia="SimSun" w:hAnsi="Times New Roman" w:cs="Times New Roman"/>
                <w:i/>
                <w:iCs/>
                <w:lang w:eastAsia="zh-CN"/>
              </w:rPr>
              <w:t>-0.19</w:t>
            </w:r>
          </w:p>
        </w:tc>
        <w:tc>
          <w:tcPr>
            <w:tcW w:w="1061" w:type="dxa"/>
            <w:vAlign w:val="center"/>
          </w:tcPr>
          <w:p w14:paraId="161D94F5"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0.26</w:t>
            </w:r>
          </w:p>
        </w:tc>
        <w:tc>
          <w:tcPr>
            <w:tcW w:w="1260" w:type="dxa"/>
            <w:vAlign w:val="center"/>
          </w:tcPr>
          <w:p w14:paraId="07E82617"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0.49</w:t>
            </w:r>
          </w:p>
        </w:tc>
        <w:tc>
          <w:tcPr>
            <w:tcW w:w="1170" w:type="dxa"/>
            <w:vAlign w:val="center"/>
          </w:tcPr>
          <w:p w14:paraId="700A04D6"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0.63</w:t>
            </w:r>
          </w:p>
        </w:tc>
        <w:tc>
          <w:tcPr>
            <w:tcW w:w="990" w:type="dxa"/>
            <w:tcBorders>
              <w:right w:val="single" w:sz="4" w:space="0" w:color="auto"/>
            </w:tcBorders>
            <w:vAlign w:val="center"/>
          </w:tcPr>
          <w:p w14:paraId="4B6886B2"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87.25</w:t>
            </w:r>
          </w:p>
        </w:tc>
      </w:tr>
      <w:tr w:rsidR="00C33495" w:rsidRPr="00C33495" w14:paraId="39D7EEDF" w14:textId="77777777" w:rsidTr="00617949">
        <w:trPr>
          <w:trHeight w:val="280"/>
          <w:jc w:val="center"/>
        </w:trPr>
        <w:tc>
          <w:tcPr>
            <w:tcW w:w="1532" w:type="dxa"/>
            <w:tcBorders>
              <w:left w:val="single" w:sz="4" w:space="0" w:color="auto"/>
              <w:right w:val="single" w:sz="4" w:space="0" w:color="auto"/>
            </w:tcBorders>
            <w:vAlign w:val="center"/>
          </w:tcPr>
          <w:p w14:paraId="2E1A64A9" w14:textId="77777777" w:rsidR="00C33495" w:rsidRPr="00C33495" w:rsidRDefault="00C33495" w:rsidP="00C33495">
            <w:pPr>
              <w:spacing w:before="100" w:beforeAutospacing="1" w:after="0" w:line="480" w:lineRule="auto"/>
              <w:jc w:val="center"/>
              <w:rPr>
                <w:rFonts w:ascii="Times New Roman" w:eastAsia="SimSun" w:hAnsi="Times New Roman" w:cs="Times New Roman"/>
                <w:b/>
                <w:i/>
                <w:iCs/>
                <w:sz w:val="20"/>
                <w:szCs w:val="20"/>
                <w:lang w:eastAsia="zh-CN"/>
              </w:rPr>
            </w:pPr>
            <w:r w:rsidRPr="00C33495">
              <w:rPr>
                <w:rFonts w:ascii="Times New Roman" w:eastAsia="SimSun" w:hAnsi="Times New Roman" w:cs="Times New Roman"/>
                <w:b/>
                <w:i/>
                <w:iCs/>
                <w:sz w:val="20"/>
                <w:szCs w:val="20"/>
                <w:lang w:eastAsia="zh-CN"/>
              </w:rPr>
              <w:t>ROA</w:t>
            </w:r>
          </w:p>
        </w:tc>
        <w:tc>
          <w:tcPr>
            <w:tcW w:w="1351" w:type="dxa"/>
            <w:tcBorders>
              <w:left w:val="single" w:sz="4" w:space="0" w:color="auto"/>
            </w:tcBorders>
            <w:vAlign w:val="center"/>
          </w:tcPr>
          <w:p w14:paraId="4594753F"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0.03</w:t>
            </w:r>
          </w:p>
        </w:tc>
        <w:tc>
          <w:tcPr>
            <w:tcW w:w="1090" w:type="dxa"/>
            <w:vAlign w:val="center"/>
          </w:tcPr>
          <w:p w14:paraId="6B62C129"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0.41</w:t>
            </w:r>
          </w:p>
        </w:tc>
        <w:tc>
          <w:tcPr>
            <w:tcW w:w="1090" w:type="dxa"/>
            <w:vAlign w:val="center"/>
          </w:tcPr>
          <w:p w14:paraId="4699227A"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lang w:eastAsia="zh-CN"/>
              </w:rPr>
            </w:pPr>
            <w:r w:rsidRPr="00C33495">
              <w:rPr>
                <w:rFonts w:ascii="Times New Roman" w:eastAsia="SimSun" w:hAnsi="Times New Roman" w:cs="Times New Roman"/>
                <w:i/>
                <w:iCs/>
                <w:lang w:eastAsia="zh-CN"/>
              </w:rPr>
              <w:t>-64.81</w:t>
            </w:r>
          </w:p>
        </w:tc>
        <w:tc>
          <w:tcPr>
            <w:tcW w:w="1061" w:type="dxa"/>
            <w:vAlign w:val="center"/>
          </w:tcPr>
          <w:p w14:paraId="7BCC8167"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0.01</w:t>
            </w:r>
          </w:p>
        </w:tc>
        <w:tc>
          <w:tcPr>
            <w:tcW w:w="1260" w:type="dxa"/>
            <w:vAlign w:val="center"/>
          </w:tcPr>
          <w:p w14:paraId="6F8D3983"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0.03</w:t>
            </w:r>
          </w:p>
        </w:tc>
        <w:tc>
          <w:tcPr>
            <w:tcW w:w="1170" w:type="dxa"/>
            <w:vAlign w:val="center"/>
          </w:tcPr>
          <w:p w14:paraId="17E4426A"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0.08</w:t>
            </w:r>
          </w:p>
        </w:tc>
        <w:tc>
          <w:tcPr>
            <w:tcW w:w="990" w:type="dxa"/>
            <w:tcBorders>
              <w:right w:val="single" w:sz="4" w:space="0" w:color="auto"/>
            </w:tcBorders>
            <w:vAlign w:val="center"/>
          </w:tcPr>
          <w:p w14:paraId="2AD49EAC"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64.75</w:t>
            </w:r>
          </w:p>
        </w:tc>
      </w:tr>
      <w:tr w:rsidR="00C33495" w:rsidRPr="00C33495" w14:paraId="576EB28C" w14:textId="77777777" w:rsidTr="00617949">
        <w:trPr>
          <w:trHeight w:val="280"/>
          <w:jc w:val="center"/>
        </w:trPr>
        <w:tc>
          <w:tcPr>
            <w:tcW w:w="1532" w:type="dxa"/>
            <w:tcBorders>
              <w:left w:val="single" w:sz="4" w:space="0" w:color="auto"/>
              <w:right w:val="single" w:sz="4" w:space="0" w:color="auto"/>
            </w:tcBorders>
            <w:vAlign w:val="center"/>
          </w:tcPr>
          <w:p w14:paraId="2BF3B84E" w14:textId="77777777" w:rsidR="00C33495" w:rsidRPr="00C33495" w:rsidRDefault="00C33495" w:rsidP="00C33495">
            <w:pPr>
              <w:spacing w:before="100" w:beforeAutospacing="1" w:after="0" w:line="480" w:lineRule="auto"/>
              <w:jc w:val="center"/>
              <w:rPr>
                <w:rFonts w:ascii="Times New Roman" w:eastAsia="SimSun" w:hAnsi="Times New Roman" w:cs="Times New Roman"/>
                <w:b/>
                <w:i/>
                <w:iCs/>
                <w:sz w:val="20"/>
                <w:szCs w:val="20"/>
                <w:lang w:eastAsia="zh-CN"/>
              </w:rPr>
            </w:pPr>
            <w:r w:rsidRPr="00C33495">
              <w:rPr>
                <w:rFonts w:ascii="Times New Roman" w:eastAsia="SimSun" w:hAnsi="Times New Roman" w:cs="Times New Roman"/>
                <w:b/>
                <w:i/>
                <w:iCs/>
                <w:sz w:val="20"/>
                <w:szCs w:val="20"/>
                <w:lang w:eastAsia="zh-CN"/>
              </w:rPr>
              <w:t>Growth</w:t>
            </w:r>
          </w:p>
        </w:tc>
        <w:tc>
          <w:tcPr>
            <w:tcW w:w="1351" w:type="dxa"/>
            <w:tcBorders>
              <w:left w:val="single" w:sz="4" w:space="0" w:color="auto"/>
            </w:tcBorders>
            <w:vAlign w:val="center"/>
          </w:tcPr>
          <w:p w14:paraId="3FF25344"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lang w:eastAsia="zh-CN"/>
              </w:rPr>
            </w:pPr>
            <w:r w:rsidRPr="00C33495">
              <w:rPr>
                <w:rFonts w:ascii="Times New Roman" w:eastAsia="SimSun" w:hAnsi="Times New Roman" w:cs="Times New Roman"/>
                <w:i/>
                <w:iCs/>
                <w:lang w:eastAsia="zh-CN"/>
              </w:rPr>
              <w:t>3.14</w:t>
            </w:r>
          </w:p>
        </w:tc>
        <w:tc>
          <w:tcPr>
            <w:tcW w:w="1090" w:type="dxa"/>
            <w:vAlign w:val="center"/>
          </w:tcPr>
          <w:p w14:paraId="4E7123C1"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lang w:eastAsia="zh-CN"/>
              </w:rPr>
            </w:pPr>
            <w:r w:rsidRPr="00C33495">
              <w:rPr>
                <w:rFonts w:ascii="Times New Roman" w:eastAsia="SimSun" w:hAnsi="Times New Roman" w:cs="Times New Roman"/>
                <w:i/>
                <w:iCs/>
                <w:lang w:eastAsia="zh-CN"/>
              </w:rPr>
              <w:t>2.88</w:t>
            </w:r>
          </w:p>
        </w:tc>
        <w:tc>
          <w:tcPr>
            <w:tcW w:w="1090" w:type="dxa"/>
            <w:vAlign w:val="center"/>
          </w:tcPr>
          <w:p w14:paraId="65758AF6"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-2.68</w:t>
            </w:r>
          </w:p>
        </w:tc>
        <w:tc>
          <w:tcPr>
            <w:tcW w:w="1061" w:type="dxa"/>
            <w:vAlign w:val="center"/>
          </w:tcPr>
          <w:p w14:paraId="6960F620"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-0.03</w:t>
            </w:r>
          </w:p>
        </w:tc>
        <w:tc>
          <w:tcPr>
            <w:tcW w:w="1260" w:type="dxa"/>
            <w:vAlign w:val="center"/>
          </w:tcPr>
          <w:p w14:paraId="47CF2601"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0.10</w:t>
            </w:r>
          </w:p>
        </w:tc>
        <w:tc>
          <w:tcPr>
            <w:tcW w:w="1170" w:type="dxa"/>
            <w:vAlign w:val="center"/>
          </w:tcPr>
          <w:p w14:paraId="70F1E248"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0.27</w:t>
            </w:r>
          </w:p>
        </w:tc>
        <w:tc>
          <w:tcPr>
            <w:tcW w:w="990" w:type="dxa"/>
            <w:tcBorders>
              <w:right w:val="single" w:sz="4" w:space="0" w:color="auto"/>
            </w:tcBorders>
            <w:vAlign w:val="center"/>
          </w:tcPr>
          <w:p w14:paraId="0A82CFE8"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28.62</w:t>
            </w:r>
          </w:p>
        </w:tc>
      </w:tr>
      <w:tr w:rsidR="00C33495" w:rsidRPr="00C33495" w14:paraId="3FABF6D8" w14:textId="77777777" w:rsidTr="00617949">
        <w:trPr>
          <w:trHeight w:val="280"/>
          <w:jc w:val="center"/>
        </w:trPr>
        <w:tc>
          <w:tcPr>
            <w:tcW w:w="1532" w:type="dxa"/>
            <w:tcBorders>
              <w:left w:val="single" w:sz="4" w:space="0" w:color="auto"/>
              <w:right w:val="single" w:sz="4" w:space="0" w:color="auto"/>
            </w:tcBorders>
            <w:vAlign w:val="center"/>
          </w:tcPr>
          <w:p w14:paraId="4CC498B3" w14:textId="77777777" w:rsidR="00C33495" w:rsidRPr="00C33495" w:rsidRDefault="00C33495" w:rsidP="00C33495">
            <w:pPr>
              <w:spacing w:before="100" w:beforeAutospacing="1" w:after="0" w:line="480" w:lineRule="auto"/>
              <w:jc w:val="center"/>
              <w:rPr>
                <w:rFonts w:ascii="Times New Roman" w:eastAsia="SimSun" w:hAnsi="Times New Roman" w:cs="Times New Roman"/>
                <w:b/>
                <w:i/>
                <w:iCs/>
                <w:sz w:val="20"/>
                <w:szCs w:val="20"/>
                <w:lang w:eastAsia="zh-CN"/>
              </w:rPr>
            </w:pPr>
            <w:proofErr w:type="spellStart"/>
            <w:r w:rsidRPr="00C33495">
              <w:rPr>
                <w:rFonts w:ascii="Times New Roman" w:eastAsia="SimSun" w:hAnsi="Times New Roman" w:cs="Times New Roman"/>
                <w:b/>
                <w:i/>
                <w:iCs/>
                <w:sz w:val="20"/>
                <w:szCs w:val="20"/>
                <w:lang w:eastAsia="zh-CN"/>
              </w:rPr>
              <w:t>TobinQ</w:t>
            </w:r>
            <w:proofErr w:type="spellEnd"/>
          </w:p>
        </w:tc>
        <w:tc>
          <w:tcPr>
            <w:tcW w:w="1351" w:type="dxa"/>
            <w:tcBorders>
              <w:left w:val="single" w:sz="4" w:space="0" w:color="auto"/>
            </w:tcBorders>
            <w:vAlign w:val="center"/>
          </w:tcPr>
          <w:p w14:paraId="2D22DDD3"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0.53</w:t>
            </w:r>
          </w:p>
        </w:tc>
        <w:tc>
          <w:tcPr>
            <w:tcW w:w="1090" w:type="dxa"/>
            <w:vAlign w:val="center"/>
          </w:tcPr>
          <w:p w14:paraId="2DA4B67A"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0.49</w:t>
            </w:r>
          </w:p>
        </w:tc>
        <w:tc>
          <w:tcPr>
            <w:tcW w:w="1090" w:type="dxa"/>
          </w:tcPr>
          <w:p w14:paraId="22F94375"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DengXian" w:hAnsi="Times New Roman" w:cs="Times New Roman"/>
                <w:i/>
                <w:iCs/>
                <w:kern w:val="2"/>
                <w:lang w:eastAsia="zh-CN"/>
              </w:rPr>
              <w:t>-0.49</w:t>
            </w:r>
          </w:p>
        </w:tc>
        <w:tc>
          <w:tcPr>
            <w:tcW w:w="1061" w:type="dxa"/>
          </w:tcPr>
          <w:p w14:paraId="4F9DB0E0"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DengXian" w:hAnsi="Times New Roman" w:cs="Times New Roman"/>
                <w:i/>
                <w:iCs/>
                <w:kern w:val="2"/>
                <w:lang w:eastAsia="zh-CN"/>
              </w:rPr>
              <w:t>1.20</w:t>
            </w:r>
          </w:p>
        </w:tc>
        <w:tc>
          <w:tcPr>
            <w:tcW w:w="1260" w:type="dxa"/>
          </w:tcPr>
          <w:p w14:paraId="6F976540"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1.53</w:t>
            </w:r>
          </w:p>
        </w:tc>
        <w:tc>
          <w:tcPr>
            <w:tcW w:w="1170" w:type="dxa"/>
          </w:tcPr>
          <w:p w14:paraId="1E144D53"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2.16</w:t>
            </w:r>
          </w:p>
        </w:tc>
        <w:tc>
          <w:tcPr>
            <w:tcW w:w="990" w:type="dxa"/>
            <w:tcBorders>
              <w:right w:val="single" w:sz="4" w:space="0" w:color="auto"/>
            </w:tcBorders>
          </w:tcPr>
          <w:p w14:paraId="0BE73369"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9.60</w:t>
            </w:r>
          </w:p>
        </w:tc>
      </w:tr>
      <w:tr w:rsidR="00C33495" w:rsidRPr="00C33495" w14:paraId="33BF47D5" w14:textId="77777777" w:rsidTr="00617949">
        <w:trPr>
          <w:trHeight w:val="280"/>
          <w:jc w:val="center"/>
        </w:trPr>
        <w:tc>
          <w:tcPr>
            <w:tcW w:w="1532" w:type="dxa"/>
            <w:tcBorders>
              <w:left w:val="single" w:sz="4" w:space="0" w:color="auto"/>
              <w:right w:val="single" w:sz="4" w:space="0" w:color="auto"/>
            </w:tcBorders>
            <w:vAlign w:val="center"/>
          </w:tcPr>
          <w:p w14:paraId="4329A30C" w14:textId="77777777" w:rsidR="00C33495" w:rsidRPr="00C33495" w:rsidRDefault="00C33495" w:rsidP="00C33495">
            <w:pPr>
              <w:spacing w:before="100" w:beforeAutospacing="1" w:after="0" w:line="480" w:lineRule="auto"/>
              <w:jc w:val="center"/>
              <w:rPr>
                <w:rFonts w:ascii="Times New Roman" w:eastAsia="SimSun" w:hAnsi="Times New Roman" w:cs="Times New Roman"/>
                <w:b/>
                <w:i/>
                <w:iCs/>
                <w:sz w:val="20"/>
                <w:szCs w:val="20"/>
                <w:lang w:eastAsia="zh-CN"/>
              </w:rPr>
            </w:pPr>
            <w:proofErr w:type="spellStart"/>
            <w:r w:rsidRPr="00C33495">
              <w:rPr>
                <w:rFonts w:ascii="Times New Roman" w:eastAsia="SimSun" w:hAnsi="Times New Roman" w:cs="Times New Roman"/>
                <w:b/>
                <w:i/>
                <w:iCs/>
                <w:sz w:val="20"/>
                <w:szCs w:val="20"/>
                <w:lang w:eastAsia="zh-CN"/>
              </w:rPr>
              <w:t>FirmAge</w:t>
            </w:r>
            <w:proofErr w:type="spellEnd"/>
          </w:p>
        </w:tc>
        <w:tc>
          <w:tcPr>
            <w:tcW w:w="1351" w:type="dxa"/>
            <w:tcBorders>
              <w:left w:val="single" w:sz="4" w:space="0" w:color="auto"/>
            </w:tcBorders>
          </w:tcPr>
          <w:p w14:paraId="2F60D063"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2.79</w:t>
            </w:r>
          </w:p>
        </w:tc>
        <w:tc>
          <w:tcPr>
            <w:tcW w:w="1090" w:type="dxa"/>
          </w:tcPr>
          <w:p w14:paraId="30273551"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0.45</w:t>
            </w:r>
          </w:p>
        </w:tc>
        <w:tc>
          <w:tcPr>
            <w:tcW w:w="1090" w:type="dxa"/>
          </w:tcPr>
          <w:p w14:paraId="6B35259C"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0.00</w:t>
            </w:r>
          </w:p>
        </w:tc>
        <w:tc>
          <w:tcPr>
            <w:tcW w:w="1061" w:type="dxa"/>
          </w:tcPr>
          <w:p w14:paraId="70F0D2EC"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2.56</w:t>
            </w:r>
          </w:p>
        </w:tc>
        <w:tc>
          <w:tcPr>
            <w:tcW w:w="1260" w:type="dxa"/>
          </w:tcPr>
          <w:p w14:paraId="61D88E4F"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2.89</w:t>
            </w:r>
          </w:p>
        </w:tc>
        <w:tc>
          <w:tcPr>
            <w:tcW w:w="1170" w:type="dxa"/>
          </w:tcPr>
          <w:p w14:paraId="4BD8602A"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3.13</w:t>
            </w:r>
          </w:p>
        </w:tc>
        <w:tc>
          <w:tcPr>
            <w:tcW w:w="990" w:type="dxa"/>
            <w:tcBorders>
              <w:right w:val="single" w:sz="4" w:space="0" w:color="auto"/>
            </w:tcBorders>
          </w:tcPr>
          <w:p w14:paraId="46EE0193"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i/>
                <w:iCs/>
                <w:kern w:val="2"/>
                <w:lang w:eastAsia="zh-CN"/>
              </w:rPr>
              <w:t>1.00</w:t>
            </w:r>
          </w:p>
        </w:tc>
      </w:tr>
      <w:tr w:rsidR="00C33495" w:rsidRPr="00C33495" w14:paraId="04CB2FB2" w14:textId="77777777" w:rsidTr="00617949">
        <w:trPr>
          <w:trHeight w:val="280"/>
          <w:jc w:val="center"/>
        </w:trPr>
        <w:tc>
          <w:tcPr>
            <w:tcW w:w="1532" w:type="dxa"/>
            <w:tcBorders>
              <w:left w:val="single" w:sz="4" w:space="0" w:color="auto"/>
              <w:bottom w:val="single" w:sz="4" w:space="0" w:color="auto"/>
              <w:right w:val="single" w:sz="4" w:space="0" w:color="auto"/>
            </w:tcBorders>
            <w:vAlign w:val="center"/>
          </w:tcPr>
          <w:p w14:paraId="4C3391A4" w14:textId="77777777" w:rsidR="00C33495" w:rsidRPr="00C33495" w:rsidRDefault="00C33495" w:rsidP="00C33495">
            <w:pPr>
              <w:spacing w:before="100" w:beforeAutospacing="1" w:after="0" w:line="480" w:lineRule="auto"/>
              <w:jc w:val="center"/>
              <w:rPr>
                <w:rFonts w:ascii="Times New Roman" w:eastAsia="SimSun" w:hAnsi="Times New Roman" w:cs="Times New Roman"/>
                <w:b/>
                <w:i/>
                <w:iCs/>
                <w:sz w:val="20"/>
                <w:szCs w:val="20"/>
                <w:lang w:eastAsia="zh-CN"/>
              </w:rPr>
            </w:pPr>
            <w:proofErr w:type="spellStart"/>
            <w:r w:rsidRPr="00C33495">
              <w:rPr>
                <w:rFonts w:ascii="Times New Roman" w:eastAsia="SimSun" w:hAnsi="Times New Roman" w:cs="Times New Roman"/>
                <w:b/>
                <w:i/>
                <w:iCs/>
                <w:sz w:val="20"/>
                <w:szCs w:val="20"/>
                <w:lang w:eastAsia="zh-CN"/>
              </w:rPr>
              <w:t>AuditFee</w:t>
            </w:r>
            <w:proofErr w:type="spellEnd"/>
          </w:p>
        </w:tc>
        <w:tc>
          <w:tcPr>
            <w:tcW w:w="1351" w:type="dxa"/>
            <w:tcBorders>
              <w:left w:val="single" w:sz="4" w:space="0" w:color="auto"/>
              <w:bottom w:val="single" w:sz="4" w:space="0" w:color="auto"/>
            </w:tcBorders>
          </w:tcPr>
          <w:p w14:paraId="7167238E"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13.72</w:t>
            </w:r>
          </w:p>
        </w:tc>
        <w:tc>
          <w:tcPr>
            <w:tcW w:w="1090" w:type="dxa"/>
            <w:tcBorders>
              <w:bottom w:val="single" w:sz="4" w:space="0" w:color="auto"/>
            </w:tcBorders>
          </w:tcPr>
          <w:p w14:paraId="1CCBFCC5"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0.81</w:t>
            </w:r>
          </w:p>
        </w:tc>
        <w:tc>
          <w:tcPr>
            <w:tcW w:w="1090" w:type="dxa"/>
            <w:tcBorders>
              <w:bottom w:val="single" w:sz="4" w:space="0" w:color="auto"/>
            </w:tcBorders>
          </w:tcPr>
          <w:p w14:paraId="58ACC08C"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10.30</w:t>
            </w:r>
          </w:p>
        </w:tc>
        <w:tc>
          <w:tcPr>
            <w:tcW w:w="1061" w:type="dxa"/>
            <w:tcBorders>
              <w:bottom w:val="single" w:sz="4" w:space="0" w:color="auto"/>
            </w:tcBorders>
          </w:tcPr>
          <w:p w14:paraId="7663906D"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13.21</w:t>
            </w:r>
          </w:p>
        </w:tc>
        <w:tc>
          <w:tcPr>
            <w:tcW w:w="1260" w:type="dxa"/>
            <w:tcBorders>
              <w:bottom w:val="single" w:sz="4" w:space="0" w:color="auto"/>
            </w:tcBorders>
          </w:tcPr>
          <w:p w14:paraId="64A89012"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13.61</w:t>
            </w:r>
          </w:p>
        </w:tc>
        <w:tc>
          <w:tcPr>
            <w:tcW w:w="1170" w:type="dxa"/>
            <w:tcBorders>
              <w:bottom w:val="single" w:sz="4" w:space="0" w:color="auto"/>
            </w:tcBorders>
          </w:tcPr>
          <w:p w14:paraId="31ABE0BA"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14.11</w:t>
            </w:r>
          </w:p>
        </w:tc>
        <w:tc>
          <w:tcPr>
            <w:tcW w:w="990" w:type="dxa"/>
            <w:tcBorders>
              <w:bottom w:val="single" w:sz="4" w:space="0" w:color="auto"/>
              <w:right w:val="single" w:sz="4" w:space="0" w:color="auto"/>
            </w:tcBorders>
          </w:tcPr>
          <w:p w14:paraId="29D8FF69"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21.41</w:t>
            </w:r>
          </w:p>
        </w:tc>
      </w:tr>
    </w:tbl>
    <w:p w14:paraId="3B0E7532" w14:textId="77777777" w:rsidR="00C33495" w:rsidRPr="00C33495" w:rsidRDefault="00C33495" w:rsidP="00C33495">
      <w:pPr>
        <w:spacing w:after="200" w:line="240" w:lineRule="auto"/>
        <w:jc w:val="both"/>
        <w:rPr>
          <w:rFonts w:ascii="Times New Roman" w:eastAsia="SimSun" w:hAnsi="Times New Roman" w:cs="Times New Roman"/>
          <w:sz w:val="20"/>
          <w:szCs w:val="18"/>
          <w:lang w:bidi="ar-EG"/>
        </w:rPr>
      </w:pPr>
      <w:r w:rsidRPr="00C33495">
        <w:rPr>
          <w:rFonts w:ascii="Times New Roman" w:eastAsia="SimSun" w:hAnsi="Times New Roman" w:cs="Times New Roman"/>
          <w:sz w:val="20"/>
          <w:szCs w:val="18"/>
          <w:lang w:bidi="ar-EG"/>
        </w:rPr>
        <w:t>Shanghai and Shenzhen A-share-listed firms from 2007 to 2022, covered by the China Stock Market and Accounting Research Database (CSMAR). We exclude firm-year observations with an overseas CEO and observations with a missing value. We show the cross-sectional statistics (mean, standard deviation, min, Q1, median, Q3, and max) of the variables. The descriptions of all variables are shown in the Appendix.</w:t>
      </w:r>
    </w:p>
    <w:p w14:paraId="59EB8E3D" w14:textId="0CA1D9E6" w:rsidR="00405B19" w:rsidRDefault="000B1965" w:rsidP="00405B19">
      <w:pPr>
        <w:spacing w:after="0" w:line="360" w:lineRule="auto"/>
        <w:ind w:left="360"/>
        <w:jc w:val="both"/>
        <w:rPr>
          <w:rFonts w:ascii="Times New Roman" w:eastAsia="DengXian" w:hAnsi="Times New Roman" w:cs="Times New Roman"/>
          <w:sz w:val="28"/>
          <w:szCs w:val="28"/>
          <w:lang w:eastAsia="zh-CN"/>
        </w:rPr>
      </w:pPr>
      <w:r w:rsidRPr="000B1965">
        <w:rPr>
          <w:rFonts w:ascii="Times New Roman" w:eastAsia="DengXian" w:hAnsi="Times New Roman" w:cs="Times New Roman"/>
          <w:sz w:val="28"/>
          <w:szCs w:val="28"/>
          <w:lang w:eastAsia="zh-CN"/>
        </w:rPr>
        <w:t>Table 2 displays the Pearson correlations among the variables in our model. CEO overconfidence (OC) correlates significantly positively with ESG (0.065), which provides preliminary support for Hypothesis 1</w:t>
      </w:r>
      <w:r w:rsidR="00AE4336">
        <w:rPr>
          <w:rFonts w:ascii="Times New Roman" w:eastAsia="DengXian" w:hAnsi="Times New Roman" w:cs="Times New Roman"/>
          <w:sz w:val="28"/>
          <w:szCs w:val="28"/>
          <w:lang w:eastAsia="zh-CN"/>
        </w:rPr>
        <w:t>A</w:t>
      </w:r>
      <w:r w:rsidRPr="000B1965">
        <w:rPr>
          <w:rFonts w:ascii="Times New Roman" w:eastAsia="DengXian" w:hAnsi="Times New Roman" w:cs="Times New Roman"/>
          <w:sz w:val="28"/>
          <w:szCs w:val="28"/>
          <w:lang w:eastAsia="zh-CN"/>
        </w:rPr>
        <w:t>. In addition, the average and maximum variance inflation factors (VIF) are 1.01 and 1.88, respectively, suggesting that multicollinearity is not a serious concern in our study.</w:t>
      </w:r>
    </w:p>
    <w:p w14:paraId="3830FFE2" w14:textId="4AD544D6" w:rsidR="005F5CAF" w:rsidRDefault="005F5CAF" w:rsidP="00405B19">
      <w:pPr>
        <w:spacing w:after="0" w:line="360" w:lineRule="auto"/>
        <w:ind w:left="360"/>
        <w:jc w:val="both"/>
        <w:rPr>
          <w:rFonts w:ascii="Times New Roman" w:eastAsia="DengXian" w:hAnsi="Times New Roman" w:cs="Times New Roman"/>
          <w:sz w:val="28"/>
          <w:szCs w:val="28"/>
          <w:lang w:eastAsia="zh-CN"/>
        </w:rPr>
      </w:pPr>
    </w:p>
    <w:p w14:paraId="72BEA75F" w14:textId="1727DB5B" w:rsidR="005F5CAF" w:rsidRDefault="005F5CAF" w:rsidP="00405B19">
      <w:pPr>
        <w:spacing w:after="0" w:line="360" w:lineRule="auto"/>
        <w:ind w:left="360"/>
        <w:jc w:val="both"/>
        <w:rPr>
          <w:rFonts w:ascii="Times New Roman" w:eastAsia="DengXian" w:hAnsi="Times New Roman" w:cs="Times New Roman"/>
          <w:sz w:val="28"/>
          <w:szCs w:val="28"/>
          <w:lang w:eastAsia="zh-CN"/>
        </w:rPr>
      </w:pPr>
    </w:p>
    <w:p w14:paraId="6F16DEA3" w14:textId="5B681657" w:rsidR="005F5CAF" w:rsidRDefault="005F5CAF" w:rsidP="00405B19">
      <w:pPr>
        <w:spacing w:after="0" w:line="360" w:lineRule="auto"/>
        <w:ind w:left="360"/>
        <w:jc w:val="both"/>
        <w:rPr>
          <w:rFonts w:ascii="Times New Roman" w:eastAsia="DengXian" w:hAnsi="Times New Roman" w:cs="Times New Roman"/>
          <w:sz w:val="28"/>
          <w:szCs w:val="28"/>
          <w:lang w:eastAsia="zh-CN"/>
        </w:rPr>
      </w:pPr>
    </w:p>
    <w:p w14:paraId="432DDCA6" w14:textId="5176AC5D" w:rsidR="005F5CAF" w:rsidRDefault="005F5CAF" w:rsidP="00405B19">
      <w:pPr>
        <w:spacing w:after="0" w:line="360" w:lineRule="auto"/>
        <w:ind w:left="360"/>
        <w:jc w:val="both"/>
        <w:rPr>
          <w:rFonts w:ascii="Times New Roman" w:eastAsia="DengXian" w:hAnsi="Times New Roman" w:cs="Times New Roman"/>
          <w:sz w:val="28"/>
          <w:szCs w:val="28"/>
          <w:lang w:eastAsia="zh-CN"/>
        </w:rPr>
      </w:pPr>
    </w:p>
    <w:p w14:paraId="50BF4061" w14:textId="5415A5D9" w:rsidR="005F5CAF" w:rsidRDefault="005F5CAF" w:rsidP="00405B19">
      <w:pPr>
        <w:spacing w:after="0" w:line="360" w:lineRule="auto"/>
        <w:ind w:left="360"/>
        <w:jc w:val="both"/>
        <w:rPr>
          <w:rFonts w:ascii="Times New Roman" w:eastAsia="DengXian" w:hAnsi="Times New Roman" w:cs="Times New Roman"/>
          <w:sz w:val="28"/>
          <w:szCs w:val="28"/>
          <w:lang w:eastAsia="zh-CN"/>
        </w:rPr>
      </w:pPr>
    </w:p>
    <w:p w14:paraId="5D886327" w14:textId="5450A988" w:rsidR="005F5CAF" w:rsidRDefault="005F5CAF" w:rsidP="00405B19">
      <w:pPr>
        <w:spacing w:after="0" w:line="360" w:lineRule="auto"/>
        <w:ind w:left="360"/>
        <w:jc w:val="both"/>
        <w:rPr>
          <w:rFonts w:ascii="Times New Roman" w:eastAsia="DengXian" w:hAnsi="Times New Roman" w:cs="Times New Roman"/>
          <w:sz w:val="28"/>
          <w:szCs w:val="28"/>
          <w:lang w:eastAsia="zh-CN"/>
        </w:rPr>
      </w:pPr>
    </w:p>
    <w:p w14:paraId="3584A27E" w14:textId="77777777" w:rsidR="005F5CAF" w:rsidRDefault="005F5CAF" w:rsidP="00405B19">
      <w:pPr>
        <w:spacing w:after="0" w:line="360" w:lineRule="auto"/>
        <w:ind w:left="360"/>
        <w:jc w:val="both"/>
        <w:rPr>
          <w:rFonts w:ascii="Times New Roman" w:eastAsia="DengXian" w:hAnsi="Times New Roman" w:cs="Times New Roman"/>
          <w:sz w:val="28"/>
          <w:szCs w:val="28"/>
          <w:lang w:eastAsia="zh-CN"/>
        </w:rPr>
      </w:pPr>
    </w:p>
    <w:p w14:paraId="2E11437B" w14:textId="77777777" w:rsidR="000B1965" w:rsidRPr="00405B19" w:rsidRDefault="000B1965" w:rsidP="00405B19">
      <w:pPr>
        <w:spacing w:after="0" w:line="360" w:lineRule="auto"/>
        <w:ind w:left="360"/>
        <w:jc w:val="both"/>
        <w:rPr>
          <w:rFonts w:ascii="Times New Roman" w:eastAsia="DengXian" w:hAnsi="Times New Roman" w:cs="Times New Roman"/>
          <w:sz w:val="24"/>
          <w:szCs w:val="24"/>
          <w:lang w:eastAsia="zh-CN"/>
        </w:rPr>
      </w:pPr>
    </w:p>
    <w:tbl>
      <w:tblPr>
        <w:tblW w:w="10356" w:type="dxa"/>
        <w:tblLayout w:type="fixed"/>
        <w:tblLook w:val="04A0" w:firstRow="1" w:lastRow="0" w:firstColumn="1" w:lastColumn="0" w:noHBand="0" w:noVBand="1"/>
      </w:tblPr>
      <w:tblGrid>
        <w:gridCol w:w="1816"/>
        <w:gridCol w:w="854"/>
        <w:gridCol w:w="854"/>
        <w:gridCol w:w="854"/>
        <w:gridCol w:w="854"/>
        <w:gridCol w:w="854"/>
        <w:gridCol w:w="854"/>
        <w:gridCol w:w="854"/>
        <w:gridCol w:w="854"/>
        <w:gridCol w:w="854"/>
        <w:gridCol w:w="854"/>
      </w:tblGrid>
      <w:tr w:rsidR="00405B19" w:rsidRPr="00405B19" w14:paraId="2C3B5681" w14:textId="77777777" w:rsidTr="00405B19">
        <w:tc>
          <w:tcPr>
            <w:tcW w:w="10356" w:type="dxa"/>
            <w:gridSpan w:val="11"/>
            <w:tcBorders>
              <w:top w:val="single" w:sz="4" w:space="0" w:color="auto"/>
              <w:left w:val="nil"/>
              <w:bottom w:val="single" w:sz="6" w:space="0" w:color="auto"/>
            </w:tcBorders>
            <w:shd w:val="clear" w:color="auto" w:fill="F2F2F2"/>
          </w:tcPr>
          <w:p w14:paraId="3CBCA60F" w14:textId="32400272" w:rsidR="00405B19" w:rsidRPr="00405B19" w:rsidRDefault="00405B19" w:rsidP="00405B19">
            <w:pPr>
              <w:spacing w:after="0" w:line="360" w:lineRule="auto"/>
              <w:rPr>
                <w:rFonts w:ascii="Times New Roman" w:eastAsia="SimSun" w:hAnsi="Times New Roman" w:cs="Times New Roman"/>
                <w:b/>
                <w:bCs/>
                <w:kern w:val="2"/>
                <w:sz w:val="24"/>
                <w:szCs w:val="24"/>
                <w:lang w:eastAsia="zh-CN"/>
              </w:rPr>
            </w:pPr>
            <w:bookmarkStart w:id="11" w:name="_Toc190392532"/>
            <w:r w:rsidRPr="00405B19">
              <w:rPr>
                <w:rFonts w:ascii="Times New Roman" w:eastAsia="SimSun" w:hAnsi="Times New Roman" w:cs="Times New Roman"/>
                <w:b/>
                <w:bCs/>
                <w:kern w:val="2"/>
                <w:sz w:val="24"/>
                <w:szCs w:val="24"/>
                <w:lang w:eastAsia="zh-CN"/>
              </w:rPr>
              <w:lastRenderedPageBreak/>
              <w:t>TABL</w:t>
            </w:r>
            <w:r w:rsidR="00F0378F">
              <w:rPr>
                <w:rFonts w:ascii="Times New Roman" w:eastAsia="SimSun" w:hAnsi="Times New Roman" w:cs="Times New Roman"/>
                <w:b/>
                <w:bCs/>
                <w:kern w:val="2"/>
                <w:sz w:val="24"/>
                <w:szCs w:val="24"/>
                <w:lang w:eastAsia="zh-CN"/>
              </w:rPr>
              <w:t>E</w:t>
            </w:r>
            <w:r w:rsidRPr="00405B19">
              <w:rPr>
                <w:rFonts w:ascii="Times New Roman" w:eastAsia="SimSun" w:hAnsi="Times New Roman" w:cs="Times New Roman"/>
                <w:b/>
                <w:bCs/>
                <w:kern w:val="2"/>
                <w:sz w:val="24"/>
                <w:szCs w:val="24"/>
                <w:lang w:eastAsia="zh-CN"/>
              </w:rPr>
              <w:t xml:space="preserve"> 2 Pearson's correlation coefficients.</w:t>
            </w:r>
            <w:bookmarkEnd w:id="11"/>
          </w:p>
        </w:tc>
      </w:tr>
      <w:tr w:rsidR="00405B19" w:rsidRPr="00405B19" w14:paraId="2AB1911B" w14:textId="77777777" w:rsidTr="00405B19">
        <w:tc>
          <w:tcPr>
            <w:tcW w:w="1816" w:type="dxa"/>
            <w:tcBorders>
              <w:top w:val="single" w:sz="4" w:space="0" w:color="auto"/>
              <w:left w:val="nil"/>
              <w:bottom w:val="single" w:sz="6" w:space="0" w:color="auto"/>
              <w:right w:val="nil"/>
            </w:tcBorders>
            <w:shd w:val="clear" w:color="auto" w:fill="D9D9D9"/>
          </w:tcPr>
          <w:p w14:paraId="7B727085" w14:textId="77777777" w:rsidR="00405B19" w:rsidRPr="00405B19" w:rsidRDefault="00405B19" w:rsidP="00405B19">
            <w:pPr>
              <w:spacing w:after="0" w:line="360" w:lineRule="auto"/>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Variables</w:t>
            </w:r>
          </w:p>
        </w:tc>
        <w:tc>
          <w:tcPr>
            <w:tcW w:w="854" w:type="dxa"/>
            <w:tcBorders>
              <w:top w:val="single" w:sz="4" w:space="0" w:color="auto"/>
              <w:left w:val="nil"/>
              <w:bottom w:val="single" w:sz="6" w:space="0" w:color="auto"/>
              <w:right w:val="nil"/>
            </w:tcBorders>
            <w:shd w:val="clear" w:color="auto" w:fill="D9D9D9"/>
          </w:tcPr>
          <w:p w14:paraId="7053A077" w14:textId="77777777" w:rsidR="00405B19" w:rsidRPr="00405B19" w:rsidRDefault="00405B19" w:rsidP="00405B19">
            <w:pPr>
              <w:spacing w:after="0" w:line="240" w:lineRule="auto"/>
              <w:jc w:val="right"/>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 xml:space="preserve">VIF </w:t>
            </w:r>
          </w:p>
        </w:tc>
        <w:tc>
          <w:tcPr>
            <w:tcW w:w="854" w:type="dxa"/>
            <w:tcBorders>
              <w:top w:val="single" w:sz="4" w:space="0" w:color="auto"/>
              <w:left w:val="nil"/>
              <w:bottom w:val="single" w:sz="6" w:space="0" w:color="auto"/>
              <w:right w:val="nil"/>
            </w:tcBorders>
            <w:shd w:val="clear" w:color="auto" w:fill="D9D9D9"/>
          </w:tcPr>
          <w:p w14:paraId="533FE2B3" w14:textId="77777777" w:rsidR="00405B19" w:rsidRPr="00405B19" w:rsidRDefault="00405B19" w:rsidP="00405B19">
            <w:pPr>
              <w:spacing w:after="0" w:line="240" w:lineRule="auto"/>
              <w:jc w:val="right"/>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(1)</w:t>
            </w:r>
          </w:p>
        </w:tc>
        <w:tc>
          <w:tcPr>
            <w:tcW w:w="854" w:type="dxa"/>
            <w:tcBorders>
              <w:top w:val="single" w:sz="4" w:space="0" w:color="auto"/>
              <w:left w:val="nil"/>
              <w:bottom w:val="single" w:sz="6" w:space="0" w:color="auto"/>
              <w:right w:val="nil"/>
            </w:tcBorders>
            <w:shd w:val="clear" w:color="auto" w:fill="D9D9D9"/>
          </w:tcPr>
          <w:p w14:paraId="54E8D567" w14:textId="77777777" w:rsidR="00405B19" w:rsidRPr="00405B19" w:rsidRDefault="00405B19" w:rsidP="00405B19">
            <w:pPr>
              <w:spacing w:after="0" w:line="240" w:lineRule="auto"/>
              <w:jc w:val="right"/>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(2)</w:t>
            </w:r>
          </w:p>
        </w:tc>
        <w:tc>
          <w:tcPr>
            <w:tcW w:w="854" w:type="dxa"/>
            <w:tcBorders>
              <w:top w:val="single" w:sz="4" w:space="0" w:color="auto"/>
              <w:left w:val="nil"/>
              <w:bottom w:val="single" w:sz="6" w:space="0" w:color="auto"/>
              <w:right w:val="nil"/>
            </w:tcBorders>
            <w:shd w:val="clear" w:color="auto" w:fill="D9D9D9"/>
          </w:tcPr>
          <w:p w14:paraId="034FAB3C" w14:textId="77777777" w:rsidR="00405B19" w:rsidRPr="00405B19" w:rsidRDefault="00405B19" w:rsidP="00405B19">
            <w:pPr>
              <w:spacing w:after="0" w:line="240" w:lineRule="auto"/>
              <w:jc w:val="right"/>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(3)</w:t>
            </w:r>
          </w:p>
        </w:tc>
        <w:tc>
          <w:tcPr>
            <w:tcW w:w="854" w:type="dxa"/>
            <w:tcBorders>
              <w:top w:val="single" w:sz="4" w:space="0" w:color="auto"/>
              <w:left w:val="nil"/>
              <w:bottom w:val="single" w:sz="6" w:space="0" w:color="auto"/>
              <w:right w:val="nil"/>
            </w:tcBorders>
            <w:shd w:val="clear" w:color="auto" w:fill="D9D9D9"/>
          </w:tcPr>
          <w:p w14:paraId="2268D5F8" w14:textId="77777777" w:rsidR="00405B19" w:rsidRPr="00405B19" w:rsidRDefault="00405B19" w:rsidP="00405B19">
            <w:pPr>
              <w:spacing w:after="0" w:line="240" w:lineRule="auto"/>
              <w:jc w:val="right"/>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(4)</w:t>
            </w:r>
          </w:p>
        </w:tc>
        <w:tc>
          <w:tcPr>
            <w:tcW w:w="854" w:type="dxa"/>
            <w:tcBorders>
              <w:top w:val="single" w:sz="4" w:space="0" w:color="auto"/>
              <w:left w:val="nil"/>
              <w:bottom w:val="single" w:sz="6" w:space="0" w:color="auto"/>
              <w:right w:val="nil"/>
            </w:tcBorders>
            <w:shd w:val="clear" w:color="auto" w:fill="D9D9D9"/>
          </w:tcPr>
          <w:p w14:paraId="2AE55547" w14:textId="77777777" w:rsidR="00405B19" w:rsidRPr="00405B19" w:rsidRDefault="00405B19" w:rsidP="00405B19">
            <w:pPr>
              <w:spacing w:after="0" w:line="240" w:lineRule="auto"/>
              <w:jc w:val="right"/>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(5)</w:t>
            </w:r>
          </w:p>
        </w:tc>
        <w:tc>
          <w:tcPr>
            <w:tcW w:w="854" w:type="dxa"/>
            <w:tcBorders>
              <w:top w:val="single" w:sz="4" w:space="0" w:color="auto"/>
              <w:left w:val="nil"/>
              <w:bottom w:val="single" w:sz="6" w:space="0" w:color="auto"/>
              <w:right w:val="nil"/>
            </w:tcBorders>
            <w:shd w:val="clear" w:color="auto" w:fill="D9D9D9"/>
          </w:tcPr>
          <w:p w14:paraId="3B054887" w14:textId="77777777" w:rsidR="00405B19" w:rsidRPr="00405B19" w:rsidRDefault="00405B19" w:rsidP="00405B19">
            <w:pPr>
              <w:spacing w:after="0" w:line="240" w:lineRule="auto"/>
              <w:jc w:val="right"/>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(6)</w:t>
            </w:r>
          </w:p>
        </w:tc>
        <w:tc>
          <w:tcPr>
            <w:tcW w:w="854" w:type="dxa"/>
            <w:tcBorders>
              <w:top w:val="single" w:sz="4" w:space="0" w:color="auto"/>
              <w:left w:val="nil"/>
              <w:bottom w:val="single" w:sz="6" w:space="0" w:color="auto"/>
              <w:right w:val="nil"/>
            </w:tcBorders>
            <w:shd w:val="clear" w:color="auto" w:fill="D9D9D9"/>
          </w:tcPr>
          <w:p w14:paraId="54BC44AC" w14:textId="77777777" w:rsidR="00405B19" w:rsidRPr="00405B19" w:rsidRDefault="00405B19" w:rsidP="00405B19">
            <w:pPr>
              <w:spacing w:after="0" w:line="240" w:lineRule="auto"/>
              <w:jc w:val="right"/>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(7)</w:t>
            </w:r>
          </w:p>
        </w:tc>
        <w:tc>
          <w:tcPr>
            <w:tcW w:w="854" w:type="dxa"/>
            <w:tcBorders>
              <w:top w:val="single" w:sz="4" w:space="0" w:color="auto"/>
              <w:left w:val="nil"/>
              <w:bottom w:val="single" w:sz="6" w:space="0" w:color="auto"/>
              <w:right w:val="nil"/>
            </w:tcBorders>
            <w:shd w:val="clear" w:color="auto" w:fill="D9D9D9"/>
          </w:tcPr>
          <w:p w14:paraId="55A36E53" w14:textId="77777777" w:rsidR="00405B19" w:rsidRPr="00405B19" w:rsidRDefault="00405B19" w:rsidP="00405B19">
            <w:pPr>
              <w:spacing w:after="0" w:line="240" w:lineRule="auto"/>
              <w:jc w:val="right"/>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(8)</w:t>
            </w:r>
          </w:p>
        </w:tc>
        <w:tc>
          <w:tcPr>
            <w:tcW w:w="854" w:type="dxa"/>
            <w:tcBorders>
              <w:top w:val="single" w:sz="4" w:space="0" w:color="auto"/>
              <w:left w:val="nil"/>
              <w:bottom w:val="single" w:sz="6" w:space="0" w:color="auto"/>
              <w:right w:val="nil"/>
            </w:tcBorders>
            <w:shd w:val="clear" w:color="auto" w:fill="D9D9D9"/>
          </w:tcPr>
          <w:p w14:paraId="79CC38F2" w14:textId="77777777" w:rsidR="00405B19" w:rsidRPr="00405B19" w:rsidRDefault="00405B19" w:rsidP="00405B19">
            <w:pPr>
              <w:spacing w:after="0" w:line="240" w:lineRule="auto"/>
              <w:jc w:val="right"/>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(9)</w:t>
            </w:r>
          </w:p>
        </w:tc>
      </w:tr>
      <w:tr w:rsidR="00405B19" w:rsidRPr="00405B19" w14:paraId="5FA66643" w14:textId="77777777" w:rsidTr="00617949">
        <w:tc>
          <w:tcPr>
            <w:tcW w:w="1816" w:type="dxa"/>
            <w:tcBorders>
              <w:top w:val="nil"/>
              <w:left w:val="nil"/>
              <w:bottom w:val="nil"/>
              <w:right w:val="nil"/>
            </w:tcBorders>
          </w:tcPr>
          <w:p w14:paraId="79186F94" w14:textId="77777777" w:rsidR="00405B19" w:rsidRPr="00405B19" w:rsidRDefault="00405B19" w:rsidP="00405B19">
            <w:pPr>
              <w:spacing w:after="0" w:line="360" w:lineRule="auto"/>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 xml:space="preserve">(1) </w:t>
            </w:r>
            <w:r w:rsidRPr="00405B19">
              <w:rPr>
                <w:rFonts w:ascii="Times New Roman" w:eastAsia="SimSun" w:hAnsi="Times New Roman" w:cs="Times New Roman"/>
                <w:bCs/>
                <w:i/>
                <w:iCs/>
                <w:kern w:val="2"/>
                <w:lang w:val="en-GB" w:eastAsia="zh-CN"/>
              </w:rPr>
              <w:t>ESG</w:t>
            </w:r>
          </w:p>
        </w:tc>
        <w:tc>
          <w:tcPr>
            <w:tcW w:w="854" w:type="dxa"/>
            <w:tcBorders>
              <w:top w:val="nil"/>
              <w:left w:val="nil"/>
              <w:bottom w:val="nil"/>
              <w:right w:val="nil"/>
            </w:tcBorders>
          </w:tcPr>
          <w:p w14:paraId="397D7880" w14:textId="77777777" w:rsidR="00405B19" w:rsidRPr="00405B19" w:rsidRDefault="00405B19" w:rsidP="00405B19">
            <w:pPr>
              <w:spacing w:after="0" w:line="240" w:lineRule="auto"/>
              <w:jc w:val="both"/>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1D84AA88"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1.000</w:t>
            </w:r>
          </w:p>
        </w:tc>
        <w:tc>
          <w:tcPr>
            <w:tcW w:w="854" w:type="dxa"/>
            <w:tcBorders>
              <w:top w:val="nil"/>
              <w:left w:val="nil"/>
              <w:bottom w:val="nil"/>
              <w:right w:val="nil"/>
            </w:tcBorders>
          </w:tcPr>
          <w:p w14:paraId="058EE9B1"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56A7ED50"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0347F0E1"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79F0A0E8"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1F59D4D4"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54468CD3"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31956341"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4B0D7DF8"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r>
      <w:tr w:rsidR="00405B19" w:rsidRPr="00405B19" w14:paraId="1D4CB843" w14:textId="77777777" w:rsidTr="00617949">
        <w:tc>
          <w:tcPr>
            <w:tcW w:w="1816" w:type="dxa"/>
            <w:tcBorders>
              <w:top w:val="nil"/>
              <w:left w:val="nil"/>
              <w:bottom w:val="nil"/>
              <w:right w:val="nil"/>
            </w:tcBorders>
          </w:tcPr>
          <w:p w14:paraId="0DAE0A02" w14:textId="77777777" w:rsidR="00405B19" w:rsidRPr="00405B19" w:rsidRDefault="00405B19" w:rsidP="00405B19">
            <w:pPr>
              <w:spacing w:after="0" w:line="360" w:lineRule="auto"/>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 xml:space="preserve">(2) </w:t>
            </w:r>
            <w:r w:rsidRPr="00405B19">
              <w:rPr>
                <w:rFonts w:ascii="Times New Roman" w:eastAsia="Times New Roman" w:hAnsi="Times New Roman" w:cs="Times New Roman"/>
                <w:bCs/>
                <w:i/>
                <w:iCs/>
                <w:lang w:eastAsia="en-GB"/>
              </w:rPr>
              <w:t>OC</w:t>
            </w:r>
          </w:p>
        </w:tc>
        <w:tc>
          <w:tcPr>
            <w:tcW w:w="854" w:type="dxa"/>
            <w:tcBorders>
              <w:top w:val="nil"/>
              <w:left w:val="nil"/>
              <w:bottom w:val="nil"/>
              <w:right w:val="nil"/>
            </w:tcBorders>
          </w:tcPr>
          <w:p w14:paraId="68C2B741" w14:textId="77777777" w:rsidR="00405B19" w:rsidRPr="00405B19" w:rsidRDefault="00405B19" w:rsidP="00405B19">
            <w:pPr>
              <w:spacing w:after="0" w:line="240" w:lineRule="auto"/>
              <w:jc w:val="both"/>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1.01</w:t>
            </w:r>
          </w:p>
        </w:tc>
        <w:tc>
          <w:tcPr>
            <w:tcW w:w="854" w:type="dxa"/>
            <w:tcBorders>
              <w:top w:val="nil"/>
              <w:left w:val="nil"/>
              <w:bottom w:val="nil"/>
              <w:right w:val="nil"/>
            </w:tcBorders>
          </w:tcPr>
          <w:p w14:paraId="10FD323A"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0.065</w:t>
            </w:r>
          </w:p>
        </w:tc>
        <w:tc>
          <w:tcPr>
            <w:tcW w:w="854" w:type="dxa"/>
            <w:tcBorders>
              <w:top w:val="nil"/>
              <w:left w:val="nil"/>
              <w:bottom w:val="nil"/>
              <w:right w:val="nil"/>
            </w:tcBorders>
          </w:tcPr>
          <w:p w14:paraId="5C7C86FA"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1.000</w:t>
            </w:r>
          </w:p>
        </w:tc>
        <w:tc>
          <w:tcPr>
            <w:tcW w:w="854" w:type="dxa"/>
            <w:tcBorders>
              <w:top w:val="nil"/>
              <w:left w:val="nil"/>
              <w:bottom w:val="nil"/>
              <w:right w:val="nil"/>
            </w:tcBorders>
          </w:tcPr>
          <w:p w14:paraId="30530F98"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7D8A0DD6"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3441BFDB"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596A0ACD"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542D36EF"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65A14E35"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784229DB"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r>
      <w:tr w:rsidR="00405B19" w:rsidRPr="00405B19" w14:paraId="30A44A3E" w14:textId="77777777" w:rsidTr="00617949">
        <w:tc>
          <w:tcPr>
            <w:tcW w:w="1816" w:type="dxa"/>
            <w:tcBorders>
              <w:top w:val="nil"/>
              <w:left w:val="nil"/>
              <w:bottom w:val="nil"/>
              <w:right w:val="nil"/>
            </w:tcBorders>
          </w:tcPr>
          <w:p w14:paraId="2345A601" w14:textId="77777777" w:rsidR="00405B19" w:rsidRPr="00405B19" w:rsidRDefault="00405B19" w:rsidP="00405B19">
            <w:pPr>
              <w:spacing w:after="0" w:line="360" w:lineRule="auto"/>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 xml:space="preserve">(3) </w:t>
            </w:r>
            <w:r w:rsidRPr="00405B19">
              <w:rPr>
                <w:rFonts w:ascii="Times New Roman" w:eastAsia="Times New Roman" w:hAnsi="Times New Roman" w:cs="Times New Roman"/>
                <w:bCs/>
                <w:i/>
                <w:iCs/>
                <w:lang w:val="en-GB" w:eastAsia="en-GB"/>
              </w:rPr>
              <w:t>Size</w:t>
            </w:r>
          </w:p>
        </w:tc>
        <w:tc>
          <w:tcPr>
            <w:tcW w:w="854" w:type="dxa"/>
            <w:tcBorders>
              <w:top w:val="nil"/>
              <w:left w:val="nil"/>
              <w:bottom w:val="nil"/>
              <w:right w:val="nil"/>
            </w:tcBorders>
          </w:tcPr>
          <w:p w14:paraId="41FE28AA" w14:textId="77777777" w:rsidR="00405B19" w:rsidRPr="00405B19" w:rsidRDefault="00405B19" w:rsidP="00405B19">
            <w:pPr>
              <w:spacing w:after="0" w:line="240" w:lineRule="auto"/>
              <w:jc w:val="both"/>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3.70</w:t>
            </w:r>
          </w:p>
        </w:tc>
        <w:tc>
          <w:tcPr>
            <w:tcW w:w="854" w:type="dxa"/>
            <w:tcBorders>
              <w:top w:val="nil"/>
              <w:left w:val="nil"/>
              <w:bottom w:val="nil"/>
              <w:right w:val="nil"/>
            </w:tcBorders>
          </w:tcPr>
          <w:p w14:paraId="4E6AD35B"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0.067</w:t>
            </w:r>
          </w:p>
        </w:tc>
        <w:tc>
          <w:tcPr>
            <w:tcW w:w="854" w:type="dxa"/>
            <w:tcBorders>
              <w:top w:val="nil"/>
              <w:left w:val="nil"/>
              <w:bottom w:val="nil"/>
              <w:right w:val="nil"/>
            </w:tcBorders>
          </w:tcPr>
          <w:p w14:paraId="733B1C7A"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-0.005</w:t>
            </w:r>
          </w:p>
        </w:tc>
        <w:tc>
          <w:tcPr>
            <w:tcW w:w="854" w:type="dxa"/>
            <w:tcBorders>
              <w:top w:val="nil"/>
              <w:left w:val="nil"/>
              <w:bottom w:val="nil"/>
              <w:right w:val="nil"/>
            </w:tcBorders>
          </w:tcPr>
          <w:p w14:paraId="3DC06D08"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1.000</w:t>
            </w:r>
          </w:p>
        </w:tc>
        <w:tc>
          <w:tcPr>
            <w:tcW w:w="854" w:type="dxa"/>
            <w:tcBorders>
              <w:top w:val="nil"/>
              <w:left w:val="nil"/>
              <w:bottom w:val="nil"/>
              <w:right w:val="nil"/>
            </w:tcBorders>
          </w:tcPr>
          <w:p w14:paraId="1A23975D"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62727AE3"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5CE147D4"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498D8966"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55DCF1C9"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18347CCC"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r>
      <w:tr w:rsidR="00405B19" w:rsidRPr="00405B19" w14:paraId="62F5086B" w14:textId="77777777" w:rsidTr="00617949">
        <w:tc>
          <w:tcPr>
            <w:tcW w:w="1816" w:type="dxa"/>
            <w:tcBorders>
              <w:top w:val="nil"/>
              <w:left w:val="nil"/>
              <w:bottom w:val="nil"/>
              <w:right w:val="nil"/>
            </w:tcBorders>
          </w:tcPr>
          <w:p w14:paraId="29C105D7" w14:textId="77777777" w:rsidR="00405B19" w:rsidRPr="00405B19" w:rsidRDefault="00405B19" w:rsidP="00405B19">
            <w:pPr>
              <w:spacing w:after="0" w:line="360" w:lineRule="auto"/>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 xml:space="preserve">(4) </w:t>
            </w:r>
            <w:r w:rsidRPr="00405B19">
              <w:rPr>
                <w:rFonts w:ascii="Times New Roman" w:eastAsia="Times New Roman" w:hAnsi="Times New Roman" w:cs="Times New Roman"/>
                <w:bCs/>
                <w:i/>
                <w:iCs/>
                <w:lang w:val="en-GB" w:eastAsia="en-GB"/>
              </w:rPr>
              <w:t>Leverage</w:t>
            </w:r>
          </w:p>
        </w:tc>
        <w:tc>
          <w:tcPr>
            <w:tcW w:w="854" w:type="dxa"/>
            <w:tcBorders>
              <w:top w:val="nil"/>
              <w:left w:val="nil"/>
              <w:bottom w:val="nil"/>
              <w:right w:val="nil"/>
            </w:tcBorders>
          </w:tcPr>
          <w:p w14:paraId="6D09D05C" w14:textId="77777777" w:rsidR="00405B19" w:rsidRPr="00405B19" w:rsidRDefault="00405B19" w:rsidP="00405B19">
            <w:pPr>
              <w:spacing w:after="0" w:line="240" w:lineRule="auto"/>
              <w:jc w:val="both"/>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1.97</w:t>
            </w:r>
          </w:p>
        </w:tc>
        <w:tc>
          <w:tcPr>
            <w:tcW w:w="854" w:type="dxa"/>
            <w:tcBorders>
              <w:top w:val="nil"/>
              <w:left w:val="nil"/>
              <w:bottom w:val="nil"/>
              <w:right w:val="nil"/>
            </w:tcBorders>
          </w:tcPr>
          <w:p w14:paraId="2C8B4FA9"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-0.063</w:t>
            </w:r>
          </w:p>
        </w:tc>
        <w:tc>
          <w:tcPr>
            <w:tcW w:w="854" w:type="dxa"/>
            <w:tcBorders>
              <w:top w:val="nil"/>
              <w:left w:val="nil"/>
              <w:bottom w:val="nil"/>
              <w:right w:val="nil"/>
            </w:tcBorders>
          </w:tcPr>
          <w:p w14:paraId="777BD225"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0.047</w:t>
            </w:r>
          </w:p>
        </w:tc>
        <w:tc>
          <w:tcPr>
            <w:tcW w:w="854" w:type="dxa"/>
            <w:tcBorders>
              <w:top w:val="nil"/>
              <w:left w:val="nil"/>
              <w:bottom w:val="nil"/>
              <w:right w:val="nil"/>
            </w:tcBorders>
          </w:tcPr>
          <w:p w14:paraId="6439C7C8"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-0.470</w:t>
            </w:r>
          </w:p>
        </w:tc>
        <w:tc>
          <w:tcPr>
            <w:tcW w:w="854" w:type="dxa"/>
            <w:tcBorders>
              <w:top w:val="nil"/>
              <w:left w:val="nil"/>
              <w:bottom w:val="nil"/>
              <w:right w:val="nil"/>
            </w:tcBorders>
          </w:tcPr>
          <w:p w14:paraId="17B224B1"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1.000</w:t>
            </w:r>
          </w:p>
        </w:tc>
        <w:tc>
          <w:tcPr>
            <w:tcW w:w="854" w:type="dxa"/>
            <w:tcBorders>
              <w:top w:val="nil"/>
              <w:left w:val="nil"/>
              <w:bottom w:val="nil"/>
              <w:right w:val="nil"/>
            </w:tcBorders>
          </w:tcPr>
          <w:p w14:paraId="28365665"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479D2E18"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73FE1A8B"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764D3FCD"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0C959EAD"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r>
      <w:tr w:rsidR="00405B19" w:rsidRPr="00405B19" w14:paraId="7AE58B1A" w14:textId="77777777" w:rsidTr="00617949">
        <w:tc>
          <w:tcPr>
            <w:tcW w:w="1816" w:type="dxa"/>
            <w:tcBorders>
              <w:top w:val="nil"/>
              <w:left w:val="nil"/>
              <w:bottom w:val="nil"/>
              <w:right w:val="nil"/>
            </w:tcBorders>
          </w:tcPr>
          <w:p w14:paraId="6D50EC33" w14:textId="77777777" w:rsidR="00405B19" w:rsidRPr="00405B19" w:rsidRDefault="00405B19" w:rsidP="00405B19">
            <w:pPr>
              <w:spacing w:after="0" w:line="360" w:lineRule="auto"/>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 xml:space="preserve">(5) </w:t>
            </w:r>
            <w:r w:rsidRPr="00405B19">
              <w:rPr>
                <w:rFonts w:ascii="Times New Roman" w:eastAsia="Times New Roman" w:hAnsi="Times New Roman" w:cs="Times New Roman"/>
                <w:bCs/>
                <w:i/>
                <w:iCs/>
                <w:lang w:val="en-GB" w:eastAsia="en-GB"/>
              </w:rPr>
              <w:t>ROA</w:t>
            </w:r>
          </w:p>
        </w:tc>
        <w:tc>
          <w:tcPr>
            <w:tcW w:w="854" w:type="dxa"/>
            <w:tcBorders>
              <w:top w:val="nil"/>
              <w:left w:val="nil"/>
              <w:bottom w:val="nil"/>
              <w:right w:val="nil"/>
            </w:tcBorders>
          </w:tcPr>
          <w:p w14:paraId="54825FFB" w14:textId="77777777" w:rsidR="00405B19" w:rsidRPr="00405B19" w:rsidRDefault="00405B19" w:rsidP="00405B19">
            <w:pPr>
              <w:spacing w:after="0" w:line="240" w:lineRule="auto"/>
              <w:jc w:val="both"/>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1.43</w:t>
            </w:r>
          </w:p>
        </w:tc>
        <w:tc>
          <w:tcPr>
            <w:tcW w:w="854" w:type="dxa"/>
            <w:tcBorders>
              <w:top w:val="nil"/>
              <w:left w:val="nil"/>
              <w:bottom w:val="nil"/>
              <w:right w:val="nil"/>
            </w:tcBorders>
          </w:tcPr>
          <w:p w14:paraId="28A8F8FA"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0.329</w:t>
            </w:r>
          </w:p>
        </w:tc>
        <w:tc>
          <w:tcPr>
            <w:tcW w:w="854" w:type="dxa"/>
            <w:tcBorders>
              <w:top w:val="nil"/>
              <w:left w:val="nil"/>
              <w:bottom w:val="nil"/>
              <w:right w:val="nil"/>
            </w:tcBorders>
          </w:tcPr>
          <w:p w14:paraId="75644BA9"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0.005</w:t>
            </w:r>
          </w:p>
        </w:tc>
        <w:tc>
          <w:tcPr>
            <w:tcW w:w="854" w:type="dxa"/>
            <w:tcBorders>
              <w:top w:val="nil"/>
              <w:left w:val="nil"/>
              <w:bottom w:val="nil"/>
              <w:right w:val="nil"/>
            </w:tcBorders>
          </w:tcPr>
          <w:p w14:paraId="23B77F1E"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0.481</w:t>
            </w:r>
          </w:p>
        </w:tc>
        <w:tc>
          <w:tcPr>
            <w:tcW w:w="854" w:type="dxa"/>
            <w:tcBorders>
              <w:top w:val="nil"/>
              <w:left w:val="nil"/>
              <w:bottom w:val="nil"/>
              <w:right w:val="nil"/>
            </w:tcBorders>
          </w:tcPr>
          <w:p w14:paraId="51946AF4"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-0.165</w:t>
            </w:r>
          </w:p>
        </w:tc>
        <w:tc>
          <w:tcPr>
            <w:tcW w:w="854" w:type="dxa"/>
            <w:tcBorders>
              <w:top w:val="nil"/>
              <w:left w:val="nil"/>
              <w:bottom w:val="nil"/>
              <w:right w:val="nil"/>
            </w:tcBorders>
          </w:tcPr>
          <w:p w14:paraId="45D7F04D"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1.000</w:t>
            </w:r>
          </w:p>
        </w:tc>
        <w:tc>
          <w:tcPr>
            <w:tcW w:w="854" w:type="dxa"/>
            <w:tcBorders>
              <w:top w:val="nil"/>
              <w:left w:val="nil"/>
              <w:bottom w:val="nil"/>
              <w:right w:val="nil"/>
            </w:tcBorders>
          </w:tcPr>
          <w:p w14:paraId="082A95C3"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64C020DF"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39B9EC58"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2CACC3F0"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r>
      <w:tr w:rsidR="00405B19" w:rsidRPr="00405B19" w14:paraId="5E5EF0A2" w14:textId="77777777" w:rsidTr="00617949">
        <w:tc>
          <w:tcPr>
            <w:tcW w:w="1816" w:type="dxa"/>
            <w:tcBorders>
              <w:top w:val="nil"/>
              <w:left w:val="nil"/>
              <w:bottom w:val="nil"/>
              <w:right w:val="nil"/>
            </w:tcBorders>
          </w:tcPr>
          <w:p w14:paraId="53165822" w14:textId="77777777" w:rsidR="00405B19" w:rsidRPr="00405B19" w:rsidRDefault="00405B19" w:rsidP="00405B19">
            <w:pPr>
              <w:spacing w:after="0" w:line="360" w:lineRule="auto"/>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(6) Growth</w:t>
            </w:r>
          </w:p>
        </w:tc>
        <w:tc>
          <w:tcPr>
            <w:tcW w:w="854" w:type="dxa"/>
            <w:tcBorders>
              <w:top w:val="nil"/>
              <w:left w:val="nil"/>
              <w:bottom w:val="nil"/>
              <w:right w:val="nil"/>
            </w:tcBorders>
          </w:tcPr>
          <w:p w14:paraId="1B3FFB94" w14:textId="77777777" w:rsidR="00405B19" w:rsidRPr="00405B19" w:rsidRDefault="00405B19" w:rsidP="00405B19">
            <w:pPr>
              <w:spacing w:after="0" w:line="240" w:lineRule="auto"/>
              <w:jc w:val="both"/>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1.00</w:t>
            </w:r>
          </w:p>
        </w:tc>
        <w:tc>
          <w:tcPr>
            <w:tcW w:w="854" w:type="dxa"/>
            <w:tcBorders>
              <w:top w:val="nil"/>
              <w:left w:val="nil"/>
              <w:bottom w:val="nil"/>
              <w:right w:val="nil"/>
            </w:tcBorders>
          </w:tcPr>
          <w:p w14:paraId="00A30D79"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0.192</w:t>
            </w:r>
          </w:p>
        </w:tc>
        <w:tc>
          <w:tcPr>
            <w:tcW w:w="854" w:type="dxa"/>
            <w:tcBorders>
              <w:top w:val="nil"/>
              <w:left w:val="nil"/>
              <w:bottom w:val="nil"/>
              <w:right w:val="nil"/>
            </w:tcBorders>
          </w:tcPr>
          <w:p w14:paraId="0A4890FC"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-0.050</w:t>
            </w:r>
          </w:p>
        </w:tc>
        <w:tc>
          <w:tcPr>
            <w:tcW w:w="854" w:type="dxa"/>
            <w:tcBorders>
              <w:top w:val="nil"/>
              <w:left w:val="nil"/>
              <w:bottom w:val="nil"/>
              <w:right w:val="nil"/>
            </w:tcBorders>
          </w:tcPr>
          <w:p w14:paraId="1CEEC59A"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0.111</w:t>
            </w:r>
          </w:p>
        </w:tc>
        <w:tc>
          <w:tcPr>
            <w:tcW w:w="854" w:type="dxa"/>
            <w:tcBorders>
              <w:top w:val="nil"/>
              <w:left w:val="nil"/>
              <w:bottom w:val="nil"/>
              <w:right w:val="nil"/>
            </w:tcBorders>
          </w:tcPr>
          <w:p w14:paraId="0F1F70D0"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-0.069</w:t>
            </w:r>
          </w:p>
        </w:tc>
        <w:tc>
          <w:tcPr>
            <w:tcW w:w="854" w:type="dxa"/>
            <w:tcBorders>
              <w:top w:val="nil"/>
              <w:left w:val="nil"/>
              <w:bottom w:val="nil"/>
              <w:right w:val="nil"/>
            </w:tcBorders>
          </w:tcPr>
          <w:p w14:paraId="44379ED0"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0.372</w:t>
            </w:r>
          </w:p>
        </w:tc>
        <w:tc>
          <w:tcPr>
            <w:tcW w:w="854" w:type="dxa"/>
            <w:tcBorders>
              <w:top w:val="nil"/>
              <w:left w:val="nil"/>
              <w:bottom w:val="nil"/>
              <w:right w:val="nil"/>
            </w:tcBorders>
          </w:tcPr>
          <w:p w14:paraId="24D45915"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1.000</w:t>
            </w:r>
          </w:p>
        </w:tc>
        <w:tc>
          <w:tcPr>
            <w:tcW w:w="854" w:type="dxa"/>
            <w:tcBorders>
              <w:top w:val="nil"/>
              <w:left w:val="nil"/>
              <w:bottom w:val="nil"/>
              <w:right w:val="nil"/>
            </w:tcBorders>
          </w:tcPr>
          <w:p w14:paraId="016A4FC0"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66823969"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2CE167FC"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r>
      <w:tr w:rsidR="00405B19" w:rsidRPr="00405B19" w14:paraId="327672CE" w14:textId="77777777" w:rsidTr="00617949">
        <w:tc>
          <w:tcPr>
            <w:tcW w:w="1816" w:type="dxa"/>
            <w:tcBorders>
              <w:top w:val="nil"/>
              <w:left w:val="nil"/>
              <w:bottom w:val="nil"/>
              <w:right w:val="nil"/>
            </w:tcBorders>
          </w:tcPr>
          <w:p w14:paraId="7B4258A1" w14:textId="77777777" w:rsidR="00405B19" w:rsidRPr="00405B19" w:rsidRDefault="00405B19" w:rsidP="00405B19">
            <w:pPr>
              <w:spacing w:after="0" w:line="360" w:lineRule="auto"/>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(7)</w:t>
            </w:r>
            <w:r w:rsidRPr="00405B19">
              <w:rPr>
                <w:rFonts w:ascii="Calibri" w:eastAsia="SimSun" w:hAnsi="Calibri" w:cs="Arial"/>
                <w:lang w:eastAsia="zh-CN"/>
              </w:rPr>
              <w:t xml:space="preserve"> </w:t>
            </w:r>
            <w:proofErr w:type="spellStart"/>
            <w:r w:rsidRPr="00405B19">
              <w:rPr>
                <w:rFonts w:ascii="Times New Roman" w:eastAsia="SimSun" w:hAnsi="Times New Roman" w:cs="Times New Roman"/>
                <w:kern w:val="2"/>
                <w:lang w:eastAsia="zh-CN"/>
              </w:rPr>
              <w:t>TobinQ</w:t>
            </w:r>
            <w:proofErr w:type="spellEnd"/>
          </w:p>
        </w:tc>
        <w:tc>
          <w:tcPr>
            <w:tcW w:w="854" w:type="dxa"/>
            <w:tcBorders>
              <w:top w:val="nil"/>
              <w:left w:val="nil"/>
              <w:bottom w:val="nil"/>
              <w:right w:val="nil"/>
            </w:tcBorders>
          </w:tcPr>
          <w:p w14:paraId="3B4F1A44" w14:textId="77777777" w:rsidR="00405B19" w:rsidRPr="00405B19" w:rsidRDefault="00405B19" w:rsidP="00405B19">
            <w:pPr>
              <w:spacing w:after="0" w:line="240" w:lineRule="auto"/>
              <w:jc w:val="both"/>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1.27</w:t>
            </w:r>
          </w:p>
        </w:tc>
        <w:tc>
          <w:tcPr>
            <w:tcW w:w="854" w:type="dxa"/>
            <w:tcBorders>
              <w:top w:val="nil"/>
              <w:left w:val="nil"/>
              <w:bottom w:val="nil"/>
              <w:right w:val="nil"/>
            </w:tcBorders>
          </w:tcPr>
          <w:p w14:paraId="64AF6D41"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0.256</w:t>
            </w:r>
          </w:p>
        </w:tc>
        <w:tc>
          <w:tcPr>
            <w:tcW w:w="854" w:type="dxa"/>
            <w:tcBorders>
              <w:top w:val="nil"/>
              <w:left w:val="nil"/>
              <w:bottom w:val="nil"/>
              <w:right w:val="nil"/>
            </w:tcBorders>
          </w:tcPr>
          <w:p w14:paraId="38FF4C8D"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0.043</w:t>
            </w:r>
          </w:p>
        </w:tc>
        <w:tc>
          <w:tcPr>
            <w:tcW w:w="854" w:type="dxa"/>
            <w:tcBorders>
              <w:top w:val="nil"/>
              <w:left w:val="nil"/>
              <w:bottom w:val="nil"/>
              <w:right w:val="nil"/>
            </w:tcBorders>
          </w:tcPr>
          <w:p w14:paraId="35289351"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0.102</w:t>
            </w:r>
          </w:p>
        </w:tc>
        <w:tc>
          <w:tcPr>
            <w:tcW w:w="854" w:type="dxa"/>
            <w:tcBorders>
              <w:top w:val="nil"/>
              <w:left w:val="nil"/>
              <w:bottom w:val="nil"/>
              <w:right w:val="nil"/>
            </w:tcBorders>
          </w:tcPr>
          <w:p w14:paraId="70A858F3"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-0.028</w:t>
            </w:r>
          </w:p>
        </w:tc>
        <w:tc>
          <w:tcPr>
            <w:tcW w:w="854" w:type="dxa"/>
            <w:tcBorders>
              <w:top w:val="nil"/>
              <w:left w:val="nil"/>
              <w:bottom w:val="nil"/>
              <w:right w:val="nil"/>
            </w:tcBorders>
          </w:tcPr>
          <w:p w14:paraId="056949E8"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0.487</w:t>
            </w:r>
          </w:p>
        </w:tc>
        <w:tc>
          <w:tcPr>
            <w:tcW w:w="854" w:type="dxa"/>
            <w:tcBorders>
              <w:top w:val="nil"/>
              <w:left w:val="nil"/>
              <w:bottom w:val="nil"/>
              <w:right w:val="nil"/>
            </w:tcBorders>
          </w:tcPr>
          <w:p w14:paraId="334504DA"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0.230</w:t>
            </w:r>
          </w:p>
        </w:tc>
        <w:tc>
          <w:tcPr>
            <w:tcW w:w="854" w:type="dxa"/>
            <w:tcBorders>
              <w:top w:val="nil"/>
              <w:left w:val="nil"/>
              <w:bottom w:val="nil"/>
              <w:right w:val="nil"/>
            </w:tcBorders>
          </w:tcPr>
          <w:p w14:paraId="79D7E22E"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1.000</w:t>
            </w:r>
          </w:p>
        </w:tc>
        <w:tc>
          <w:tcPr>
            <w:tcW w:w="854" w:type="dxa"/>
            <w:tcBorders>
              <w:top w:val="nil"/>
              <w:left w:val="nil"/>
              <w:bottom w:val="nil"/>
              <w:right w:val="nil"/>
            </w:tcBorders>
          </w:tcPr>
          <w:p w14:paraId="6A0CE762"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0C15915E"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r>
      <w:tr w:rsidR="00405B19" w:rsidRPr="00405B19" w14:paraId="281F3376" w14:textId="77777777" w:rsidTr="00617949">
        <w:tc>
          <w:tcPr>
            <w:tcW w:w="1816" w:type="dxa"/>
            <w:tcBorders>
              <w:top w:val="nil"/>
              <w:left w:val="nil"/>
              <w:right w:val="nil"/>
            </w:tcBorders>
          </w:tcPr>
          <w:p w14:paraId="051F1065" w14:textId="77777777" w:rsidR="00405B19" w:rsidRPr="00405B19" w:rsidRDefault="00405B19" w:rsidP="00405B19">
            <w:pPr>
              <w:spacing w:after="0" w:line="360" w:lineRule="auto"/>
              <w:rPr>
                <w:rFonts w:ascii="Times New Roman" w:eastAsia="Times New Roman" w:hAnsi="Times New Roman" w:cs="Times New Roman"/>
                <w:bCs/>
                <w:i/>
                <w:iCs/>
                <w:lang w:val="en-GB" w:eastAsia="en-GB"/>
              </w:rPr>
            </w:pPr>
            <w:r w:rsidRPr="00405B19">
              <w:rPr>
                <w:rFonts w:ascii="Times New Roman" w:eastAsia="Times New Roman" w:hAnsi="Times New Roman" w:cs="Times New Roman"/>
                <w:bCs/>
                <w:i/>
                <w:iCs/>
                <w:lang w:val="en-GB" w:eastAsia="en-GB"/>
              </w:rPr>
              <w:t xml:space="preserve">(8) </w:t>
            </w:r>
            <w:proofErr w:type="spellStart"/>
            <w:r w:rsidRPr="00405B19">
              <w:rPr>
                <w:rFonts w:ascii="Times New Roman" w:eastAsia="Times New Roman" w:hAnsi="Times New Roman" w:cs="Times New Roman"/>
                <w:bCs/>
                <w:i/>
                <w:iCs/>
                <w:lang w:val="en-GB" w:eastAsia="en-GB"/>
              </w:rPr>
              <w:t>FirmAge</w:t>
            </w:r>
            <w:proofErr w:type="spellEnd"/>
          </w:p>
        </w:tc>
        <w:tc>
          <w:tcPr>
            <w:tcW w:w="854" w:type="dxa"/>
            <w:tcBorders>
              <w:top w:val="nil"/>
              <w:left w:val="nil"/>
              <w:right w:val="nil"/>
            </w:tcBorders>
          </w:tcPr>
          <w:p w14:paraId="13C4B814" w14:textId="77777777" w:rsidR="00405B19" w:rsidRPr="00405B19" w:rsidRDefault="00405B19" w:rsidP="00405B19">
            <w:pPr>
              <w:spacing w:after="0" w:line="240" w:lineRule="auto"/>
              <w:jc w:val="both"/>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1.10</w:t>
            </w:r>
          </w:p>
        </w:tc>
        <w:tc>
          <w:tcPr>
            <w:tcW w:w="854" w:type="dxa"/>
            <w:tcBorders>
              <w:top w:val="nil"/>
              <w:left w:val="nil"/>
              <w:right w:val="nil"/>
            </w:tcBorders>
          </w:tcPr>
          <w:p w14:paraId="7CD69261"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0.037</w:t>
            </w:r>
          </w:p>
        </w:tc>
        <w:tc>
          <w:tcPr>
            <w:tcW w:w="854" w:type="dxa"/>
            <w:tcBorders>
              <w:top w:val="nil"/>
              <w:left w:val="nil"/>
              <w:right w:val="nil"/>
            </w:tcBorders>
          </w:tcPr>
          <w:p w14:paraId="4EBA9F81"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-0.042</w:t>
            </w:r>
          </w:p>
        </w:tc>
        <w:tc>
          <w:tcPr>
            <w:tcW w:w="854" w:type="dxa"/>
            <w:tcBorders>
              <w:top w:val="nil"/>
              <w:left w:val="nil"/>
              <w:right w:val="nil"/>
            </w:tcBorders>
          </w:tcPr>
          <w:p w14:paraId="6885F2E6"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0.281</w:t>
            </w:r>
          </w:p>
        </w:tc>
        <w:tc>
          <w:tcPr>
            <w:tcW w:w="854" w:type="dxa"/>
            <w:tcBorders>
              <w:top w:val="nil"/>
              <w:left w:val="nil"/>
              <w:right w:val="nil"/>
            </w:tcBorders>
          </w:tcPr>
          <w:p w14:paraId="75C455FE"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-0.244</w:t>
            </w:r>
          </w:p>
        </w:tc>
        <w:tc>
          <w:tcPr>
            <w:tcW w:w="854" w:type="dxa"/>
            <w:tcBorders>
              <w:top w:val="nil"/>
              <w:left w:val="nil"/>
              <w:right w:val="nil"/>
            </w:tcBorders>
          </w:tcPr>
          <w:p w14:paraId="0823D575"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0.154</w:t>
            </w:r>
          </w:p>
        </w:tc>
        <w:tc>
          <w:tcPr>
            <w:tcW w:w="854" w:type="dxa"/>
            <w:tcBorders>
              <w:top w:val="nil"/>
              <w:left w:val="nil"/>
              <w:right w:val="nil"/>
            </w:tcBorders>
          </w:tcPr>
          <w:p w14:paraId="61C0976F"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0.162</w:t>
            </w:r>
          </w:p>
        </w:tc>
        <w:tc>
          <w:tcPr>
            <w:tcW w:w="854" w:type="dxa"/>
            <w:tcBorders>
              <w:top w:val="nil"/>
              <w:left w:val="nil"/>
              <w:right w:val="nil"/>
            </w:tcBorders>
          </w:tcPr>
          <w:p w14:paraId="347E646D"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-0.042</w:t>
            </w:r>
          </w:p>
        </w:tc>
        <w:tc>
          <w:tcPr>
            <w:tcW w:w="854" w:type="dxa"/>
            <w:tcBorders>
              <w:top w:val="nil"/>
              <w:left w:val="nil"/>
              <w:right w:val="nil"/>
            </w:tcBorders>
          </w:tcPr>
          <w:p w14:paraId="6FDF8109"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1.000</w:t>
            </w:r>
          </w:p>
        </w:tc>
        <w:tc>
          <w:tcPr>
            <w:tcW w:w="854" w:type="dxa"/>
            <w:tcBorders>
              <w:top w:val="nil"/>
              <w:left w:val="nil"/>
              <w:right w:val="nil"/>
            </w:tcBorders>
          </w:tcPr>
          <w:p w14:paraId="6C66357F"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r>
      <w:tr w:rsidR="00405B19" w:rsidRPr="00405B19" w14:paraId="3D9B8EE7" w14:textId="77777777" w:rsidTr="00617949">
        <w:tc>
          <w:tcPr>
            <w:tcW w:w="1816" w:type="dxa"/>
            <w:tcBorders>
              <w:top w:val="nil"/>
              <w:left w:val="nil"/>
              <w:bottom w:val="single" w:sz="4" w:space="0" w:color="auto"/>
              <w:right w:val="nil"/>
            </w:tcBorders>
          </w:tcPr>
          <w:p w14:paraId="5006061D" w14:textId="77777777" w:rsidR="00405B19" w:rsidRPr="00405B19" w:rsidRDefault="00405B19" w:rsidP="00405B19">
            <w:pPr>
              <w:spacing w:after="0" w:line="360" w:lineRule="auto"/>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 xml:space="preserve">(9) </w:t>
            </w:r>
            <w:r w:rsidRPr="00405B19">
              <w:rPr>
                <w:rFonts w:ascii="Times New Roman" w:eastAsia="Times New Roman" w:hAnsi="Times New Roman" w:cs="Times New Roman"/>
                <w:bCs/>
                <w:i/>
                <w:iCs/>
                <w:lang w:val="en-GB" w:eastAsia="en-GB"/>
              </w:rPr>
              <w:t>Audit fees</w:t>
            </w:r>
          </w:p>
        </w:tc>
        <w:tc>
          <w:tcPr>
            <w:tcW w:w="854" w:type="dxa"/>
            <w:tcBorders>
              <w:top w:val="nil"/>
              <w:left w:val="nil"/>
              <w:bottom w:val="single" w:sz="4" w:space="0" w:color="auto"/>
              <w:right w:val="nil"/>
            </w:tcBorders>
          </w:tcPr>
          <w:p w14:paraId="122574FC" w14:textId="77777777" w:rsidR="00405B19" w:rsidRPr="00405B19" w:rsidRDefault="00405B19" w:rsidP="00405B19">
            <w:pPr>
              <w:spacing w:after="0" w:line="240" w:lineRule="auto"/>
              <w:jc w:val="both"/>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2.78</w:t>
            </w:r>
          </w:p>
        </w:tc>
        <w:tc>
          <w:tcPr>
            <w:tcW w:w="854" w:type="dxa"/>
            <w:tcBorders>
              <w:top w:val="nil"/>
              <w:left w:val="nil"/>
              <w:bottom w:val="single" w:sz="4" w:space="0" w:color="auto"/>
              <w:right w:val="nil"/>
            </w:tcBorders>
          </w:tcPr>
          <w:p w14:paraId="420590FC"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0.019</w:t>
            </w:r>
          </w:p>
        </w:tc>
        <w:tc>
          <w:tcPr>
            <w:tcW w:w="854" w:type="dxa"/>
            <w:tcBorders>
              <w:top w:val="nil"/>
              <w:left w:val="nil"/>
              <w:bottom w:val="single" w:sz="4" w:space="0" w:color="auto"/>
              <w:right w:val="nil"/>
            </w:tcBorders>
          </w:tcPr>
          <w:p w14:paraId="6A97D82E"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-0.021</w:t>
            </w:r>
          </w:p>
        </w:tc>
        <w:tc>
          <w:tcPr>
            <w:tcW w:w="854" w:type="dxa"/>
            <w:tcBorders>
              <w:top w:val="nil"/>
              <w:left w:val="nil"/>
              <w:bottom w:val="single" w:sz="4" w:space="0" w:color="auto"/>
              <w:right w:val="nil"/>
            </w:tcBorders>
          </w:tcPr>
          <w:p w14:paraId="5E4D453C"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-0.060</w:t>
            </w:r>
          </w:p>
        </w:tc>
        <w:tc>
          <w:tcPr>
            <w:tcW w:w="854" w:type="dxa"/>
            <w:tcBorders>
              <w:top w:val="nil"/>
              <w:left w:val="nil"/>
              <w:bottom w:val="single" w:sz="4" w:space="0" w:color="auto"/>
              <w:right w:val="nil"/>
            </w:tcBorders>
          </w:tcPr>
          <w:p w14:paraId="5565F78C"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0.009</w:t>
            </w:r>
          </w:p>
        </w:tc>
        <w:tc>
          <w:tcPr>
            <w:tcW w:w="854" w:type="dxa"/>
            <w:tcBorders>
              <w:top w:val="nil"/>
              <w:left w:val="nil"/>
              <w:bottom w:val="single" w:sz="4" w:space="0" w:color="auto"/>
              <w:right w:val="nil"/>
            </w:tcBorders>
          </w:tcPr>
          <w:p w14:paraId="43D68D27"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-0.025</w:t>
            </w:r>
          </w:p>
        </w:tc>
        <w:tc>
          <w:tcPr>
            <w:tcW w:w="854" w:type="dxa"/>
            <w:tcBorders>
              <w:top w:val="nil"/>
              <w:left w:val="nil"/>
              <w:bottom w:val="single" w:sz="4" w:space="0" w:color="auto"/>
              <w:right w:val="nil"/>
            </w:tcBorders>
          </w:tcPr>
          <w:p w14:paraId="18F1DC19"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0.023</w:t>
            </w:r>
          </w:p>
        </w:tc>
        <w:tc>
          <w:tcPr>
            <w:tcW w:w="854" w:type="dxa"/>
            <w:tcBorders>
              <w:top w:val="nil"/>
              <w:left w:val="nil"/>
              <w:bottom w:val="single" w:sz="4" w:space="0" w:color="auto"/>
              <w:right w:val="nil"/>
            </w:tcBorders>
          </w:tcPr>
          <w:p w14:paraId="11957723"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-0.028</w:t>
            </w:r>
          </w:p>
        </w:tc>
        <w:tc>
          <w:tcPr>
            <w:tcW w:w="854" w:type="dxa"/>
            <w:tcBorders>
              <w:top w:val="nil"/>
              <w:left w:val="nil"/>
              <w:bottom w:val="single" w:sz="4" w:space="0" w:color="auto"/>
              <w:right w:val="nil"/>
            </w:tcBorders>
          </w:tcPr>
          <w:p w14:paraId="2E083B34"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-0.009</w:t>
            </w:r>
          </w:p>
        </w:tc>
        <w:tc>
          <w:tcPr>
            <w:tcW w:w="854" w:type="dxa"/>
            <w:tcBorders>
              <w:top w:val="nil"/>
              <w:left w:val="nil"/>
              <w:bottom w:val="single" w:sz="4" w:space="0" w:color="auto"/>
              <w:right w:val="nil"/>
            </w:tcBorders>
          </w:tcPr>
          <w:p w14:paraId="0CD40A4B"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1.000</w:t>
            </w:r>
          </w:p>
        </w:tc>
      </w:tr>
    </w:tbl>
    <w:p w14:paraId="13C5FB7A" w14:textId="77777777" w:rsidR="00405B19" w:rsidRPr="00405B19" w:rsidRDefault="00405B19" w:rsidP="00405B19">
      <w:pPr>
        <w:spacing w:after="200" w:line="360" w:lineRule="auto"/>
        <w:jc w:val="both"/>
        <w:rPr>
          <w:rFonts w:ascii="Times New Roman" w:eastAsia="SimSun" w:hAnsi="Times New Roman" w:cs="Times New Roman"/>
          <w:sz w:val="28"/>
          <w:szCs w:val="28"/>
          <w:lang w:eastAsia="zh-CN"/>
        </w:rPr>
      </w:pPr>
      <w:r w:rsidRPr="00405B19">
        <w:rPr>
          <w:rFonts w:ascii="Times New Roman" w:eastAsia="SimSun" w:hAnsi="Times New Roman" w:cs="Times New Roman"/>
          <w:b/>
          <w:bCs/>
          <w:sz w:val="28"/>
          <w:szCs w:val="28"/>
          <w:lang w:eastAsia="zh-CN"/>
        </w:rPr>
        <w:t xml:space="preserve">                         </w:t>
      </w:r>
      <w:r w:rsidRPr="00405B19">
        <w:rPr>
          <w:rFonts w:ascii="Times New Roman" w:eastAsia="SimSun" w:hAnsi="Times New Roman" w:cs="Times New Roman"/>
          <w:lang w:eastAsia="zh-CN"/>
        </w:rPr>
        <w:t xml:space="preserve">1.79 </w:t>
      </w:r>
    </w:p>
    <w:p w14:paraId="2D4D3CB5" w14:textId="77777777" w:rsidR="00405B19" w:rsidRPr="00405B19" w:rsidRDefault="00405B19" w:rsidP="00405B19">
      <w:pPr>
        <w:spacing w:after="0" w:line="240" w:lineRule="auto"/>
        <w:jc w:val="both"/>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Note:  Pearson's correlation coefficients are shown in the table. The mean value of variance inflation factors (VIF) is 1.79 and the maximum VIF is 1.88. A detailed description of the variables is provided in Appendix I. ***, **, and * denote significance at 1%, 5%, and 10% respectively.</w:t>
      </w:r>
    </w:p>
    <w:p w14:paraId="071EA6E0" w14:textId="30FFE412" w:rsidR="00405B19" w:rsidRDefault="00405B19" w:rsidP="00405B19">
      <w:pPr>
        <w:spacing w:after="200" w:line="360" w:lineRule="auto"/>
        <w:jc w:val="both"/>
        <w:rPr>
          <w:rFonts w:ascii="Times New Roman" w:eastAsia="SimSun" w:hAnsi="Times New Roman" w:cs="Times New Roman"/>
          <w:b/>
          <w:bCs/>
          <w:sz w:val="32"/>
          <w:szCs w:val="32"/>
          <w:lang w:eastAsia="zh-CN"/>
        </w:rPr>
      </w:pPr>
    </w:p>
    <w:p w14:paraId="60F304B3" w14:textId="77777777" w:rsidR="00713DA9" w:rsidRPr="00713DA9" w:rsidRDefault="00713DA9" w:rsidP="00713DA9">
      <w:pPr>
        <w:spacing w:after="200" w:line="360" w:lineRule="auto"/>
        <w:jc w:val="both"/>
        <w:rPr>
          <w:rFonts w:ascii="Times New Roman" w:eastAsia="SimSun" w:hAnsi="Times New Roman" w:cs="Times New Roman"/>
          <w:b/>
          <w:bCs/>
          <w:sz w:val="28"/>
          <w:szCs w:val="28"/>
          <w:lang w:eastAsia="zh-CN"/>
        </w:rPr>
      </w:pPr>
      <w:r w:rsidRPr="00713DA9">
        <w:rPr>
          <w:rFonts w:ascii="Times New Roman" w:eastAsia="SimSun" w:hAnsi="Times New Roman" w:cs="Times New Roman"/>
          <w:b/>
          <w:bCs/>
          <w:sz w:val="28"/>
          <w:szCs w:val="28"/>
          <w:lang w:eastAsia="zh-CN"/>
        </w:rPr>
        <w:t>4.2 | Main findings</w:t>
      </w:r>
    </w:p>
    <w:p w14:paraId="42608012" w14:textId="3C5A9EAE" w:rsidR="007A1733" w:rsidRDefault="00713DA9" w:rsidP="00656426">
      <w:pPr>
        <w:spacing w:after="200" w:line="360" w:lineRule="auto"/>
        <w:jc w:val="both"/>
        <w:rPr>
          <w:rFonts w:ascii="Times New Roman" w:eastAsia="SimSun" w:hAnsi="Times New Roman" w:cs="Times New Roman"/>
          <w:sz w:val="28"/>
          <w:szCs w:val="28"/>
          <w:lang w:eastAsia="zh-CN"/>
        </w:rPr>
      </w:pPr>
      <w:r w:rsidRPr="00713DA9">
        <w:rPr>
          <w:rFonts w:ascii="Times New Roman" w:eastAsia="SimSun" w:hAnsi="Times New Roman" w:cs="Times New Roman"/>
          <w:sz w:val="28"/>
          <w:szCs w:val="28"/>
          <w:lang w:eastAsia="zh-CN"/>
        </w:rPr>
        <w:t>Our baseline model in the full sample examines the relationship between CEO overconfidence and ESG performance. Table 3 presents the main results of the study. Column 1 is a baseline model that includes the main variables without control variables. Our results indicate that the coefficient of CEO overconfidence is significantly positive at (β = 2.69, p &lt; 1%) without control variables. Column (2) shows that the coefficient on CEO overconfidence is significantly positive at (β = 3.51, p &lt; 1%) after controlling for the control variables. This result supports Hypothesis 1</w:t>
      </w:r>
      <w:r w:rsidR="00AE4336">
        <w:rPr>
          <w:rFonts w:ascii="Times New Roman" w:eastAsia="SimSun" w:hAnsi="Times New Roman" w:cs="Times New Roman"/>
          <w:sz w:val="28"/>
          <w:szCs w:val="28"/>
          <w:lang w:eastAsia="zh-CN"/>
        </w:rPr>
        <w:t>A</w:t>
      </w:r>
      <w:r w:rsidRPr="00713DA9">
        <w:rPr>
          <w:rFonts w:ascii="Times New Roman" w:eastAsia="SimSun" w:hAnsi="Times New Roman" w:cs="Times New Roman"/>
          <w:sz w:val="28"/>
          <w:szCs w:val="28"/>
          <w:lang w:eastAsia="zh-CN"/>
        </w:rPr>
        <w:t>, suggesting that a CEO's overconfidence positively influences ESG performance.</w:t>
      </w:r>
    </w:p>
    <w:p w14:paraId="7B864A0E" w14:textId="69D3FAE9" w:rsidR="005F5CAF" w:rsidRDefault="005F5CAF" w:rsidP="00656426">
      <w:pPr>
        <w:spacing w:after="200" w:line="360" w:lineRule="auto"/>
        <w:jc w:val="both"/>
        <w:rPr>
          <w:rFonts w:ascii="Times New Roman" w:eastAsia="SimSun" w:hAnsi="Times New Roman" w:cs="Times New Roman"/>
          <w:sz w:val="28"/>
          <w:szCs w:val="28"/>
          <w:lang w:eastAsia="zh-CN"/>
        </w:rPr>
      </w:pPr>
    </w:p>
    <w:p w14:paraId="65B036D0" w14:textId="77777777" w:rsidR="005F5CAF" w:rsidRPr="007A1733" w:rsidRDefault="005F5CAF" w:rsidP="00656426">
      <w:pPr>
        <w:spacing w:after="200" w:line="360" w:lineRule="auto"/>
        <w:jc w:val="both"/>
        <w:rPr>
          <w:rFonts w:ascii="Times New Roman" w:eastAsia="SimSun" w:hAnsi="Times New Roman" w:cs="Times New Roman"/>
          <w:sz w:val="28"/>
          <w:szCs w:val="28"/>
          <w:lang w:eastAsia="zh-CN"/>
        </w:rPr>
      </w:pPr>
    </w:p>
    <w:tbl>
      <w:tblPr>
        <w:tblW w:w="8838" w:type="dxa"/>
        <w:tblLayout w:type="fixed"/>
        <w:tblLook w:val="04A0" w:firstRow="1" w:lastRow="0" w:firstColumn="1" w:lastColumn="0" w:noHBand="0" w:noVBand="1"/>
      </w:tblPr>
      <w:tblGrid>
        <w:gridCol w:w="1800"/>
        <w:gridCol w:w="1408"/>
        <w:gridCol w:w="1620"/>
        <w:gridCol w:w="2070"/>
        <w:gridCol w:w="1940"/>
      </w:tblGrid>
      <w:tr w:rsidR="007A1733" w:rsidRPr="007A1733" w14:paraId="6D155C34" w14:textId="77777777" w:rsidTr="007A1733">
        <w:trPr>
          <w:trHeight w:hRule="exact" w:val="280"/>
        </w:trPr>
        <w:tc>
          <w:tcPr>
            <w:tcW w:w="8838" w:type="dxa"/>
            <w:gridSpan w:val="5"/>
            <w:tcBorders>
              <w:bottom w:val="single" w:sz="4" w:space="0" w:color="auto"/>
            </w:tcBorders>
            <w:shd w:val="clear" w:color="auto" w:fill="F2F2F2"/>
          </w:tcPr>
          <w:p w14:paraId="0B1E0484" w14:textId="77777777" w:rsidR="007A1733" w:rsidRPr="007A1733" w:rsidRDefault="007A1733" w:rsidP="007A1733">
            <w:pPr>
              <w:shd w:val="clear" w:color="auto" w:fill="F2F2F2"/>
              <w:spacing w:after="0" w:line="240" w:lineRule="auto"/>
              <w:rPr>
                <w:rFonts w:ascii="Times New Roman" w:eastAsia="DengXian" w:hAnsi="Times New Roman" w:cs="Times New Roman"/>
                <w:b/>
                <w:bCs/>
                <w:sz w:val="24"/>
                <w:szCs w:val="24"/>
                <w:lang w:eastAsia="zh-CN"/>
              </w:rPr>
            </w:pPr>
            <w:r w:rsidRPr="007A1733">
              <w:rPr>
                <w:rFonts w:ascii="Times New Roman" w:eastAsia="DengXian" w:hAnsi="Times New Roman" w:cs="Times New Roman"/>
                <w:b/>
                <w:bCs/>
                <w:sz w:val="24"/>
                <w:szCs w:val="24"/>
                <w:lang w:eastAsia="zh-CN"/>
              </w:rPr>
              <w:lastRenderedPageBreak/>
              <w:t>Table 3: The relationship between CEO Overconfidence and ESG Performance</w:t>
            </w:r>
          </w:p>
          <w:p w14:paraId="199FE47E" w14:textId="77777777" w:rsidR="007A1733" w:rsidRPr="007A1733" w:rsidRDefault="007A1733" w:rsidP="007A1733">
            <w:pPr>
              <w:spacing w:after="0" w:line="240" w:lineRule="auto"/>
              <w:rPr>
                <w:rFonts w:ascii="Times New Roman" w:eastAsia="DengXian" w:hAnsi="Times New Roman" w:cs="Times New Roman"/>
                <w:sz w:val="24"/>
                <w:szCs w:val="24"/>
                <w:lang w:eastAsia="zh-CN"/>
              </w:rPr>
            </w:pPr>
          </w:p>
          <w:p w14:paraId="260D7384"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r>
      <w:tr w:rsidR="007A1733" w:rsidRPr="007A1733" w14:paraId="3529C8DC" w14:textId="77777777" w:rsidTr="007A1733">
        <w:trPr>
          <w:trHeight w:hRule="exact" w:val="379"/>
        </w:trPr>
        <w:tc>
          <w:tcPr>
            <w:tcW w:w="1800" w:type="dxa"/>
            <w:tcBorders>
              <w:top w:val="single" w:sz="4" w:space="0" w:color="auto"/>
              <w:bottom w:val="single" w:sz="4" w:space="0" w:color="auto"/>
            </w:tcBorders>
            <w:shd w:val="clear" w:color="auto" w:fill="D9D9D9"/>
          </w:tcPr>
          <w:p w14:paraId="677F1B25" w14:textId="77777777" w:rsidR="007A1733" w:rsidRPr="007A1733" w:rsidRDefault="007A1733" w:rsidP="007A1733">
            <w:pPr>
              <w:widowControl w:val="0"/>
              <w:spacing w:after="0" w:line="276" w:lineRule="auto"/>
              <w:rPr>
                <w:rFonts w:ascii="Times New Roman" w:eastAsia="Times New Roman" w:hAnsi="Times New Roman" w:cs="Times New Roman"/>
                <w:b/>
                <w:sz w:val="20"/>
                <w:szCs w:val="20"/>
                <w:lang w:val="en-GB" w:eastAsia="en-GB"/>
              </w:rPr>
            </w:pPr>
          </w:p>
        </w:tc>
        <w:tc>
          <w:tcPr>
            <w:tcW w:w="1408" w:type="dxa"/>
            <w:tcBorders>
              <w:top w:val="single" w:sz="4" w:space="0" w:color="auto"/>
              <w:bottom w:val="single" w:sz="4" w:space="0" w:color="auto"/>
            </w:tcBorders>
            <w:shd w:val="clear" w:color="auto" w:fill="D9D9D9"/>
          </w:tcPr>
          <w:p w14:paraId="124135C8"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p w14:paraId="6AB8FD3D"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p w14:paraId="55D80738"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c>
          <w:tcPr>
            <w:tcW w:w="5630" w:type="dxa"/>
            <w:gridSpan w:val="3"/>
            <w:tcBorders>
              <w:top w:val="single" w:sz="4" w:space="0" w:color="auto"/>
              <w:bottom w:val="single" w:sz="4" w:space="0" w:color="auto"/>
            </w:tcBorders>
            <w:shd w:val="clear" w:color="auto" w:fill="D9D9D9"/>
          </w:tcPr>
          <w:p w14:paraId="5B99C50F" w14:textId="77777777" w:rsidR="007A1733" w:rsidRPr="007A1733" w:rsidRDefault="007A1733" w:rsidP="007A1733">
            <w:pPr>
              <w:spacing w:after="0" w:line="480" w:lineRule="auto"/>
              <w:jc w:val="center"/>
              <w:rPr>
                <w:rFonts w:ascii="Times New Roman" w:eastAsia="Times New Roman" w:hAnsi="Times New Roman" w:cs="Times New Roman"/>
                <w:bCs/>
                <w:lang w:val="en-GB" w:eastAsia="en-GB"/>
              </w:rPr>
            </w:pPr>
            <w:r w:rsidRPr="007A1733">
              <w:rPr>
                <w:rFonts w:ascii="Times New Roman" w:eastAsia="Times New Roman" w:hAnsi="Times New Roman" w:cs="Times New Roman"/>
                <w:bCs/>
                <w:lang w:val="en-GB" w:eastAsia="en-GB"/>
              </w:rPr>
              <w:t>OLS</w:t>
            </w:r>
          </w:p>
        </w:tc>
      </w:tr>
      <w:tr w:rsidR="007A1733" w:rsidRPr="007A1733" w14:paraId="6ACAD3BF" w14:textId="77777777" w:rsidTr="00617949">
        <w:trPr>
          <w:trHeight w:hRule="exact" w:val="280"/>
        </w:trPr>
        <w:tc>
          <w:tcPr>
            <w:tcW w:w="1800" w:type="dxa"/>
            <w:tcBorders>
              <w:top w:val="single" w:sz="4" w:space="0" w:color="auto"/>
              <w:left w:val="single" w:sz="4" w:space="0" w:color="auto"/>
              <w:right w:val="single" w:sz="4" w:space="0" w:color="auto"/>
            </w:tcBorders>
          </w:tcPr>
          <w:p w14:paraId="1F0B75CB" w14:textId="77777777" w:rsidR="007A1733" w:rsidRPr="007A1733" w:rsidRDefault="007A1733" w:rsidP="007A1733">
            <w:pPr>
              <w:widowControl w:val="0"/>
              <w:spacing w:after="0" w:line="276" w:lineRule="auto"/>
              <w:rPr>
                <w:rFonts w:ascii="Times New Roman" w:eastAsia="Times New Roman" w:hAnsi="Times New Roman" w:cs="Times New Roman"/>
                <w:b/>
                <w:sz w:val="20"/>
                <w:szCs w:val="20"/>
                <w:lang w:val="en-GB" w:eastAsia="en-GB"/>
              </w:rPr>
            </w:pPr>
          </w:p>
        </w:tc>
        <w:tc>
          <w:tcPr>
            <w:tcW w:w="1408" w:type="dxa"/>
            <w:tcBorders>
              <w:top w:val="single" w:sz="4" w:space="0" w:color="auto"/>
              <w:left w:val="single" w:sz="4" w:space="0" w:color="auto"/>
            </w:tcBorders>
          </w:tcPr>
          <w:p w14:paraId="15B2A65E" w14:textId="77777777" w:rsidR="007A1733" w:rsidRPr="007A1733" w:rsidRDefault="007A1733" w:rsidP="007A1733">
            <w:pPr>
              <w:spacing w:after="0" w:line="240" w:lineRule="auto"/>
              <w:jc w:val="center"/>
              <w:rPr>
                <w:rFonts w:ascii="Times New Roman" w:eastAsia="Times New Roman" w:hAnsi="Times New Roman" w:cs="Times New Roman"/>
                <w:bCs/>
                <w:sz w:val="20"/>
                <w:szCs w:val="20"/>
                <w:lang w:val="en-GB" w:eastAsia="en-GB"/>
              </w:rPr>
            </w:pPr>
          </w:p>
        </w:tc>
        <w:tc>
          <w:tcPr>
            <w:tcW w:w="1620" w:type="dxa"/>
            <w:tcBorders>
              <w:top w:val="single" w:sz="4" w:space="0" w:color="auto"/>
            </w:tcBorders>
          </w:tcPr>
          <w:p w14:paraId="01A531C7" w14:textId="77777777" w:rsidR="007A1733" w:rsidRPr="007A1733" w:rsidRDefault="007A1733" w:rsidP="007A1733">
            <w:pPr>
              <w:spacing w:after="0" w:line="240" w:lineRule="auto"/>
              <w:jc w:val="center"/>
              <w:rPr>
                <w:rFonts w:ascii="Times New Roman" w:eastAsia="SimSun" w:hAnsi="Times New Roman" w:cs="Times New Roman"/>
                <w:i/>
                <w:iCs/>
                <w:sz w:val="20"/>
                <w:szCs w:val="20"/>
                <w:lang w:eastAsia="zh-CN"/>
              </w:rPr>
            </w:pPr>
            <w:r w:rsidRPr="007A1733">
              <w:rPr>
                <w:rFonts w:ascii="Times New Roman" w:eastAsia="Times New Roman" w:hAnsi="Times New Roman" w:cs="Times New Roman"/>
                <w:bCs/>
                <w:i/>
                <w:iCs/>
                <w:sz w:val="20"/>
                <w:szCs w:val="20"/>
                <w:lang w:val="en-GB" w:eastAsia="en-GB"/>
              </w:rPr>
              <w:t>(1)</w:t>
            </w:r>
            <w:r w:rsidRPr="007A1733">
              <w:rPr>
                <w:rFonts w:ascii="Times New Roman" w:eastAsia="SimSun" w:hAnsi="Times New Roman" w:cs="Times New Roman"/>
                <w:i/>
                <w:iCs/>
                <w:sz w:val="20"/>
                <w:szCs w:val="20"/>
                <w:lang w:eastAsia="zh-CN"/>
              </w:rPr>
              <w:t xml:space="preserve"> </w:t>
            </w:r>
          </w:p>
          <w:p w14:paraId="397359AA" w14:textId="77777777" w:rsidR="007A1733" w:rsidRPr="007A1733" w:rsidRDefault="007A1733" w:rsidP="007A1733">
            <w:pPr>
              <w:spacing w:after="0" w:line="240" w:lineRule="auto"/>
              <w:jc w:val="center"/>
              <w:rPr>
                <w:rFonts w:ascii="Times New Roman" w:eastAsia="Times New Roman" w:hAnsi="Times New Roman" w:cs="Times New Roman"/>
                <w:bCs/>
                <w:i/>
                <w:iCs/>
                <w:sz w:val="20"/>
                <w:szCs w:val="20"/>
                <w:lang w:val="en-GB" w:eastAsia="en-GB"/>
              </w:rPr>
            </w:pPr>
          </w:p>
        </w:tc>
        <w:tc>
          <w:tcPr>
            <w:tcW w:w="2070" w:type="dxa"/>
            <w:vMerge w:val="restart"/>
            <w:tcBorders>
              <w:top w:val="single" w:sz="4" w:space="0" w:color="auto"/>
            </w:tcBorders>
          </w:tcPr>
          <w:p w14:paraId="19439558"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top w:val="single" w:sz="4" w:space="0" w:color="auto"/>
              <w:right w:val="single" w:sz="4" w:space="0" w:color="auto"/>
            </w:tcBorders>
          </w:tcPr>
          <w:p w14:paraId="50C513F4" w14:textId="77777777" w:rsidR="007A1733" w:rsidRPr="007A1733" w:rsidRDefault="007A1733" w:rsidP="007A1733">
            <w:pPr>
              <w:spacing w:after="0" w:line="240" w:lineRule="auto"/>
              <w:jc w:val="center"/>
              <w:rPr>
                <w:rFonts w:ascii="Times New Roman" w:eastAsia="Times New Roman" w:hAnsi="Times New Roman" w:cs="Times New Roman"/>
                <w:bCs/>
                <w:i/>
                <w:iCs/>
                <w:sz w:val="20"/>
                <w:szCs w:val="20"/>
                <w:lang w:val="en-GB" w:eastAsia="en-GB"/>
              </w:rPr>
            </w:pPr>
            <w:r w:rsidRPr="007A1733">
              <w:rPr>
                <w:rFonts w:ascii="Times New Roman" w:eastAsia="Times New Roman" w:hAnsi="Times New Roman" w:cs="Times New Roman"/>
                <w:bCs/>
                <w:i/>
                <w:iCs/>
                <w:sz w:val="20"/>
                <w:szCs w:val="20"/>
                <w:lang w:val="en-GB" w:eastAsia="en-GB"/>
              </w:rPr>
              <w:t>(2)</w:t>
            </w:r>
          </w:p>
          <w:p w14:paraId="339B6051" w14:textId="77777777" w:rsidR="007A1733" w:rsidRPr="007A1733" w:rsidRDefault="007A1733" w:rsidP="007A1733">
            <w:pPr>
              <w:spacing w:after="0" w:line="240" w:lineRule="auto"/>
              <w:jc w:val="center"/>
              <w:rPr>
                <w:rFonts w:ascii="Times New Roman" w:eastAsia="Times New Roman" w:hAnsi="Times New Roman" w:cs="Times New Roman"/>
                <w:bCs/>
                <w:i/>
                <w:iCs/>
                <w:sz w:val="20"/>
                <w:szCs w:val="20"/>
                <w:lang w:val="en-GB" w:eastAsia="en-GB"/>
              </w:rPr>
            </w:pPr>
          </w:p>
        </w:tc>
      </w:tr>
      <w:tr w:rsidR="007A1733" w:rsidRPr="007A1733" w14:paraId="42DC120B" w14:textId="77777777" w:rsidTr="00617949">
        <w:trPr>
          <w:trHeight w:hRule="exact" w:val="325"/>
        </w:trPr>
        <w:tc>
          <w:tcPr>
            <w:tcW w:w="1800" w:type="dxa"/>
            <w:tcBorders>
              <w:left w:val="single" w:sz="4" w:space="0" w:color="auto"/>
              <w:bottom w:val="single" w:sz="4" w:space="0" w:color="auto"/>
              <w:right w:val="single" w:sz="4" w:space="0" w:color="auto"/>
            </w:tcBorders>
          </w:tcPr>
          <w:p w14:paraId="022A3BCE" w14:textId="77777777" w:rsidR="007A1733" w:rsidRPr="007A1733" w:rsidRDefault="007A1733" w:rsidP="007A1733">
            <w:pPr>
              <w:widowControl w:val="0"/>
              <w:spacing w:after="0" w:line="276" w:lineRule="auto"/>
              <w:rPr>
                <w:rFonts w:ascii="Times New Roman" w:eastAsia="Times New Roman" w:hAnsi="Times New Roman" w:cs="Times New Roman"/>
                <w:b/>
                <w:i/>
                <w:iCs/>
                <w:lang w:val="en-GB" w:eastAsia="en-GB"/>
              </w:rPr>
            </w:pPr>
          </w:p>
        </w:tc>
        <w:tc>
          <w:tcPr>
            <w:tcW w:w="1408" w:type="dxa"/>
            <w:tcBorders>
              <w:left w:val="single" w:sz="4" w:space="0" w:color="auto"/>
              <w:bottom w:val="single" w:sz="4" w:space="0" w:color="auto"/>
            </w:tcBorders>
          </w:tcPr>
          <w:p w14:paraId="2944F33A"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c>
          <w:tcPr>
            <w:tcW w:w="1620" w:type="dxa"/>
            <w:tcBorders>
              <w:bottom w:val="single" w:sz="4" w:space="0" w:color="auto"/>
            </w:tcBorders>
          </w:tcPr>
          <w:p w14:paraId="5533C40D"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SimSun" w:hAnsi="Times New Roman" w:cs="Times New Roman"/>
                <w:bCs/>
                <w:i/>
                <w:iCs/>
                <w:sz w:val="20"/>
                <w:szCs w:val="20"/>
                <w:lang w:val="en-GB" w:eastAsia="zh-CN"/>
              </w:rPr>
              <w:t xml:space="preserve">ESG </w:t>
            </w:r>
          </w:p>
          <w:p w14:paraId="3DF4F83F"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2070" w:type="dxa"/>
            <w:vMerge/>
            <w:tcBorders>
              <w:bottom w:val="single" w:sz="4" w:space="0" w:color="auto"/>
            </w:tcBorders>
          </w:tcPr>
          <w:p w14:paraId="79E45456"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bottom w:val="single" w:sz="4" w:space="0" w:color="auto"/>
              <w:right w:val="single" w:sz="4" w:space="0" w:color="auto"/>
            </w:tcBorders>
          </w:tcPr>
          <w:p w14:paraId="47846413" w14:textId="77777777" w:rsidR="007A1733" w:rsidRPr="007A1733" w:rsidRDefault="007A1733" w:rsidP="007A1733">
            <w:pPr>
              <w:spacing w:after="0" w:line="240" w:lineRule="auto"/>
              <w:jc w:val="center"/>
              <w:rPr>
                <w:rFonts w:ascii="Times New Roman" w:eastAsia="SimSun" w:hAnsi="Times New Roman" w:cs="Times New Roman"/>
                <w:bCs/>
                <w:i/>
                <w:iCs/>
                <w:sz w:val="20"/>
                <w:szCs w:val="20"/>
                <w:lang w:val="en-GB" w:eastAsia="zh-CN"/>
              </w:rPr>
            </w:pPr>
            <w:r w:rsidRPr="007A1733">
              <w:rPr>
                <w:rFonts w:ascii="Times New Roman" w:eastAsia="SimSun" w:hAnsi="Times New Roman" w:cs="Times New Roman"/>
                <w:bCs/>
                <w:i/>
                <w:iCs/>
                <w:sz w:val="20"/>
                <w:szCs w:val="20"/>
                <w:lang w:val="en-GB" w:eastAsia="zh-CN"/>
              </w:rPr>
              <w:t xml:space="preserve">ESG </w:t>
            </w:r>
          </w:p>
          <w:p w14:paraId="3CFFF80E" w14:textId="77777777" w:rsidR="007A1733" w:rsidRPr="007A1733" w:rsidRDefault="007A1733" w:rsidP="007A1733">
            <w:pPr>
              <w:spacing w:after="0" w:line="240" w:lineRule="auto"/>
              <w:jc w:val="center"/>
              <w:rPr>
                <w:rFonts w:ascii="Times New Roman" w:eastAsia="Times New Roman" w:hAnsi="Times New Roman" w:cs="Times New Roman"/>
                <w:bCs/>
                <w:i/>
                <w:iCs/>
                <w:sz w:val="20"/>
                <w:szCs w:val="20"/>
                <w:lang w:val="en-GB" w:eastAsia="en-GB"/>
              </w:rPr>
            </w:pPr>
          </w:p>
        </w:tc>
      </w:tr>
      <w:tr w:rsidR="007A1733" w:rsidRPr="007A1733" w14:paraId="204B61F5" w14:textId="77777777" w:rsidTr="00617949">
        <w:trPr>
          <w:trHeight w:hRule="exact" w:val="280"/>
        </w:trPr>
        <w:tc>
          <w:tcPr>
            <w:tcW w:w="1800" w:type="dxa"/>
            <w:tcBorders>
              <w:top w:val="single" w:sz="4" w:space="0" w:color="auto"/>
              <w:left w:val="single" w:sz="4" w:space="0" w:color="auto"/>
              <w:right w:val="single" w:sz="4" w:space="0" w:color="auto"/>
            </w:tcBorders>
          </w:tcPr>
          <w:p w14:paraId="0FAD0B7D"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r w:rsidRPr="007A1733">
              <w:rPr>
                <w:rFonts w:ascii="Times New Roman" w:eastAsia="Times New Roman" w:hAnsi="Times New Roman" w:cs="Times New Roman"/>
                <w:bCs/>
                <w:i/>
                <w:iCs/>
                <w:lang w:eastAsia="en-GB"/>
              </w:rPr>
              <w:t xml:space="preserve">OC </w:t>
            </w:r>
          </w:p>
        </w:tc>
        <w:tc>
          <w:tcPr>
            <w:tcW w:w="1408" w:type="dxa"/>
            <w:tcBorders>
              <w:top w:val="single" w:sz="4" w:space="0" w:color="auto"/>
              <w:left w:val="single" w:sz="4" w:space="0" w:color="auto"/>
            </w:tcBorders>
          </w:tcPr>
          <w:p w14:paraId="7C9E6591" w14:textId="77777777" w:rsidR="007A1733" w:rsidRPr="007A1733" w:rsidRDefault="007A1733" w:rsidP="007A1733">
            <w:pPr>
              <w:spacing w:after="200" w:line="276" w:lineRule="auto"/>
              <w:jc w:val="center"/>
              <w:rPr>
                <w:rFonts w:ascii="Times New Roman" w:eastAsia="DengXian" w:hAnsi="Times New Roman" w:cs="Times New Roman"/>
                <w:sz w:val="20"/>
                <w:szCs w:val="20"/>
                <w:lang w:eastAsia="zh-CN"/>
              </w:rPr>
            </w:pPr>
          </w:p>
        </w:tc>
        <w:tc>
          <w:tcPr>
            <w:tcW w:w="1620" w:type="dxa"/>
            <w:tcBorders>
              <w:top w:val="single" w:sz="4" w:space="0" w:color="auto"/>
            </w:tcBorders>
          </w:tcPr>
          <w:p w14:paraId="63AB5D7D"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r w:rsidRPr="007A1733">
              <w:rPr>
                <w:rFonts w:ascii="Times New Roman" w:eastAsia="DengXian" w:hAnsi="Times New Roman" w:cs="Times New Roman"/>
                <w:i/>
                <w:iCs/>
                <w:sz w:val="20"/>
                <w:szCs w:val="20"/>
                <w:lang w:eastAsia="zh-CN"/>
              </w:rPr>
              <w:t>2.69***</w:t>
            </w:r>
          </w:p>
        </w:tc>
        <w:tc>
          <w:tcPr>
            <w:tcW w:w="2070" w:type="dxa"/>
            <w:tcBorders>
              <w:top w:val="single" w:sz="4" w:space="0" w:color="auto"/>
            </w:tcBorders>
          </w:tcPr>
          <w:p w14:paraId="402E8151"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c>
          <w:tcPr>
            <w:tcW w:w="1940" w:type="dxa"/>
            <w:tcBorders>
              <w:top w:val="single" w:sz="4" w:space="0" w:color="auto"/>
              <w:right w:val="single" w:sz="4" w:space="0" w:color="auto"/>
            </w:tcBorders>
          </w:tcPr>
          <w:p w14:paraId="5323D266"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r w:rsidRPr="007A1733">
              <w:rPr>
                <w:rFonts w:ascii="Times New Roman" w:eastAsia="DengXian" w:hAnsi="Times New Roman" w:cs="Times New Roman"/>
                <w:i/>
                <w:iCs/>
                <w:sz w:val="20"/>
                <w:szCs w:val="20"/>
                <w:lang w:eastAsia="zh-CN"/>
              </w:rPr>
              <w:t>3.51***</w:t>
            </w:r>
          </w:p>
        </w:tc>
      </w:tr>
      <w:tr w:rsidR="007A1733" w:rsidRPr="007A1733" w14:paraId="78D103ED" w14:textId="77777777" w:rsidTr="00617949">
        <w:trPr>
          <w:trHeight w:hRule="exact" w:val="280"/>
        </w:trPr>
        <w:tc>
          <w:tcPr>
            <w:tcW w:w="1800" w:type="dxa"/>
            <w:tcBorders>
              <w:left w:val="single" w:sz="4" w:space="0" w:color="auto"/>
              <w:right w:val="single" w:sz="4" w:space="0" w:color="auto"/>
            </w:tcBorders>
          </w:tcPr>
          <w:p w14:paraId="06F9B1C0"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
        </w:tc>
        <w:tc>
          <w:tcPr>
            <w:tcW w:w="1408" w:type="dxa"/>
            <w:tcBorders>
              <w:left w:val="single" w:sz="4" w:space="0" w:color="auto"/>
            </w:tcBorders>
          </w:tcPr>
          <w:p w14:paraId="3424B9A4" w14:textId="77777777" w:rsidR="007A1733" w:rsidRPr="007A1733" w:rsidRDefault="007A1733" w:rsidP="007A1733">
            <w:pPr>
              <w:spacing w:after="0" w:line="480" w:lineRule="auto"/>
              <w:jc w:val="center"/>
              <w:rPr>
                <w:rFonts w:ascii="Times New Roman" w:eastAsia="DengXian" w:hAnsi="Times New Roman" w:cs="Times New Roman"/>
                <w:sz w:val="20"/>
                <w:szCs w:val="20"/>
                <w:lang w:eastAsia="zh-CN"/>
              </w:rPr>
            </w:pPr>
          </w:p>
        </w:tc>
        <w:tc>
          <w:tcPr>
            <w:tcW w:w="1620" w:type="dxa"/>
          </w:tcPr>
          <w:p w14:paraId="7FF28677" w14:textId="77777777" w:rsidR="007A1733" w:rsidRPr="007A1733" w:rsidRDefault="007A1733" w:rsidP="007A1733">
            <w:pPr>
              <w:spacing w:after="0" w:line="480" w:lineRule="auto"/>
              <w:jc w:val="center"/>
              <w:rPr>
                <w:rFonts w:ascii="Times New Roman" w:eastAsia="DengXian" w:hAnsi="Times New Roman" w:cs="Times New Roman"/>
                <w:i/>
                <w:iCs/>
                <w:sz w:val="20"/>
                <w:szCs w:val="20"/>
                <w:lang w:eastAsia="zh-CN"/>
              </w:rPr>
            </w:pPr>
            <w:r w:rsidRPr="007A1733">
              <w:rPr>
                <w:rFonts w:ascii="Times New Roman" w:eastAsia="DengXian" w:hAnsi="Times New Roman" w:cs="Times New Roman"/>
                <w:i/>
                <w:iCs/>
                <w:sz w:val="20"/>
                <w:szCs w:val="20"/>
                <w:lang w:eastAsia="zh-CN"/>
              </w:rPr>
              <w:t>(3.48)</w:t>
            </w:r>
          </w:p>
        </w:tc>
        <w:tc>
          <w:tcPr>
            <w:tcW w:w="2070" w:type="dxa"/>
          </w:tcPr>
          <w:p w14:paraId="161D84C9"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057BC8BF" w14:textId="77777777" w:rsidR="007A1733" w:rsidRPr="007A1733" w:rsidRDefault="007A1733" w:rsidP="007A1733">
            <w:pPr>
              <w:spacing w:after="0" w:line="480" w:lineRule="auto"/>
              <w:jc w:val="center"/>
              <w:rPr>
                <w:rFonts w:ascii="Times New Roman" w:eastAsia="DengXian" w:hAnsi="Times New Roman" w:cs="Times New Roman"/>
                <w:i/>
                <w:iCs/>
                <w:sz w:val="20"/>
                <w:szCs w:val="20"/>
                <w:lang w:eastAsia="zh-CN"/>
              </w:rPr>
            </w:pPr>
            <w:r w:rsidRPr="007A1733">
              <w:rPr>
                <w:rFonts w:ascii="Times New Roman" w:eastAsia="DengXian" w:hAnsi="Times New Roman" w:cs="Times New Roman"/>
                <w:i/>
                <w:iCs/>
                <w:sz w:val="20"/>
                <w:szCs w:val="20"/>
                <w:lang w:eastAsia="zh-CN"/>
              </w:rPr>
              <w:t>(5.71)</w:t>
            </w:r>
          </w:p>
        </w:tc>
      </w:tr>
      <w:tr w:rsidR="007A1733" w:rsidRPr="007A1733" w14:paraId="56CDF323" w14:textId="77777777" w:rsidTr="00617949">
        <w:trPr>
          <w:trHeight w:hRule="exact" w:val="280"/>
        </w:trPr>
        <w:tc>
          <w:tcPr>
            <w:tcW w:w="1800" w:type="dxa"/>
            <w:tcBorders>
              <w:left w:val="single" w:sz="4" w:space="0" w:color="auto"/>
              <w:right w:val="single" w:sz="4" w:space="0" w:color="auto"/>
            </w:tcBorders>
          </w:tcPr>
          <w:p w14:paraId="05909250" w14:textId="77777777" w:rsidR="007A1733" w:rsidRPr="007A1733" w:rsidRDefault="007A1733" w:rsidP="007A1733">
            <w:pPr>
              <w:spacing w:after="200" w:line="276" w:lineRule="auto"/>
              <w:rPr>
                <w:rFonts w:ascii="Times New Roman" w:eastAsia="Times New Roman" w:hAnsi="Times New Roman" w:cs="Times New Roman"/>
                <w:bCs/>
                <w:i/>
                <w:iCs/>
                <w:lang w:val="en-GB" w:eastAsia="en-GB"/>
              </w:rPr>
            </w:pPr>
            <w:r w:rsidRPr="007A1733">
              <w:rPr>
                <w:rFonts w:ascii="Times New Roman" w:eastAsia="Times New Roman" w:hAnsi="Times New Roman" w:cs="Times New Roman"/>
                <w:bCs/>
                <w:i/>
                <w:iCs/>
                <w:lang w:val="en-GB" w:eastAsia="en-GB"/>
              </w:rPr>
              <w:t>Size</w:t>
            </w:r>
          </w:p>
          <w:p w14:paraId="1649BA3E"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
        </w:tc>
        <w:tc>
          <w:tcPr>
            <w:tcW w:w="1408" w:type="dxa"/>
            <w:tcBorders>
              <w:left w:val="single" w:sz="4" w:space="0" w:color="auto"/>
            </w:tcBorders>
          </w:tcPr>
          <w:p w14:paraId="257A9253" w14:textId="77777777" w:rsidR="007A1733" w:rsidRPr="007A1733" w:rsidRDefault="007A1733" w:rsidP="007A1733">
            <w:pPr>
              <w:spacing w:after="0" w:line="480" w:lineRule="auto"/>
              <w:jc w:val="center"/>
              <w:rPr>
                <w:rFonts w:ascii="Times New Roman" w:eastAsia="DengXian" w:hAnsi="Times New Roman" w:cs="Times New Roman"/>
                <w:sz w:val="20"/>
                <w:szCs w:val="20"/>
                <w:lang w:eastAsia="zh-CN"/>
              </w:rPr>
            </w:pPr>
          </w:p>
        </w:tc>
        <w:tc>
          <w:tcPr>
            <w:tcW w:w="1620" w:type="dxa"/>
          </w:tcPr>
          <w:p w14:paraId="6A4C3DA9" w14:textId="77777777" w:rsidR="007A1733" w:rsidRPr="007A1733" w:rsidRDefault="007A1733" w:rsidP="007A1733">
            <w:pPr>
              <w:spacing w:after="0" w:line="480" w:lineRule="auto"/>
              <w:jc w:val="center"/>
              <w:rPr>
                <w:rFonts w:ascii="Times New Roman" w:eastAsia="DengXian" w:hAnsi="Times New Roman" w:cs="Times New Roman"/>
                <w:i/>
                <w:iCs/>
                <w:sz w:val="20"/>
                <w:szCs w:val="20"/>
                <w:lang w:eastAsia="zh-CN"/>
              </w:rPr>
            </w:pPr>
          </w:p>
        </w:tc>
        <w:tc>
          <w:tcPr>
            <w:tcW w:w="2070" w:type="dxa"/>
          </w:tcPr>
          <w:p w14:paraId="09E66F7D"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684FC1E2" w14:textId="77777777" w:rsidR="007A1733" w:rsidRPr="007A1733" w:rsidRDefault="007A1733" w:rsidP="007A1733">
            <w:pPr>
              <w:spacing w:after="0" w:line="480" w:lineRule="auto"/>
              <w:jc w:val="center"/>
              <w:rPr>
                <w:rFonts w:ascii="Times New Roman" w:eastAsia="DengXian" w:hAnsi="Times New Roman" w:cs="Times New Roman"/>
                <w:i/>
                <w:iCs/>
                <w:sz w:val="20"/>
                <w:szCs w:val="20"/>
                <w:lang w:eastAsia="zh-CN"/>
              </w:rPr>
            </w:pPr>
            <w:r w:rsidRPr="007A1733">
              <w:rPr>
                <w:rFonts w:ascii="Times New Roman" w:eastAsia="DengXian" w:hAnsi="Times New Roman" w:cs="Times New Roman"/>
                <w:i/>
                <w:iCs/>
                <w:sz w:val="20"/>
                <w:szCs w:val="20"/>
                <w:lang w:eastAsia="zh-CN"/>
              </w:rPr>
              <w:t>2.03***</w:t>
            </w:r>
          </w:p>
        </w:tc>
      </w:tr>
      <w:tr w:rsidR="007A1733" w:rsidRPr="007A1733" w14:paraId="51D0221A" w14:textId="77777777" w:rsidTr="00617949">
        <w:trPr>
          <w:trHeight w:hRule="exact" w:val="280"/>
        </w:trPr>
        <w:tc>
          <w:tcPr>
            <w:tcW w:w="1800" w:type="dxa"/>
            <w:tcBorders>
              <w:left w:val="single" w:sz="4" w:space="0" w:color="auto"/>
              <w:right w:val="single" w:sz="4" w:space="0" w:color="auto"/>
            </w:tcBorders>
          </w:tcPr>
          <w:p w14:paraId="35F55F1B"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
        </w:tc>
        <w:tc>
          <w:tcPr>
            <w:tcW w:w="1408" w:type="dxa"/>
            <w:tcBorders>
              <w:left w:val="single" w:sz="4" w:space="0" w:color="auto"/>
            </w:tcBorders>
          </w:tcPr>
          <w:p w14:paraId="214E5D09" w14:textId="77777777" w:rsidR="007A1733" w:rsidRPr="007A1733" w:rsidRDefault="007A1733" w:rsidP="007A1733">
            <w:pPr>
              <w:spacing w:after="0" w:line="480" w:lineRule="auto"/>
              <w:jc w:val="center"/>
              <w:rPr>
                <w:rFonts w:ascii="Times New Roman" w:eastAsia="DengXian" w:hAnsi="Times New Roman" w:cs="Times New Roman"/>
                <w:sz w:val="20"/>
                <w:szCs w:val="20"/>
                <w:lang w:eastAsia="zh-CN"/>
              </w:rPr>
            </w:pPr>
          </w:p>
        </w:tc>
        <w:tc>
          <w:tcPr>
            <w:tcW w:w="1620" w:type="dxa"/>
          </w:tcPr>
          <w:p w14:paraId="5653EE05"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2070" w:type="dxa"/>
          </w:tcPr>
          <w:p w14:paraId="6CDF2828"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4814676A"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DengXian" w:hAnsi="Times New Roman" w:cs="Times New Roman"/>
                <w:i/>
                <w:iCs/>
                <w:sz w:val="20"/>
                <w:szCs w:val="20"/>
                <w:lang w:eastAsia="zh-CN"/>
              </w:rPr>
              <w:t>(20.41)</w:t>
            </w:r>
          </w:p>
        </w:tc>
      </w:tr>
      <w:tr w:rsidR="007A1733" w:rsidRPr="007A1733" w14:paraId="7EAFA51F" w14:textId="77777777" w:rsidTr="00617949">
        <w:trPr>
          <w:trHeight w:hRule="exact" w:val="280"/>
        </w:trPr>
        <w:tc>
          <w:tcPr>
            <w:tcW w:w="1800" w:type="dxa"/>
            <w:tcBorders>
              <w:left w:val="single" w:sz="4" w:space="0" w:color="auto"/>
              <w:right w:val="single" w:sz="4" w:space="0" w:color="auto"/>
            </w:tcBorders>
          </w:tcPr>
          <w:p w14:paraId="38B91C0F"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r w:rsidRPr="007A1733">
              <w:rPr>
                <w:rFonts w:ascii="Times New Roman" w:eastAsia="Times New Roman" w:hAnsi="Times New Roman" w:cs="Times New Roman"/>
                <w:bCs/>
                <w:i/>
                <w:iCs/>
                <w:lang w:val="en-GB" w:eastAsia="en-GB"/>
              </w:rPr>
              <w:t>Leverage</w:t>
            </w:r>
          </w:p>
        </w:tc>
        <w:tc>
          <w:tcPr>
            <w:tcW w:w="1408" w:type="dxa"/>
            <w:tcBorders>
              <w:left w:val="single" w:sz="4" w:space="0" w:color="auto"/>
            </w:tcBorders>
          </w:tcPr>
          <w:p w14:paraId="30763268" w14:textId="77777777" w:rsidR="007A1733" w:rsidRPr="007A1733" w:rsidRDefault="007A1733" w:rsidP="007A1733">
            <w:pPr>
              <w:spacing w:after="200" w:line="276" w:lineRule="auto"/>
              <w:jc w:val="center"/>
              <w:rPr>
                <w:rFonts w:ascii="Times New Roman" w:eastAsia="SimSun" w:hAnsi="Times New Roman" w:cs="Times New Roman"/>
                <w:kern w:val="2"/>
                <w:sz w:val="20"/>
                <w:szCs w:val="20"/>
                <w:lang w:eastAsia="zh-CN"/>
              </w:rPr>
            </w:pPr>
          </w:p>
        </w:tc>
        <w:tc>
          <w:tcPr>
            <w:tcW w:w="1620" w:type="dxa"/>
          </w:tcPr>
          <w:p w14:paraId="41789A25"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2070" w:type="dxa"/>
            <w:vAlign w:val="center"/>
          </w:tcPr>
          <w:p w14:paraId="4ABE5987"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c>
          <w:tcPr>
            <w:tcW w:w="1940" w:type="dxa"/>
            <w:tcBorders>
              <w:right w:val="single" w:sz="4" w:space="0" w:color="auto"/>
            </w:tcBorders>
          </w:tcPr>
          <w:p w14:paraId="037D72F4"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r w:rsidRPr="007A1733">
              <w:rPr>
                <w:rFonts w:ascii="Times New Roman" w:eastAsia="DengXian" w:hAnsi="Times New Roman" w:cs="Times New Roman"/>
                <w:i/>
                <w:iCs/>
                <w:sz w:val="20"/>
                <w:szCs w:val="20"/>
                <w:lang w:eastAsia="zh-CN"/>
              </w:rPr>
              <w:t>-9.05***</w:t>
            </w:r>
          </w:p>
        </w:tc>
      </w:tr>
      <w:tr w:rsidR="007A1733" w:rsidRPr="007A1733" w14:paraId="0193E541" w14:textId="77777777" w:rsidTr="00617949">
        <w:trPr>
          <w:trHeight w:hRule="exact" w:val="280"/>
        </w:trPr>
        <w:tc>
          <w:tcPr>
            <w:tcW w:w="1800" w:type="dxa"/>
            <w:tcBorders>
              <w:left w:val="single" w:sz="4" w:space="0" w:color="auto"/>
              <w:right w:val="single" w:sz="4" w:space="0" w:color="auto"/>
            </w:tcBorders>
          </w:tcPr>
          <w:p w14:paraId="335E9617"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
        </w:tc>
        <w:tc>
          <w:tcPr>
            <w:tcW w:w="1408" w:type="dxa"/>
            <w:tcBorders>
              <w:left w:val="single" w:sz="4" w:space="0" w:color="auto"/>
            </w:tcBorders>
          </w:tcPr>
          <w:p w14:paraId="4EB0C5B3"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c>
          <w:tcPr>
            <w:tcW w:w="1620" w:type="dxa"/>
            <w:vAlign w:val="center"/>
          </w:tcPr>
          <w:p w14:paraId="6E9D3998"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c>
          <w:tcPr>
            <w:tcW w:w="2070" w:type="dxa"/>
          </w:tcPr>
          <w:p w14:paraId="20B766B2"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36EB727D"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DengXian" w:hAnsi="Times New Roman" w:cs="Times New Roman"/>
                <w:i/>
                <w:iCs/>
                <w:sz w:val="20"/>
                <w:szCs w:val="20"/>
                <w:lang w:eastAsia="zh-CN"/>
              </w:rPr>
              <w:t>(-16.38)</w:t>
            </w:r>
          </w:p>
        </w:tc>
      </w:tr>
      <w:tr w:rsidR="007A1733" w:rsidRPr="007A1733" w14:paraId="0AE7678A" w14:textId="77777777" w:rsidTr="00617949">
        <w:trPr>
          <w:trHeight w:hRule="exact" w:val="280"/>
        </w:trPr>
        <w:tc>
          <w:tcPr>
            <w:tcW w:w="1800" w:type="dxa"/>
            <w:tcBorders>
              <w:left w:val="single" w:sz="4" w:space="0" w:color="auto"/>
              <w:right w:val="single" w:sz="4" w:space="0" w:color="auto"/>
            </w:tcBorders>
          </w:tcPr>
          <w:p w14:paraId="21CE98CD"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r w:rsidRPr="007A1733">
              <w:rPr>
                <w:rFonts w:ascii="Times New Roman" w:eastAsia="Times New Roman" w:hAnsi="Times New Roman" w:cs="Times New Roman"/>
                <w:bCs/>
                <w:i/>
                <w:iCs/>
                <w:lang w:val="en-GB" w:eastAsia="en-GB"/>
              </w:rPr>
              <w:t>ROA</w:t>
            </w:r>
          </w:p>
        </w:tc>
        <w:tc>
          <w:tcPr>
            <w:tcW w:w="1408" w:type="dxa"/>
            <w:tcBorders>
              <w:left w:val="single" w:sz="4" w:space="0" w:color="auto"/>
            </w:tcBorders>
          </w:tcPr>
          <w:p w14:paraId="0DC8AE11" w14:textId="77777777" w:rsidR="007A1733" w:rsidRPr="007A1733" w:rsidRDefault="007A1733" w:rsidP="007A1733">
            <w:pPr>
              <w:spacing w:after="200" w:line="276" w:lineRule="auto"/>
              <w:jc w:val="center"/>
              <w:rPr>
                <w:rFonts w:ascii="Times New Roman" w:eastAsia="SimSun" w:hAnsi="Times New Roman" w:cs="Times New Roman"/>
                <w:kern w:val="2"/>
                <w:sz w:val="20"/>
                <w:szCs w:val="20"/>
                <w:lang w:eastAsia="zh-CN"/>
              </w:rPr>
            </w:pPr>
          </w:p>
        </w:tc>
        <w:tc>
          <w:tcPr>
            <w:tcW w:w="1620" w:type="dxa"/>
          </w:tcPr>
          <w:p w14:paraId="66CA8CFD"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2070" w:type="dxa"/>
            <w:vAlign w:val="center"/>
          </w:tcPr>
          <w:p w14:paraId="038FC10F"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c>
          <w:tcPr>
            <w:tcW w:w="1940" w:type="dxa"/>
            <w:tcBorders>
              <w:right w:val="single" w:sz="4" w:space="0" w:color="auto"/>
            </w:tcBorders>
            <w:vAlign w:val="center"/>
          </w:tcPr>
          <w:p w14:paraId="3CEE10E6"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r w:rsidRPr="007A1733">
              <w:rPr>
                <w:rFonts w:ascii="Times New Roman" w:eastAsia="SimSun" w:hAnsi="Times New Roman" w:cs="Times New Roman"/>
                <w:i/>
                <w:iCs/>
                <w:kern w:val="2"/>
                <w:sz w:val="20"/>
                <w:szCs w:val="20"/>
                <w:lang w:eastAsia="zh-CN"/>
              </w:rPr>
              <w:t>-2.19*</w:t>
            </w:r>
          </w:p>
          <w:p w14:paraId="140B2717"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r>
      <w:tr w:rsidR="007A1733" w:rsidRPr="007A1733" w14:paraId="7FEC1572" w14:textId="77777777" w:rsidTr="00617949">
        <w:trPr>
          <w:trHeight w:hRule="exact" w:val="280"/>
        </w:trPr>
        <w:tc>
          <w:tcPr>
            <w:tcW w:w="1800" w:type="dxa"/>
            <w:tcBorders>
              <w:left w:val="single" w:sz="4" w:space="0" w:color="auto"/>
              <w:right w:val="single" w:sz="4" w:space="0" w:color="auto"/>
            </w:tcBorders>
          </w:tcPr>
          <w:p w14:paraId="6A7BC5DD"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
        </w:tc>
        <w:tc>
          <w:tcPr>
            <w:tcW w:w="1408" w:type="dxa"/>
            <w:tcBorders>
              <w:left w:val="single" w:sz="4" w:space="0" w:color="auto"/>
            </w:tcBorders>
          </w:tcPr>
          <w:p w14:paraId="296299FC"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c>
          <w:tcPr>
            <w:tcW w:w="1620" w:type="dxa"/>
            <w:vAlign w:val="center"/>
          </w:tcPr>
          <w:p w14:paraId="46BA2533"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c>
          <w:tcPr>
            <w:tcW w:w="2070" w:type="dxa"/>
          </w:tcPr>
          <w:p w14:paraId="6E31E865"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0BAD66DA"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eastAsia="en-GB"/>
              </w:rPr>
            </w:pPr>
            <w:r w:rsidRPr="007A1733">
              <w:rPr>
                <w:rFonts w:ascii="Times New Roman" w:eastAsia="Times New Roman" w:hAnsi="Times New Roman" w:cs="Times New Roman"/>
                <w:bCs/>
                <w:i/>
                <w:iCs/>
                <w:sz w:val="20"/>
                <w:szCs w:val="20"/>
                <w:lang w:eastAsia="en-GB"/>
              </w:rPr>
              <w:t>(-1.66)</w:t>
            </w:r>
          </w:p>
          <w:p w14:paraId="164F6BED"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r>
      <w:tr w:rsidR="007A1733" w:rsidRPr="007A1733" w14:paraId="6A408586" w14:textId="77777777" w:rsidTr="00617949">
        <w:trPr>
          <w:trHeight w:hRule="exact" w:val="280"/>
        </w:trPr>
        <w:tc>
          <w:tcPr>
            <w:tcW w:w="1800" w:type="dxa"/>
            <w:tcBorders>
              <w:left w:val="single" w:sz="4" w:space="0" w:color="auto"/>
              <w:right w:val="single" w:sz="4" w:space="0" w:color="auto"/>
            </w:tcBorders>
          </w:tcPr>
          <w:p w14:paraId="1EFFB904"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r w:rsidRPr="007A1733">
              <w:rPr>
                <w:rFonts w:ascii="Times New Roman" w:eastAsia="Times New Roman" w:hAnsi="Times New Roman" w:cs="Times New Roman"/>
                <w:bCs/>
                <w:i/>
                <w:iCs/>
                <w:lang w:val="en-GB" w:eastAsia="en-GB"/>
              </w:rPr>
              <w:t>Growth</w:t>
            </w:r>
          </w:p>
          <w:p w14:paraId="53699902"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
        </w:tc>
        <w:tc>
          <w:tcPr>
            <w:tcW w:w="1408" w:type="dxa"/>
            <w:tcBorders>
              <w:left w:val="single" w:sz="4" w:space="0" w:color="auto"/>
            </w:tcBorders>
          </w:tcPr>
          <w:p w14:paraId="151FB14E"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c>
          <w:tcPr>
            <w:tcW w:w="1620" w:type="dxa"/>
          </w:tcPr>
          <w:p w14:paraId="7BE1AD10" w14:textId="77777777" w:rsidR="007A1733" w:rsidRPr="007A1733" w:rsidRDefault="007A1733" w:rsidP="007A1733">
            <w:pPr>
              <w:spacing w:after="200" w:line="276" w:lineRule="auto"/>
              <w:jc w:val="center"/>
              <w:rPr>
                <w:rFonts w:ascii="Times New Roman" w:eastAsia="SimSun" w:hAnsi="Times New Roman" w:cs="Times New Roman"/>
                <w:i/>
                <w:iCs/>
                <w:sz w:val="20"/>
                <w:szCs w:val="20"/>
                <w:lang w:eastAsia="zh-CN"/>
              </w:rPr>
            </w:pPr>
          </w:p>
        </w:tc>
        <w:tc>
          <w:tcPr>
            <w:tcW w:w="2070" w:type="dxa"/>
          </w:tcPr>
          <w:p w14:paraId="1BB933B4"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2B0141A8"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Times New Roman" w:hAnsi="Times New Roman" w:cs="Times New Roman"/>
                <w:bCs/>
                <w:i/>
                <w:iCs/>
                <w:sz w:val="20"/>
                <w:szCs w:val="20"/>
                <w:lang w:val="en-GB" w:eastAsia="en-GB"/>
              </w:rPr>
              <w:t>-0.01</w:t>
            </w:r>
          </w:p>
        </w:tc>
      </w:tr>
      <w:tr w:rsidR="007A1733" w:rsidRPr="007A1733" w14:paraId="304F3A78" w14:textId="77777777" w:rsidTr="00617949">
        <w:trPr>
          <w:trHeight w:hRule="exact" w:val="280"/>
        </w:trPr>
        <w:tc>
          <w:tcPr>
            <w:tcW w:w="1800" w:type="dxa"/>
            <w:tcBorders>
              <w:left w:val="single" w:sz="4" w:space="0" w:color="auto"/>
              <w:right w:val="single" w:sz="4" w:space="0" w:color="auto"/>
            </w:tcBorders>
          </w:tcPr>
          <w:p w14:paraId="484F480F"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
        </w:tc>
        <w:tc>
          <w:tcPr>
            <w:tcW w:w="1408" w:type="dxa"/>
            <w:tcBorders>
              <w:left w:val="single" w:sz="4" w:space="0" w:color="auto"/>
            </w:tcBorders>
          </w:tcPr>
          <w:p w14:paraId="248C543F"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c>
          <w:tcPr>
            <w:tcW w:w="1620" w:type="dxa"/>
          </w:tcPr>
          <w:p w14:paraId="3688C4D6" w14:textId="77777777" w:rsidR="007A1733" w:rsidRPr="007A1733" w:rsidRDefault="007A1733" w:rsidP="007A1733">
            <w:pPr>
              <w:spacing w:after="200" w:line="276" w:lineRule="auto"/>
              <w:jc w:val="center"/>
              <w:rPr>
                <w:rFonts w:ascii="Times New Roman" w:eastAsia="SimSun" w:hAnsi="Times New Roman" w:cs="Times New Roman"/>
                <w:i/>
                <w:iCs/>
                <w:sz w:val="20"/>
                <w:szCs w:val="20"/>
                <w:lang w:eastAsia="zh-CN"/>
              </w:rPr>
            </w:pPr>
          </w:p>
        </w:tc>
        <w:tc>
          <w:tcPr>
            <w:tcW w:w="2070" w:type="dxa"/>
          </w:tcPr>
          <w:p w14:paraId="37F41850"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2A559559" w14:textId="77777777" w:rsidR="007A1733" w:rsidRPr="007A1733" w:rsidRDefault="007A1733" w:rsidP="007A1733">
            <w:pPr>
              <w:spacing w:after="0" w:line="480" w:lineRule="auto"/>
              <w:jc w:val="center"/>
              <w:rPr>
                <w:rFonts w:ascii="Times New Roman" w:eastAsia="DengXian" w:hAnsi="Times New Roman" w:cs="Times New Roman"/>
                <w:i/>
                <w:iCs/>
                <w:sz w:val="20"/>
                <w:szCs w:val="20"/>
                <w:lang w:eastAsia="zh-CN"/>
              </w:rPr>
            </w:pPr>
            <w:r w:rsidRPr="007A1733">
              <w:rPr>
                <w:rFonts w:ascii="Times New Roman" w:eastAsia="DengXian" w:hAnsi="Times New Roman" w:cs="Times New Roman"/>
                <w:i/>
                <w:iCs/>
                <w:sz w:val="20"/>
                <w:szCs w:val="20"/>
                <w:lang w:eastAsia="zh-CN"/>
              </w:rPr>
              <w:t>(-2.35)</w:t>
            </w:r>
          </w:p>
        </w:tc>
      </w:tr>
      <w:tr w:rsidR="007A1733" w:rsidRPr="007A1733" w14:paraId="14F39E43" w14:textId="77777777" w:rsidTr="00617949">
        <w:trPr>
          <w:trHeight w:hRule="exact" w:val="280"/>
        </w:trPr>
        <w:tc>
          <w:tcPr>
            <w:tcW w:w="1800" w:type="dxa"/>
            <w:tcBorders>
              <w:left w:val="single" w:sz="4" w:space="0" w:color="auto"/>
              <w:right w:val="single" w:sz="4" w:space="0" w:color="auto"/>
            </w:tcBorders>
          </w:tcPr>
          <w:p w14:paraId="6A82DDD7"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roofErr w:type="spellStart"/>
            <w:r w:rsidRPr="007A1733">
              <w:rPr>
                <w:rFonts w:ascii="Times New Roman" w:eastAsia="Times New Roman" w:hAnsi="Times New Roman" w:cs="Times New Roman"/>
                <w:bCs/>
                <w:i/>
                <w:iCs/>
                <w:lang w:val="en-GB" w:eastAsia="en-GB"/>
              </w:rPr>
              <w:t>TobinQ</w:t>
            </w:r>
            <w:proofErr w:type="spellEnd"/>
          </w:p>
        </w:tc>
        <w:tc>
          <w:tcPr>
            <w:tcW w:w="1408" w:type="dxa"/>
            <w:tcBorders>
              <w:left w:val="single" w:sz="4" w:space="0" w:color="auto"/>
            </w:tcBorders>
          </w:tcPr>
          <w:p w14:paraId="39856F8D" w14:textId="77777777" w:rsidR="007A1733" w:rsidRPr="007A1733" w:rsidRDefault="007A1733" w:rsidP="007A1733">
            <w:pPr>
              <w:spacing w:after="200" w:line="276" w:lineRule="auto"/>
              <w:jc w:val="center"/>
              <w:rPr>
                <w:rFonts w:ascii="Times New Roman" w:eastAsia="SimSun" w:hAnsi="Times New Roman" w:cs="Times New Roman"/>
                <w:kern w:val="2"/>
                <w:sz w:val="20"/>
                <w:szCs w:val="20"/>
                <w:lang w:eastAsia="zh-CN"/>
              </w:rPr>
            </w:pPr>
          </w:p>
        </w:tc>
        <w:tc>
          <w:tcPr>
            <w:tcW w:w="1620" w:type="dxa"/>
          </w:tcPr>
          <w:p w14:paraId="4F154405"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2070" w:type="dxa"/>
            <w:vAlign w:val="center"/>
          </w:tcPr>
          <w:p w14:paraId="7DDF5ED0"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c>
          <w:tcPr>
            <w:tcW w:w="1940" w:type="dxa"/>
            <w:tcBorders>
              <w:right w:val="single" w:sz="4" w:space="0" w:color="auto"/>
            </w:tcBorders>
            <w:vAlign w:val="center"/>
          </w:tcPr>
          <w:p w14:paraId="7D453A16"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r w:rsidRPr="007A1733">
              <w:rPr>
                <w:rFonts w:ascii="Times New Roman" w:eastAsia="SimSun" w:hAnsi="Times New Roman" w:cs="Times New Roman"/>
                <w:i/>
                <w:iCs/>
                <w:kern w:val="2"/>
                <w:sz w:val="20"/>
                <w:szCs w:val="20"/>
                <w:lang w:eastAsia="zh-CN"/>
              </w:rPr>
              <w:t>0 .60***</w:t>
            </w:r>
          </w:p>
          <w:p w14:paraId="63D246D1"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r>
      <w:tr w:rsidR="007A1733" w:rsidRPr="007A1733" w14:paraId="1C0BCDDF" w14:textId="77777777" w:rsidTr="00617949">
        <w:trPr>
          <w:trHeight w:hRule="exact" w:val="280"/>
        </w:trPr>
        <w:tc>
          <w:tcPr>
            <w:tcW w:w="1800" w:type="dxa"/>
            <w:tcBorders>
              <w:left w:val="single" w:sz="4" w:space="0" w:color="auto"/>
              <w:right w:val="single" w:sz="4" w:space="0" w:color="auto"/>
            </w:tcBorders>
          </w:tcPr>
          <w:p w14:paraId="610B3E1D"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
        </w:tc>
        <w:tc>
          <w:tcPr>
            <w:tcW w:w="1408" w:type="dxa"/>
            <w:tcBorders>
              <w:left w:val="single" w:sz="4" w:space="0" w:color="auto"/>
            </w:tcBorders>
          </w:tcPr>
          <w:p w14:paraId="075ACD35"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c>
          <w:tcPr>
            <w:tcW w:w="1620" w:type="dxa"/>
            <w:vAlign w:val="center"/>
          </w:tcPr>
          <w:p w14:paraId="417F2898"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c>
          <w:tcPr>
            <w:tcW w:w="2070" w:type="dxa"/>
          </w:tcPr>
          <w:p w14:paraId="46452DDA"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66FCEDD8"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eastAsia="en-GB"/>
              </w:rPr>
            </w:pPr>
            <w:r w:rsidRPr="007A1733">
              <w:rPr>
                <w:rFonts w:ascii="Times New Roman" w:eastAsia="Times New Roman" w:hAnsi="Times New Roman" w:cs="Times New Roman"/>
                <w:bCs/>
                <w:i/>
                <w:iCs/>
                <w:sz w:val="20"/>
                <w:szCs w:val="20"/>
                <w:lang w:eastAsia="en-GB"/>
              </w:rPr>
              <w:t>(10.84)</w:t>
            </w:r>
          </w:p>
          <w:p w14:paraId="103D55A8"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r>
      <w:tr w:rsidR="007A1733" w:rsidRPr="007A1733" w14:paraId="3BB89F62" w14:textId="77777777" w:rsidTr="00617949">
        <w:trPr>
          <w:trHeight w:hRule="exact" w:val="280"/>
        </w:trPr>
        <w:tc>
          <w:tcPr>
            <w:tcW w:w="1800" w:type="dxa"/>
            <w:tcBorders>
              <w:left w:val="single" w:sz="4" w:space="0" w:color="auto"/>
              <w:right w:val="single" w:sz="4" w:space="0" w:color="auto"/>
            </w:tcBorders>
          </w:tcPr>
          <w:p w14:paraId="0BE5B490"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roofErr w:type="spellStart"/>
            <w:r w:rsidRPr="007A1733">
              <w:rPr>
                <w:rFonts w:ascii="Times New Roman" w:eastAsia="Times New Roman" w:hAnsi="Times New Roman" w:cs="Times New Roman"/>
                <w:bCs/>
                <w:i/>
                <w:iCs/>
                <w:lang w:val="en-GB" w:eastAsia="en-GB"/>
              </w:rPr>
              <w:t>FirmAge</w:t>
            </w:r>
            <w:proofErr w:type="spellEnd"/>
          </w:p>
        </w:tc>
        <w:tc>
          <w:tcPr>
            <w:tcW w:w="1408" w:type="dxa"/>
            <w:tcBorders>
              <w:left w:val="single" w:sz="4" w:space="0" w:color="auto"/>
            </w:tcBorders>
          </w:tcPr>
          <w:p w14:paraId="064CB5E8" w14:textId="77777777" w:rsidR="007A1733" w:rsidRPr="007A1733" w:rsidRDefault="007A1733" w:rsidP="007A1733">
            <w:pPr>
              <w:spacing w:after="200" w:line="276" w:lineRule="auto"/>
              <w:jc w:val="center"/>
              <w:rPr>
                <w:rFonts w:ascii="Times New Roman" w:eastAsia="SimSun" w:hAnsi="Times New Roman" w:cs="Times New Roman"/>
                <w:kern w:val="2"/>
                <w:sz w:val="20"/>
                <w:szCs w:val="20"/>
                <w:lang w:eastAsia="zh-CN"/>
              </w:rPr>
            </w:pPr>
          </w:p>
        </w:tc>
        <w:tc>
          <w:tcPr>
            <w:tcW w:w="1620" w:type="dxa"/>
          </w:tcPr>
          <w:p w14:paraId="47EB4498"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2070" w:type="dxa"/>
            <w:vAlign w:val="center"/>
          </w:tcPr>
          <w:p w14:paraId="27B367B7"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c>
          <w:tcPr>
            <w:tcW w:w="1940" w:type="dxa"/>
            <w:tcBorders>
              <w:right w:val="single" w:sz="4" w:space="0" w:color="auto"/>
            </w:tcBorders>
            <w:vAlign w:val="center"/>
          </w:tcPr>
          <w:p w14:paraId="289EB1EC"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r w:rsidRPr="007A1733">
              <w:rPr>
                <w:rFonts w:ascii="Times New Roman" w:eastAsia="SimSun" w:hAnsi="Times New Roman" w:cs="Times New Roman"/>
                <w:i/>
                <w:iCs/>
                <w:kern w:val="2"/>
                <w:sz w:val="20"/>
                <w:szCs w:val="20"/>
                <w:lang w:eastAsia="zh-CN"/>
              </w:rPr>
              <w:t>7.86***</w:t>
            </w:r>
          </w:p>
          <w:p w14:paraId="6B1C676D"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r>
      <w:tr w:rsidR="007A1733" w:rsidRPr="007A1733" w14:paraId="34DCBDAC" w14:textId="77777777" w:rsidTr="00617949">
        <w:trPr>
          <w:trHeight w:hRule="exact" w:val="280"/>
        </w:trPr>
        <w:tc>
          <w:tcPr>
            <w:tcW w:w="1800" w:type="dxa"/>
            <w:tcBorders>
              <w:left w:val="single" w:sz="4" w:space="0" w:color="auto"/>
              <w:right w:val="single" w:sz="4" w:space="0" w:color="auto"/>
            </w:tcBorders>
          </w:tcPr>
          <w:p w14:paraId="34C743E6"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
        </w:tc>
        <w:tc>
          <w:tcPr>
            <w:tcW w:w="1408" w:type="dxa"/>
            <w:tcBorders>
              <w:left w:val="single" w:sz="4" w:space="0" w:color="auto"/>
            </w:tcBorders>
          </w:tcPr>
          <w:p w14:paraId="5B84AB77"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c>
          <w:tcPr>
            <w:tcW w:w="1620" w:type="dxa"/>
            <w:vAlign w:val="center"/>
          </w:tcPr>
          <w:p w14:paraId="0BB2D710"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c>
          <w:tcPr>
            <w:tcW w:w="2070" w:type="dxa"/>
          </w:tcPr>
          <w:p w14:paraId="66F14AB1"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51CB45E3"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eastAsia="en-GB"/>
              </w:rPr>
            </w:pPr>
            <w:r w:rsidRPr="007A1733">
              <w:rPr>
                <w:rFonts w:ascii="Times New Roman" w:eastAsia="Times New Roman" w:hAnsi="Times New Roman" w:cs="Times New Roman"/>
                <w:bCs/>
                <w:i/>
                <w:iCs/>
                <w:sz w:val="20"/>
                <w:szCs w:val="20"/>
                <w:lang w:eastAsia="en-GB"/>
              </w:rPr>
              <w:t>(34.86)</w:t>
            </w:r>
          </w:p>
          <w:p w14:paraId="7E44EA48"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r>
      <w:tr w:rsidR="007A1733" w:rsidRPr="007A1733" w14:paraId="4031B02E" w14:textId="77777777" w:rsidTr="00617949">
        <w:trPr>
          <w:trHeight w:hRule="exact" w:val="280"/>
        </w:trPr>
        <w:tc>
          <w:tcPr>
            <w:tcW w:w="1800" w:type="dxa"/>
            <w:tcBorders>
              <w:left w:val="single" w:sz="4" w:space="0" w:color="auto"/>
              <w:right w:val="single" w:sz="4" w:space="0" w:color="auto"/>
            </w:tcBorders>
          </w:tcPr>
          <w:p w14:paraId="13655085"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roofErr w:type="spellStart"/>
            <w:r w:rsidRPr="007A1733">
              <w:rPr>
                <w:rFonts w:ascii="Times New Roman" w:eastAsia="Times New Roman" w:hAnsi="Times New Roman" w:cs="Times New Roman"/>
                <w:bCs/>
                <w:i/>
                <w:iCs/>
                <w:lang w:val="en-GB" w:eastAsia="en-GB"/>
              </w:rPr>
              <w:t>AuditFee</w:t>
            </w:r>
            <w:proofErr w:type="spellEnd"/>
          </w:p>
        </w:tc>
        <w:tc>
          <w:tcPr>
            <w:tcW w:w="1408" w:type="dxa"/>
            <w:tcBorders>
              <w:left w:val="single" w:sz="4" w:space="0" w:color="auto"/>
            </w:tcBorders>
          </w:tcPr>
          <w:p w14:paraId="30CEBA69" w14:textId="77777777" w:rsidR="007A1733" w:rsidRPr="007A1733" w:rsidRDefault="007A1733" w:rsidP="007A1733">
            <w:pPr>
              <w:spacing w:after="200" w:line="276" w:lineRule="auto"/>
              <w:jc w:val="center"/>
              <w:rPr>
                <w:rFonts w:ascii="Times New Roman" w:eastAsia="SimSun" w:hAnsi="Times New Roman" w:cs="Times New Roman"/>
                <w:kern w:val="2"/>
                <w:sz w:val="20"/>
                <w:szCs w:val="20"/>
                <w:lang w:eastAsia="zh-CN"/>
              </w:rPr>
            </w:pPr>
          </w:p>
        </w:tc>
        <w:tc>
          <w:tcPr>
            <w:tcW w:w="1620" w:type="dxa"/>
          </w:tcPr>
          <w:p w14:paraId="05D21B8D"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2070" w:type="dxa"/>
            <w:vAlign w:val="center"/>
          </w:tcPr>
          <w:p w14:paraId="687795AF"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c>
          <w:tcPr>
            <w:tcW w:w="1940" w:type="dxa"/>
            <w:tcBorders>
              <w:right w:val="single" w:sz="4" w:space="0" w:color="auto"/>
            </w:tcBorders>
            <w:vAlign w:val="center"/>
          </w:tcPr>
          <w:p w14:paraId="4EB653E2"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r w:rsidRPr="007A1733">
              <w:rPr>
                <w:rFonts w:ascii="Times New Roman" w:eastAsia="SimSun" w:hAnsi="Times New Roman" w:cs="Times New Roman"/>
                <w:i/>
                <w:iCs/>
                <w:kern w:val="2"/>
                <w:sz w:val="20"/>
                <w:szCs w:val="20"/>
                <w:lang w:eastAsia="zh-CN"/>
              </w:rPr>
              <w:t>3.02***</w:t>
            </w:r>
          </w:p>
          <w:p w14:paraId="43BCE1DD"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r>
      <w:tr w:rsidR="007A1733" w:rsidRPr="007A1733" w14:paraId="4ADE541B" w14:textId="77777777" w:rsidTr="00617949">
        <w:trPr>
          <w:trHeight w:hRule="exact" w:val="280"/>
        </w:trPr>
        <w:tc>
          <w:tcPr>
            <w:tcW w:w="1800" w:type="dxa"/>
            <w:tcBorders>
              <w:left w:val="single" w:sz="4" w:space="0" w:color="auto"/>
              <w:right w:val="single" w:sz="4" w:space="0" w:color="auto"/>
            </w:tcBorders>
          </w:tcPr>
          <w:p w14:paraId="4D40A6D5"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
        </w:tc>
        <w:tc>
          <w:tcPr>
            <w:tcW w:w="1408" w:type="dxa"/>
            <w:tcBorders>
              <w:left w:val="single" w:sz="4" w:space="0" w:color="auto"/>
            </w:tcBorders>
          </w:tcPr>
          <w:p w14:paraId="444D1637"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c>
          <w:tcPr>
            <w:tcW w:w="1620" w:type="dxa"/>
            <w:vAlign w:val="center"/>
          </w:tcPr>
          <w:p w14:paraId="5C5A17D7"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c>
          <w:tcPr>
            <w:tcW w:w="2070" w:type="dxa"/>
          </w:tcPr>
          <w:p w14:paraId="07518779"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5DC6E3CE"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eastAsia="en-GB"/>
              </w:rPr>
            </w:pPr>
            <w:r w:rsidRPr="007A1733">
              <w:rPr>
                <w:rFonts w:ascii="Times New Roman" w:eastAsia="Times New Roman" w:hAnsi="Times New Roman" w:cs="Times New Roman"/>
                <w:bCs/>
                <w:i/>
                <w:iCs/>
                <w:sz w:val="20"/>
                <w:szCs w:val="20"/>
                <w:lang w:eastAsia="en-GB"/>
              </w:rPr>
              <w:t>(19.68)</w:t>
            </w:r>
          </w:p>
          <w:p w14:paraId="321E2E2D"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r>
      <w:tr w:rsidR="007A1733" w:rsidRPr="007A1733" w14:paraId="7566F722" w14:textId="77777777" w:rsidTr="00617949">
        <w:trPr>
          <w:trHeight w:hRule="exact" w:val="280"/>
        </w:trPr>
        <w:tc>
          <w:tcPr>
            <w:tcW w:w="1800" w:type="dxa"/>
            <w:tcBorders>
              <w:left w:val="single" w:sz="4" w:space="0" w:color="auto"/>
              <w:right w:val="single" w:sz="4" w:space="0" w:color="auto"/>
            </w:tcBorders>
          </w:tcPr>
          <w:p w14:paraId="4E4D6EE4"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r w:rsidRPr="007A1733">
              <w:rPr>
                <w:rFonts w:ascii="Times New Roman" w:eastAsia="Times New Roman" w:hAnsi="Times New Roman" w:cs="Times New Roman"/>
                <w:bCs/>
                <w:i/>
                <w:iCs/>
                <w:lang w:val="en-GB" w:eastAsia="en-GB"/>
              </w:rPr>
              <w:t>Industry effect</w:t>
            </w:r>
          </w:p>
        </w:tc>
        <w:tc>
          <w:tcPr>
            <w:tcW w:w="1408" w:type="dxa"/>
            <w:tcBorders>
              <w:left w:val="single" w:sz="4" w:space="0" w:color="auto"/>
            </w:tcBorders>
          </w:tcPr>
          <w:p w14:paraId="0BA40DED"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c>
          <w:tcPr>
            <w:tcW w:w="1620" w:type="dxa"/>
          </w:tcPr>
          <w:p w14:paraId="2FB7028F"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Times New Roman" w:hAnsi="Times New Roman" w:cs="Times New Roman"/>
                <w:bCs/>
                <w:i/>
                <w:iCs/>
                <w:sz w:val="20"/>
                <w:szCs w:val="20"/>
                <w:lang w:val="en-GB" w:eastAsia="en-GB"/>
              </w:rPr>
              <w:t>Yes</w:t>
            </w:r>
          </w:p>
        </w:tc>
        <w:tc>
          <w:tcPr>
            <w:tcW w:w="2070" w:type="dxa"/>
          </w:tcPr>
          <w:p w14:paraId="1AE9EA0A"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1AC43D0E"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Times New Roman" w:hAnsi="Times New Roman" w:cs="Times New Roman"/>
                <w:bCs/>
                <w:i/>
                <w:iCs/>
                <w:sz w:val="20"/>
                <w:szCs w:val="20"/>
                <w:lang w:val="en-GB" w:eastAsia="en-GB"/>
              </w:rPr>
              <w:t>Yes</w:t>
            </w:r>
          </w:p>
        </w:tc>
      </w:tr>
      <w:tr w:rsidR="007A1733" w:rsidRPr="007A1733" w14:paraId="3D8D7DCB" w14:textId="77777777" w:rsidTr="00617949">
        <w:trPr>
          <w:trHeight w:hRule="exact" w:val="280"/>
        </w:trPr>
        <w:tc>
          <w:tcPr>
            <w:tcW w:w="1800" w:type="dxa"/>
            <w:tcBorders>
              <w:left w:val="single" w:sz="4" w:space="0" w:color="auto"/>
              <w:right w:val="single" w:sz="4" w:space="0" w:color="auto"/>
            </w:tcBorders>
          </w:tcPr>
          <w:p w14:paraId="0A23C446"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r w:rsidRPr="007A1733">
              <w:rPr>
                <w:rFonts w:ascii="Times New Roman" w:eastAsia="Times New Roman" w:hAnsi="Times New Roman" w:cs="Times New Roman"/>
                <w:bCs/>
                <w:i/>
                <w:iCs/>
                <w:lang w:val="en-GB" w:eastAsia="en-GB"/>
              </w:rPr>
              <w:t>Year effect</w:t>
            </w:r>
          </w:p>
        </w:tc>
        <w:tc>
          <w:tcPr>
            <w:tcW w:w="1408" w:type="dxa"/>
            <w:tcBorders>
              <w:left w:val="single" w:sz="4" w:space="0" w:color="auto"/>
            </w:tcBorders>
          </w:tcPr>
          <w:p w14:paraId="192D5AB8"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c>
          <w:tcPr>
            <w:tcW w:w="1620" w:type="dxa"/>
          </w:tcPr>
          <w:p w14:paraId="7BFDFB8A"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Times New Roman" w:hAnsi="Times New Roman" w:cs="Times New Roman"/>
                <w:bCs/>
                <w:i/>
                <w:iCs/>
                <w:sz w:val="20"/>
                <w:szCs w:val="20"/>
                <w:lang w:val="en-GB" w:eastAsia="en-GB"/>
              </w:rPr>
              <w:t>Yes</w:t>
            </w:r>
          </w:p>
        </w:tc>
        <w:tc>
          <w:tcPr>
            <w:tcW w:w="2070" w:type="dxa"/>
          </w:tcPr>
          <w:p w14:paraId="59A7CDE6"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1592D8A2"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Times New Roman" w:hAnsi="Times New Roman" w:cs="Times New Roman"/>
                <w:bCs/>
                <w:i/>
                <w:iCs/>
                <w:sz w:val="20"/>
                <w:szCs w:val="20"/>
                <w:lang w:val="en-GB" w:eastAsia="en-GB"/>
              </w:rPr>
              <w:t>Yes</w:t>
            </w:r>
          </w:p>
        </w:tc>
      </w:tr>
      <w:tr w:rsidR="007A1733" w:rsidRPr="007A1733" w14:paraId="17BED27A" w14:textId="77777777" w:rsidTr="00617949">
        <w:trPr>
          <w:trHeight w:hRule="exact" w:val="280"/>
        </w:trPr>
        <w:tc>
          <w:tcPr>
            <w:tcW w:w="1800" w:type="dxa"/>
            <w:tcBorders>
              <w:left w:val="single" w:sz="4" w:space="0" w:color="auto"/>
              <w:right w:val="single" w:sz="4" w:space="0" w:color="auto"/>
            </w:tcBorders>
          </w:tcPr>
          <w:p w14:paraId="781F9E66"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r w:rsidRPr="007A1733">
              <w:rPr>
                <w:rFonts w:ascii="Times New Roman" w:eastAsia="Times New Roman" w:hAnsi="Times New Roman" w:cs="Times New Roman"/>
                <w:bCs/>
                <w:i/>
                <w:iCs/>
                <w:lang w:val="en-GB" w:eastAsia="en-GB"/>
              </w:rPr>
              <w:t>Observations</w:t>
            </w:r>
          </w:p>
        </w:tc>
        <w:tc>
          <w:tcPr>
            <w:tcW w:w="1408" w:type="dxa"/>
            <w:tcBorders>
              <w:left w:val="single" w:sz="4" w:space="0" w:color="auto"/>
            </w:tcBorders>
          </w:tcPr>
          <w:p w14:paraId="700C9E19"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eastAsia="en-GB"/>
              </w:rPr>
            </w:pPr>
          </w:p>
        </w:tc>
        <w:tc>
          <w:tcPr>
            <w:tcW w:w="1620" w:type="dxa"/>
          </w:tcPr>
          <w:p w14:paraId="1474E88D" w14:textId="03B60BB6" w:rsidR="007A1733" w:rsidRPr="007A1733" w:rsidRDefault="00C3690E" w:rsidP="00C3690E">
            <w:pPr>
              <w:spacing w:after="0" w:line="480" w:lineRule="auto"/>
              <w:jc w:val="center"/>
              <w:rPr>
                <w:rFonts w:ascii="Times New Roman" w:eastAsia="Times New Roman" w:hAnsi="Times New Roman" w:cs="Times New Roman"/>
                <w:bCs/>
                <w:i/>
                <w:iCs/>
                <w:sz w:val="20"/>
                <w:szCs w:val="20"/>
                <w:lang w:val="en-GB" w:eastAsia="en-GB"/>
              </w:rPr>
            </w:pPr>
            <w:r w:rsidRPr="00002CAA">
              <w:rPr>
                <w:rFonts w:ascii="Times New Roman" w:eastAsia="Times New Roman" w:hAnsi="Times New Roman" w:cs="Times New Roman"/>
                <w:bCs/>
                <w:i/>
                <w:iCs/>
                <w:sz w:val="20"/>
                <w:szCs w:val="20"/>
                <w:lang w:eastAsia="en-GB"/>
              </w:rPr>
              <w:t xml:space="preserve">8,389 </w:t>
            </w:r>
          </w:p>
        </w:tc>
        <w:tc>
          <w:tcPr>
            <w:tcW w:w="2070" w:type="dxa"/>
          </w:tcPr>
          <w:p w14:paraId="640A2D1B"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75715460" w14:textId="50E0BC6E" w:rsidR="007A1733" w:rsidRPr="007A1733" w:rsidRDefault="00C3690E" w:rsidP="00C3690E">
            <w:pPr>
              <w:spacing w:after="0" w:line="480" w:lineRule="auto"/>
              <w:jc w:val="center"/>
              <w:rPr>
                <w:rFonts w:ascii="Times New Roman" w:eastAsia="Times New Roman" w:hAnsi="Times New Roman" w:cs="Times New Roman"/>
                <w:bCs/>
                <w:i/>
                <w:iCs/>
                <w:sz w:val="20"/>
                <w:szCs w:val="20"/>
                <w:lang w:val="en-GB" w:eastAsia="en-GB"/>
              </w:rPr>
            </w:pPr>
            <w:r w:rsidRPr="00002CAA">
              <w:rPr>
                <w:rFonts w:ascii="Times New Roman" w:eastAsia="Times New Roman" w:hAnsi="Times New Roman" w:cs="Times New Roman"/>
                <w:bCs/>
                <w:i/>
                <w:iCs/>
                <w:sz w:val="20"/>
                <w:szCs w:val="20"/>
                <w:lang w:eastAsia="en-GB"/>
              </w:rPr>
              <w:t>8,389</w:t>
            </w:r>
          </w:p>
        </w:tc>
      </w:tr>
      <w:tr w:rsidR="007A1733" w:rsidRPr="007A1733" w14:paraId="5F516ECC" w14:textId="77777777" w:rsidTr="00617949">
        <w:trPr>
          <w:trHeight w:hRule="exact" w:val="280"/>
        </w:trPr>
        <w:tc>
          <w:tcPr>
            <w:tcW w:w="1800" w:type="dxa"/>
            <w:tcBorders>
              <w:left w:val="single" w:sz="4" w:space="0" w:color="auto"/>
              <w:right w:val="single" w:sz="4" w:space="0" w:color="auto"/>
            </w:tcBorders>
          </w:tcPr>
          <w:p w14:paraId="0E9D3F81"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r w:rsidRPr="007A1733">
              <w:rPr>
                <w:rFonts w:ascii="Times New Roman" w:eastAsia="Times New Roman" w:hAnsi="Times New Roman" w:cs="Times New Roman"/>
                <w:bCs/>
                <w:i/>
                <w:iCs/>
                <w:lang w:val="en-GB" w:eastAsia="en-GB"/>
              </w:rPr>
              <w:t>R2</w:t>
            </w:r>
          </w:p>
        </w:tc>
        <w:tc>
          <w:tcPr>
            <w:tcW w:w="1408" w:type="dxa"/>
            <w:tcBorders>
              <w:left w:val="single" w:sz="4" w:space="0" w:color="auto"/>
            </w:tcBorders>
          </w:tcPr>
          <w:p w14:paraId="4199FFA5" w14:textId="77777777" w:rsidR="007A1733" w:rsidRPr="007A1733" w:rsidRDefault="007A1733" w:rsidP="007A1733">
            <w:pPr>
              <w:spacing w:after="0" w:line="480" w:lineRule="auto"/>
              <w:jc w:val="center"/>
              <w:rPr>
                <w:rFonts w:ascii="Times New Roman" w:eastAsia="DengXian" w:hAnsi="Times New Roman" w:cs="Times New Roman"/>
                <w:sz w:val="20"/>
                <w:szCs w:val="20"/>
                <w:lang w:eastAsia="zh-CN"/>
              </w:rPr>
            </w:pPr>
          </w:p>
        </w:tc>
        <w:tc>
          <w:tcPr>
            <w:tcW w:w="1620" w:type="dxa"/>
          </w:tcPr>
          <w:p w14:paraId="4BF1373B"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DengXian" w:hAnsi="Times New Roman" w:cs="Times New Roman"/>
                <w:i/>
                <w:iCs/>
                <w:sz w:val="20"/>
                <w:szCs w:val="20"/>
                <w:lang w:eastAsia="zh-CN"/>
              </w:rPr>
              <w:t>0.22</w:t>
            </w:r>
          </w:p>
        </w:tc>
        <w:tc>
          <w:tcPr>
            <w:tcW w:w="2070" w:type="dxa"/>
          </w:tcPr>
          <w:p w14:paraId="7FE0A78C"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6888B33F"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DengXian" w:hAnsi="Times New Roman" w:cs="Times New Roman"/>
                <w:i/>
                <w:iCs/>
                <w:sz w:val="20"/>
                <w:szCs w:val="20"/>
                <w:lang w:eastAsia="zh-CN"/>
              </w:rPr>
              <w:t>0.42</w:t>
            </w:r>
          </w:p>
        </w:tc>
      </w:tr>
      <w:tr w:rsidR="007A1733" w:rsidRPr="007A1733" w14:paraId="46405F57" w14:textId="77777777" w:rsidTr="00617949">
        <w:trPr>
          <w:trHeight w:hRule="exact" w:val="280"/>
        </w:trPr>
        <w:tc>
          <w:tcPr>
            <w:tcW w:w="1800" w:type="dxa"/>
            <w:tcBorders>
              <w:left w:val="single" w:sz="4" w:space="0" w:color="auto"/>
              <w:bottom w:val="single" w:sz="4" w:space="0" w:color="auto"/>
              <w:right w:val="single" w:sz="4" w:space="0" w:color="auto"/>
            </w:tcBorders>
          </w:tcPr>
          <w:p w14:paraId="52146C10"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r w:rsidRPr="007A1733">
              <w:rPr>
                <w:rFonts w:ascii="Times New Roman" w:eastAsia="Times New Roman" w:hAnsi="Times New Roman" w:cs="Times New Roman"/>
                <w:bCs/>
                <w:i/>
                <w:iCs/>
                <w:lang w:val="en-GB" w:eastAsia="en-GB"/>
              </w:rPr>
              <w:t>Adjusted R2</w:t>
            </w:r>
          </w:p>
        </w:tc>
        <w:tc>
          <w:tcPr>
            <w:tcW w:w="1408" w:type="dxa"/>
            <w:tcBorders>
              <w:left w:val="single" w:sz="4" w:space="0" w:color="auto"/>
              <w:bottom w:val="single" w:sz="4" w:space="0" w:color="auto"/>
            </w:tcBorders>
          </w:tcPr>
          <w:p w14:paraId="7482877D" w14:textId="77777777" w:rsidR="007A1733" w:rsidRPr="007A1733" w:rsidRDefault="007A1733" w:rsidP="007A1733">
            <w:pPr>
              <w:spacing w:after="0" w:line="480" w:lineRule="auto"/>
              <w:jc w:val="center"/>
              <w:rPr>
                <w:rFonts w:ascii="Times New Roman" w:eastAsia="DengXian" w:hAnsi="Times New Roman" w:cs="Times New Roman"/>
                <w:sz w:val="20"/>
                <w:szCs w:val="20"/>
                <w:lang w:eastAsia="zh-CN"/>
              </w:rPr>
            </w:pPr>
          </w:p>
        </w:tc>
        <w:tc>
          <w:tcPr>
            <w:tcW w:w="1620" w:type="dxa"/>
            <w:tcBorders>
              <w:bottom w:val="single" w:sz="4" w:space="0" w:color="auto"/>
            </w:tcBorders>
          </w:tcPr>
          <w:p w14:paraId="4E94B2E8"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DengXian" w:hAnsi="Times New Roman" w:cs="Times New Roman"/>
                <w:i/>
                <w:iCs/>
                <w:sz w:val="20"/>
                <w:szCs w:val="20"/>
                <w:lang w:eastAsia="zh-CN"/>
              </w:rPr>
              <w:t>0.22</w:t>
            </w:r>
          </w:p>
        </w:tc>
        <w:tc>
          <w:tcPr>
            <w:tcW w:w="2070" w:type="dxa"/>
            <w:tcBorders>
              <w:bottom w:val="single" w:sz="4" w:space="0" w:color="auto"/>
            </w:tcBorders>
          </w:tcPr>
          <w:p w14:paraId="39A048B8"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bottom w:val="single" w:sz="4" w:space="0" w:color="auto"/>
              <w:right w:val="single" w:sz="4" w:space="0" w:color="auto"/>
            </w:tcBorders>
          </w:tcPr>
          <w:p w14:paraId="55129DE6"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DengXian" w:hAnsi="Times New Roman" w:cs="Times New Roman"/>
                <w:i/>
                <w:iCs/>
                <w:sz w:val="20"/>
                <w:szCs w:val="20"/>
                <w:lang w:eastAsia="zh-CN"/>
              </w:rPr>
              <w:t>0.42</w:t>
            </w:r>
          </w:p>
        </w:tc>
      </w:tr>
    </w:tbl>
    <w:p w14:paraId="2E965DD4" w14:textId="77777777" w:rsidR="007A1733" w:rsidRPr="007A1733" w:rsidRDefault="007A1733" w:rsidP="007A1733">
      <w:pPr>
        <w:spacing w:line="240" w:lineRule="auto"/>
        <w:jc w:val="both"/>
        <w:rPr>
          <w:rFonts w:ascii="Times New Roman" w:eastAsia="DengXian" w:hAnsi="Times New Roman" w:cs="Times New Roman"/>
          <w:sz w:val="20"/>
          <w:szCs w:val="18"/>
        </w:rPr>
      </w:pPr>
      <w:r w:rsidRPr="007A1733">
        <w:rPr>
          <w:rFonts w:ascii="Times New Roman" w:eastAsia="DengXian" w:hAnsi="Times New Roman" w:cs="Times New Roman"/>
          <w:sz w:val="20"/>
          <w:szCs w:val="18"/>
        </w:rPr>
        <w:t>Note: Note: *** and ** represent significance at the 1% and 5% levels, respectively, with t-values in parentheses based on robust standard error adjustments.</w:t>
      </w:r>
    </w:p>
    <w:p w14:paraId="599A63F5" w14:textId="77777777" w:rsidR="007A1733" w:rsidRPr="007A1733" w:rsidRDefault="007A1733" w:rsidP="007A1733">
      <w:pPr>
        <w:spacing w:line="240" w:lineRule="auto"/>
        <w:jc w:val="both"/>
        <w:rPr>
          <w:rFonts w:ascii="Times New Roman" w:eastAsia="DengXian" w:hAnsi="Times New Roman" w:cs="Times New Roman"/>
          <w:sz w:val="20"/>
          <w:szCs w:val="18"/>
        </w:rPr>
      </w:pPr>
    </w:p>
    <w:p w14:paraId="4A50B9BF" w14:textId="77777777" w:rsidR="009D0B0D" w:rsidRPr="009D0B0D" w:rsidRDefault="009D0B0D" w:rsidP="009D0B0D">
      <w:pPr>
        <w:spacing w:after="200" w:line="360" w:lineRule="auto"/>
        <w:jc w:val="both"/>
        <w:rPr>
          <w:rFonts w:ascii="Times New Roman" w:eastAsia="SimSun" w:hAnsi="Times New Roman" w:cs="Times New Roman"/>
          <w:b/>
          <w:bCs/>
          <w:sz w:val="28"/>
          <w:szCs w:val="28"/>
          <w:lang w:eastAsia="zh-CN"/>
        </w:rPr>
      </w:pPr>
      <w:r w:rsidRPr="009D0B0D">
        <w:rPr>
          <w:rFonts w:ascii="Times New Roman" w:eastAsia="SimSun" w:hAnsi="Times New Roman" w:cs="Times New Roman"/>
          <w:b/>
          <w:bCs/>
          <w:sz w:val="28"/>
          <w:szCs w:val="28"/>
          <w:lang w:eastAsia="zh-CN"/>
        </w:rPr>
        <w:t>4.3 | Endogeneity issues</w:t>
      </w:r>
    </w:p>
    <w:p w14:paraId="15F2B918" w14:textId="77777777" w:rsidR="009D0B0D" w:rsidRPr="009D0B0D" w:rsidRDefault="009D0B0D" w:rsidP="009D0B0D">
      <w:pPr>
        <w:spacing w:after="200" w:line="360" w:lineRule="auto"/>
        <w:jc w:val="both"/>
        <w:rPr>
          <w:rFonts w:ascii="Times New Roman" w:eastAsia="SimSun" w:hAnsi="Times New Roman" w:cs="Times New Roman"/>
          <w:b/>
          <w:bCs/>
          <w:sz w:val="28"/>
          <w:szCs w:val="28"/>
          <w:lang w:eastAsia="zh-CN"/>
        </w:rPr>
      </w:pPr>
      <w:bookmarkStart w:id="12" w:name="_Hlk198965981"/>
      <w:r w:rsidRPr="009D0B0D">
        <w:rPr>
          <w:rFonts w:ascii="Times New Roman" w:eastAsia="SimSun" w:hAnsi="Times New Roman" w:cs="Times New Roman"/>
          <w:b/>
          <w:bCs/>
          <w:sz w:val="28"/>
          <w:szCs w:val="28"/>
          <w:lang w:eastAsia="zh-CN"/>
        </w:rPr>
        <w:t>4.3.1</w:t>
      </w:r>
      <w:r w:rsidRPr="009D0B0D">
        <w:rPr>
          <w:rFonts w:ascii="URWPalladioL-Roma" w:eastAsia="SimSun" w:hAnsi="URWPalladioL-Roma" w:cs="Arial"/>
          <w:color w:val="000000"/>
          <w:sz w:val="20"/>
          <w:szCs w:val="20"/>
          <w:lang w:eastAsia="zh-CN"/>
        </w:rPr>
        <w:t xml:space="preserve"> </w:t>
      </w:r>
      <w:r w:rsidRPr="009D0B0D">
        <w:rPr>
          <w:rFonts w:ascii="Times New Roman" w:eastAsia="SimSun" w:hAnsi="Times New Roman" w:cs="Times New Roman"/>
          <w:b/>
          <w:bCs/>
          <w:sz w:val="28"/>
          <w:szCs w:val="28"/>
          <w:lang w:eastAsia="zh-CN"/>
        </w:rPr>
        <w:t>Instrumental Variable Approach</w:t>
      </w:r>
    </w:p>
    <w:bookmarkEnd w:id="12"/>
    <w:p w14:paraId="3118D457" w14:textId="2CD30B66" w:rsidR="009D0B0D" w:rsidRPr="009D0B0D" w:rsidRDefault="009D0B0D" w:rsidP="005F5CAF">
      <w:pPr>
        <w:spacing w:after="200" w:line="360" w:lineRule="auto"/>
        <w:jc w:val="both"/>
        <w:rPr>
          <w:rFonts w:ascii="Times New Roman" w:eastAsia="SimSun" w:hAnsi="Times New Roman" w:cs="Times New Roman"/>
          <w:sz w:val="28"/>
          <w:szCs w:val="28"/>
          <w:lang w:eastAsia="zh-CN"/>
        </w:rPr>
      </w:pPr>
      <w:r w:rsidRPr="009D0B0D">
        <w:rPr>
          <w:rFonts w:ascii="Times New Roman" w:eastAsia="SimSun" w:hAnsi="Times New Roman" w:cs="Times New Roman"/>
          <w:sz w:val="28"/>
          <w:szCs w:val="28"/>
          <w:lang w:eastAsia="zh-CN"/>
        </w:rPr>
        <w:t>We adopted the two-stage least squares method (2SLS) to avoid simultaneous causality. We use the instrument variable, the average overconfidence level of CEO in other firms within the same region and year (</w:t>
      </w:r>
      <w:proofErr w:type="spellStart"/>
      <w:r w:rsidRPr="009D0B0D">
        <w:rPr>
          <w:rFonts w:ascii="Times New Roman" w:eastAsia="SimSun" w:hAnsi="Times New Roman" w:cs="Times New Roman"/>
          <w:sz w:val="28"/>
          <w:szCs w:val="28"/>
          <w:lang w:eastAsia="zh-CN"/>
        </w:rPr>
        <w:t>Mean_pro</w:t>
      </w:r>
      <w:proofErr w:type="spellEnd"/>
      <w:r w:rsidRPr="009D0B0D">
        <w:rPr>
          <w:rFonts w:ascii="Times New Roman" w:eastAsia="SimSun" w:hAnsi="Times New Roman" w:cs="Times New Roman"/>
          <w:sz w:val="28"/>
          <w:szCs w:val="28"/>
          <w:lang w:eastAsia="zh-CN"/>
        </w:rPr>
        <w:t>), as an instrumental variable for the explanatory variable OC</w:t>
      </w:r>
      <w:r w:rsidR="005F5CAF" w:rsidRPr="005F5CAF">
        <w:rPr>
          <w:rFonts w:ascii="Arial" w:hAnsi="Arial" w:cs="Arial"/>
          <w:color w:val="222222"/>
          <w:sz w:val="20"/>
          <w:szCs w:val="20"/>
          <w:shd w:val="clear" w:color="auto" w:fill="FFFFFF"/>
        </w:rPr>
        <w:t xml:space="preserve"> </w:t>
      </w:r>
      <w:r w:rsidR="005F5CAF">
        <w:rPr>
          <w:rFonts w:ascii="Arial" w:hAnsi="Arial" w:cs="Arial"/>
          <w:color w:val="222222"/>
          <w:sz w:val="20"/>
          <w:szCs w:val="20"/>
          <w:shd w:val="clear" w:color="auto" w:fill="FFFFFF"/>
        </w:rPr>
        <w:t>(</w:t>
      </w:r>
      <w:r w:rsidR="005F5CAF" w:rsidRPr="005F5CAF">
        <w:rPr>
          <w:rFonts w:ascii="Times New Roman" w:eastAsia="SimSun" w:hAnsi="Times New Roman" w:cs="Times New Roman"/>
          <w:sz w:val="28"/>
          <w:szCs w:val="28"/>
          <w:lang w:eastAsia="zh-CN"/>
        </w:rPr>
        <w:t>Wang</w:t>
      </w:r>
      <w:r w:rsidR="005F5CAF">
        <w:rPr>
          <w:rFonts w:ascii="Times New Roman" w:eastAsia="SimSun" w:hAnsi="Times New Roman" w:cs="Times New Roman"/>
          <w:sz w:val="28"/>
          <w:szCs w:val="28"/>
          <w:lang w:eastAsia="zh-CN"/>
        </w:rPr>
        <w:t xml:space="preserve"> et al., 2023)</w:t>
      </w:r>
      <w:r w:rsidRPr="009D0B0D">
        <w:rPr>
          <w:rFonts w:ascii="Times New Roman" w:eastAsia="SimSun" w:hAnsi="Times New Roman" w:cs="Times New Roman"/>
          <w:sz w:val="28"/>
          <w:szCs w:val="28"/>
          <w:lang w:eastAsia="zh-CN"/>
        </w:rPr>
        <w:t>. The results from the first stage of the two-stage least squares (2SLS) analysis reveal a positive relationship between CEO Overconfidence and the instrumental variable (</w:t>
      </w:r>
      <w:proofErr w:type="spellStart"/>
      <w:r w:rsidRPr="009D0B0D">
        <w:rPr>
          <w:rFonts w:ascii="Times New Roman" w:eastAsia="SimSun" w:hAnsi="Times New Roman" w:cs="Times New Roman"/>
          <w:sz w:val="28"/>
          <w:szCs w:val="28"/>
          <w:lang w:eastAsia="zh-CN"/>
        </w:rPr>
        <w:t>Mean_pro</w:t>
      </w:r>
      <w:proofErr w:type="spellEnd"/>
      <w:r w:rsidRPr="009D0B0D">
        <w:rPr>
          <w:rFonts w:ascii="Times New Roman" w:eastAsia="SimSun" w:hAnsi="Times New Roman" w:cs="Times New Roman"/>
          <w:sz w:val="28"/>
          <w:szCs w:val="28"/>
          <w:lang w:eastAsia="zh-CN"/>
        </w:rPr>
        <w:t xml:space="preserve">). In the second stage of the 2SLS, as shown in column 2 of Table </w:t>
      </w:r>
      <w:r w:rsidR="00AF429B">
        <w:rPr>
          <w:rFonts w:ascii="Times New Roman" w:eastAsia="SimSun" w:hAnsi="Times New Roman" w:cs="Times New Roman"/>
          <w:sz w:val="28"/>
          <w:szCs w:val="28"/>
          <w:lang w:eastAsia="zh-CN"/>
        </w:rPr>
        <w:t>4</w:t>
      </w:r>
      <w:r w:rsidRPr="009D0B0D">
        <w:rPr>
          <w:rFonts w:ascii="Times New Roman" w:eastAsia="SimSun" w:hAnsi="Times New Roman" w:cs="Times New Roman"/>
          <w:sz w:val="28"/>
          <w:szCs w:val="28"/>
          <w:lang w:eastAsia="zh-CN"/>
        </w:rPr>
        <w:t xml:space="preserve">, the </w:t>
      </w:r>
      <w:r w:rsidRPr="009D0B0D">
        <w:rPr>
          <w:rFonts w:ascii="Times New Roman" w:eastAsia="SimSun" w:hAnsi="Times New Roman" w:cs="Times New Roman"/>
          <w:sz w:val="28"/>
          <w:szCs w:val="28"/>
          <w:lang w:eastAsia="zh-CN"/>
        </w:rPr>
        <w:lastRenderedPageBreak/>
        <w:t>coefficient of CEO Overconfidence remains positive (β = 19.94) and statistically significant at the 1% level. This finding robustly supports our hypothesis, confirming the positive association between CEO overconfidence and ESG performance.</w:t>
      </w:r>
    </w:p>
    <w:tbl>
      <w:tblPr>
        <w:tblpPr w:leftFromText="180" w:rightFromText="180" w:vertAnchor="text" w:horzAnchor="margin" w:tblpXSpec="center" w:tblpY="396"/>
        <w:tblW w:w="8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1"/>
        <w:gridCol w:w="500"/>
        <w:gridCol w:w="1624"/>
        <w:gridCol w:w="237"/>
        <w:gridCol w:w="1513"/>
        <w:gridCol w:w="2130"/>
        <w:gridCol w:w="751"/>
      </w:tblGrid>
      <w:tr w:rsidR="009D0B0D" w:rsidRPr="009D0B0D" w14:paraId="3BD3BE1E" w14:textId="77777777" w:rsidTr="009D0B0D">
        <w:trPr>
          <w:trHeight w:hRule="exact" w:val="292"/>
        </w:trPr>
        <w:tc>
          <w:tcPr>
            <w:tcW w:w="7755" w:type="dxa"/>
            <w:gridSpan w:val="6"/>
            <w:tcBorders>
              <w:left w:val="nil"/>
              <w:right w:val="nil"/>
            </w:tcBorders>
            <w:shd w:val="clear" w:color="auto" w:fill="F2F2F2"/>
          </w:tcPr>
          <w:p w14:paraId="2096CECC" w14:textId="66F05292" w:rsidR="009D0B0D" w:rsidRPr="009D0B0D" w:rsidRDefault="009D0B0D" w:rsidP="009D0B0D">
            <w:pPr>
              <w:widowControl w:val="0"/>
              <w:tabs>
                <w:tab w:val="left" w:pos="882"/>
              </w:tabs>
              <w:spacing w:after="0" w:line="276" w:lineRule="auto"/>
              <w:ind w:left="521"/>
              <w:rPr>
                <w:rFonts w:ascii="Times New Roman" w:eastAsia="Times New Roman" w:hAnsi="Times New Roman" w:cs="Times New Roman"/>
                <w:b/>
                <w:bCs/>
                <w:sz w:val="24"/>
                <w:szCs w:val="24"/>
                <w:lang w:eastAsia="en-GB"/>
              </w:rPr>
            </w:pPr>
            <w:r w:rsidRPr="009D0B0D">
              <w:rPr>
                <w:rFonts w:ascii="Times New Roman" w:eastAsia="Times New Roman" w:hAnsi="Times New Roman" w:cs="Times New Roman"/>
                <w:b/>
                <w:bCs/>
                <w:sz w:val="24"/>
                <w:szCs w:val="24"/>
                <w:lang w:eastAsia="en-GB"/>
              </w:rPr>
              <w:t>TABLE</w:t>
            </w:r>
            <w:r w:rsidRPr="009D0B0D">
              <w:rPr>
                <w:rFonts w:ascii="Times New Roman" w:eastAsia="SimSun" w:hAnsi="Times New Roman" w:cs="Times New Roman"/>
                <w:b/>
                <w:bCs/>
                <w:sz w:val="24"/>
                <w:szCs w:val="24"/>
                <w:lang w:eastAsia="zh-CN"/>
              </w:rPr>
              <w:t xml:space="preserve"> </w:t>
            </w:r>
            <w:r w:rsidR="00AF429B">
              <w:rPr>
                <w:rFonts w:ascii="Times New Roman" w:eastAsia="SimSun" w:hAnsi="Times New Roman" w:cs="Times New Roman"/>
                <w:b/>
                <w:bCs/>
                <w:sz w:val="24"/>
                <w:szCs w:val="24"/>
                <w:lang w:eastAsia="zh-CN"/>
              </w:rPr>
              <w:t>4</w:t>
            </w:r>
            <w:r w:rsidRPr="009D0B0D">
              <w:rPr>
                <w:rFonts w:ascii="Times New Roman" w:eastAsia="Times New Roman" w:hAnsi="Times New Roman" w:cs="Times New Roman"/>
                <w:b/>
                <w:bCs/>
                <w:sz w:val="24"/>
                <w:szCs w:val="24"/>
                <w:lang w:eastAsia="en-GB"/>
              </w:rPr>
              <w:t xml:space="preserve">: Endogeneity issues </w:t>
            </w:r>
          </w:p>
          <w:p w14:paraId="54881CA2" w14:textId="77777777" w:rsidR="009D0B0D" w:rsidRPr="009D0B0D" w:rsidRDefault="009D0B0D" w:rsidP="009D0B0D">
            <w:pPr>
              <w:spacing w:after="0" w:line="240" w:lineRule="auto"/>
              <w:rPr>
                <w:rFonts w:ascii="Times New Roman" w:eastAsia="Times New Roman" w:hAnsi="Times New Roman" w:cs="Times New Roman"/>
                <w:bCs/>
                <w:sz w:val="24"/>
                <w:szCs w:val="24"/>
                <w:lang w:val="en-GB" w:eastAsia="en-GB"/>
              </w:rPr>
            </w:pPr>
          </w:p>
        </w:tc>
        <w:tc>
          <w:tcPr>
            <w:tcW w:w="751" w:type="dxa"/>
            <w:tcBorders>
              <w:left w:val="nil"/>
              <w:right w:val="nil"/>
            </w:tcBorders>
            <w:shd w:val="clear" w:color="auto" w:fill="F2F2F2"/>
          </w:tcPr>
          <w:p w14:paraId="04BF595B" w14:textId="77777777" w:rsidR="009D0B0D" w:rsidRPr="009D0B0D" w:rsidRDefault="009D0B0D" w:rsidP="009D0B0D">
            <w:pPr>
              <w:widowControl w:val="0"/>
              <w:tabs>
                <w:tab w:val="left" w:pos="882"/>
              </w:tabs>
              <w:spacing w:after="0" w:line="276" w:lineRule="auto"/>
              <w:ind w:left="521"/>
              <w:rPr>
                <w:rFonts w:ascii="Times New Roman" w:eastAsia="Times New Roman" w:hAnsi="Times New Roman" w:cs="Times New Roman"/>
                <w:b/>
                <w:bCs/>
                <w:sz w:val="24"/>
                <w:szCs w:val="24"/>
                <w:lang w:eastAsia="en-GB"/>
              </w:rPr>
            </w:pPr>
          </w:p>
        </w:tc>
      </w:tr>
      <w:tr w:rsidR="009D0B0D" w:rsidRPr="009D0B0D" w14:paraId="5F2B4F8F" w14:textId="77777777" w:rsidTr="009D0B0D">
        <w:trPr>
          <w:trHeight w:hRule="exact" w:val="292"/>
        </w:trPr>
        <w:tc>
          <w:tcPr>
            <w:tcW w:w="1751" w:type="dxa"/>
            <w:vMerge w:val="restart"/>
            <w:tcBorders>
              <w:left w:val="nil"/>
              <w:right w:val="nil"/>
            </w:tcBorders>
          </w:tcPr>
          <w:p w14:paraId="4531585E" w14:textId="77777777" w:rsidR="009D0B0D" w:rsidRPr="009D0B0D" w:rsidRDefault="009D0B0D" w:rsidP="009D0B0D">
            <w:pPr>
              <w:widowControl w:val="0"/>
              <w:tabs>
                <w:tab w:val="left" w:pos="882"/>
              </w:tabs>
              <w:spacing w:after="0" w:line="276" w:lineRule="auto"/>
              <w:ind w:left="521"/>
              <w:jc w:val="center"/>
              <w:rPr>
                <w:rFonts w:ascii="Times New Roman" w:eastAsia="Times New Roman" w:hAnsi="Times New Roman" w:cs="Times New Roman"/>
                <w:b/>
                <w:sz w:val="20"/>
                <w:szCs w:val="20"/>
                <w:lang w:val="en-GB" w:eastAsia="en-GB"/>
              </w:rPr>
            </w:pPr>
          </w:p>
        </w:tc>
        <w:tc>
          <w:tcPr>
            <w:tcW w:w="6755" w:type="dxa"/>
            <w:gridSpan w:val="6"/>
            <w:tcBorders>
              <w:left w:val="nil"/>
              <w:right w:val="nil"/>
            </w:tcBorders>
            <w:shd w:val="clear" w:color="auto" w:fill="D9D9D9"/>
          </w:tcPr>
          <w:p w14:paraId="1117F554" w14:textId="77777777" w:rsidR="009D0B0D" w:rsidRPr="009D0B0D" w:rsidRDefault="009D0B0D" w:rsidP="009D0B0D">
            <w:pPr>
              <w:spacing w:after="0" w:line="24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 xml:space="preserve">                   2SLS                                                  </w:t>
            </w:r>
            <w:r w:rsidRPr="009D0B0D">
              <w:rPr>
                <w:rFonts w:ascii="Times New Roman" w:eastAsia="Times New Roman" w:hAnsi="Times New Roman" w:cs="Times New Roman"/>
                <w:b/>
                <w:bCs/>
                <w:sz w:val="20"/>
                <w:szCs w:val="20"/>
                <w:lang w:eastAsia="en-GB"/>
              </w:rPr>
              <w:t>Fixed Effect</w:t>
            </w:r>
          </w:p>
        </w:tc>
      </w:tr>
      <w:tr w:rsidR="009D0B0D" w:rsidRPr="009D0B0D" w14:paraId="145DF618" w14:textId="77777777" w:rsidTr="00617949">
        <w:trPr>
          <w:trHeight w:hRule="exact" w:val="339"/>
        </w:trPr>
        <w:tc>
          <w:tcPr>
            <w:tcW w:w="1751" w:type="dxa"/>
            <w:vMerge/>
            <w:tcBorders>
              <w:left w:val="nil"/>
              <w:bottom w:val="nil"/>
              <w:right w:val="nil"/>
            </w:tcBorders>
          </w:tcPr>
          <w:p w14:paraId="1B981C0F" w14:textId="77777777" w:rsidR="009D0B0D" w:rsidRPr="009D0B0D" w:rsidRDefault="009D0B0D" w:rsidP="009D0B0D">
            <w:pPr>
              <w:widowControl w:val="0"/>
              <w:tabs>
                <w:tab w:val="left" w:pos="882"/>
              </w:tabs>
              <w:spacing w:after="0" w:line="276" w:lineRule="auto"/>
              <w:ind w:left="521"/>
              <w:jc w:val="center"/>
              <w:rPr>
                <w:rFonts w:ascii="Times New Roman" w:eastAsia="Times New Roman" w:hAnsi="Times New Roman" w:cs="Times New Roman"/>
                <w:b/>
                <w:sz w:val="20"/>
                <w:szCs w:val="20"/>
                <w:lang w:val="en-GB" w:eastAsia="en-GB"/>
              </w:rPr>
            </w:pPr>
          </w:p>
        </w:tc>
        <w:tc>
          <w:tcPr>
            <w:tcW w:w="500" w:type="dxa"/>
            <w:tcBorders>
              <w:left w:val="nil"/>
              <w:bottom w:val="single" w:sz="4" w:space="0" w:color="auto"/>
              <w:right w:val="nil"/>
            </w:tcBorders>
          </w:tcPr>
          <w:p w14:paraId="35792FA3"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p>
        </w:tc>
        <w:tc>
          <w:tcPr>
            <w:tcW w:w="1624" w:type="dxa"/>
            <w:tcBorders>
              <w:left w:val="nil"/>
              <w:bottom w:val="single" w:sz="4" w:space="0" w:color="auto"/>
              <w:right w:val="nil"/>
            </w:tcBorders>
          </w:tcPr>
          <w:p w14:paraId="05253EEF"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(1)</w:t>
            </w:r>
          </w:p>
        </w:tc>
        <w:tc>
          <w:tcPr>
            <w:tcW w:w="237" w:type="dxa"/>
            <w:tcBorders>
              <w:left w:val="nil"/>
              <w:bottom w:val="single" w:sz="4" w:space="0" w:color="auto"/>
              <w:right w:val="nil"/>
            </w:tcBorders>
          </w:tcPr>
          <w:p w14:paraId="00EC0B94" w14:textId="77777777" w:rsidR="009D0B0D" w:rsidRPr="009D0B0D" w:rsidRDefault="009D0B0D" w:rsidP="009D0B0D">
            <w:pPr>
              <w:spacing w:after="0" w:line="480" w:lineRule="auto"/>
              <w:rPr>
                <w:rFonts w:ascii="Times New Roman" w:eastAsia="SimSun" w:hAnsi="Times New Roman" w:cs="Times New Roman"/>
                <w:lang w:eastAsia="zh-CN"/>
              </w:rPr>
            </w:pPr>
          </w:p>
        </w:tc>
        <w:tc>
          <w:tcPr>
            <w:tcW w:w="1513" w:type="dxa"/>
            <w:tcBorders>
              <w:left w:val="nil"/>
              <w:bottom w:val="single" w:sz="4" w:space="0" w:color="auto"/>
              <w:right w:val="nil"/>
            </w:tcBorders>
          </w:tcPr>
          <w:p w14:paraId="7A84DB71" w14:textId="77777777" w:rsidR="009D0B0D" w:rsidRPr="009D0B0D" w:rsidRDefault="009D0B0D" w:rsidP="009D0B0D">
            <w:pPr>
              <w:spacing w:after="0" w:line="480" w:lineRule="auto"/>
              <w:jc w:val="center"/>
              <w:rPr>
                <w:rFonts w:ascii="Times New Roman" w:eastAsia="SimSun" w:hAnsi="Times New Roman" w:cs="Times New Roman"/>
                <w:lang w:eastAsia="zh-CN"/>
              </w:rPr>
            </w:pPr>
            <w:r w:rsidRPr="009D0B0D">
              <w:rPr>
                <w:rFonts w:ascii="Times New Roman" w:eastAsia="SimSun" w:hAnsi="Times New Roman" w:cs="Times New Roman"/>
                <w:lang w:eastAsia="zh-CN"/>
              </w:rPr>
              <w:t>(2)</w:t>
            </w:r>
          </w:p>
        </w:tc>
        <w:tc>
          <w:tcPr>
            <w:tcW w:w="2881" w:type="dxa"/>
            <w:gridSpan w:val="2"/>
            <w:tcBorders>
              <w:left w:val="nil"/>
              <w:bottom w:val="single" w:sz="4" w:space="0" w:color="auto"/>
              <w:right w:val="nil"/>
            </w:tcBorders>
          </w:tcPr>
          <w:p w14:paraId="55E38479" w14:textId="77777777" w:rsidR="009D0B0D" w:rsidRPr="009D0B0D" w:rsidRDefault="009D0B0D" w:rsidP="009D0B0D">
            <w:pPr>
              <w:spacing w:after="0" w:line="480" w:lineRule="auto"/>
              <w:rPr>
                <w:rFonts w:ascii="Times New Roman" w:eastAsia="SimSun" w:hAnsi="Times New Roman" w:cs="Times New Roman"/>
                <w:lang w:eastAsia="zh-CN"/>
              </w:rPr>
            </w:pPr>
            <w:r w:rsidRPr="009D0B0D">
              <w:rPr>
                <w:rFonts w:ascii="Times New Roman" w:eastAsia="SimSun" w:hAnsi="Times New Roman" w:cs="Times New Roman"/>
                <w:lang w:eastAsia="zh-CN"/>
              </w:rPr>
              <w:t xml:space="preserve">                        (3)</w:t>
            </w:r>
          </w:p>
        </w:tc>
      </w:tr>
      <w:tr w:rsidR="009D0B0D" w:rsidRPr="009D0B0D" w14:paraId="3C6A620D" w14:textId="77777777" w:rsidTr="00617949">
        <w:trPr>
          <w:trHeight w:hRule="exact" w:val="339"/>
        </w:trPr>
        <w:tc>
          <w:tcPr>
            <w:tcW w:w="1751" w:type="dxa"/>
            <w:vMerge/>
            <w:tcBorders>
              <w:left w:val="nil"/>
              <w:bottom w:val="nil"/>
              <w:right w:val="nil"/>
            </w:tcBorders>
          </w:tcPr>
          <w:p w14:paraId="73B6ABEA" w14:textId="77777777" w:rsidR="009D0B0D" w:rsidRPr="009D0B0D" w:rsidRDefault="009D0B0D" w:rsidP="009D0B0D">
            <w:pPr>
              <w:widowControl w:val="0"/>
              <w:tabs>
                <w:tab w:val="left" w:pos="882"/>
              </w:tabs>
              <w:spacing w:after="0" w:line="276" w:lineRule="auto"/>
              <w:ind w:left="521"/>
              <w:jc w:val="center"/>
              <w:rPr>
                <w:rFonts w:ascii="Times New Roman" w:eastAsia="Times New Roman" w:hAnsi="Times New Roman" w:cs="Times New Roman"/>
                <w:b/>
                <w:sz w:val="20"/>
                <w:szCs w:val="20"/>
                <w:lang w:val="en-GB" w:eastAsia="en-GB"/>
              </w:rPr>
            </w:pPr>
          </w:p>
        </w:tc>
        <w:tc>
          <w:tcPr>
            <w:tcW w:w="500" w:type="dxa"/>
            <w:tcBorders>
              <w:left w:val="nil"/>
              <w:bottom w:val="single" w:sz="4" w:space="0" w:color="auto"/>
              <w:right w:val="nil"/>
            </w:tcBorders>
          </w:tcPr>
          <w:p w14:paraId="41EE2EDD"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p>
        </w:tc>
        <w:tc>
          <w:tcPr>
            <w:tcW w:w="1624" w:type="dxa"/>
            <w:tcBorders>
              <w:left w:val="nil"/>
              <w:bottom w:val="single" w:sz="4" w:space="0" w:color="auto"/>
              <w:right w:val="nil"/>
            </w:tcBorders>
          </w:tcPr>
          <w:p w14:paraId="69889BB1"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 xml:space="preserve">OC  </w:t>
            </w:r>
          </w:p>
        </w:tc>
        <w:tc>
          <w:tcPr>
            <w:tcW w:w="237" w:type="dxa"/>
            <w:tcBorders>
              <w:left w:val="nil"/>
              <w:bottom w:val="single" w:sz="4" w:space="0" w:color="auto"/>
              <w:right w:val="nil"/>
            </w:tcBorders>
          </w:tcPr>
          <w:p w14:paraId="38C9B31D" w14:textId="77777777" w:rsidR="009D0B0D" w:rsidRPr="009D0B0D" w:rsidRDefault="009D0B0D" w:rsidP="009D0B0D">
            <w:pPr>
              <w:spacing w:after="0" w:line="480" w:lineRule="auto"/>
              <w:jc w:val="center"/>
              <w:rPr>
                <w:rFonts w:ascii="Times New Roman" w:eastAsia="SimSun" w:hAnsi="Times New Roman" w:cs="Times New Roman"/>
                <w:lang w:eastAsia="zh-CN"/>
              </w:rPr>
            </w:pPr>
          </w:p>
        </w:tc>
        <w:tc>
          <w:tcPr>
            <w:tcW w:w="1513" w:type="dxa"/>
            <w:tcBorders>
              <w:left w:val="nil"/>
              <w:bottom w:val="single" w:sz="4" w:space="0" w:color="auto"/>
              <w:right w:val="nil"/>
            </w:tcBorders>
          </w:tcPr>
          <w:p w14:paraId="2CE922E6" w14:textId="77777777" w:rsidR="009D0B0D" w:rsidRPr="009D0B0D" w:rsidRDefault="009D0B0D" w:rsidP="009D0B0D">
            <w:pPr>
              <w:spacing w:after="0" w:line="480" w:lineRule="auto"/>
              <w:jc w:val="center"/>
              <w:rPr>
                <w:rFonts w:ascii="Times New Roman" w:eastAsia="SimSun" w:hAnsi="Times New Roman" w:cs="Times New Roman"/>
                <w:lang w:eastAsia="zh-CN"/>
              </w:rPr>
            </w:pPr>
            <w:r w:rsidRPr="009D0B0D">
              <w:rPr>
                <w:rFonts w:ascii="Times New Roman" w:eastAsia="SimSun" w:hAnsi="Times New Roman" w:cs="Times New Roman"/>
                <w:lang w:eastAsia="zh-CN"/>
              </w:rPr>
              <w:t>ESG</w:t>
            </w:r>
          </w:p>
        </w:tc>
        <w:tc>
          <w:tcPr>
            <w:tcW w:w="2881" w:type="dxa"/>
            <w:gridSpan w:val="2"/>
            <w:tcBorders>
              <w:left w:val="nil"/>
              <w:bottom w:val="single" w:sz="4" w:space="0" w:color="auto"/>
              <w:right w:val="nil"/>
            </w:tcBorders>
          </w:tcPr>
          <w:p w14:paraId="06EC9059" w14:textId="77777777" w:rsidR="009D0B0D" w:rsidRPr="009D0B0D" w:rsidRDefault="009D0B0D" w:rsidP="009D0B0D">
            <w:pPr>
              <w:spacing w:after="0" w:line="480" w:lineRule="auto"/>
              <w:rPr>
                <w:rFonts w:ascii="Times New Roman" w:eastAsia="SimSun" w:hAnsi="Times New Roman" w:cs="Times New Roman"/>
                <w:lang w:eastAsia="zh-CN"/>
              </w:rPr>
            </w:pPr>
            <w:r w:rsidRPr="009D0B0D">
              <w:rPr>
                <w:rFonts w:ascii="Times New Roman" w:eastAsia="SimSun" w:hAnsi="Times New Roman" w:cs="Times New Roman"/>
                <w:lang w:eastAsia="zh-CN"/>
              </w:rPr>
              <w:t xml:space="preserve">                        ESG</w:t>
            </w:r>
          </w:p>
        </w:tc>
      </w:tr>
      <w:tr w:rsidR="009D0B0D" w:rsidRPr="009D0B0D" w14:paraId="6F9CB9ED" w14:textId="77777777" w:rsidTr="00617949">
        <w:trPr>
          <w:trHeight w:hRule="exact" w:val="292"/>
        </w:trPr>
        <w:tc>
          <w:tcPr>
            <w:tcW w:w="1751" w:type="dxa"/>
            <w:tcBorders>
              <w:top w:val="nil"/>
              <w:left w:val="nil"/>
              <w:bottom w:val="nil"/>
              <w:right w:val="nil"/>
            </w:tcBorders>
            <w:vAlign w:val="center"/>
          </w:tcPr>
          <w:p w14:paraId="58405DA5" w14:textId="77777777" w:rsidR="009D0B0D" w:rsidRPr="009D0B0D" w:rsidRDefault="009D0B0D" w:rsidP="009D0B0D">
            <w:pPr>
              <w:tabs>
                <w:tab w:val="left" w:pos="882"/>
              </w:tabs>
              <w:spacing w:after="0" w:line="480" w:lineRule="auto"/>
              <w:ind w:left="521"/>
              <w:jc w:val="center"/>
              <w:rPr>
                <w:rFonts w:ascii="Times New Roman" w:eastAsia="Times New Roman" w:hAnsi="Times New Roman" w:cs="Times New Roman"/>
                <w:bCs/>
                <w:i/>
                <w:iCs/>
                <w:sz w:val="20"/>
                <w:szCs w:val="20"/>
                <w:lang w:eastAsia="en-GB"/>
              </w:rPr>
            </w:pPr>
            <w:proofErr w:type="spellStart"/>
            <w:r w:rsidRPr="009D0B0D">
              <w:rPr>
                <w:rFonts w:ascii="Times New Roman" w:eastAsia="Times New Roman" w:hAnsi="Times New Roman" w:cs="Times New Roman"/>
                <w:bCs/>
                <w:i/>
                <w:iCs/>
                <w:sz w:val="20"/>
                <w:szCs w:val="20"/>
                <w:lang w:eastAsia="en-GB"/>
              </w:rPr>
              <w:t>Mean_pro</w:t>
            </w:r>
            <w:proofErr w:type="spellEnd"/>
          </w:p>
        </w:tc>
        <w:tc>
          <w:tcPr>
            <w:tcW w:w="500" w:type="dxa"/>
            <w:tcBorders>
              <w:top w:val="single" w:sz="4" w:space="0" w:color="auto"/>
              <w:left w:val="nil"/>
              <w:bottom w:val="nil"/>
              <w:right w:val="nil"/>
            </w:tcBorders>
          </w:tcPr>
          <w:p w14:paraId="38556360" w14:textId="77777777" w:rsidR="009D0B0D" w:rsidRPr="009D0B0D" w:rsidRDefault="009D0B0D" w:rsidP="009D0B0D">
            <w:pPr>
              <w:spacing w:after="0" w:line="480" w:lineRule="auto"/>
              <w:jc w:val="center"/>
              <w:rPr>
                <w:rFonts w:ascii="Times New Roman" w:eastAsia="DengXian" w:hAnsi="Times New Roman" w:cs="Times New Roman"/>
                <w:sz w:val="20"/>
                <w:szCs w:val="20"/>
                <w:lang w:eastAsia="zh-CN"/>
              </w:rPr>
            </w:pPr>
          </w:p>
        </w:tc>
        <w:tc>
          <w:tcPr>
            <w:tcW w:w="1624" w:type="dxa"/>
            <w:tcBorders>
              <w:top w:val="single" w:sz="4" w:space="0" w:color="auto"/>
              <w:left w:val="nil"/>
              <w:bottom w:val="nil"/>
              <w:right w:val="nil"/>
            </w:tcBorders>
          </w:tcPr>
          <w:p w14:paraId="3ED22AF3" w14:textId="77777777" w:rsidR="009D0B0D" w:rsidRPr="009D0B0D" w:rsidRDefault="009D0B0D" w:rsidP="009D0B0D">
            <w:pPr>
              <w:spacing w:after="0" w:line="480" w:lineRule="auto"/>
              <w:jc w:val="center"/>
              <w:rPr>
                <w:rFonts w:ascii="Times New Roman" w:eastAsia="SimSun" w:hAnsi="Times New Roman" w:cs="Times New Roman"/>
                <w:lang w:eastAsia="zh-CN"/>
              </w:rPr>
            </w:pPr>
            <w:r w:rsidRPr="009D0B0D">
              <w:rPr>
                <w:rFonts w:ascii="Times New Roman" w:eastAsia="DengXian" w:hAnsi="Times New Roman" w:cs="Times New Roman"/>
                <w:sz w:val="20"/>
                <w:szCs w:val="20"/>
                <w:lang w:eastAsia="zh-CN"/>
              </w:rPr>
              <w:t>0.14 ***</w:t>
            </w:r>
          </w:p>
        </w:tc>
        <w:tc>
          <w:tcPr>
            <w:tcW w:w="237" w:type="dxa"/>
            <w:tcBorders>
              <w:top w:val="single" w:sz="4" w:space="0" w:color="auto"/>
              <w:left w:val="nil"/>
              <w:bottom w:val="nil"/>
              <w:right w:val="nil"/>
            </w:tcBorders>
          </w:tcPr>
          <w:p w14:paraId="1FC67449" w14:textId="77777777" w:rsidR="009D0B0D" w:rsidRPr="009D0B0D" w:rsidRDefault="009D0B0D" w:rsidP="009D0B0D">
            <w:pPr>
              <w:spacing w:after="0" w:line="480" w:lineRule="auto"/>
              <w:jc w:val="center"/>
              <w:rPr>
                <w:rFonts w:ascii="Times New Roman" w:eastAsia="SimSun" w:hAnsi="Times New Roman" w:cs="Times New Roman"/>
                <w:lang w:eastAsia="zh-CN"/>
              </w:rPr>
            </w:pPr>
          </w:p>
        </w:tc>
        <w:tc>
          <w:tcPr>
            <w:tcW w:w="1513" w:type="dxa"/>
            <w:tcBorders>
              <w:top w:val="single" w:sz="4" w:space="0" w:color="auto"/>
              <w:left w:val="nil"/>
              <w:bottom w:val="nil"/>
              <w:right w:val="nil"/>
            </w:tcBorders>
          </w:tcPr>
          <w:p w14:paraId="1B67DD5A" w14:textId="77777777" w:rsidR="009D0B0D" w:rsidRPr="009D0B0D" w:rsidRDefault="009D0B0D" w:rsidP="009D0B0D">
            <w:pPr>
              <w:spacing w:after="0" w:line="480" w:lineRule="auto"/>
              <w:jc w:val="center"/>
              <w:rPr>
                <w:rFonts w:ascii="Times New Roman" w:eastAsia="SimSun" w:hAnsi="Times New Roman" w:cs="Times New Roman"/>
                <w:lang w:eastAsia="zh-CN"/>
              </w:rPr>
            </w:pPr>
          </w:p>
        </w:tc>
        <w:tc>
          <w:tcPr>
            <w:tcW w:w="2881" w:type="dxa"/>
            <w:gridSpan w:val="2"/>
            <w:tcBorders>
              <w:top w:val="single" w:sz="4" w:space="0" w:color="auto"/>
              <w:left w:val="nil"/>
              <w:bottom w:val="nil"/>
              <w:right w:val="nil"/>
            </w:tcBorders>
          </w:tcPr>
          <w:p w14:paraId="7AA38E73" w14:textId="77777777" w:rsidR="009D0B0D" w:rsidRPr="009D0B0D" w:rsidRDefault="009D0B0D" w:rsidP="009D0B0D">
            <w:pPr>
              <w:spacing w:after="0" w:line="480" w:lineRule="auto"/>
              <w:jc w:val="center"/>
              <w:rPr>
                <w:rFonts w:ascii="Times New Roman" w:eastAsia="SimSun" w:hAnsi="Times New Roman" w:cs="Times New Roman"/>
                <w:lang w:eastAsia="zh-CN"/>
              </w:rPr>
            </w:pPr>
          </w:p>
        </w:tc>
      </w:tr>
      <w:tr w:rsidR="009D0B0D" w:rsidRPr="009D0B0D" w14:paraId="3701CAE5" w14:textId="77777777" w:rsidTr="00617949">
        <w:trPr>
          <w:trHeight w:hRule="exact" w:val="292"/>
        </w:trPr>
        <w:tc>
          <w:tcPr>
            <w:tcW w:w="1751" w:type="dxa"/>
            <w:tcBorders>
              <w:top w:val="nil"/>
              <w:left w:val="nil"/>
              <w:bottom w:val="nil"/>
              <w:right w:val="nil"/>
            </w:tcBorders>
            <w:vAlign w:val="center"/>
          </w:tcPr>
          <w:p w14:paraId="6A95A584" w14:textId="77777777" w:rsidR="009D0B0D" w:rsidRPr="009D0B0D" w:rsidRDefault="009D0B0D" w:rsidP="009D0B0D">
            <w:pPr>
              <w:tabs>
                <w:tab w:val="left" w:pos="882"/>
              </w:tabs>
              <w:spacing w:after="0" w:line="480" w:lineRule="auto"/>
              <w:ind w:left="521"/>
              <w:jc w:val="center"/>
              <w:rPr>
                <w:rFonts w:ascii="Times New Roman" w:eastAsia="Times New Roman" w:hAnsi="Times New Roman" w:cs="Times New Roman"/>
                <w:bCs/>
                <w:i/>
                <w:iCs/>
                <w:sz w:val="20"/>
                <w:szCs w:val="20"/>
                <w:lang w:eastAsia="en-GB"/>
              </w:rPr>
            </w:pPr>
          </w:p>
        </w:tc>
        <w:tc>
          <w:tcPr>
            <w:tcW w:w="500" w:type="dxa"/>
            <w:tcBorders>
              <w:top w:val="nil"/>
              <w:left w:val="nil"/>
              <w:bottom w:val="nil"/>
              <w:right w:val="nil"/>
            </w:tcBorders>
          </w:tcPr>
          <w:p w14:paraId="09FBB2DD" w14:textId="77777777" w:rsidR="009D0B0D" w:rsidRPr="009D0B0D" w:rsidRDefault="009D0B0D" w:rsidP="009D0B0D">
            <w:pPr>
              <w:spacing w:after="0" w:line="480" w:lineRule="auto"/>
              <w:jc w:val="center"/>
              <w:rPr>
                <w:rFonts w:ascii="Times New Roman" w:eastAsia="DengXian" w:hAnsi="Times New Roman" w:cs="Times New Roman"/>
                <w:sz w:val="20"/>
                <w:szCs w:val="20"/>
                <w:lang w:eastAsia="zh-CN"/>
              </w:rPr>
            </w:pPr>
          </w:p>
        </w:tc>
        <w:tc>
          <w:tcPr>
            <w:tcW w:w="1624" w:type="dxa"/>
            <w:tcBorders>
              <w:top w:val="nil"/>
              <w:left w:val="nil"/>
              <w:bottom w:val="nil"/>
              <w:right w:val="nil"/>
            </w:tcBorders>
          </w:tcPr>
          <w:p w14:paraId="18099012" w14:textId="77777777" w:rsidR="009D0B0D" w:rsidRPr="009D0B0D" w:rsidRDefault="009D0B0D" w:rsidP="009D0B0D">
            <w:pPr>
              <w:spacing w:after="0" w:line="480" w:lineRule="auto"/>
              <w:jc w:val="center"/>
              <w:rPr>
                <w:rFonts w:ascii="Times New Roman" w:eastAsia="SimSun" w:hAnsi="Times New Roman" w:cs="Times New Roman"/>
                <w:lang w:eastAsia="zh-CN"/>
              </w:rPr>
            </w:pPr>
            <w:r w:rsidRPr="009D0B0D">
              <w:rPr>
                <w:rFonts w:ascii="Times New Roman" w:eastAsia="DengXian" w:hAnsi="Times New Roman" w:cs="Times New Roman"/>
                <w:sz w:val="20"/>
                <w:szCs w:val="20"/>
                <w:lang w:eastAsia="zh-CN"/>
              </w:rPr>
              <w:t>(6.67)</w:t>
            </w:r>
          </w:p>
        </w:tc>
        <w:tc>
          <w:tcPr>
            <w:tcW w:w="237" w:type="dxa"/>
            <w:tcBorders>
              <w:top w:val="nil"/>
              <w:left w:val="nil"/>
              <w:bottom w:val="nil"/>
              <w:right w:val="nil"/>
            </w:tcBorders>
          </w:tcPr>
          <w:p w14:paraId="41E8B677" w14:textId="77777777" w:rsidR="009D0B0D" w:rsidRPr="009D0B0D" w:rsidRDefault="009D0B0D" w:rsidP="009D0B0D">
            <w:pPr>
              <w:spacing w:after="0" w:line="480" w:lineRule="auto"/>
              <w:jc w:val="center"/>
              <w:rPr>
                <w:rFonts w:ascii="Times New Roman" w:eastAsia="SimSun" w:hAnsi="Times New Roman" w:cs="Times New Roman"/>
                <w:lang w:eastAsia="zh-CN"/>
              </w:rPr>
            </w:pPr>
          </w:p>
        </w:tc>
        <w:tc>
          <w:tcPr>
            <w:tcW w:w="1513" w:type="dxa"/>
            <w:tcBorders>
              <w:top w:val="nil"/>
              <w:left w:val="nil"/>
              <w:bottom w:val="nil"/>
              <w:right w:val="nil"/>
            </w:tcBorders>
          </w:tcPr>
          <w:p w14:paraId="17ACC85A" w14:textId="77777777" w:rsidR="009D0B0D" w:rsidRPr="009D0B0D" w:rsidRDefault="009D0B0D" w:rsidP="009D0B0D">
            <w:pPr>
              <w:spacing w:after="0" w:line="480" w:lineRule="auto"/>
              <w:jc w:val="center"/>
              <w:rPr>
                <w:rFonts w:ascii="Times New Roman" w:eastAsia="SimSun" w:hAnsi="Times New Roman" w:cs="Times New Roman"/>
                <w:lang w:eastAsia="zh-CN"/>
              </w:rPr>
            </w:pPr>
          </w:p>
        </w:tc>
        <w:tc>
          <w:tcPr>
            <w:tcW w:w="2881" w:type="dxa"/>
            <w:gridSpan w:val="2"/>
            <w:tcBorders>
              <w:top w:val="nil"/>
              <w:left w:val="nil"/>
              <w:bottom w:val="nil"/>
              <w:right w:val="nil"/>
            </w:tcBorders>
          </w:tcPr>
          <w:p w14:paraId="5A8EE55B" w14:textId="77777777" w:rsidR="009D0B0D" w:rsidRPr="009D0B0D" w:rsidRDefault="009D0B0D" w:rsidP="009D0B0D">
            <w:pPr>
              <w:spacing w:after="0" w:line="480" w:lineRule="auto"/>
              <w:jc w:val="center"/>
              <w:rPr>
                <w:rFonts w:ascii="Times New Roman" w:eastAsia="SimSun" w:hAnsi="Times New Roman" w:cs="Times New Roman"/>
                <w:lang w:eastAsia="zh-CN"/>
              </w:rPr>
            </w:pPr>
          </w:p>
        </w:tc>
      </w:tr>
      <w:tr w:rsidR="009D0B0D" w:rsidRPr="009D0B0D" w14:paraId="2372B463" w14:textId="77777777" w:rsidTr="00617949">
        <w:trPr>
          <w:trHeight w:hRule="exact" w:val="292"/>
        </w:trPr>
        <w:tc>
          <w:tcPr>
            <w:tcW w:w="1751" w:type="dxa"/>
            <w:vMerge w:val="restart"/>
            <w:tcBorders>
              <w:top w:val="nil"/>
              <w:left w:val="nil"/>
              <w:right w:val="nil"/>
            </w:tcBorders>
            <w:vAlign w:val="center"/>
          </w:tcPr>
          <w:p w14:paraId="5AD1902D" w14:textId="77777777" w:rsidR="009D0B0D" w:rsidRPr="009D0B0D" w:rsidRDefault="009D0B0D" w:rsidP="009D0B0D">
            <w:pPr>
              <w:tabs>
                <w:tab w:val="left" w:pos="882"/>
              </w:tabs>
              <w:spacing w:after="0" w:line="480" w:lineRule="auto"/>
              <w:ind w:left="521"/>
              <w:jc w:val="center"/>
              <w:rPr>
                <w:rFonts w:ascii="Times New Roman" w:eastAsia="Times New Roman" w:hAnsi="Times New Roman" w:cs="Times New Roman"/>
                <w:bCs/>
                <w:i/>
                <w:iCs/>
                <w:sz w:val="20"/>
                <w:szCs w:val="20"/>
                <w:lang w:val="en-GB" w:eastAsia="en-GB"/>
              </w:rPr>
            </w:pPr>
            <w:r w:rsidRPr="009D0B0D">
              <w:rPr>
                <w:rFonts w:ascii="Times New Roman" w:eastAsia="Times New Roman" w:hAnsi="Times New Roman" w:cs="Times New Roman"/>
                <w:bCs/>
                <w:i/>
                <w:iCs/>
                <w:sz w:val="20"/>
                <w:szCs w:val="20"/>
                <w:lang w:eastAsia="en-GB"/>
              </w:rPr>
              <w:t xml:space="preserve">OC </w:t>
            </w:r>
          </w:p>
        </w:tc>
        <w:tc>
          <w:tcPr>
            <w:tcW w:w="500" w:type="dxa"/>
            <w:tcBorders>
              <w:top w:val="nil"/>
              <w:left w:val="nil"/>
              <w:bottom w:val="nil"/>
              <w:right w:val="nil"/>
            </w:tcBorders>
          </w:tcPr>
          <w:p w14:paraId="3494F826" w14:textId="77777777" w:rsidR="009D0B0D" w:rsidRPr="009D0B0D" w:rsidRDefault="009D0B0D" w:rsidP="009D0B0D">
            <w:pPr>
              <w:spacing w:after="0" w:line="480" w:lineRule="auto"/>
              <w:jc w:val="center"/>
              <w:rPr>
                <w:rFonts w:ascii="Times New Roman" w:eastAsia="SimSun" w:hAnsi="Times New Roman" w:cs="Times New Roman"/>
                <w:lang w:eastAsia="zh-CN"/>
              </w:rPr>
            </w:pPr>
          </w:p>
        </w:tc>
        <w:tc>
          <w:tcPr>
            <w:tcW w:w="1624" w:type="dxa"/>
            <w:tcBorders>
              <w:top w:val="nil"/>
              <w:left w:val="nil"/>
              <w:bottom w:val="nil"/>
              <w:right w:val="nil"/>
            </w:tcBorders>
          </w:tcPr>
          <w:p w14:paraId="52008F90" w14:textId="77777777" w:rsidR="009D0B0D" w:rsidRPr="009D0B0D" w:rsidRDefault="009D0B0D" w:rsidP="009D0B0D">
            <w:pPr>
              <w:spacing w:after="0" w:line="480" w:lineRule="auto"/>
              <w:jc w:val="center"/>
              <w:rPr>
                <w:rFonts w:ascii="Times New Roman" w:eastAsia="SimSun" w:hAnsi="Times New Roman" w:cs="Times New Roman"/>
                <w:lang w:eastAsia="zh-CN"/>
              </w:rPr>
            </w:pPr>
          </w:p>
        </w:tc>
        <w:tc>
          <w:tcPr>
            <w:tcW w:w="237" w:type="dxa"/>
            <w:tcBorders>
              <w:top w:val="nil"/>
              <w:left w:val="nil"/>
              <w:bottom w:val="nil"/>
              <w:right w:val="nil"/>
            </w:tcBorders>
          </w:tcPr>
          <w:p w14:paraId="7A906545"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eastAsia="en-GB"/>
              </w:rPr>
            </w:pPr>
          </w:p>
        </w:tc>
        <w:tc>
          <w:tcPr>
            <w:tcW w:w="1513" w:type="dxa"/>
            <w:tcBorders>
              <w:top w:val="nil"/>
              <w:left w:val="nil"/>
              <w:bottom w:val="nil"/>
              <w:right w:val="nil"/>
            </w:tcBorders>
          </w:tcPr>
          <w:p w14:paraId="1089FFBB" w14:textId="77777777" w:rsidR="009D0B0D" w:rsidRPr="009D0B0D" w:rsidRDefault="009D0B0D" w:rsidP="009D0B0D">
            <w:pPr>
              <w:spacing w:after="0" w:line="480" w:lineRule="auto"/>
              <w:jc w:val="center"/>
              <w:rPr>
                <w:rFonts w:ascii="Times New Roman" w:eastAsia="SimSun" w:hAnsi="Times New Roman" w:cs="Times New Roman"/>
                <w:sz w:val="20"/>
                <w:szCs w:val="20"/>
                <w:lang w:eastAsia="zh-CN"/>
              </w:rPr>
            </w:pPr>
            <w:bookmarkStart w:id="13" w:name="_Hlk198964964"/>
            <w:r w:rsidRPr="009D0B0D">
              <w:rPr>
                <w:rFonts w:ascii="Times New Roman" w:eastAsia="Times New Roman" w:hAnsi="Times New Roman" w:cs="Times New Roman"/>
                <w:bCs/>
                <w:sz w:val="20"/>
                <w:szCs w:val="20"/>
                <w:lang w:eastAsia="en-GB"/>
              </w:rPr>
              <w:t xml:space="preserve">19.94 </w:t>
            </w:r>
            <w:bookmarkEnd w:id="13"/>
            <w:r w:rsidRPr="009D0B0D">
              <w:rPr>
                <w:rFonts w:ascii="Times New Roman" w:eastAsia="Times New Roman" w:hAnsi="Times New Roman" w:cs="Times New Roman"/>
                <w:bCs/>
                <w:sz w:val="20"/>
                <w:szCs w:val="20"/>
                <w:lang w:eastAsia="en-GB"/>
              </w:rPr>
              <w:t>***</w:t>
            </w:r>
          </w:p>
        </w:tc>
        <w:tc>
          <w:tcPr>
            <w:tcW w:w="2881" w:type="dxa"/>
            <w:gridSpan w:val="2"/>
            <w:tcBorders>
              <w:top w:val="nil"/>
              <w:left w:val="nil"/>
              <w:bottom w:val="nil"/>
              <w:right w:val="nil"/>
            </w:tcBorders>
          </w:tcPr>
          <w:p w14:paraId="19245F8F" w14:textId="77777777" w:rsidR="009D0B0D" w:rsidRPr="009D0B0D" w:rsidRDefault="009D0B0D" w:rsidP="009D0B0D">
            <w:pPr>
              <w:spacing w:after="0" w:line="480" w:lineRule="auto"/>
              <w:rPr>
                <w:rFonts w:ascii="Times New Roman" w:eastAsia="Times New Roman" w:hAnsi="Times New Roman" w:cs="Times New Roman"/>
                <w:bCs/>
                <w:sz w:val="20"/>
                <w:szCs w:val="20"/>
                <w:lang w:eastAsia="en-GB"/>
              </w:rPr>
            </w:pPr>
            <w:r w:rsidRPr="009D0B0D">
              <w:rPr>
                <w:rFonts w:ascii="Times New Roman" w:eastAsia="Times New Roman" w:hAnsi="Times New Roman" w:cs="Times New Roman"/>
                <w:bCs/>
                <w:sz w:val="20"/>
                <w:szCs w:val="20"/>
                <w:lang w:eastAsia="en-GB"/>
              </w:rPr>
              <w:t xml:space="preserve">                      4.22***</w:t>
            </w:r>
          </w:p>
        </w:tc>
      </w:tr>
      <w:tr w:rsidR="009D0B0D" w:rsidRPr="009D0B0D" w14:paraId="256AC61C" w14:textId="77777777" w:rsidTr="00617949">
        <w:trPr>
          <w:trHeight w:hRule="exact" w:val="292"/>
        </w:trPr>
        <w:tc>
          <w:tcPr>
            <w:tcW w:w="1751" w:type="dxa"/>
            <w:vMerge/>
            <w:tcBorders>
              <w:left w:val="nil"/>
              <w:bottom w:val="nil"/>
              <w:right w:val="nil"/>
            </w:tcBorders>
          </w:tcPr>
          <w:p w14:paraId="027EFFBA" w14:textId="77777777" w:rsidR="009D0B0D" w:rsidRPr="009D0B0D" w:rsidRDefault="009D0B0D" w:rsidP="009D0B0D">
            <w:pPr>
              <w:tabs>
                <w:tab w:val="left" w:pos="882"/>
              </w:tabs>
              <w:spacing w:after="0" w:line="480" w:lineRule="auto"/>
              <w:ind w:left="521"/>
              <w:jc w:val="center"/>
              <w:rPr>
                <w:rFonts w:ascii="Times New Roman" w:eastAsia="Times New Roman" w:hAnsi="Times New Roman" w:cs="Times New Roman"/>
                <w:bCs/>
                <w:i/>
                <w:iCs/>
                <w:sz w:val="20"/>
                <w:szCs w:val="20"/>
                <w:lang w:val="en-GB" w:eastAsia="en-GB"/>
              </w:rPr>
            </w:pPr>
          </w:p>
        </w:tc>
        <w:tc>
          <w:tcPr>
            <w:tcW w:w="500" w:type="dxa"/>
            <w:tcBorders>
              <w:top w:val="nil"/>
              <w:left w:val="nil"/>
              <w:bottom w:val="nil"/>
              <w:right w:val="nil"/>
            </w:tcBorders>
          </w:tcPr>
          <w:p w14:paraId="5D253A2A" w14:textId="77777777" w:rsidR="009D0B0D" w:rsidRPr="009D0B0D" w:rsidRDefault="009D0B0D" w:rsidP="009D0B0D">
            <w:pPr>
              <w:spacing w:after="0" w:line="480" w:lineRule="auto"/>
              <w:jc w:val="center"/>
              <w:rPr>
                <w:rFonts w:ascii="Times New Roman" w:eastAsia="SimSun" w:hAnsi="Times New Roman" w:cs="Times New Roman"/>
                <w:lang w:eastAsia="zh-CN"/>
              </w:rPr>
            </w:pPr>
          </w:p>
        </w:tc>
        <w:tc>
          <w:tcPr>
            <w:tcW w:w="1624" w:type="dxa"/>
            <w:tcBorders>
              <w:top w:val="nil"/>
              <w:left w:val="nil"/>
              <w:bottom w:val="nil"/>
              <w:right w:val="nil"/>
            </w:tcBorders>
          </w:tcPr>
          <w:p w14:paraId="783554EB" w14:textId="77777777" w:rsidR="009D0B0D" w:rsidRPr="009D0B0D" w:rsidRDefault="009D0B0D" w:rsidP="009D0B0D">
            <w:pPr>
              <w:spacing w:after="0" w:line="480" w:lineRule="auto"/>
              <w:jc w:val="center"/>
              <w:rPr>
                <w:rFonts w:ascii="Times New Roman" w:eastAsia="SimSun" w:hAnsi="Times New Roman" w:cs="Times New Roman"/>
                <w:lang w:eastAsia="zh-CN"/>
              </w:rPr>
            </w:pPr>
          </w:p>
        </w:tc>
        <w:tc>
          <w:tcPr>
            <w:tcW w:w="237" w:type="dxa"/>
            <w:tcBorders>
              <w:top w:val="nil"/>
              <w:left w:val="nil"/>
              <w:bottom w:val="nil"/>
              <w:right w:val="nil"/>
            </w:tcBorders>
          </w:tcPr>
          <w:p w14:paraId="3107AF49"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eastAsia="en-GB"/>
              </w:rPr>
            </w:pPr>
          </w:p>
        </w:tc>
        <w:tc>
          <w:tcPr>
            <w:tcW w:w="1513" w:type="dxa"/>
            <w:tcBorders>
              <w:top w:val="nil"/>
              <w:left w:val="nil"/>
              <w:bottom w:val="nil"/>
              <w:right w:val="nil"/>
            </w:tcBorders>
          </w:tcPr>
          <w:p w14:paraId="0EDC5D5D" w14:textId="77777777" w:rsidR="009D0B0D" w:rsidRPr="009D0B0D" w:rsidRDefault="009D0B0D" w:rsidP="009D0B0D">
            <w:pPr>
              <w:spacing w:after="0" w:line="480" w:lineRule="auto"/>
              <w:jc w:val="center"/>
              <w:rPr>
                <w:rFonts w:ascii="Times New Roman" w:eastAsia="SimSun" w:hAnsi="Times New Roman" w:cs="Times New Roman"/>
                <w:sz w:val="20"/>
                <w:szCs w:val="20"/>
                <w:lang w:eastAsia="zh-CN"/>
              </w:rPr>
            </w:pPr>
            <w:r w:rsidRPr="009D0B0D">
              <w:rPr>
                <w:rFonts w:ascii="Times New Roman" w:eastAsia="Times New Roman" w:hAnsi="Times New Roman" w:cs="Times New Roman"/>
                <w:bCs/>
                <w:sz w:val="20"/>
                <w:szCs w:val="20"/>
                <w:lang w:eastAsia="en-GB"/>
              </w:rPr>
              <w:t>(4.62)</w:t>
            </w:r>
          </w:p>
        </w:tc>
        <w:tc>
          <w:tcPr>
            <w:tcW w:w="2881" w:type="dxa"/>
            <w:gridSpan w:val="2"/>
            <w:tcBorders>
              <w:top w:val="nil"/>
              <w:left w:val="nil"/>
              <w:bottom w:val="nil"/>
              <w:right w:val="nil"/>
            </w:tcBorders>
          </w:tcPr>
          <w:p w14:paraId="36F66418"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eastAsia="en-GB"/>
              </w:rPr>
            </w:pPr>
            <w:r w:rsidRPr="009D0B0D">
              <w:rPr>
                <w:rFonts w:ascii="Times New Roman" w:eastAsia="Times New Roman" w:hAnsi="Times New Roman" w:cs="Times New Roman"/>
                <w:bCs/>
                <w:sz w:val="20"/>
                <w:szCs w:val="20"/>
                <w:lang w:eastAsia="en-GB"/>
              </w:rPr>
              <w:t>(6.87)</w:t>
            </w:r>
          </w:p>
        </w:tc>
      </w:tr>
      <w:tr w:rsidR="009D0B0D" w:rsidRPr="009D0B0D" w14:paraId="4B1A8AAC" w14:textId="77777777" w:rsidTr="00617949">
        <w:trPr>
          <w:trHeight w:hRule="exact" w:val="292"/>
        </w:trPr>
        <w:tc>
          <w:tcPr>
            <w:tcW w:w="1751" w:type="dxa"/>
            <w:tcBorders>
              <w:top w:val="nil"/>
              <w:left w:val="nil"/>
              <w:bottom w:val="nil"/>
              <w:right w:val="nil"/>
            </w:tcBorders>
          </w:tcPr>
          <w:p w14:paraId="0C3EEE67" w14:textId="77777777" w:rsidR="009D0B0D" w:rsidRPr="009D0B0D" w:rsidRDefault="009D0B0D" w:rsidP="009D0B0D">
            <w:pPr>
              <w:tabs>
                <w:tab w:val="left" w:pos="882"/>
              </w:tabs>
              <w:spacing w:after="0" w:line="480" w:lineRule="auto"/>
              <w:ind w:left="521"/>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 xml:space="preserve">Controls </w:t>
            </w:r>
          </w:p>
        </w:tc>
        <w:tc>
          <w:tcPr>
            <w:tcW w:w="500" w:type="dxa"/>
            <w:tcBorders>
              <w:top w:val="nil"/>
              <w:left w:val="nil"/>
              <w:bottom w:val="nil"/>
              <w:right w:val="nil"/>
            </w:tcBorders>
          </w:tcPr>
          <w:p w14:paraId="654C8ACE" w14:textId="77777777" w:rsidR="009D0B0D" w:rsidRPr="009D0B0D" w:rsidRDefault="009D0B0D" w:rsidP="009D0B0D">
            <w:pPr>
              <w:spacing w:after="0" w:line="240" w:lineRule="auto"/>
              <w:jc w:val="center"/>
              <w:rPr>
                <w:rFonts w:ascii="Times New Roman" w:eastAsia="Times New Roman" w:hAnsi="Times New Roman" w:cs="Times New Roman"/>
                <w:bCs/>
                <w:sz w:val="20"/>
                <w:szCs w:val="20"/>
                <w:lang w:val="en-GB" w:eastAsia="en-GB"/>
              </w:rPr>
            </w:pPr>
          </w:p>
        </w:tc>
        <w:tc>
          <w:tcPr>
            <w:tcW w:w="1624" w:type="dxa"/>
            <w:tcBorders>
              <w:top w:val="nil"/>
              <w:left w:val="nil"/>
              <w:bottom w:val="nil"/>
              <w:right w:val="nil"/>
            </w:tcBorders>
          </w:tcPr>
          <w:p w14:paraId="4475F32D" w14:textId="77777777" w:rsidR="009D0B0D" w:rsidRPr="009D0B0D" w:rsidRDefault="009D0B0D" w:rsidP="009D0B0D">
            <w:pPr>
              <w:spacing w:after="0" w:line="24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Yes</w:t>
            </w:r>
          </w:p>
        </w:tc>
        <w:tc>
          <w:tcPr>
            <w:tcW w:w="237" w:type="dxa"/>
            <w:tcBorders>
              <w:top w:val="nil"/>
              <w:left w:val="nil"/>
              <w:bottom w:val="nil"/>
              <w:right w:val="nil"/>
            </w:tcBorders>
          </w:tcPr>
          <w:p w14:paraId="7BFEE63A" w14:textId="77777777" w:rsidR="009D0B0D" w:rsidRPr="009D0B0D" w:rsidRDefault="009D0B0D" w:rsidP="009D0B0D">
            <w:pPr>
              <w:spacing w:after="0" w:line="240" w:lineRule="auto"/>
              <w:jc w:val="center"/>
              <w:rPr>
                <w:rFonts w:ascii="Times New Roman" w:eastAsia="Times New Roman" w:hAnsi="Times New Roman" w:cs="Times New Roman"/>
                <w:bCs/>
                <w:sz w:val="20"/>
                <w:szCs w:val="20"/>
                <w:lang w:val="en-GB" w:eastAsia="en-GB"/>
              </w:rPr>
            </w:pPr>
          </w:p>
        </w:tc>
        <w:tc>
          <w:tcPr>
            <w:tcW w:w="1513" w:type="dxa"/>
            <w:tcBorders>
              <w:top w:val="nil"/>
              <w:left w:val="nil"/>
              <w:bottom w:val="nil"/>
              <w:right w:val="nil"/>
            </w:tcBorders>
          </w:tcPr>
          <w:p w14:paraId="7CD339F3" w14:textId="77777777" w:rsidR="009D0B0D" w:rsidRPr="009D0B0D" w:rsidRDefault="009D0B0D" w:rsidP="009D0B0D">
            <w:pPr>
              <w:spacing w:after="0" w:line="24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Yes</w:t>
            </w:r>
          </w:p>
        </w:tc>
        <w:tc>
          <w:tcPr>
            <w:tcW w:w="2881" w:type="dxa"/>
            <w:gridSpan w:val="2"/>
            <w:tcBorders>
              <w:top w:val="nil"/>
              <w:left w:val="nil"/>
              <w:bottom w:val="nil"/>
              <w:right w:val="nil"/>
            </w:tcBorders>
          </w:tcPr>
          <w:p w14:paraId="4E631B48" w14:textId="77777777" w:rsidR="009D0B0D" w:rsidRPr="009D0B0D" w:rsidRDefault="009D0B0D" w:rsidP="009D0B0D">
            <w:pPr>
              <w:spacing w:after="0" w:line="24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Yes</w:t>
            </w:r>
          </w:p>
        </w:tc>
      </w:tr>
      <w:tr w:rsidR="009D0B0D" w:rsidRPr="009D0B0D" w14:paraId="2A71C107" w14:textId="77777777" w:rsidTr="00617949">
        <w:trPr>
          <w:trHeight w:hRule="exact" w:val="292"/>
        </w:trPr>
        <w:tc>
          <w:tcPr>
            <w:tcW w:w="1751" w:type="dxa"/>
            <w:tcBorders>
              <w:top w:val="nil"/>
              <w:left w:val="nil"/>
              <w:bottom w:val="nil"/>
              <w:right w:val="nil"/>
            </w:tcBorders>
          </w:tcPr>
          <w:p w14:paraId="5446C971" w14:textId="77777777" w:rsidR="009D0B0D" w:rsidRPr="009D0B0D" w:rsidRDefault="009D0B0D" w:rsidP="009D0B0D">
            <w:pPr>
              <w:tabs>
                <w:tab w:val="left" w:pos="882"/>
              </w:tabs>
              <w:spacing w:after="0" w:line="480" w:lineRule="auto"/>
              <w:ind w:left="521"/>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Industry effect</w:t>
            </w:r>
          </w:p>
        </w:tc>
        <w:tc>
          <w:tcPr>
            <w:tcW w:w="500" w:type="dxa"/>
            <w:tcBorders>
              <w:top w:val="nil"/>
              <w:left w:val="nil"/>
              <w:bottom w:val="nil"/>
              <w:right w:val="nil"/>
            </w:tcBorders>
          </w:tcPr>
          <w:p w14:paraId="3AAACF8A"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p>
        </w:tc>
        <w:tc>
          <w:tcPr>
            <w:tcW w:w="1624" w:type="dxa"/>
            <w:tcBorders>
              <w:top w:val="nil"/>
              <w:left w:val="nil"/>
              <w:bottom w:val="nil"/>
              <w:right w:val="nil"/>
            </w:tcBorders>
          </w:tcPr>
          <w:p w14:paraId="45E8B2A8"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Yes</w:t>
            </w:r>
          </w:p>
        </w:tc>
        <w:tc>
          <w:tcPr>
            <w:tcW w:w="237" w:type="dxa"/>
            <w:tcBorders>
              <w:top w:val="nil"/>
              <w:left w:val="nil"/>
              <w:bottom w:val="nil"/>
              <w:right w:val="nil"/>
            </w:tcBorders>
          </w:tcPr>
          <w:p w14:paraId="0B1AA27D"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p>
        </w:tc>
        <w:tc>
          <w:tcPr>
            <w:tcW w:w="1513" w:type="dxa"/>
            <w:tcBorders>
              <w:top w:val="nil"/>
              <w:left w:val="nil"/>
              <w:bottom w:val="nil"/>
              <w:right w:val="nil"/>
            </w:tcBorders>
          </w:tcPr>
          <w:p w14:paraId="17D84584"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Yes</w:t>
            </w:r>
          </w:p>
        </w:tc>
        <w:tc>
          <w:tcPr>
            <w:tcW w:w="2881" w:type="dxa"/>
            <w:gridSpan w:val="2"/>
            <w:tcBorders>
              <w:top w:val="nil"/>
              <w:left w:val="nil"/>
              <w:bottom w:val="nil"/>
              <w:right w:val="nil"/>
            </w:tcBorders>
          </w:tcPr>
          <w:p w14:paraId="5EEFA3F4"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Yes</w:t>
            </w:r>
          </w:p>
        </w:tc>
      </w:tr>
      <w:tr w:rsidR="009D0B0D" w:rsidRPr="009D0B0D" w14:paraId="475EC21F" w14:textId="77777777" w:rsidTr="00617949">
        <w:trPr>
          <w:trHeight w:hRule="exact" w:val="292"/>
        </w:trPr>
        <w:tc>
          <w:tcPr>
            <w:tcW w:w="1751" w:type="dxa"/>
            <w:tcBorders>
              <w:top w:val="nil"/>
              <w:left w:val="nil"/>
              <w:bottom w:val="nil"/>
              <w:right w:val="nil"/>
            </w:tcBorders>
          </w:tcPr>
          <w:p w14:paraId="6906E6E8" w14:textId="77777777" w:rsidR="009D0B0D" w:rsidRPr="009D0B0D" w:rsidRDefault="009D0B0D" w:rsidP="009D0B0D">
            <w:pPr>
              <w:tabs>
                <w:tab w:val="left" w:pos="882"/>
              </w:tabs>
              <w:spacing w:after="0" w:line="480" w:lineRule="auto"/>
              <w:ind w:left="521"/>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Year effect</w:t>
            </w:r>
          </w:p>
        </w:tc>
        <w:tc>
          <w:tcPr>
            <w:tcW w:w="500" w:type="dxa"/>
            <w:tcBorders>
              <w:top w:val="nil"/>
              <w:left w:val="nil"/>
              <w:bottom w:val="nil"/>
              <w:right w:val="nil"/>
            </w:tcBorders>
          </w:tcPr>
          <w:p w14:paraId="48D5496B"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p>
        </w:tc>
        <w:tc>
          <w:tcPr>
            <w:tcW w:w="1624" w:type="dxa"/>
            <w:tcBorders>
              <w:top w:val="nil"/>
              <w:left w:val="nil"/>
              <w:bottom w:val="nil"/>
              <w:right w:val="nil"/>
            </w:tcBorders>
          </w:tcPr>
          <w:p w14:paraId="396E605E"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Yes</w:t>
            </w:r>
          </w:p>
        </w:tc>
        <w:tc>
          <w:tcPr>
            <w:tcW w:w="237" w:type="dxa"/>
            <w:tcBorders>
              <w:top w:val="nil"/>
              <w:left w:val="nil"/>
              <w:bottom w:val="nil"/>
              <w:right w:val="nil"/>
            </w:tcBorders>
          </w:tcPr>
          <w:p w14:paraId="5A73CF76"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p>
        </w:tc>
        <w:tc>
          <w:tcPr>
            <w:tcW w:w="1513" w:type="dxa"/>
            <w:tcBorders>
              <w:top w:val="nil"/>
              <w:left w:val="nil"/>
              <w:bottom w:val="nil"/>
              <w:right w:val="nil"/>
            </w:tcBorders>
          </w:tcPr>
          <w:p w14:paraId="27EACF7D"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Yes</w:t>
            </w:r>
          </w:p>
        </w:tc>
        <w:tc>
          <w:tcPr>
            <w:tcW w:w="2881" w:type="dxa"/>
            <w:gridSpan w:val="2"/>
            <w:tcBorders>
              <w:top w:val="nil"/>
              <w:left w:val="nil"/>
              <w:bottom w:val="nil"/>
              <w:right w:val="nil"/>
            </w:tcBorders>
          </w:tcPr>
          <w:p w14:paraId="7626BE48"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Yes</w:t>
            </w:r>
          </w:p>
        </w:tc>
      </w:tr>
      <w:tr w:rsidR="009D0B0D" w:rsidRPr="009D0B0D" w14:paraId="2678F197" w14:textId="77777777" w:rsidTr="00617949">
        <w:trPr>
          <w:trHeight w:hRule="exact" w:val="292"/>
        </w:trPr>
        <w:tc>
          <w:tcPr>
            <w:tcW w:w="1751" w:type="dxa"/>
            <w:tcBorders>
              <w:top w:val="nil"/>
              <w:left w:val="nil"/>
              <w:bottom w:val="nil"/>
              <w:right w:val="nil"/>
            </w:tcBorders>
          </w:tcPr>
          <w:p w14:paraId="194A03BE" w14:textId="77777777" w:rsidR="009D0B0D" w:rsidRPr="009D0B0D" w:rsidRDefault="009D0B0D" w:rsidP="009D0B0D">
            <w:pPr>
              <w:tabs>
                <w:tab w:val="left" w:pos="882"/>
              </w:tabs>
              <w:spacing w:after="0" w:line="480" w:lineRule="auto"/>
              <w:ind w:left="521"/>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Observations</w:t>
            </w:r>
          </w:p>
        </w:tc>
        <w:tc>
          <w:tcPr>
            <w:tcW w:w="500" w:type="dxa"/>
            <w:tcBorders>
              <w:top w:val="nil"/>
              <w:left w:val="nil"/>
              <w:bottom w:val="nil"/>
              <w:right w:val="nil"/>
            </w:tcBorders>
          </w:tcPr>
          <w:p w14:paraId="477E59C1"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eastAsia="en-GB"/>
              </w:rPr>
            </w:pPr>
          </w:p>
        </w:tc>
        <w:tc>
          <w:tcPr>
            <w:tcW w:w="1624" w:type="dxa"/>
            <w:tcBorders>
              <w:top w:val="nil"/>
              <w:left w:val="nil"/>
              <w:bottom w:val="nil"/>
              <w:right w:val="nil"/>
            </w:tcBorders>
          </w:tcPr>
          <w:p w14:paraId="554610C3" w14:textId="50854849" w:rsidR="009D0B0D" w:rsidRPr="009D0B0D" w:rsidRDefault="00C3690E" w:rsidP="00C3690E">
            <w:pPr>
              <w:spacing w:after="0" w:line="480" w:lineRule="auto"/>
              <w:jc w:val="center"/>
              <w:rPr>
                <w:rFonts w:ascii="Times New Roman" w:eastAsia="Times New Roman" w:hAnsi="Times New Roman" w:cs="Times New Roman"/>
                <w:bCs/>
                <w:sz w:val="20"/>
                <w:szCs w:val="20"/>
                <w:lang w:eastAsia="en-GB"/>
              </w:rPr>
            </w:pPr>
            <w:r w:rsidRPr="00002CAA">
              <w:rPr>
                <w:rFonts w:ascii="Times New Roman" w:eastAsia="Times New Roman" w:hAnsi="Times New Roman" w:cs="Times New Roman"/>
                <w:bCs/>
                <w:sz w:val="20"/>
                <w:szCs w:val="20"/>
                <w:lang w:eastAsia="en-GB"/>
              </w:rPr>
              <w:t>8,389</w:t>
            </w:r>
          </w:p>
        </w:tc>
        <w:tc>
          <w:tcPr>
            <w:tcW w:w="237" w:type="dxa"/>
            <w:tcBorders>
              <w:top w:val="nil"/>
              <w:left w:val="nil"/>
              <w:bottom w:val="nil"/>
              <w:right w:val="nil"/>
            </w:tcBorders>
          </w:tcPr>
          <w:p w14:paraId="7BFDE5E6"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eastAsia="en-GB"/>
              </w:rPr>
            </w:pPr>
          </w:p>
        </w:tc>
        <w:tc>
          <w:tcPr>
            <w:tcW w:w="1513" w:type="dxa"/>
            <w:tcBorders>
              <w:top w:val="nil"/>
              <w:left w:val="nil"/>
              <w:bottom w:val="nil"/>
              <w:right w:val="nil"/>
            </w:tcBorders>
          </w:tcPr>
          <w:p w14:paraId="56699952" w14:textId="14F42285" w:rsidR="009D0B0D" w:rsidRPr="009D0B0D" w:rsidRDefault="00C3690E" w:rsidP="00C3690E">
            <w:pPr>
              <w:spacing w:after="0" w:line="480" w:lineRule="auto"/>
              <w:jc w:val="center"/>
              <w:rPr>
                <w:rFonts w:ascii="Times New Roman" w:eastAsia="Times New Roman" w:hAnsi="Times New Roman" w:cs="Times New Roman"/>
                <w:bCs/>
                <w:sz w:val="20"/>
                <w:szCs w:val="20"/>
                <w:lang w:eastAsia="en-GB"/>
              </w:rPr>
            </w:pPr>
            <w:r w:rsidRPr="00002CAA">
              <w:rPr>
                <w:rFonts w:ascii="Times New Roman" w:eastAsia="Times New Roman" w:hAnsi="Times New Roman" w:cs="Times New Roman"/>
                <w:bCs/>
                <w:sz w:val="20"/>
                <w:szCs w:val="20"/>
                <w:lang w:eastAsia="en-GB"/>
              </w:rPr>
              <w:t>8,389</w:t>
            </w:r>
          </w:p>
        </w:tc>
        <w:tc>
          <w:tcPr>
            <w:tcW w:w="2881" w:type="dxa"/>
            <w:gridSpan w:val="2"/>
            <w:tcBorders>
              <w:top w:val="nil"/>
              <w:left w:val="nil"/>
              <w:bottom w:val="nil"/>
              <w:right w:val="nil"/>
            </w:tcBorders>
          </w:tcPr>
          <w:p w14:paraId="2C2BC6DE" w14:textId="3038271B" w:rsidR="009D0B0D" w:rsidRPr="009D0B0D" w:rsidRDefault="00C3690E" w:rsidP="00C3690E">
            <w:pPr>
              <w:spacing w:after="0" w:line="480" w:lineRule="auto"/>
              <w:jc w:val="center"/>
              <w:rPr>
                <w:rFonts w:ascii="Times New Roman" w:eastAsia="Times New Roman" w:hAnsi="Times New Roman" w:cs="Times New Roman"/>
                <w:bCs/>
                <w:sz w:val="20"/>
                <w:szCs w:val="20"/>
                <w:lang w:eastAsia="en-GB"/>
              </w:rPr>
            </w:pPr>
            <w:r w:rsidRPr="00002CAA">
              <w:rPr>
                <w:rFonts w:ascii="Times New Roman" w:eastAsia="Times New Roman" w:hAnsi="Times New Roman" w:cs="Times New Roman"/>
                <w:bCs/>
                <w:sz w:val="20"/>
                <w:szCs w:val="20"/>
                <w:lang w:eastAsia="en-GB"/>
              </w:rPr>
              <w:t>8,389</w:t>
            </w:r>
          </w:p>
        </w:tc>
      </w:tr>
      <w:tr w:rsidR="009D0B0D" w:rsidRPr="009D0B0D" w14:paraId="5D402723" w14:textId="77777777" w:rsidTr="00617949">
        <w:trPr>
          <w:trHeight w:hRule="exact" w:val="292"/>
        </w:trPr>
        <w:tc>
          <w:tcPr>
            <w:tcW w:w="1751" w:type="dxa"/>
            <w:tcBorders>
              <w:top w:val="nil"/>
              <w:left w:val="nil"/>
              <w:bottom w:val="nil"/>
              <w:right w:val="nil"/>
            </w:tcBorders>
          </w:tcPr>
          <w:p w14:paraId="08D8F784" w14:textId="77777777" w:rsidR="009D0B0D" w:rsidRPr="009D0B0D" w:rsidRDefault="009D0B0D" w:rsidP="009D0B0D">
            <w:pPr>
              <w:tabs>
                <w:tab w:val="left" w:pos="882"/>
              </w:tabs>
              <w:spacing w:after="0" w:line="480" w:lineRule="auto"/>
              <w:ind w:left="521"/>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R2</w:t>
            </w:r>
          </w:p>
        </w:tc>
        <w:tc>
          <w:tcPr>
            <w:tcW w:w="500" w:type="dxa"/>
            <w:tcBorders>
              <w:top w:val="nil"/>
              <w:left w:val="nil"/>
              <w:bottom w:val="nil"/>
              <w:right w:val="nil"/>
            </w:tcBorders>
          </w:tcPr>
          <w:p w14:paraId="069C2546" w14:textId="77777777" w:rsidR="009D0B0D" w:rsidRPr="009D0B0D" w:rsidRDefault="009D0B0D" w:rsidP="009D0B0D">
            <w:pPr>
              <w:spacing w:after="0" w:line="480" w:lineRule="auto"/>
              <w:jc w:val="center"/>
              <w:rPr>
                <w:rFonts w:ascii="Times New Roman" w:eastAsia="DengXian" w:hAnsi="Times New Roman" w:cs="Times New Roman"/>
                <w:sz w:val="20"/>
                <w:szCs w:val="20"/>
                <w:lang w:eastAsia="zh-CN"/>
              </w:rPr>
            </w:pPr>
          </w:p>
        </w:tc>
        <w:tc>
          <w:tcPr>
            <w:tcW w:w="1624" w:type="dxa"/>
            <w:tcBorders>
              <w:top w:val="nil"/>
              <w:left w:val="nil"/>
              <w:bottom w:val="nil"/>
              <w:right w:val="nil"/>
            </w:tcBorders>
          </w:tcPr>
          <w:p w14:paraId="2F4EA940" w14:textId="77777777" w:rsidR="009D0B0D" w:rsidRPr="009D0B0D" w:rsidRDefault="009D0B0D" w:rsidP="009D0B0D">
            <w:pPr>
              <w:spacing w:after="0" w:line="480" w:lineRule="auto"/>
              <w:jc w:val="center"/>
              <w:rPr>
                <w:rFonts w:ascii="Times New Roman" w:eastAsia="SimSun" w:hAnsi="Times New Roman" w:cs="Times New Roman"/>
                <w:sz w:val="20"/>
                <w:szCs w:val="20"/>
                <w:lang w:eastAsia="zh-CN"/>
              </w:rPr>
            </w:pPr>
            <w:r w:rsidRPr="009D0B0D">
              <w:rPr>
                <w:rFonts w:ascii="Times New Roman" w:eastAsia="DengXian" w:hAnsi="Times New Roman" w:cs="Times New Roman"/>
                <w:sz w:val="20"/>
                <w:szCs w:val="20"/>
                <w:lang w:eastAsia="zh-CN"/>
              </w:rPr>
              <w:t>0.085</w:t>
            </w:r>
          </w:p>
        </w:tc>
        <w:tc>
          <w:tcPr>
            <w:tcW w:w="237" w:type="dxa"/>
            <w:tcBorders>
              <w:top w:val="nil"/>
              <w:left w:val="nil"/>
              <w:bottom w:val="nil"/>
              <w:right w:val="nil"/>
            </w:tcBorders>
          </w:tcPr>
          <w:p w14:paraId="77BFC647"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eastAsia="en-GB"/>
              </w:rPr>
            </w:pPr>
          </w:p>
        </w:tc>
        <w:tc>
          <w:tcPr>
            <w:tcW w:w="1513" w:type="dxa"/>
            <w:tcBorders>
              <w:top w:val="nil"/>
              <w:left w:val="nil"/>
              <w:bottom w:val="nil"/>
              <w:right w:val="nil"/>
            </w:tcBorders>
          </w:tcPr>
          <w:p w14:paraId="13267D51" w14:textId="77777777" w:rsidR="009D0B0D" w:rsidRPr="009D0B0D" w:rsidRDefault="009D0B0D" w:rsidP="009D0B0D">
            <w:pPr>
              <w:spacing w:after="0" w:line="480" w:lineRule="auto"/>
              <w:jc w:val="center"/>
              <w:rPr>
                <w:rFonts w:ascii="Times New Roman" w:eastAsia="SimSun" w:hAnsi="Times New Roman" w:cs="Times New Roman"/>
                <w:sz w:val="20"/>
                <w:szCs w:val="20"/>
                <w:lang w:eastAsia="zh-CN"/>
              </w:rPr>
            </w:pPr>
            <w:r w:rsidRPr="009D0B0D">
              <w:rPr>
                <w:rFonts w:ascii="Times New Roman" w:eastAsia="Times New Roman" w:hAnsi="Times New Roman" w:cs="Times New Roman"/>
                <w:bCs/>
                <w:sz w:val="20"/>
                <w:szCs w:val="20"/>
                <w:lang w:eastAsia="en-GB"/>
              </w:rPr>
              <w:t>0.30</w:t>
            </w:r>
          </w:p>
        </w:tc>
        <w:tc>
          <w:tcPr>
            <w:tcW w:w="2881" w:type="dxa"/>
            <w:gridSpan w:val="2"/>
            <w:tcBorders>
              <w:top w:val="nil"/>
              <w:left w:val="nil"/>
              <w:bottom w:val="nil"/>
              <w:right w:val="nil"/>
            </w:tcBorders>
          </w:tcPr>
          <w:p w14:paraId="46A25914"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eastAsia="en-GB"/>
              </w:rPr>
            </w:pPr>
            <w:r w:rsidRPr="009D0B0D">
              <w:rPr>
                <w:rFonts w:ascii="Times New Roman" w:eastAsia="Times New Roman" w:hAnsi="Times New Roman" w:cs="Times New Roman"/>
                <w:bCs/>
                <w:sz w:val="20"/>
                <w:szCs w:val="20"/>
                <w:lang w:eastAsia="en-GB"/>
              </w:rPr>
              <w:t>0.40</w:t>
            </w:r>
          </w:p>
        </w:tc>
      </w:tr>
      <w:tr w:rsidR="009D0B0D" w:rsidRPr="009D0B0D" w14:paraId="62D867CB" w14:textId="77777777" w:rsidTr="00617949">
        <w:trPr>
          <w:trHeight w:hRule="exact" w:val="292"/>
        </w:trPr>
        <w:tc>
          <w:tcPr>
            <w:tcW w:w="1751" w:type="dxa"/>
            <w:tcBorders>
              <w:top w:val="nil"/>
              <w:left w:val="nil"/>
              <w:bottom w:val="single" w:sz="4" w:space="0" w:color="auto"/>
              <w:right w:val="nil"/>
            </w:tcBorders>
          </w:tcPr>
          <w:p w14:paraId="012A3F83" w14:textId="77777777" w:rsidR="009D0B0D" w:rsidRPr="009D0B0D" w:rsidRDefault="009D0B0D" w:rsidP="009D0B0D">
            <w:pPr>
              <w:tabs>
                <w:tab w:val="left" w:pos="882"/>
              </w:tabs>
              <w:spacing w:after="0" w:line="480" w:lineRule="auto"/>
              <w:ind w:left="521"/>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Adjusted R2</w:t>
            </w:r>
          </w:p>
        </w:tc>
        <w:tc>
          <w:tcPr>
            <w:tcW w:w="500" w:type="dxa"/>
            <w:tcBorders>
              <w:top w:val="nil"/>
              <w:left w:val="nil"/>
              <w:bottom w:val="single" w:sz="4" w:space="0" w:color="auto"/>
              <w:right w:val="nil"/>
            </w:tcBorders>
          </w:tcPr>
          <w:p w14:paraId="4CD3373E" w14:textId="77777777" w:rsidR="009D0B0D" w:rsidRPr="009D0B0D" w:rsidRDefault="009D0B0D" w:rsidP="009D0B0D">
            <w:pPr>
              <w:spacing w:after="0" w:line="480" w:lineRule="auto"/>
              <w:jc w:val="center"/>
              <w:rPr>
                <w:rFonts w:ascii="Times New Roman" w:eastAsia="DengXian" w:hAnsi="Times New Roman" w:cs="Times New Roman"/>
                <w:sz w:val="20"/>
                <w:szCs w:val="20"/>
                <w:lang w:eastAsia="zh-CN"/>
              </w:rPr>
            </w:pPr>
          </w:p>
        </w:tc>
        <w:tc>
          <w:tcPr>
            <w:tcW w:w="1624" w:type="dxa"/>
            <w:tcBorders>
              <w:top w:val="nil"/>
              <w:left w:val="nil"/>
              <w:bottom w:val="single" w:sz="4" w:space="0" w:color="auto"/>
              <w:right w:val="nil"/>
            </w:tcBorders>
          </w:tcPr>
          <w:p w14:paraId="5DFB1745" w14:textId="77777777" w:rsidR="009D0B0D" w:rsidRPr="009D0B0D" w:rsidRDefault="009D0B0D" w:rsidP="009D0B0D">
            <w:pPr>
              <w:spacing w:after="0" w:line="480" w:lineRule="auto"/>
              <w:jc w:val="center"/>
              <w:rPr>
                <w:rFonts w:ascii="Times New Roman" w:eastAsia="SimSun" w:hAnsi="Times New Roman" w:cs="Times New Roman"/>
                <w:sz w:val="20"/>
                <w:szCs w:val="20"/>
                <w:lang w:eastAsia="zh-CN"/>
              </w:rPr>
            </w:pPr>
            <w:r w:rsidRPr="009D0B0D">
              <w:rPr>
                <w:rFonts w:ascii="Times New Roman" w:eastAsia="DengXian" w:hAnsi="Times New Roman" w:cs="Times New Roman"/>
                <w:sz w:val="20"/>
                <w:szCs w:val="20"/>
                <w:lang w:eastAsia="zh-CN"/>
              </w:rPr>
              <w:t>0.085</w:t>
            </w:r>
          </w:p>
        </w:tc>
        <w:tc>
          <w:tcPr>
            <w:tcW w:w="237" w:type="dxa"/>
            <w:tcBorders>
              <w:top w:val="nil"/>
              <w:left w:val="nil"/>
              <w:bottom w:val="single" w:sz="4" w:space="0" w:color="auto"/>
              <w:right w:val="nil"/>
            </w:tcBorders>
          </w:tcPr>
          <w:p w14:paraId="04B89DE4"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eastAsia="en-GB"/>
              </w:rPr>
            </w:pPr>
          </w:p>
        </w:tc>
        <w:tc>
          <w:tcPr>
            <w:tcW w:w="1513" w:type="dxa"/>
            <w:tcBorders>
              <w:top w:val="nil"/>
              <w:left w:val="nil"/>
              <w:bottom w:val="single" w:sz="4" w:space="0" w:color="auto"/>
              <w:right w:val="nil"/>
            </w:tcBorders>
          </w:tcPr>
          <w:p w14:paraId="398DF5EA" w14:textId="77777777" w:rsidR="009D0B0D" w:rsidRPr="009D0B0D" w:rsidRDefault="009D0B0D" w:rsidP="009D0B0D">
            <w:pPr>
              <w:spacing w:after="0" w:line="480" w:lineRule="auto"/>
              <w:jc w:val="center"/>
              <w:rPr>
                <w:rFonts w:ascii="Times New Roman" w:eastAsia="SimSun" w:hAnsi="Times New Roman" w:cs="Times New Roman"/>
                <w:sz w:val="20"/>
                <w:szCs w:val="20"/>
                <w:lang w:eastAsia="zh-CN"/>
              </w:rPr>
            </w:pPr>
            <w:r w:rsidRPr="009D0B0D">
              <w:rPr>
                <w:rFonts w:ascii="Times New Roman" w:eastAsia="Times New Roman" w:hAnsi="Times New Roman" w:cs="Times New Roman"/>
                <w:bCs/>
                <w:sz w:val="20"/>
                <w:szCs w:val="20"/>
                <w:lang w:eastAsia="en-GB"/>
              </w:rPr>
              <w:t>0.30</w:t>
            </w:r>
          </w:p>
        </w:tc>
        <w:tc>
          <w:tcPr>
            <w:tcW w:w="2881" w:type="dxa"/>
            <w:gridSpan w:val="2"/>
            <w:tcBorders>
              <w:top w:val="nil"/>
              <w:left w:val="nil"/>
              <w:bottom w:val="single" w:sz="4" w:space="0" w:color="auto"/>
              <w:right w:val="nil"/>
            </w:tcBorders>
          </w:tcPr>
          <w:p w14:paraId="161FF3CB"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eastAsia="en-GB"/>
              </w:rPr>
            </w:pPr>
            <w:r w:rsidRPr="009D0B0D">
              <w:rPr>
                <w:rFonts w:ascii="Times New Roman" w:eastAsia="Times New Roman" w:hAnsi="Times New Roman" w:cs="Times New Roman"/>
                <w:bCs/>
                <w:sz w:val="20"/>
                <w:szCs w:val="20"/>
                <w:lang w:eastAsia="en-GB"/>
              </w:rPr>
              <w:t>0.41</w:t>
            </w:r>
          </w:p>
        </w:tc>
      </w:tr>
    </w:tbl>
    <w:p w14:paraId="2312C7AA" w14:textId="77777777" w:rsidR="009D0B0D" w:rsidRPr="009D0B0D" w:rsidRDefault="009D0B0D" w:rsidP="009D0B0D">
      <w:pPr>
        <w:spacing w:line="240" w:lineRule="auto"/>
        <w:jc w:val="both"/>
        <w:rPr>
          <w:rFonts w:ascii="Times New Roman" w:eastAsia="SimSun" w:hAnsi="Times New Roman" w:cs="Times New Roman"/>
          <w:sz w:val="16"/>
          <w:szCs w:val="16"/>
          <w:lang w:eastAsia="zh-CN"/>
        </w:rPr>
      </w:pPr>
    </w:p>
    <w:p w14:paraId="22829455" w14:textId="77777777" w:rsidR="009D0B0D" w:rsidRPr="009D0B0D" w:rsidRDefault="009D0B0D" w:rsidP="009D0B0D">
      <w:pPr>
        <w:spacing w:line="240" w:lineRule="auto"/>
        <w:jc w:val="both"/>
        <w:rPr>
          <w:rFonts w:ascii="Times New Roman" w:eastAsia="SimSun" w:hAnsi="Times New Roman" w:cs="Times New Roman"/>
          <w:kern w:val="2"/>
          <w:sz w:val="20"/>
          <w:szCs w:val="20"/>
          <w:lang w:eastAsia="zh-CN"/>
        </w:rPr>
      </w:pPr>
      <w:r w:rsidRPr="009D0B0D">
        <w:rPr>
          <w:rFonts w:ascii="Times New Roman" w:eastAsia="SimSun" w:hAnsi="Times New Roman" w:cs="Times New Roman"/>
          <w:sz w:val="20"/>
          <w:szCs w:val="18"/>
          <w:lang w:bidi="ar-EG"/>
        </w:rPr>
        <w:t xml:space="preserve">Note: This table presents the results of addressing Endogeneity issues. Reports the results of two‐stage least squares method (2SLS). </w:t>
      </w:r>
      <w:r w:rsidRPr="009D0B0D">
        <w:rPr>
          <w:rFonts w:ascii="Times New Roman" w:eastAsia="SimSun" w:hAnsi="Times New Roman" w:cs="Times New Roman"/>
          <w:kern w:val="2"/>
          <w:sz w:val="20"/>
          <w:szCs w:val="20"/>
          <w:lang w:eastAsia="zh-CN"/>
        </w:rPr>
        <w:t>A detailed description of the variables is provided in Appendix I. Robust standard errors clustered by firms are reported in parentheses. ***, ** and * denote significance at 1%, 5%, and 10% respectively.</w:t>
      </w:r>
    </w:p>
    <w:p w14:paraId="7A365A8B" w14:textId="77777777" w:rsidR="00CD707F" w:rsidRPr="00CD707F" w:rsidRDefault="00CD707F" w:rsidP="00CD707F">
      <w:pPr>
        <w:spacing w:after="200" w:line="360" w:lineRule="auto"/>
        <w:jc w:val="both"/>
        <w:rPr>
          <w:rFonts w:ascii="Times New Roman" w:eastAsia="SimSun" w:hAnsi="Times New Roman" w:cs="Times New Roman"/>
          <w:b/>
          <w:bCs/>
          <w:sz w:val="28"/>
          <w:szCs w:val="28"/>
          <w:lang w:eastAsia="zh-CN"/>
        </w:rPr>
      </w:pPr>
      <w:r w:rsidRPr="00CD707F">
        <w:rPr>
          <w:rFonts w:ascii="Times New Roman" w:eastAsia="SimSun" w:hAnsi="Times New Roman" w:cs="Times New Roman"/>
          <w:b/>
          <w:bCs/>
          <w:sz w:val="28"/>
          <w:szCs w:val="28"/>
          <w:lang w:eastAsia="zh-CN"/>
        </w:rPr>
        <w:t>4.3.2</w:t>
      </w:r>
      <w:r w:rsidRPr="00CD707F">
        <w:rPr>
          <w:rFonts w:ascii="URWPalladioL-Roma" w:eastAsia="SimSun" w:hAnsi="URWPalladioL-Roma" w:cs="Arial"/>
          <w:color w:val="000000"/>
          <w:sz w:val="20"/>
          <w:szCs w:val="20"/>
          <w:lang w:eastAsia="zh-CN"/>
        </w:rPr>
        <w:t xml:space="preserve"> </w:t>
      </w:r>
      <w:r w:rsidRPr="00CD707F">
        <w:rPr>
          <w:rFonts w:ascii="Times New Roman" w:eastAsia="SimSun" w:hAnsi="Times New Roman" w:cs="Times New Roman"/>
          <w:b/>
          <w:bCs/>
          <w:sz w:val="28"/>
          <w:szCs w:val="28"/>
          <w:lang w:eastAsia="zh-CN"/>
        </w:rPr>
        <w:t>Fixed-Effects Model</w:t>
      </w:r>
    </w:p>
    <w:p w14:paraId="123C7DB6" w14:textId="0DEA0329" w:rsidR="00CD707F" w:rsidRPr="00CD707F" w:rsidRDefault="00CD707F" w:rsidP="00CD707F">
      <w:pPr>
        <w:spacing w:after="200" w:line="360" w:lineRule="auto"/>
        <w:jc w:val="both"/>
        <w:rPr>
          <w:rFonts w:ascii="Times New Roman" w:eastAsia="SimSun" w:hAnsi="Times New Roman" w:cs="Times New Roman"/>
          <w:sz w:val="28"/>
          <w:szCs w:val="28"/>
          <w:lang w:eastAsia="zh-CN"/>
        </w:rPr>
      </w:pPr>
      <w:r w:rsidRPr="00CD707F">
        <w:rPr>
          <w:rFonts w:ascii="Times New Roman" w:eastAsia="SimSun" w:hAnsi="Times New Roman" w:cs="Times New Roman"/>
          <w:sz w:val="28"/>
          <w:szCs w:val="28"/>
          <w:lang w:eastAsia="zh-CN"/>
        </w:rPr>
        <w:t xml:space="preserve">Furthermore, to mitigate potential endogeneity bias due to omitted variables at the firm level, we employ a firm fixed-effects model and control for clustering at the firm level. The results in Table </w:t>
      </w:r>
      <w:r w:rsidR="00AF429B">
        <w:rPr>
          <w:rFonts w:ascii="Times New Roman" w:eastAsia="SimSun" w:hAnsi="Times New Roman" w:cs="Times New Roman"/>
          <w:sz w:val="28"/>
          <w:szCs w:val="28"/>
          <w:lang w:eastAsia="zh-CN"/>
        </w:rPr>
        <w:t>4</w:t>
      </w:r>
      <w:r w:rsidRPr="00CD707F">
        <w:rPr>
          <w:rFonts w:ascii="Times New Roman" w:eastAsia="SimSun" w:hAnsi="Times New Roman" w:cs="Times New Roman"/>
          <w:sz w:val="28"/>
          <w:szCs w:val="28"/>
          <w:lang w:eastAsia="zh-CN"/>
        </w:rPr>
        <w:t>, Column (3), consistently show that the regression coefficient of OC remains significantly positive, reaffirming our main conclusions.</w:t>
      </w:r>
    </w:p>
    <w:p w14:paraId="7B283CC6" w14:textId="77777777" w:rsidR="00203FB3" w:rsidRPr="00203FB3" w:rsidRDefault="00203FB3" w:rsidP="00203FB3">
      <w:pPr>
        <w:spacing w:after="0" w:line="240" w:lineRule="auto"/>
        <w:rPr>
          <w:rFonts w:ascii="Times New Roman" w:eastAsia="SimSun" w:hAnsi="Times New Roman" w:cs="Times New Roman"/>
          <w:b/>
          <w:bCs/>
          <w:sz w:val="28"/>
          <w:szCs w:val="28"/>
          <w:lang w:eastAsia="zh-CN"/>
        </w:rPr>
      </w:pPr>
      <w:bookmarkStart w:id="14" w:name="_Hlk199660653"/>
      <w:r w:rsidRPr="00203FB3">
        <w:rPr>
          <w:rFonts w:ascii="Times New Roman" w:eastAsia="SimSun" w:hAnsi="Times New Roman" w:cs="Times New Roman"/>
          <w:b/>
          <w:bCs/>
          <w:sz w:val="28"/>
          <w:szCs w:val="28"/>
          <w:lang w:eastAsia="zh-CN"/>
        </w:rPr>
        <w:t>4.5 | Additional analyses</w:t>
      </w:r>
    </w:p>
    <w:p w14:paraId="51B08385" w14:textId="77777777" w:rsidR="00203FB3" w:rsidRPr="00203FB3" w:rsidRDefault="00203FB3" w:rsidP="00203FB3">
      <w:pPr>
        <w:spacing w:after="0" w:line="240" w:lineRule="auto"/>
        <w:rPr>
          <w:rFonts w:ascii="Times New Roman" w:eastAsia="SimSun" w:hAnsi="Times New Roman" w:cs="Times New Roman"/>
          <w:b/>
          <w:bCs/>
          <w:sz w:val="28"/>
          <w:szCs w:val="28"/>
          <w:lang w:eastAsia="zh-CN"/>
        </w:rPr>
      </w:pPr>
    </w:p>
    <w:p w14:paraId="7BB26E70" w14:textId="77777777" w:rsidR="00203FB3" w:rsidRPr="00203FB3" w:rsidRDefault="00203FB3" w:rsidP="00203FB3">
      <w:pPr>
        <w:spacing w:after="0" w:line="240" w:lineRule="auto"/>
        <w:rPr>
          <w:rFonts w:ascii="Times New Roman" w:eastAsia="SimSun" w:hAnsi="Times New Roman" w:cs="Times New Roman"/>
          <w:b/>
          <w:bCs/>
          <w:sz w:val="28"/>
          <w:szCs w:val="28"/>
          <w:lang w:eastAsia="zh-CN"/>
        </w:rPr>
      </w:pPr>
      <w:r w:rsidRPr="00203FB3">
        <w:rPr>
          <w:rFonts w:ascii="Times New Roman" w:eastAsia="SimSun" w:hAnsi="Times New Roman" w:cs="Times New Roman"/>
          <w:b/>
          <w:bCs/>
          <w:sz w:val="28"/>
          <w:szCs w:val="28"/>
          <w:lang w:eastAsia="zh-CN"/>
        </w:rPr>
        <w:t>4.5.1 | Role of</w:t>
      </w:r>
      <w:r w:rsidRPr="00203FB3">
        <w:rPr>
          <w:rFonts w:ascii="Times New Roman" w:eastAsia="SimSun" w:hAnsi="Times New Roman" w:cs="Times New Roman"/>
          <w:sz w:val="28"/>
          <w:szCs w:val="28"/>
          <w:lang w:eastAsia="zh-CN"/>
        </w:rPr>
        <w:t xml:space="preserve"> </w:t>
      </w:r>
      <w:r w:rsidRPr="00203FB3">
        <w:rPr>
          <w:rFonts w:ascii="Times New Roman" w:eastAsia="SimSun" w:hAnsi="Times New Roman" w:cs="Times New Roman"/>
          <w:b/>
          <w:bCs/>
          <w:sz w:val="28"/>
          <w:szCs w:val="28"/>
          <w:lang w:eastAsia="zh-CN"/>
        </w:rPr>
        <w:t>state-owned enterprises (SOEs)</w:t>
      </w:r>
    </w:p>
    <w:p w14:paraId="0743B8D3" w14:textId="77777777" w:rsidR="00203FB3" w:rsidRPr="00203FB3" w:rsidRDefault="00203FB3" w:rsidP="00203FB3">
      <w:pPr>
        <w:spacing w:after="0" w:line="240" w:lineRule="auto"/>
        <w:rPr>
          <w:rFonts w:ascii="Times New Roman" w:eastAsia="SimSun" w:hAnsi="Times New Roman" w:cs="Times New Roman"/>
          <w:b/>
          <w:bCs/>
          <w:sz w:val="24"/>
          <w:szCs w:val="24"/>
          <w:lang w:eastAsia="zh-CN"/>
        </w:rPr>
      </w:pPr>
    </w:p>
    <w:p w14:paraId="068156FA" w14:textId="2C023528" w:rsidR="009D0B0D" w:rsidRPr="009D0B0D" w:rsidRDefault="00203FB3" w:rsidP="009D0B0D">
      <w:pPr>
        <w:spacing w:after="200" w:line="360" w:lineRule="auto"/>
        <w:jc w:val="both"/>
        <w:rPr>
          <w:rFonts w:ascii="Times New Roman" w:eastAsia="SimSun" w:hAnsi="Times New Roman" w:cs="Times New Roman"/>
          <w:sz w:val="28"/>
          <w:szCs w:val="28"/>
          <w:lang w:eastAsia="zh-CN"/>
        </w:rPr>
      </w:pPr>
      <w:r w:rsidRPr="00203FB3">
        <w:rPr>
          <w:rFonts w:ascii="Times New Roman" w:eastAsia="SimSun" w:hAnsi="Times New Roman" w:cs="Times New Roman"/>
          <w:sz w:val="28"/>
          <w:szCs w:val="28"/>
          <w:lang w:eastAsia="zh-CN"/>
        </w:rPr>
        <w:t xml:space="preserve">In China, the power of CEOs is different in family firms and SOEs. In state-owned enterprises (SOEs), CEOs often act as implementers of government directives. In contrast, CEOs of family firms in China are usually family members, which gives them more flexibility to make decisions based on their personal preferences </w:t>
      </w:r>
      <w:r w:rsidRPr="00203FB3">
        <w:rPr>
          <w:rFonts w:ascii="Times New Roman" w:eastAsia="SimSun" w:hAnsi="Times New Roman" w:cs="Times New Roman"/>
          <w:sz w:val="28"/>
          <w:szCs w:val="28"/>
          <w:lang w:eastAsia="zh-CN"/>
        </w:rPr>
        <w:lastRenderedPageBreak/>
        <w:t>(</w:t>
      </w:r>
      <w:proofErr w:type="spellStart"/>
      <w:r w:rsidRPr="00203FB3">
        <w:rPr>
          <w:rFonts w:ascii="Times New Roman" w:eastAsia="SimSun" w:hAnsi="Times New Roman" w:cs="Times New Roman"/>
          <w:sz w:val="28"/>
          <w:szCs w:val="28"/>
          <w:lang w:eastAsia="zh-CN"/>
        </w:rPr>
        <w:t>Solarino</w:t>
      </w:r>
      <w:proofErr w:type="spellEnd"/>
      <w:r w:rsidRPr="00203FB3">
        <w:rPr>
          <w:rFonts w:ascii="Times New Roman" w:eastAsia="SimSun" w:hAnsi="Times New Roman" w:cs="Times New Roman"/>
          <w:sz w:val="28"/>
          <w:szCs w:val="28"/>
          <w:lang w:eastAsia="zh-CN"/>
        </w:rPr>
        <w:t xml:space="preserve"> &amp; Boyd, 2020). Given the varying discretion of CEOs across different types of firms, we conducted an additional analysis to explore how the nature of firms (state-owned enterprises vs. family businesses) influences the relationship between CEO overconfidence and ESG performance. Table </w:t>
      </w:r>
      <w:r w:rsidR="00AF429B">
        <w:rPr>
          <w:rFonts w:ascii="Times New Roman" w:eastAsia="SimSun" w:hAnsi="Times New Roman" w:cs="Times New Roman"/>
          <w:sz w:val="28"/>
          <w:szCs w:val="28"/>
          <w:lang w:eastAsia="zh-CN"/>
        </w:rPr>
        <w:t>5</w:t>
      </w:r>
      <w:r w:rsidRPr="00203FB3">
        <w:rPr>
          <w:rFonts w:ascii="Times New Roman" w:eastAsia="SimSun" w:hAnsi="Times New Roman" w:cs="Times New Roman"/>
          <w:sz w:val="28"/>
          <w:szCs w:val="28"/>
          <w:lang w:eastAsia="zh-CN"/>
        </w:rPr>
        <w:t>. Columns (1) and (2) indicate that the coefficient for CEO overconfidence is 0.176 (t = 4.412, significant at the 1% level), indicating a strong positive relationship with ESG performance. In contrast, the coefficient for non-SOEs is 0.045 (t = 0.892), which is not statistically significant. This result indicates that CEO overconfidence has a strong and statistically significant positive impact on ESG performance in state-owned enterprises (SOEs). At the same time, this effect is weaker and not statistically significant in non-SOEs, such as family firms.</w:t>
      </w:r>
    </w:p>
    <w:p w14:paraId="3B566279" w14:textId="126A3E15" w:rsidR="00203FB3" w:rsidRDefault="00203FB3" w:rsidP="00203FB3">
      <w:pPr>
        <w:spacing w:after="0" w:line="240" w:lineRule="auto"/>
        <w:rPr>
          <w:rFonts w:ascii="Times New Roman" w:eastAsia="SimSun" w:hAnsi="Times New Roman" w:cs="Times New Roman"/>
          <w:b/>
          <w:bCs/>
          <w:sz w:val="28"/>
          <w:szCs w:val="28"/>
          <w:lang w:eastAsia="zh-CN"/>
        </w:rPr>
      </w:pPr>
      <w:r w:rsidRPr="00203FB3">
        <w:rPr>
          <w:rFonts w:ascii="Times New Roman" w:eastAsia="SimSun" w:hAnsi="Times New Roman" w:cs="Times New Roman"/>
          <w:b/>
          <w:bCs/>
          <w:sz w:val="28"/>
          <w:szCs w:val="28"/>
          <w:lang w:eastAsia="zh-CN"/>
        </w:rPr>
        <w:t>4.5.2 | Role of</w:t>
      </w:r>
      <w:r w:rsidRPr="00203FB3">
        <w:rPr>
          <w:rFonts w:ascii="Times New Roman" w:eastAsia="SimSun" w:hAnsi="Times New Roman" w:cs="Times New Roman"/>
          <w:sz w:val="28"/>
          <w:szCs w:val="28"/>
          <w:lang w:eastAsia="zh-CN"/>
        </w:rPr>
        <w:t xml:space="preserve"> </w:t>
      </w:r>
      <w:r w:rsidRPr="00203FB3">
        <w:rPr>
          <w:rFonts w:ascii="Times New Roman" w:eastAsia="SimSun" w:hAnsi="Times New Roman" w:cs="Times New Roman"/>
          <w:b/>
          <w:bCs/>
          <w:sz w:val="28"/>
          <w:szCs w:val="28"/>
          <w:lang w:eastAsia="zh-CN"/>
        </w:rPr>
        <w:t>institutional ownership</w:t>
      </w:r>
    </w:p>
    <w:p w14:paraId="10DC5CEF" w14:textId="77777777" w:rsidR="00C3690E" w:rsidRPr="00203FB3" w:rsidRDefault="00C3690E" w:rsidP="00203FB3">
      <w:pPr>
        <w:spacing w:after="0" w:line="240" w:lineRule="auto"/>
        <w:rPr>
          <w:rFonts w:ascii="Times New Roman" w:eastAsia="SimSun" w:hAnsi="Times New Roman" w:cs="Times New Roman"/>
          <w:b/>
          <w:bCs/>
          <w:sz w:val="28"/>
          <w:szCs w:val="28"/>
          <w:lang w:eastAsia="zh-CN"/>
        </w:rPr>
      </w:pPr>
    </w:p>
    <w:p w14:paraId="70852E4F" w14:textId="06FAE3D1" w:rsidR="00C3690E" w:rsidRPr="00C3690E" w:rsidRDefault="00C3690E" w:rsidP="00C3690E">
      <w:pPr>
        <w:spacing w:line="360" w:lineRule="auto"/>
        <w:jc w:val="both"/>
        <w:rPr>
          <w:rFonts w:asciiTheme="majorBidi" w:hAnsiTheme="majorBidi" w:cstheme="majorBidi"/>
          <w:sz w:val="28"/>
          <w:szCs w:val="28"/>
        </w:rPr>
      </w:pPr>
      <w:r w:rsidRPr="00C3690E">
        <w:rPr>
          <w:rFonts w:asciiTheme="majorBidi" w:hAnsiTheme="majorBidi" w:cstheme="majorBidi"/>
          <w:sz w:val="28"/>
          <w:szCs w:val="28"/>
        </w:rPr>
        <w:t xml:space="preserve">In China, institutional investors play a crucial role in promoting good corporate governance and the efficient allocation of capital (Cheng, </w:t>
      </w:r>
      <w:r w:rsidR="000A6531">
        <w:rPr>
          <w:rFonts w:asciiTheme="majorBidi" w:hAnsiTheme="majorBidi" w:cstheme="majorBidi"/>
          <w:sz w:val="28"/>
          <w:szCs w:val="28"/>
        </w:rPr>
        <w:t>2022</w:t>
      </w:r>
      <w:r w:rsidRPr="00C3690E">
        <w:rPr>
          <w:rFonts w:asciiTheme="majorBidi" w:hAnsiTheme="majorBidi" w:cstheme="majorBidi"/>
          <w:sz w:val="28"/>
          <w:szCs w:val="28"/>
        </w:rPr>
        <w:t>). Existing research has demonstrated that institutional investors possess the means and incentives to prevent CEOs from acting irrationally or inefficiently. Aguilera (2005) asserts that institutional investors significantly mitigate potential conflicts of interest between managers and stockholders. Huyghebaert &amp; Wang (2012) offer proof of institutional investors' external governance function. Institutional investors, including insurance companies, pension funds, and mutual funds, play a vital role in increasing ESG performance by shaping corporate governance and managerial oversight (</w:t>
      </w:r>
      <w:proofErr w:type="spellStart"/>
      <w:r w:rsidRPr="00C3690E">
        <w:rPr>
          <w:rFonts w:asciiTheme="majorBidi" w:hAnsiTheme="majorBidi" w:cstheme="majorBidi"/>
          <w:sz w:val="28"/>
          <w:szCs w:val="28"/>
        </w:rPr>
        <w:t>Eliwa</w:t>
      </w:r>
      <w:proofErr w:type="spellEnd"/>
      <w:r w:rsidRPr="00C3690E">
        <w:rPr>
          <w:rFonts w:asciiTheme="majorBidi" w:hAnsiTheme="majorBidi" w:cstheme="majorBidi"/>
          <w:sz w:val="28"/>
          <w:szCs w:val="28"/>
        </w:rPr>
        <w:t xml:space="preserve"> &amp; </w:t>
      </w:r>
      <w:proofErr w:type="spellStart"/>
      <w:r w:rsidRPr="00C3690E">
        <w:rPr>
          <w:rFonts w:asciiTheme="majorBidi" w:hAnsiTheme="majorBidi" w:cstheme="majorBidi"/>
          <w:sz w:val="28"/>
          <w:szCs w:val="28"/>
        </w:rPr>
        <w:t>Elmaghrabi</w:t>
      </w:r>
      <w:proofErr w:type="spellEnd"/>
      <w:r w:rsidRPr="00C3690E">
        <w:rPr>
          <w:rFonts w:asciiTheme="majorBidi" w:hAnsiTheme="majorBidi" w:cstheme="majorBidi"/>
          <w:sz w:val="28"/>
          <w:szCs w:val="28"/>
        </w:rPr>
        <w:t xml:space="preserve">, </w:t>
      </w:r>
      <w:r w:rsidR="00D50EFF">
        <w:rPr>
          <w:rFonts w:asciiTheme="majorBidi" w:hAnsiTheme="majorBidi" w:cstheme="majorBidi"/>
          <w:sz w:val="28"/>
          <w:szCs w:val="28"/>
        </w:rPr>
        <w:t>2025</w:t>
      </w:r>
      <w:r w:rsidRPr="00C3690E">
        <w:rPr>
          <w:rFonts w:asciiTheme="majorBidi" w:hAnsiTheme="majorBidi" w:cstheme="majorBidi"/>
          <w:sz w:val="28"/>
          <w:szCs w:val="28"/>
        </w:rPr>
        <w:t xml:space="preserve">). Table </w:t>
      </w:r>
      <w:r w:rsidR="00AF429B">
        <w:rPr>
          <w:rFonts w:asciiTheme="majorBidi" w:hAnsiTheme="majorBidi" w:cstheme="majorBidi"/>
          <w:sz w:val="28"/>
          <w:szCs w:val="28"/>
        </w:rPr>
        <w:t>5</w:t>
      </w:r>
      <w:r w:rsidRPr="00C3690E">
        <w:rPr>
          <w:rFonts w:asciiTheme="majorBidi" w:hAnsiTheme="majorBidi" w:cstheme="majorBidi"/>
          <w:sz w:val="28"/>
          <w:szCs w:val="28"/>
        </w:rPr>
        <w:t xml:space="preserve">, Columns (3) and (4), which focus on institutional investors, indicate that firms with high institutional investors exhibit a significant positive relationship between CEO overconfidence and ESG performance, with a coefficient of 0.134 (t = 2.938, significant at the 1% level). However, in firms with low institutional ownership, the coefficient is 0.047 (t = 0.974), which is </w:t>
      </w:r>
      <w:r w:rsidRPr="00C3690E">
        <w:rPr>
          <w:rFonts w:asciiTheme="majorBidi" w:hAnsiTheme="majorBidi" w:cstheme="majorBidi"/>
          <w:sz w:val="28"/>
          <w:szCs w:val="28"/>
        </w:rPr>
        <w:lastRenderedPageBreak/>
        <w:t>insignificant. This highlights the role of institutional investors in promoting accountability and ensuring substantive ESG performance, amplifying the influence of CEO overconfidence.</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8"/>
        <w:gridCol w:w="1482"/>
        <w:gridCol w:w="1260"/>
        <w:gridCol w:w="1260"/>
        <w:gridCol w:w="1170"/>
      </w:tblGrid>
      <w:tr w:rsidR="00C3690E" w:rsidRPr="00C3690E" w14:paraId="5BADF3F9" w14:textId="77777777" w:rsidTr="00C3690E">
        <w:trPr>
          <w:trHeight w:hRule="exact" w:val="288"/>
          <w:jc w:val="center"/>
        </w:trPr>
        <w:tc>
          <w:tcPr>
            <w:tcW w:w="7740" w:type="dxa"/>
            <w:gridSpan w:val="5"/>
            <w:tcBorders>
              <w:top w:val="nil"/>
              <w:left w:val="nil"/>
              <w:bottom w:val="nil"/>
            </w:tcBorders>
            <w:shd w:val="clear" w:color="auto" w:fill="F2F2F2"/>
          </w:tcPr>
          <w:bookmarkEnd w:id="14"/>
          <w:p w14:paraId="404E7E4A" w14:textId="4EB98233" w:rsidR="00C3690E" w:rsidRPr="00C3690E" w:rsidRDefault="00C3690E" w:rsidP="00C3690E">
            <w:pPr>
              <w:spacing w:after="200" w:line="276" w:lineRule="auto"/>
              <w:rPr>
                <w:rFonts w:ascii="Times New Roman" w:eastAsia="SimSun" w:hAnsi="Times New Roman" w:cs="Times New Roman"/>
                <w:lang w:eastAsia="zh-CN"/>
              </w:rPr>
            </w:pPr>
            <w:r w:rsidRPr="00C3690E">
              <w:rPr>
                <w:rFonts w:ascii="Times New Roman" w:eastAsia="SimSun" w:hAnsi="Times New Roman" w:cs="Times New Roman"/>
                <w:b/>
                <w:bCs/>
                <w:sz w:val="24"/>
                <w:szCs w:val="24"/>
                <w:lang w:eastAsia="zh-CN"/>
              </w:rPr>
              <w:t xml:space="preserve">TABLE </w:t>
            </w:r>
            <w:r w:rsidR="00AF429B">
              <w:rPr>
                <w:rFonts w:ascii="Times New Roman" w:eastAsia="SimSun" w:hAnsi="Times New Roman" w:cs="Times New Roman"/>
                <w:b/>
                <w:bCs/>
                <w:sz w:val="24"/>
                <w:szCs w:val="24"/>
                <w:lang w:eastAsia="zh-CN"/>
              </w:rPr>
              <w:t>5</w:t>
            </w:r>
            <w:r w:rsidRPr="00C3690E">
              <w:rPr>
                <w:rFonts w:ascii="Times New Roman" w:eastAsia="SimSun" w:hAnsi="Times New Roman" w:cs="Times New Roman"/>
                <w:b/>
                <w:bCs/>
                <w:sz w:val="24"/>
                <w:szCs w:val="24"/>
                <w:lang w:eastAsia="zh-CN"/>
              </w:rPr>
              <w:t>: Additional analyses.</w:t>
            </w:r>
          </w:p>
          <w:p w14:paraId="1E4FC4D0" w14:textId="77777777" w:rsidR="00C3690E" w:rsidRPr="00C3690E" w:rsidRDefault="00C3690E" w:rsidP="00C3690E">
            <w:pPr>
              <w:spacing w:after="200" w:line="276" w:lineRule="auto"/>
              <w:rPr>
                <w:rFonts w:ascii="Times New Roman" w:eastAsia="SimSun" w:hAnsi="Times New Roman" w:cs="Times New Roman"/>
                <w:lang w:eastAsia="zh-CN"/>
              </w:rPr>
            </w:pPr>
            <w:r w:rsidRPr="00C3690E">
              <w:rPr>
                <w:rFonts w:ascii="Times New Roman" w:eastAsia="SimSun" w:hAnsi="Times New Roman" w:cs="Times New Roman"/>
                <w:b/>
                <w:bCs/>
                <w:sz w:val="24"/>
                <w:szCs w:val="24"/>
                <w:lang w:eastAsia="zh-CN"/>
              </w:rPr>
              <w:t>TABLE9: Additional analyses.</w:t>
            </w:r>
          </w:p>
          <w:p w14:paraId="753E1090" w14:textId="77777777" w:rsidR="00C3690E" w:rsidRPr="00C3690E" w:rsidRDefault="00C3690E" w:rsidP="00C3690E">
            <w:pPr>
              <w:spacing w:after="200" w:line="276" w:lineRule="auto"/>
              <w:rPr>
                <w:rFonts w:ascii="Times New Roman" w:eastAsia="SimSun" w:hAnsi="Times New Roman" w:cs="Times New Roman"/>
                <w:lang w:eastAsia="zh-CN"/>
              </w:rPr>
            </w:pPr>
            <w:r w:rsidRPr="00C3690E">
              <w:rPr>
                <w:rFonts w:ascii="Times New Roman" w:eastAsia="SimSun" w:hAnsi="Times New Roman" w:cs="Times New Roman"/>
                <w:b/>
                <w:bCs/>
                <w:sz w:val="24"/>
                <w:szCs w:val="24"/>
                <w:lang w:eastAsia="zh-CN"/>
              </w:rPr>
              <w:t>TABLE9: Additional analyses.</w:t>
            </w:r>
          </w:p>
          <w:p w14:paraId="690E5C92" w14:textId="77777777" w:rsidR="00C3690E" w:rsidRPr="00C3690E" w:rsidRDefault="00C3690E" w:rsidP="00C3690E">
            <w:pPr>
              <w:spacing w:after="200" w:line="276" w:lineRule="auto"/>
              <w:rPr>
                <w:rFonts w:ascii="Times New Roman" w:eastAsia="SimSun" w:hAnsi="Times New Roman" w:cs="Times New Roman"/>
                <w:lang w:eastAsia="zh-CN"/>
              </w:rPr>
            </w:pPr>
            <w:r w:rsidRPr="00C3690E">
              <w:rPr>
                <w:rFonts w:ascii="Times New Roman" w:eastAsia="SimSun" w:hAnsi="Times New Roman" w:cs="Times New Roman"/>
                <w:b/>
                <w:bCs/>
                <w:sz w:val="24"/>
                <w:szCs w:val="24"/>
                <w:lang w:eastAsia="zh-CN"/>
              </w:rPr>
              <w:t>TABLE9: Additional analyses.</w:t>
            </w:r>
          </w:p>
          <w:p w14:paraId="67023B68" w14:textId="77777777" w:rsidR="00C3690E" w:rsidRPr="00C3690E" w:rsidRDefault="00C3690E" w:rsidP="00C3690E">
            <w:pPr>
              <w:spacing w:after="200" w:line="276" w:lineRule="auto"/>
              <w:rPr>
                <w:rFonts w:ascii="Times New Roman" w:eastAsia="SimSun" w:hAnsi="Times New Roman" w:cs="Times New Roman"/>
                <w:lang w:eastAsia="zh-CN"/>
              </w:rPr>
            </w:pPr>
            <w:r w:rsidRPr="00C3690E">
              <w:rPr>
                <w:rFonts w:ascii="Times New Roman" w:eastAsia="SimSun" w:hAnsi="Times New Roman" w:cs="Times New Roman"/>
                <w:b/>
                <w:bCs/>
                <w:sz w:val="24"/>
                <w:szCs w:val="24"/>
                <w:lang w:eastAsia="zh-CN"/>
              </w:rPr>
              <w:t>TABLE9: Additional analyses.</w:t>
            </w:r>
          </w:p>
        </w:tc>
      </w:tr>
      <w:tr w:rsidR="00C3690E" w:rsidRPr="00C3690E" w14:paraId="4763E1CB" w14:textId="77777777" w:rsidTr="00C3690E">
        <w:trPr>
          <w:trHeight w:hRule="exact" w:val="288"/>
          <w:jc w:val="center"/>
        </w:trPr>
        <w:tc>
          <w:tcPr>
            <w:tcW w:w="2568" w:type="dxa"/>
            <w:vMerge w:val="restart"/>
            <w:tcBorders>
              <w:top w:val="nil"/>
              <w:left w:val="nil"/>
              <w:bottom w:val="nil"/>
              <w:right w:val="nil"/>
            </w:tcBorders>
          </w:tcPr>
          <w:p w14:paraId="3B758694" w14:textId="77777777" w:rsidR="00C3690E" w:rsidRPr="00C3690E" w:rsidRDefault="00C3690E" w:rsidP="00C3690E">
            <w:pPr>
              <w:widowControl w:val="0"/>
              <w:spacing w:after="0" w:line="276" w:lineRule="auto"/>
              <w:rPr>
                <w:rFonts w:ascii="Times New Roman" w:eastAsia="Times New Roman" w:hAnsi="Times New Roman" w:cs="Times New Roman"/>
                <w:b/>
                <w:sz w:val="20"/>
                <w:szCs w:val="20"/>
                <w:lang w:val="en-GB" w:eastAsia="en-GB"/>
              </w:rPr>
            </w:pPr>
          </w:p>
        </w:tc>
        <w:tc>
          <w:tcPr>
            <w:tcW w:w="1482" w:type="dxa"/>
            <w:tcBorders>
              <w:top w:val="single" w:sz="4" w:space="0" w:color="auto"/>
              <w:left w:val="nil"/>
              <w:bottom w:val="single" w:sz="4" w:space="0" w:color="auto"/>
              <w:right w:val="nil"/>
            </w:tcBorders>
            <w:shd w:val="clear" w:color="auto" w:fill="D9D9D9"/>
          </w:tcPr>
          <w:p w14:paraId="26B89D8E"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(1)</w:t>
            </w:r>
          </w:p>
        </w:tc>
        <w:tc>
          <w:tcPr>
            <w:tcW w:w="1260" w:type="dxa"/>
            <w:tcBorders>
              <w:top w:val="single" w:sz="4" w:space="0" w:color="auto"/>
              <w:left w:val="nil"/>
              <w:bottom w:val="single" w:sz="4" w:space="0" w:color="auto"/>
              <w:right w:val="nil"/>
            </w:tcBorders>
            <w:shd w:val="clear" w:color="auto" w:fill="D9D9D9"/>
          </w:tcPr>
          <w:p w14:paraId="1381167F"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(2)</w:t>
            </w:r>
          </w:p>
        </w:tc>
        <w:tc>
          <w:tcPr>
            <w:tcW w:w="1260" w:type="dxa"/>
            <w:tcBorders>
              <w:top w:val="single" w:sz="4" w:space="0" w:color="auto"/>
              <w:left w:val="nil"/>
              <w:bottom w:val="single" w:sz="4" w:space="0" w:color="auto"/>
              <w:right w:val="nil"/>
            </w:tcBorders>
            <w:shd w:val="clear" w:color="auto" w:fill="D9D9D9"/>
          </w:tcPr>
          <w:p w14:paraId="5A48CBAB"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(3)</w:t>
            </w:r>
          </w:p>
        </w:tc>
        <w:tc>
          <w:tcPr>
            <w:tcW w:w="1170" w:type="dxa"/>
            <w:tcBorders>
              <w:top w:val="single" w:sz="4" w:space="0" w:color="auto"/>
              <w:left w:val="nil"/>
              <w:bottom w:val="single" w:sz="4" w:space="0" w:color="auto"/>
              <w:right w:val="nil"/>
            </w:tcBorders>
            <w:shd w:val="clear" w:color="auto" w:fill="D9D9D9"/>
          </w:tcPr>
          <w:p w14:paraId="35BA4E8A"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(4)</w:t>
            </w:r>
          </w:p>
        </w:tc>
      </w:tr>
      <w:tr w:rsidR="00C3690E" w:rsidRPr="00C3690E" w14:paraId="0C6D4D85" w14:textId="77777777" w:rsidTr="00617949">
        <w:trPr>
          <w:trHeight w:hRule="exact" w:val="288"/>
          <w:jc w:val="center"/>
        </w:trPr>
        <w:tc>
          <w:tcPr>
            <w:tcW w:w="2568" w:type="dxa"/>
            <w:vMerge/>
            <w:tcBorders>
              <w:top w:val="nil"/>
              <w:left w:val="nil"/>
              <w:bottom w:val="single" w:sz="4" w:space="0" w:color="auto"/>
              <w:right w:val="nil"/>
            </w:tcBorders>
          </w:tcPr>
          <w:p w14:paraId="5DDA0488" w14:textId="77777777" w:rsidR="00C3690E" w:rsidRPr="00C3690E" w:rsidRDefault="00C3690E" w:rsidP="00C3690E">
            <w:pPr>
              <w:widowControl w:val="0"/>
              <w:spacing w:after="0" w:line="276" w:lineRule="auto"/>
              <w:rPr>
                <w:rFonts w:ascii="Times New Roman" w:eastAsia="Times New Roman" w:hAnsi="Times New Roman" w:cs="Times New Roman"/>
                <w:b/>
                <w:sz w:val="20"/>
                <w:szCs w:val="20"/>
                <w:lang w:val="en-GB" w:eastAsia="en-GB"/>
              </w:rPr>
            </w:pPr>
          </w:p>
        </w:tc>
        <w:tc>
          <w:tcPr>
            <w:tcW w:w="1482" w:type="dxa"/>
            <w:tcBorders>
              <w:top w:val="single" w:sz="4" w:space="0" w:color="auto"/>
              <w:left w:val="nil"/>
              <w:bottom w:val="single" w:sz="4" w:space="0" w:color="auto"/>
              <w:right w:val="nil"/>
            </w:tcBorders>
          </w:tcPr>
          <w:p w14:paraId="0FECC2CE"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eastAsia="en-GB"/>
              </w:rPr>
              <w:t>Non-SOEs</w:t>
            </w:r>
          </w:p>
        </w:tc>
        <w:tc>
          <w:tcPr>
            <w:tcW w:w="1260" w:type="dxa"/>
            <w:tcBorders>
              <w:top w:val="single" w:sz="4" w:space="0" w:color="auto"/>
              <w:left w:val="nil"/>
              <w:bottom w:val="single" w:sz="4" w:space="0" w:color="auto"/>
              <w:right w:val="nil"/>
            </w:tcBorders>
          </w:tcPr>
          <w:p w14:paraId="08FA13CF"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eastAsia="en-GB"/>
              </w:rPr>
              <w:t>SOEs</w:t>
            </w:r>
          </w:p>
        </w:tc>
        <w:tc>
          <w:tcPr>
            <w:tcW w:w="1260" w:type="dxa"/>
            <w:tcBorders>
              <w:top w:val="single" w:sz="4" w:space="0" w:color="auto"/>
              <w:left w:val="nil"/>
              <w:bottom w:val="single" w:sz="4" w:space="0" w:color="auto"/>
              <w:right w:val="nil"/>
            </w:tcBorders>
          </w:tcPr>
          <w:p w14:paraId="7CD69DCC"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eastAsia="en-GB"/>
              </w:rPr>
              <w:t>High-INS</w:t>
            </w:r>
          </w:p>
        </w:tc>
        <w:tc>
          <w:tcPr>
            <w:tcW w:w="1170" w:type="dxa"/>
            <w:tcBorders>
              <w:top w:val="single" w:sz="4" w:space="0" w:color="auto"/>
              <w:left w:val="nil"/>
              <w:bottom w:val="single" w:sz="4" w:space="0" w:color="auto"/>
              <w:right w:val="nil"/>
            </w:tcBorders>
          </w:tcPr>
          <w:p w14:paraId="5070A4C1"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eastAsia="en-GB"/>
              </w:rPr>
              <w:t>low-INS</w:t>
            </w:r>
          </w:p>
        </w:tc>
      </w:tr>
      <w:tr w:rsidR="00C3690E" w:rsidRPr="00C3690E" w14:paraId="17E9574F" w14:textId="77777777" w:rsidTr="00617949">
        <w:trPr>
          <w:trHeight w:hRule="exact" w:val="288"/>
          <w:jc w:val="center"/>
        </w:trPr>
        <w:tc>
          <w:tcPr>
            <w:tcW w:w="2568" w:type="dxa"/>
            <w:tcBorders>
              <w:top w:val="nil"/>
              <w:left w:val="nil"/>
              <w:bottom w:val="nil"/>
              <w:right w:val="nil"/>
            </w:tcBorders>
          </w:tcPr>
          <w:p w14:paraId="58438CC8" w14:textId="77777777" w:rsidR="00C3690E" w:rsidRPr="00C3690E" w:rsidRDefault="00C3690E" w:rsidP="00C3690E">
            <w:pPr>
              <w:spacing w:after="0" w:line="480" w:lineRule="auto"/>
              <w:jc w:val="center"/>
              <w:rPr>
                <w:rFonts w:ascii="Times New Roman" w:eastAsia="Times New Roman" w:hAnsi="Times New Roman" w:cs="Times New Roman"/>
                <w:bCs/>
                <w:i/>
                <w:iCs/>
                <w:sz w:val="20"/>
                <w:szCs w:val="20"/>
                <w:lang w:val="en-GB" w:eastAsia="en-GB"/>
              </w:rPr>
            </w:pPr>
            <w:r w:rsidRPr="00C3690E">
              <w:rPr>
                <w:rFonts w:ascii="Times New Roman" w:eastAsia="Times New Roman" w:hAnsi="Times New Roman" w:cs="Times New Roman"/>
                <w:bCs/>
                <w:i/>
                <w:iCs/>
                <w:sz w:val="20"/>
                <w:szCs w:val="20"/>
                <w:lang w:val="en-GB" w:eastAsia="en-GB"/>
              </w:rPr>
              <w:t xml:space="preserve">CEO_ Famine </w:t>
            </w:r>
          </w:p>
        </w:tc>
        <w:tc>
          <w:tcPr>
            <w:tcW w:w="1482" w:type="dxa"/>
            <w:tcBorders>
              <w:top w:val="single" w:sz="4" w:space="0" w:color="auto"/>
              <w:left w:val="nil"/>
              <w:bottom w:val="nil"/>
              <w:right w:val="nil"/>
            </w:tcBorders>
          </w:tcPr>
          <w:p w14:paraId="327CA79A"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0.045</w:t>
            </w:r>
          </w:p>
        </w:tc>
        <w:tc>
          <w:tcPr>
            <w:tcW w:w="1260" w:type="dxa"/>
            <w:tcBorders>
              <w:top w:val="nil"/>
              <w:left w:val="nil"/>
              <w:bottom w:val="nil"/>
              <w:right w:val="nil"/>
            </w:tcBorders>
          </w:tcPr>
          <w:p w14:paraId="73369BB4"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0.176***</w:t>
            </w:r>
          </w:p>
        </w:tc>
        <w:tc>
          <w:tcPr>
            <w:tcW w:w="1260" w:type="dxa"/>
            <w:tcBorders>
              <w:top w:val="nil"/>
              <w:left w:val="nil"/>
              <w:bottom w:val="nil"/>
              <w:right w:val="nil"/>
            </w:tcBorders>
          </w:tcPr>
          <w:p w14:paraId="110043A7"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0.134***</w:t>
            </w:r>
          </w:p>
        </w:tc>
        <w:tc>
          <w:tcPr>
            <w:tcW w:w="1170" w:type="dxa"/>
            <w:tcBorders>
              <w:top w:val="nil"/>
              <w:left w:val="nil"/>
              <w:bottom w:val="nil"/>
              <w:right w:val="nil"/>
            </w:tcBorders>
          </w:tcPr>
          <w:p w14:paraId="52300980"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0.047</w:t>
            </w:r>
          </w:p>
        </w:tc>
      </w:tr>
      <w:tr w:rsidR="00C3690E" w:rsidRPr="00C3690E" w14:paraId="0B05BAC5" w14:textId="77777777" w:rsidTr="00617949">
        <w:trPr>
          <w:trHeight w:hRule="exact" w:val="288"/>
          <w:jc w:val="center"/>
        </w:trPr>
        <w:tc>
          <w:tcPr>
            <w:tcW w:w="2568" w:type="dxa"/>
            <w:tcBorders>
              <w:top w:val="nil"/>
              <w:left w:val="nil"/>
              <w:bottom w:val="nil"/>
              <w:right w:val="nil"/>
            </w:tcBorders>
          </w:tcPr>
          <w:p w14:paraId="6DC72313" w14:textId="77777777" w:rsidR="00C3690E" w:rsidRPr="00C3690E" w:rsidRDefault="00C3690E" w:rsidP="00C3690E">
            <w:pPr>
              <w:spacing w:after="0" w:line="480" w:lineRule="auto"/>
              <w:jc w:val="center"/>
              <w:rPr>
                <w:rFonts w:ascii="Times New Roman" w:eastAsia="Times New Roman" w:hAnsi="Times New Roman" w:cs="Times New Roman"/>
                <w:bCs/>
                <w:i/>
                <w:iCs/>
                <w:sz w:val="20"/>
                <w:szCs w:val="20"/>
                <w:lang w:val="en-GB" w:eastAsia="en-GB"/>
              </w:rPr>
            </w:pPr>
          </w:p>
        </w:tc>
        <w:tc>
          <w:tcPr>
            <w:tcW w:w="1482" w:type="dxa"/>
            <w:tcBorders>
              <w:top w:val="nil"/>
              <w:left w:val="nil"/>
              <w:bottom w:val="nil"/>
              <w:right w:val="nil"/>
            </w:tcBorders>
          </w:tcPr>
          <w:p w14:paraId="0B9984A5"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(0.892)</w:t>
            </w:r>
          </w:p>
        </w:tc>
        <w:tc>
          <w:tcPr>
            <w:tcW w:w="1260" w:type="dxa"/>
            <w:tcBorders>
              <w:top w:val="nil"/>
              <w:left w:val="nil"/>
              <w:bottom w:val="nil"/>
              <w:right w:val="nil"/>
            </w:tcBorders>
          </w:tcPr>
          <w:p w14:paraId="1B82616B"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(4.412)</w:t>
            </w:r>
          </w:p>
        </w:tc>
        <w:tc>
          <w:tcPr>
            <w:tcW w:w="1260" w:type="dxa"/>
            <w:tcBorders>
              <w:top w:val="nil"/>
              <w:left w:val="nil"/>
              <w:bottom w:val="nil"/>
              <w:right w:val="nil"/>
            </w:tcBorders>
          </w:tcPr>
          <w:p w14:paraId="73E0178A"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(2.938)</w:t>
            </w:r>
          </w:p>
        </w:tc>
        <w:tc>
          <w:tcPr>
            <w:tcW w:w="1170" w:type="dxa"/>
            <w:tcBorders>
              <w:top w:val="nil"/>
              <w:left w:val="nil"/>
              <w:bottom w:val="nil"/>
              <w:right w:val="nil"/>
            </w:tcBorders>
          </w:tcPr>
          <w:p w14:paraId="76F408E2"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(0.974)</w:t>
            </w:r>
          </w:p>
        </w:tc>
      </w:tr>
      <w:tr w:rsidR="00C3690E" w:rsidRPr="00C3690E" w14:paraId="5CF370FB" w14:textId="77777777" w:rsidTr="00617949">
        <w:trPr>
          <w:trHeight w:hRule="exact" w:val="288"/>
          <w:jc w:val="center"/>
        </w:trPr>
        <w:tc>
          <w:tcPr>
            <w:tcW w:w="2568" w:type="dxa"/>
            <w:tcBorders>
              <w:top w:val="nil"/>
              <w:left w:val="nil"/>
              <w:bottom w:val="nil"/>
              <w:right w:val="nil"/>
            </w:tcBorders>
          </w:tcPr>
          <w:p w14:paraId="75DAC3FF"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 xml:space="preserve">Controls </w:t>
            </w:r>
          </w:p>
        </w:tc>
        <w:tc>
          <w:tcPr>
            <w:tcW w:w="1482" w:type="dxa"/>
            <w:tcBorders>
              <w:top w:val="nil"/>
              <w:left w:val="nil"/>
              <w:bottom w:val="nil"/>
              <w:right w:val="nil"/>
            </w:tcBorders>
          </w:tcPr>
          <w:p w14:paraId="649E02D3"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Yes</w:t>
            </w:r>
          </w:p>
        </w:tc>
        <w:tc>
          <w:tcPr>
            <w:tcW w:w="1260" w:type="dxa"/>
            <w:tcBorders>
              <w:top w:val="nil"/>
              <w:left w:val="nil"/>
              <w:bottom w:val="nil"/>
              <w:right w:val="nil"/>
            </w:tcBorders>
          </w:tcPr>
          <w:p w14:paraId="1CDF35CA"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Yes</w:t>
            </w:r>
          </w:p>
        </w:tc>
        <w:tc>
          <w:tcPr>
            <w:tcW w:w="1260" w:type="dxa"/>
            <w:tcBorders>
              <w:top w:val="nil"/>
              <w:left w:val="nil"/>
              <w:bottom w:val="nil"/>
              <w:right w:val="nil"/>
            </w:tcBorders>
          </w:tcPr>
          <w:p w14:paraId="3A1F57C1"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Yes</w:t>
            </w:r>
          </w:p>
        </w:tc>
        <w:tc>
          <w:tcPr>
            <w:tcW w:w="1170" w:type="dxa"/>
            <w:tcBorders>
              <w:top w:val="nil"/>
              <w:left w:val="nil"/>
              <w:bottom w:val="nil"/>
              <w:right w:val="nil"/>
            </w:tcBorders>
          </w:tcPr>
          <w:p w14:paraId="5F766AFE"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Yes</w:t>
            </w:r>
          </w:p>
        </w:tc>
      </w:tr>
      <w:tr w:rsidR="00C3690E" w:rsidRPr="00C3690E" w14:paraId="4D36EDB3" w14:textId="77777777" w:rsidTr="00617949">
        <w:trPr>
          <w:trHeight w:hRule="exact" w:val="288"/>
          <w:jc w:val="center"/>
        </w:trPr>
        <w:tc>
          <w:tcPr>
            <w:tcW w:w="2568" w:type="dxa"/>
            <w:tcBorders>
              <w:top w:val="nil"/>
              <w:left w:val="nil"/>
              <w:bottom w:val="nil"/>
              <w:right w:val="nil"/>
            </w:tcBorders>
          </w:tcPr>
          <w:p w14:paraId="02423DCE"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Industry effect</w:t>
            </w:r>
          </w:p>
        </w:tc>
        <w:tc>
          <w:tcPr>
            <w:tcW w:w="1482" w:type="dxa"/>
            <w:tcBorders>
              <w:top w:val="nil"/>
              <w:left w:val="nil"/>
              <w:bottom w:val="nil"/>
              <w:right w:val="nil"/>
            </w:tcBorders>
          </w:tcPr>
          <w:p w14:paraId="4249BB89"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Yes</w:t>
            </w:r>
          </w:p>
        </w:tc>
        <w:tc>
          <w:tcPr>
            <w:tcW w:w="1260" w:type="dxa"/>
            <w:tcBorders>
              <w:top w:val="nil"/>
              <w:left w:val="nil"/>
              <w:bottom w:val="nil"/>
              <w:right w:val="nil"/>
            </w:tcBorders>
          </w:tcPr>
          <w:p w14:paraId="21AC5D5A"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Yes</w:t>
            </w:r>
          </w:p>
        </w:tc>
        <w:tc>
          <w:tcPr>
            <w:tcW w:w="1260" w:type="dxa"/>
            <w:tcBorders>
              <w:top w:val="nil"/>
              <w:left w:val="nil"/>
              <w:bottom w:val="nil"/>
              <w:right w:val="nil"/>
            </w:tcBorders>
          </w:tcPr>
          <w:p w14:paraId="6C86035C"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Yes</w:t>
            </w:r>
          </w:p>
        </w:tc>
        <w:tc>
          <w:tcPr>
            <w:tcW w:w="1170" w:type="dxa"/>
            <w:tcBorders>
              <w:top w:val="nil"/>
              <w:left w:val="nil"/>
              <w:bottom w:val="nil"/>
              <w:right w:val="nil"/>
            </w:tcBorders>
          </w:tcPr>
          <w:p w14:paraId="6C3BCD11"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Yes</w:t>
            </w:r>
          </w:p>
        </w:tc>
      </w:tr>
      <w:tr w:rsidR="00C3690E" w:rsidRPr="00C3690E" w14:paraId="5CBF70D1" w14:textId="77777777" w:rsidTr="00617949">
        <w:trPr>
          <w:trHeight w:hRule="exact" w:val="288"/>
          <w:jc w:val="center"/>
        </w:trPr>
        <w:tc>
          <w:tcPr>
            <w:tcW w:w="2568" w:type="dxa"/>
            <w:tcBorders>
              <w:top w:val="nil"/>
              <w:left w:val="nil"/>
              <w:bottom w:val="nil"/>
              <w:right w:val="nil"/>
            </w:tcBorders>
          </w:tcPr>
          <w:p w14:paraId="4F49D4DA"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Year effect</w:t>
            </w:r>
          </w:p>
        </w:tc>
        <w:tc>
          <w:tcPr>
            <w:tcW w:w="1482" w:type="dxa"/>
            <w:tcBorders>
              <w:top w:val="nil"/>
              <w:left w:val="nil"/>
              <w:bottom w:val="nil"/>
              <w:right w:val="nil"/>
            </w:tcBorders>
          </w:tcPr>
          <w:p w14:paraId="5E778D74"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Yes</w:t>
            </w:r>
          </w:p>
        </w:tc>
        <w:tc>
          <w:tcPr>
            <w:tcW w:w="1260" w:type="dxa"/>
            <w:tcBorders>
              <w:top w:val="nil"/>
              <w:left w:val="nil"/>
              <w:bottom w:val="nil"/>
              <w:right w:val="nil"/>
            </w:tcBorders>
          </w:tcPr>
          <w:p w14:paraId="2B7A8850" w14:textId="77777777" w:rsidR="00C3690E" w:rsidRPr="00C3690E" w:rsidRDefault="00C3690E" w:rsidP="00C3690E">
            <w:pPr>
              <w:tabs>
                <w:tab w:val="left" w:pos="1248"/>
                <w:tab w:val="center" w:pos="1488"/>
              </w:tabs>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Yes</w:t>
            </w:r>
          </w:p>
        </w:tc>
        <w:tc>
          <w:tcPr>
            <w:tcW w:w="1260" w:type="dxa"/>
            <w:tcBorders>
              <w:top w:val="nil"/>
              <w:left w:val="nil"/>
              <w:bottom w:val="nil"/>
              <w:right w:val="nil"/>
            </w:tcBorders>
          </w:tcPr>
          <w:p w14:paraId="16CC317E" w14:textId="77777777" w:rsidR="00C3690E" w:rsidRPr="00C3690E" w:rsidRDefault="00C3690E" w:rsidP="00C3690E">
            <w:pPr>
              <w:tabs>
                <w:tab w:val="left" w:pos="1248"/>
                <w:tab w:val="center" w:pos="1488"/>
              </w:tabs>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Yes</w:t>
            </w:r>
          </w:p>
        </w:tc>
        <w:tc>
          <w:tcPr>
            <w:tcW w:w="1170" w:type="dxa"/>
            <w:tcBorders>
              <w:top w:val="nil"/>
              <w:left w:val="nil"/>
              <w:bottom w:val="nil"/>
              <w:right w:val="nil"/>
            </w:tcBorders>
          </w:tcPr>
          <w:p w14:paraId="32936CBE" w14:textId="77777777" w:rsidR="00C3690E" w:rsidRPr="00C3690E" w:rsidRDefault="00C3690E" w:rsidP="00C3690E">
            <w:pPr>
              <w:tabs>
                <w:tab w:val="left" w:pos="1248"/>
                <w:tab w:val="center" w:pos="1488"/>
              </w:tabs>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Yes</w:t>
            </w:r>
          </w:p>
        </w:tc>
      </w:tr>
      <w:tr w:rsidR="00C3690E" w:rsidRPr="00C3690E" w14:paraId="52AF3A5F" w14:textId="77777777" w:rsidTr="00617949">
        <w:trPr>
          <w:trHeight w:hRule="exact" w:val="288"/>
          <w:jc w:val="center"/>
        </w:trPr>
        <w:tc>
          <w:tcPr>
            <w:tcW w:w="2568" w:type="dxa"/>
            <w:tcBorders>
              <w:top w:val="nil"/>
              <w:left w:val="nil"/>
              <w:bottom w:val="nil"/>
              <w:right w:val="nil"/>
            </w:tcBorders>
          </w:tcPr>
          <w:p w14:paraId="3757D9D1"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Observations</w:t>
            </w:r>
          </w:p>
        </w:tc>
        <w:tc>
          <w:tcPr>
            <w:tcW w:w="1482" w:type="dxa"/>
            <w:tcBorders>
              <w:top w:val="nil"/>
              <w:left w:val="nil"/>
              <w:bottom w:val="nil"/>
              <w:right w:val="nil"/>
            </w:tcBorders>
          </w:tcPr>
          <w:p w14:paraId="404C033D" w14:textId="58FC4235"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4</w:t>
            </w:r>
            <w:r w:rsidRPr="00C3690E">
              <w:rPr>
                <w:rFonts w:ascii="Times New Roman" w:eastAsia="Times New Roman" w:hAnsi="Times New Roman" w:cs="Times New Roman"/>
                <w:bCs/>
                <w:sz w:val="20"/>
                <w:szCs w:val="20"/>
                <w:lang w:val="en-GB" w:eastAsia="en-GB"/>
              </w:rPr>
              <w:t>,887</w:t>
            </w:r>
          </w:p>
        </w:tc>
        <w:tc>
          <w:tcPr>
            <w:tcW w:w="1260" w:type="dxa"/>
            <w:tcBorders>
              <w:top w:val="nil"/>
              <w:left w:val="nil"/>
              <w:bottom w:val="nil"/>
              <w:right w:val="nil"/>
            </w:tcBorders>
          </w:tcPr>
          <w:p w14:paraId="3F250C9C" w14:textId="61E2EBDF"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3</w:t>
            </w:r>
            <w:r w:rsidRPr="00C3690E">
              <w:rPr>
                <w:rFonts w:ascii="Times New Roman" w:eastAsia="Times New Roman" w:hAnsi="Times New Roman" w:cs="Times New Roman"/>
                <w:bCs/>
                <w:sz w:val="20"/>
                <w:szCs w:val="20"/>
                <w:lang w:val="en-GB" w:eastAsia="en-GB"/>
              </w:rPr>
              <w:t>,474</w:t>
            </w:r>
          </w:p>
        </w:tc>
        <w:tc>
          <w:tcPr>
            <w:tcW w:w="1260" w:type="dxa"/>
            <w:tcBorders>
              <w:top w:val="nil"/>
              <w:left w:val="nil"/>
              <w:bottom w:val="nil"/>
              <w:right w:val="nil"/>
            </w:tcBorders>
          </w:tcPr>
          <w:p w14:paraId="0B618129" w14:textId="114D6D67" w:rsidR="00C3690E" w:rsidRPr="00C3690E" w:rsidRDefault="00C3690E" w:rsidP="00C3690E">
            <w:pPr>
              <w:spacing w:after="0" w:line="480" w:lineRule="auto"/>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4</w:t>
            </w:r>
            <w:r w:rsidRPr="00C3690E">
              <w:rPr>
                <w:rFonts w:ascii="Times New Roman" w:eastAsia="Times New Roman" w:hAnsi="Times New Roman" w:cs="Times New Roman"/>
                <w:bCs/>
                <w:sz w:val="20"/>
                <w:szCs w:val="20"/>
                <w:lang w:eastAsia="en-GB"/>
              </w:rPr>
              <w:t>,181</w:t>
            </w:r>
          </w:p>
          <w:p w14:paraId="36A4B61F"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p>
        </w:tc>
        <w:tc>
          <w:tcPr>
            <w:tcW w:w="1170" w:type="dxa"/>
            <w:tcBorders>
              <w:top w:val="nil"/>
              <w:left w:val="nil"/>
              <w:bottom w:val="nil"/>
              <w:right w:val="nil"/>
            </w:tcBorders>
          </w:tcPr>
          <w:p w14:paraId="67EB8DE3" w14:textId="374368FF"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4</w:t>
            </w:r>
            <w:r w:rsidRPr="00C3690E">
              <w:rPr>
                <w:rFonts w:ascii="Times New Roman" w:eastAsia="Times New Roman" w:hAnsi="Times New Roman" w:cs="Times New Roman"/>
                <w:bCs/>
                <w:sz w:val="20"/>
                <w:szCs w:val="20"/>
                <w:lang w:val="en-GB" w:eastAsia="en-GB"/>
              </w:rPr>
              <w:t>,180</w:t>
            </w:r>
          </w:p>
        </w:tc>
      </w:tr>
      <w:tr w:rsidR="00C3690E" w:rsidRPr="00C3690E" w14:paraId="4750F726" w14:textId="77777777" w:rsidTr="00617949">
        <w:trPr>
          <w:trHeight w:hRule="exact" w:val="288"/>
          <w:jc w:val="center"/>
        </w:trPr>
        <w:tc>
          <w:tcPr>
            <w:tcW w:w="2568" w:type="dxa"/>
            <w:tcBorders>
              <w:top w:val="nil"/>
              <w:left w:val="nil"/>
              <w:bottom w:val="nil"/>
              <w:right w:val="nil"/>
            </w:tcBorders>
          </w:tcPr>
          <w:p w14:paraId="275F207C"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R2</w:t>
            </w:r>
          </w:p>
        </w:tc>
        <w:tc>
          <w:tcPr>
            <w:tcW w:w="1482" w:type="dxa"/>
            <w:tcBorders>
              <w:top w:val="nil"/>
              <w:left w:val="nil"/>
              <w:bottom w:val="nil"/>
              <w:right w:val="nil"/>
            </w:tcBorders>
          </w:tcPr>
          <w:p w14:paraId="076E03F3" w14:textId="77777777" w:rsidR="00C3690E" w:rsidRPr="00C3690E" w:rsidRDefault="00C3690E" w:rsidP="00C3690E">
            <w:pPr>
              <w:spacing w:after="200" w:line="276" w:lineRule="auto"/>
              <w:jc w:val="center"/>
              <w:rPr>
                <w:rFonts w:ascii="Times New Roman" w:eastAsia="SimSun" w:hAnsi="Times New Roman" w:cs="Times New Roman"/>
                <w:sz w:val="20"/>
                <w:szCs w:val="20"/>
                <w:lang w:eastAsia="zh-CN"/>
              </w:rPr>
            </w:pPr>
            <w:r w:rsidRPr="00C3690E">
              <w:rPr>
                <w:rFonts w:ascii="Times New Roman" w:eastAsia="SimSun" w:hAnsi="Times New Roman" w:cs="Times New Roman"/>
                <w:sz w:val="20"/>
                <w:szCs w:val="20"/>
                <w:lang w:eastAsia="zh-CN"/>
              </w:rPr>
              <w:t>0.171</w:t>
            </w:r>
          </w:p>
        </w:tc>
        <w:tc>
          <w:tcPr>
            <w:tcW w:w="1260" w:type="dxa"/>
            <w:tcBorders>
              <w:top w:val="nil"/>
              <w:left w:val="nil"/>
              <w:bottom w:val="nil"/>
              <w:right w:val="nil"/>
            </w:tcBorders>
          </w:tcPr>
          <w:p w14:paraId="229A3F05" w14:textId="77777777" w:rsidR="00C3690E" w:rsidRPr="00C3690E" w:rsidRDefault="00C3690E" w:rsidP="00C3690E">
            <w:pPr>
              <w:spacing w:after="200" w:line="276" w:lineRule="auto"/>
              <w:jc w:val="center"/>
              <w:rPr>
                <w:rFonts w:ascii="Times New Roman" w:eastAsia="SimSun" w:hAnsi="Times New Roman" w:cs="Times New Roman"/>
                <w:sz w:val="20"/>
                <w:szCs w:val="20"/>
                <w:lang w:eastAsia="zh-CN"/>
              </w:rPr>
            </w:pPr>
            <w:r w:rsidRPr="00C3690E">
              <w:rPr>
                <w:rFonts w:ascii="Times New Roman" w:eastAsia="SimSun" w:hAnsi="Times New Roman" w:cs="Times New Roman"/>
                <w:sz w:val="20"/>
                <w:szCs w:val="20"/>
                <w:lang w:eastAsia="zh-CN"/>
              </w:rPr>
              <w:t>0.266</w:t>
            </w:r>
          </w:p>
        </w:tc>
        <w:tc>
          <w:tcPr>
            <w:tcW w:w="1260" w:type="dxa"/>
            <w:tcBorders>
              <w:top w:val="nil"/>
              <w:left w:val="nil"/>
              <w:bottom w:val="nil"/>
              <w:right w:val="nil"/>
            </w:tcBorders>
          </w:tcPr>
          <w:p w14:paraId="12707012" w14:textId="77777777" w:rsidR="00C3690E" w:rsidRPr="00C3690E" w:rsidRDefault="00C3690E" w:rsidP="00C3690E">
            <w:pPr>
              <w:spacing w:after="200" w:line="276" w:lineRule="auto"/>
              <w:jc w:val="center"/>
              <w:rPr>
                <w:rFonts w:ascii="Times New Roman" w:eastAsia="SimSun" w:hAnsi="Times New Roman" w:cs="Times New Roman"/>
                <w:sz w:val="20"/>
                <w:szCs w:val="20"/>
                <w:lang w:eastAsia="zh-CN"/>
              </w:rPr>
            </w:pPr>
            <w:r w:rsidRPr="00C3690E">
              <w:rPr>
                <w:rFonts w:ascii="Times New Roman" w:eastAsia="SimSun" w:hAnsi="Times New Roman" w:cs="Times New Roman"/>
                <w:sz w:val="20"/>
                <w:szCs w:val="20"/>
                <w:lang w:eastAsia="zh-CN"/>
              </w:rPr>
              <w:t>0.248</w:t>
            </w:r>
          </w:p>
        </w:tc>
        <w:tc>
          <w:tcPr>
            <w:tcW w:w="1170" w:type="dxa"/>
            <w:tcBorders>
              <w:top w:val="nil"/>
              <w:left w:val="nil"/>
              <w:bottom w:val="nil"/>
              <w:right w:val="nil"/>
            </w:tcBorders>
          </w:tcPr>
          <w:p w14:paraId="7E88206D" w14:textId="77777777" w:rsidR="00C3690E" w:rsidRPr="00C3690E" w:rsidRDefault="00C3690E" w:rsidP="00C3690E">
            <w:pPr>
              <w:spacing w:after="200" w:line="276" w:lineRule="auto"/>
              <w:jc w:val="center"/>
              <w:rPr>
                <w:rFonts w:ascii="Times New Roman" w:eastAsia="SimSun" w:hAnsi="Times New Roman" w:cs="Times New Roman"/>
                <w:sz w:val="20"/>
                <w:szCs w:val="20"/>
                <w:lang w:eastAsia="zh-CN"/>
              </w:rPr>
            </w:pPr>
            <w:r w:rsidRPr="00C3690E">
              <w:rPr>
                <w:rFonts w:ascii="Times New Roman" w:eastAsia="SimSun" w:hAnsi="Times New Roman" w:cs="Times New Roman"/>
                <w:sz w:val="20"/>
                <w:szCs w:val="20"/>
                <w:lang w:eastAsia="zh-CN"/>
              </w:rPr>
              <w:t>0.185</w:t>
            </w:r>
          </w:p>
        </w:tc>
      </w:tr>
      <w:tr w:rsidR="00C3690E" w:rsidRPr="00C3690E" w14:paraId="69CE5EF3" w14:textId="77777777" w:rsidTr="00617949">
        <w:trPr>
          <w:trHeight w:hRule="exact" w:val="288"/>
          <w:jc w:val="center"/>
        </w:trPr>
        <w:tc>
          <w:tcPr>
            <w:tcW w:w="2568" w:type="dxa"/>
            <w:tcBorders>
              <w:top w:val="nil"/>
              <w:left w:val="nil"/>
              <w:bottom w:val="single" w:sz="4" w:space="0" w:color="auto"/>
              <w:right w:val="nil"/>
            </w:tcBorders>
          </w:tcPr>
          <w:p w14:paraId="082648E5"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Adjusted R2</w:t>
            </w:r>
          </w:p>
        </w:tc>
        <w:tc>
          <w:tcPr>
            <w:tcW w:w="1482" w:type="dxa"/>
            <w:tcBorders>
              <w:top w:val="nil"/>
              <w:left w:val="nil"/>
              <w:bottom w:val="single" w:sz="4" w:space="0" w:color="auto"/>
              <w:right w:val="nil"/>
            </w:tcBorders>
          </w:tcPr>
          <w:p w14:paraId="3FC735BC" w14:textId="77777777" w:rsidR="00C3690E" w:rsidRPr="00C3690E" w:rsidRDefault="00C3690E" w:rsidP="00C3690E">
            <w:pPr>
              <w:spacing w:after="200" w:line="276" w:lineRule="auto"/>
              <w:jc w:val="center"/>
              <w:rPr>
                <w:rFonts w:ascii="Times New Roman" w:eastAsia="SimSun" w:hAnsi="Times New Roman" w:cs="Times New Roman"/>
                <w:sz w:val="20"/>
                <w:szCs w:val="20"/>
                <w:lang w:eastAsia="zh-CN"/>
              </w:rPr>
            </w:pPr>
            <w:r w:rsidRPr="00C3690E">
              <w:rPr>
                <w:rFonts w:ascii="Times New Roman" w:eastAsia="SimSun" w:hAnsi="Times New Roman" w:cs="Times New Roman"/>
                <w:sz w:val="20"/>
                <w:szCs w:val="20"/>
                <w:lang w:eastAsia="zh-CN"/>
              </w:rPr>
              <w:t>0.171</w:t>
            </w:r>
          </w:p>
        </w:tc>
        <w:tc>
          <w:tcPr>
            <w:tcW w:w="1260" w:type="dxa"/>
            <w:tcBorders>
              <w:top w:val="nil"/>
              <w:left w:val="nil"/>
              <w:bottom w:val="single" w:sz="4" w:space="0" w:color="auto"/>
              <w:right w:val="nil"/>
            </w:tcBorders>
          </w:tcPr>
          <w:p w14:paraId="58653E25" w14:textId="77777777" w:rsidR="00C3690E" w:rsidRPr="00C3690E" w:rsidRDefault="00C3690E" w:rsidP="00C3690E">
            <w:pPr>
              <w:spacing w:after="200" w:line="276" w:lineRule="auto"/>
              <w:jc w:val="center"/>
              <w:rPr>
                <w:rFonts w:ascii="Times New Roman" w:eastAsia="SimSun" w:hAnsi="Times New Roman" w:cs="Times New Roman"/>
                <w:sz w:val="20"/>
                <w:szCs w:val="20"/>
                <w:lang w:eastAsia="zh-CN"/>
              </w:rPr>
            </w:pPr>
            <w:r w:rsidRPr="00C3690E">
              <w:rPr>
                <w:rFonts w:ascii="Times New Roman" w:eastAsia="SimSun" w:hAnsi="Times New Roman" w:cs="Times New Roman"/>
                <w:sz w:val="20"/>
                <w:szCs w:val="20"/>
                <w:lang w:eastAsia="zh-CN"/>
              </w:rPr>
              <w:t>0.266</w:t>
            </w:r>
          </w:p>
        </w:tc>
        <w:tc>
          <w:tcPr>
            <w:tcW w:w="1260" w:type="dxa"/>
            <w:tcBorders>
              <w:top w:val="nil"/>
              <w:left w:val="nil"/>
              <w:bottom w:val="single" w:sz="4" w:space="0" w:color="auto"/>
              <w:right w:val="nil"/>
            </w:tcBorders>
          </w:tcPr>
          <w:p w14:paraId="3F0DEAE8" w14:textId="77777777" w:rsidR="00C3690E" w:rsidRPr="00C3690E" w:rsidRDefault="00C3690E" w:rsidP="00C3690E">
            <w:pPr>
              <w:spacing w:after="200" w:line="276" w:lineRule="auto"/>
              <w:jc w:val="center"/>
              <w:rPr>
                <w:rFonts w:ascii="Times New Roman" w:eastAsia="SimSun" w:hAnsi="Times New Roman" w:cs="Times New Roman"/>
                <w:sz w:val="20"/>
                <w:szCs w:val="20"/>
                <w:lang w:eastAsia="zh-CN"/>
              </w:rPr>
            </w:pPr>
            <w:r w:rsidRPr="00C3690E">
              <w:rPr>
                <w:rFonts w:ascii="Times New Roman" w:eastAsia="SimSun" w:hAnsi="Times New Roman" w:cs="Times New Roman"/>
                <w:sz w:val="20"/>
                <w:szCs w:val="20"/>
                <w:lang w:eastAsia="zh-CN"/>
              </w:rPr>
              <w:t>0.248</w:t>
            </w:r>
          </w:p>
        </w:tc>
        <w:tc>
          <w:tcPr>
            <w:tcW w:w="1170" w:type="dxa"/>
            <w:tcBorders>
              <w:top w:val="nil"/>
              <w:left w:val="nil"/>
              <w:bottom w:val="single" w:sz="4" w:space="0" w:color="auto"/>
              <w:right w:val="nil"/>
            </w:tcBorders>
          </w:tcPr>
          <w:p w14:paraId="13F99B7A" w14:textId="77777777" w:rsidR="00C3690E" w:rsidRPr="00C3690E" w:rsidRDefault="00C3690E" w:rsidP="00C3690E">
            <w:pPr>
              <w:spacing w:after="200" w:line="276" w:lineRule="auto"/>
              <w:jc w:val="center"/>
              <w:rPr>
                <w:rFonts w:ascii="Times New Roman" w:eastAsia="SimSun" w:hAnsi="Times New Roman" w:cs="Times New Roman"/>
                <w:sz w:val="20"/>
                <w:szCs w:val="20"/>
                <w:lang w:eastAsia="zh-CN"/>
              </w:rPr>
            </w:pPr>
            <w:r w:rsidRPr="00C3690E">
              <w:rPr>
                <w:rFonts w:ascii="Times New Roman" w:eastAsia="SimSun" w:hAnsi="Times New Roman" w:cs="Times New Roman"/>
                <w:sz w:val="20"/>
                <w:szCs w:val="20"/>
                <w:lang w:eastAsia="zh-CN"/>
              </w:rPr>
              <w:t>0.185</w:t>
            </w:r>
          </w:p>
        </w:tc>
      </w:tr>
    </w:tbl>
    <w:p w14:paraId="2AE8ECA3" w14:textId="77777777" w:rsidR="00C3690E" w:rsidRPr="00C3690E" w:rsidRDefault="00C3690E" w:rsidP="00C3690E">
      <w:pPr>
        <w:spacing w:after="0" w:line="240" w:lineRule="auto"/>
        <w:rPr>
          <w:rFonts w:ascii="Times New Roman" w:eastAsia="SimSun" w:hAnsi="Times New Roman" w:cs="Times New Roman"/>
          <w:sz w:val="20"/>
          <w:szCs w:val="20"/>
          <w:lang w:eastAsia="zh-CN"/>
        </w:rPr>
      </w:pPr>
      <w:r w:rsidRPr="00C3690E">
        <w:rPr>
          <w:rFonts w:ascii="Times New Roman" w:eastAsia="SimSun" w:hAnsi="Times New Roman" w:cs="Times New Roman"/>
          <w:sz w:val="20"/>
          <w:szCs w:val="20"/>
          <w:lang w:eastAsia="zh-CN"/>
        </w:rPr>
        <w:t>Note: * * *, * *, and * indicate significant correlation at 1%, 5%, and 10% levels, respectively, with t values in parentheses.</w:t>
      </w:r>
    </w:p>
    <w:p w14:paraId="3DC379B4" w14:textId="73D0CB0E" w:rsidR="00D6639F" w:rsidRDefault="00D6639F" w:rsidP="00D6639F">
      <w:pPr>
        <w:rPr>
          <w:rFonts w:asciiTheme="majorBidi" w:hAnsiTheme="majorBidi" w:cstheme="majorBidi"/>
          <w:sz w:val="28"/>
          <w:szCs w:val="28"/>
        </w:rPr>
      </w:pPr>
    </w:p>
    <w:p w14:paraId="2C0AD059" w14:textId="45AF7E9A" w:rsidR="00C3690E" w:rsidRDefault="00C3690E" w:rsidP="00D6639F">
      <w:pPr>
        <w:rPr>
          <w:rFonts w:ascii="Times New Roman" w:eastAsia="SimSun" w:hAnsi="Times New Roman" w:cs="Times New Roman"/>
          <w:b/>
          <w:bCs/>
          <w:sz w:val="28"/>
          <w:szCs w:val="28"/>
          <w:lang w:eastAsia="zh-CN"/>
        </w:rPr>
      </w:pPr>
      <w:r w:rsidRPr="00C3690E">
        <w:rPr>
          <w:rFonts w:ascii="Times New Roman" w:eastAsia="SimSun" w:hAnsi="Times New Roman" w:cs="Times New Roman"/>
          <w:b/>
          <w:bCs/>
          <w:sz w:val="28"/>
          <w:szCs w:val="28"/>
          <w:lang w:eastAsia="zh-CN"/>
        </w:rPr>
        <w:t>5 | DISCUSSION AND CONCLUSION</w:t>
      </w:r>
    </w:p>
    <w:p w14:paraId="0CECC05B" w14:textId="77777777" w:rsidR="00A30B8E" w:rsidRDefault="00817BFE" w:rsidP="00817BFE">
      <w:pPr>
        <w:spacing w:line="360" w:lineRule="auto"/>
        <w:jc w:val="both"/>
      </w:pPr>
      <w:r w:rsidRPr="00817BFE">
        <w:rPr>
          <w:rFonts w:ascii="Times New Roman" w:eastAsia="SimSun" w:hAnsi="Times New Roman" w:cs="Times New Roman"/>
          <w:sz w:val="28"/>
          <w:szCs w:val="28"/>
          <w:lang w:eastAsia="zh-CN"/>
        </w:rPr>
        <w:t>This study investigates the relationship between CEO overconfidence and corporate ESG performance in Chinese A-share non-financial firms. The findings contribute to the growing body of literature on behavioral corporate governance and sustainability by highlighting those executive psychological traits, specifically overconfidence, can positively shape ESG outcomes. Our empirical analysis reveals that CEO overconfidence significantly improves ESG performance across environmental, social, and governance dimensions. Furthermore, the effect is more pronounced in state-owned enterprises (SOEs) and firms with high institutional investor ownership, suggesting that external governance mechanisms can amplify or condition the impact of executive traits on sustainability outcomes. These results reinforce the relevance of Upper Echelon Theory, demonstrating that executives’ cognitive biases are central to financial outcomes and crucial in driving non-financial performance metrics like ESG.</w:t>
      </w:r>
      <w:r w:rsidR="00862CE2" w:rsidRPr="00862CE2">
        <w:t xml:space="preserve"> </w:t>
      </w:r>
    </w:p>
    <w:p w14:paraId="7898C11E" w14:textId="796EB3E8" w:rsidR="00C3690E" w:rsidRPr="00817BFE" w:rsidRDefault="00A30B8E" w:rsidP="00817BFE">
      <w:pPr>
        <w:spacing w:line="360" w:lineRule="auto"/>
        <w:jc w:val="both"/>
        <w:rPr>
          <w:rFonts w:ascii="Times New Roman" w:eastAsia="SimSun" w:hAnsi="Times New Roman" w:cs="Times New Roman"/>
          <w:sz w:val="28"/>
          <w:szCs w:val="28"/>
          <w:lang w:eastAsia="zh-CN"/>
        </w:rPr>
      </w:pPr>
      <w:r w:rsidRPr="00A30B8E">
        <w:rPr>
          <w:rFonts w:ascii="Times New Roman" w:eastAsia="SimSun" w:hAnsi="Times New Roman" w:cs="Times New Roman"/>
          <w:sz w:val="28"/>
          <w:szCs w:val="28"/>
          <w:lang w:eastAsia="zh-CN"/>
        </w:rPr>
        <w:lastRenderedPageBreak/>
        <w:t xml:space="preserve">              In sum, </w:t>
      </w:r>
      <w:r w:rsidRPr="00862CE2">
        <w:rPr>
          <w:rFonts w:ascii="Times New Roman" w:eastAsia="SimSun" w:hAnsi="Times New Roman" w:cs="Times New Roman"/>
          <w:sz w:val="28"/>
          <w:szCs w:val="28"/>
          <w:lang w:eastAsia="zh-CN"/>
        </w:rPr>
        <w:t>the</w:t>
      </w:r>
      <w:r w:rsidR="00862CE2" w:rsidRPr="00862CE2">
        <w:rPr>
          <w:rFonts w:ascii="Times New Roman" w:eastAsia="SimSun" w:hAnsi="Times New Roman" w:cs="Times New Roman"/>
          <w:sz w:val="28"/>
          <w:szCs w:val="28"/>
          <w:lang w:eastAsia="zh-CN"/>
        </w:rPr>
        <w:t xml:space="preserve"> conclusions suggest that fostering appropriate CEO Overconfidence, strengthening institutional investor engagement, and leveraging state-owned enterprises can jointly enhance ESG performance. By striking a balance in CEO overconfidence, firms may see high investment in ESG and motivate best decision making. Corporate governance can help to promote ethical ESG investment.</w:t>
      </w:r>
    </w:p>
    <w:p w14:paraId="3980472D" w14:textId="007F48C4" w:rsidR="00C3690E" w:rsidRDefault="00C3690E" w:rsidP="00C3690E">
      <w:pPr>
        <w:spacing w:after="200" w:line="360" w:lineRule="auto"/>
        <w:rPr>
          <w:rFonts w:ascii="Times New Roman" w:eastAsia="SimSun" w:hAnsi="Times New Roman" w:cs="Times New Roman"/>
          <w:b/>
          <w:bCs/>
          <w:sz w:val="28"/>
          <w:szCs w:val="28"/>
          <w:lang w:eastAsia="zh-CN"/>
        </w:rPr>
      </w:pPr>
      <w:r w:rsidRPr="00C3690E">
        <w:rPr>
          <w:rFonts w:ascii="Times New Roman" w:eastAsia="SimSun" w:hAnsi="Times New Roman" w:cs="Times New Roman"/>
          <w:b/>
          <w:bCs/>
          <w:sz w:val="28"/>
          <w:szCs w:val="28"/>
          <w:lang w:eastAsia="zh-CN"/>
        </w:rPr>
        <w:t>5.1 | Managerial implications</w:t>
      </w:r>
    </w:p>
    <w:p w14:paraId="2E172D31" w14:textId="5DC937ED" w:rsidR="00817BFE" w:rsidRPr="00C3690E" w:rsidRDefault="00817BFE" w:rsidP="00817BFE">
      <w:pPr>
        <w:spacing w:after="200" w:line="360" w:lineRule="auto"/>
        <w:jc w:val="both"/>
        <w:rPr>
          <w:rFonts w:ascii="Times New Roman" w:eastAsia="SimSun" w:hAnsi="Times New Roman" w:cs="Times New Roman"/>
          <w:sz w:val="28"/>
          <w:szCs w:val="28"/>
          <w:lang w:eastAsia="zh-CN"/>
        </w:rPr>
      </w:pPr>
      <w:r w:rsidRPr="00817BFE">
        <w:rPr>
          <w:rFonts w:ascii="Times New Roman" w:eastAsia="SimSun" w:hAnsi="Times New Roman" w:cs="Times New Roman"/>
          <w:sz w:val="28"/>
          <w:szCs w:val="28"/>
          <w:lang w:eastAsia="zh-CN"/>
        </w:rPr>
        <w:t>Our findings offer several practical implications for corporate leadership and governance. First, companies should recognize that overconfidence, while often viewed as a cognitive bias, can also be a strategic asset in driving long-term sustainability initiatives. Overconfident CEOs may be more willing to invest in ESG projects that yield delayed returns but offer long-term competitive advantages. Second, boards and human resource managers can use this insight to inform executive recruitment and development strategies, acknowledging the motivational potential of overconfidence while ensuring it is balanced with appropriate oversight. Third, institutional investors and regulators can play a proactive role in enhancing the positive effects of CEO overconfidence by fostering transparency and accountability mechanisms that align executive incentives with broader ESG goals. Lastly, in state-owned enterprises where CEOs often operate under government mandates, overconfidence may be a motivational trait that aligns public policy goals with corporate action, thereby contributing to national sustainability objectives.</w:t>
      </w:r>
    </w:p>
    <w:p w14:paraId="0C712843" w14:textId="77777777" w:rsidR="00C3690E" w:rsidRPr="00C3690E" w:rsidRDefault="00C3690E" w:rsidP="00C3690E">
      <w:pPr>
        <w:spacing w:after="200" w:line="360" w:lineRule="auto"/>
        <w:jc w:val="both"/>
        <w:rPr>
          <w:rFonts w:ascii="Times New Roman" w:eastAsia="SimSun" w:hAnsi="Times New Roman" w:cs="Times New Roman"/>
          <w:sz w:val="24"/>
          <w:szCs w:val="24"/>
          <w:lang w:eastAsia="zh-CN"/>
        </w:rPr>
      </w:pPr>
      <w:r w:rsidRPr="00C3690E">
        <w:rPr>
          <w:rFonts w:ascii="Times New Roman" w:eastAsia="SimSun" w:hAnsi="Times New Roman" w:cs="Times New Roman"/>
          <w:b/>
          <w:bCs/>
          <w:sz w:val="28"/>
          <w:szCs w:val="28"/>
          <w:lang w:eastAsia="zh-CN"/>
        </w:rPr>
        <w:t>5.2 | Limitations and future research</w:t>
      </w:r>
    </w:p>
    <w:p w14:paraId="7F61BB3A" w14:textId="4BEF80B2" w:rsidR="00C3690E" w:rsidRDefault="008B262D" w:rsidP="008B262D">
      <w:pPr>
        <w:spacing w:line="360" w:lineRule="auto"/>
        <w:jc w:val="both"/>
        <w:rPr>
          <w:rFonts w:asciiTheme="majorBidi" w:hAnsiTheme="majorBidi" w:cstheme="majorBidi"/>
          <w:sz w:val="28"/>
          <w:szCs w:val="28"/>
        </w:rPr>
      </w:pPr>
      <w:r w:rsidRPr="008B262D">
        <w:rPr>
          <w:rFonts w:asciiTheme="majorBidi" w:hAnsiTheme="majorBidi" w:cstheme="majorBidi"/>
          <w:sz w:val="28"/>
          <w:szCs w:val="28"/>
        </w:rPr>
        <w:t xml:space="preserve">While this study provides valuable insights, it has several limitations that future research can address. First, the proxy used for CEO overconfidence, based on demographic and role-related characteristics, may not fully capture the </w:t>
      </w:r>
      <w:r w:rsidRPr="008B262D">
        <w:rPr>
          <w:rFonts w:asciiTheme="majorBidi" w:hAnsiTheme="majorBidi" w:cstheme="majorBidi"/>
          <w:sz w:val="28"/>
          <w:szCs w:val="28"/>
        </w:rPr>
        <w:lastRenderedPageBreak/>
        <w:t>psychological depth of this trait. Future studies could incorporate psychological assessments or behavioral data for more precise measurement. Second, our sample focuses exclusively on Chinese A-share non-financial firms, limiting the generalizability of the findings to other contexts or sectors. Comparative studies across countries or industries could provide a broader understanding of how cultural and institutional differences shape the overconfidence-ESG relationship. Third, while we explore the moderating effects of SOE status and institutional ownership, other governance variables—such as board composition or ownership concentration—might also influence this dynamic and warrant further exploration. Lastly, longitudinal case studies or qualitative approaches could offer deeper insights into the mechanisms through which overconfident CEOs implement and sustain ESG strategies over time.</w:t>
      </w:r>
    </w:p>
    <w:p w14:paraId="0221B2EA" w14:textId="77777777" w:rsidR="0022121E" w:rsidRDefault="0022121E" w:rsidP="008B262D">
      <w:pPr>
        <w:spacing w:line="360" w:lineRule="auto"/>
        <w:jc w:val="both"/>
        <w:rPr>
          <w:rFonts w:asciiTheme="majorBidi" w:hAnsiTheme="majorBidi" w:cstheme="majorBidi"/>
          <w:sz w:val="28"/>
          <w:szCs w:val="28"/>
        </w:rPr>
      </w:pPr>
    </w:p>
    <w:p w14:paraId="5438D7F0" w14:textId="77777777" w:rsidR="0022121E" w:rsidRPr="00213578" w:rsidRDefault="0022121E" w:rsidP="0022121E">
      <w:pPr>
        <w:spacing w:after="0" w:line="240" w:lineRule="auto"/>
        <w:rPr>
          <w:rFonts w:ascii="Times New Roman" w:eastAsia="DengXian" w:hAnsi="Times New Roman" w:cs="Times New Roman"/>
          <w:b/>
          <w:bCs/>
          <w:sz w:val="24"/>
          <w:szCs w:val="24"/>
          <w:lang w:eastAsia="zh-CN"/>
        </w:rPr>
      </w:pPr>
      <w:r w:rsidRPr="00213578">
        <w:rPr>
          <w:rFonts w:ascii="Times New Roman" w:eastAsia="DengXian" w:hAnsi="Times New Roman" w:cs="Times New Roman"/>
          <w:b/>
          <w:bCs/>
          <w:sz w:val="28"/>
          <w:szCs w:val="28"/>
          <w:lang w:eastAsia="zh-CN"/>
        </w:rPr>
        <w:t>HIGHLIGHTS</w:t>
      </w:r>
      <w:r w:rsidRPr="00213578">
        <w:rPr>
          <w:rFonts w:ascii="Times New Roman" w:eastAsia="DengXian" w:hAnsi="Times New Roman" w:cs="Times New Roman"/>
          <w:b/>
          <w:bCs/>
          <w:sz w:val="24"/>
          <w:szCs w:val="24"/>
          <w:lang w:eastAsia="zh-CN"/>
        </w:rPr>
        <w:t>:</w:t>
      </w:r>
    </w:p>
    <w:p w14:paraId="23C105CE" w14:textId="77777777" w:rsidR="0022121E" w:rsidRPr="00213578" w:rsidRDefault="0022121E" w:rsidP="0022121E">
      <w:pPr>
        <w:spacing w:after="0" w:line="240" w:lineRule="auto"/>
        <w:rPr>
          <w:rFonts w:ascii="Times New Roman" w:eastAsia="DengXian" w:hAnsi="Times New Roman" w:cs="Times New Roman"/>
          <w:b/>
          <w:bCs/>
          <w:sz w:val="24"/>
          <w:szCs w:val="24"/>
          <w:lang w:eastAsia="zh-CN"/>
        </w:rPr>
      </w:pPr>
    </w:p>
    <w:p w14:paraId="3F086DBA" w14:textId="77777777" w:rsidR="0022121E" w:rsidRPr="00213578" w:rsidRDefault="0022121E" w:rsidP="0022121E">
      <w:pPr>
        <w:spacing w:after="0" w:line="240" w:lineRule="auto"/>
        <w:rPr>
          <w:rFonts w:ascii="Times New Roman" w:eastAsia="DengXian" w:hAnsi="Times New Roman" w:cs="Times New Roman"/>
          <w:sz w:val="24"/>
          <w:szCs w:val="24"/>
          <w:lang w:eastAsia="zh-CN"/>
        </w:rPr>
      </w:pPr>
    </w:p>
    <w:p w14:paraId="416653C2" w14:textId="77777777" w:rsidR="0022121E" w:rsidRPr="00213578" w:rsidRDefault="0022121E" w:rsidP="0022121E">
      <w:pPr>
        <w:numPr>
          <w:ilvl w:val="0"/>
          <w:numId w:val="1"/>
        </w:numPr>
        <w:spacing w:after="200" w:line="360" w:lineRule="auto"/>
        <w:contextualSpacing/>
        <w:rPr>
          <w:rFonts w:ascii="Times New Roman" w:eastAsia="SimSun" w:hAnsi="Times New Roman" w:cs="Times New Roman"/>
          <w:sz w:val="24"/>
          <w:szCs w:val="24"/>
          <w:lang w:eastAsia="zh-CN"/>
        </w:rPr>
      </w:pPr>
      <w:r w:rsidRPr="00213578">
        <w:rPr>
          <w:rFonts w:ascii="Times New Roman" w:eastAsia="SimSun" w:hAnsi="Times New Roman" w:cs="Times New Roman"/>
          <w:sz w:val="24"/>
          <w:szCs w:val="24"/>
          <w:lang w:eastAsia="zh-CN"/>
        </w:rPr>
        <w:t>The study investigates the impact of CEO overconfidence on corporate ESG performance using data from Chinese A-share listed companies from 2007 to 2022.</w:t>
      </w:r>
    </w:p>
    <w:p w14:paraId="0DA8157E" w14:textId="77777777" w:rsidR="0022121E" w:rsidRPr="00213578" w:rsidRDefault="0022121E" w:rsidP="0022121E">
      <w:pPr>
        <w:numPr>
          <w:ilvl w:val="0"/>
          <w:numId w:val="1"/>
        </w:numPr>
        <w:spacing w:after="200" w:line="360" w:lineRule="auto"/>
        <w:contextualSpacing/>
        <w:jc w:val="both"/>
        <w:rPr>
          <w:rFonts w:ascii="Times New Roman" w:eastAsia="SimSun" w:hAnsi="Times New Roman" w:cs="Times New Roman"/>
          <w:sz w:val="24"/>
          <w:szCs w:val="24"/>
          <w:lang w:eastAsia="zh-CN"/>
        </w:rPr>
      </w:pPr>
      <w:bookmarkStart w:id="15" w:name="_Hlk198893261"/>
      <w:r w:rsidRPr="00213578">
        <w:rPr>
          <w:rFonts w:ascii="Times New Roman" w:eastAsia="SimSun" w:hAnsi="Times New Roman" w:cs="Times New Roman"/>
          <w:sz w:val="24"/>
          <w:szCs w:val="24"/>
          <w:lang w:eastAsia="zh-CN"/>
        </w:rPr>
        <w:t>CEO</w:t>
      </w:r>
      <w:bookmarkEnd w:id="15"/>
      <w:r w:rsidRPr="00213578">
        <w:rPr>
          <w:rFonts w:ascii="Times New Roman" w:eastAsia="SimSun" w:hAnsi="Times New Roman" w:cs="Times New Roman"/>
          <w:sz w:val="24"/>
          <w:szCs w:val="24"/>
          <w:lang w:eastAsia="zh-CN"/>
        </w:rPr>
        <w:t xml:space="preserve"> overconfidence improves ESG performance through three key dimensions: environmental responsibility (E), social responsibility (S), and corporate governance (G).</w:t>
      </w:r>
    </w:p>
    <w:p w14:paraId="044D385A" w14:textId="77777777" w:rsidR="0022121E" w:rsidRPr="00213578" w:rsidRDefault="0022121E" w:rsidP="0022121E">
      <w:pPr>
        <w:numPr>
          <w:ilvl w:val="0"/>
          <w:numId w:val="1"/>
        </w:numPr>
        <w:spacing w:after="200" w:line="360" w:lineRule="auto"/>
        <w:contextualSpacing/>
        <w:jc w:val="both"/>
        <w:rPr>
          <w:rFonts w:ascii="Times New Roman" w:eastAsia="SimSun" w:hAnsi="Times New Roman" w:cs="Times New Roman"/>
          <w:sz w:val="24"/>
          <w:szCs w:val="24"/>
          <w:lang w:eastAsia="zh-CN"/>
        </w:rPr>
      </w:pPr>
      <w:r w:rsidRPr="00213578">
        <w:rPr>
          <w:rFonts w:ascii="Times New Roman" w:eastAsia="SimSun" w:hAnsi="Times New Roman" w:cs="Times New Roman"/>
          <w:sz w:val="24"/>
          <w:szCs w:val="24"/>
          <w:lang w:eastAsia="zh-CN"/>
        </w:rPr>
        <w:t>Policy and managerial implications include recognizing the dual nature of CEO overconfidence and encouraging firms to balance confidence with governance to optimize ESG outcomes.</w:t>
      </w:r>
    </w:p>
    <w:p w14:paraId="2177834E" w14:textId="1006FB04" w:rsidR="0022121E" w:rsidRDefault="0022121E" w:rsidP="0022121E">
      <w:pPr>
        <w:numPr>
          <w:ilvl w:val="0"/>
          <w:numId w:val="1"/>
        </w:numPr>
        <w:spacing w:after="200" w:line="360" w:lineRule="auto"/>
        <w:contextualSpacing/>
        <w:jc w:val="both"/>
        <w:rPr>
          <w:rFonts w:ascii="Times New Roman" w:eastAsia="SimSun" w:hAnsi="Times New Roman" w:cs="Times New Roman"/>
          <w:sz w:val="24"/>
          <w:szCs w:val="24"/>
          <w:lang w:eastAsia="zh-CN"/>
        </w:rPr>
      </w:pPr>
      <w:r w:rsidRPr="00213578">
        <w:rPr>
          <w:rFonts w:ascii="Times New Roman" w:eastAsia="SimSun" w:hAnsi="Times New Roman" w:cs="Times New Roman"/>
          <w:sz w:val="24"/>
          <w:szCs w:val="24"/>
          <w:lang w:eastAsia="zh-CN"/>
        </w:rPr>
        <w:t>CEO overconfidence positively influences ESG performance.</w:t>
      </w:r>
    </w:p>
    <w:p w14:paraId="76D87615" w14:textId="6936F538" w:rsidR="005A3450" w:rsidRDefault="005A3450" w:rsidP="005A3450">
      <w:pPr>
        <w:spacing w:after="200" w:line="360" w:lineRule="auto"/>
        <w:contextualSpacing/>
        <w:jc w:val="both"/>
        <w:rPr>
          <w:rFonts w:ascii="Times New Roman" w:eastAsia="SimSun" w:hAnsi="Times New Roman" w:cs="Times New Roman"/>
          <w:sz w:val="24"/>
          <w:szCs w:val="24"/>
          <w:lang w:eastAsia="zh-CN"/>
        </w:rPr>
      </w:pPr>
    </w:p>
    <w:p w14:paraId="52B24381" w14:textId="77777777" w:rsidR="005A3450" w:rsidRDefault="005A3450" w:rsidP="005A3450"/>
    <w:p w14:paraId="7C6A4D44" w14:textId="77777777" w:rsidR="005A3450" w:rsidRPr="00213578" w:rsidRDefault="005A3450" w:rsidP="005A3450">
      <w:pPr>
        <w:spacing w:after="200" w:line="360" w:lineRule="auto"/>
        <w:contextualSpacing/>
        <w:jc w:val="both"/>
        <w:rPr>
          <w:rFonts w:ascii="Times New Roman" w:eastAsia="SimSun" w:hAnsi="Times New Roman" w:cs="Times New Roman"/>
          <w:sz w:val="24"/>
          <w:szCs w:val="24"/>
          <w:lang w:eastAsia="zh-CN"/>
        </w:rPr>
      </w:pPr>
    </w:p>
    <w:p w14:paraId="062C9A8B" w14:textId="77777777" w:rsidR="0078752C" w:rsidRDefault="0078752C" w:rsidP="0099251B">
      <w:pPr>
        <w:rPr>
          <w:rFonts w:asciiTheme="majorBidi" w:hAnsiTheme="majorBidi" w:cstheme="majorBidi"/>
          <w:sz w:val="28"/>
          <w:szCs w:val="28"/>
        </w:rPr>
      </w:pPr>
    </w:p>
    <w:p w14:paraId="2EFECB03" w14:textId="77777777" w:rsidR="00286B2C" w:rsidRPr="00286B2C" w:rsidRDefault="00286B2C" w:rsidP="00286B2C">
      <w:pPr>
        <w:spacing w:before="100" w:beforeAutospacing="1" w:after="100" w:afterAutospacing="1" w:line="273" w:lineRule="auto"/>
        <w:jc w:val="both"/>
        <w:outlineLvl w:val="1"/>
        <w:rPr>
          <w:rFonts w:ascii="Times New Roman" w:eastAsia="SimSun" w:hAnsi="Times New Roman" w:cs="Times New Roman"/>
          <w:b/>
          <w:bCs/>
          <w:sz w:val="32"/>
          <w:szCs w:val="32"/>
        </w:rPr>
      </w:pPr>
      <w:r w:rsidRPr="00286B2C">
        <w:rPr>
          <w:rFonts w:ascii="Times New Roman" w:eastAsia="SimSun" w:hAnsi="Times New Roman" w:cs="Times New Roman"/>
          <w:b/>
          <w:bCs/>
          <w:sz w:val="32"/>
          <w:szCs w:val="32"/>
        </w:rPr>
        <w:lastRenderedPageBreak/>
        <w:t>References</w:t>
      </w:r>
    </w:p>
    <w:sdt>
      <w:sdtPr>
        <w:rPr>
          <w:rFonts w:ascii="Times New Roman" w:eastAsia="SimSun" w:hAnsi="Times New Roman" w:cs="Times New Roman"/>
          <w:color w:val="000000"/>
          <w:sz w:val="28"/>
          <w:szCs w:val="28"/>
          <w:lang w:eastAsia="zh-CN"/>
        </w:rPr>
        <w:tag w:val="MENDELEY_BIBLIOGRAPHY"/>
        <w:id w:val="176628562"/>
        <w:placeholder>
          <w:docPart w:val="0F2B8733496A46739BA1C298AEC15972"/>
        </w:placeholder>
      </w:sdtPr>
      <w:sdtEndPr>
        <w:rPr>
          <w:sz w:val="24"/>
          <w:szCs w:val="24"/>
        </w:rPr>
      </w:sdtEndPr>
      <w:sdtContent>
        <w:p w14:paraId="57971F17" w14:textId="1B0D4F0F" w:rsidR="0078752C" w:rsidRPr="00286B2C" w:rsidRDefault="00286B2C" w:rsidP="007875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Adeneye</w:t>
          </w:r>
          <w:proofErr w:type="spellEnd"/>
          <w:r w:rsidRPr="00286B2C">
            <w:rPr>
              <w:rFonts w:ascii="Times New Roman" w:eastAsia="Times New Roman" w:hAnsi="Times New Roman" w:cs="Times New Roman"/>
              <w:color w:val="000000"/>
              <w:sz w:val="24"/>
              <w:szCs w:val="24"/>
              <w:lang w:eastAsia="zh-CN"/>
            </w:rPr>
            <w:t xml:space="preserve">, Y. B., Kammoun, I., &amp; Ab Wahab, S. N. A. (2023). Capital structure and speed of adjustment: the impact of environmental, social and governance (ESG) performance. </w:t>
          </w:r>
          <w:r w:rsidRPr="00286B2C">
            <w:rPr>
              <w:rFonts w:ascii="Times New Roman" w:eastAsia="Times New Roman" w:hAnsi="Times New Roman" w:cs="Times New Roman"/>
              <w:i/>
              <w:iCs/>
              <w:color w:val="000000"/>
              <w:sz w:val="24"/>
              <w:szCs w:val="24"/>
              <w:lang w:eastAsia="zh-CN"/>
            </w:rPr>
            <w:t>Sustainability Accounting, Management and Policy Journal</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14</w:t>
          </w:r>
          <w:r w:rsidRPr="00286B2C">
            <w:rPr>
              <w:rFonts w:ascii="Times New Roman" w:eastAsia="Times New Roman" w:hAnsi="Times New Roman" w:cs="Times New Roman"/>
              <w:color w:val="000000"/>
              <w:sz w:val="24"/>
              <w:szCs w:val="24"/>
              <w:lang w:eastAsia="zh-CN"/>
            </w:rPr>
            <w:t xml:space="preserve">(5), 945–977. </w:t>
          </w:r>
          <w:hyperlink r:id="rId7" w:history="1">
            <w:r w:rsidR="0078752C" w:rsidRPr="000039C8">
              <w:rPr>
                <w:rStyle w:val="Hyperlink"/>
                <w:rFonts w:ascii="Times New Roman" w:eastAsia="Times New Roman" w:hAnsi="Times New Roman" w:cs="Times New Roman"/>
                <w:sz w:val="24"/>
                <w:szCs w:val="24"/>
                <w:lang w:eastAsia="zh-CN"/>
              </w:rPr>
              <w:t>https://doi.org/10.1108/SAMPJ-01-2022-0060</w:t>
            </w:r>
          </w:hyperlink>
        </w:p>
        <w:p w14:paraId="14FB8881" w14:textId="4B34B480"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Aguilera, R. V. (2005). Corporate governance and director accountability: An institutional comparative perspective. </w:t>
          </w:r>
          <w:r w:rsidRPr="00286B2C">
            <w:rPr>
              <w:rFonts w:ascii="Times New Roman" w:eastAsia="Times New Roman" w:hAnsi="Times New Roman" w:cs="Times New Roman"/>
              <w:i/>
              <w:iCs/>
              <w:color w:val="000000"/>
              <w:sz w:val="24"/>
              <w:szCs w:val="24"/>
              <w:lang w:eastAsia="zh-CN"/>
            </w:rPr>
            <w:t>British Journal of Management</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16</w:t>
          </w:r>
          <w:r w:rsidRPr="00286B2C">
            <w:rPr>
              <w:rFonts w:ascii="Times New Roman" w:eastAsia="Times New Roman" w:hAnsi="Times New Roman" w:cs="Times New Roman"/>
              <w:color w:val="000000"/>
              <w:sz w:val="24"/>
              <w:szCs w:val="24"/>
              <w:lang w:eastAsia="zh-CN"/>
            </w:rPr>
            <w:t xml:space="preserve">(SPEC. ISS.). </w:t>
          </w:r>
          <w:hyperlink r:id="rId8" w:history="1">
            <w:r w:rsidR="0078752C" w:rsidRPr="000039C8">
              <w:rPr>
                <w:rStyle w:val="Hyperlink"/>
                <w:rFonts w:ascii="Times New Roman" w:eastAsia="Times New Roman" w:hAnsi="Times New Roman" w:cs="Times New Roman"/>
                <w:sz w:val="24"/>
                <w:szCs w:val="24"/>
                <w:lang w:eastAsia="zh-CN"/>
              </w:rPr>
              <w:t>https://doi.org/10.1111/j.1467-8551.2005.00446.x</w:t>
            </w:r>
          </w:hyperlink>
        </w:p>
        <w:p w14:paraId="0634594F" w14:textId="6DBE3D4D"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Bruno, E., Iacoviello, G., &amp; Giannetti, C. (2024). Bank credit loss and ESG performance. </w:t>
          </w:r>
          <w:r w:rsidRPr="00286B2C">
            <w:rPr>
              <w:rFonts w:ascii="Times New Roman" w:eastAsia="Times New Roman" w:hAnsi="Times New Roman" w:cs="Times New Roman"/>
              <w:i/>
              <w:iCs/>
              <w:color w:val="000000"/>
              <w:sz w:val="24"/>
              <w:szCs w:val="24"/>
              <w:lang w:eastAsia="zh-CN"/>
            </w:rPr>
            <w:t>Finance Research Letters</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59</w:t>
          </w:r>
          <w:r w:rsidRPr="00286B2C">
            <w:rPr>
              <w:rFonts w:ascii="Times New Roman" w:eastAsia="Times New Roman" w:hAnsi="Times New Roman" w:cs="Times New Roman"/>
              <w:color w:val="000000"/>
              <w:sz w:val="24"/>
              <w:szCs w:val="24"/>
              <w:lang w:eastAsia="zh-CN"/>
            </w:rPr>
            <w:t xml:space="preserve">. </w:t>
          </w:r>
          <w:hyperlink r:id="rId9" w:history="1">
            <w:r w:rsidR="0078752C" w:rsidRPr="000039C8">
              <w:rPr>
                <w:rStyle w:val="Hyperlink"/>
                <w:rFonts w:ascii="Times New Roman" w:eastAsia="Times New Roman" w:hAnsi="Times New Roman" w:cs="Times New Roman"/>
                <w:sz w:val="24"/>
                <w:szCs w:val="24"/>
                <w:lang w:eastAsia="zh-CN"/>
              </w:rPr>
              <w:t>https://doi.org/10.1016/j.frl.2023.104719</w:t>
            </w:r>
          </w:hyperlink>
        </w:p>
        <w:p w14:paraId="2152CCF8" w14:textId="10BB9562"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Burkhard, B., Sirén, C., van Essen, M., </w:t>
          </w:r>
          <w:proofErr w:type="spellStart"/>
          <w:r w:rsidRPr="00286B2C">
            <w:rPr>
              <w:rFonts w:ascii="Times New Roman" w:eastAsia="Times New Roman" w:hAnsi="Times New Roman" w:cs="Times New Roman"/>
              <w:color w:val="000000"/>
              <w:sz w:val="24"/>
              <w:szCs w:val="24"/>
              <w:lang w:eastAsia="zh-CN"/>
            </w:rPr>
            <w:t>Grichnik</w:t>
          </w:r>
          <w:proofErr w:type="spellEnd"/>
          <w:r w:rsidRPr="00286B2C">
            <w:rPr>
              <w:rFonts w:ascii="Times New Roman" w:eastAsia="Times New Roman" w:hAnsi="Times New Roman" w:cs="Times New Roman"/>
              <w:color w:val="000000"/>
              <w:sz w:val="24"/>
              <w:szCs w:val="24"/>
              <w:lang w:eastAsia="zh-CN"/>
            </w:rPr>
            <w:t xml:space="preserve">, D., &amp; Shepherd, D. A. (2023). Nothing Ventured, Nothing Gained: A Meta-Analysis of CEO Overconfidence, Strategic Risk Taking, and Performance. </w:t>
          </w:r>
          <w:r w:rsidRPr="00286B2C">
            <w:rPr>
              <w:rFonts w:ascii="Times New Roman" w:eastAsia="Times New Roman" w:hAnsi="Times New Roman" w:cs="Times New Roman"/>
              <w:i/>
              <w:iCs/>
              <w:color w:val="000000"/>
              <w:sz w:val="24"/>
              <w:szCs w:val="24"/>
              <w:lang w:eastAsia="zh-CN"/>
            </w:rPr>
            <w:t>Journal of Management</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49</w:t>
          </w:r>
          <w:r w:rsidRPr="00286B2C">
            <w:rPr>
              <w:rFonts w:ascii="Times New Roman" w:eastAsia="Times New Roman" w:hAnsi="Times New Roman" w:cs="Times New Roman"/>
              <w:color w:val="000000"/>
              <w:sz w:val="24"/>
              <w:szCs w:val="24"/>
              <w:lang w:eastAsia="zh-CN"/>
            </w:rPr>
            <w:t xml:space="preserve">(8), 2629–2666. </w:t>
          </w:r>
          <w:hyperlink r:id="rId10" w:history="1">
            <w:r w:rsidR="0078752C" w:rsidRPr="000039C8">
              <w:rPr>
                <w:rStyle w:val="Hyperlink"/>
                <w:rFonts w:ascii="Times New Roman" w:eastAsia="Times New Roman" w:hAnsi="Times New Roman" w:cs="Times New Roman"/>
                <w:sz w:val="24"/>
                <w:szCs w:val="24"/>
                <w:lang w:eastAsia="zh-CN"/>
              </w:rPr>
              <w:t>https://doi.org/10.1177/01492063221110203</w:t>
            </w:r>
          </w:hyperlink>
        </w:p>
        <w:p w14:paraId="008E1273" w14:textId="5E245128"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Cai, C., </w:t>
          </w:r>
          <w:proofErr w:type="spellStart"/>
          <w:r w:rsidRPr="00286B2C">
            <w:rPr>
              <w:rFonts w:ascii="Times New Roman" w:eastAsia="Times New Roman" w:hAnsi="Times New Roman" w:cs="Times New Roman"/>
              <w:color w:val="000000"/>
              <w:sz w:val="24"/>
              <w:szCs w:val="24"/>
              <w:lang w:eastAsia="zh-CN"/>
            </w:rPr>
            <w:t>Hazaea</w:t>
          </w:r>
          <w:proofErr w:type="spellEnd"/>
          <w:r w:rsidRPr="00286B2C">
            <w:rPr>
              <w:rFonts w:ascii="Times New Roman" w:eastAsia="Times New Roman" w:hAnsi="Times New Roman" w:cs="Times New Roman"/>
              <w:color w:val="000000"/>
              <w:sz w:val="24"/>
              <w:szCs w:val="24"/>
              <w:lang w:eastAsia="zh-CN"/>
            </w:rPr>
            <w:t xml:space="preserve">, S. A., </w:t>
          </w:r>
          <w:proofErr w:type="spellStart"/>
          <w:r w:rsidRPr="00286B2C">
            <w:rPr>
              <w:rFonts w:ascii="Times New Roman" w:eastAsia="Times New Roman" w:hAnsi="Times New Roman" w:cs="Times New Roman"/>
              <w:color w:val="000000"/>
              <w:sz w:val="24"/>
              <w:szCs w:val="24"/>
              <w:lang w:eastAsia="zh-CN"/>
            </w:rPr>
            <w:t>Alsayegh</w:t>
          </w:r>
          <w:proofErr w:type="spellEnd"/>
          <w:r w:rsidRPr="00286B2C">
            <w:rPr>
              <w:rFonts w:ascii="Times New Roman" w:eastAsia="Times New Roman" w:hAnsi="Times New Roman" w:cs="Times New Roman"/>
              <w:color w:val="000000"/>
              <w:sz w:val="24"/>
              <w:szCs w:val="24"/>
              <w:lang w:eastAsia="zh-CN"/>
            </w:rPr>
            <w:t xml:space="preserve">, M. F., Sahu, M., Raid, M., &amp; Al-Ahdal, W. M. (2024). Media coverage as a moderator in the nexus between audit quality and ESG performance: Evidence from China. </w:t>
          </w:r>
          <w:proofErr w:type="spellStart"/>
          <w:r w:rsidRPr="00286B2C">
            <w:rPr>
              <w:rFonts w:ascii="Times New Roman" w:eastAsia="Times New Roman" w:hAnsi="Times New Roman" w:cs="Times New Roman"/>
              <w:i/>
              <w:iCs/>
              <w:color w:val="000000"/>
              <w:sz w:val="24"/>
              <w:szCs w:val="24"/>
              <w:lang w:eastAsia="zh-CN"/>
            </w:rPr>
            <w:t>PLoS</w:t>
          </w:r>
          <w:proofErr w:type="spellEnd"/>
          <w:r w:rsidRPr="00286B2C">
            <w:rPr>
              <w:rFonts w:ascii="Times New Roman" w:eastAsia="Times New Roman" w:hAnsi="Times New Roman" w:cs="Times New Roman"/>
              <w:i/>
              <w:iCs/>
              <w:color w:val="000000"/>
              <w:sz w:val="24"/>
              <w:szCs w:val="24"/>
              <w:lang w:eastAsia="zh-CN"/>
            </w:rPr>
            <w:t xml:space="preserve"> ONE</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19</w:t>
          </w:r>
          <w:r w:rsidRPr="00286B2C">
            <w:rPr>
              <w:rFonts w:ascii="Times New Roman" w:eastAsia="Times New Roman" w:hAnsi="Times New Roman" w:cs="Times New Roman"/>
              <w:color w:val="000000"/>
              <w:sz w:val="24"/>
              <w:szCs w:val="24"/>
              <w:lang w:eastAsia="zh-CN"/>
            </w:rPr>
            <w:t xml:space="preserve">(10). </w:t>
          </w:r>
          <w:hyperlink r:id="rId11" w:history="1">
            <w:r w:rsidR="0078752C" w:rsidRPr="000039C8">
              <w:rPr>
                <w:rStyle w:val="Hyperlink"/>
                <w:rFonts w:ascii="Times New Roman" w:eastAsia="Times New Roman" w:hAnsi="Times New Roman" w:cs="Times New Roman"/>
                <w:sz w:val="24"/>
                <w:szCs w:val="24"/>
                <w:lang w:eastAsia="zh-CN"/>
              </w:rPr>
              <w:t>https://doi.org/10.1371/journal.pone.0312510</w:t>
            </w:r>
          </w:hyperlink>
        </w:p>
        <w:p w14:paraId="29BB88C0" w14:textId="20854D00" w:rsidR="0078752C" w:rsidRDefault="0078752C" w:rsidP="007875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78752C">
            <w:rPr>
              <w:rFonts w:ascii="Times New Roman" w:eastAsia="Times New Roman" w:hAnsi="Times New Roman" w:cs="Times New Roman"/>
              <w:color w:val="000000"/>
              <w:sz w:val="24"/>
              <w:szCs w:val="24"/>
              <w:lang w:eastAsia="zh-CN"/>
            </w:rPr>
            <w:t>Chen, M. S., Chou, J. H., &amp; Chen, Y. J. (2024). Media Attention, ESG Performance and Firm Value: Evidence from Taiwan. </w:t>
          </w:r>
          <w:r w:rsidRPr="0078752C">
            <w:rPr>
              <w:rFonts w:ascii="Times New Roman" w:eastAsia="Times New Roman" w:hAnsi="Times New Roman" w:cs="Times New Roman"/>
              <w:i/>
              <w:iCs/>
              <w:color w:val="000000"/>
              <w:sz w:val="24"/>
              <w:szCs w:val="24"/>
              <w:lang w:eastAsia="zh-CN"/>
            </w:rPr>
            <w:t>International Review of Accounting, Banking &amp; Finance</w:t>
          </w:r>
          <w:r w:rsidRPr="0078752C">
            <w:rPr>
              <w:rFonts w:ascii="Times New Roman" w:eastAsia="Times New Roman" w:hAnsi="Times New Roman" w:cs="Times New Roman"/>
              <w:color w:val="000000"/>
              <w:sz w:val="24"/>
              <w:szCs w:val="24"/>
              <w:lang w:eastAsia="zh-CN"/>
            </w:rPr>
            <w:t>, </w:t>
          </w:r>
          <w:r w:rsidRPr="0078752C">
            <w:rPr>
              <w:rFonts w:ascii="Times New Roman" w:eastAsia="Times New Roman" w:hAnsi="Times New Roman" w:cs="Times New Roman"/>
              <w:i/>
              <w:iCs/>
              <w:color w:val="000000"/>
              <w:sz w:val="24"/>
              <w:szCs w:val="24"/>
              <w:lang w:eastAsia="zh-CN"/>
            </w:rPr>
            <w:t>16</w:t>
          </w:r>
          <w:r w:rsidRPr="0078752C">
            <w:rPr>
              <w:rFonts w:ascii="Times New Roman" w:eastAsia="Times New Roman" w:hAnsi="Times New Roman" w:cs="Times New Roman"/>
              <w:color w:val="000000"/>
              <w:sz w:val="24"/>
              <w:szCs w:val="24"/>
              <w:lang w:eastAsia="zh-CN"/>
            </w:rPr>
            <w:t>(4).</w:t>
          </w:r>
          <w:r w:rsidRPr="0078752C">
            <w:t xml:space="preserve"> </w:t>
          </w:r>
          <w:hyperlink r:id="rId12" w:history="1">
            <w:r w:rsidRPr="000039C8">
              <w:rPr>
                <w:rStyle w:val="Hyperlink"/>
                <w:rFonts w:ascii="Times New Roman" w:eastAsia="Times New Roman" w:hAnsi="Times New Roman" w:cs="Times New Roman"/>
                <w:sz w:val="24"/>
                <w:szCs w:val="24"/>
                <w:lang w:eastAsia="zh-CN"/>
              </w:rPr>
              <w:t>https://www.irabf.org/upload/journal/prog/1st%20%20%20%20%20Media%20Attention,%20ESG%20Performance%20and%20Firm%20Value.pdf</w:t>
            </w:r>
          </w:hyperlink>
        </w:p>
        <w:p w14:paraId="014720F9" w14:textId="74924059" w:rsidR="005F5CAF" w:rsidRDefault="005F5CAF" w:rsidP="007875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5F5CAF">
            <w:rPr>
              <w:rFonts w:ascii="Times New Roman" w:eastAsia="Times New Roman" w:hAnsi="Times New Roman" w:cs="Times New Roman"/>
              <w:color w:val="000000"/>
              <w:sz w:val="24"/>
              <w:szCs w:val="24"/>
              <w:lang w:eastAsia="zh-CN"/>
            </w:rPr>
            <w:t>Cheng, P. (2022). Institutional Investors in China: Problems and Prospects. </w:t>
          </w:r>
          <w:r w:rsidRPr="005F5CAF">
            <w:rPr>
              <w:rFonts w:ascii="Times New Roman" w:eastAsia="Times New Roman" w:hAnsi="Times New Roman" w:cs="Times New Roman"/>
              <w:i/>
              <w:iCs/>
              <w:color w:val="000000"/>
              <w:sz w:val="24"/>
              <w:szCs w:val="24"/>
              <w:lang w:eastAsia="zh-CN"/>
            </w:rPr>
            <w:t>Colum. Bus. L. Rev.</w:t>
          </w:r>
          <w:r w:rsidRPr="005F5CAF">
            <w:rPr>
              <w:rFonts w:ascii="Times New Roman" w:eastAsia="Times New Roman" w:hAnsi="Times New Roman" w:cs="Times New Roman"/>
              <w:color w:val="000000"/>
              <w:sz w:val="24"/>
              <w:szCs w:val="24"/>
              <w:lang w:eastAsia="zh-CN"/>
            </w:rPr>
            <w:t>, 664.</w:t>
          </w:r>
          <w:r w:rsidRPr="005F5CAF">
            <w:t xml:space="preserve"> </w:t>
          </w:r>
          <w:hyperlink r:id="rId13" w:history="1">
            <w:r w:rsidRPr="000039C8">
              <w:rPr>
                <w:rStyle w:val="Hyperlink"/>
                <w:rFonts w:ascii="Times New Roman" w:eastAsia="Times New Roman" w:hAnsi="Times New Roman" w:cs="Times New Roman"/>
                <w:sz w:val="24"/>
                <w:szCs w:val="24"/>
                <w:lang w:eastAsia="zh-CN"/>
              </w:rPr>
              <w:t>https://heinonline.org/HOL/LandingPage?handle=hein.journals/colb2022&amp;div=16&amp;id=&amp;page=</w:t>
            </w:r>
          </w:hyperlink>
        </w:p>
        <w:p w14:paraId="7DD2E7E2" w14:textId="1F16C363" w:rsidR="0078752C" w:rsidRPr="00286B2C" w:rsidRDefault="00286B2C" w:rsidP="007875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Cordeiro, L. (2009). </w:t>
          </w:r>
          <w:r w:rsidRPr="00286B2C">
            <w:rPr>
              <w:rFonts w:ascii="Times New Roman" w:eastAsia="Times New Roman" w:hAnsi="Times New Roman" w:cs="Times New Roman"/>
              <w:i/>
              <w:iCs/>
              <w:color w:val="000000"/>
              <w:sz w:val="24"/>
              <w:szCs w:val="24"/>
              <w:lang w:eastAsia="zh-CN"/>
            </w:rPr>
            <w:t>Managerial Overconfidence and Dividend Policy *</w:t>
          </w:r>
          <w:r w:rsidRPr="00286B2C">
            <w:rPr>
              <w:rFonts w:ascii="Times New Roman" w:eastAsia="Times New Roman" w:hAnsi="Times New Roman" w:cs="Times New Roman"/>
              <w:color w:val="000000"/>
              <w:sz w:val="24"/>
              <w:szCs w:val="24"/>
              <w:lang w:eastAsia="zh-CN"/>
            </w:rPr>
            <w:t>.</w:t>
          </w:r>
          <w:r w:rsidR="0078752C" w:rsidRPr="0078752C">
            <w:rPr>
              <w:rFonts w:ascii="Arial" w:hAnsi="Arial" w:cs="Arial"/>
              <w:i/>
              <w:iCs/>
              <w:color w:val="222222"/>
              <w:sz w:val="20"/>
              <w:szCs w:val="20"/>
              <w:shd w:val="clear" w:color="auto" w:fill="FFFFFF"/>
            </w:rPr>
            <w:t xml:space="preserve"> </w:t>
          </w:r>
          <w:r w:rsidR="0078752C" w:rsidRPr="0078752C">
            <w:rPr>
              <w:rFonts w:ascii="Times New Roman" w:eastAsia="Times New Roman" w:hAnsi="Times New Roman" w:cs="Times New Roman"/>
              <w:i/>
              <w:iCs/>
              <w:color w:val="000000"/>
              <w:sz w:val="24"/>
              <w:szCs w:val="24"/>
              <w:lang w:eastAsia="zh-CN"/>
            </w:rPr>
            <w:t>Available at SSRN 1343805</w:t>
          </w:r>
          <w:r w:rsidR="0078752C" w:rsidRPr="0078752C">
            <w:rPr>
              <w:rFonts w:ascii="Times New Roman" w:eastAsia="Times New Roman" w:hAnsi="Times New Roman" w:cs="Times New Roman"/>
              <w:color w:val="000000"/>
              <w:sz w:val="24"/>
              <w:szCs w:val="24"/>
              <w:lang w:eastAsia="zh-CN"/>
            </w:rPr>
            <w:t>.</w:t>
          </w:r>
        </w:p>
        <w:p w14:paraId="2CD629E2" w14:textId="27BD4CB7"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D’Amato, V., </w:t>
          </w:r>
          <w:proofErr w:type="spellStart"/>
          <w:r w:rsidRPr="00286B2C">
            <w:rPr>
              <w:rFonts w:ascii="Times New Roman" w:eastAsia="Times New Roman" w:hAnsi="Times New Roman" w:cs="Times New Roman"/>
              <w:color w:val="000000"/>
              <w:sz w:val="24"/>
              <w:szCs w:val="24"/>
              <w:lang w:eastAsia="zh-CN"/>
            </w:rPr>
            <w:t>D’Ecclesia</w:t>
          </w:r>
          <w:proofErr w:type="spellEnd"/>
          <w:r w:rsidRPr="00286B2C">
            <w:rPr>
              <w:rFonts w:ascii="Times New Roman" w:eastAsia="Times New Roman" w:hAnsi="Times New Roman" w:cs="Times New Roman"/>
              <w:color w:val="000000"/>
              <w:sz w:val="24"/>
              <w:szCs w:val="24"/>
              <w:lang w:eastAsia="zh-CN"/>
            </w:rPr>
            <w:t xml:space="preserve">, R., &amp; </w:t>
          </w:r>
          <w:proofErr w:type="spellStart"/>
          <w:r w:rsidRPr="00286B2C">
            <w:rPr>
              <w:rFonts w:ascii="Times New Roman" w:eastAsia="Times New Roman" w:hAnsi="Times New Roman" w:cs="Times New Roman"/>
              <w:color w:val="000000"/>
              <w:sz w:val="24"/>
              <w:szCs w:val="24"/>
              <w:lang w:eastAsia="zh-CN"/>
            </w:rPr>
            <w:t>Levantesi</w:t>
          </w:r>
          <w:proofErr w:type="spellEnd"/>
          <w:r w:rsidRPr="00286B2C">
            <w:rPr>
              <w:rFonts w:ascii="Times New Roman" w:eastAsia="Times New Roman" w:hAnsi="Times New Roman" w:cs="Times New Roman"/>
              <w:color w:val="000000"/>
              <w:sz w:val="24"/>
              <w:szCs w:val="24"/>
              <w:lang w:eastAsia="zh-CN"/>
            </w:rPr>
            <w:t xml:space="preserve">, S. (2024). Firms’ profitability and ESG score: A machine learning approach. </w:t>
          </w:r>
          <w:r w:rsidRPr="00286B2C">
            <w:rPr>
              <w:rFonts w:ascii="Times New Roman" w:eastAsia="Times New Roman" w:hAnsi="Times New Roman" w:cs="Times New Roman"/>
              <w:i/>
              <w:iCs/>
              <w:color w:val="000000"/>
              <w:sz w:val="24"/>
              <w:szCs w:val="24"/>
              <w:lang w:eastAsia="zh-CN"/>
            </w:rPr>
            <w:t>Applied Stochastic Models in Business and Industry</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40</w:t>
          </w:r>
          <w:r w:rsidRPr="00286B2C">
            <w:rPr>
              <w:rFonts w:ascii="Times New Roman" w:eastAsia="Times New Roman" w:hAnsi="Times New Roman" w:cs="Times New Roman"/>
              <w:color w:val="000000"/>
              <w:sz w:val="24"/>
              <w:szCs w:val="24"/>
              <w:lang w:eastAsia="zh-CN"/>
            </w:rPr>
            <w:t xml:space="preserve">(2), 243–261. </w:t>
          </w:r>
          <w:hyperlink r:id="rId14" w:history="1">
            <w:r w:rsidR="0078752C" w:rsidRPr="000039C8">
              <w:rPr>
                <w:rStyle w:val="Hyperlink"/>
                <w:rFonts w:ascii="Times New Roman" w:eastAsia="Times New Roman" w:hAnsi="Times New Roman" w:cs="Times New Roman"/>
                <w:sz w:val="24"/>
                <w:szCs w:val="24"/>
                <w:lang w:eastAsia="zh-CN"/>
              </w:rPr>
              <w:t>https://doi.org/10.1002/asmb.2758</w:t>
            </w:r>
          </w:hyperlink>
        </w:p>
        <w:p w14:paraId="6A288087" w14:textId="45A470A6" w:rsidR="00502314" w:rsidRDefault="00502314" w:rsidP="00C82CAE">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502314">
            <w:rPr>
              <w:rFonts w:ascii="Times New Roman" w:eastAsia="Times New Roman" w:hAnsi="Times New Roman" w:cs="Times New Roman"/>
              <w:color w:val="000000"/>
              <w:sz w:val="24"/>
              <w:szCs w:val="24"/>
              <w:lang w:eastAsia="zh-CN"/>
            </w:rPr>
            <w:t>Deshmukh, S., Goel, A. M., &amp; Howe, K. M. (2013). CEO overconfidence and dividend policy. </w:t>
          </w:r>
          <w:r w:rsidRPr="00502314">
            <w:rPr>
              <w:rFonts w:ascii="Times New Roman" w:eastAsia="Times New Roman" w:hAnsi="Times New Roman" w:cs="Times New Roman"/>
              <w:i/>
              <w:iCs/>
              <w:color w:val="000000"/>
              <w:sz w:val="24"/>
              <w:szCs w:val="24"/>
              <w:lang w:eastAsia="zh-CN"/>
            </w:rPr>
            <w:t>Journal of financial intermediation</w:t>
          </w:r>
          <w:r w:rsidRPr="00502314">
            <w:rPr>
              <w:rFonts w:ascii="Times New Roman" w:eastAsia="Times New Roman" w:hAnsi="Times New Roman" w:cs="Times New Roman"/>
              <w:color w:val="000000"/>
              <w:sz w:val="24"/>
              <w:szCs w:val="24"/>
              <w:lang w:eastAsia="zh-CN"/>
            </w:rPr>
            <w:t>, </w:t>
          </w:r>
          <w:r w:rsidRPr="00502314">
            <w:rPr>
              <w:rFonts w:ascii="Times New Roman" w:eastAsia="Times New Roman" w:hAnsi="Times New Roman" w:cs="Times New Roman"/>
              <w:i/>
              <w:iCs/>
              <w:color w:val="000000"/>
              <w:sz w:val="24"/>
              <w:szCs w:val="24"/>
              <w:lang w:eastAsia="zh-CN"/>
            </w:rPr>
            <w:t>22</w:t>
          </w:r>
          <w:r w:rsidRPr="00502314">
            <w:rPr>
              <w:rFonts w:ascii="Times New Roman" w:eastAsia="Times New Roman" w:hAnsi="Times New Roman" w:cs="Times New Roman"/>
              <w:color w:val="000000"/>
              <w:sz w:val="24"/>
              <w:szCs w:val="24"/>
              <w:lang w:eastAsia="zh-CN"/>
            </w:rPr>
            <w:t>(3), 440-463.</w:t>
          </w:r>
          <w:r w:rsidR="00C82CAE" w:rsidRPr="00C82CAE">
            <w:t xml:space="preserve"> </w:t>
          </w:r>
          <w:hyperlink r:id="rId15" w:tgtFrame="_blank" w:tooltip="Persistent link using digital object identifier" w:history="1">
            <w:r w:rsidR="00C82CAE" w:rsidRPr="00C82CAE">
              <w:rPr>
                <w:rStyle w:val="Hyperlink"/>
                <w:rFonts w:ascii="Times New Roman" w:eastAsia="Times New Roman" w:hAnsi="Times New Roman" w:cs="Times New Roman"/>
                <w:sz w:val="24"/>
                <w:szCs w:val="24"/>
                <w:lang w:eastAsia="zh-CN"/>
              </w:rPr>
              <w:t>https://doi.org/10.1016/j.jfi.2013.02.003</w:t>
            </w:r>
          </w:hyperlink>
        </w:p>
        <w:p w14:paraId="4F8854B3" w14:textId="5AD77549" w:rsidR="00286B2C" w:rsidRDefault="00286B2C" w:rsidP="00502314">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Dinh</w:t>
          </w:r>
          <w:proofErr w:type="spellEnd"/>
          <w:r w:rsidRPr="00286B2C">
            <w:rPr>
              <w:rFonts w:ascii="Times New Roman" w:eastAsia="Times New Roman" w:hAnsi="Times New Roman" w:cs="Times New Roman"/>
              <w:color w:val="000000"/>
              <w:sz w:val="24"/>
              <w:szCs w:val="24"/>
              <w:lang w:eastAsia="zh-CN"/>
            </w:rPr>
            <w:t xml:space="preserve"> Nguyen, D., To, T. H., Nguyen, D. Van, &amp; Phuong Do, H. (2021). Managerial overconfidence and dividend policy in Vietnamese enterprises. </w:t>
          </w:r>
          <w:r w:rsidRPr="00286B2C">
            <w:rPr>
              <w:rFonts w:ascii="Times New Roman" w:eastAsia="Times New Roman" w:hAnsi="Times New Roman" w:cs="Times New Roman"/>
              <w:i/>
              <w:iCs/>
              <w:color w:val="000000"/>
              <w:sz w:val="24"/>
              <w:szCs w:val="24"/>
              <w:lang w:eastAsia="zh-CN"/>
            </w:rPr>
            <w:t>Cogent Economics and Finance</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9</w:t>
          </w:r>
          <w:r w:rsidRPr="00286B2C">
            <w:rPr>
              <w:rFonts w:ascii="Times New Roman" w:eastAsia="Times New Roman" w:hAnsi="Times New Roman" w:cs="Times New Roman"/>
              <w:color w:val="000000"/>
              <w:sz w:val="24"/>
              <w:szCs w:val="24"/>
              <w:lang w:eastAsia="zh-CN"/>
            </w:rPr>
            <w:t xml:space="preserve">(1). </w:t>
          </w:r>
          <w:hyperlink r:id="rId16" w:history="1">
            <w:r w:rsidR="0078752C" w:rsidRPr="000039C8">
              <w:rPr>
                <w:rStyle w:val="Hyperlink"/>
                <w:rFonts w:ascii="Times New Roman" w:eastAsia="Times New Roman" w:hAnsi="Times New Roman" w:cs="Times New Roman"/>
                <w:sz w:val="24"/>
                <w:szCs w:val="24"/>
                <w:lang w:eastAsia="zh-CN"/>
              </w:rPr>
              <w:t>https://doi.org/10.1080/23322039.2021.1885195</w:t>
            </w:r>
          </w:hyperlink>
        </w:p>
        <w:p w14:paraId="3C2636A3" w14:textId="0AC39A32"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lastRenderedPageBreak/>
            <w:t>Drempetic</w:t>
          </w:r>
          <w:proofErr w:type="spellEnd"/>
          <w:r w:rsidRPr="00286B2C">
            <w:rPr>
              <w:rFonts w:ascii="Times New Roman" w:eastAsia="Times New Roman" w:hAnsi="Times New Roman" w:cs="Times New Roman"/>
              <w:color w:val="000000"/>
              <w:sz w:val="24"/>
              <w:szCs w:val="24"/>
              <w:lang w:eastAsia="zh-CN"/>
            </w:rPr>
            <w:t xml:space="preserve">, S., Klein, C., &amp; </w:t>
          </w:r>
          <w:proofErr w:type="spellStart"/>
          <w:r w:rsidRPr="00286B2C">
            <w:rPr>
              <w:rFonts w:ascii="Times New Roman" w:eastAsia="Times New Roman" w:hAnsi="Times New Roman" w:cs="Times New Roman"/>
              <w:color w:val="000000"/>
              <w:sz w:val="24"/>
              <w:szCs w:val="24"/>
              <w:lang w:eastAsia="zh-CN"/>
            </w:rPr>
            <w:t>Zwergel</w:t>
          </w:r>
          <w:proofErr w:type="spellEnd"/>
          <w:r w:rsidRPr="00286B2C">
            <w:rPr>
              <w:rFonts w:ascii="Times New Roman" w:eastAsia="Times New Roman" w:hAnsi="Times New Roman" w:cs="Times New Roman"/>
              <w:color w:val="000000"/>
              <w:sz w:val="24"/>
              <w:szCs w:val="24"/>
              <w:lang w:eastAsia="zh-CN"/>
            </w:rPr>
            <w:t xml:space="preserve">, B. (2020). The Influence of Firm Size on the ESG Score: Corporate Sustainability Ratings Under Review. </w:t>
          </w:r>
          <w:r w:rsidRPr="00286B2C">
            <w:rPr>
              <w:rFonts w:ascii="Times New Roman" w:eastAsia="Times New Roman" w:hAnsi="Times New Roman" w:cs="Times New Roman"/>
              <w:i/>
              <w:iCs/>
              <w:color w:val="000000"/>
              <w:sz w:val="24"/>
              <w:szCs w:val="24"/>
              <w:lang w:eastAsia="zh-CN"/>
            </w:rPr>
            <w:t>Journal of Business Ethics</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167</w:t>
          </w:r>
          <w:r w:rsidRPr="00286B2C">
            <w:rPr>
              <w:rFonts w:ascii="Times New Roman" w:eastAsia="Times New Roman" w:hAnsi="Times New Roman" w:cs="Times New Roman"/>
              <w:color w:val="000000"/>
              <w:sz w:val="24"/>
              <w:szCs w:val="24"/>
              <w:lang w:eastAsia="zh-CN"/>
            </w:rPr>
            <w:t xml:space="preserve">(2), 333–360. </w:t>
          </w:r>
          <w:hyperlink r:id="rId17" w:history="1">
            <w:r w:rsidR="00A0436C" w:rsidRPr="000039C8">
              <w:rPr>
                <w:rStyle w:val="Hyperlink"/>
                <w:rFonts w:ascii="Times New Roman" w:eastAsia="Times New Roman" w:hAnsi="Times New Roman" w:cs="Times New Roman"/>
                <w:sz w:val="24"/>
                <w:szCs w:val="24"/>
                <w:lang w:eastAsia="zh-CN"/>
              </w:rPr>
              <w:t>https://doi.org/10.1007/s10551-019-04164-1</w:t>
            </w:r>
          </w:hyperlink>
        </w:p>
        <w:p w14:paraId="48DC96AD" w14:textId="1A3D9FB9" w:rsidR="00A0436C" w:rsidRPr="00286B2C" w:rsidRDefault="00A0436C" w:rsidP="00741958">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A0436C">
            <w:rPr>
              <w:rFonts w:ascii="Times New Roman" w:eastAsia="Times New Roman" w:hAnsi="Times New Roman" w:cs="Times New Roman"/>
              <w:color w:val="000000"/>
              <w:sz w:val="24"/>
              <w:szCs w:val="24"/>
              <w:lang w:eastAsia="zh-CN"/>
            </w:rPr>
            <w:t>Du, J., Zhu, R., &amp; Ye, Q. (2025). Managers' overconfidence, institutional investors' shareholding, and corporate ESG performance. </w:t>
          </w:r>
          <w:r w:rsidRPr="00A0436C">
            <w:rPr>
              <w:rFonts w:ascii="Times New Roman" w:eastAsia="Times New Roman" w:hAnsi="Times New Roman" w:cs="Times New Roman"/>
              <w:i/>
              <w:iCs/>
              <w:color w:val="000000"/>
              <w:sz w:val="24"/>
              <w:szCs w:val="24"/>
              <w:lang w:eastAsia="zh-CN"/>
            </w:rPr>
            <w:t>Finance Research Letters</w:t>
          </w:r>
          <w:r w:rsidRPr="00A0436C">
            <w:rPr>
              <w:rFonts w:ascii="Times New Roman" w:eastAsia="Times New Roman" w:hAnsi="Times New Roman" w:cs="Times New Roman"/>
              <w:color w:val="000000"/>
              <w:sz w:val="24"/>
              <w:szCs w:val="24"/>
              <w:lang w:eastAsia="zh-CN"/>
            </w:rPr>
            <w:t>, </w:t>
          </w:r>
          <w:r w:rsidRPr="00A0436C">
            <w:rPr>
              <w:rFonts w:ascii="Times New Roman" w:eastAsia="Times New Roman" w:hAnsi="Times New Roman" w:cs="Times New Roman"/>
              <w:i/>
              <w:iCs/>
              <w:color w:val="000000"/>
              <w:sz w:val="24"/>
              <w:szCs w:val="24"/>
              <w:lang w:eastAsia="zh-CN"/>
            </w:rPr>
            <w:t>72</w:t>
          </w:r>
          <w:r w:rsidRPr="00A0436C">
            <w:rPr>
              <w:rFonts w:ascii="Times New Roman" w:eastAsia="Times New Roman" w:hAnsi="Times New Roman" w:cs="Times New Roman"/>
              <w:color w:val="000000"/>
              <w:sz w:val="24"/>
              <w:szCs w:val="24"/>
              <w:lang w:eastAsia="zh-CN"/>
            </w:rPr>
            <w:t>, 106594.</w:t>
          </w:r>
          <w:r w:rsidR="00741958" w:rsidRPr="00741958">
            <w:t xml:space="preserve"> </w:t>
          </w:r>
          <w:hyperlink r:id="rId18" w:tgtFrame="_blank" w:tooltip="Persistent link using digital object identifier" w:history="1">
            <w:r w:rsidR="00741958" w:rsidRPr="00741958">
              <w:rPr>
                <w:rStyle w:val="Hyperlink"/>
                <w:rFonts w:ascii="Times New Roman" w:eastAsia="Times New Roman" w:hAnsi="Times New Roman" w:cs="Times New Roman"/>
                <w:sz w:val="24"/>
                <w:szCs w:val="24"/>
                <w:lang w:eastAsia="zh-CN"/>
              </w:rPr>
              <w:t>https://doi.org/10.1016/j.frl.2024.106594</w:t>
            </w:r>
          </w:hyperlink>
        </w:p>
        <w:p w14:paraId="5B879D90" w14:textId="59CA2D12" w:rsidR="00CF4658" w:rsidRDefault="00CF4658" w:rsidP="00CF4658">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CF4658">
            <w:rPr>
              <w:rFonts w:ascii="Times New Roman" w:eastAsia="Times New Roman" w:hAnsi="Times New Roman" w:cs="Times New Roman"/>
              <w:color w:val="000000"/>
              <w:sz w:val="24"/>
              <w:szCs w:val="24"/>
              <w:lang w:eastAsia="zh-CN"/>
            </w:rPr>
            <w:t xml:space="preserve">Dunning, D., Griffin, D. W., </w:t>
          </w:r>
          <w:proofErr w:type="spellStart"/>
          <w:r w:rsidRPr="00CF4658">
            <w:rPr>
              <w:rFonts w:ascii="Times New Roman" w:eastAsia="Times New Roman" w:hAnsi="Times New Roman" w:cs="Times New Roman"/>
              <w:color w:val="000000"/>
              <w:sz w:val="24"/>
              <w:szCs w:val="24"/>
              <w:lang w:eastAsia="zh-CN"/>
            </w:rPr>
            <w:t>Milojkovic</w:t>
          </w:r>
          <w:proofErr w:type="spellEnd"/>
          <w:r w:rsidRPr="00CF4658">
            <w:rPr>
              <w:rFonts w:ascii="Times New Roman" w:eastAsia="Times New Roman" w:hAnsi="Times New Roman" w:cs="Times New Roman"/>
              <w:color w:val="000000"/>
              <w:sz w:val="24"/>
              <w:szCs w:val="24"/>
              <w:lang w:eastAsia="zh-CN"/>
            </w:rPr>
            <w:t>, J. D., &amp; Ross, L. (1990). The overconfidence effect in social prediction. </w:t>
          </w:r>
          <w:r w:rsidRPr="00CF4658">
            <w:rPr>
              <w:rFonts w:ascii="Times New Roman" w:eastAsia="Times New Roman" w:hAnsi="Times New Roman" w:cs="Times New Roman"/>
              <w:i/>
              <w:iCs/>
              <w:color w:val="000000"/>
              <w:sz w:val="24"/>
              <w:szCs w:val="24"/>
              <w:lang w:eastAsia="zh-CN"/>
            </w:rPr>
            <w:t>Journal of personality and social psychology</w:t>
          </w:r>
          <w:r w:rsidRPr="00CF4658">
            <w:rPr>
              <w:rFonts w:ascii="Times New Roman" w:eastAsia="Times New Roman" w:hAnsi="Times New Roman" w:cs="Times New Roman"/>
              <w:color w:val="000000"/>
              <w:sz w:val="24"/>
              <w:szCs w:val="24"/>
              <w:lang w:eastAsia="zh-CN"/>
            </w:rPr>
            <w:t>, </w:t>
          </w:r>
          <w:r w:rsidRPr="00CF4658">
            <w:rPr>
              <w:rFonts w:ascii="Times New Roman" w:eastAsia="Times New Roman" w:hAnsi="Times New Roman" w:cs="Times New Roman"/>
              <w:i/>
              <w:iCs/>
              <w:color w:val="000000"/>
              <w:sz w:val="24"/>
              <w:szCs w:val="24"/>
              <w:lang w:eastAsia="zh-CN"/>
            </w:rPr>
            <w:t>58</w:t>
          </w:r>
          <w:r w:rsidRPr="00CF4658">
            <w:rPr>
              <w:rFonts w:ascii="Times New Roman" w:eastAsia="Times New Roman" w:hAnsi="Times New Roman" w:cs="Times New Roman"/>
              <w:color w:val="000000"/>
              <w:sz w:val="24"/>
              <w:szCs w:val="24"/>
              <w:lang w:eastAsia="zh-CN"/>
            </w:rPr>
            <w:t>(4), 568.</w:t>
          </w:r>
          <w:r w:rsidRPr="00CF4658">
            <w:t xml:space="preserve"> </w:t>
          </w:r>
          <w:hyperlink r:id="rId19" w:history="1">
            <w:r w:rsidR="0078752C" w:rsidRPr="000039C8">
              <w:rPr>
                <w:rStyle w:val="Hyperlink"/>
                <w:rFonts w:ascii="Times New Roman" w:eastAsia="Times New Roman" w:hAnsi="Times New Roman" w:cs="Times New Roman"/>
                <w:sz w:val="24"/>
                <w:szCs w:val="24"/>
                <w:lang w:eastAsia="zh-CN"/>
              </w:rPr>
              <w:t>https://psycnet.apa.org/buy/1990-22524-001</w:t>
            </w:r>
          </w:hyperlink>
        </w:p>
        <w:p w14:paraId="0607BF8E" w14:textId="5A95D65E" w:rsidR="00286B2C" w:rsidRPr="00286B2C" w:rsidRDefault="00E86DAB" w:rsidP="00200430">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E86DAB">
            <w:rPr>
              <w:rFonts w:ascii="Times New Roman" w:eastAsia="Times New Roman" w:hAnsi="Times New Roman" w:cs="Times New Roman"/>
              <w:color w:val="000000"/>
              <w:sz w:val="24"/>
              <w:szCs w:val="24"/>
              <w:lang w:eastAsia="zh-CN"/>
            </w:rPr>
            <w:t>Eliwa</w:t>
          </w:r>
          <w:proofErr w:type="spellEnd"/>
          <w:r w:rsidRPr="00E86DAB">
            <w:rPr>
              <w:rFonts w:ascii="Times New Roman" w:eastAsia="Times New Roman" w:hAnsi="Times New Roman" w:cs="Times New Roman"/>
              <w:color w:val="000000"/>
              <w:sz w:val="24"/>
              <w:szCs w:val="24"/>
              <w:lang w:eastAsia="zh-CN"/>
            </w:rPr>
            <w:t xml:space="preserve">, Y., &amp; </w:t>
          </w:r>
          <w:proofErr w:type="spellStart"/>
          <w:r w:rsidRPr="00E86DAB">
            <w:rPr>
              <w:rFonts w:ascii="Times New Roman" w:eastAsia="Times New Roman" w:hAnsi="Times New Roman" w:cs="Times New Roman"/>
              <w:color w:val="000000"/>
              <w:sz w:val="24"/>
              <w:szCs w:val="24"/>
              <w:lang w:eastAsia="zh-CN"/>
            </w:rPr>
            <w:t>Elmaghrabi</w:t>
          </w:r>
          <w:proofErr w:type="spellEnd"/>
          <w:r w:rsidRPr="00E86DAB">
            <w:rPr>
              <w:rFonts w:ascii="Times New Roman" w:eastAsia="Times New Roman" w:hAnsi="Times New Roman" w:cs="Times New Roman"/>
              <w:color w:val="000000"/>
              <w:sz w:val="24"/>
              <w:szCs w:val="24"/>
              <w:lang w:eastAsia="zh-CN"/>
            </w:rPr>
            <w:t>, M. E. (2025). Investment Horizons and ESG Decoupling: Distinct Roles of Long-Term and Short-Term Institutional Investors. </w:t>
          </w:r>
          <w:r w:rsidRPr="00E86DAB">
            <w:rPr>
              <w:rFonts w:ascii="Times New Roman" w:eastAsia="Times New Roman" w:hAnsi="Times New Roman" w:cs="Times New Roman"/>
              <w:i/>
              <w:iCs/>
              <w:color w:val="000000"/>
              <w:sz w:val="24"/>
              <w:szCs w:val="24"/>
              <w:lang w:eastAsia="zh-CN"/>
            </w:rPr>
            <w:t>Economics Letters</w:t>
          </w:r>
          <w:r w:rsidRPr="00E86DAB">
            <w:rPr>
              <w:rFonts w:ascii="Times New Roman" w:eastAsia="Times New Roman" w:hAnsi="Times New Roman" w:cs="Times New Roman"/>
              <w:color w:val="000000"/>
              <w:sz w:val="24"/>
              <w:szCs w:val="24"/>
              <w:lang w:eastAsia="zh-CN"/>
            </w:rPr>
            <w:t>, 112207</w:t>
          </w:r>
          <w:r w:rsidR="00286B2C" w:rsidRPr="00286B2C">
            <w:rPr>
              <w:rFonts w:ascii="Times New Roman" w:eastAsia="Times New Roman" w:hAnsi="Times New Roman" w:cs="Times New Roman"/>
              <w:color w:val="000000"/>
              <w:sz w:val="24"/>
              <w:szCs w:val="24"/>
              <w:lang w:eastAsia="zh-CN"/>
            </w:rPr>
            <w:t xml:space="preserve">. </w:t>
          </w:r>
          <w:hyperlink r:id="rId20" w:tgtFrame="_blank" w:tooltip="Persistent link using digital object identifier" w:history="1">
            <w:r w:rsidR="00200430" w:rsidRPr="00200430">
              <w:rPr>
                <w:rStyle w:val="Hyperlink"/>
                <w:rFonts w:ascii="Times New Roman" w:eastAsia="Times New Roman" w:hAnsi="Times New Roman" w:cs="Times New Roman"/>
                <w:sz w:val="24"/>
                <w:szCs w:val="24"/>
                <w:lang w:eastAsia="zh-CN"/>
              </w:rPr>
              <w:t>https://doi.org/10.1016/j.econlet.2025.112207</w:t>
            </w:r>
          </w:hyperlink>
        </w:p>
        <w:p w14:paraId="4563673C" w14:textId="45C1EE6E" w:rsidR="005E517C" w:rsidRDefault="005E517C" w:rsidP="005E517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5E517C">
            <w:rPr>
              <w:rFonts w:ascii="Times New Roman" w:eastAsia="Times New Roman" w:hAnsi="Times New Roman" w:cs="Times New Roman"/>
              <w:color w:val="000000"/>
              <w:sz w:val="24"/>
              <w:szCs w:val="24"/>
              <w:lang w:eastAsia="zh-CN"/>
            </w:rPr>
            <w:t xml:space="preserve">Ferris, S. P., Jayaraman, N., &amp; </w:t>
          </w:r>
          <w:proofErr w:type="spellStart"/>
          <w:r w:rsidRPr="005E517C">
            <w:rPr>
              <w:rFonts w:ascii="Times New Roman" w:eastAsia="Times New Roman" w:hAnsi="Times New Roman" w:cs="Times New Roman"/>
              <w:color w:val="000000"/>
              <w:sz w:val="24"/>
              <w:szCs w:val="24"/>
              <w:lang w:eastAsia="zh-CN"/>
            </w:rPr>
            <w:t>Sabherwal</w:t>
          </w:r>
          <w:proofErr w:type="spellEnd"/>
          <w:r w:rsidRPr="005E517C">
            <w:rPr>
              <w:rFonts w:ascii="Times New Roman" w:eastAsia="Times New Roman" w:hAnsi="Times New Roman" w:cs="Times New Roman"/>
              <w:color w:val="000000"/>
              <w:sz w:val="24"/>
              <w:szCs w:val="24"/>
              <w:lang w:eastAsia="zh-CN"/>
            </w:rPr>
            <w:t>, S. (2013). CEO overconfidence and international merger and acquisition activity. Journal of Financial and Quantitative Analysis, 48(1), 137-164.</w:t>
          </w:r>
          <w:r w:rsidRPr="005E517C">
            <w:rPr>
              <w:rFonts w:ascii="Times New Roman" w:eastAsia="Times New Roman" w:hAnsi="Times New Roman" w:cs="Times New Roman"/>
              <w:color w:val="000000"/>
              <w:sz w:val="24"/>
              <w:szCs w:val="24"/>
              <w:lang w:eastAsia="zh-CN"/>
            </w:rPr>
            <w:t xml:space="preserve"> </w:t>
          </w:r>
          <w:hyperlink r:id="rId21" w:tgtFrame="_blank" w:history="1">
            <w:r w:rsidRPr="005E517C">
              <w:rPr>
                <w:rStyle w:val="Hyperlink"/>
                <w:rFonts w:ascii="Times New Roman" w:eastAsia="Times New Roman" w:hAnsi="Times New Roman" w:cs="Times New Roman"/>
                <w:sz w:val="24"/>
                <w:szCs w:val="24"/>
                <w:lang w:eastAsia="zh-CN"/>
              </w:rPr>
              <w:t>https://doi.org/10.1017/S0022109013000069</w:t>
            </w:r>
          </w:hyperlink>
        </w:p>
        <w:p w14:paraId="22E094A5" w14:textId="5A5D46CA"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Fiorillo</w:t>
          </w:r>
          <w:proofErr w:type="spellEnd"/>
          <w:r w:rsidRPr="00286B2C">
            <w:rPr>
              <w:rFonts w:ascii="Times New Roman" w:eastAsia="Times New Roman" w:hAnsi="Times New Roman" w:cs="Times New Roman"/>
              <w:color w:val="000000"/>
              <w:sz w:val="24"/>
              <w:szCs w:val="24"/>
              <w:lang w:eastAsia="zh-CN"/>
            </w:rPr>
            <w:t xml:space="preserve">, P., &amp; Santilli, G. (2024). The influence of shareholder ESG performance on corporate sustainability: Exploring the role of ownership structure. </w:t>
          </w:r>
          <w:r w:rsidRPr="00286B2C">
            <w:rPr>
              <w:rFonts w:ascii="Times New Roman" w:eastAsia="Times New Roman" w:hAnsi="Times New Roman" w:cs="Times New Roman"/>
              <w:i/>
              <w:iCs/>
              <w:color w:val="000000"/>
              <w:sz w:val="24"/>
              <w:szCs w:val="24"/>
              <w:lang w:eastAsia="zh-CN"/>
            </w:rPr>
            <w:t>Finance Research Letters</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67</w:t>
          </w:r>
          <w:r w:rsidRPr="00286B2C">
            <w:rPr>
              <w:rFonts w:ascii="Times New Roman" w:eastAsia="Times New Roman" w:hAnsi="Times New Roman" w:cs="Times New Roman"/>
              <w:color w:val="000000"/>
              <w:sz w:val="24"/>
              <w:szCs w:val="24"/>
              <w:lang w:eastAsia="zh-CN"/>
            </w:rPr>
            <w:t xml:space="preserve">. </w:t>
          </w:r>
          <w:hyperlink r:id="rId22" w:history="1">
            <w:r w:rsidR="0078752C" w:rsidRPr="000039C8">
              <w:rPr>
                <w:rStyle w:val="Hyperlink"/>
                <w:rFonts w:ascii="Times New Roman" w:eastAsia="Times New Roman" w:hAnsi="Times New Roman" w:cs="Times New Roman"/>
                <w:sz w:val="24"/>
                <w:szCs w:val="24"/>
                <w:lang w:eastAsia="zh-CN"/>
              </w:rPr>
              <w:t>https://doi.org/10.1016/j.frl.2024.105800</w:t>
            </w:r>
          </w:hyperlink>
        </w:p>
        <w:p w14:paraId="1CB3383D" w14:textId="3FFD98D9"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Galasso Timothy Simcoe, A. S., Cockburn, I., Goldfarb, A., Ho, T., Hossain, T., Kramer, L., </w:t>
          </w:r>
          <w:proofErr w:type="spellStart"/>
          <w:r w:rsidRPr="00286B2C">
            <w:rPr>
              <w:rFonts w:ascii="Times New Roman" w:eastAsia="Times New Roman" w:hAnsi="Times New Roman" w:cs="Times New Roman"/>
              <w:color w:val="000000"/>
              <w:sz w:val="24"/>
              <w:szCs w:val="24"/>
              <w:lang w:eastAsia="zh-CN"/>
            </w:rPr>
            <w:t>Schankerman</w:t>
          </w:r>
          <w:proofErr w:type="spellEnd"/>
          <w:r w:rsidRPr="00286B2C">
            <w:rPr>
              <w:rFonts w:ascii="Times New Roman" w:eastAsia="Times New Roman" w:hAnsi="Times New Roman" w:cs="Times New Roman"/>
              <w:color w:val="000000"/>
              <w:sz w:val="24"/>
              <w:szCs w:val="24"/>
              <w:lang w:eastAsia="zh-CN"/>
            </w:rPr>
            <w:t xml:space="preserve">, M., Shi, X., Xiao, M., Galasso, A., Simcoe, T. S., &amp; Timothy Simcoe, R. S. (2010). </w:t>
          </w:r>
          <w:r w:rsidRPr="00286B2C">
            <w:rPr>
              <w:rFonts w:ascii="Times New Roman" w:eastAsia="Times New Roman" w:hAnsi="Times New Roman" w:cs="Times New Roman"/>
              <w:i/>
              <w:iCs/>
              <w:color w:val="000000"/>
              <w:sz w:val="24"/>
              <w:szCs w:val="24"/>
              <w:lang w:eastAsia="zh-CN"/>
            </w:rPr>
            <w:t>NBER WORKING PAPER SERIES CEO OVERCONFIDENCE AND INNOVATION</w:t>
          </w:r>
          <w:r w:rsidRPr="00286B2C">
            <w:rPr>
              <w:rFonts w:ascii="Times New Roman" w:eastAsia="Times New Roman" w:hAnsi="Times New Roman" w:cs="Times New Roman"/>
              <w:color w:val="000000"/>
              <w:sz w:val="24"/>
              <w:szCs w:val="24"/>
              <w:lang w:eastAsia="zh-CN"/>
            </w:rPr>
            <w:t xml:space="preserve">. </w:t>
          </w:r>
          <w:hyperlink r:id="rId23" w:history="1">
            <w:r w:rsidR="0078752C" w:rsidRPr="000039C8">
              <w:rPr>
                <w:rStyle w:val="Hyperlink"/>
                <w:rFonts w:ascii="Times New Roman" w:eastAsia="Times New Roman" w:hAnsi="Times New Roman" w:cs="Times New Roman"/>
                <w:sz w:val="24"/>
                <w:szCs w:val="24"/>
                <w:lang w:eastAsia="zh-CN"/>
              </w:rPr>
              <w:t>http://www.nber.org/papers/w16041</w:t>
            </w:r>
          </w:hyperlink>
        </w:p>
        <w:p w14:paraId="27E05636" w14:textId="31ADFE38" w:rsidR="00E73860" w:rsidRDefault="00E73860" w:rsidP="00E73860">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E73860">
            <w:rPr>
              <w:rFonts w:ascii="Times New Roman" w:eastAsia="Times New Roman" w:hAnsi="Times New Roman" w:cs="Times New Roman"/>
              <w:color w:val="000000"/>
              <w:sz w:val="24"/>
              <w:szCs w:val="24"/>
              <w:lang w:eastAsia="zh-CN"/>
            </w:rPr>
            <w:t xml:space="preserve">Gervais, S., Heaton, J. B., &amp; </w:t>
          </w:r>
          <w:proofErr w:type="spellStart"/>
          <w:r w:rsidRPr="00E73860">
            <w:rPr>
              <w:rFonts w:ascii="Times New Roman" w:eastAsia="Times New Roman" w:hAnsi="Times New Roman" w:cs="Times New Roman"/>
              <w:color w:val="000000"/>
              <w:sz w:val="24"/>
              <w:szCs w:val="24"/>
              <w:lang w:eastAsia="zh-CN"/>
            </w:rPr>
            <w:t>Odean</w:t>
          </w:r>
          <w:proofErr w:type="spellEnd"/>
          <w:r w:rsidRPr="00E73860">
            <w:rPr>
              <w:rFonts w:ascii="Times New Roman" w:eastAsia="Times New Roman" w:hAnsi="Times New Roman" w:cs="Times New Roman"/>
              <w:color w:val="000000"/>
              <w:sz w:val="24"/>
              <w:szCs w:val="24"/>
              <w:lang w:eastAsia="zh-CN"/>
            </w:rPr>
            <w:t>, T. (2011). Overconfidence, compensation contracts, and capital budgeting. </w:t>
          </w:r>
          <w:r w:rsidRPr="00E73860">
            <w:rPr>
              <w:rFonts w:ascii="Times New Roman" w:eastAsia="Times New Roman" w:hAnsi="Times New Roman" w:cs="Times New Roman"/>
              <w:i/>
              <w:iCs/>
              <w:color w:val="000000"/>
              <w:sz w:val="24"/>
              <w:szCs w:val="24"/>
              <w:lang w:eastAsia="zh-CN"/>
            </w:rPr>
            <w:t>The Journal of Finance</w:t>
          </w:r>
          <w:r w:rsidRPr="00E73860">
            <w:rPr>
              <w:rFonts w:ascii="Times New Roman" w:eastAsia="Times New Roman" w:hAnsi="Times New Roman" w:cs="Times New Roman"/>
              <w:color w:val="000000"/>
              <w:sz w:val="24"/>
              <w:szCs w:val="24"/>
              <w:lang w:eastAsia="zh-CN"/>
            </w:rPr>
            <w:t>, </w:t>
          </w:r>
          <w:r w:rsidRPr="00E73860">
            <w:rPr>
              <w:rFonts w:ascii="Times New Roman" w:eastAsia="Times New Roman" w:hAnsi="Times New Roman" w:cs="Times New Roman"/>
              <w:i/>
              <w:iCs/>
              <w:color w:val="000000"/>
              <w:sz w:val="24"/>
              <w:szCs w:val="24"/>
              <w:lang w:eastAsia="zh-CN"/>
            </w:rPr>
            <w:t>66</w:t>
          </w:r>
          <w:r w:rsidRPr="00E73860">
            <w:rPr>
              <w:rFonts w:ascii="Times New Roman" w:eastAsia="Times New Roman" w:hAnsi="Times New Roman" w:cs="Times New Roman"/>
              <w:color w:val="000000"/>
              <w:sz w:val="24"/>
              <w:szCs w:val="24"/>
              <w:lang w:eastAsia="zh-CN"/>
            </w:rPr>
            <w:t xml:space="preserve">(5), 1735-1777. </w:t>
          </w:r>
          <w:hyperlink r:id="rId24" w:history="1">
            <w:r w:rsidRPr="000039C8">
              <w:rPr>
                <w:rStyle w:val="Hyperlink"/>
                <w:rFonts w:ascii="Times New Roman" w:eastAsia="Times New Roman" w:hAnsi="Times New Roman" w:cs="Times New Roman"/>
                <w:sz w:val="24"/>
                <w:szCs w:val="24"/>
                <w:lang w:eastAsia="zh-CN"/>
              </w:rPr>
              <w:t>https://doi.org/10.1111/j.1540-6261.2011.01686.x</w:t>
            </w:r>
          </w:hyperlink>
        </w:p>
        <w:p w14:paraId="4F9A4D24" w14:textId="4ADE1AC2" w:rsidR="00286B2C" w:rsidRDefault="00286B2C" w:rsidP="00E73860">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Gong, X. (2024). Environmental, Social and Governance (ESG) Development Status and Outlook. </w:t>
          </w:r>
          <w:r w:rsidRPr="00286B2C">
            <w:rPr>
              <w:rFonts w:ascii="Times New Roman" w:eastAsia="Times New Roman" w:hAnsi="Times New Roman" w:cs="Times New Roman"/>
              <w:i/>
              <w:iCs/>
              <w:color w:val="000000"/>
              <w:sz w:val="24"/>
              <w:szCs w:val="24"/>
              <w:lang w:eastAsia="zh-CN"/>
            </w:rPr>
            <w:t>Finance &amp;amp; Economics</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w:t>
          </w:r>
          <w:r w:rsidRPr="00286B2C">
            <w:rPr>
              <w:rFonts w:ascii="Times New Roman" w:eastAsia="Times New Roman" w:hAnsi="Times New Roman" w:cs="Times New Roman"/>
              <w:color w:val="000000"/>
              <w:sz w:val="24"/>
              <w:szCs w:val="24"/>
              <w:lang w:eastAsia="zh-CN"/>
            </w:rPr>
            <w:t xml:space="preserve">(7). </w:t>
          </w:r>
          <w:hyperlink r:id="rId25" w:history="1">
            <w:r w:rsidR="0078752C" w:rsidRPr="000039C8">
              <w:rPr>
                <w:rStyle w:val="Hyperlink"/>
                <w:rFonts w:ascii="Times New Roman" w:eastAsia="Times New Roman" w:hAnsi="Times New Roman" w:cs="Times New Roman"/>
                <w:sz w:val="24"/>
                <w:szCs w:val="24"/>
                <w:lang w:eastAsia="zh-CN"/>
              </w:rPr>
              <w:t>https://doi.org/10.61173/wsc71495</w:t>
            </w:r>
          </w:hyperlink>
        </w:p>
        <w:p w14:paraId="6D8E42A1" w14:textId="5F56C8A4"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Hatoum</w:t>
          </w:r>
          <w:proofErr w:type="spellEnd"/>
          <w:r w:rsidRPr="00286B2C">
            <w:rPr>
              <w:rFonts w:ascii="Times New Roman" w:eastAsia="Times New Roman" w:hAnsi="Times New Roman" w:cs="Times New Roman"/>
              <w:color w:val="000000"/>
              <w:sz w:val="24"/>
              <w:szCs w:val="24"/>
              <w:lang w:eastAsia="zh-CN"/>
            </w:rPr>
            <w:t xml:space="preserve">, K., </w:t>
          </w:r>
          <w:proofErr w:type="spellStart"/>
          <w:r w:rsidRPr="00286B2C">
            <w:rPr>
              <w:rFonts w:ascii="Times New Roman" w:eastAsia="Times New Roman" w:hAnsi="Times New Roman" w:cs="Times New Roman"/>
              <w:color w:val="000000"/>
              <w:sz w:val="24"/>
              <w:szCs w:val="24"/>
              <w:lang w:eastAsia="zh-CN"/>
            </w:rPr>
            <w:t>Moussu</w:t>
          </w:r>
          <w:proofErr w:type="spellEnd"/>
          <w:r w:rsidRPr="00286B2C">
            <w:rPr>
              <w:rFonts w:ascii="Times New Roman" w:eastAsia="Times New Roman" w:hAnsi="Times New Roman" w:cs="Times New Roman"/>
              <w:color w:val="000000"/>
              <w:sz w:val="24"/>
              <w:szCs w:val="24"/>
              <w:lang w:eastAsia="zh-CN"/>
            </w:rPr>
            <w:t xml:space="preserve">, C., &amp; Gillet, R. (2022). CEO overconfidence: Towards a new measure. </w:t>
          </w:r>
          <w:r w:rsidRPr="00286B2C">
            <w:rPr>
              <w:rFonts w:ascii="Times New Roman" w:eastAsia="Times New Roman" w:hAnsi="Times New Roman" w:cs="Times New Roman"/>
              <w:i/>
              <w:iCs/>
              <w:color w:val="000000"/>
              <w:sz w:val="24"/>
              <w:szCs w:val="24"/>
              <w:lang w:eastAsia="zh-CN"/>
            </w:rPr>
            <w:t>International Review of Financial Analysis</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84</w:t>
          </w:r>
          <w:r w:rsidRPr="00286B2C">
            <w:rPr>
              <w:rFonts w:ascii="Times New Roman" w:eastAsia="Times New Roman" w:hAnsi="Times New Roman" w:cs="Times New Roman"/>
              <w:color w:val="000000"/>
              <w:sz w:val="24"/>
              <w:szCs w:val="24"/>
              <w:lang w:eastAsia="zh-CN"/>
            </w:rPr>
            <w:t xml:space="preserve">. </w:t>
          </w:r>
          <w:hyperlink r:id="rId26" w:history="1">
            <w:r w:rsidR="0078752C" w:rsidRPr="000039C8">
              <w:rPr>
                <w:rStyle w:val="Hyperlink"/>
                <w:rFonts w:ascii="Times New Roman" w:eastAsia="Times New Roman" w:hAnsi="Times New Roman" w:cs="Times New Roman"/>
                <w:sz w:val="24"/>
                <w:szCs w:val="24"/>
                <w:lang w:eastAsia="zh-CN"/>
              </w:rPr>
              <w:t>https://doi.org/10.1016/j.irfa.2022.102367</w:t>
            </w:r>
          </w:hyperlink>
        </w:p>
        <w:p w14:paraId="059F118E" w14:textId="5AB02953"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He, F., Guo, X., &amp; Yue, P. (2024). Media coverage and corporate ESG performance: Evidence from China. </w:t>
          </w:r>
          <w:r w:rsidRPr="00286B2C">
            <w:rPr>
              <w:rFonts w:ascii="Times New Roman" w:eastAsia="Times New Roman" w:hAnsi="Times New Roman" w:cs="Times New Roman"/>
              <w:i/>
              <w:iCs/>
              <w:color w:val="000000"/>
              <w:sz w:val="24"/>
              <w:szCs w:val="24"/>
              <w:lang w:eastAsia="zh-CN"/>
            </w:rPr>
            <w:t>International Review of Financial Analysis</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91</w:t>
          </w:r>
          <w:r w:rsidRPr="00286B2C">
            <w:rPr>
              <w:rFonts w:ascii="Times New Roman" w:eastAsia="Times New Roman" w:hAnsi="Times New Roman" w:cs="Times New Roman"/>
              <w:color w:val="000000"/>
              <w:sz w:val="24"/>
              <w:szCs w:val="24"/>
              <w:lang w:eastAsia="zh-CN"/>
            </w:rPr>
            <w:t xml:space="preserve">. </w:t>
          </w:r>
          <w:hyperlink r:id="rId27" w:history="1">
            <w:r w:rsidR="0078752C" w:rsidRPr="000039C8">
              <w:rPr>
                <w:rStyle w:val="Hyperlink"/>
                <w:rFonts w:ascii="Times New Roman" w:eastAsia="Times New Roman" w:hAnsi="Times New Roman" w:cs="Times New Roman"/>
                <w:sz w:val="24"/>
                <w:szCs w:val="24"/>
                <w:lang w:eastAsia="zh-CN"/>
              </w:rPr>
              <w:t>https://doi.org/10.1016/j.irfa.2023.103003</w:t>
            </w:r>
          </w:hyperlink>
        </w:p>
        <w:p w14:paraId="427119D3" w14:textId="6D2F9F37" w:rsidR="00286B2C" w:rsidRDefault="00865581" w:rsidP="00865581">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865581">
            <w:rPr>
              <w:rFonts w:ascii="Times New Roman" w:eastAsia="Times New Roman" w:hAnsi="Times New Roman" w:cs="Times New Roman"/>
              <w:color w:val="000000"/>
              <w:sz w:val="24"/>
              <w:szCs w:val="24"/>
              <w:lang w:eastAsia="zh-CN"/>
            </w:rPr>
            <w:t>Hirshleifer</w:t>
          </w:r>
          <w:proofErr w:type="spellEnd"/>
          <w:r w:rsidRPr="00865581">
            <w:rPr>
              <w:rFonts w:ascii="Times New Roman" w:eastAsia="Times New Roman" w:hAnsi="Times New Roman" w:cs="Times New Roman"/>
              <w:color w:val="000000"/>
              <w:sz w:val="24"/>
              <w:szCs w:val="24"/>
              <w:lang w:eastAsia="zh-CN"/>
            </w:rPr>
            <w:t xml:space="preserve">, D., Low, A., &amp; Teoh, S. H. (2012). Are overconfident CEOs better </w:t>
          </w:r>
          <w:r w:rsidRPr="00865581">
            <w:rPr>
              <w:rFonts w:ascii="Times New Roman" w:eastAsia="Times New Roman" w:hAnsi="Times New Roman" w:cs="Times New Roman"/>
              <w:color w:val="000000"/>
              <w:sz w:val="24"/>
              <w:szCs w:val="24"/>
              <w:lang w:eastAsia="zh-CN"/>
            </w:rPr>
            <w:t>innovators?</w:t>
          </w:r>
          <w:r w:rsidRPr="00865581">
            <w:rPr>
              <w:rFonts w:ascii="Times New Roman" w:eastAsia="Times New Roman" w:hAnsi="Times New Roman" w:cs="Times New Roman"/>
              <w:color w:val="000000"/>
              <w:sz w:val="24"/>
              <w:szCs w:val="24"/>
              <w:lang w:eastAsia="zh-CN"/>
            </w:rPr>
            <w:t> </w:t>
          </w:r>
          <w:r w:rsidRPr="00865581">
            <w:rPr>
              <w:rFonts w:ascii="Times New Roman" w:eastAsia="Times New Roman" w:hAnsi="Times New Roman" w:cs="Times New Roman"/>
              <w:i/>
              <w:iCs/>
              <w:color w:val="000000"/>
              <w:sz w:val="24"/>
              <w:szCs w:val="24"/>
              <w:lang w:eastAsia="zh-CN"/>
            </w:rPr>
            <w:t>The journal of finance</w:t>
          </w:r>
          <w:r w:rsidRPr="00865581">
            <w:rPr>
              <w:rFonts w:ascii="Times New Roman" w:eastAsia="Times New Roman" w:hAnsi="Times New Roman" w:cs="Times New Roman"/>
              <w:color w:val="000000"/>
              <w:sz w:val="24"/>
              <w:szCs w:val="24"/>
              <w:lang w:eastAsia="zh-CN"/>
            </w:rPr>
            <w:t>, </w:t>
          </w:r>
          <w:r w:rsidRPr="00865581">
            <w:rPr>
              <w:rFonts w:ascii="Times New Roman" w:eastAsia="Times New Roman" w:hAnsi="Times New Roman" w:cs="Times New Roman"/>
              <w:i/>
              <w:iCs/>
              <w:color w:val="000000"/>
              <w:sz w:val="24"/>
              <w:szCs w:val="24"/>
              <w:lang w:eastAsia="zh-CN"/>
            </w:rPr>
            <w:t>67</w:t>
          </w:r>
          <w:r w:rsidRPr="00865581">
            <w:rPr>
              <w:rFonts w:ascii="Times New Roman" w:eastAsia="Times New Roman" w:hAnsi="Times New Roman" w:cs="Times New Roman"/>
              <w:color w:val="000000"/>
              <w:sz w:val="24"/>
              <w:szCs w:val="24"/>
              <w:lang w:eastAsia="zh-CN"/>
            </w:rPr>
            <w:t xml:space="preserve">(4), 1457-1498. </w:t>
          </w:r>
          <w:hyperlink r:id="rId28" w:history="1">
            <w:r w:rsidRPr="000039C8">
              <w:rPr>
                <w:rStyle w:val="Hyperlink"/>
                <w:rFonts w:ascii="Times New Roman" w:eastAsia="Times New Roman" w:hAnsi="Times New Roman" w:cs="Times New Roman"/>
                <w:sz w:val="24"/>
                <w:szCs w:val="24"/>
                <w:lang w:eastAsia="zh-CN"/>
              </w:rPr>
              <w:t>https://doi.org/10.1111/j.1540-6261.2012.01753.x</w:t>
            </w:r>
          </w:hyperlink>
        </w:p>
        <w:p w14:paraId="2292DDB5" w14:textId="77777777" w:rsidR="00AD523A" w:rsidRDefault="00AD523A" w:rsidP="00AD523A">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bookmarkStart w:id="16" w:name="_Hlk199620553"/>
          <w:r w:rsidRPr="00AD523A">
            <w:rPr>
              <w:rFonts w:ascii="Times New Roman" w:eastAsia="Times New Roman" w:hAnsi="Times New Roman" w:cs="Times New Roman"/>
              <w:color w:val="000000"/>
              <w:sz w:val="24"/>
              <w:szCs w:val="24"/>
              <w:lang w:eastAsia="zh-CN"/>
            </w:rPr>
            <w:lastRenderedPageBreak/>
            <w:t>Hsu, W., &amp; Lee</w:t>
          </w:r>
          <w:bookmarkEnd w:id="16"/>
          <w:r w:rsidRPr="00AD523A">
            <w:rPr>
              <w:rFonts w:ascii="Times New Roman" w:eastAsia="Times New Roman" w:hAnsi="Times New Roman" w:cs="Times New Roman"/>
              <w:color w:val="000000"/>
              <w:sz w:val="24"/>
              <w:szCs w:val="24"/>
              <w:lang w:eastAsia="zh-CN"/>
            </w:rPr>
            <w:t>, Y. (2024). CEO Overconfidence and Corporate Tax Strategy. </w:t>
          </w:r>
          <w:r w:rsidRPr="00AD523A">
            <w:rPr>
              <w:rFonts w:ascii="Times New Roman" w:eastAsia="Times New Roman" w:hAnsi="Times New Roman" w:cs="Times New Roman"/>
              <w:i/>
              <w:iCs/>
              <w:color w:val="000000"/>
              <w:sz w:val="24"/>
              <w:szCs w:val="24"/>
              <w:lang w:eastAsia="zh-CN"/>
            </w:rPr>
            <w:t>Journal of Corporate Accounting &amp; Finance</w:t>
          </w:r>
          <w:r w:rsidRPr="00AD523A">
            <w:rPr>
              <w:rFonts w:ascii="Times New Roman" w:eastAsia="Times New Roman" w:hAnsi="Times New Roman" w:cs="Times New Roman"/>
              <w:color w:val="000000"/>
              <w:sz w:val="24"/>
              <w:szCs w:val="24"/>
              <w:lang w:eastAsia="zh-CN"/>
            </w:rPr>
            <w:t xml:space="preserve">. </w:t>
          </w:r>
          <w:hyperlink r:id="rId29" w:history="1">
            <w:r w:rsidRPr="00AD523A">
              <w:rPr>
                <w:rStyle w:val="Hyperlink"/>
                <w:rFonts w:ascii="Times New Roman" w:eastAsia="Times New Roman" w:hAnsi="Times New Roman" w:cs="Times New Roman"/>
                <w:sz w:val="24"/>
                <w:szCs w:val="24"/>
                <w:lang w:eastAsia="zh-CN"/>
              </w:rPr>
              <w:t>https://doi.org/10.1002/jcaf.22777</w:t>
            </w:r>
          </w:hyperlink>
        </w:p>
        <w:p w14:paraId="66EE3A35" w14:textId="0C0750E1" w:rsidR="00286B2C" w:rsidRDefault="00286B2C" w:rsidP="00AD523A">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Huarng</w:t>
          </w:r>
          <w:proofErr w:type="spellEnd"/>
          <w:r w:rsidRPr="00286B2C">
            <w:rPr>
              <w:rFonts w:ascii="Times New Roman" w:eastAsia="Times New Roman" w:hAnsi="Times New Roman" w:cs="Times New Roman"/>
              <w:color w:val="000000"/>
              <w:sz w:val="24"/>
              <w:szCs w:val="24"/>
              <w:lang w:eastAsia="zh-CN"/>
            </w:rPr>
            <w:t xml:space="preserve">, K.-H., &amp; Yu, T. H.-K. (2024). Causal complexity analysis of ESG performance. </w:t>
          </w:r>
          <w:r w:rsidRPr="00286B2C">
            <w:rPr>
              <w:rFonts w:ascii="Times New Roman" w:eastAsia="Times New Roman" w:hAnsi="Times New Roman" w:cs="Times New Roman"/>
              <w:i/>
              <w:iCs/>
              <w:color w:val="000000"/>
              <w:sz w:val="24"/>
              <w:szCs w:val="24"/>
              <w:lang w:eastAsia="zh-CN"/>
            </w:rPr>
            <w:t>Journal of Business Research</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170</w:t>
          </w:r>
          <w:r w:rsidRPr="00286B2C">
            <w:rPr>
              <w:rFonts w:ascii="Times New Roman" w:eastAsia="Times New Roman" w:hAnsi="Times New Roman" w:cs="Times New Roman"/>
              <w:color w:val="000000"/>
              <w:sz w:val="24"/>
              <w:szCs w:val="24"/>
              <w:lang w:eastAsia="zh-CN"/>
            </w:rPr>
            <w:t xml:space="preserve">, 114327. </w:t>
          </w:r>
          <w:hyperlink r:id="rId30" w:history="1">
            <w:r w:rsidR="00AE68B0" w:rsidRPr="000039C8">
              <w:rPr>
                <w:rStyle w:val="Hyperlink"/>
                <w:rFonts w:ascii="Times New Roman" w:eastAsia="Times New Roman" w:hAnsi="Times New Roman" w:cs="Times New Roman"/>
                <w:sz w:val="24"/>
                <w:szCs w:val="24"/>
                <w:lang w:eastAsia="zh-CN"/>
              </w:rPr>
              <w:t>https://doi.org/10.1016/j.jbusres.2023.114327</w:t>
            </w:r>
          </w:hyperlink>
        </w:p>
        <w:p w14:paraId="0FB6845C" w14:textId="2B0E9063" w:rsidR="00152720" w:rsidRDefault="00152720" w:rsidP="00152720">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152720">
            <w:rPr>
              <w:rFonts w:ascii="Times New Roman" w:eastAsia="Times New Roman" w:hAnsi="Times New Roman" w:cs="Times New Roman"/>
              <w:color w:val="000000"/>
              <w:sz w:val="24"/>
              <w:szCs w:val="24"/>
              <w:lang w:eastAsia="zh-CN"/>
            </w:rPr>
            <w:t>Huang, R., Tan, K. J. K., &amp; Faff, R. W. (2016). CEO overconfidence and corporate debt maturity. </w:t>
          </w:r>
          <w:r w:rsidRPr="00152720">
            <w:rPr>
              <w:rFonts w:ascii="Times New Roman" w:eastAsia="Times New Roman" w:hAnsi="Times New Roman" w:cs="Times New Roman"/>
              <w:i/>
              <w:iCs/>
              <w:color w:val="000000"/>
              <w:sz w:val="24"/>
              <w:szCs w:val="24"/>
              <w:lang w:eastAsia="zh-CN"/>
            </w:rPr>
            <w:t>Journal of Corporate Finance</w:t>
          </w:r>
          <w:r w:rsidRPr="00152720">
            <w:rPr>
              <w:rFonts w:ascii="Times New Roman" w:eastAsia="Times New Roman" w:hAnsi="Times New Roman" w:cs="Times New Roman"/>
              <w:color w:val="000000"/>
              <w:sz w:val="24"/>
              <w:szCs w:val="24"/>
              <w:lang w:eastAsia="zh-CN"/>
            </w:rPr>
            <w:t>, </w:t>
          </w:r>
          <w:r w:rsidRPr="00152720">
            <w:rPr>
              <w:rFonts w:ascii="Times New Roman" w:eastAsia="Times New Roman" w:hAnsi="Times New Roman" w:cs="Times New Roman"/>
              <w:i/>
              <w:iCs/>
              <w:color w:val="000000"/>
              <w:sz w:val="24"/>
              <w:szCs w:val="24"/>
              <w:lang w:eastAsia="zh-CN"/>
            </w:rPr>
            <w:t>36</w:t>
          </w:r>
          <w:r w:rsidRPr="00152720">
            <w:rPr>
              <w:rFonts w:ascii="Times New Roman" w:eastAsia="Times New Roman" w:hAnsi="Times New Roman" w:cs="Times New Roman"/>
              <w:color w:val="000000"/>
              <w:sz w:val="24"/>
              <w:szCs w:val="24"/>
              <w:lang w:eastAsia="zh-CN"/>
            </w:rPr>
            <w:t>, 93-110.</w:t>
          </w:r>
          <w:r w:rsidRPr="00152720">
            <w:t xml:space="preserve"> </w:t>
          </w:r>
          <w:hyperlink r:id="rId31" w:tgtFrame="_blank" w:tooltip="Persistent link using digital object identifier" w:history="1">
            <w:r w:rsidRPr="00152720">
              <w:rPr>
                <w:rStyle w:val="Hyperlink"/>
                <w:rFonts w:ascii="Times New Roman" w:eastAsia="Times New Roman" w:hAnsi="Times New Roman" w:cs="Times New Roman"/>
                <w:sz w:val="24"/>
                <w:szCs w:val="24"/>
                <w:lang w:eastAsia="zh-CN"/>
              </w:rPr>
              <w:t>https://doi.org/10.1016/j.jcorpfin.2015.10.009</w:t>
            </w:r>
          </w:hyperlink>
        </w:p>
        <w:p w14:paraId="5C3BFD63" w14:textId="07D8A629"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Huyghebaert</w:t>
          </w:r>
          <w:proofErr w:type="spellEnd"/>
          <w:r w:rsidRPr="00286B2C">
            <w:rPr>
              <w:rFonts w:ascii="Times New Roman" w:eastAsia="Times New Roman" w:hAnsi="Times New Roman" w:cs="Times New Roman"/>
              <w:color w:val="000000"/>
              <w:sz w:val="24"/>
              <w:szCs w:val="24"/>
              <w:lang w:eastAsia="zh-CN"/>
            </w:rPr>
            <w:t xml:space="preserve">, N., &amp; Wang, L. (2012). Expropriation of Minority Investors in Chinese Listed Firms: The Role of Internal and External Corporate Governance Mechanisms. </w:t>
          </w:r>
          <w:r w:rsidRPr="00286B2C">
            <w:rPr>
              <w:rFonts w:ascii="Times New Roman" w:eastAsia="Times New Roman" w:hAnsi="Times New Roman" w:cs="Times New Roman"/>
              <w:i/>
              <w:iCs/>
              <w:color w:val="000000"/>
              <w:sz w:val="24"/>
              <w:szCs w:val="24"/>
              <w:lang w:eastAsia="zh-CN"/>
            </w:rPr>
            <w:t>Corporate Governance: An International Review</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20</w:t>
          </w:r>
          <w:r w:rsidRPr="00286B2C">
            <w:rPr>
              <w:rFonts w:ascii="Times New Roman" w:eastAsia="Times New Roman" w:hAnsi="Times New Roman" w:cs="Times New Roman"/>
              <w:color w:val="000000"/>
              <w:sz w:val="24"/>
              <w:szCs w:val="24"/>
              <w:lang w:eastAsia="zh-CN"/>
            </w:rPr>
            <w:t xml:space="preserve">(3), 308–332. </w:t>
          </w:r>
          <w:hyperlink r:id="rId32" w:history="1">
            <w:r w:rsidR="00AE68B0" w:rsidRPr="000039C8">
              <w:rPr>
                <w:rStyle w:val="Hyperlink"/>
                <w:rFonts w:ascii="Times New Roman" w:eastAsia="Times New Roman" w:hAnsi="Times New Roman" w:cs="Times New Roman"/>
                <w:sz w:val="24"/>
                <w:szCs w:val="24"/>
                <w:lang w:eastAsia="zh-CN"/>
              </w:rPr>
              <w:t>https://doi.org/10.1111/j.1467-8683.2012.00909.x</w:t>
            </w:r>
          </w:hyperlink>
        </w:p>
        <w:p w14:paraId="08842399" w14:textId="54866B46"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Jia, F., Li, Y., Cao, L., Hu, L., &amp; Xu, B. (2022). Institutional Shareholders and Firm ESG Performance: Evidence from China. </w:t>
          </w:r>
          <w:r w:rsidRPr="00286B2C">
            <w:rPr>
              <w:rFonts w:ascii="Times New Roman" w:eastAsia="Times New Roman" w:hAnsi="Times New Roman" w:cs="Times New Roman"/>
              <w:i/>
              <w:iCs/>
              <w:color w:val="000000"/>
              <w:sz w:val="24"/>
              <w:szCs w:val="24"/>
              <w:lang w:eastAsia="zh-CN"/>
            </w:rPr>
            <w:t>Sustainability (Switzerland)</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14</w:t>
          </w:r>
          <w:r w:rsidRPr="00286B2C">
            <w:rPr>
              <w:rFonts w:ascii="Times New Roman" w:eastAsia="Times New Roman" w:hAnsi="Times New Roman" w:cs="Times New Roman"/>
              <w:color w:val="000000"/>
              <w:sz w:val="24"/>
              <w:szCs w:val="24"/>
              <w:lang w:eastAsia="zh-CN"/>
            </w:rPr>
            <w:t xml:space="preserve">(22). </w:t>
          </w:r>
          <w:hyperlink r:id="rId33" w:history="1">
            <w:r w:rsidR="00AE68B0" w:rsidRPr="000039C8">
              <w:rPr>
                <w:rStyle w:val="Hyperlink"/>
                <w:rFonts w:ascii="Times New Roman" w:eastAsia="Times New Roman" w:hAnsi="Times New Roman" w:cs="Times New Roman"/>
                <w:sz w:val="24"/>
                <w:szCs w:val="24"/>
                <w:lang w:eastAsia="zh-CN"/>
              </w:rPr>
              <w:t>https://doi.org/10.3390/su142214674</w:t>
            </w:r>
          </w:hyperlink>
        </w:p>
        <w:p w14:paraId="50565476" w14:textId="7557EF6E"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Kaplan, S. N., Sørensen, M., &amp; </w:t>
          </w:r>
          <w:proofErr w:type="spellStart"/>
          <w:r w:rsidRPr="00286B2C">
            <w:rPr>
              <w:rFonts w:ascii="Times New Roman" w:eastAsia="Times New Roman" w:hAnsi="Times New Roman" w:cs="Times New Roman"/>
              <w:color w:val="000000"/>
              <w:sz w:val="24"/>
              <w:szCs w:val="24"/>
              <w:lang w:eastAsia="zh-CN"/>
            </w:rPr>
            <w:t>Zakolyukina</w:t>
          </w:r>
          <w:proofErr w:type="spellEnd"/>
          <w:r w:rsidRPr="00286B2C">
            <w:rPr>
              <w:rFonts w:ascii="Times New Roman" w:eastAsia="Times New Roman" w:hAnsi="Times New Roman" w:cs="Times New Roman"/>
              <w:color w:val="000000"/>
              <w:sz w:val="24"/>
              <w:szCs w:val="24"/>
              <w:lang w:eastAsia="zh-CN"/>
            </w:rPr>
            <w:t xml:space="preserve">, A. A. (2022). What is CEO overconfidence? Evidence from executive assessments. </w:t>
          </w:r>
          <w:r w:rsidRPr="00286B2C">
            <w:rPr>
              <w:rFonts w:ascii="Times New Roman" w:eastAsia="Times New Roman" w:hAnsi="Times New Roman" w:cs="Times New Roman"/>
              <w:i/>
              <w:iCs/>
              <w:color w:val="000000"/>
              <w:sz w:val="24"/>
              <w:szCs w:val="24"/>
              <w:lang w:eastAsia="zh-CN"/>
            </w:rPr>
            <w:t>Journal of Financial Economics</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145</w:t>
          </w:r>
          <w:r w:rsidRPr="00286B2C">
            <w:rPr>
              <w:rFonts w:ascii="Times New Roman" w:eastAsia="Times New Roman" w:hAnsi="Times New Roman" w:cs="Times New Roman"/>
              <w:color w:val="000000"/>
              <w:sz w:val="24"/>
              <w:szCs w:val="24"/>
              <w:lang w:eastAsia="zh-CN"/>
            </w:rPr>
            <w:t xml:space="preserve">(2), 409–425. </w:t>
          </w:r>
          <w:hyperlink r:id="rId34" w:history="1">
            <w:r w:rsidR="00C547C6" w:rsidRPr="000039C8">
              <w:rPr>
                <w:rStyle w:val="Hyperlink"/>
                <w:rFonts w:ascii="Times New Roman" w:eastAsia="Times New Roman" w:hAnsi="Times New Roman" w:cs="Times New Roman"/>
                <w:sz w:val="24"/>
                <w:szCs w:val="24"/>
                <w:lang w:eastAsia="zh-CN"/>
              </w:rPr>
              <w:t>https://doi.org/10.1016/j.jfineco.2021.09.023</w:t>
            </w:r>
          </w:hyperlink>
        </w:p>
        <w:p w14:paraId="2E0B2A5B" w14:textId="77777777" w:rsidR="00C547C6" w:rsidRDefault="00C547C6" w:rsidP="00C547C6">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C547C6">
            <w:rPr>
              <w:rFonts w:ascii="Times New Roman" w:eastAsia="Times New Roman" w:hAnsi="Times New Roman" w:cs="Times New Roman"/>
              <w:color w:val="000000"/>
              <w:sz w:val="24"/>
              <w:szCs w:val="24"/>
              <w:lang w:eastAsia="zh-CN"/>
            </w:rPr>
            <w:t>Karavitis</w:t>
          </w:r>
          <w:proofErr w:type="spellEnd"/>
          <w:r w:rsidRPr="00C547C6">
            <w:rPr>
              <w:rFonts w:ascii="Times New Roman" w:eastAsia="Times New Roman" w:hAnsi="Times New Roman" w:cs="Times New Roman"/>
              <w:color w:val="000000"/>
              <w:sz w:val="24"/>
              <w:szCs w:val="24"/>
              <w:lang w:eastAsia="zh-CN"/>
            </w:rPr>
            <w:t xml:space="preserve">, P., </w:t>
          </w:r>
          <w:proofErr w:type="spellStart"/>
          <w:r w:rsidRPr="00C547C6">
            <w:rPr>
              <w:rFonts w:ascii="Times New Roman" w:eastAsia="Times New Roman" w:hAnsi="Times New Roman" w:cs="Times New Roman"/>
              <w:color w:val="000000"/>
              <w:sz w:val="24"/>
              <w:szCs w:val="24"/>
              <w:lang w:eastAsia="zh-CN"/>
            </w:rPr>
            <w:t>Kazakis</w:t>
          </w:r>
          <w:proofErr w:type="spellEnd"/>
          <w:r w:rsidRPr="00C547C6">
            <w:rPr>
              <w:rFonts w:ascii="Times New Roman" w:eastAsia="Times New Roman" w:hAnsi="Times New Roman" w:cs="Times New Roman"/>
              <w:color w:val="000000"/>
              <w:sz w:val="24"/>
              <w:szCs w:val="24"/>
              <w:lang w:eastAsia="zh-CN"/>
            </w:rPr>
            <w:t>, P., &amp; Xu, T. (2025). Overconfident CEOs, corporate social responsibility, and tax avoidance: Evidence from China. </w:t>
          </w:r>
          <w:r w:rsidRPr="00C547C6">
            <w:rPr>
              <w:rFonts w:ascii="Times New Roman" w:eastAsia="Times New Roman" w:hAnsi="Times New Roman" w:cs="Times New Roman"/>
              <w:i/>
              <w:iCs/>
              <w:color w:val="000000"/>
              <w:sz w:val="24"/>
              <w:szCs w:val="24"/>
              <w:lang w:eastAsia="zh-CN"/>
            </w:rPr>
            <w:t>Journal of International Accounting, Auditing and Taxation</w:t>
          </w:r>
          <w:r w:rsidRPr="00C547C6">
            <w:rPr>
              <w:rFonts w:ascii="Times New Roman" w:eastAsia="Times New Roman" w:hAnsi="Times New Roman" w:cs="Times New Roman"/>
              <w:color w:val="000000"/>
              <w:sz w:val="24"/>
              <w:szCs w:val="24"/>
              <w:lang w:eastAsia="zh-CN"/>
            </w:rPr>
            <w:t xml:space="preserve">, 100702. </w:t>
          </w:r>
          <w:hyperlink r:id="rId35" w:tgtFrame="_blank" w:tooltip="Persistent link using digital object identifier" w:history="1">
            <w:r w:rsidRPr="00C547C6">
              <w:rPr>
                <w:rStyle w:val="Hyperlink"/>
                <w:rFonts w:ascii="Times New Roman" w:eastAsia="Times New Roman" w:hAnsi="Times New Roman" w:cs="Times New Roman"/>
                <w:sz w:val="24"/>
                <w:szCs w:val="24"/>
                <w:lang w:eastAsia="zh-CN"/>
              </w:rPr>
              <w:t>https://doi.org/10.1016/j.intaccaudtax.2025.100702</w:t>
            </w:r>
          </w:hyperlink>
        </w:p>
        <w:p w14:paraId="4B630BE0" w14:textId="06EC3072" w:rsidR="007F6AA7" w:rsidRDefault="007F6AA7" w:rsidP="00C547C6">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7F6AA7">
            <w:rPr>
              <w:rFonts w:ascii="Times New Roman" w:eastAsia="Times New Roman" w:hAnsi="Times New Roman" w:cs="Times New Roman"/>
              <w:color w:val="000000"/>
              <w:sz w:val="24"/>
              <w:szCs w:val="24"/>
              <w:lang w:eastAsia="zh-CN"/>
            </w:rPr>
            <w:t>Lee, J. M., Hwang, B. H., &amp; Chen, H. (2017). Are founder CEOs more overconfident than professional CEOs? Evidence from S&amp;P 1500 companies. </w:t>
          </w:r>
          <w:r w:rsidRPr="007F6AA7">
            <w:rPr>
              <w:rFonts w:ascii="Times New Roman" w:eastAsia="Times New Roman" w:hAnsi="Times New Roman" w:cs="Times New Roman"/>
              <w:i/>
              <w:iCs/>
              <w:color w:val="000000"/>
              <w:sz w:val="24"/>
              <w:szCs w:val="24"/>
              <w:lang w:eastAsia="zh-CN"/>
            </w:rPr>
            <w:t>Strategic Management Journal</w:t>
          </w:r>
          <w:r w:rsidRPr="007F6AA7">
            <w:rPr>
              <w:rFonts w:ascii="Times New Roman" w:eastAsia="Times New Roman" w:hAnsi="Times New Roman" w:cs="Times New Roman"/>
              <w:color w:val="000000"/>
              <w:sz w:val="24"/>
              <w:szCs w:val="24"/>
              <w:lang w:eastAsia="zh-CN"/>
            </w:rPr>
            <w:t>, </w:t>
          </w:r>
          <w:r w:rsidRPr="007F6AA7">
            <w:rPr>
              <w:rFonts w:ascii="Times New Roman" w:eastAsia="Times New Roman" w:hAnsi="Times New Roman" w:cs="Times New Roman"/>
              <w:i/>
              <w:iCs/>
              <w:color w:val="000000"/>
              <w:sz w:val="24"/>
              <w:szCs w:val="24"/>
              <w:lang w:eastAsia="zh-CN"/>
            </w:rPr>
            <w:t>38</w:t>
          </w:r>
          <w:r w:rsidRPr="007F6AA7">
            <w:rPr>
              <w:rFonts w:ascii="Times New Roman" w:eastAsia="Times New Roman" w:hAnsi="Times New Roman" w:cs="Times New Roman"/>
              <w:color w:val="000000"/>
              <w:sz w:val="24"/>
              <w:szCs w:val="24"/>
              <w:lang w:eastAsia="zh-CN"/>
            </w:rPr>
            <w:t xml:space="preserve">(3), 751-769. </w:t>
          </w:r>
          <w:hyperlink r:id="rId36" w:history="1">
            <w:r w:rsidRPr="000039C8">
              <w:rPr>
                <w:rStyle w:val="Hyperlink"/>
                <w:rFonts w:ascii="Times New Roman" w:eastAsia="Times New Roman" w:hAnsi="Times New Roman" w:cs="Times New Roman"/>
                <w:sz w:val="24"/>
                <w:szCs w:val="24"/>
                <w:lang w:eastAsia="zh-CN"/>
              </w:rPr>
              <w:t>https://doi.org/10.1002/smj.2519</w:t>
            </w:r>
          </w:hyperlink>
        </w:p>
        <w:p w14:paraId="2777DA3C" w14:textId="6058E90F" w:rsidR="00286B2C" w:rsidRDefault="00286B2C" w:rsidP="007F6AA7">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Li, S., </w:t>
          </w:r>
          <w:proofErr w:type="spellStart"/>
          <w:r w:rsidRPr="00286B2C">
            <w:rPr>
              <w:rFonts w:ascii="Times New Roman" w:eastAsia="Times New Roman" w:hAnsi="Times New Roman" w:cs="Times New Roman"/>
              <w:color w:val="000000"/>
              <w:sz w:val="24"/>
              <w:szCs w:val="24"/>
              <w:lang w:eastAsia="zh-CN"/>
            </w:rPr>
            <w:t>Ao</w:t>
          </w:r>
          <w:proofErr w:type="spellEnd"/>
          <w:r w:rsidRPr="00286B2C">
            <w:rPr>
              <w:rFonts w:ascii="Times New Roman" w:eastAsia="Times New Roman" w:hAnsi="Times New Roman" w:cs="Times New Roman"/>
              <w:color w:val="000000"/>
              <w:sz w:val="24"/>
              <w:szCs w:val="24"/>
              <w:lang w:eastAsia="zh-CN"/>
            </w:rPr>
            <w:t xml:space="preserve">, X., Zhang, M., &amp; Pu, M. (2024). ESG performance and carbon emission intensity: examining the role of climate policy uncertainty and the digital economy in China’s dual-carbon era. </w:t>
          </w:r>
          <w:r w:rsidRPr="00286B2C">
            <w:rPr>
              <w:rFonts w:ascii="Times New Roman" w:eastAsia="Times New Roman" w:hAnsi="Times New Roman" w:cs="Times New Roman"/>
              <w:i/>
              <w:iCs/>
              <w:color w:val="000000"/>
              <w:sz w:val="24"/>
              <w:szCs w:val="24"/>
              <w:lang w:eastAsia="zh-CN"/>
            </w:rPr>
            <w:t>Frontiers in Environmental Science</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12</w:t>
          </w:r>
          <w:r w:rsidRPr="00286B2C">
            <w:rPr>
              <w:rFonts w:ascii="Times New Roman" w:eastAsia="Times New Roman" w:hAnsi="Times New Roman" w:cs="Times New Roman"/>
              <w:color w:val="000000"/>
              <w:sz w:val="24"/>
              <w:szCs w:val="24"/>
              <w:lang w:eastAsia="zh-CN"/>
            </w:rPr>
            <w:t xml:space="preserve">. </w:t>
          </w:r>
          <w:hyperlink r:id="rId37" w:history="1">
            <w:r w:rsidR="00AE68B0" w:rsidRPr="000039C8">
              <w:rPr>
                <w:rStyle w:val="Hyperlink"/>
                <w:rFonts w:ascii="Times New Roman" w:eastAsia="Times New Roman" w:hAnsi="Times New Roman" w:cs="Times New Roman"/>
                <w:sz w:val="24"/>
                <w:szCs w:val="24"/>
                <w:lang w:eastAsia="zh-CN"/>
              </w:rPr>
              <w:t>https://doi.org/10.3389/fenvs.2024.1526681</w:t>
            </w:r>
          </w:hyperlink>
        </w:p>
        <w:p w14:paraId="3BFBF362" w14:textId="42B391D6"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Liu, J., Xiong, X., Gao, Y., &amp; Zhang, J. (2023). The impact of institutional investors on ESG: Evidence from China. </w:t>
          </w:r>
          <w:r w:rsidRPr="00286B2C">
            <w:rPr>
              <w:rFonts w:ascii="Times New Roman" w:eastAsia="Times New Roman" w:hAnsi="Times New Roman" w:cs="Times New Roman"/>
              <w:i/>
              <w:iCs/>
              <w:color w:val="000000"/>
              <w:sz w:val="24"/>
              <w:szCs w:val="24"/>
              <w:lang w:eastAsia="zh-CN"/>
            </w:rPr>
            <w:t>Accounting and Finance</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63</w:t>
          </w:r>
          <w:r w:rsidRPr="00286B2C">
            <w:rPr>
              <w:rFonts w:ascii="Times New Roman" w:eastAsia="Times New Roman" w:hAnsi="Times New Roman" w:cs="Times New Roman"/>
              <w:color w:val="000000"/>
              <w:sz w:val="24"/>
              <w:szCs w:val="24"/>
              <w:lang w:eastAsia="zh-CN"/>
            </w:rPr>
            <w:t xml:space="preserve">(S2), 2801–2826. </w:t>
          </w:r>
          <w:hyperlink r:id="rId38" w:history="1">
            <w:r w:rsidR="00AE68B0" w:rsidRPr="000039C8">
              <w:rPr>
                <w:rStyle w:val="Hyperlink"/>
                <w:rFonts w:ascii="Times New Roman" w:eastAsia="Times New Roman" w:hAnsi="Times New Roman" w:cs="Times New Roman"/>
                <w:sz w:val="24"/>
                <w:szCs w:val="24"/>
                <w:lang w:eastAsia="zh-CN"/>
              </w:rPr>
              <w:t>https://doi.org/10.1111/acfi.13011</w:t>
            </w:r>
          </w:hyperlink>
        </w:p>
        <w:p w14:paraId="4BB4CA4C" w14:textId="3CFAA0D7"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Liu, P., Zhu, B., Yang, M., &amp; Chu, X. (2022). ESG and financial performance: A qualitative comparative analysis in China’s new energy companies. </w:t>
          </w:r>
          <w:r w:rsidRPr="00286B2C">
            <w:rPr>
              <w:rFonts w:ascii="Times New Roman" w:eastAsia="Times New Roman" w:hAnsi="Times New Roman" w:cs="Times New Roman"/>
              <w:i/>
              <w:iCs/>
              <w:color w:val="000000"/>
              <w:sz w:val="24"/>
              <w:szCs w:val="24"/>
              <w:lang w:eastAsia="zh-CN"/>
            </w:rPr>
            <w:t>Journal of Cleaner Production</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379</w:t>
          </w:r>
          <w:r w:rsidRPr="00286B2C">
            <w:rPr>
              <w:rFonts w:ascii="Times New Roman" w:eastAsia="Times New Roman" w:hAnsi="Times New Roman" w:cs="Times New Roman"/>
              <w:color w:val="000000"/>
              <w:sz w:val="24"/>
              <w:szCs w:val="24"/>
              <w:lang w:eastAsia="zh-CN"/>
            </w:rPr>
            <w:t xml:space="preserve">. </w:t>
          </w:r>
          <w:hyperlink r:id="rId39" w:history="1">
            <w:r w:rsidR="00AE68B0" w:rsidRPr="000039C8">
              <w:rPr>
                <w:rStyle w:val="Hyperlink"/>
                <w:rFonts w:ascii="Times New Roman" w:eastAsia="Times New Roman" w:hAnsi="Times New Roman" w:cs="Times New Roman"/>
                <w:sz w:val="24"/>
                <w:szCs w:val="24"/>
                <w:lang w:eastAsia="zh-CN"/>
              </w:rPr>
              <w:t>https://doi.org/10.1016/j.jclepro.2022.134721</w:t>
            </w:r>
          </w:hyperlink>
        </w:p>
        <w:p w14:paraId="71C19B53" w14:textId="28315479"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Lopez-De-Silanes, F., </w:t>
          </w:r>
          <w:proofErr w:type="spellStart"/>
          <w:r w:rsidRPr="00286B2C">
            <w:rPr>
              <w:rFonts w:ascii="Times New Roman" w:eastAsia="Times New Roman" w:hAnsi="Times New Roman" w:cs="Times New Roman"/>
              <w:color w:val="000000"/>
              <w:sz w:val="24"/>
              <w:szCs w:val="24"/>
              <w:lang w:eastAsia="zh-CN"/>
            </w:rPr>
            <w:t>Mccahery</w:t>
          </w:r>
          <w:proofErr w:type="spellEnd"/>
          <w:r w:rsidRPr="00286B2C">
            <w:rPr>
              <w:rFonts w:ascii="Times New Roman" w:eastAsia="Times New Roman" w:hAnsi="Times New Roman" w:cs="Times New Roman"/>
              <w:color w:val="000000"/>
              <w:sz w:val="24"/>
              <w:szCs w:val="24"/>
              <w:lang w:eastAsia="zh-CN"/>
            </w:rPr>
            <w:t xml:space="preserve">, J. A., &amp; </w:t>
          </w:r>
          <w:proofErr w:type="spellStart"/>
          <w:r w:rsidRPr="00286B2C">
            <w:rPr>
              <w:rFonts w:ascii="Times New Roman" w:eastAsia="Times New Roman" w:hAnsi="Times New Roman" w:cs="Times New Roman"/>
              <w:color w:val="000000"/>
              <w:sz w:val="24"/>
              <w:szCs w:val="24"/>
              <w:lang w:eastAsia="zh-CN"/>
            </w:rPr>
            <w:t>Pudschedl</w:t>
          </w:r>
          <w:proofErr w:type="spellEnd"/>
          <w:r w:rsidRPr="00286B2C">
            <w:rPr>
              <w:rFonts w:ascii="Times New Roman" w:eastAsia="Times New Roman" w:hAnsi="Times New Roman" w:cs="Times New Roman"/>
              <w:color w:val="000000"/>
              <w:sz w:val="24"/>
              <w:szCs w:val="24"/>
              <w:lang w:eastAsia="zh-CN"/>
            </w:rPr>
            <w:t>, P. C. (</w:t>
          </w:r>
          <w:r w:rsidR="001B0D34">
            <w:rPr>
              <w:rFonts w:ascii="Times New Roman" w:eastAsia="Times New Roman" w:hAnsi="Times New Roman" w:cs="Times New Roman"/>
              <w:color w:val="000000"/>
              <w:sz w:val="24"/>
              <w:szCs w:val="24"/>
              <w:lang w:eastAsia="zh-CN"/>
            </w:rPr>
            <w:t>2022</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ECGI Working Paper Series in Law</w:t>
          </w:r>
          <w:r w:rsidRPr="00286B2C">
            <w:rPr>
              <w:rFonts w:ascii="Times New Roman" w:eastAsia="Times New Roman" w:hAnsi="Times New Roman" w:cs="Times New Roman"/>
              <w:color w:val="000000"/>
              <w:sz w:val="24"/>
              <w:szCs w:val="24"/>
              <w:lang w:eastAsia="zh-CN"/>
            </w:rPr>
            <w:t xml:space="preserve">. </w:t>
          </w:r>
          <w:hyperlink r:id="rId40" w:history="1">
            <w:r w:rsidR="00AE68B0" w:rsidRPr="000039C8">
              <w:rPr>
                <w:rStyle w:val="Hyperlink"/>
                <w:rFonts w:ascii="Times New Roman" w:eastAsia="Times New Roman" w:hAnsi="Times New Roman" w:cs="Times New Roman"/>
                <w:sz w:val="24"/>
                <w:szCs w:val="24"/>
                <w:lang w:eastAsia="zh-CN"/>
              </w:rPr>
              <w:t>https://ssrn.com/abstract=4049313</w:t>
            </w:r>
          </w:hyperlink>
        </w:p>
        <w:p w14:paraId="2B70B790" w14:textId="18284EAC"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lastRenderedPageBreak/>
            <w:t>Malmendier</w:t>
          </w:r>
          <w:proofErr w:type="spellEnd"/>
          <w:r w:rsidRPr="00286B2C">
            <w:rPr>
              <w:rFonts w:ascii="Times New Roman" w:eastAsia="Times New Roman" w:hAnsi="Times New Roman" w:cs="Times New Roman"/>
              <w:color w:val="000000"/>
              <w:sz w:val="24"/>
              <w:szCs w:val="24"/>
              <w:lang w:eastAsia="zh-CN"/>
            </w:rPr>
            <w:t xml:space="preserve">, U., &amp; Tate, G. (2004). </w:t>
          </w:r>
          <w:r w:rsidRPr="00286B2C">
            <w:rPr>
              <w:rFonts w:ascii="Times New Roman" w:eastAsia="Times New Roman" w:hAnsi="Times New Roman" w:cs="Times New Roman"/>
              <w:i/>
              <w:iCs/>
              <w:color w:val="000000"/>
              <w:sz w:val="24"/>
              <w:szCs w:val="24"/>
              <w:lang w:eastAsia="zh-CN"/>
            </w:rPr>
            <w:t>NBER WORKING PAPER SERIES WHO MAKES ACQUISITIONS? CEO OVERCONFIDENCE AND THE MARKET’S REACTION</w:t>
          </w:r>
          <w:r w:rsidRPr="00286B2C">
            <w:rPr>
              <w:rFonts w:ascii="Times New Roman" w:eastAsia="Times New Roman" w:hAnsi="Times New Roman" w:cs="Times New Roman"/>
              <w:color w:val="000000"/>
              <w:sz w:val="24"/>
              <w:szCs w:val="24"/>
              <w:lang w:eastAsia="zh-CN"/>
            </w:rPr>
            <w:t xml:space="preserve">. </w:t>
          </w:r>
          <w:hyperlink r:id="rId41" w:history="1">
            <w:r w:rsidR="00AE68B0" w:rsidRPr="000039C8">
              <w:rPr>
                <w:rStyle w:val="Hyperlink"/>
                <w:rFonts w:ascii="Times New Roman" w:eastAsia="Times New Roman" w:hAnsi="Times New Roman" w:cs="Times New Roman"/>
                <w:sz w:val="24"/>
                <w:szCs w:val="24"/>
                <w:lang w:eastAsia="zh-CN"/>
              </w:rPr>
              <w:t>http://www.nber.org/papers/w10813</w:t>
            </w:r>
          </w:hyperlink>
        </w:p>
        <w:p w14:paraId="1E3EE542" w14:textId="33BE8564"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Malmendier</w:t>
          </w:r>
          <w:proofErr w:type="spellEnd"/>
          <w:r w:rsidRPr="00286B2C">
            <w:rPr>
              <w:rFonts w:ascii="Times New Roman" w:eastAsia="Times New Roman" w:hAnsi="Times New Roman" w:cs="Times New Roman"/>
              <w:color w:val="000000"/>
              <w:sz w:val="24"/>
              <w:szCs w:val="24"/>
              <w:lang w:eastAsia="zh-CN"/>
            </w:rPr>
            <w:t xml:space="preserve">, U., &amp; Tate, G. (2005). CEO overconfidence and corporate investment. </w:t>
          </w:r>
          <w:r w:rsidRPr="00286B2C">
            <w:rPr>
              <w:rFonts w:ascii="Times New Roman" w:eastAsia="Times New Roman" w:hAnsi="Times New Roman" w:cs="Times New Roman"/>
              <w:i/>
              <w:iCs/>
              <w:color w:val="000000"/>
              <w:sz w:val="24"/>
              <w:szCs w:val="24"/>
              <w:lang w:eastAsia="zh-CN"/>
            </w:rPr>
            <w:t>Journal of Finance</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60</w:t>
          </w:r>
          <w:r w:rsidRPr="00286B2C">
            <w:rPr>
              <w:rFonts w:ascii="Times New Roman" w:eastAsia="Times New Roman" w:hAnsi="Times New Roman" w:cs="Times New Roman"/>
              <w:color w:val="000000"/>
              <w:sz w:val="24"/>
              <w:szCs w:val="24"/>
              <w:lang w:eastAsia="zh-CN"/>
            </w:rPr>
            <w:t xml:space="preserve">(6), 2661–2700. </w:t>
          </w:r>
          <w:hyperlink r:id="rId42" w:history="1">
            <w:r w:rsidR="004F1B66" w:rsidRPr="000039C8">
              <w:rPr>
                <w:rStyle w:val="Hyperlink"/>
                <w:rFonts w:ascii="Times New Roman" w:eastAsia="Times New Roman" w:hAnsi="Times New Roman" w:cs="Times New Roman"/>
                <w:sz w:val="24"/>
                <w:szCs w:val="24"/>
                <w:lang w:eastAsia="zh-CN"/>
              </w:rPr>
              <w:t>https://doi.org/10.1111/j.1540-6261.2005.00813.x</w:t>
            </w:r>
          </w:hyperlink>
        </w:p>
        <w:p w14:paraId="5D9A5040" w14:textId="72C9BCE6" w:rsidR="004F1B66" w:rsidRDefault="004F1B66" w:rsidP="004F1B66">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4F1B66">
            <w:rPr>
              <w:rFonts w:ascii="Times New Roman" w:eastAsia="Times New Roman" w:hAnsi="Times New Roman" w:cs="Times New Roman"/>
              <w:color w:val="000000"/>
              <w:sz w:val="24"/>
              <w:szCs w:val="24"/>
              <w:lang w:eastAsia="zh-CN"/>
            </w:rPr>
            <w:t>Malmendier</w:t>
          </w:r>
          <w:proofErr w:type="spellEnd"/>
          <w:r w:rsidRPr="004F1B66">
            <w:rPr>
              <w:rFonts w:ascii="Times New Roman" w:eastAsia="Times New Roman" w:hAnsi="Times New Roman" w:cs="Times New Roman"/>
              <w:color w:val="000000"/>
              <w:sz w:val="24"/>
              <w:szCs w:val="24"/>
              <w:lang w:eastAsia="zh-CN"/>
            </w:rPr>
            <w:t>, U., &amp; Tate, G. (2005</w:t>
          </w:r>
          <w:r>
            <w:rPr>
              <w:rFonts w:ascii="Times New Roman" w:eastAsia="Times New Roman" w:hAnsi="Times New Roman" w:cs="Times New Roman"/>
              <w:color w:val="000000"/>
              <w:sz w:val="24"/>
              <w:szCs w:val="24"/>
              <w:lang w:eastAsia="zh-CN"/>
            </w:rPr>
            <w:t>b</w:t>
          </w:r>
          <w:r w:rsidRPr="004F1B66">
            <w:rPr>
              <w:rFonts w:ascii="Times New Roman" w:eastAsia="Times New Roman" w:hAnsi="Times New Roman" w:cs="Times New Roman"/>
              <w:color w:val="000000"/>
              <w:sz w:val="24"/>
              <w:szCs w:val="24"/>
              <w:lang w:eastAsia="zh-CN"/>
            </w:rPr>
            <w:t>). Does overconfidence affect corporate investment? CEO overconfidence measures revisited. </w:t>
          </w:r>
          <w:r w:rsidRPr="004F1B66">
            <w:rPr>
              <w:rFonts w:ascii="Times New Roman" w:eastAsia="Times New Roman" w:hAnsi="Times New Roman" w:cs="Times New Roman"/>
              <w:i/>
              <w:iCs/>
              <w:color w:val="000000"/>
              <w:sz w:val="24"/>
              <w:szCs w:val="24"/>
              <w:lang w:eastAsia="zh-CN"/>
            </w:rPr>
            <w:t>European financial management</w:t>
          </w:r>
          <w:r w:rsidRPr="004F1B66">
            <w:rPr>
              <w:rFonts w:ascii="Times New Roman" w:eastAsia="Times New Roman" w:hAnsi="Times New Roman" w:cs="Times New Roman"/>
              <w:color w:val="000000"/>
              <w:sz w:val="24"/>
              <w:szCs w:val="24"/>
              <w:lang w:eastAsia="zh-CN"/>
            </w:rPr>
            <w:t>, </w:t>
          </w:r>
          <w:r w:rsidRPr="004F1B66">
            <w:rPr>
              <w:rFonts w:ascii="Times New Roman" w:eastAsia="Times New Roman" w:hAnsi="Times New Roman" w:cs="Times New Roman"/>
              <w:i/>
              <w:iCs/>
              <w:color w:val="000000"/>
              <w:sz w:val="24"/>
              <w:szCs w:val="24"/>
              <w:lang w:eastAsia="zh-CN"/>
            </w:rPr>
            <w:t>11</w:t>
          </w:r>
          <w:r w:rsidRPr="004F1B66">
            <w:rPr>
              <w:rFonts w:ascii="Times New Roman" w:eastAsia="Times New Roman" w:hAnsi="Times New Roman" w:cs="Times New Roman"/>
              <w:color w:val="000000"/>
              <w:sz w:val="24"/>
              <w:szCs w:val="24"/>
              <w:lang w:eastAsia="zh-CN"/>
            </w:rPr>
            <w:t>(5), 649-659.</w:t>
          </w:r>
          <w:r w:rsidRPr="004F1B66">
            <w:t xml:space="preserve"> </w:t>
          </w:r>
          <w:hyperlink r:id="rId43" w:history="1">
            <w:r w:rsidR="00AE68B0" w:rsidRPr="000039C8">
              <w:rPr>
                <w:rStyle w:val="Hyperlink"/>
                <w:rFonts w:ascii="Times New Roman" w:eastAsia="Times New Roman" w:hAnsi="Times New Roman" w:cs="Times New Roman"/>
                <w:sz w:val="24"/>
                <w:szCs w:val="24"/>
                <w:lang w:eastAsia="zh-CN"/>
              </w:rPr>
              <w:t>https://onlinelibrary.wiley.com/doi/abs/10.1111/j.1354-7798.2005.00302.x</w:t>
            </w:r>
          </w:hyperlink>
        </w:p>
        <w:p w14:paraId="6DEDD590" w14:textId="0FBD5424"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Malmendier</w:t>
          </w:r>
          <w:proofErr w:type="spellEnd"/>
          <w:r w:rsidRPr="00286B2C">
            <w:rPr>
              <w:rFonts w:ascii="Times New Roman" w:eastAsia="Times New Roman" w:hAnsi="Times New Roman" w:cs="Times New Roman"/>
              <w:color w:val="000000"/>
              <w:sz w:val="24"/>
              <w:szCs w:val="24"/>
              <w:lang w:eastAsia="zh-CN"/>
            </w:rPr>
            <w:t xml:space="preserve">, U., Tate, G., Yan, J., Baker, M., </w:t>
          </w:r>
          <w:proofErr w:type="spellStart"/>
          <w:r w:rsidRPr="00286B2C">
            <w:rPr>
              <w:rFonts w:ascii="Times New Roman" w:eastAsia="Times New Roman" w:hAnsi="Times New Roman" w:cs="Times New Roman"/>
              <w:color w:val="000000"/>
              <w:sz w:val="24"/>
              <w:szCs w:val="24"/>
              <w:lang w:eastAsia="zh-CN"/>
            </w:rPr>
            <w:t>Fahlenbrach</w:t>
          </w:r>
          <w:proofErr w:type="spellEnd"/>
          <w:r w:rsidRPr="00286B2C">
            <w:rPr>
              <w:rFonts w:ascii="Times New Roman" w:eastAsia="Times New Roman" w:hAnsi="Times New Roman" w:cs="Times New Roman"/>
              <w:color w:val="000000"/>
              <w:sz w:val="24"/>
              <w:szCs w:val="24"/>
              <w:lang w:eastAsia="zh-CN"/>
            </w:rPr>
            <w:t xml:space="preserve">, R., Faulkender, M., Frank, M., Hackbarth, D., Jenter, D., Stein, J., </w:t>
          </w:r>
          <w:proofErr w:type="spellStart"/>
          <w:r w:rsidRPr="00286B2C">
            <w:rPr>
              <w:rFonts w:ascii="Times New Roman" w:eastAsia="Times New Roman" w:hAnsi="Times New Roman" w:cs="Times New Roman"/>
              <w:color w:val="000000"/>
              <w:sz w:val="24"/>
              <w:szCs w:val="24"/>
              <w:lang w:eastAsia="zh-CN"/>
            </w:rPr>
            <w:t>Strebulaev</w:t>
          </w:r>
          <w:proofErr w:type="spellEnd"/>
          <w:r w:rsidRPr="00286B2C">
            <w:rPr>
              <w:rFonts w:ascii="Times New Roman" w:eastAsia="Times New Roman" w:hAnsi="Times New Roman" w:cs="Times New Roman"/>
              <w:color w:val="000000"/>
              <w:sz w:val="24"/>
              <w:szCs w:val="24"/>
              <w:lang w:eastAsia="zh-CN"/>
            </w:rPr>
            <w:t xml:space="preserve">, I., Subrahmanyam, A., &amp; Wurgler, J. (2010). </w:t>
          </w:r>
          <w:r w:rsidRPr="00286B2C">
            <w:rPr>
              <w:rFonts w:ascii="Times New Roman" w:eastAsia="Times New Roman" w:hAnsi="Times New Roman" w:cs="Times New Roman"/>
              <w:i/>
              <w:iCs/>
              <w:color w:val="000000"/>
              <w:sz w:val="24"/>
              <w:szCs w:val="24"/>
              <w:lang w:eastAsia="zh-CN"/>
            </w:rPr>
            <w:t>NBER WORKING PAPER SERIES OVERCONFIDENCE AND EARLY-LIFE EXPERIENCES: THE IMPACT OF MANAGERIAL TRAITS ON CORPORATE FINANCIAL POLICIES</w:t>
          </w:r>
          <w:r w:rsidRPr="00286B2C">
            <w:rPr>
              <w:rFonts w:ascii="Times New Roman" w:eastAsia="Times New Roman" w:hAnsi="Times New Roman" w:cs="Times New Roman"/>
              <w:color w:val="000000"/>
              <w:sz w:val="24"/>
              <w:szCs w:val="24"/>
              <w:lang w:eastAsia="zh-CN"/>
            </w:rPr>
            <w:t xml:space="preserve">. </w:t>
          </w:r>
          <w:hyperlink r:id="rId44" w:history="1">
            <w:r w:rsidR="0057671C" w:rsidRPr="000039C8">
              <w:rPr>
                <w:rStyle w:val="Hyperlink"/>
                <w:rFonts w:ascii="Times New Roman" w:eastAsia="Times New Roman" w:hAnsi="Times New Roman" w:cs="Times New Roman"/>
                <w:sz w:val="24"/>
                <w:szCs w:val="24"/>
                <w:lang w:eastAsia="zh-CN"/>
              </w:rPr>
              <w:t>http://www.nber.org/papers/w15659</w:t>
            </w:r>
          </w:hyperlink>
        </w:p>
        <w:p w14:paraId="1F845E69" w14:textId="77777777" w:rsidR="0057671C" w:rsidRDefault="0057671C" w:rsidP="0057671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57671C">
            <w:rPr>
              <w:rFonts w:ascii="Times New Roman" w:eastAsia="Times New Roman" w:hAnsi="Times New Roman" w:cs="Times New Roman"/>
              <w:color w:val="000000"/>
              <w:sz w:val="24"/>
              <w:szCs w:val="24"/>
              <w:lang w:eastAsia="zh-CN"/>
            </w:rPr>
            <w:t>McCarthy, S., Oliver, B., &amp; Song, S. (2017). Corporate social responsibility and CEO confidence. </w:t>
          </w:r>
          <w:r w:rsidRPr="0057671C">
            <w:rPr>
              <w:rFonts w:ascii="Times New Roman" w:eastAsia="Times New Roman" w:hAnsi="Times New Roman" w:cs="Times New Roman"/>
              <w:i/>
              <w:iCs/>
              <w:color w:val="000000"/>
              <w:sz w:val="24"/>
              <w:szCs w:val="24"/>
              <w:lang w:eastAsia="zh-CN"/>
            </w:rPr>
            <w:t>Journal of Banking &amp; Finance</w:t>
          </w:r>
          <w:r w:rsidRPr="0057671C">
            <w:rPr>
              <w:rFonts w:ascii="Times New Roman" w:eastAsia="Times New Roman" w:hAnsi="Times New Roman" w:cs="Times New Roman"/>
              <w:color w:val="000000"/>
              <w:sz w:val="24"/>
              <w:szCs w:val="24"/>
              <w:lang w:eastAsia="zh-CN"/>
            </w:rPr>
            <w:t>, </w:t>
          </w:r>
          <w:r w:rsidRPr="0057671C">
            <w:rPr>
              <w:rFonts w:ascii="Times New Roman" w:eastAsia="Times New Roman" w:hAnsi="Times New Roman" w:cs="Times New Roman"/>
              <w:i/>
              <w:iCs/>
              <w:color w:val="000000"/>
              <w:sz w:val="24"/>
              <w:szCs w:val="24"/>
              <w:lang w:eastAsia="zh-CN"/>
            </w:rPr>
            <w:t>75</w:t>
          </w:r>
          <w:r w:rsidRPr="0057671C">
            <w:rPr>
              <w:rFonts w:ascii="Times New Roman" w:eastAsia="Times New Roman" w:hAnsi="Times New Roman" w:cs="Times New Roman"/>
              <w:color w:val="000000"/>
              <w:sz w:val="24"/>
              <w:szCs w:val="24"/>
              <w:lang w:eastAsia="zh-CN"/>
            </w:rPr>
            <w:t xml:space="preserve">, 280-291. </w:t>
          </w:r>
          <w:hyperlink r:id="rId45" w:tgtFrame="_blank" w:tooltip="Persistent link using digital object identifier" w:history="1">
            <w:r w:rsidRPr="0057671C">
              <w:rPr>
                <w:rStyle w:val="Hyperlink"/>
                <w:rFonts w:ascii="Times New Roman" w:eastAsia="Times New Roman" w:hAnsi="Times New Roman" w:cs="Times New Roman"/>
                <w:sz w:val="24"/>
                <w:szCs w:val="24"/>
                <w:lang w:eastAsia="zh-CN"/>
              </w:rPr>
              <w:t>https://doi.org/10.1016/j.jbankfin.2016.11.024</w:t>
            </w:r>
          </w:hyperlink>
        </w:p>
        <w:p w14:paraId="70C92622" w14:textId="77777777" w:rsidR="0057671C" w:rsidRDefault="00286B2C" w:rsidP="0057671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Menicucci</w:t>
          </w:r>
          <w:proofErr w:type="spellEnd"/>
          <w:r w:rsidRPr="00286B2C">
            <w:rPr>
              <w:rFonts w:ascii="Times New Roman" w:eastAsia="Times New Roman" w:hAnsi="Times New Roman" w:cs="Times New Roman"/>
              <w:color w:val="000000"/>
              <w:sz w:val="24"/>
              <w:szCs w:val="24"/>
              <w:lang w:eastAsia="zh-CN"/>
            </w:rPr>
            <w:t xml:space="preserve">, E., &amp; Paolucci, G. (2022). Board Diversity and ESG Performance: Evidence from the Italian Banking Sector. </w:t>
          </w:r>
          <w:r w:rsidRPr="00286B2C">
            <w:rPr>
              <w:rFonts w:ascii="Times New Roman" w:eastAsia="Times New Roman" w:hAnsi="Times New Roman" w:cs="Times New Roman"/>
              <w:i/>
              <w:iCs/>
              <w:color w:val="000000"/>
              <w:sz w:val="24"/>
              <w:szCs w:val="24"/>
              <w:lang w:eastAsia="zh-CN"/>
            </w:rPr>
            <w:t>Sustainability (Switzerland)</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14</w:t>
          </w:r>
          <w:r w:rsidRPr="00286B2C">
            <w:rPr>
              <w:rFonts w:ascii="Times New Roman" w:eastAsia="Times New Roman" w:hAnsi="Times New Roman" w:cs="Times New Roman"/>
              <w:color w:val="000000"/>
              <w:sz w:val="24"/>
              <w:szCs w:val="24"/>
              <w:lang w:eastAsia="zh-CN"/>
            </w:rPr>
            <w:t xml:space="preserve">(20). </w:t>
          </w:r>
          <w:hyperlink r:id="rId46" w:history="1">
            <w:r w:rsidR="0057671C" w:rsidRPr="000039C8">
              <w:rPr>
                <w:rStyle w:val="Hyperlink"/>
                <w:rFonts w:ascii="Times New Roman" w:eastAsia="Times New Roman" w:hAnsi="Times New Roman" w:cs="Times New Roman"/>
                <w:sz w:val="24"/>
                <w:szCs w:val="24"/>
                <w:lang w:eastAsia="zh-CN"/>
              </w:rPr>
              <w:t>https://doi.org/10.3390/su142013447</w:t>
            </w:r>
          </w:hyperlink>
        </w:p>
        <w:p w14:paraId="29367939" w14:textId="0561A8A9" w:rsidR="00286B2C" w:rsidRDefault="00286B2C" w:rsidP="0057671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Minutolo, M. C., </w:t>
          </w:r>
          <w:proofErr w:type="spellStart"/>
          <w:r w:rsidRPr="00286B2C">
            <w:rPr>
              <w:rFonts w:ascii="Times New Roman" w:eastAsia="Times New Roman" w:hAnsi="Times New Roman" w:cs="Times New Roman"/>
              <w:color w:val="000000"/>
              <w:sz w:val="24"/>
              <w:szCs w:val="24"/>
              <w:lang w:eastAsia="zh-CN"/>
            </w:rPr>
            <w:t>Kristjanpoller</w:t>
          </w:r>
          <w:proofErr w:type="spellEnd"/>
          <w:r w:rsidRPr="00286B2C">
            <w:rPr>
              <w:rFonts w:ascii="Times New Roman" w:eastAsia="Times New Roman" w:hAnsi="Times New Roman" w:cs="Times New Roman"/>
              <w:color w:val="000000"/>
              <w:sz w:val="24"/>
              <w:szCs w:val="24"/>
              <w:lang w:eastAsia="zh-CN"/>
            </w:rPr>
            <w:t xml:space="preserve">, W. D., &amp; </w:t>
          </w:r>
          <w:proofErr w:type="spellStart"/>
          <w:r w:rsidRPr="00286B2C">
            <w:rPr>
              <w:rFonts w:ascii="Times New Roman" w:eastAsia="Times New Roman" w:hAnsi="Times New Roman" w:cs="Times New Roman"/>
              <w:color w:val="000000"/>
              <w:sz w:val="24"/>
              <w:szCs w:val="24"/>
              <w:lang w:eastAsia="zh-CN"/>
            </w:rPr>
            <w:t>Stakeley</w:t>
          </w:r>
          <w:proofErr w:type="spellEnd"/>
          <w:r w:rsidRPr="00286B2C">
            <w:rPr>
              <w:rFonts w:ascii="Times New Roman" w:eastAsia="Times New Roman" w:hAnsi="Times New Roman" w:cs="Times New Roman"/>
              <w:color w:val="000000"/>
              <w:sz w:val="24"/>
              <w:szCs w:val="24"/>
              <w:lang w:eastAsia="zh-CN"/>
            </w:rPr>
            <w:t xml:space="preserve">, J. (2019). Exploring environmental, social, and governance disclosure effects on the S&amp;P 500 financial performance. </w:t>
          </w:r>
          <w:r w:rsidRPr="00286B2C">
            <w:rPr>
              <w:rFonts w:ascii="Times New Roman" w:eastAsia="Times New Roman" w:hAnsi="Times New Roman" w:cs="Times New Roman"/>
              <w:i/>
              <w:iCs/>
              <w:color w:val="000000"/>
              <w:sz w:val="24"/>
              <w:szCs w:val="24"/>
              <w:lang w:eastAsia="zh-CN"/>
            </w:rPr>
            <w:t>Business Strategy and the Environment</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28</w:t>
          </w:r>
          <w:r w:rsidRPr="00286B2C">
            <w:rPr>
              <w:rFonts w:ascii="Times New Roman" w:eastAsia="Times New Roman" w:hAnsi="Times New Roman" w:cs="Times New Roman"/>
              <w:color w:val="000000"/>
              <w:sz w:val="24"/>
              <w:szCs w:val="24"/>
              <w:lang w:eastAsia="zh-CN"/>
            </w:rPr>
            <w:t xml:space="preserve">(6), 1083–1095. </w:t>
          </w:r>
          <w:hyperlink r:id="rId47" w:history="1">
            <w:r w:rsidR="00AE68B0" w:rsidRPr="000039C8">
              <w:rPr>
                <w:rStyle w:val="Hyperlink"/>
                <w:rFonts w:ascii="Times New Roman" w:eastAsia="Times New Roman" w:hAnsi="Times New Roman" w:cs="Times New Roman"/>
                <w:sz w:val="24"/>
                <w:szCs w:val="24"/>
                <w:lang w:eastAsia="zh-CN"/>
              </w:rPr>
              <w:t>https://doi.org/10.1002/bse.2303</w:t>
            </w:r>
          </w:hyperlink>
        </w:p>
        <w:p w14:paraId="29D544DE" w14:textId="3C751E5E"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Miranda, B., Delgado, C., &amp; Branco, M. C. (2023). Board Characteristics, Social Trust and ESG Performance in the European Banking Sector. </w:t>
          </w:r>
          <w:r w:rsidRPr="00286B2C">
            <w:rPr>
              <w:rFonts w:ascii="Times New Roman" w:eastAsia="Times New Roman" w:hAnsi="Times New Roman" w:cs="Times New Roman"/>
              <w:i/>
              <w:iCs/>
              <w:color w:val="000000"/>
              <w:sz w:val="24"/>
              <w:szCs w:val="24"/>
              <w:lang w:eastAsia="zh-CN"/>
            </w:rPr>
            <w:t>Journal of Risk and Financial Management</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16</w:t>
          </w:r>
          <w:r w:rsidRPr="00286B2C">
            <w:rPr>
              <w:rFonts w:ascii="Times New Roman" w:eastAsia="Times New Roman" w:hAnsi="Times New Roman" w:cs="Times New Roman"/>
              <w:color w:val="000000"/>
              <w:sz w:val="24"/>
              <w:szCs w:val="24"/>
              <w:lang w:eastAsia="zh-CN"/>
            </w:rPr>
            <w:t xml:space="preserve">(4). </w:t>
          </w:r>
          <w:hyperlink r:id="rId48" w:history="1">
            <w:r w:rsidR="00AE68B0" w:rsidRPr="000039C8">
              <w:rPr>
                <w:rStyle w:val="Hyperlink"/>
                <w:rFonts w:ascii="Times New Roman" w:eastAsia="Times New Roman" w:hAnsi="Times New Roman" w:cs="Times New Roman"/>
                <w:sz w:val="24"/>
                <w:szCs w:val="24"/>
                <w:lang w:eastAsia="zh-CN"/>
              </w:rPr>
              <w:t>https://doi.org/10.3390/jrfm16040244</w:t>
            </w:r>
          </w:hyperlink>
        </w:p>
        <w:p w14:paraId="75BFC539" w14:textId="51BCEAEA"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Nguyen, T. T., &amp; Thuy, T. (</w:t>
          </w:r>
          <w:r w:rsidR="00073A3A">
            <w:rPr>
              <w:rFonts w:ascii="Times New Roman" w:eastAsia="Times New Roman" w:hAnsi="Times New Roman" w:cs="Times New Roman"/>
              <w:color w:val="000000"/>
              <w:sz w:val="24"/>
              <w:szCs w:val="24"/>
              <w:lang w:eastAsia="zh-CN"/>
            </w:rPr>
            <w:t>2015</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CEO Overconfidence Effects on Mergers and Acquisitions Finance Master’s thesis Title of thesis CEO Overconfidence Effects on Mergers and Acquisitions</w:t>
          </w:r>
          <w:r w:rsidRPr="00286B2C">
            <w:rPr>
              <w:rFonts w:ascii="Times New Roman" w:eastAsia="Times New Roman" w:hAnsi="Times New Roman" w:cs="Times New Roman"/>
              <w:color w:val="000000"/>
              <w:sz w:val="24"/>
              <w:szCs w:val="24"/>
              <w:lang w:eastAsia="zh-CN"/>
            </w:rPr>
            <w:t xml:space="preserve">. </w:t>
          </w:r>
          <w:hyperlink r:id="rId49" w:history="1">
            <w:r w:rsidR="00073A3A" w:rsidRPr="000039C8">
              <w:rPr>
                <w:rStyle w:val="Hyperlink"/>
                <w:rFonts w:ascii="Times New Roman" w:eastAsia="Times New Roman" w:hAnsi="Times New Roman" w:cs="Times New Roman"/>
                <w:sz w:val="24"/>
                <w:szCs w:val="24"/>
                <w:lang w:eastAsia="zh-CN"/>
              </w:rPr>
              <w:t>https://aaltodoc.aalto.fi/items/4eef5961-14c7-43a3-ba5a-8998233e5787</w:t>
            </w:r>
          </w:hyperlink>
        </w:p>
        <w:p w14:paraId="58FE0DF9" w14:textId="2FCF2572"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Pan, A., Liu, W., &amp; Wang, X. (2019). Managerial overconfidence, debt capacity and merger &amp; acquisition premium. </w:t>
          </w:r>
          <w:r w:rsidRPr="00286B2C">
            <w:rPr>
              <w:rFonts w:ascii="Times New Roman" w:eastAsia="Times New Roman" w:hAnsi="Times New Roman" w:cs="Times New Roman"/>
              <w:i/>
              <w:iCs/>
              <w:color w:val="000000"/>
              <w:sz w:val="24"/>
              <w:szCs w:val="24"/>
              <w:lang w:eastAsia="zh-CN"/>
            </w:rPr>
            <w:t>Nankai Business Review International</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10</w:t>
          </w:r>
          <w:r w:rsidRPr="00286B2C">
            <w:rPr>
              <w:rFonts w:ascii="Times New Roman" w:eastAsia="Times New Roman" w:hAnsi="Times New Roman" w:cs="Times New Roman"/>
              <w:color w:val="000000"/>
              <w:sz w:val="24"/>
              <w:szCs w:val="24"/>
              <w:lang w:eastAsia="zh-CN"/>
            </w:rPr>
            <w:t xml:space="preserve">(4), 570–590. </w:t>
          </w:r>
          <w:hyperlink r:id="rId50" w:history="1">
            <w:r w:rsidR="00AE68B0" w:rsidRPr="000039C8">
              <w:rPr>
                <w:rStyle w:val="Hyperlink"/>
                <w:rFonts w:ascii="Times New Roman" w:eastAsia="Times New Roman" w:hAnsi="Times New Roman" w:cs="Times New Roman"/>
                <w:sz w:val="24"/>
                <w:szCs w:val="24"/>
                <w:lang w:eastAsia="zh-CN"/>
              </w:rPr>
              <w:t>https://doi.org/10.1108/NBRI-04-2019-0016</w:t>
            </w:r>
          </w:hyperlink>
        </w:p>
        <w:p w14:paraId="256AE373" w14:textId="6F1009C5"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Paolone</w:t>
          </w:r>
          <w:proofErr w:type="spellEnd"/>
          <w:r w:rsidRPr="00286B2C">
            <w:rPr>
              <w:rFonts w:ascii="Times New Roman" w:eastAsia="Times New Roman" w:hAnsi="Times New Roman" w:cs="Times New Roman"/>
              <w:color w:val="000000"/>
              <w:sz w:val="24"/>
              <w:szCs w:val="24"/>
              <w:lang w:eastAsia="zh-CN"/>
            </w:rPr>
            <w:t xml:space="preserve">, F., Pozzoli, M., Chhabra, M., &amp; Di Vaio, A. (2024). Cultural and gender diversity for ESG performance towards knowledge sharing: empirical evidence from European banks. </w:t>
          </w:r>
          <w:r w:rsidRPr="00286B2C">
            <w:rPr>
              <w:rFonts w:ascii="Times New Roman" w:eastAsia="Times New Roman" w:hAnsi="Times New Roman" w:cs="Times New Roman"/>
              <w:i/>
              <w:iCs/>
              <w:color w:val="000000"/>
              <w:sz w:val="24"/>
              <w:szCs w:val="24"/>
              <w:lang w:eastAsia="zh-CN"/>
            </w:rPr>
            <w:t>Journal of Knowledge Management</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28</w:t>
          </w:r>
          <w:r w:rsidRPr="00286B2C">
            <w:rPr>
              <w:rFonts w:ascii="Times New Roman" w:eastAsia="Times New Roman" w:hAnsi="Times New Roman" w:cs="Times New Roman"/>
              <w:color w:val="000000"/>
              <w:sz w:val="24"/>
              <w:szCs w:val="24"/>
              <w:lang w:eastAsia="zh-CN"/>
            </w:rPr>
            <w:t xml:space="preserve">(11), 106–131. </w:t>
          </w:r>
          <w:hyperlink r:id="rId51" w:history="1">
            <w:r w:rsidR="00AE68B0" w:rsidRPr="000039C8">
              <w:rPr>
                <w:rStyle w:val="Hyperlink"/>
                <w:rFonts w:ascii="Times New Roman" w:eastAsia="Times New Roman" w:hAnsi="Times New Roman" w:cs="Times New Roman"/>
                <w:sz w:val="24"/>
                <w:szCs w:val="24"/>
                <w:lang w:eastAsia="zh-CN"/>
              </w:rPr>
              <w:t>https://doi.org/10.1108/JKM-05-2023-0445</w:t>
            </w:r>
          </w:hyperlink>
        </w:p>
        <w:p w14:paraId="10A46C07" w14:textId="5F6CF849"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lastRenderedPageBreak/>
            <w:t xml:space="preserve">Park, K. H., Byun, J., &amp; Choi, P. M. S. (2020). Managerial overconfidence, corporate social responsibility activities, and financial constraints. </w:t>
          </w:r>
          <w:r w:rsidRPr="00286B2C">
            <w:rPr>
              <w:rFonts w:ascii="Times New Roman" w:eastAsia="Times New Roman" w:hAnsi="Times New Roman" w:cs="Times New Roman"/>
              <w:i/>
              <w:iCs/>
              <w:color w:val="000000"/>
              <w:sz w:val="24"/>
              <w:szCs w:val="24"/>
              <w:lang w:eastAsia="zh-CN"/>
            </w:rPr>
            <w:t>Sustainability (Switzerland)</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12</w:t>
          </w:r>
          <w:r w:rsidRPr="00286B2C">
            <w:rPr>
              <w:rFonts w:ascii="Times New Roman" w:eastAsia="Times New Roman" w:hAnsi="Times New Roman" w:cs="Times New Roman"/>
              <w:color w:val="000000"/>
              <w:sz w:val="24"/>
              <w:szCs w:val="24"/>
              <w:lang w:eastAsia="zh-CN"/>
            </w:rPr>
            <w:t xml:space="preserve">(1), 1–14. </w:t>
          </w:r>
          <w:hyperlink r:id="rId52" w:history="1">
            <w:r w:rsidR="00C54CDA" w:rsidRPr="000039C8">
              <w:rPr>
                <w:rStyle w:val="Hyperlink"/>
                <w:rFonts w:ascii="Times New Roman" w:eastAsia="Times New Roman" w:hAnsi="Times New Roman" w:cs="Times New Roman"/>
                <w:sz w:val="24"/>
                <w:szCs w:val="24"/>
                <w:lang w:eastAsia="zh-CN"/>
              </w:rPr>
              <w:t>https://doi.org/10.3390/SU12010061</w:t>
            </w:r>
          </w:hyperlink>
        </w:p>
        <w:p w14:paraId="1BF1DFC7" w14:textId="770E92F7" w:rsidR="00C54CDA" w:rsidRDefault="00C54CDA" w:rsidP="00C54CDA">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C54CDA">
            <w:rPr>
              <w:rFonts w:ascii="Times New Roman" w:eastAsia="Times New Roman" w:hAnsi="Times New Roman" w:cs="Times New Roman"/>
              <w:color w:val="000000"/>
              <w:sz w:val="24"/>
              <w:szCs w:val="24"/>
              <w:lang w:eastAsia="zh-CN"/>
            </w:rPr>
            <w:t>Petrenko</w:t>
          </w:r>
          <w:proofErr w:type="spellEnd"/>
          <w:r w:rsidRPr="00C54CDA">
            <w:rPr>
              <w:rFonts w:ascii="Times New Roman" w:eastAsia="Times New Roman" w:hAnsi="Times New Roman" w:cs="Times New Roman"/>
              <w:color w:val="000000"/>
              <w:sz w:val="24"/>
              <w:szCs w:val="24"/>
              <w:lang w:eastAsia="zh-CN"/>
            </w:rPr>
            <w:t xml:space="preserve">, O. V., </w:t>
          </w:r>
          <w:proofErr w:type="spellStart"/>
          <w:r w:rsidRPr="00C54CDA">
            <w:rPr>
              <w:rFonts w:ascii="Times New Roman" w:eastAsia="Times New Roman" w:hAnsi="Times New Roman" w:cs="Times New Roman"/>
              <w:color w:val="000000"/>
              <w:sz w:val="24"/>
              <w:szCs w:val="24"/>
              <w:lang w:eastAsia="zh-CN"/>
            </w:rPr>
            <w:t>Aime</w:t>
          </w:r>
          <w:proofErr w:type="spellEnd"/>
          <w:r w:rsidRPr="00C54CDA">
            <w:rPr>
              <w:rFonts w:ascii="Times New Roman" w:eastAsia="Times New Roman" w:hAnsi="Times New Roman" w:cs="Times New Roman"/>
              <w:color w:val="000000"/>
              <w:sz w:val="24"/>
              <w:szCs w:val="24"/>
              <w:lang w:eastAsia="zh-CN"/>
            </w:rPr>
            <w:t>, F., Ridge, J., &amp; Hill, A. (2016). Corporate social responsibility or CEO narcissism? CSR motivations and organizational performance. </w:t>
          </w:r>
          <w:r w:rsidRPr="00C54CDA">
            <w:rPr>
              <w:rFonts w:ascii="Times New Roman" w:eastAsia="Times New Roman" w:hAnsi="Times New Roman" w:cs="Times New Roman"/>
              <w:i/>
              <w:iCs/>
              <w:color w:val="000000"/>
              <w:sz w:val="24"/>
              <w:szCs w:val="24"/>
              <w:lang w:eastAsia="zh-CN"/>
            </w:rPr>
            <w:t>Strategic management journal</w:t>
          </w:r>
          <w:r w:rsidRPr="00C54CDA">
            <w:rPr>
              <w:rFonts w:ascii="Times New Roman" w:eastAsia="Times New Roman" w:hAnsi="Times New Roman" w:cs="Times New Roman"/>
              <w:color w:val="000000"/>
              <w:sz w:val="24"/>
              <w:szCs w:val="24"/>
              <w:lang w:eastAsia="zh-CN"/>
            </w:rPr>
            <w:t>, </w:t>
          </w:r>
          <w:r w:rsidRPr="00C54CDA">
            <w:rPr>
              <w:rFonts w:ascii="Times New Roman" w:eastAsia="Times New Roman" w:hAnsi="Times New Roman" w:cs="Times New Roman"/>
              <w:i/>
              <w:iCs/>
              <w:color w:val="000000"/>
              <w:sz w:val="24"/>
              <w:szCs w:val="24"/>
              <w:lang w:eastAsia="zh-CN"/>
            </w:rPr>
            <w:t>37</w:t>
          </w:r>
          <w:r w:rsidRPr="00C54CDA">
            <w:rPr>
              <w:rFonts w:ascii="Times New Roman" w:eastAsia="Times New Roman" w:hAnsi="Times New Roman" w:cs="Times New Roman"/>
              <w:color w:val="000000"/>
              <w:sz w:val="24"/>
              <w:szCs w:val="24"/>
              <w:lang w:eastAsia="zh-CN"/>
            </w:rPr>
            <w:t xml:space="preserve">(2), 262-279. </w:t>
          </w:r>
          <w:hyperlink r:id="rId53" w:history="1">
            <w:r w:rsidRPr="00C54CDA">
              <w:rPr>
                <w:rStyle w:val="Hyperlink"/>
                <w:rFonts w:ascii="Times New Roman" w:eastAsia="Times New Roman" w:hAnsi="Times New Roman" w:cs="Times New Roman"/>
                <w:sz w:val="24"/>
                <w:szCs w:val="24"/>
                <w:lang w:eastAsia="zh-CN"/>
              </w:rPr>
              <w:t>https://doi.org/10.1002/smj.2348</w:t>
            </w:r>
          </w:hyperlink>
        </w:p>
        <w:p w14:paraId="45E66A5B" w14:textId="77777777" w:rsidR="00057382" w:rsidRDefault="00057382" w:rsidP="00057382">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057382">
            <w:rPr>
              <w:rFonts w:ascii="Times New Roman" w:eastAsia="Times New Roman" w:hAnsi="Times New Roman" w:cs="Times New Roman"/>
              <w:color w:val="000000"/>
              <w:sz w:val="24"/>
              <w:szCs w:val="24"/>
              <w:lang w:eastAsia="zh-CN"/>
            </w:rPr>
            <w:t>Qin, B. (2019). CEO overconfidence and corporate environmental performances. Available at SSRN: </w:t>
          </w:r>
          <w:hyperlink r:id="rId54" w:tgtFrame="_blank" w:history="1">
            <w:r w:rsidRPr="00057382">
              <w:rPr>
                <w:rStyle w:val="Hyperlink"/>
                <w:rFonts w:ascii="Times New Roman" w:eastAsia="Times New Roman" w:hAnsi="Times New Roman" w:cs="Times New Roman"/>
                <w:sz w:val="24"/>
                <w:szCs w:val="24"/>
                <w:lang w:eastAsia="zh-CN"/>
              </w:rPr>
              <w:t>https://ssrn.com/abstract=3440407</w:t>
            </w:r>
          </w:hyperlink>
          <w:r w:rsidRPr="00057382">
            <w:rPr>
              <w:rFonts w:ascii="Times New Roman" w:eastAsia="Times New Roman" w:hAnsi="Times New Roman" w:cs="Times New Roman"/>
              <w:color w:val="000000"/>
              <w:sz w:val="24"/>
              <w:szCs w:val="24"/>
              <w:lang w:eastAsia="zh-CN"/>
            </w:rPr>
            <w:t> or </w:t>
          </w:r>
          <w:hyperlink r:id="rId55" w:tgtFrame="_blank" w:history="1">
            <w:r w:rsidRPr="00057382">
              <w:rPr>
                <w:rStyle w:val="Hyperlink"/>
                <w:rFonts w:ascii="Times New Roman" w:eastAsia="Times New Roman" w:hAnsi="Times New Roman" w:cs="Times New Roman"/>
                <w:sz w:val="24"/>
                <w:szCs w:val="24"/>
                <w:lang w:eastAsia="zh-CN"/>
              </w:rPr>
              <w:t>http://dx.doi.org/10.2139/ssrn.3440407</w:t>
            </w:r>
          </w:hyperlink>
        </w:p>
        <w:p w14:paraId="50FE5518" w14:textId="1FAC8C04" w:rsidR="00AE4336" w:rsidRDefault="00AE4336" w:rsidP="00AE4336">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AE4336">
            <w:rPr>
              <w:rFonts w:ascii="Times New Roman" w:eastAsia="Times New Roman" w:hAnsi="Times New Roman" w:cs="Times New Roman"/>
              <w:color w:val="000000"/>
              <w:sz w:val="24"/>
              <w:szCs w:val="24"/>
              <w:lang w:eastAsia="zh-CN"/>
            </w:rPr>
            <w:t xml:space="preserve">Russo, J. E., &amp; </w:t>
          </w:r>
          <w:proofErr w:type="spellStart"/>
          <w:r w:rsidRPr="00AE4336">
            <w:rPr>
              <w:rFonts w:ascii="Times New Roman" w:eastAsia="Times New Roman" w:hAnsi="Times New Roman" w:cs="Times New Roman"/>
              <w:color w:val="000000"/>
              <w:sz w:val="24"/>
              <w:szCs w:val="24"/>
              <w:lang w:eastAsia="zh-CN"/>
            </w:rPr>
            <w:t>Schoemaker</w:t>
          </w:r>
          <w:proofErr w:type="spellEnd"/>
          <w:r w:rsidRPr="00AE4336">
            <w:rPr>
              <w:rFonts w:ascii="Times New Roman" w:eastAsia="Times New Roman" w:hAnsi="Times New Roman" w:cs="Times New Roman"/>
              <w:color w:val="000000"/>
              <w:sz w:val="24"/>
              <w:szCs w:val="24"/>
              <w:lang w:eastAsia="zh-CN"/>
            </w:rPr>
            <w:t>, P. J. (1992). Managing overconfidence. </w:t>
          </w:r>
          <w:r w:rsidRPr="00AE4336">
            <w:rPr>
              <w:rFonts w:ascii="Times New Roman" w:eastAsia="Times New Roman" w:hAnsi="Times New Roman" w:cs="Times New Roman"/>
              <w:i/>
              <w:iCs/>
              <w:color w:val="000000"/>
              <w:sz w:val="24"/>
              <w:szCs w:val="24"/>
              <w:lang w:eastAsia="zh-CN"/>
            </w:rPr>
            <w:t>Sloan management review</w:t>
          </w:r>
          <w:r w:rsidRPr="00AE4336">
            <w:rPr>
              <w:rFonts w:ascii="Times New Roman" w:eastAsia="Times New Roman" w:hAnsi="Times New Roman" w:cs="Times New Roman"/>
              <w:color w:val="000000"/>
              <w:sz w:val="24"/>
              <w:szCs w:val="24"/>
              <w:lang w:eastAsia="zh-CN"/>
            </w:rPr>
            <w:t>, </w:t>
          </w:r>
          <w:r w:rsidRPr="00AE4336">
            <w:rPr>
              <w:rFonts w:ascii="Times New Roman" w:eastAsia="Times New Roman" w:hAnsi="Times New Roman" w:cs="Times New Roman"/>
              <w:i/>
              <w:iCs/>
              <w:color w:val="000000"/>
              <w:sz w:val="24"/>
              <w:szCs w:val="24"/>
              <w:lang w:eastAsia="zh-CN"/>
            </w:rPr>
            <w:t>33</w:t>
          </w:r>
          <w:r w:rsidRPr="00AE4336">
            <w:rPr>
              <w:rFonts w:ascii="Times New Roman" w:eastAsia="Times New Roman" w:hAnsi="Times New Roman" w:cs="Times New Roman"/>
              <w:color w:val="000000"/>
              <w:sz w:val="24"/>
              <w:szCs w:val="24"/>
              <w:lang w:eastAsia="zh-CN"/>
            </w:rPr>
            <w:t>(2), 7-17.</w:t>
          </w:r>
          <w:r w:rsidRPr="00AE4336">
            <w:t xml:space="preserve"> </w:t>
          </w:r>
          <w:hyperlink r:id="rId56" w:history="1">
            <w:r w:rsidRPr="000039C8">
              <w:rPr>
                <w:rStyle w:val="Hyperlink"/>
                <w:rFonts w:ascii="Times New Roman" w:eastAsia="Times New Roman" w:hAnsi="Times New Roman" w:cs="Times New Roman"/>
                <w:sz w:val="24"/>
                <w:szCs w:val="24"/>
                <w:lang w:eastAsia="zh-CN"/>
              </w:rPr>
              <w:t>https://sloanreview.mit.edu/article/managing-overconfidence/</w:t>
            </w:r>
          </w:hyperlink>
        </w:p>
        <w:p w14:paraId="40E44E8A" w14:textId="77777777" w:rsidR="00E5065A" w:rsidRPr="00E5065A" w:rsidRDefault="00E5065A" w:rsidP="00E5065A">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E5065A">
            <w:rPr>
              <w:rFonts w:ascii="Times New Roman" w:eastAsia="Times New Roman" w:hAnsi="Times New Roman" w:cs="Times New Roman"/>
              <w:color w:val="000000"/>
              <w:sz w:val="24"/>
              <w:szCs w:val="24"/>
              <w:lang w:eastAsia="zh-CN"/>
            </w:rPr>
            <w:t>Saini, D., &amp; Singh, B. (2025). CEO overconfidence and corporate social responsibility: exploring the moderating role of governance. </w:t>
          </w:r>
          <w:r w:rsidRPr="00E5065A">
            <w:rPr>
              <w:rFonts w:ascii="Times New Roman" w:eastAsia="Times New Roman" w:hAnsi="Times New Roman" w:cs="Times New Roman"/>
              <w:i/>
              <w:iCs/>
              <w:color w:val="000000"/>
              <w:sz w:val="24"/>
              <w:szCs w:val="24"/>
              <w:lang w:eastAsia="zh-CN"/>
            </w:rPr>
            <w:t>International Journal of Ethics and Systems</w:t>
          </w:r>
          <w:r w:rsidRPr="00E5065A">
            <w:rPr>
              <w:rFonts w:ascii="Times New Roman" w:eastAsia="Times New Roman" w:hAnsi="Times New Roman" w:cs="Times New Roman"/>
              <w:color w:val="000000"/>
              <w:sz w:val="24"/>
              <w:szCs w:val="24"/>
              <w:lang w:eastAsia="zh-CN"/>
            </w:rPr>
            <w:t xml:space="preserve">. </w:t>
          </w:r>
          <w:hyperlink r:id="rId57" w:history="1">
            <w:r w:rsidRPr="00E5065A">
              <w:rPr>
                <w:rStyle w:val="Hyperlink"/>
                <w:rFonts w:ascii="Times New Roman" w:eastAsia="Times New Roman" w:hAnsi="Times New Roman" w:cs="Times New Roman"/>
                <w:sz w:val="24"/>
                <w:szCs w:val="24"/>
                <w:lang w:eastAsia="zh-CN"/>
              </w:rPr>
              <w:t>https://www.emerald.com/insight/content/doi/10.1108/ijoes-11-2024-0358/full/html</w:t>
            </w:r>
          </w:hyperlink>
        </w:p>
        <w:p w14:paraId="71B7BF94" w14:textId="32121F03" w:rsidR="00E5065A" w:rsidRDefault="00E5065A" w:rsidP="00E5065A">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E5065A">
            <w:rPr>
              <w:rFonts w:ascii="Times New Roman" w:eastAsia="Times New Roman" w:hAnsi="Times New Roman" w:cs="Times New Roman"/>
              <w:color w:val="000000"/>
              <w:sz w:val="24"/>
              <w:szCs w:val="24"/>
              <w:lang w:eastAsia="zh-CN"/>
            </w:rPr>
            <w:t>Seo</w:t>
          </w:r>
          <w:proofErr w:type="spellEnd"/>
          <w:r w:rsidRPr="00E5065A">
            <w:rPr>
              <w:rFonts w:ascii="Times New Roman" w:eastAsia="Times New Roman" w:hAnsi="Times New Roman" w:cs="Times New Roman"/>
              <w:color w:val="000000"/>
              <w:sz w:val="24"/>
              <w:szCs w:val="24"/>
              <w:lang w:eastAsia="zh-CN"/>
            </w:rPr>
            <w:t xml:space="preserve">, K., Kim, E. E. K., &amp; Sharma, A. (2017). Examining the determinants of long-term debt in the US restaurant industry: Does CEO overconfidence affect debt maturity </w:t>
          </w:r>
          <w:proofErr w:type="gramStart"/>
          <w:r w:rsidRPr="00E5065A">
            <w:rPr>
              <w:rFonts w:ascii="Times New Roman" w:eastAsia="Times New Roman" w:hAnsi="Times New Roman" w:cs="Times New Roman"/>
              <w:color w:val="000000"/>
              <w:sz w:val="24"/>
              <w:szCs w:val="24"/>
              <w:lang w:eastAsia="zh-CN"/>
            </w:rPr>
            <w:t>decisions?.</w:t>
          </w:r>
          <w:proofErr w:type="gramEnd"/>
          <w:r w:rsidRPr="00E5065A">
            <w:rPr>
              <w:rFonts w:ascii="Times New Roman" w:eastAsia="Times New Roman" w:hAnsi="Times New Roman" w:cs="Times New Roman"/>
              <w:color w:val="000000"/>
              <w:sz w:val="24"/>
              <w:szCs w:val="24"/>
              <w:lang w:eastAsia="zh-CN"/>
            </w:rPr>
            <w:t> </w:t>
          </w:r>
          <w:r w:rsidRPr="00E5065A">
            <w:rPr>
              <w:rFonts w:ascii="Times New Roman" w:eastAsia="Times New Roman" w:hAnsi="Times New Roman" w:cs="Times New Roman"/>
              <w:i/>
              <w:iCs/>
              <w:color w:val="000000"/>
              <w:sz w:val="24"/>
              <w:szCs w:val="24"/>
              <w:lang w:eastAsia="zh-CN"/>
            </w:rPr>
            <w:t>International Journal of Contemporary Hospitality Management</w:t>
          </w:r>
          <w:r w:rsidRPr="00E5065A">
            <w:rPr>
              <w:rFonts w:ascii="Times New Roman" w:eastAsia="Times New Roman" w:hAnsi="Times New Roman" w:cs="Times New Roman"/>
              <w:color w:val="000000"/>
              <w:sz w:val="24"/>
              <w:szCs w:val="24"/>
              <w:lang w:eastAsia="zh-CN"/>
            </w:rPr>
            <w:t>, </w:t>
          </w:r>
          <w:r w:rsidRPr="00E5065A">
            <w:rPr>
              <w:rFonts w:ascii="Times New Roman" w:eastAsia="Times New Roman" w:hAnsi="Times New Roman" w:cs="Times New Roman"/>
              <w:i/>
              <w:iCs/>
              <w:color w:val="000000"/>
              <w:sz w:val="24"/>
              <w:szCs w:val="24"/>
              <w:lang w:eastAsia="zh-CN"/>
            </w:rPr>
            <w:t>29</w:t>
          </w:r>
          <w:r w:rsidRPr="00E5065A">
            <w:rPr>
              <w:rFonts w:ascii="Times New Roman" w:eastAsia="Times New Roman" w:hAnsi="Times New Roman" w:cs="Times New Roman"/>
              <w:color w:val="000000"/>
              <w:sz w:val="24"/>
              <w:szCs w:val="24"/>
              <w:lang w:eastAsia="zh-CN"/>
            </w:rPr>
            <w:t xml:space="preserve">(5), 1501-1520. </w:t>
          </w:r>
          <w:hyperlink r:id="rId58" w:history="1">
            <w:r w:rsidRPr="00E5065A">
              <w:rPr>
                <w:rStyle w:val="Hyperlink"/>
                <w:rFonts w:ascii="Times New Roman" w:eastAsia="Times New Roman" w:hAnsi="Times New Roman" w:cs="Times New Roman"/>
                <w:sz w:val="24"/>
                <w:szCs w:val="24"/>
                <w:lang w:eastAsia="zh-CN"/>
              </w:rPr>
              <w:t>https://www.emerald.com/insight/content/doi/10.1108/ijchm-06-2015-0274/full/html</w:t>
            </w:r>
          </w:hyperlink>
        </w:p>
        <w:p w14:paraId="13BBDE97" w14:textId="77777777" w:rsidR="00E5065A" w:rsidRDefault="00286B2C" w:rsidP="00E5065A">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Solarino</w:t>
          </w:r>
          <w:proofErr w:type="spellEnd"/>
          <w:r w:rsidRPr="00286B2C">
            <w:rPr>
              <w:rFonts w:ascii="Times New Roman" w:eastAsia="Times New Roman" w:hAnsi="Times New Roman" w:cs="Times New Roman"/>
              <w:color w:val="000000"/>
              <w:sz w:val="24"/>
              <w:szCs w:val="24"/>
              <w:lang w:eastAsia="zh-CN"/>
            </w:rPr>
            <w:t xml:space="preserve">, A. M., &amp; Boyd, B. K. (2020). Are all forms of ownership prone to tunneling? A meta-analysis. </w:t>
          </w:r>
          <w:r w:rsidRPr="00286B2C">
            <w:rPr>
              <w:rFonts w:ascii="Times New Roman" w:eastAsia="Times New Roman" w:hAnsi="Times New Roman" w:cs="Times New Roman"/>
              <w:i/>
              <w:iCs/>
              <w:color w:val="000000"/>
              <w:sz w:val="24"/>
              <w:szCs w:val="24"/>
              <w:lang w:eastAsia="zh-CN"/>
            </w:rPr>
            <w:t>Corporate Governance: An International Review</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28</w:t>
          </w:r>
          <w:r w:rsidRPr="00286B2C">
            <w:rPr>
              <w:rFonts w:ascii="Times New Roman" w:eastAsia="Times New Roman" w:hAnsi="Times New Roman" w:cs="Times New Roman"/>
              <w:color w:val="000000"/>
              <w:sz w:val="24"/>
              <w:szCs w:val="24"/>
              <w:lang w:eastAsia="zh-CN"/>
            </w:rPr>
            <w:t xml:space="preserve">(6), 488–501. </w:t>
          </w:r>
          <w:hyperlink r:id="rId59" w:history="1">
            <w:r w:rsidR="00E5065A" w:rsidRPr="000039C8">
              <w:rPr>
                <w:rStyle w:val="Hyperlink"/>
                <w:rFonts w:ascii="Times New Roman" w:eastAsia="Times New Roman" w:hAnsi="Times New Roman" w:cs="Times New Roman"/>
                <w:sz w:val="24"/>
                <w:szCs w:val="24"/>
                <w:lang w:eastAsia="zh-CN"/>
              </w:rPr>
              <w:t>https://doi.org/10.1111/corg.12344</w:t>
            </w:r>
          </w:hyperlink>
        </w:p>
        <w:p w14:paraId="51B34C92" w14:textId="06482706"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Tan, W., Liu, Y., Dong, Q., &amp; Chen, X. H. (2025). From values to value: exploring the dual impact of national spirit on corporate ESG performance. </w:t>
          </w:r>
          <w:r w:rsidRPr="00286B2C">
            <w:rPr>
              <w:rFonts w:ascii="Times New Roman" w:eastAsia="Times New Roman" w:hAnsi="Times New Roman" w:cs="Times New Roman"/>
              <w:i/>
              <w:iCs/>
              <w:color w:val="000000"/>
              <w:sz w:val="24"/>
              <w:szCs w:val="24"/>
              <w:lang w:eastAsia="zh-CN"/>
            </w:rPr>
            <w:t>Journal of Accounting Literature</w:t>
          </w:r>
          <w:r w:rsidRPr="00286B2C">
            <w:rPr>
              <w:rFonts w:ascii="Times New Roman" w:eastAsia="Times New Roman" w:hAnsi="Times New Roman" w:cs="Times New Roman"/>
              <w:color w:val="000000"/>
              <w:sz w:val="24"/>
              <w:szCs w:val="24"/>
              <w:lang w:eastAsia="zh-CN"/>
            </w:rPr>
            <w:t xml:space="preserve">. </w:t>
          </w:r>
          <w:hyperlink r:id="rId60" w:history="1">
            <w:r w:rsidR="007F4A8D" w:rsidRPr="000039C8">
              <w:rPr>
                <w:rStyle w:val="Hyperlink"/>
                <w:rFonts w:ascii="Times New Roman" w:eastAsia="Times New Roman" w:hAnsi="Times New Roman" w:cs="Times New Roman"/>
                <w:sz w:val="24"/>
                <w:szCs w:val="24"/>
                <w:lang w:eastAsia="zh-CN"/>
              </w:rPr>
              <w:t>https://doi.org/10.1108/JAL-08-2024-0222</w:t>
            </w:r>
          </w:hyperlink>
        </w:p>
        <w:p w14:paraId="5D45A431" w14:textId="4EC33DC5" w:rsidR="007F4A8D" w:rsidRDefault="007F4A8D" w:rsidP="007F4A8D">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7F4A8D">
            <w:rPr>
              <w:rFonts w:ascii="Times New Roman" w:eastAsia="Times New Roman" w:hAnsi="Times New Roman" w:cs="Times New Roman"/>
              <w:color w:val="000000"/>
              <w:sz w:val="24"/>
              <w:szCs w:val="24"/>
              <w:lang w:eastAsia="zh-CN"/>
            </w:rPr>
            <w:t>Tang, Y., Li, J., &amp; Yang, H. (2015). What I see, what I do: How executive hubris affects firm innovation. </w:t>
          </w:r>
          <w:r w:rsidRPr="007F4A8D">
            <w:rPr>
              <w:rFonts w:ascii="Times New Roman" w:eastAsia="Times New Roman" w:hAnsi="Times New Roman" w:cs="Times New Roman"/>
              <w:i/>
              <w:iCs/>
              <w:color w:val="000000"/>
              <w:sz w:val="24"/>
              <w:szCs w:val="24"/>
              <w:lang w:eastAsia="zh-CN"/>
            </w:rPr>
            <w:t>Journal of Management</w:t>
          </w:r>
          <w:r w:rsidRPr="007F4A8D">
            <w:rPr>
              <w:rFonts w:ascii="Times New Roman" w:eastAsia="Times New Roman" w:hAnsi="Times New Roman" w:cs="Times New Roman"/>
              <w:color w:val="000000"/>
              <w:sz w:val="24"/>
              <w:szCs w:val="24"/>
              <w:lang w:eastAsia="zh-CN"/>
            </w:rPr>
            <w:t>, </w:t>
          </w:r>
          <w:r w:rsidRPr="007F4A8D">
            <w:rPr>
              <w:rFonts w:ascii="Times New Roman" w:eastAsia="Times New Roman" w:hAnsi="Times New Roman" w:cs="Times New Roman"/>
              <w:i/>
              <w:iCs/>
              <w:color w:val="000000"/>
              <w:sz w:val="24"/>
              <w:szCs w:val="24"/>
              <w:lang w:eastAsia="zh-CN"/>
            </w:rPr>
            <w:t>41</w:t>
          </w:r>
          <w:r w:rsidRPr="007F4A8D">
            <w:rPr>
              <w:rFonts w:ascii="Times New Roman" w:eastAsia="Times New Roman" w:hAnsi="Times New Roman" w:cs="Times New Roman"/>
              <w:color w:val="000000"/>
              <w:sz w:val="24"/>
              <w:szCs w:val="24"/>
              <w:lang w:eastAsia="zh-CN"/>
            </w:rPr>
            <w:t>(6), 1698-1723.</w:t>
          </w:r>
          <w:r w:rsidRPr="007F4A8D">
            <w:t xml:space="preserve"> </w:t>
          </w:r>
          <w:hyperlink r:id="rId61" w:history="1">
            <w:r w:rsidRPr="000039C8">
              <w:rPr>
                <w:rStyle w:val="Hyperlink"/>
                <w:rFonts w:ascii="Times New Roman" w:eastAsia="Times New Roman" w:hAnsi="Times New Roman" w:cs="Times New Roman"/>
                <w:sz w:val="24"/>
                <w:szCs w:val="24"/>
                <w:lang w:eastAsia="zh-CN"/>
              </w:rPr>
              <w:t>https://journals.sagepub.com/doi/abs/10.1177/0149206312441211</w:t>
            </w:r>
          </w:hyperlink>
        </w:p>
        <w:p w14:paraId="668D55FA" w14:textId="0E427895"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Tang, H. W., &amp; Chang, C. C. (2024). CEO overconfidence, risk-taking, and firm value: Influence of incentive compensation and financial constraints. </w:t>
          </w:r>
          <w:r w:rsidRPr="00286B2C">
            <w:rPr>
              <w:rFonts w:ascii="Times New Roman" w:eastAsia="Times New Roman" w:hAnsi="Times New Roman" w:cs="Times New Roman"/>
              <w:i/>
              <w:iCs/>
              <w:color w:val="000000"/>
              <w:sz w:val="24"/>
              <w:szCs w:val="24"/>
              <w:lang w:eastAsia="zh-CN"/>
            </w:rPr>
            <w:t>North American Journal of Economics and Finance</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69</w:t>
          </w:r>
          <w:r w:rsidRPr="00286B2C">
            <w:rPr>
              <w:rFonts w:ascii="Times New Roman" w:eastAsia="Times New Roman" w:hAnsi="Times New Roman" w:cs="Times New Roman"/>
              <w:color w:val="000000"/>
              <w:sz w:val="24"/>
              <w:szCs w:val="24"/>
              <w:lang w:eastAsia="zh-CN"/>
            </w:rPr>
            <w:t xml:space="preserve">. </w:t>
          </w:r>
          <w:hyperlink r:id="rId62" w:history="1">
            <w:r w:rsidR="009165EB" w:rsidRPr="000039C8">
              <w:rPr>
                <w:rStyle w:val="Hyperlink"/>
                <w:rFonts w:ascii="Times New Roman" w:eastAsia="Times New Roman" w:hAnsi="Times New Roman" w:cs="Times New Roman"/>
                <w:sz w:val="24"/>
                <w:szCs w:val="24"/>
                <w:lang w:eastAsia="zh-CN"/>
              </w:rPr>
              <w:t>https://doi.org/10.1016/j.najef.2023.102034</w:t>
            </w:r>
          </w:hyperlink>
        </w:p>
        <w:p w14:paraId="572848F6" w14:textId="366933F7"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Terzani</w:t>
          </w:r>
          <w:proofErr w:type="spellEnd"/>
          <w:r w:rsidRPr="00286B2C">
            <w:rPr>
              <w:rFonts w:ascii="Times New Roman" w:eastAsia="Times New Roman" w:hAnsi="Times New Roman" w:cs="Times New Roman"/>
              <w:color w:val="000000"/>
              <w:sz w:val="24"/>
              <w:szCs w:val="24"/>
              <w:lang w:eastAsia="zh-CN"/>
            </w:rPr>
            <w:t xml:space="preserve">, S., &amp; </w:t>
          </w:r>
          <w:proofErr w:type="spellStart"/>
          <w:r w:rsidRPr="00286B2C">
            <w:rPr>
              <w:rFonts w:ascii="Times New Roman" w:eastAsia="Times New Roman" w:hAnsi="Times New Roman" w:cs="Times New Roman"/>
              <w:color w:val="000000"/>
              <w:sz w:val="24"/>
              <w:szCs w:val="24"/>
              <w:lang w:eastAsia="zh-CN"/>
            </w:rPr>
            <w:t>Turzo</w:t>
          </w:r>
          <w:proofErr w:type="spellEnd"/>
          <w:r w:rsidRPr="00286B2C">
            <w:rPr>
              <w:rFonts w:ascii="Times New Roman" w:eastAsia="Times New Roman" w:hAnsi="Times New Roman" w:cs="Times New Roman"/>
              <w:color w:val="000000"/>
              <w:sz w:val="24"/>
              <w:szCs w:val="24"/>
              <w:lang w:eastAsia="zh-CN"/>
            </w:rPr>
            <w:t xml:space="preserve">, T. (2021). Religious social norms and corporate sustainability: The effect of religiosity on environmental, social, and governance disclosure. </w:t>
          </w:r>
          <w:r w:rsidRPr="00286B2C">
            <w:rPr>
              <w:rFonts w:ascii="Times New Roman" w:eastAsia="Times New Roman" w:hAnsi="Times New Roman" w:cs="Times New Roman"/>
              <w:i/>
              <w:iCs/>
              <w:color w:val="000000"/>
              <w:sz w:val="24"/>
              <w:szCs w:val="24"/>
              <w:lang w:eastAsia="zh-CN"/>
            </w:rPr>
            <w:t>Corporate Social Responsibility and Environmental Management</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28</w:t>
          </w:r>
          <w:r w:rsidRPr="00286B2C">
            <w:rPr>
              <w:rFonts w:ascii="Times New Roman" w:eastAsia="Times New Roman" w:hAnsi="Times New Roman" w:cs="Times New Roman"/>
              <w:color w:val="000000"/>
              <w:sz w:val="24"/>
              <w:szCs w:val="24"/>
              <w:lang w:eastAsia="zh-CN"/>
            </w:rPr>
            <w:t xml:space="preserve">(1), 485–496. </w:t>
          </w:r>
          <w:hyperlink r:id="rId63" w:history="1">
            <w:r w:rsidR="009165EB" w:rsidRPr="000039C8">
              <w:rPr>
                <w:rStyle w:val="Hyperlink"/>
                <w:rFonts w:ascii="Times New Roman" w:eastAsia="Times New Roman" w:hAnsi="Times New Roman" w:cs="Times New Roman"/>
                <w:sz w:val="24"/>
                <w:szCs w:val="24"/>
                <w:lang w:eastAsia="zh-CN"/>
              </w:rPr>
              <w:t>https://doi.org/10.1002/csr.2063</w:t>
            </w:r>
          </w:hyperlink>
        </w:p>
        <w:p w14:paraId="3F83E9D9" w14:textId="5803A557"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Twardawski</w:t>
          </w:r>
          <w:proofErr w:type="spellEnd"/>
          <w:r w:rsidRPr="00286B2C">
            <w:rPr>
              <w:rFonts w:ascii="Times New Roman" w:eastAsia="Times New Roman" w:hAnsi="Times New Roman" w:cs="Times New Roman"/>
              <w:color w:val="000000"/>
              <w:sz w:val="24"/>
              <w:szCs w:val="24"/>
              <w:lang w:eastAsia="zh-CN"/>
            </w:rPr>
            <w:t xml:space="preserve">, T., &amp; Kind, A. (2023). Board overconfidence in mergers and acquisitions. </w:t>
          </w:r>
          <w:r w:rsidRPr="00286B2C">
            <w:rPr>
              <w:rFonts w:ascii="Times New Roman" w:eastAsia="Times New Roman" w:hAnsi="Times New Roman" w:cs="Times New Roman"/>
              <w:i/>
              <w:iCs/>
              <w:color w:val="000000"/>
              <w:sz w:val="24"/>
              <w:szCs w:val="24"/>
              <w:lang w:eastAsia="zh-CN"/>
            </w:rPr>
            <w:t>Journal of Business Research</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165</w:t>
          </w:r>
          <w:r w:rsidRPr="00286B2C">
            <w:rPr>
              <w:rFonts w:ascii="Times New Roman" w:eastAsia="Times New Roman" w:hAnsi="Times New Roman" w:cs="Times New Roman"/>
              <w:color w:val="000000"/>
              <w:sz w:val="24"/>
              <w:szCs w:val="24"/>
              <w:lang w:eastAsia="zh-CN"/>
            </w:rPr>
            <w:t xml:space="preserve">. </w:t>
          </w:r>
          <w:hyperlink r:id="rId64" w:history="1">
            <w:r w:rsidR="009165EB" w:rsidRPr="000039C8">
              <w:rPr>
                <w:rStyle w:val="Hyperlink"/>
                <w:rFonts w:ascii="Times New Roman" w:eastAsia="Times New Roman" w:hAnsi="Times New Roman" w:cs="Times New Roman"/>
                <w:sz w:val="24"/>
                <w:szCs w:val="24"/>
                <w:lang w:eastAsia="zh-CN"/>
              </w:rPr>
              <w:t>https://doi.org/10.1016/j.jbusres.2023.114026</w:t>
            </w:r>
          </w:hyperlink>
        </w:p>
        <w:p w14:paraId="42AEF390" w14:textId="7DD33B2D"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lastRenderedPageBreak/>
            <w:t xml:space="preserve">Wallace, H. M., &amp; Baumeister, R. F. (2002). The performance of narcissists rises and falls with perceived opportunity for glory. </w:t>
          </w:r>
          <w:r w:rsidRPr="00286B2C">
            <w:rPr>
              <w:rFonts w:ascii="Times New Roman" w:eastAsia="Times New Roman" w:hAnsi="Times New Roman" w:cs="Times New Roman"/>
              <w:i/>
              <w:iCs/>
              <w:color w:val="000000"/>
              <w:sz w:val="24"/>
              <w:szCs w:val="24"/>
              <w:lang w:eastAsia="zh-CN"/>
            </w:rPr>
            <w:t>Journal of Personality and Social Psychology</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82</w:t>
          </w:r>
          <w:r w:rsidRPr="00286B2C">
            <w:rPr>
              <w:rFonts w:ascii="Times New Roman" w:eastAsia="Times New Roman" w:hAnsi="Times New Roman" w:cs="Times New Roman"/>
              <w:color w:val="000000"/>
              <w:sz w:val="24"/>
              <w:szCs w:val="24"/>
              <w:lang w:eastAsia="zh-CN"/>
            </w:rPr>
            <w:t xml:space="preserve">(5), 819–834. </w:t>
          </w:r>
          <w:hyperlink r:id="rId65" w:history="1">
            <w:r w:rsidR="009165EB" w:rsidRPr="000039C8">
              <w:rPr>
                <w:rStyle w:val="Hyperlink"/>
                <w:rFonts w:ascii="Times New Roman" w:eastAsia="Times New Roman" w:hAnsi="Times New Roman" w:cs="Times New Roman"/>
                <w:sz w:val="24"/>
                <w:szCs w:val="24"/>
                <w:lang w:eastAsia="zh-CN"/>
              </w:rPr>
              <w:t>https://doi.org/10.1037/0022-3514.82.5.819</w:t>
            </w:r>
          </w:hyperlink>
        </w:p>
        <w:p w14:paraId="4CC2AAF6" w14:textId="0A99DA2A"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Wang, W., Yu, Y., &amp; Li, X. (2022). ESG performance, auditing quality, and investment efficiency: Empirical evidence from China. </w:t>
          </w:r>
          <w:r w:rsidRPr="00286B2C">
            <w:rPr>
              <w:rFonts w:ascii="Times New Roman" w:eastAsia="Times New Roman" w:hAnsi="Times New Roman" w:cs="Times New Roman"/>
              <w:i/>
              <w:iCs/>
              <w:color w:val="000000"/>
              <w:sz w:val="24"/>
              <w:szCs w:val="24"/>
              <w:lang w:eastAsia="zh-CN"/>
            </w:rPr>
            <w:t>Frontiers in Psychology</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13</w:t>
          </w:r>
          <w:r w:rsidRPr="00286B2C">
            <w:rPr>
              <w:rFonts w:ascii="Times New Roman" w:eastAsia="Times New Roman" w:hAnsi="Times New Roman" w:cs="Times New Roman"/>
              <w:color w:val="000000"/>
              <w:sz w:val="24"/>
              <w:szCs w:val="24"/>
              <w:lang w:eastAsia="zh-CN"/>
            </w:rPr>
            <w:t xml:space="preserve">. </w:t>
          </w:r>
          <w:hyperlink r:id="rId66" w:history="1">
            <w:r w:rsidR="002D1F8C" w:rsidRPr="000039C8">
              <w:rPr>
                <w:rStyle w:val="Hyperlink"/>
                <w:rFonts w:ascii="Times New Roman" w:eastAsia="Times New Roman" w:hAnsi="Times New Roman" w:cs="Times New Roman"/>
                <w:sz w:val="24"/>
                <w:szCs w:val="24"/>
                <w:lang w:eastAsia="zh-CN"/>
              </w:rPr>
              <w:t>https://doi.org/10.3389/fpsyg.2022.948674</w:t>
            </w:r>
          </w:hyperlink>
        </w:p>
        <w:p w14:paraId="4967FC69" w14:textId="77777777" w:rsidR="002D1F8C" w:rsidRDefault="002D1F8C" w:rsidP="002D1F8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D1F8C">
            <w:rPr>
              <w:rFonts w:ascii="Times New Roman" w:eastAsia="Times New Roman" w:hAnsi="Times New Roman" w:cs="Times New Roman"/>
              <w:color w:val="000000"/>
              <w:sz w:val="24"/>
              <w:szCs w:val="24"/>
              <w:lang w:eastAsia="zh-CN"/>
            </w:rPr>
            <w:t>Wang, Y., Han, Y., Du, Q., &amp; Hou, D. (2023). Executive overconfidence and corporate environmental, social, and governance performance. </w:t>
          </w:r>
          <w:r w:rsidRPr="002D1F8C">
            <w:rPr>
              <w:rFonts w:ascii="Times New Roman" w:eastAsia="Times New Roman" w:hAnsi="Times New Roman" w:cs="Times New Roman"/>
              <w:i/>
              <w:iCs/>
              <w:color w:val="000000"/>
              <w:sz w:val="24"/>
              <w:szCs w:val="24"/>
              <w:lang w:eastAsia="zh-CN"/>
            </w:rPr>
            <w:t>Sustainability</w:t>
          </w:r>
          <w:r w:rsidRPr="002D1F8C">
            <w:rPr>
              <w:rFonts w:ascii="Times New Roman" w:eastAsia="Times New Roman" w:hAnsi="Times New Roman" w:cs="Times New Roman"/>
              <w:color w:val="000000"/>
              <w:sz w:val="24"/>
              <w:szCs w:val="24"/>
              <w:lang w:eastAsia="zh-CN"/>
            </w:rPr>
            <w:t>, </w:t>
          </w:r>
          <w:r w:rsidRPr="002D1F8C">
            <w:rPr>
              <w:rFonts w:ascii="Times New Roman" w:eastAsia="Times New Roman" w:hAnsi="Times New Roman" w:cs="Times New Roman"/>
              <w:i/>
              <w:iCs/>
              <w:color w:val="000000"/>
              <w:sz w:val="24"/>
              <w:szCs w:val="24"/>
              <w:lang w:eastAsia="zh-CN"/>
            </w:rPr>
            <w:t>15</w:t>
          </w:r>
          <w:r w:rsidRPr="002D1F8C">
            <w:rPr>
              <w:rFonts w:ascii="Times New Roman" w:eastAsia="Times New Roman" w:hAnsi="Times New Roman" w:cs="Times New Roman"/>
              <w:color w:val="000000"/>
              <w:sz w:val="24"/>
              <w:szCs w:val="24"/>
              <w:lang w:eastAsia="zh-CN"/>
            </w:rPr>
            <w:t xml:space="preserve">(21), 15570. </w:t>
          </w:r>
          <w:hyperlink r:id="rId67" w:history="1">
            <w:r w:rsidRPr="002D1F8C">
              <w:rPr>
                <w:rStyle w:val="Hyperlink"/>
                <w:rFonts w:ascii="Times New Roman" w:eastAsia="Times New Roman" w:hAnsi="Times New Roman" w:cs="Times New Roman"/>
                <w:sz w:val="24"/>
                <w:szCs w:val="24"/>
                <w:lang w:eastAsia="zh-CN"/>
              </w:rPr>
              <w:t>https://www.mdpi.com/2071-1050/15/21/15570</w:t>
            </w:r>
          </w:hyperlink>
        </w:p>
        <w:p w14:paraId="63257C6D" w14:textId="5D281ABA" w:rsidR="00286B2C" w:rsidRDefault="00286B2C" w:rsidP="002D1F8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Xing, T., Li, X., &amp; Feng, N. (2024). Is bank competition conducive to corporate ESG performance? </w:t>
          </w:r>
          <w:r w:rsidRPr="00286B2C">
            <w:rPr>
              <w:rFonts w:ascii="Times New Roman" w:eastAsia="Times New Roman" w:hAnsi="Times New Roman" w:cs="Times New Roman"/>
              <w:i/>
              <w:iCs/>
              <w:color w:val="000000"/>
              <w:sz w:val="24"/>
              <w:szCs w:val="24"/>
              <w:lang w:eastAsia="zh-CN"/>
            </w:rPr>
            <w:t>International Review of Financial Analysis</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95</w:t>
          </w:r>
          <w:r w:rsidRPr="00286B2C">
            <w:rPr>
              <w:rFonts w:ascii="Times New Roman" w:eastAsia="Times New Roman" w:hAnsi="Times New Roman" w:cs="Times New Roman"/>
              <w:color w:val="000000"/>
              <w:sz w:val="24"/>
              <w:szCs w:val="24"/>
              <w:lang w:eastAsia="zh-CN"/>
            </w:rPr>
            <w:t xml:space="preserve">. </w:t>
          </w:r>
          <w:hyperlink r:id="rId68" w:history="1">
            <w:r w:rsidR="009165EB" w:rsidRPr="000039C8">
              <w:rPr>
                <w:rStyle w:val="Hyperlink"/>
                <w:rFonts w:ascii="Times New Roman" w:eastAsia="Times New Roman" w:hAnsi="Times New Roman" w:cs="Times New Roman"/>
                <w:sz w:val="24"/>
                <w:szCs w:val="24"/>
                <w:lang w:eastAsia="zh-CN"/>
              </w:rPr>
              <w:t>https://doi.org/10.1016/j.irfa.2024.103509</w:t>
            </w:r>
          </w:hyperlink>
        </w:p>
        <w:p w14:paraId="561BA1C9" w14:textId="700D396A"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Yan, Y., Cheng, Q., Huang, M., Lin, Q., &amp; Lin, W. (2023). Government Environmental Regulation and Corporate ESG Performance: Evidence from Natural Resource Accountability Audits in China. </w:t>
          </w:r>
          <w:r w:rsidRPr="00286B2C">
            <w:rPr>
              <w:rFonts w:ascii="Times New Roman" w:eastAsia="Times New Roman" w:hAnsi="Times New Roman" w:cs="Times New Roman"/>
              <w:i/>
              <w:iCs/>
              <w:color w:val="000000"/>
              <w:sz w:val="24"/>
              <w:szCs w:val="24"/>
              <w:lang w:eastAsia="zh-CN"/>
            </w:rPr>
            <w:t>International Journal of Environmental Research and Public Health</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20</w:t>
          </w:r>
          <w:r w:rsidRPr="00286B2C">
            <w:rPr>
              <w:rFonts w:ascii="Times New Roman" w:eastAsia="Times New Roman" w:hAnsi="Times New Roman" w:cs="Times New Roman"/>
              <w:color w:val="000000"/>
              <w:sz w:val="24"/>
              <w:szCs w:val="24"/>
              <w:lang w:eastAsia="zh-CN"/>
            </w:rPr>
            <w:t xml:space="preserve">(1). </w:t>
          </w:r>
          <w:hyperlink r:id="rId69" w:history="1">
            <w:r w:rsidR="009165EB" w:rsidRPr="000039C8">
              <w:rPr>
                <w:rStyle w:val="Hyperlink"/>
                <w:rFonts w:ascii="Times New Roman" w:eastAsia="Times New Roman" w:hAnsi="Times New Roman" w:cs="Times New Roman"/>
                <w:sz w:val="24"/>
                <w:szCs w:val="24"/>
                <w:lang w:eastAsia="zh-CN"/>
              </w:rPr>
              <w:t>https://doi.org/10.3390/ijerph20010447</w:t>
            </w:r>
          </w:hyperlink>
        </w:p>
        <w:p w14:paraId="1C1C391A" w14:textId="3344A48F"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Zhang, X., Zhang, J., &amp; Feng, Y. (2023). Can companies get more government subsidies through improving their ESG performance? Empirical evidence from China. </w:t>
          </w:r>
          <w:proofErr w:type="spellStart"/>
          <w:r w:rsidRPr="00286B2C">
            <w:rPr>
              <w:rFonts w:ascii="Times New Roman" w:eastAsia="Times New Roman" w:hAnsi="Times New Roman" w:cs="Times New Roman"/>
              <w:i/>
              <w:iCs/>
              <w:color w:val="000000"/>
              <w:sz w:val="24"/>
              <w:szCs w:val="24"/>
              <w:lang w:eastAsia="zh-CN"/>
            </w:rPr>
            <w:t>PLoS</w:t>
          </w:r>
          <w:proofErr w:type="spellEnd"/>
          <w:r w:rsidRPr="00286B2C">
            <w:rPr>
              <w:rFonts w:ascii="Times New Roman" w:eastAsia="Times New Roman" w:hAnsi="Times New Roman" w:cs="Times New Roman"/>
              <w:i/>
              <w:iCs/>
              <w:color w:val="000000"/>
              <w:sz w:val="24"/>
              <w:szCs w:val="24"/>
              <w:lang w:eastAsia="zh-CN"/>
            </w:rPr>
            <w:t xml:space="preserve"> ONE</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18</w:t>
          </w:r>
          <w:r w:rsidRPr="00286B2C">
            <w:rPr>
              <w:rFonts w:ascii="Times New Roman" w:eastAsia="Times New Roman" w:hAnsi="Times New Roman" w:cs="Times New Roman"/>
              <w:color w:val="000000"/>
              <w:sz w:val="24"/>
              <w:szCs w:val="24"/>
              <w:lang w:eastAsia="zh-CN"/>
            </w:rPr>
            <w:t xml:space="preserve">(10 October). </w:t>
          </w:r>
          <w:hyperlink r:id="rId70" w:history="1">
            <w:r w:rsidR="009165EB" w:rsidRPr="000039C8">
              <w:rPr>
                <w:rStyle w:val="Hyperlink"/>
                <w:rFonts w:ascii="Times New Roman" w:eastAsia="Times New Roman" w:hAnsi="Times New Roman" w:cs="Times New Roman"/>
                <w:sz w:val="24"/>
                <w:szCs w:val="24"/>
                <w:lang w:eastAsia="zh-CN"/>
              </w:rPr>
              <w:t>https://doi.org/10.1371/journal.pone.0292355</w:t>
            </w:r>
          </w:hyperlink>
        </w:p>
        <w:p w14:paraId="01C75A5D" w14:textId="3E136FF3"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Zhang, Y. (2022). Analyst coverage and corporate social responsibility decoupling: Evidence from China. </w:t>
          </w:r>
          <w:r w:rsidRPr="00286B2C">
            <w:rPr>
              <w:rFonts w:ascii="Times New Roman" w:eastAsia="Times New Roman" w:hAnsi="Times New Roman" w:cs="Times New Roman"/>
              <w:i/>
              <w:iCs/>
              <w:color w:val="000000"/>
              <w:sz w:val="24"/>
              <w:szCs w:val="24"/>
              <w:lang w:eastAsia="zh-CN"/>
            </w:rPr>
            <w:t>Corporate Social Responsibility and Environmental Management</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29</w:t>
          </w:r>
          <w:r w:rsidRPr="00286B2C">
            <w:rPr>
              <w:rFonts w:ascii="Times New Roman" w:eastAsia="Times New Roman" w:hAnsi="Times New Roman" w:cs="Times New Roman"/>
              <w:color w:val="000000"/>
              <w:sz w:val="24"/>
              <w:szCs w:val="24"/>
              <w:lang w:eastAsia="zh-CN"/>
            </w:rPr>
            <w:t xml:space="preserve">(3), 620–634. </w:t>
          </w:r>
          <w:hyperlink r:id="rId71" w:history="1">
            <w:r w:rsidR="009165EB" w:rsidRPr="000039C8">
              <w:rPr>
                <w:rStyle w:val="Hyperlink"/>
                <w:rFonts w:ascii="Times New Roman" w:eastAsia="Times New Roman" w:hAnsi="Times New Roman" w:cs="Times New Roman"/>
                <w:sz w:val="24"/>
                <w:szCs w:val="24"/>
                <w:lang w:eastAsia="zh-CN"/>
              </w:rPr>
              <w:t>https://doi.org/10.1002/csr.2224</w:t>
            </w:r>
          </w:hyperlink>
        </w:p>
        <w:p w14:paraId="57E252F0" w14:textId="59562035"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Zhang, Z., &amp; Zhang, L. (2024). Investor attention and corporate ESG performance. </w:t>
          </w:r>
          <w:r w:rsidRPr="00286B2C">
            <w:rPr>
              <w:rFonts w:ascii="Times New Roman" w:eastAsia="Times New Roman" w:hAnsi="Times New Roman" w:cs="Times New Roman"/>
              <w:i/>
              <w:iCs/>
              <w:color w:val="000000"/>
              <w:sz w:val="24"/>
              <w:szCs w:val="24"/>
              <w:lang w:eastAsia="zh-CN"/>
            </w:rPr>
            <w:t>Finance Research Letters</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60</w:t>
          </w:r>
          <w:r w:rsidRPr="00286B2C">
            <w:rPr>
              <w:rFonts w:ascii="Times New Roman" w:eastAsia="Times New Roman" w:hAnsi="Times New Roman" w:cs="Times New Roman"/>
              <w:color w:val="000000"/>
              <w:sz w:val="24"/>
              <w:szCs w:val="24"/>
              <w:lang w:eastAsia="zh-CN"/>
            </w:rPr>
            <w:t xml:space="preserve">. </w:t>
          </w:r>
          <w:hyperlink r:id="rId72" w:history="1">
            <w:r w:rsidR="009165EB" w:rsidRPr="000039C8">
              <w:rPr>
                <w:rStyle w:val="Hyperlink"/>
                <w:rFonts w:ascii="Times New Roman" w:eastAsia="Times New Roman" w:hAnsi="Times New Roman" w:cs="Times New Roman"/>
                <w:sz w:val="24"/>
                <w:szCs w:val="24"/>
                <w:lang w:eastAsia="zh-CN"/>
              </w:rPr>
              <w:t>https://doi.org/10.1016/j.frl.2023.104887</w:t>
            </w:r>
          </w:hyperlink>
        </w:p>
        <w:p w14:paraId="2094A106" w14:textId="5063184F"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Zhao, W. (2024). Research Trend in the Development of Environmental, Social, and Governance (ESG). </w:t>
          </w:r>
          <w:r w:rsidRPr="00286B2C">
            <w:rPr>
              <w:rFonts w:ascii="Times New Roman" w:eastAsia="Times New Roman" w:hAnsi="Times New Roman" w:cs="Times New Roman"/>
              <w:i/>
              <w:iCs/>
              <w:color w:val="000000"/>
              <w:sz w:val="24"/>
              <w:szCs w:val="24"/>
              <w:lang w:eastAsia="zh-CN"/>
            </w:rPr>
            <w:t>Advances in Economics, Management and Political Sciences</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122</w:t>
          </w:r>
          <w:r w:rsidRPr="00286B2C">
            <w:rPr>
              <w:rFonts w:ascii="Times New Roman" w:eastAsia="Times New Roman" w:hAnsi="Times New Roman" w:cs="Times New Roman"/>
              <w:color w:val="000000"/>
              <w:sz w:val="24"/>
              <w:szCs w:val="24"/>
              <w:lang w:eastAsia="zh-CN"/>
            </w:rPr>
            <w:t xml:space="preserve">(1), 183–194. </w:t>
          </w:r>
          <w:hyperlink r:id="rId73" w:history="1">
            <w:r w:rsidR="009165EB" w:rsidRPr="000039C8">
              <w:rPr>
                <w:rStyle w:val="Hyperlink"/>
                <w:rFonts w:ascii="Times New Roman" w:eastAsia="Times New Roman" w:hAnsi="Times New Roman" w:cs="Times New Roman"/>
                <w:sz w:val="24"/>
                <w:szCs w:val="24"/>
                <w:lang w:eastAsia="zh-CN"/>
              </w:rPr>
              <w:t>https://doi.org/10.54254/2754-1169/2024.17815</w:t>
            </w:r>
          </w:hyperlink>
        </w:p>
        <w:p w14:paraId="00F239E0" w14:textId="1CEB5B0F" w:rsid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Zhao, Y., Gao, Y., &amp; Hong, D. (2024). Sustainable Innovation and Economic Resilience: Deciphering ESG Ratings’ Role in Lowering Debt Financing Costs. </w:t>
          </w:r>
          <w:r w:rsidRPr="00286B2C">
            <w:rPr>
              <w:rFonts w:ascii="Times New Roman" w:eastAsia="Times New Roman" w:hAnsi="Times New Roman" w:cs="Times New Roman"/>
              <w:i/>
              <w:iCs/>
              <w:color w:val="000000"/>
              <w:sz w:val="24"/>
              <w:szCs w:val="24"/>
              <w:lang w:eastAsia="zh-CN"/>
            </w:rPr>
            <w:t>Journal of the Knowledge Economy</w:t>
          </w:r>
          <w:r w:rsidRPr="00286B2C">
            <w:rPr>
              <w:rFonts w:ascii="Times New Roman" w:eastAsia="Times New Roman" w:hAnsi="Times New Roman" w:cs="Times New Roman"/>
              <w:color w:val="000000"/>
              <w:sz w:val="24"/>
              <w:szCs w:val="24"/>
              <w:lang w:eastAsia="zh-CN"/>
            </w:rPr>
            <w:t xml:space="preserve">. </w:t>
          </w:r>
          <w:hyperlink r:id="rId74" w:history="1">
            <w:r w:rsidR="009165EB" w:rsidRPr="000039C8">
              <w:rPr>
                <w:rStyle w:val="Hyperlink"/>
                <w:rFonts w:ascii="Times New Roman" w:eastAsia="Times New Roman" w:hAnsi="Times New Roman" w:cs="Times New Roman"/>
                <w:sz w:val="24"/>
                <w:szCs w:val="24"/>
                <w:lang w:eastAsia="zh-CN"/>
              </w:rPr>
              <w:t>https://doi.org/10.1007/s13132-024-02129-y</w:t>
            </w:r>
          </w:hyperlink>
        </w:p>
        <w:p w14:paraId="1B0F55FC" w14:textId="77777777" w:rsidR="009165EB" w:rsidRDefault="00286B2C" w:rsidP="009165EB">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Zheng, B., Lin, Y. Y., Fong, V. H. I., &amp; Huo, X. (2025). Exploring the influence of CEO overconfidence on innovation in artificial intelligence technology: a machine learning approach. </w:t>
          </w:r>
          <w:r w:rsidRPr="00286B2C">
            <w:rPr>
              <w:rFonts w:ascii="Times New Roman" w:eastAsia="Times New Roman" w:hAnsi="Times New Roman" w:cs="Times New Roman"/>
              <w:i/>
              <w:iCs/>
              <w:color w:val="000000"/>
              <w:sz w:val="24"/>
              <w:szCs w:val="24"/>
              <w:lang w:eastAsia="zh-CN"/>
            </w:rPr>
            <w:t>European Journal of Innovation Management</w:t>
          </w:r>
          <w:r w:rsidRPr="00286B2C">
            <w:rPr>
              <w:rFonts w:ascii="Times New Roman" w:eastAsia="Times New Roman" w:hAnsi="Times New Roman" w:cs="Times New Roman"/>
              <w:color w:val="000000"/>
              <w:sz w:val="24"/>
              <w:szCs w:val="24"/>
              <w:lang w:eastAsia="zh-CN"/>
            </w:rPr>
            <w:t xml:space="preserve">. </w:t>
          </w:r>
          <w:hyperlink r:id="rId75" w:history="1">
            <w:r w:rsidR="009165EB" w:rsidRPr="000039C8">
              <w:rPr>
                <w:rStyle w:val="Hyperlink"/>
                <w:rFonts w:ascii="Times New Roman" w:eastAsia="Times New Roman" w:hAnsi="Times New Roman" w:cs="Times New Roman"/>
                <w:sz w:val="24"/>
                <w:szCs w:val="24"/>
                <w:lang w:eastAsia="zh-CN"/>
              </w:rPr>
              <w:t>https://doi.org/10.1108/EJIM-11-2023-0987</w:t>
            </w:r>
          </w:hyperlink>
        </w:p>
        <w:p w14:paraId="3B67FE76" w14:textId="77777777" w:rsidR="009165EB" w:rsidRDefault="00286B2C" w:rsidP="009165EB">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lastRenderedPageBreak/>
            <w:t xml:space="preserve">Zheng, Y., Wang, B., Sun, X., &amp; Li, X. (2022). ESG performance and corporate value: Analysis from the stakeholders’ perspective. </w:t>
          </w:r>
          <w:r w:rsidRPr="00286B2C">
            <w:rPr>
              <w:rFonts w:ascii="Times New Roman" w:eastAsia="Times New Roman" w:hAnsi="Times New Roman" w:cs="Times New Roman"/>
              <w:i/>
              <w:iCs/>
              <w:color w:val="000000"/>
              <w:sz w:val="24"/>
              <w:szCs w:val="24"/>
              <w:lang w:eastAsia="zh-CN"/>
            </w:rPr>
            <w:t>Frontiers in Environmental Science</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10</w:t>
          </w:r>
          <w:r w:rsidRPr="00286B2C">
            <w:rPr>
              <w:rFonts w:ascii="Times New Roman" w:eastAsia="Times New Roman" w:hAnsi="Times New Roman" w:cs="Times New Roman"/>
              <w:color w:val="000000"/>
              <w:sz w:val="24"/>
              <w:szCs w:val="24"/>
              <w:lang w:eastAsia="zh-CN"/>
            </w:rPr>
            <w:t xml:space="preserve">. </w:t>
          </w:r>
          <w:hyperlink r:id="rId76" w:history="1">
            <w:r w:rsidR="009165EB" w:rsidRPr="000039C8">
              <w:rPr>
                <w:rStyle w:val="Hyperlink"/>
                <w:rFonts w:ascii="Times New Roman" w:eastAsia="Times New Roman" w:hAnsi="Times New Roman" w:cs="Times New Roman"/>
                <w:sz w:val="24"/>
                <w:szCs w:val="24"/>
                <w:lang w:eastAsia="zh-CN"/>
              </w:rPr>
              <w:t>https://doi.org/10.3389/fenvs.2022.1084632</w:t>
            </w:r>
          </w:hyperlink>
        </w:p>
        <w:p w14:paraId="40EB3D5D" w14:textId="2082223B" w:rsidR="00DA2AC5" w:rsidRPr="009165EB" w:rsidRDefault="00AA2C7A" w:rsidP="009165EB">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
      </w:sdtContent>
    </w:sdt>
    <w:p w14:paraId="7E007736" w14:textId="74AFB5D0" w:rsidR="005A75EB" w:rsidRDefault="005A75EB" w:rsidP="005A75EB">
      <w:pPr>
        <w:tabs>
          <w:tab w:val="left" w:pos="1425"/>
        </w:tabs>
        <w:spacing w:before="100" w:beforeAutospacing="1" w:line="360" w:lineRule="auto"/>
        <w:rPr>
          <w:rFonts w:ascii="Times New Roman" w:eastAsia="DengXian" w:hAnsi="Times New Roman" w:cs="Times New Roman"/>
          <w:b/>
          <w:bCs/>
          <w:sz w:val="26"/>
          <w:szCs w:val="26"/>
        </w:rPr>
      </w:pPr>
      <w:r w:rsidRPr="005A75EB">
        <w:rPr>
          <w:rFonts w:ascii="Times New Roman" w:eastAsia="DengXian" w:hAnsi="Times New Roman" w:cs="Times New Roman"/>
          <w:b/>
          <w:bCs/>
          <w:sz w:val="26"/>
          <w:szCs w:val="26"/>
        </w:rPr>
        <w:t xml:space="preserve">Appendix </w:t>
      </w:r>
      <w:r>
        <w:rPr>
          <w:rFonts w:ascii="Times New Roman" w:eastAsia="DengXian" w:hAnsi="Times New Roman" w:cs="Times New Roman"/>
          <w:b/>
          <w:bCs/>
          <w:sz w:val="26"/>
          <w:szCs w:val="26"/>
        </w:rPr>
        <w:t>1</w:t>
      </w:r>
      <w:r w:rsidRPr="005A75EB">
        <w:rPr>
          <w:rFonts w:ascii="Times New Roman" w:eastAsia="DengXian" w:hAnsi="Times New Roman" w:cs="Times New Roman"/>
          <w:b/>
          <w:bCs/>
          <w:sz w:val="26"/>
          <w:szCs w:val="26"/>
        </w:rPr>
        <w:t>: Variable Definitions and Data Sources</w:t>
      </w:r>
    </w:p>
    <w:tbl>
      <w:tblPr>
        <w:tblStyle w:val="TableGrid"/>
        <w:tblW w:w="0" w:type="auto"/>
        <w:tblInd w:w="5" w:type="dxa"/>
        <w:tblLook w:val="04A0" w:firstRow="1" w:lastRow="0" w:firstColumn="1" w:lastColumn="0" w:noHBand="0" w:noVBand="1"/>
      </w:tblPr>
      <w:tblGrid>
        <w:gridCol w:w="3116"/>
        <w:gridCol w:w="3258"/>
        <w:gridCol w:w="2976"/>
      </w:tblGrid>
      <w:tr w:rsidR="005A75EB" w14:paraId="4F8DFA49" w14:textId="77777777" w:rsidTr="005B4C7D">
        <w:tc>
          <w:tcPr>
            <w:tcW w:w="3116" w:type="dxa"/>
            <w:tcBorders>
              <w:top w:val="single" w:sz="4" w:space="0" w:color="000000"/>
              <w:left w:val="nil"/>
              <w:bottom w:val="single" w:sz="4" w:space="0" w:color="000000"/>
              <w:right w:val="nil"/>
            </w:tcBorders>
          </w:tcPr>
          <w:p w14:paraId="401AD183" w14:textId="5833DAF1" w:rsidR="005A75EB" w:rsidRPr="005A75EB" w:rsidRDefault="005A75EB" w:rsidP="005A75EB">
            <w:pPr>
              <w:tabs>
                <w:tab w:val="left" w:pos="1425"/>
              </w:tabs>
              <w:spacing w:before="100" w:beforeAutospacing="1" w:line="360" w:lineRule="auto"/>
              <w:jc w:val="center"/>
              <w:rPr>
                <w:rFonts w:ascii="Times New Roman" w:eastAsia="DengXian" w:hAnsi="Times New Roman" w:cs="Times New Roman"/>
                <w:b/>
                <w:sz w:val="24"/>
                <w:szCs w:val="24"/>
              </w:rPr>
            </w:pPr>
            <w:r w:rsidRPr="005A75EB">
              <w:rPr>
                <w:rFonts w:ascii="Times New Roman" w:eastAsia="Calibri" w:hAnsi="Times New Roman" w:cs="Times New Roman"/>
                <w:b/>
                <w:sz w:val="24"/>
                <w:szCs w:val="24"/>
              </w:rPr>
              <w:t>Variable</w:t>
            </w:r>
          </w:p>
        </w:tc>
        <w:tc>
          <w:tcPr>
            <w:tcW w:w="3258" w:type="dxa"/>
            <w:tcBorders>
              <w:top w:val="single" w:sz="4" w:space="0" w:color="000000"/>
              <w:left w:val="nil"/>
              <w:bottom w:val="single" w:sz="4" w:space="0" w:color="000000"/>
              <w:right w:val="nil"/>
            </w:tcBorders>
          </w:tcPr>
          <w:p w14:paraId="5FE460DC" w14:textId="586330BB" w:rsidR="005A75EB" w:rsidRPr="005A75EB" w:rsidRDefault="005A75EB" w:rsidP="005A75EB">
            <w:pPr>
              <w:tabs>
                <w:tab w:val="left" w:pos="1425"/>
              </w:tabs>
              <w:spacing w:before="100" w:beforeAutospacing="1" w:line="360" w:lineRule="auto"/>
              <w:jc w:val="center"/>
              <w:rPr>
                <w:rFonts w:ascii="Times New Roman" w:eastAsia="DengXian" w:hAnsi="Times New Roman" w:cs="Times New Roman"/>
                <w:b/>
                <w:sz w:val="24"/>
                <w:szCs w:val="24"/>
              </w:rPr>
            </w:pPr>
            <w:r w:rsidRPr="005A75EB">
              <w:rPr>
                <w:rFonts w:ascii="Times New Roman" w:eastAsia="Calibri" w:hAnsi="Times New Roman" w:cs="Times New Roman"/>
                <w:b/>
                <w:sz w:val="24"/>
                <w:szCs w:val="24"/>
              </w:rPr>
              <w:t>Definition</w:t>
            </w:r>
          </w:p>
        </w:tc>
        <w:tc>
          <w:tcPr>
            <w:tcW w:w="2976" w:type="dxa"/>
            <w:tcBorders>
              <w:top w:val="single" w:sz="4" w:space="0" w:color="000000"/>
              <w:left w:val="nil"/>
              <w:bottom w:val="single" w:sz="4" w:space="0" w:color="000000"/>
              <w:right w:val="nil"/>
            </w:tcBorders>
          </w:tcPr>
          <w:p w14:paraId="5764C2B2" w14:textId="70516653" w:rsidR="005A75EB" w:rsidRPr="005A75EB" w:rsidRDefault="005A75EB" w:rsidP="005A75EB">
            <w:pPr>
              <w:tabs>
                <w:tab w:val="left" w:pos="1425"/>
              </w:tabs>
              <w:spacing w:before="100" w:beforeAutospacing="1" w:line="360" w:lineRule="auto"/>
              <w:jc w:val="center"/>
              <w:rPr>
                <w:rFonts w:ascii="Times New Roman" w:eastAsia="DengXian" w:hAnsi="Times New Roman" w:cs="Times New Roman"/>
                <w:b/>
                <w:sz w:val="24"/>
                <w:szCs w:val="24"/>
              </w:rPr>
            </w:pPr>
            <w:r w:rsidRPr="005A75EB">
              <w:rPr>
                <w:rFonts w:ascii="Times New Roman" w:eastAsia="Calibri" w:hAnsi="Times New Roman" w:cs="Times New Roman"/>
                <w:b/>
                <w:sz w:val="24"/>
                <w:szCs w:val="24"/>
              </w:rPr>
              <w:t>Source</w:t>
            </w:r>
          </w:p>
        </w:tc>
      </w:tr>
      <w:tr w:rsidR="005A75EB" w14:paraId="77F0CB62" w14:textId="77777777" w:rsidTr="007776B9">
        <w:tc>
          <w:tcPr>
            <w:tcW w:w="9350" w:type="dxa"/>
            <w:gridSpan w:val="3"/>
            <w:tcBorders>
              <w:bottom w:val="single" w:sz="4" w:space="0" w:color="auto"/>
            </w:tcBorders>
          </w:tcPr>
          <w:p w14:paraId="38ED054A" w14:textId="58CB423D" w:rsidR="005A75EB" w:rsidRDefault="005A75EB" w:rsidP="005A75EB">
            <w:pPr>
              <w:tabs>
                <w:tab w:val="left" w:pos="1425"/>
              </w:tabs>
              <w:spacing w:before="100" w:beforeAutospacing="1" w:line="360" w:lineRule="auto"/>
              <w:rPr>
                <w:rFonts w:ascii="Times New Roman" w:eastAsia="DengXian" w:hAnsi="Times New Roman" w:cs="Times New Roman"/>
                <w:b/>
                <w:bCs/>
                <w:sz w:val="26"/>
                <w:szCs w:val="26"/>
              </w:rPr>
            </w:pPr>
            <w:r w:rsidRPr="005A75EB">
              <w:rPr>
                <w:rFonts w:ascii="Times New Roman" w:eastAsia="Calibri" w:hAnsi="Times New Roman" w:cs="Times New Roman"/>
                <w:b/>
                <w:i/>
                <w:iCs/>
              </w:rPr>
              <w:t>Dependent variables ESG</w:t>
            </w:r>
            <w:r>
              <w:rPr>
                <w:rFonts w:ascii="Times New Roman" w:eastAsia="Calibri" w:hAnsi="Times New Roman" w:cs="Times New Roman"/>
                <w:b/>
                <w:i/>
                <w:iCs/>
              </w:rPr>
              <w:t xml:space="preserve"> performance</w:t>
            </w:r>
          </w:p>
        </w:tc>
      </w:tr>
      <w:tr w:rsidR="005A75EB" w14:paraId="1AC9B62C" w14:textId="77777777" w:rsidTr="005B4C7D">
        <w:tc>
          <w:tcPr>
            <w:tcW w:w="3116" w:type="dxa"/>
            <w:tcBorders>
              <w:top w:val="single" w:sz="4" w:space="0" w:color="auto"/>
              <w:left w:val="nil"/>
              <w:bottom w:val="single" w:sz="4" w:space="0" w:color="auto"/>
              <w:right w:val="nil"/>
            </w:tcBorders>
          </w:tcPr>
          <w:p w14:paraId="6BB77732" w14:textId="57F2349B" w:rsidR="005A75EB" w:rsidRPr="007776B9" w:rsidRDefault="007776B9" w:rsidP="007776B9">
            <w:pPr>
              <w:tabs>
                <w:tab w:val="left" w:pos="1425"/>
              </w:tabs>
              <w:spacing w:before="100" w:beforeAutospacing="1" w:line="360" w:lineRule="auto"/>
              <w:jc w:val="both"/>
              <w:rPr>
                <w:rFonts w:ascii="Times New Roman" w:eastAsia="DengXian" w:hAnsi="Times New Roman" w:cs="Times New Roman"/>
                <w:sz w:val="24"/>
                <w:szCs w:val="24"/>
              </w:rPr>
            </w:pPr>
            <w:r w:rsidRPr="007776B9">
              <w:rPr>
                <w:rFonts w:ascii="Times New Roman" w:eastAsia="SimSun" w:hAnsi="Times New Roman" w:cs="Times New Roman"/>
                <w:i/>
                <w:sz w:val="24"/>
                <w:szCs w:val="24"/>
              </w:rPr>
              <w:t xml:space="preserve">ESG </w:t>
            </w:r>
          </w:p>
        </w:tc>
        <w:tc>
          <w:tcPr>
            <w:tcW w:w="3258" w:type="dxa"/>
            <w:tcBorders>
              <w:top w:val="single" w:sz="4" w:space="0" w:color="auto"/>
              <w:left w:val="nil"/>
              <w:bottom w:val="single" w:sz="4" w:space="0" w:color="auto"/>
              <w:right w:val="nil"/>
            </w:tcBorders>
          </w:tcPr>
          <w:p w14:paraId="78649818" w14:textId="59922DC1" w:rsidR="005A75EB" w:rsidRPr="007776B9" w:rsidRDefault="007776B9" w:rsidP="007776B9">
            <w:pPr>
              <w:tabs>
                <w:tab w:val="left" w:pos="1425"/>
              </w:tabs>
              <w:spacing w:before="100" w:beforeAutospacing="1" w:line="360" w:lineRule="auto"/>
              <w:jc w:val="both"/>
              <w:rPr>
                <w:rFonts w:ascii="Times New Roman" w:eastAsia="DengXian" w:hAnsi="Times New Roman" w:cs="Times New Roman"/>
                <w:sz w:val="24"/>
                <w:szCs w:val="24"/>
              </w:rPr>
            </w:pPr>
            <w:proofErr w:type="spellStart"/>
            <w:r w:rsidRPr="007776B9">
              <w:rPr>
                <w:rFonts w:ascii="Times New Roman" w:eastAsia="DengXian" w:hAnsi="Times New Roman" w:cs="Times New Roman"/>
                <w:sz w:val="24"/>
                <w:szCs w:val="24"/>
              </w:rPr>
              <w:t>ESG_performance</w:t>
            </w:r>
            <w:proofErr w:type="spellEnd"/>
            <w:r w:rsidRPr="007776B9">
              <w:rPr>
                <w:rFonts w:ascii="Times New Roman" w:eastAsia="DengXian" w:hAnsi="Times New Roman" w:cs="Times New Roman"/>
                <w:sz w:val="24"/>
                <w:szCs w:val="24"/>
              </w:rPr>
              <w:t xml:space="preserve"> scores from Bloomberg database</w:t>
            </w:r>
          </w:p>
        </w:tc>
        <w:tc>
          <w:tcPr>
            <w:tcW w:w="2976" w:type="dxa"/>
            <w:tcBorders>
              <w:top w:val="single" w:sz="4" w:space="0" w:color="auto"/>
              <w:left w:val="nil"/>
              <w:bottom w:val="single" w:sz="4" w:space="0" w:color="auto"/>
              <w:right w:val="nil"/>
            </w:tcBorders>
          </w:tcPr>
          <w:p w14:paraId="462BD651" w14:textId="699CC88B" w:rsidR="005A75EB" w:rsidRPr="007776B9" w:rsidRDefault="007776B9" w:rsidP="007776B9">
            <w:pPr>
              <w:tabs>
                <w:tab w:val="left" w:pos="1425"/>
              </w:tabs>
              <w:spacing w:before="100" w:beforeAutospacing="1" w:line="360" w:lineRule="auto"/>
              <w:jc w:val="center"/>
              <w:rPr>
                <w:rFonts w:ascii="Times New Roman" w:eastAsia="DengXian" w:hAnsi="Times New Roman" w:cs="Times New Roman"/>
                <w:sz w:val="26"/>
                <w:szCs w:val="26"/>
              </w:rPr>
            </w:pPr>
            <w:r w:rsidRPr="007776B9">
              <w:rPr>
                <w:rFonts w:ascii="Times New Roman" w:eastAsia="DengXian" w:hAnsi="Times New Roman" w:cs="Times New Roman"/>
                <w:sz w:val="26"/>
                <w:szCs w:val="26"/>
              </w:rPr>
              <w:t>Bloomberg database</w:t>
            </w:r>
          </w:p>
        </w:tc>
      </w:tr>
      <w:tr w:rsidR="00A40647" w14:paraId="5125581F" w14:textId="77777777" w:rsidTr="005B4C7D">
        <w:tc>
          <w:tcPr>
            <w:tcW w:w="6374" w:type="dxa"/>
            <w:gridSpan w:val="2"/>
            <w:tcBorders>
              <w:top w:val="single" w:sz="4" w:space="0" w:color="auto"/>
              <w:left w:val="nil"/>
              <w:bottom w:val="single" w:sz="4" w:space="0" w:color="auto"/>
              <w:right w:val="nil"/>
            </w:tcBorders>
          </w:tcPr>
          <w:p w14:paraId="0E81A8B4" w14:textId="11EF7CB3" w:rsidR="00A40647" w:rsidRDefault="00A40647" w:rsidP="005A75EB">
            <w:pPr>
              <w:tabs>
                <w:tab w:val="left" w:pos="1425"/>
              </w:tabs>
              <w:spacing w:before="100" w:beforeAutospacing="1" w:line="360" w:lineRule="auto"/>
              <w:rPr>
                <w:rFonts w:ascii="Times New Roman" w:eastAsia="DengXian" w:hAnsi="Times New Roman" w:cs="Times New Roman"/>
                <w:b/>
                <w:bCs/>
                <w:sz w:val="26"/>
                <w:szCs w:val="26"/>
              </w:rPr>
            </w:pPr>
            <w:r w:rsidRPr="00A40647">
              <w:rPr>
                <w:rFonts w:ascii="Times New Roman" w:eastAsia="Calibri" w:hAnsi="Times New Roman" w:cs="Times New Roman"/>
                <w:b/>
                <w:i/>
                <w:iCs/>
              </w:rPr>
              <w:t>Independent variables</w:t>
            </w:r>
            <w:r>
              <w:rPr>
                <w:rFonts w:ascii="Times New Roman" w:eastAsia="Calibri" w:hAnsi="Times New Roman" w:cs="Times New Roman"/>
                <w:b/>
                <w:i/>
                <w:iCs/>
              </w:rPr>
              <w:t xml:space="preserve"> </w:t>
            </w:r>
            <w:r w:rsidRPr="00A40647">
              <w:rPr>
                <w:rFonts w:ascii="Times New Roman" w:eastAsia="Calibri" w:hAnsi="Times New Roman" w:cs="Times New Roman"/>
                <w:b/>
                <w:i/>
                <w:iCs/>
              </w:rPr>
              <w:t>CEO overconfidence</w:t>
            </w:r>
          </w:p>
        </w:tc>
        <w:tc>
          <w:tcPr>
            <w:tcW w:w="2976" w:type="dxa"/>
            <w:tcBorders>
              <w:top w:val="single" w:sz="4" w:space="0" w:color="auto"/>
              <w:left w:val="nil"/>
              <w:bottom w:val="single" w:sz="4" w:space="0" w:color="auto"/>
              <w:right w:val="nil"/>
            </w:tcBorders>
          </w:tcPr>
          <w:p w14:paraId="1F31B624" w14:textId="77777777" w:rsidR="00A40647" w:rsidRDefault="00A40647" w:rsidP="005A75EB">
            <w:pPr>
              <w:tabs>
                <w:tab w:val="left" w:pos="1425"/>
              </w:tabs>
              <w:spacing w:before="100" w:beforeAutospacing="1" w:line="360" w:lineRule="auto"/>
              <w:rPr>
                <w:rFonts w:ascii="Times New Roman" w:eastAsia="DengXian" w:hAnsi="Times New Roman" w:cs="Times New Roman"/>
                <w:b/>
                <w:bCs/>
                <w:sz w:val="26"/>
                <w:szCs w:val="26"/>
              </w:rPr>
            </w:pPr>
          </w:p>
        </w:tc>
      </w:tr>
      <w:tr w:rsidR="005A75EB" w14:paraId="5AE1DFF0" w14:textId="77777777" w:rsidTr="005B4C7D">
        <w:tc>
          <w:tcPr>
            <w:tcW w:w="3116" w:type="dxa"/>
            <w:tcBorders>
              <w:top w:val="single" w:sz="4" w:space="0" w:color="auto"/>
              <w:left w:val="nil"/>
              <w:bottom w:val="single" w:sz="4" w:space="0" w:color="auto"/>
              <w:right w:val="nil"/>
            </w:tcBorders>
          </w:tcPr>
          <w:p w14:paraId="20B27D52" w14:textId="6C5CF1F6" w:rsidR="005A75EB" w:rsidRPr="00A40647" w:rsidRDefault="00A40647" w:rsidP="005A75EB">
            <w:pPr>
              <w:tabs>
                <w:tab w:val="left" w:pos="1425"/>
              </w:tabs>
              <w:spacing w:before="100" w:beforeAutospacing="1" w:line="360" w:lineRule="auto"/>
              <w:rPr>
                <w:rFonts w:ascii="Times New Roman" w:eastAsia="DengXian" w:hAnsi="Times New Roman" w:cs="Times New Roman"/>
                <w:sz w:val="26"/>
                <w:szCs w:val="26"/>
              </w:rPr>
            </w:pPr>
            <w:r w:rsidRPr="00A40647">
              <w:rPr>
                <w:rFonts w:ascii="Times New Roman" w:eastAsia="DengXian" w:hAnsi="Times New Roman" w:cs="Times New Roman"/>
                <w:sz w:val="26"/>
                <w:szCs w:val="26"/>
              </w:rPr>
              <w:t>OC</w:t>
            </w:r>
          </w:p>
        </w:tc>
        <w:tc>
          <w:tcPr>
            <w:tcW w:w="3258" w:type="dxa"/>
            <w:tcBorders>
              <w:top w:val="single" w:sz="4" w:space="0" w:color="auto"/>
              <w:left w:val="nil"/>
              <w:bottom w:val="single" w:sz="4" w:space="0" w:color="auto"/>
              <w:right w:val="nil"/>
            </w:tcBorders>
          </w:tcPr>
          <w:p w14:paraId="7A7E8761" w14:textId="46248FE6" w:rsidR="005A75EB" w:rsidRPr="00A40647" w:rsidRDefault="00A40647" w:rsidP="00A40647">
            <w:pPr>
              <w:tabs>
                <w:tab w:val="left" w:pos="1425"/>
              </w:tabs>
              <w:spacing w:before="100" w:beforeAutospacing="1" w:line="360" w:lineRule="auto"/>
              <w:jc w:val="both"/>
              <w:rPr>
                <w:rFonts w:ascii="Times New Roman" w:eastAsia="DengXian" w:hAnsi="Times New Roman" w:cs="Times New Roman"/>
                <w:sz w:val="26"/>
                <w:szCs w:val="26"/>
              </w:rPr>
            </w:pPr>
            <w:r w:rsidRPr="00A40647">
              <w:rPr>
                <w:rFonts w:ascii="Times New Roman" w:eastAsia="DengXian" w:hAnsi="Times New Roman" w:cs="Times New Roman"/>
                <w:sz w:val="26"/>
                <w:szCs w:val="26"/>
              </w:rPr>
              <w:t>a composite index based on four key demographic and role-related factors: gender, age, education, and dual roles</w:t>
            </w:r>
          </w:p>
        </w:tc>
        <w:tc>
          <w:tcPr>
            <w:tcW w:w="2976" w:type="dxa"/>
            <w:tcBorders>
              <w:top w:val="single" w:sz="4" w:space="0" w:color="auto"/>
              <w:left w:val="nil"/>
              <w:bottom w:val="single" w:sz="4" w:space="0" w:color="auto"/>
              <w:right w:val="nil"/>
            </w:tcBorders>
          </w:tcPr>
          <w:p w14:paraId="631C9736" w14:textId="0E81EA3B" w:rsidR="005A75EB" w:rsidRDefault="00A40647" w:rsidP="00A40647">
            <w:pPr>
              <w:tabs>
                <w:tab w:val="left" w:pos="1425"/>
              </w:tabs>
              <w:spacing w:before="100" w:beforeAutospacing="1" w:line="360" w:lineRule="auto"/>
              <w:jc w:val="center"/>
              <w:rPr>
                <w:rFonts w:ascii="Times New Roman" w:eastAsia="DengXian" w:hAnsi="Times New Roman" w:cs="Times New Roman"/>
                <w:b/>
                <w:bCs/>
                <w:sz w:val="26"/>
                <w:szCs w:val="26"/>
              </w:rPr>
            </w:pPr>
            <w:r w:rsidRPr="00A40647">
              <w:rPr>
                <w:rFonts w:ascii="Times New Roman" w:eastAsia="SimSun" w:hAnsi="Times New Roman" w:cs="Times New Roman"/>
                <w:sz w:val="28"/>
                <w:szCs w:val="28"/>
                <w:lang w:eastAsia="zh-CN"/>
              </w:rPr>
              <w:t>CSMAR and Wind databases</w:t>
            </w:r>
          </w:p>
        </w:tc>
      </w:tr>
      <w:tr w:rsidR="005A75EB" w14:paraId="286A0928" w14:textId="77777777" w:rsidTr="005B4C7D">
        <w:tc>
          <w:tcPr>
            <w:tcW w:w="3116" w:type="dxa"/>
            <w:tcBorders>
              <w:top w:val="single" w:sz="4" w:space="0" w:color="auto"/>
              <w:left w:val="nil"/>
              <w:bottom w:val="single" w:sz="4" w:space="0" w:color="auto"/>
              <w:right w:val="nil"/>
            </w:tcBorders>
          </w:tcPr>
          <w:p w14:paraId="2658D48E" w14:textId="3BF12ABB" w:rsidR="005A75EB" w:rsidRPr="005B4C7D" w:rsidRDefault="005B4C7D" w:rsidP="005B4C7D">
            <w:pPr>
              <w:tabs>
                <w:tab w:val="left" w:pos="1425"/>
              </w:tabs>
              <w:spacing w:before="100" w:beforeAutospacing="1" w:line="360" w:lineRule="auto"/>
              <w:rPr>
                <w:rFonts w:ascii="Times New Roman" w:eastAsia="DengXian" w:hAnsi="Times New Roman" w:cs="Times New Roman"/>
                <w:sz w:val="26"/>
                <w:szCs w:val="26"/>
              </w:rPr>
            </w:pPr>
            <w:r w:rsidRPr="005B4C7D">
              <w:rPr>
                <w:rFonts w:ascii="Times New Roman" w:eastAsia="DengXian" w:hAnsi="Times New Roman" w:cs="Times New Roman"/>
                <w:sz w:val="26"/>
                <w:szCs w:val="26"/>
              </w:rPr>
              <w:t>IV</w:t>
            </w:r>
            <w:r>
              <w:rPr>
                <w:rFonts w:ascii="Times New Roman" w:eastAsia="DengXian" w:hAnsi="Times New Roman" w:cs="Times New Roman"/>
                <w:sz w:val="26"/>
                <w:szCs w:val="26"/>
              </w:rPr>
              <w:t>:</w:t>
            </w:r>
            <w:r w:rsidRPr="005B4C7D">
              <w:rPr>
                <w:rFonts w:ascii="Times New Roman" w:eastAsia="DengXian" w:hAnsi="Times New Roman" w:cs="Times New Roman"/>
                <w:sz w:val="26"/>
                <w:szCs w:val="26"/>
              </w:rPr>
              <w:t xml:space="preserve"> (</w:t>
            </w:r>
            <w:proofErr w:type="spellStart"/>
            <w:r w:rsidRPr="005B4C7D">
              <w:rPr>
                <w:rFonts w:ascii="Times New Roman" w:eastAsia="DengXian" w:hAnsi="Times New Roman" w:cs="Times New Roman"/>
                <w:sz w:val="26"/>
                <w:szCs w:val="26"/>
              </w:rPr>
              <w:t>Mean_pro</w:t>
            </w:r>
            <w:proofErr w:type="spellEnd"/>
            <w:r w:rsidRPr="005B4C7D">
              <w:rPr>
                <w:rFonts w:ascii="Times New Roman" w:eastAsia="DengXian" w:hAnsi="Times New Roman" w:cs="Times New Roman"/>
                <w:sz w:val="26"/>
                <w:szCs w:val="26"/>
              </w:rPr>
              <w:t>)</w:t>
            </w:r>
          </w:p>
        </w:tc>
        <w:tc>
          <w:tcPr>
            <w:tcW w:w="3258" w:type="dxa"/>
            <w:tcBorders>
              <w:top w:val="single" w:sz="4" w:space="0" w:color="auto"/>
              <w:left w:val="nil"/>
              <w:bottom w:val="single" w:sz="4" w:space="0" w:color="auto"/>
              <w:right w:val="nil"/>
            </w:tcBorders>
          </w:tcPr>
          <w:p w14:paraId="38DF014F" w14:textId="5E5AB9FB" w:rsidR="005A75EB" w:rsidRPr="005B4C7D" w:rsidRDefault="005B4C7D" w:rsidP="005B4C7D">
            <w:pPr>
              <w:tabs>
                <w:tab w:val="left" w:pos="1425"/>
              </w:tabs>
              <w:spacing w:before="100" w:beforeAutospacing="1" w:line="360" w:lineRule="auto"/>
              <w:jc w:val="both"/>
              <w:rPr>
                <w:rFonts w:ascii="Times New Roman" w:eastAsia="DengXian" w:hAnsi="Times New Roman" w:cs="Times New Roman"/>
                <w:sz w:val="26"/>
                <w:szCs w:val="26"/>
              </w:rPr>
            </w:pPr>
            <w:r w:rsidRPr="005B4C7D">
              <w:rPr>
                <w:rFonts w:ascii="Times New Roman" w:eastAsia="DengXian" w:hAnsi="Times New Roman" w:cs="Times New Roman"/>
                <w:sz w:val="26"/>
                <w:szCs w:val="26"/>
              </w:rPr>
              <w:t xml:space="preserve">Average overconfidence level of CEO in other firms within the same region and year </w:t>
            </w:r>
          </w:p>
        </w:tc>
        <w:tc>
          <w:tcPr>
            <w:tcW w:w="2976" w:type="dxa"/>
            <w:tcBorders>
              <w:top w:val="single" w:sz="4" w:space="0" w:color="auto"/>
              <w:left w:val="nil"/>
              <w:bottom w:val="single" w:sz="4" w:space="0" w:color="auto"/>
              <w:right w:val="nil"/>
            </w:tcBorders>
          </w:tcPr>
          <w:p w14:paraId="5E42169A" w14:textId="2168D973" w:rsidR="005A75EB" w:rsidRPr="005B4C7D" w:rsidRDefault="005B4C7D" w:rsidP="005B4C7D">
            <w:pPr>
              <w:tabs>
                <w:tab w:val="left" w:pos="1425"/>
              </w:tabs>
              <w:spacing w:before="100" w:beforeAutospacing="1" w:line="360" w:lineRule="auto"/>
              <w:jc w:val="center"/>
              <w:rPr>
                <w:rFonts w:ascii="Times New Roman" w:eastAsia="DengXian" w:hAnsi="Times New Roman" w:cs="Times New Roman"/>
                <w:sz w:val="26"/>
                <w:szCs w:val="26"/>
              </w:rPr>
            </w:pPr>
            <w:r w:rsidRPr="005B4C7D">
              <w:rPr>
                <w:rFonts w:ascii="Times New Roman" w:eastAsia="DengXian" w:hAnsi="Times New Roman" w:cs="Times New Roman"/>
                <w:sz w:val="26"/>
                <w:szCs w:val="26"/>
              </w:rPr>
              <w:t>CSMAR and Wind databases</w:t>
            </w:r>
          </w:p>
        </w:tc>
      </w:tr>
      <w:tr w:rsidR="005B4C7D" w14:paraId="18957572" w14:textId="77777777" w:rsidTr="00FD3B52">
        <w:tc>
          <w:tcPr>
            <w:tcW w:w="9350" w:type="dxa"/>
            <w:gridSpan w:val="3"/>
            <w:tcBorders>
              <w:top w:val="single" w:sz="4" w:space="0" w:color="000000"/>
              <w:left w:val="nil"/>
              <w:bottom w:val="single" w:sz="4" w:space="0" w:color="000000"/>
              <w:right w:val="nil"/>
            </w:tcBorders>
          </w:tcPr>
          <w:p w14:paraId="2FF9AE03" w14:textId="6DF0CC16" w:rsidR="005B4C7D" w:rsidRPr="005B4C7D" w:rsidRDefault="005B4C7D" w:rsidP="005B4C7D">
            <w:pPr>
              <w:tabs>
                <w:tab w:val="left" w:pos="1425"/>
              </w:tabs>
              <w:spacing w:before="100" w:beforeAutospacing="1" w:line="360" w:lineRule="auto"/>
              <w:rPr>
                <w:rFonts w:ascii="Times New Roman" w:eastAsia="DengXian" w:hAnsi="Times New Roman" w:cs="Times New Roman"/>
                <w:b/>
                <w:bCs/>
                <w:sz w:val="26"/>
                <w:szCs w:val="26"/>
              </w:rPr>
            </w:pPr>
            <w:r w:rsidRPr="005B4C7D">
              <w:rPr>
                <w:rFonts w:ascii="Times New Roman" w:eastAsia="SimSun" w:hAnsi="Times New Roman" w:cs="Times New Roman"/>
                <w:b/>
                <w:i/>
                <w:iCs/>
                <w:sz w:val="26"/>
                <w:szCs w:val="26"/>
              </w:rPr>
              <w:t>Moderate variables</w:t>
            </w:r>
          </w:p>
        </w:tc>
      </w:tr>
      <w:tr w:rsidR="005B4C7D" w14:paraId="55BA8695" w14:textId="77777777" w:rsidTr="005B4C7D">
        <w:tc>
          <w:tcPr>
            <w:tcW w:w="3116" w:type="dxa"/>
            <w:tcBorders>
              <w:top w:val="single" w:sz="4" w:space="0" w:color="000000"/>
              <w:left w:val="nil"/>
              <w:bottom w:val="single" w:sz="4" w:space="0" w:color="000000"/>
              <w:right w:val="nil"/>
            </w:tcBorders>
            <w:vAlign w:val="center"/>
          </w:tcPr>
          <w:p w14:paraId="38C74D6A" w14:textId="49D25CBB" w:rsidR="005B4C7D" w:rsidRPr="005B4C7D" w:rsidRDefault="005B4C7D" w:rsidP="005B4C7D">
            <w:pPr>
              <w:tabs>
                <w:tab w:val="left" w:pos="1425"/>
              </w:tabs>
              <w:spacing w:before="100" w:beforeAutospacing="1" w:line="360" w:lineRule="auto"/>
              <w:rPr>
                <w:rFonts w:ascii="Times New Roman" w:eastAsia="DengXian" w:hAnsi="Times New Roman" w:cs="Times New Roman"/>
                <w:b/>
                <w:bCs/>
                <w:sz w:val="26"/>
                <w:szCs w:val="26"/>
              </w:rPr>
            </w:pPr>
            <w:r w:rsidRPr="005B4C7D">
              <w:rPr>
                <w:rFonts w:ascii="Times New Roman" w:eastAsia="DengXian" w:hAnsi="Times New Roman" w:cs="Times New Roman"/>
                <w:i/>
                <w:iCs/>
                <w:sz w:val="26"/>
                <w:szCs w:val="26"/>
              </w:rPr>
              <w:t>INST</w:t>
            </w:r>
            <w:r w:rsidRPr="005B4C7D">
              <w:rPr>
                <w:rFonts w:ascii="Times New Roman" w:eastAsia="DengXian" w:hAnsi="Times New Roman" w:cs="Times New Roman"/>
                <w:sz w:val="26"/>
                <w:szCs w:val="26"/>
              </w:rPr>
              <w:t>.</w:t>
            </w:r>
          </w:p>
        </w:tc>
        <w:tc>
          <w:tcPr>
            <w:tcW w:w="3258" w:type="dxa"/>
            <w:tcBorders>
              <w:top w:val="single" w:sz="4" w:space="0" w:color="000000"/>
              <w:left w:val="nil"/>
              <w:bottom w:val="single" w:sz="4" w:space="0" w:color="000000"/>
              <w:right w:val="nil"/>
            </w:tcBorders>
            <w:vAlign w:val="center"/>
          </w:tcPr>
          <w:p w14:paraId="50F19B6C" w14:textId="5E53C9B5" w:rsidR="005B4C7D" w:rsidRPr="005B4C7D" w:rsidRDefault="005B4C7D" w:rsidP="005B4C7D">
            <w:pPr>
              <w:tabs>
                <w:tab w:val="left" w:pos="1425"/>
              </w:tabs>
              <w:spacing w:before="100" w:beforeAutospacing="1" w:line="360" w:lineRule="auto"/>
              <w:jc w:val="both"/>
              <w:rPr>
                <w:rFonts w:ascii="Times New Roman" w:eastAsia="DengXian" w:hAnsi="Times New Roman" w:cs="Times New Roman"/>
                <w:b/>
                <w:bCs/>
                <w:sz w:val="26"/>
                <w:szCs w:val="26"/>
              </w:rPr>
            </w:pPr>
            <w:r w:rsidRPr="005B4C7D">
              <w:rPr>
                <w:rFonts w:ascii="Times New Roman" w:eastAsia="SimSun" w:hAnsi="Times New Roman" w:cs="Times New Roman"/>
                <w:sz w:val="26"/>
                <w:szCs w:val="26"/>
              </w:rPr>
              <w:t xml:space="preserve">Institutional investor shareholding ratio INST Total number of institutional investors’ shareholdings / total number of shares </w:t>
            </w:r>
            <w:sdt>
              <w:sdtPr>
                <w:rPr>
                  <w:rFonts w:ascii="Times New Roman" w:eastAsia="SimSun" w:hAnsi="Times New Roman" w:cs="Times New Roman"/>
                  <w:color w:val="000000"/>
                  <w:sz w:val="26"/>
                  <w:szCs w:val="26"/>
                </w:rPr>
                <w:tag w:val="MENDELEY_CITATION_v3_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"/>
                <w:id w:val="1196422514"/>
                <w:showingPlcHdr/>
              </w:sdtPr>
              <w:sdtEndPr/>
              <w:sdtContent>
                <w:r>
                  <w:rPr>
                    <w:rFonts w:ascii="Times New Roman" w:eastAsia="SimSun" w:hAnsi="Times New Roman" w:cs="Times New Roman"/>
                    <w:color w:val="000000"/>
                    <w:sz w:val="26"/>
                    <w:szCs w:val="26"/>
                  </w:rPr>
                  <w:t xml:space="preserve">     </w:t>
                </w:r>
              </w:sdtContent>
            </w:sdt>
          </w:p>
        </w:tc>
        <w:tc>
          <w:tcPr>
            <w:tcW w:w="2976" w:type="dxa"/>
            <w:tcBorders>
              <w:top w:val="single" w:sz="4" w:space="0" w:color="000000"/>
              <w:left w:val="nil"/>
              <w:bottom w:val="single" w:sz="4" w:space="0" w:color="000000"/>
              <w:right w:val="nil"/>
            </w:tcBorders>
          </w:tcPr>
          <w:p w14:paraId="5FE455C0" w14:textId="7233BC99" w:rsidR="005B4C7D" w:rsidRPr="005B4C7D" w:rsidRDefault="005B4C7D" w:rsidP="005E634E">
            <w:pPr>
              <w:tabs>
                <w:tab w:val="left" w:pos="1425"/>
              </w:tabs>
              <w:spacing w:before="100" w:beforeAutospacing="1" w:line="360" w:lineRule="auto"/>
              <w:jc w:val="center"/>
              <w:rPr>
                <w:rFonts w:ascii="Times New Roman" w:eastAsia="DengXian" w:hAnsi="Times New Roman" w:cs="Times New Roman"/>
                <w:b/>
                <w:bCs/>
                <w:sz w:val="26"/>
                <w:szCs w:val="26"/>
              </w:rPr>
            </w:pPr>
            <w:r w:rsidRPr="005B4C7D">
              <w:rPr>
                <w:rFonts w:ascii="Times New Roman" w:eastAsia="Calibri" w:hAnsi="Times New Roman" w:cs="Times New Roman"/>
                <w:sz w:val="26"/>
                <w:szCs w:val="26"/>
              </w:rPr>
              <w:t>CSMAR Database</w:t>
            </w:r>
          </w:p>
        </w:tc>
      </w:tr>
      <w:tr w:rsidR="005B4C7D" w14:paraId="4F61BBF3" w14:textId="77777777" w:rsidTr="005B4C7D">
        <w:tc>
          <w:tcPr>
            <w:tcW w:w="3116" w:type="dxa"/>
            <w:tcBorders>
              <w:top w:val="single" w:sz="4" w:space="0" w:color="000000"/>
              <w:left w:val="nil"/>
              <w:bottom w:val="single" w:sz="4" w:space="0" w:color="000000"/>
              <w:right w:val="nil"/>
            </w:tcBorders>
            <w:vAlign w:val="center"/>
          </w:tcPr>
          <w:p w14:paraId="13BDE6B0" w14:textId="45D73956" w:rsidR="005B4C7D" w:rsidRPr="005B4C7D" w:rsidRDefault="005B4C7D" w:rsidP="005B4C7D">
            <w:pPr>
              <w:tabs>
                <w:tab w:val="left" w:pos="1425"/>
              </w:tabs>
              <w:spacing w:before="100" w:beforeAutospacing="1" w:line="360" w:lineRule="auto"/>
              <w:rPr>
                <w:rFonts w:ascii="Times New Roman" w:eastAsia="DengXian" w:hAnsi="Times New Roman" w:cs="Times New Roman"/>
                <w:b/>
                <w:bCs/>
                <w:sz w:val="26"/>
                <w:szCs w:val="26"/>
              </w:rPr>
            </w:pPr>
            <w:r w:rsidRPr="005B4C7D">
              <w:rPr>
                <w:rFonts w:ascii="Times New Roman" w:eastAsia="SimSun" w:hAnsi="Times New Roman" w:cs="Times New Roman"/>
                <w:i/>
                <w:sz w:val="26"/>
                <w:szCs w:val="26"/>
              </w:rPr>
              <w:t>State Ownership</w:t>
            </w:r>
          </w:p>
        </w:tc>
        <w:tc>
          <w:tcPr>
            <w:tcW w:w="3258" w:type="dxa"/>
            <w:tcBorders>
              <w:top w:val="single" w:sz="4" w:space="0" w:color="000000"/>
              <w:left w:val="nil"/>
              <w:bottom w:val="single" w:sz="4" w:space="0" w:color="000000"/>
              <w:right w:val="nil"/>
            </w:tcBorders>
            <w:vAlign w:val="center"/>
          </w:tcPr>
          <w:p w14:paraId="7747A90E" w14:textId="6CBF668A" w:rsidR="005B4C7D" w:rsidRPr="005B4C7D" w:rsidRDefault="005B4C7D" w:rsidP="005B4C7D">
            <w:pPr>
              <w:tabs>
                <w:tab w:val="left" w:pos="1425"/>
              </w:tabs>
              <w:spacing w:before="100" w:beforeAutospacing="1" w:line="360" w:lineRule="auto"/>
              <w:rPr>
                <w:rFonts w:ascii="Times New Roman" w:eastAsia="DengXian" w:hAnsi="Times New Roman" w:cs="Times New Roman"/>
                <w:b/>
                <w:bCs/>
                <w:sz w:val="26"/>
                <w:szCs w:val="26"/>
              </w:rPr>
            </w:pPr>
            <w:r w:rsidRPr="005B4C7D">
              <w:rPr>
                <w:rFonts w:ascii="Times New Roman" w:eastAsia="SimSun" w:hAnsi="Times New Roman" w:cs="Times New Roman"/>
                <w:sz w:val="26"/>
                <w:szCs w:val="26"/>
              </w:rPr>
              <w:t>Is it a state-owned enterprise? 1 if yes, 0 if no</w:t>
            </w:r>
          </w:p>
        </w:tc>
        <w:tc>
          <w:tcPr>
            <w:tcW w:w="2976" w:type="dxa"/>
            <w:tcBorders>
              <w:top w:val="single" w:sz="4" w:space="0" w:color="000000"/>
              <w:left w:val="nil"/>
              <w:bottom w:val="single" w:sz="4" w:space="0" w:color="000000"/>
              <w:right w:val="nil"/>
            </w:tcBorders>
          </w:tcPr>
          <w:p w14:paraId="132D63FE" w14:textId="05CDB539" w:rsidR="005B4C7D" w:rsidRPr="005B4C7D" w:rsidRDefault="005B4C7D" w:rsidP="005E634E">
            <w:pPr>
              <w:tabs>
                <w:tab w:val="left" w:pos="1425"/>
              </w:tabs>
              <w:spacing w:before="100" w:beforeAutospacing="1" w:line="360" w:lineRule="auto"/>
              <w:jc w:val="center"/>
              <w:rPr>
                <w:rFonts w:ascii="Times New Roman" w:eastAsia="DengXian" w:hAnsi="Times New Roman" w:cs="Times New Roman"/>
                <w:b/>
                <w:bCs/>
                <w:sz w:val="26"/>
                <w:szCs w:val="26"/>
              </w:rPr>
            </w:pPr>
            <w:r w:rsidRPr="005B4C7D">
              <w:rPr>
                <w:rFonts w:ascii="Times New Roman" w:eastAsia="Calibri" w:hAnsi="Times New Roman" w:cs="Times New Roman"/>
                <w:sz w:val="26"/>
                <w:szCs w:val="26"/>
              </w:rPr>
              <w:t>Wind Database</w:t>
            </w:r>
          </w:p>
        </w:tc>
      </w:tr>
      <w:tr w:rsidR="005B4C7D" w14:paraId="63515B38" w14:textId="77777777" w:rsidTr="005B4C7D">
        <w:tc>
          <w:tcPr>
            <w:tcW w:w="3116" w:type="dxa"/>
            <w:tcBorders>
              <w:top w:val="single" w:sz="4" w:space="0" w:color="000000"/>
              <w:left w:val="nil"/>
              <w:bottom w:val="single" w:sz="4" w:space="0" w:color="000000"/>
              <w:right w:val="nil"/>
            </w:tcBorders>
          </w:tcPr>
          <w:p w14:paraId="7374275A" w14:textId="33775AE6" w:rsidR="005B4C7D" w:rsidRPr="005B4C7D" w:rsidRDefault="005B4C7D" w:rsidP="005B4C7D">
            <w:pPr>
              <w:tabs>
                <w:tab w:val="left" w:pos="1425"/>
              </w:tabs>
              <w:spacing w:before="100" w:beforeAutospacing="1" w:line="360" w:lineRule="auto"/>
              <w:rPr>
                <w:rFonts w:ascii="Times New Roman" w:eastAsia="DengXian" w:hAnsi="Times New Roman" w:cs="Times New Roman"/>
                <w:b/>
                <w:bCs/>
                <w:sz w:val="26"/>
                <w:szCs w:val="26"/>
              </w:rPr>
            </w:pPr>
            <w:r>
              <w:rPr>
                <w:rFonts w:ascii="Times New Roman" w:eastAsia="SimSun" w:hAnsi="Times New Roman" w:cs="Times New Roman"/>
                <w:b/>
                <w:i/>
                <w:iCs/>
                <w:sz w:val="26"/>
                <w:szCs w:val="26"/>
              </w:rPr>
              <w:t>Control</w:t>
            </w:r>
            <w:r w:rsidRPr="005B4C7D">
              <w:rPr>
                <w:rFonts w:ascii="Times New Roman" w:eastAsia="SimSun" w:hAnsi="Times New Roman" w:cs="Times New Roman"/>
                <w:b/>
                <w:i/>
                <w:iCs/>
                <w:sz w:val="26"/>
                <w:szCs w:val="26"/>
              </w:rPr>
              <w:t xml:space="preserve"> variables</w:t>
            </w:r>
          </w:p>
        </w:tc>
        <w:tc>
          <w:tcPr>
            <w:tcW w:w="3258" w:type="dxa"/>
            <w:tcBorders>
              <w:top w:val="single" w:sz="4" w:space="0" w:color="000000"/>
              <w:left w:val="nil"/>
              <w:bottom w:val="single" w:sz="4" w:space="0" w:color="000000"/>
              <w:right w:val="nil"/>
            </w:tcBorders>
          </w:tcPr>
          <w:p w14:paraId="4A168BE0" w14:textId="77777777" w:rsidR="005B4C7D" w:rsidRPr="005B4C7D" w:rsidRDefault="005B4C7D" w:rsidP="005B4C7D">
            <w:pPr>
              <w:tabs>
                <w:tab w:val="left" w:pos="1425"/>
              </w:tabs>
              <w:spacing w:before="100" w:beforeAutospacing="1" w:line="360" w:lineRule="auto"/>
              <w:rPr>
                <w:rFonts w:ascii="Times New Roman" w:eastAsia="DengXian" w:hAnsi="Times New Roman" w:cs="Times New Roman"/>
                <w:b/>
                <w:bCs/>
                <w:sz w:val="26"/>
                <w:szCs w:val="26"/>
              </w:rPr>
            </w:pPr>
          </w:p>
        </w:tc>
        <w:tc>
          <w:tcPr>
            <w:tcW w:w="2976" w:type="dxa"/>
            <w:tcBorders>
              <w:top w:val="single" w:sz="4" w:space="0" w:color="000000"/>
              <w:left w:val="nil"/>
              <w:bottom w:val="single" w:sz="4" w:space="0" w:color="000000"/>
              <w:right w:val="nil"/>
            </w:tcBorders>
          </w:tcPr>
          <w:p w14:paraId="5E00E4AB" w14:textId="77777777" w:rsidR="005B4C7D" w:rsidRPr="005B4C7D" w:rsidRDefault="005B4C7D" w:rsidP="005E634E">
            <w:pPr>
              <w:tabs>
                <w:tab w:val="left" w:pos="1425"/>
              </w:tabs>
              <w:spacing w:before="100" w:beforeAutospacing="1" w:line="360" w:lineRule="auto"/>
              <w:jc w:val="center"/>
              <w:rPr>
                <w:rFonts w:ascii="Times New Roman" w:eastAsia="DengXian" w:hAnsi="Times New Roman" w:cs="Times New Roman"/>
                <w:b/>
                <w:bCs/>
                <w:sz w:val="26"/>
                <w:szCs w:val="26"/>
              </w:rPr>
            </w:pPr>
          </w:p>
        </w:tc>
      </w:tr>
      <w:tr w:rsidR="005E634E" w:rsidRPr="005E634E" w14:paraId="5D810BF9" w14:textId="77777777" w:rsidTr="00F95D6A">
        <w:tc>
          <w:tcPr>
            <w:tcW w:w="3116" w:type="dxa"/>
            <w:tcBorders>
              <w:top w:val="single" w:sz="4" w:space="0" w:color="000000"/>
              <w:left w:val="nil"/>
              <w:bottom w:val="single" w:sz="4" w:space="0" w:color="000000"/>
              <w:right w:val="nil"/>
            </w:tcBorders>
          </w:tcPr>
          <w:p w14:paraId="4B07D6D8" w14:textId="6B631BC5" w:rsidR="005E634E" w:rsidRPr="005E634E" w:rsidRDefault="005E634E" w:rsidP="005E634E">
            <w:pPr>
              <w:tabs>
                <w:tab w:val="left" w:pos="1425"/>
              </w:tabs>
              <w:spacing w:before="100" w:beforeAutospacing="1" w:line="360" w:lineRule="auto"/>
              <w:rPr>
                <w:rFonts w:ascii="Times New Roman" w:eastAsia="DengXian" w:hAnsi="Times New Roman" w:cs="Times New Roman"/>
                <w:b/>
                <w:bCs/>
                <w:sz w:val="26"/>
                <w:szCs w:val="26"/>
              </w:rPr>
            </w:pPr>
            <w:r w:rsidRPr="005E634E">
              <w:rPr>
                <w:rFonts w:ascii="Times New Roman" w:eastAsia="Calibri" w:hAnsi="Times New Roman" w:cs="Times New Roman"/>
                <w:bCs/>
                <w:i/>
                <w:iCs/>
                <w:sz w:val="26"/>
                <w:szCs w:val="26"/>
              </w:rPr>
              <w:lastRenderedPageBreak/>
              <w:t>Size</w:t>
            </w:r>
          </w:p>
        </w:tc>
        <w:tc>
          <w:tcPr>
            <w:tcW w:w="3258" w:type="dxa"/>
            <w:tcBorders>
              <w:top w:val="single" w:sz="4" w:space="0" w:color="000000"/>
              <w:left w:val="nil"/>
              <w:bottom w:val="single" w:sz="4" w:space="0" w:color="000000"/>
              <w:right w:val="nil"/>
            </w:tcBorders>
          </w:tcPr>
          <w:p w14:paraId="06CA0C31" w14:textId="52F97F7B" w:rsidR="005E634E" w:rsidRPr="00E1457F" w:rsidRDefault="005E634E" w:rsidP="00E1457F">
            <w:pPr>
              <w:spacing w:before="100" w:beforeAutospacing="1" w:line="273" w:lineRule="auto"/>
              <w:rPr>
                <w:rFonts w:ascii="Times New Roman" w:eastAsia="Calibri" w:hAnsi="Times New Roman" w:cs="Times New Roman"/>
                <w:sz w:val="26"/>
                <w:szCs w:val="26"/>
              </w:rPr>
            </w:pPr>
            <w:r w:rsidRPr="005E634E">
              <w:rPr>
                <w:rFonts w:ascii="Times New Roman" w:eastAsia="Calibri" w:hAnsi="Times New Roman" w:cs="Times New Roman"/>
                <w:sz w:val="26"/>
                <w:szCs w:val="26"/>
              </w:rPr>
              <w:t>Firm Size, measured as natural logarithm of total assets.</w:t>
            </w:r>
          </w:p>
        </w:tc>
        <w:tc>
          <w:tcPr>
            <w:tcW w:w="2976" w:type="dxa"/>
            <w:tcBorders>
              <w:top w:val="single" w:sz="4" w:space="0" w:color="000000"/>
              <w:left w:val="nil"/>
              <w:bottom w:val="single" w:sz="4" w:space="0" w:color="000000"/>
              <w:right w:val="nil"/>
            </w:tcBorders>
          </w:tcPr>
          <w:p w14:paraId="1042609C" w14:textId="66AD22D5" w:rsidR="005E634E" w:rsidRPr="005E634E" w:rsidRDefault="005E634E" w:rsidP="005E634E">
            <w:pPr>
              <w:tabs>
                <w:tab w:val="left" w:pos="1425"/>
              </w:tabs>
              <w:spacing w:before="100" w:beforeAutospacing="1" w:line="360" w:lineRule="auto"/>
              <w:jc w:val="center"/>
              <w:rPr>
                <w:rFonts w:ascii="Times New Roman" w:eastAsia="DengXian" w:hAnsi="Times New Roman" w:cs="Times New Roman"/>
                <w:b/>
                <w:bCs/>
                <w:sz w:val="26"/>
                <w:szCs w:val="26"/>
              </w:rPr>
            </w:pPr>
            <w:r w:rsidRPr="005E634E">
              <w:rPr>
                <w:rFonts w:ascii="Times New Roman" w:eastAsia="Calibri" w:hAnsi="Times New Roman" w:cs="Times New Roman"/>
                <w:sz w:val="26"/>
                <w:szCs w:val="26"/>
              </w:rPr>
              <w:t>Wind Database</w:t>
            </w:r>
          </w:p>
        </w:tc>
      </w:tr>
      <w:tr w:rsidR="005E634E" w:rsidRPr="005E634E" w14:paraId="39DD7FDB" w14:textId="77777777" w:rsidTr="00F95D6A">
        <w:tc>
          <w:tcPr>
            <w:tcW w:w="3116" w:type="dxa"/>
            <w:tcBorders>
              <w:top w:val="single" w:sz="4" w:space="0" w:color="000000"/>
              <w:left w:val="nil"/>
              <w:bottom w:val="single" w:sz="4" w:space="0" w:color="000000"/>
              <w:right w:val="nil"/>
            </w:tcBorders>
            <w:vAlign w:val="center"/>
          </w:tcPr>
          <w:p w14:paraId="2B3E692A" w14:textId="03E613A9" w:rsidR="005E634E" w:rsidRPr="005E634E" w:rsidRDefault="005E634E" w:rsidP="005E634E">
            <w:pPr>
              <w:tabs>
                <w:tab w:val="left" w:pos="1425"/>
              </w:tabs>
              <w:spacing w:before="100" w:beforeAutospacing="1" w:line="360" w:lineRule="auto"/>
              <w:rPr>
                <w:rFonts w:ascii="Times New Roman" w:eastAsia="DengXian" w:hAnsi="Times New Roman" w:cs="Times New Roman"/>
                <w:b/>
                <w:bCs/>
                <w:sz w:val="26"/>
                <w:szCs w:val="26"/>
              </w:rPr>
            </w:pPr>
            <w:r w:rsidRPr="005E634E">
              <w:rPr>
                <w:rFonts w:ascii="Times New Roman" w:eastAsia="SimSun" w:hAnsi="Times New Roman" w:cs="Times New Roman"/>
                <w:i/>
                <w:sz w:val="26"/>
                <w:szCs w:val="26"/>
              </w:rPr>
              <w:t>Leverage</w:t>
            </w:r>
          </w:p>
        </w:tc>
        <w:tc>
          <w:tcPr>
            <w:tcW w:w="3258" w:type="dxa"/>
            <w:tcBorders>
              <w:top w:val="single" w:sz="4" w:space="0" w:color="000000"/>
              <w:left w:val="nil"/>
              <w:bottom w:val="single" w:sz="4" w:space="0" w:color="000000"/>
              <w:right w:val="nil"/>
            </w:tcBorders>
            <w:vAlign w:val="center"/>
          </w:tcPr>
          <w:p w14:paraId="1455380B" w14:textId="2C8CF630" w:rsidR="005E634E" w:rsidRPr="005E634E" w:rsidRDefault="005E634E" w:rsidP="005E634E">
            <w:pPr>
              <w:tabs>
                <w:tab w:val="left" w:pos="1425"/>
              </w:tabs>
              <w:spacing w:before="100" w:beforeAutospacing="1" w:line="360" w:lineRule="auto"/>
              <w:rPr>
                <w:rFonts w:ascii="Times New Roman" w:eastAsia="DengXian" w:hAnsi="Times New Roman" w:cs="Times New Roman"/>
                <w:b/>
                <w:bCs/>
                <w:sz w:val="26"/>
                <w:szCs w:val="26"/>
              </w:rPr>
            </w:pPr>
            <w:r w:rsidRPr="005E634E">
              <w:rPr>
                <w:rFonts w:ascii="Times New Roman" w:eastAsia="STZhongsong" w:hAnsi="Times New Roman" w:cs="Times New Roman"/>
                <w:color w:val="000000"/>
                <w:sz w:val="26"/>
                <w:szCs w:val="26"/>
              </w:rPr>
              <w:t>The percentage of total liabilities to total shareholder equity.</w:t>
            </w:r>
          </w:p>
        </w:tc>
        <w:tc>
          <w:tcPr>
            <w:tcW w:w="2976" w:type="dxa"/>
            <w:tcBorders>
              <w:top w:val="single" w:sz="4" w:space="0" w:color="000000"/>
              <w:left w:val="nil"/>
              <w:bottom w:val="single" w:sz="4" w:space="0" w:color="000000"/>
              <w:right w:val="nil"/>
            </w:tcBorders>
          </w:tcPr>
          <w:p w14:paraId="2453B1EC" w14:textId="36CD6754" w:rsidR="005E634E" w:rsidRPr="005E634E" w:rsidRDefault="005E634E" w:rsidP="005E634E">
            <w:pPr>
              <w:tabs>
                <w:tab w:val="left" w:pos="1425"/>
              </w:tabs>
              <w:spacing w:before="100" w:beforeAutospacing="1" w:line="360" w:lineRule="auto"/>
              <w:rPr>
                <w:rFonts w:ascii="Times New Roman" w:eastAsia="DengXian" w:hAnsi="Times New Roman" w:cs="Times New Roman"/>
                <w:b/>
                <w:bCs/>
                <w:sz w:val="26"/>
                <w:szCs w:val="26"/>
              </w:rPr>
            </w:pPr>
            <w:r w:rsidRPr="005E634E">
              <w:rPr>
                <w:rFonts w:ascii="Times New Roman" w:eastAsia="Calibri" w:hAnsi="Times New Roman" w:cs="Times New Roman"/>
                <w:sz w:val="26"/>
                <w:szCs w:val="26"/>
              </w:rPr>
              <w:t>Wind Database</w:t>
            </w:r>
          </w:p>
        </w:tc>
      </w:tr>
      <w:tr w:rsidR="005E634E" w:rsidRPr="005E634E" w14:paraId="00CFBB15" w14:textId="77777777" w:rsidTr="00180545">
        <w:tc>
          <w:tcPr>
            <w:tcW w:w="3116" w:type="dxa"/>
            <w:tcBorders>
              <w:top w:val="single" w:sz="4" w:space="0" w:color="000000"/>
              <w:left w:val="nil"/>
              <w:bottom w:val="single" w:sz="4" w:space="0" w:color="000000"/>
              <w:right w:val="nil"/>
            </w:tcBorders>
          </w:tcPr>
          <w:p w14:paraId="017EB53A" w14:textId="6412AE12" w:rsidR="005E634E" w:rsidRPr="005E634E" w:rsidRDefault="005E634E" w:rsidP="005E634E">
            <w:pPr>
              <w:tabs>
                <w:tab w:val="left" w:pos="1425"/>
              </w:tabs>
              <w:spacing w:before="100" w:beforeAutospacing="1" w:line="360" w:lineRule="auto"/>
              <w:rPr>
                <w:rFonts w:ascii="Times New Roman" w:eastAsia="SimSun" w:hAnsi="Times New Roman" w:cs="Times New Roman"/>
                <w:i/>
                <w:sz w:val="26"/>
                <w:szCs w:val="26"/>
              </w:rPr>
            </w:pPr>
            <w:r w:rsidRPr="005E634E">
              <w:rPr>
                <w:rFonts w:ascii="Times New Roman" w:eastAsia="SimSun" w:hAnsi="Times New Roman" w:cs="Times New Roman"/>
                <w:i/>
                <w:sz w:val="26"/>
                <w:szCs w:val="26"/>
              </w:rPr>
              <w:t>Growth</w:t>
            </w:r>
          </w:p>
        </w:tc>
        <w:tc>
          <w:tcPr>
            <w:tcW w:w="3258" w:type="dxa"/>
            <w:tcBorders>
              <w:top w:val="single" w:sz="4" w:space="0" w:color="000000"/>
              <w:left w:val="nil"/>
              <w:bottom w:val="single" w:sz="4" w:space="0" w:color="000000"/>
              <w:right w:val="nil"/>
            </w:tcBorders>
          </w:tcPr>
          <w:p w14:paraId="74FB1C2D" w14:textId="3BACD15D" w:rsidR="005E634E" w:rsidRPr="005E634E" w:rsidRDefault="005E634E" w:rsidP="005E634E">
            <w:pPr>
              <w:tabs>
                <w:tab w:val="left" w:pos="1425"/>
              </w:tabs>
              <w:spacing w:before="100" w:beforeAutospacing="1" w:line="360" w:lineRule="auto"/>
              <w:jc w:val="center"/>
              <w:rPr>
                <w:rFonts w:ascii="Times New Roman" w:eastAsia="SimSun" w:hAnsi="Times New Roman" w:cs="Times New Roman"/>
                <w:iCs/>
                <w:sz w:val="26"/>
                <w:szCs w:val="26"/>
              </w:rPr>
            </w:pPr>
            <w:r w:rsidRPr="005E634E">
              <w:rPr>
                <w:rFonts w:ascii="Times New Roman" w:eastAsia="SimSun" w:hAnsi="Times New Roman" w:cs="Times New Roman"/>
                <w:iCs/>
                <w:sz w:val="26"/>
                <w:szCs w:val="26"/>
              </w:rPr>
              <w:t>Operating revenue growth rate, measured as the year-over-year percentage change in operating revenue.</w:t>
            </w:r>
          </w:p>
        </w:tc>
        <w:tc>
          <w:tcPr>
            <w:tcW w:w="2976" w:type="dxa"/>
            <w:tcBorders>
              <w:top w:val="single" w:sz="4" w:space="0" w:color="000000"/>
              <w:left w:val="nil"/>
              <w:bottom w:val="single" w:sz="4" w:space="0" w:color="000000"/>
              <w:right w:val="nil"/>
            </w:tcBorders>
          </w:tcPr>
          <w:p w14:paraId="6074EDB2" w14:textId="1F9A5547" w:rsidR="005E634E" w:rsidRPr="005E634E" w:rsidRDefault="005E634E" w:rsidP="005E634E">
            <w:pPr>
              <w:tabs>
                <w:tab w:val="left" w:pos="1425"/>
              </w:tabs>
              <w:spacing w:before="100" w:beforeAutospacing="1" w:line="360" w:lineRule="auto"/>
              <w:jc w:val="center"/>
              <w:rPr>
                <w:rFonts w:ascii="Times New Roman" w:eastAsia="DengXian" w:hAnsi="Times New Roman" w:cs="Times New Roman"/>
                <w:sz w:val="26"/>
                <w:szCs w:val="26"/>
              </w:rPr>
            </w:pPr>
            <w:r w:rsidRPr="005E634E">
              <w:rPr>
                <w:rFonts w:ascii="Times New Roman" w:eastAsia="DengXian" w:hAnsi="Times New Roman" w:cs="Times New Roman"/>
                <w:sz w:val="26"/>
                <w:szCs w:val="26"/>
              </w:rPr>
              <w:t>CSMAR and Wind databases</w:t>
            </w:r>
          </w:p>
        </w:tc>
      </w:tr>
      <w:tr w:rsidR="005E634E" w:rsidRPr="005E634E" w14:paraId="435A5D25" w14:textId="77777777" w:rsidTr="00F95D6A">
        <w:tc>
          <w:tcPr>
            <w:tcW w:w="3116" w:type="dxa"/>
            <w:tcBorders>
              <w:top w:val="single" w:sz="4" w:space="0" w:color="000000"/>
              <w:left w:val="nil"/>
              <w:bottom w:val="single" w:sz="4" w:space="0" w:color="000000"/>
              <w:right w:val="nil"/>
            </w:tcBorders>
            <w:vAlign w:val="center"/>
          </w:tcPr>
          <w:p w14:paraId="248FD205" w14:textId="4B6CFE88" w:rsidR="005E634E" w:rsidRPr="005E634E" w:rsidRDefault="005E634E" w:rsidP="005E634E">
            <w:pPr>
              <w:tabs>
                <w:tab w:val="left" w:pos="1425"/>
              </w:tabs>
              <w:spacing w:before="100" w:beforeAutospacing="1" w:line="360" w:lineRule="auto"/>
              <w:rPr>
                <w:rFonts w:ascii="Times New Roman" w:eastAsia="DengXian" w:hAnsi="Times New Roman" w:cs="Times New Roman"/>
                <w:b/>
                <w:bCs/>
                <w:sz w:val="26"/>
                <w:szCs w:val="26"/>
              </w:rPr>
            </w:pPr>
            <w:proofErr w:type="spellStart"/>
            <w:r w:rsidRPr="005E634E">
              <w:rPr>
                <w:rFonts w:ascii="Times New Roman" w:eastAsia="SimSun" w:hAnsi="Times New Roman" w:cs="Times New Roman"/>
                <w:i/>
                <w:sz w:val="26"/>
                <w:szCs w:val="26"/>
              </w:rPr>
              <w:t>FirmAge</w:t>
            </w:r>
            <w:proofErr w:type="spellEnd"/>
          </w:p>
        </w:tc>
        <w:tc>
          <w:tcPr>
            <w:tcW w:w="3258" w:type="dxa"/>
            <w:tcBorders>
              <w:top w:val="single" w:sz="4" w:space="0" w:color="000000"/>
              <w:left w:val="nil"/>
              <w:bottom w:val="single" w:sz="4" w:space="0" w:color="000000"/>
              <w:right w:val="nil"/>
            </w:tcBorders>
            <w:vAlign w:val="center"/>
          </w:tcPr>
          <w:p w14:paraId="3C78D246" w14:textId="48B4CCCB" w:rsidR="005E634E" w:rsidRPr="005E634E" w:rsidRDefault="00E1457F" w:rsidP="00E1457F">
            <w:pPr>
              <w:tabs>
                <w:tab w:val="left" w:pos="1425"/>
              </w:tabs>
              <w:spacing w:before="100" w:beforeAutospacing="1" w:line="360" w:lineRule="auto"/>
              <w:rPr>
                <w:rFonts w:ascii="Times New Roman" w:eastAsia="DengXian" w:hAnsi="Times New Roman" w:cs="Times New Roman"/>
                <w:b/>
                <w:bCs/>
                <w:sz w:val="26"/>
                <w:szCs w:val="26"/>
              </w:rPr>
            </w:pPr>
            <w:r w:rsidRPr="00E1457F">
              <w:rPr>
                <w:rFonts w:ascii="Times New Roman" w:eastAsia="SimSun" w:hAnsi="Times New Roman" w:cs="Times New Roman"/>
                <w:sz w:val="26"/>
                <w:szCs w:val="26"/>
              </w:rPr>
              <w:t>Natural logarithm of the number of years since the firm’s establishment.</w:t>
            </w:r>
          </w:p>
        </w:tc>
        <w:tc>
          <w:tcPr>
            <w:tcW w:w="2976" w:type="dxa"/>
            <w:tcBorders>
              <w:top w:val="single" w:sz="4" w:space="0" w:color="000000"/>
              <w:left w:val="nil"/>
              <w:bottom w:val="single" w:sz="4" w:space="0" w:color="000000"/>
              <w:right w:val="nil"/>
            </w:tcBorders>
          </w:tcPr>
          <w:p w14:paraId="022793B6" w14:textId="1948C570" w:rsidR="005E634E" w:rsidRPr="005E634E" w:rsidRDefault="005E634E" w:rsidP="005E634E">
            <w:pPr>
              <w:tabs>
                <w:tab w:val="left" w:pos="1425"/>
              </w:tabs>
              <w:spacing w:before="100" w:beforeAutospacing="1" w:line="360" w:lineRule="auto"/>
              <w:jc w:val="center"/>
              <w:rPr>
                <w:rFonts w:ascii="Times New Roman" w:eastAsia="DengXian" w:hAnsi="Times New Roman" w:cs="Times New Roman"/>
                <w:b/>
                <w:bCs/>
                <w:sz w:val="26"/>
                <w:szCs w:val="26"/>
              </w:rPr>
            </w:pPr>
            <w:r w:rsidRPr="005E634E">
              <w:rPr>
                <w:rFonts w:ascii="Times New Roman" w:eastAsia="Calibri" w:hAnsi="Times New Roman" w:cs="Times New Roman"/>
                <w:sz w:val="26"/>
                <w:szCs w:val="26"/>
              </w:rPr>
              <w:t>Wind Database</w:t>
            </w:r>
          </w:p>
        </w:tc>
      </w:tr>
      <w:tr w:rsidR="005E634E" w:rsidRPr="005E634E" w14:paraId="268A5BFF" w14:textId="77777777" w:rsidTr="00F95D6A">
        <w:tc>
          <w:tcPr>
            <w:tcW w:w="3116" w:type="dxa"/>
            <w:tcBorders>
              <w:top w:val="single" w:sz="4" w:space="0" w:color="000000"/>
              <w:left w:val="nil"/>
              <w:bottom w:val="single" w:sz="4" w:space="0" w:color="000000"/>
              <w:right w:val="nil"/>
            </w:tcBorders>
            <w:vAlign w:val="center"/>
          </w:tcPr>
          <w:p w14:paraId="7CB43ED7" w14:textId="17CB1841" w:rsidR="005E634E" w:rsidRPr="005E634E" w:rsidRDefault="005E634E" w:rsidP="005E634E">
            <w:pPr>
              <w:tabs>
                <w:tab w:val="left" w:pos="1425"/>
              </w:tabs>
              <w:spacing w:before="100" w:beforeAutospacing="1" w:line="360" w:lineRule="auto"/>
              <w:rPr>
                <w:rFonts w:ascii="Times New Roman" w:eastAsia="DengXian" w:hAnsi="Times New Roman" w:cs="Times New Roman"/>
                <w:b/>
                <w:bCs/>
                <w:sz w:val="26"/>
                <w:szCs w:val="26"/>
              </w:rPr>
            </w:pPr>
            <w:r w:rsidRPr="005E634E">
              <w:rPr>
                <w:rFonts w:ascii="Times New Roman" w:eastAsia="SimSun" w:hAnsi="Times New Roman" w:cs="Times New Roman"/>
                <w:i/>
                <w:iCs/>
                <w:sz w:val="26"/>
                <w:szCs w:val="26"/>
              </w:rPr>
              <w:t>ROA</w:t>
            </w:r>
          </w:p>
        </w:tc>
        <w:tc>
          <w:tcPr>
            <w:tcW w:w="3258" w:type="dxa"/>
            <w:tcBorders>
              <w:top w:val="single" w:sz="4" w:space="0" w:color="000000"/>
              <w:left w:val="nil"/>
              <w:bottom w:val="single" w:sz="4" w:space="0" w:color="000000"/>
              <w:right w:val="nil"/>
            </w:tcBorders>
            <w:vAlign w:val="center"/>
          </w:tcPr>
          <w:p w14:paraId="29DBAC40" w14:textId="656E42CA" w:rsidR="005E634E" w:rsidRPr="005E634E" w:rsidRDefault="005E634E" w:rsidP="005E634E">
            <w:pPr>
              <w:tabs>
                <w:tab w:val="left" w:pos="1425"/>
              </w:tabs>
              <w:spacing w:before="100" w:beforeAutospacing="1" w:line="360" w:lineRule="auto"/>
              <w:rPr>
                <w:rFonts w:ascii="Times New Roman" w:eastAsia="DengXian" w:hAnsi="Times New Roman" w:cs="Times New Roman"/>
                <w:b/>
                <w:bCs/>
                <w:sz w:val="26"/>
                <w:szCs w:val="26"/>
              </w:rPr>
            </w:pPr>
            <w:r w:rsidRPr="005E634E">
              <w:rPr>
                <w:rFonts w:ascii="Times New Roman" w:eastAsia="SimSun" w:hAnsi="Times New Roman" w:cs="Times New Roman"/>
                <w:sz w:val="26"/>
                <w:szCs w:val="26"/>
              </w:rPr>
              <w:t>Net Profit / Average Balance of Total Assets</w:t>
            </w:r>
          </w:p>
        </w:tc>
        <w:tc>
          <w:tcPr>
            <w:tcW w:w="2976" w:type="dxa"/>
            <w:tcBorders>
              <w:top w:val="single" w:sz="4" w:space="0" w:color="000000"/>
              <w:left w:val="nil"/>
              <w:bottom w:val="single" w:sz="4" w:space="0" w:color="000000"/>
              <w:right w:val="nil"/>
            </w:tcBorders>
          </w:tcPr>
          <w:p w14:paraId="6B6BEDB0" w14:textId="52051CAB" w:rsidR="005E634E" w:rsidRPr="005E634E" w:rsidRDefault="005E634E" w:rsidP="005E634E">
            <w:pPr>
              <w:tabs>
                <w:tab w:val="left" w:pos="1425"/>
              </w:tabs>
              <w:spacing w:before="100" w:beforeAutospacing="1" w:line="360" w:lineRule="auto"/>
              <w:jc w:val="center"/>
              <w:rPr>
                <w:rFonts w:ascii="Times New Roman" w:eastAsia="DengXian" w:hAnsi="Times New Roman" w:cs="Times New Roman"/>
                <w:b/>
                <w:bCs/>
                <w:sz w:val="26"/>
                <w:szCs w:val="26"/>
              </w:rPr>
            </w:pPr>
            <w:r w:rsidRPr="005E634E">
              <w:rPr>
                <w:rFonts w:ascii="Times New Roman" w:eastAsia="Calibri" w:hAnsi="Times New Roman" w:cs="Times New Roman"/>
                <w:sz w:val="26"/>
                <w:szCs w:val="26"/>
              </w:rPr>
              <w:t>Wind Database</w:t>
            </w:r>
          </w:p>
        </w:tc>
      </w:tr>
      <w:tr w:rsidR="005E634E" w:rsidRPr="005E634E" w14:paraId="58D00EF4" w14:textId="77777777" w:rsidTr="00F95D6A">
        <w:tc>
          <w:tcPr>
            <w:tcW w:w="3116" w:type="dxa"/>
            <w:tcBorders>
              <w:top w:val="single" w:sz="4" w:space="0" w:color="000000"/>
              <w:left w:val="nil"/>
              <w:bottom w:val="single" w:sz="4" w:space="0" w:color="000000"/>
              <w:right w:val="nil"/>
            </w:tcBorders>
            <w:vAlign w:val="center"/>
          </w:tcPr>
          <w:p w14:paraId="24F7FE36" w14:textId="2929AB6E" w:rsidR="005E634E" w:rsidRPr="005E634E" w:rsidRDefault="005E634E" w:rsidP="005E634E">
            <w:pPr>
              <w:tabs>
                <w:tab w:val="left" w:pos="1425"/>
              </w:tabs>
              <w:spacing w:before="100" w:beforeAutospacing="1" w:line="360" w:lineRule="auto"/>
              <w:rPr>
                <w:rFonts w:ascii="Times New Roman" w:eastAsia="DengXian" w:hAnsi="Times New Roman" w:cs="Times New Roman"/>
                <w:b/>
                <w:bCs/>
                <w:sz w:val="26"/>
                <w:szCs w:val="26"/>
              </w:rPr>
            </w:pPr>
            <w:r w:rsidRPr="005E634E">
              <w:rPr>
                <w:rFonts w:ascii="Times New Roman" w:eastAsia="SimSun" w:hAnsi="Times New Roman" w:cs="Times New Roman"/>
                <w:i/>
                <w:iCs/>
                <w:sz w:val="26"/>
                <w:szCs w:val="26"/>
              </w:rPr>
              <w:t>Audit fees</w:t>
            </w:r>
          </w:p>
        </w:tc>
        <w:tc>
          <w:tcPr>
            <w:tcW w:w="3258" w:type="dxa"/>
            <w:tcBorders>
              <w:top w:val="single" w:sz="4" w:space="0" w:color="000000"/>
              <w:left w:val="nil"/>
              <w:bottom w:val="single" w:sz="4" w:space="0" w:color="000000"/>
              <w:right w:val="nil"/>
            </w:tcBorders>
            <w:vAlign w:val="center"/>
          </w:tcPr>
          <w:p w14:paraId="58E01669" w14:textId="3EA27699" w:rsidR="005E634E" w:rsidRPr="005E634E" w:rsidRDefault="005E634E" w:rsidP="005E634E">
            <w:pPr>
              <w:tabs>
                <w:tab w:val="left" w:pos="1425"/>
              </w:tabs>
              <w:spacing w:before="100" w:beforeAutospacing="1" w:line="360" w:lineRule="auto"/>
              <w:rPr>
                <w:rFonts w:ascii="Times New Roman" w:eastAsia="DengXian" w:hAnsi="Times New Roman" w:cs="Times New Roman"/>
                <w:b/>
                <w:bCs/>
                <w:sz w:val="26"/>
                <w:szCs w:val="26"/>
              </w:rPr>
            </w:pPr>
            <w:r w:rsidRPr="005E634E">
              <w:rPr>
                <w:rFonts w:ascii="Times New Roman" w:eastAsia="SimSun" w:hAnsi="Times New Roman" w:cs="Times New Roman"/>
                <w:sz w:val="26"/>
                <w:szCs w:val="26"/>
              </w:rPr>
              <w:t>Audit fee takes the natural logarithm</w:t>
            </w:r>
          </w:p>
        </w:tc>
        <w:tc>
          <w:tcPr>
            <w:tcW w:w="2976" w:type="dxa"/>
            <w:tcBorders>
              <w:top w:val="single" w:sz="4" w:space="0" w:color="000000"/>
              <w:left w:val="nil"/>
              <w:bottom w:val="single" w:sz="4" w:space="0" w:color="000000"/>
              <w:right w:val="nil"/>
            </w:tcBorders>
          </w:tcPr>
          <w:p w14:paraId="27C8AE36" w14:textId="79ACAB0A" w:rsidR="005E634E" w:rsidRPr="005E634E" w:rsidRDefault="005E634E" w:rsidP="005E634E">
            <w:pPr>
              <w:tabs>
                <w:tab w:val="left" w:pos="1425"/>
              </w:tabs>
              <w:spacing w:before="100" w:beforeAutospacing="1" w:line="360" w:lineRule="auto"/>
              <w:jc w:val="center"/>
              <w:rPr>
                <w:rFonts w:ascii="Times New Roman" w:eastAsia="DengXian" w:hAnsi="Times New Roman" w:cs="Times New Roman"/>
                <w:b/>
                <w:bCs/>
                <w:sz w:val="26"/>
                <w:szCs w:val="26"/>
              </w:rPr>
            </w:pPr>
            <w:r w:rsidRPr="005E634E">
              <w:rPr>
                <w:rFonts w:ascii="Times New Roman" w:eastAsia="Calibri" w:hAnsi="Times New Roman" w:cs="Times New Roman"/>
                <w:sz w:val="26"/>
                <w:szCs w:val="26"/>
              </w:rPr>
              <w:t>Wind Database</w:t>
            </w:r>
          </w:p>
        </w:tc>
      </w:tr>
      <w:tr w:rsidR="005E634E" w:rsidRPr="005E634E" w14:paraId="0BD17E8F" w14:textId="77777777" w:rsidTr="00DE7B0C">
        <w:tc>
          <w:tcPr>
            <w:tcW w:w="3116" w:type="dxa"/>
            <w:tcBorders>
              <w:top w:val="single" w:sz="4" w:space="0" w:color="000000"/>
              <w:left w:val="nil"/>
              <w:bottom w:val="single" w:sz="4" w:space="0" w:color="000000"/>
              <w:right w:val="nil"/>
            </w:tcBorders>
          </w:tcPr>
          <w:p w14:paraId="40DA8F77" w14:textId="1F964BF5" w:rsidR="005E634E" w:rsidRPr="00E1457F" w:rsidRDefault="00E1457F" w:rsidP="00E1457F">
            <w:pPr>
              <w:tabs>
                <w:tab w:val="left" w:pos="1425"/>
              </w:tabs>
              <w:spacing w:before="100" w:beforeAutospacing="1" w:line="360" w:lineRule="auto"/>
              <w:rPr>
                <w:rFonts w:ascii="Times New Roman" w:eastAsia="SimSun" w:hAnsi="Times New Roman" w:cs="Times New Roman"/>
                <w:sz w:val="26"/>
                <w:szCs w:val="26"/>
              </w:rPr>
            </w:pPr>
            <w:proofErr w:type="spellStart"/>
            <w:r w:rsidRPr="00E1457F">
              <w:rPr>
                <w:rFonts w:ascii="Times New Roman" w:eastAsia="SimSun" w:hAnsi="Times New Roman" w:cs="Times New Roman"/>
                <w:sz w:val="26"/>
                <w:szCs w:val="26"/>
              </w:rPr>
              <w:t>TobinQ</w:t>
            </w:r>
            <w:proofErr w:type="spellEnd"/>
          </w:p>
        </w:tc>
        <w:tc>
          <w:tcPr>
            <w:tcW w:w="3258" w:type="dxa"/>
            <w:tcBorders>
              <w:top w:val="single" w:sz="4" w:space="0" w:color="000000"/>
              <w:left w:val="nil"/>
              <w:bottom w:val="single" w:sz="4" w:space="0" w:color="000000"/>
              <w:right w:val="nil"/>
            </w:tcBorders>
          </w:tcPr>
          <w:p w14:paraId="1BBEA67E" w14:textId="02B55BDD" w:rsidR="005E634E" w:rsidRPr="00E1457F" w:rsidRDefault="005E634E" w:rsidP="005E634E">
            <w:pPr>
              <w:tabs>
                <w:tab w:val="left" w:pos="1425"/>
              </w:tabs>
              <w:spacing w:before="100" w:beforeAutospacing="1" w:line="360" w:lineRule="auto"/>
              <w:rPr>
                <w:rFonts w:ascii="Times New Roman" w:eastAsia="SimSun" w:hAnsi="Times New Roman" w:cs="Times New Roman"/>
                <w:sz w:val="26"/>
                <w:szCs w:val="26"/>
              </w:rPr>
            </w:pPr>
            <w:r w:rsidRPr="00E1457F">
              <w:rPr>
                <w:rFonts w:ascii="Times New Roman" w:eastAsia="SimSun" w:hAnsi="Times New Roman" w:cs="Times New Roman"/>
                <w:sz w:val="26"/>
                <w:szCs w:val="26"/>
              </w:rPr>
              <w:t>Proxy for firm market value, calculated as (market value of equity + book value of debt) / total assets.</w:t>
            </w:r>
          </w:p>
        </w:tc>
        <w:tc>
          <w:tcPr>
            <w:tcW w:w="2976" w:type="dxa"/>
            <w:tcBorders>
              <w:top w:val="single" w:sz="4" w:space="0" w:color="000000"/>
              <w:left w:val="nil"/>
              <w:bottom w:val="single" w:sz="4" w:space="0" w:color="000000"/>
              <w:right w:val="nil"/>
            </w:tcBorders>
          </w:tcPr>
          <w:p w14:paraId="7C05F694" w14:textId="5D8BB05B" w:rsidR="005E634E" w:rsidRPr="005E634E" w:rsidRDefault="00E1457F" w:rsidP="00E1457F">
            <w:pPr>
              <w:tabs>
                <w:tab w:val="left" w:pos="1425"/>
              </w:tabs>
              <w:spacing w:before="100" w:beforeAutospacing="1" w:line="360" w:lineRule="auto"/>
              <w:jc w:val="center"/>
              <w:rPr>
                <w:rFonts w:ascii="Times New Roman" w:eastAsia="DengXian" w:hAnsi="Times New Roman" w:cs="Times New Roman"/>
                <w:b/>
                <w:bCs/>
                <w:sz w:val="26"/>
                <w:szCs w:val="26"/>
              </w:rPr>
            </w:pPr>
            <w:r w:rsidRPr="005E634E">
              <w:rPr>
                <w:rFonts w:ascii="Times New Roman" w:eastAsia="DengXian" w:hAnsi="Times New Roman" w:cs="Times New Roman"/>
                <w:sz w:val="26"/>
                <w:szCs w:val="26"/>
              </w:rPr>
              <w:t>CSMAR</w:t>
            </w:r>
          </w:p>
        </w:tc>
      </w:tr>
      <w:tr w:rsidR="00E1457F" w:rsidRPr="005E634E" w14:paraId="71F160EB" w14:textId="77777777" w:rsidTr="00DE7B0C">
        <w:tc>
          <w:tcPr>
            <w:tcW w:w="3116" w:type="dxa"/>
            <w:tcBorders>
              <w:top w:val="single" w:sz="4" w:space="0" w:color="000000"/>
              <w:left w:val="nil"/>
              <w:bottom w:val="single" w:sz="4" w:space="0" w:color="000000"/>
              <w:right w:val="nil"/>
            </w:tcBorders>
          </w:tcPr>
          <w:p w14:paraId="435E0B39" w14:textId="3FF7808B" w:rsidR="00E1457F" w:rsidRPr="00E1457F" w:rsidRDefault="00E1457F" w:rsidP="00E1457F">
            <w:pPr>
              <w:tabs>
                <w:tab w:val="left" w:pos="1425"/>
              </w:tabs>
              <w:spacing w:before="100" w:beforeAutospacing="1" w:line="360" w:lineRule="auto"/>
              <w:rPr>
                <w:rFonts w:ascii="Times New Roman" w:eastAsia="SimSun" w:hAnsi="Times New Roman" w:cs="Times New Roman"/>
                <w:sz w:val="26"/>
                <w:szCs w:val="26"/>
              </w:rPr>
            </w:pPr>
            <w:r w:rsidRPr="00E1457F">
              <w:rPr>
                <w:rFonts w:ascii="Times New Roman" w:eastAsia="Calibri" w:hAnsi="Times New Roman" w:cs="Times New Roman"/>
                <w:bCs/>
                <w:i/>
                <w:iCs/>
                <w:sz w:val="26"/>
                <w:szCs w:val="26"/>
              </w:rPr>
              <w:t>Industry</w:t>
            </w:r>
          </w:p>
        </w:tc>
        <w:tc>
          <w:tcPr>
            <w:tcW w:w="3258" w:type="dxa"/>
            <w:tcBorders>
              <w:top w:val="single" w:sz="4" w:space="0" w:color="000000"/>
              <w:left w:val="nil"/>
              <w:bottom w:val="single" w:sz="4" w:space="0" w:color="000000"/>
              <w:right w:val="nil"/>
            </w:tcBorders>
          </w:tcPr>
          <w:p w14:paraId="150B251F" w14:textId="77777777" w:rsidR="00E1457F" w:rsidRPr="00E1457F" w:rsidRDefault="00E1457F" w:rsidP="00E1457F">
            <w:pPr>
              <w:spacing w:before="100" w:beforeAutospacing="1" w:line="273" w:lineRule="auto"/>
              <w:rPr>
                <w:rFonts w:ascii="Times New Roman" w:eastAsia="Calibri" w:hAnsi="Times New Roman" w:cs="Times New Roman"/>
                <w:sz w:val="26"/>
                <w:szCs w:val="26"/>
              </w:rPr>
            </w:pPr>
            <w:r w:rsidRPr="00E1457F">
              <w:rPr>
                <w:rFonts w:ascii="Times New Roman" w:eastAsia="Calibri" w:hAnsi="Times New Roman" w:cs="Times New Roman"/>
                <w:sz w:val="26"/>
                <w:szCs w:val="26"/>
              </w:rPr>
              <w:t>Indicator variables for industry effect.</w:t>
            </w:r>
          </w:p>
          <w:p w14:paraId="09E16426" w14:textId="77777777" w:rsidR="00E1457F" w:rsidRPr="00E1457F" w:rsidRDefault="00E1457F" w:rsidP="00E1457F">
            <w:pPr>
              <w:tabs>
                <w:tab w:val="left" w:pos="1425"/>
              </w:tabs>
              <w:spacing w:before="100" w:beforeAutospacing="1" w:line="360" w:lineRule="auto"/>
              <w:rPr>
                <w:rFonts w:ascii="Times New Roman" w:eastAsia="SimSun" w:hAnsi="Times New Roman" w:cs="Times New Roman"/>
                <w:sz w:val="26"/>
                <w:szCs w:val="26"/>
              </w:rPr>
            </w:pPr>
          </w:p>
        </w:tc>
        <w:tc>
          <w:tcPr>
            <w:tcW w:w="2976" w:type="dxa"/>
            <w:tcBorders>
              <w:top w:val="single" w:sz="4" w:space="0" w:color="000000"/>
              <w:left w:val="nil"/>
              <w:bottom w:val="single" w:sz="4" w:space="0" w:color="000000"/>
              <w:right w:val="nil"/>
            </w:tcBorders>
          </w:tcPr>
          <w:p w14:paraId="26CBC280" w14:textId="679BDAD2" w:rsidR="00E1457F" w:rsidRPr="00E1457F" w:rsidRDefault="00E1457F" w:rsidP="00E1457F">
            <w:pPr>
              <w:tabs>
                <w:tab w:val="left" w:pos="1425"/>
              </w:tabs>
              <w:spacing w:before="100" w:beforeAutospacing="1" w:line="360" w:lineRule="auto"/>
              <w:jc w:val="center"/>
              <w:rPr>
                <w:rFonts w:ascii="Times New Roman" w:eastAsia="DengXian" w:hAnsi="Times New Roman" w:cs="Times New Roman"/>
                <w:sz w:val="26"/>
                <w:szCs w:val="26"/>
              </w:rPr>
            </w:pPr>
            <w:r w:rsidRPr="00E1457F">
              <w:rPr>
                <w:rFonts w:ascii="Times New Roman" w:eastAsia="Calibri" w:hAnsi="Times New Roman" w:cs="Times New Roman"/>
                <w:sz w:val="26"/>
                <w:szCs w:val="26"/>
              </w:rPr>
              <w:t>Wind Database</w:t>
            </w:r>
          </w:p>
        </w:tc>
      </w:tr>
      <w:tr w:rsidR="00E1457F" w:rsidRPr="005E634E" w14:paraId="1779E076" w14:textId="77777777" w:rsidTr="00F65A63">
        <w:tc>
          <w:tcPr>
            <w:tcW w:w="3116" w:type="dxa"/>
            <w:tcBorders>
              <w:top w:val="single" w:sz="4" w:space="0" w:color="000000"/>
              <w:left w:val="nil"/>
              <w:bottom w:val="single" w:sz="4" w:space="0" w:color="auto"/>
              <w:right w:val="nil"/>
            </w:tcBorders>
          </w:tcPr>
          <w:p w14:paraId="6419824D" w14:textId="61268BD8" w:rsidR="00E1457F" w:rsidRPr="00E1457F" w:rsidRDefault="00E1457F" w:rsidP="00E1457F">
            <w:pPr>
              <w:tabs>
                <w:tab w:val="left" w:pos="1425"/>
              </w:tabs>
              <w:spacing w:before="100" w:beforeAutospacing="1" w:line="360" w:lineRule="auto"/>
              <w:rPr>
                <w:rFonts w:ascii="Times New Roman" w:eastAsia="SimSun" w:hAnsi="Times New Roman" w:cs="Times New Roman"/>
                <w:sz w:val="26"/>
                <w:szCs w:val="26"/>
              </w:rPr>
            </w:pPr>
            <w:r w:rsidRPr="00E1457F">
              <w:rPr>
                <w:rFonts w:ascii="Times New Roman" w:eastAsia="Calibri" w:hAnsi="Times New Roman" w:cs="Times New Roman"/>
                <w:bCs/>
                <w:i/>
                <w:iCs/>
                <w:sz w:val="26"/>
                <w:szCs w:val="26"/>
              </w:rPr>
              <w:t>Year</w:t>
            </w:r>
          </w:p>
        </w:tc>
        <w:tc>
          <w:tcPr>
            <w:tcW w:w="3258" w:type="dxa"/>
            <w:tcBorders>
              <w:top w:val="single" w:sz="4" w:space="0" w:color="000000"/>
              <w:left w:val="nil"/>
              <w:bottom w:val="single" w:sz="4" w:space="0" w:color="auto"/>
              <w:right w:val="nil"/>
            </w:tcBorders>
          </w:tcPr>
          <w:p w14:paraId="41A8B305" w14:textId="3A33B164" w:rsidR="00E1457F" w:rsidRPr="004F3B93" w:rsidRDefault="00E1457F" w:rsidP="004F3B93">
            <w:pPr>
              <w:spacing w:before="100" w:beforeAutospacing="1" w:line="273" w:lineRule="auto"/>
              <w:rPr>
                <w:rFonts w:ascii="Times New Roman" w:eastAsia="Calibri" w:hAnsi="Times New Roman" w:cs="Times New Roman"/>
                <w:sz w:val="26"/>
                <w:szCs w:val="26"/>
              </w:rPr>
            </w:pPr>
            <w:r w:rsidRPr="00E1457F">
              <w:rPr>
                <w:rFonts w:ascii="Times New Roman" w:eastAsia="Calibri" w:hAnsi="Times New Roman" w:cs="Times New Roman"/>
                <w:sz w:val="26"/>
                <w:szCs w:val="26"/>
              </w:rPr>
              <w:t>Indicator variables for year effect.</w:t>
            </w:r>
          </w:p>
        </w:tc>
        <w:tc>
          <w:tcPr>
            <w:tcW w:w="2976" w:type="dxa"/>
            <w:tcBorders>
              <w:top w:val="single" w:sz="4" w:space="0" w:color="000000"/>
              <w:left w:val="nil"/>
              <w:bottom w:val="single" w:sz="4" w:space="0" w:color="auto"/>
              <w:right w:val="nil"/>
            </w:tcBorders>
          </w:tcPr>
          <w:p w14:paraId="7FE88D18" w14:textId="24924286" w:rsidR="00E1457F" w:rsidRPr="00E1457F" w:rsidRDefault="00E1457F" w:rsidP="00E1457F">
            <w:pPr>
              <w:tabs>
                <w:tab w:val="left" w:pos="1425"/>
              </w:tabs>
              <w:spacing w:before="100" w:beforeAutospacing="1" w:line="360" w:lineRule="auto"/>
              <w:jc w:val="center"/>
              <w:rPr>
                <w:rFonts w:ascii="Times New Roman" w:eastAsia="DengXian" w:hAnsi="Times New Roman" w:cs="Times New Roman"/>
                <w:sz w:val="26"/>
                <w:szCs w:val="26"/>
              </w:rPr>
            </w:pPr>
            <w:r w:rsidRPr="00E1457F">
              <w:rPr>
                <w:rFonts w:ascii="Times New Roman" w:eastAsia="Calibri" w:hAnsi="Times New Roman" w:cs="Times New Roman"/>
                <w:sz w:val="26"/>
                <w:szCs w:val="26"/>
              </w:rPr>
              <w:t>Wind Database</w:t>
            </w:r>
          </w:p>
        </w:tc>
      </w:tr>
    </w:tbl>
    <w:p w14:paraId="13DEF5D6" w14:textId="77777777" w:rsidR="005A75EB" w:rsidRPr="005A75EB" w:rsidRDefault="005A75EB" w:rsidP="005A75EB">
      <w:pPr>
        <w:tabs>
          <w:tab w:val="left" w:pos="1425"/>
        </w:tabs>
        <w:spacing w:before="100" w:beforeAutospacing="1" w:line="360" w:lineRule="auto"/>
        <w:rPr>
          <w:rFonts w:ascii="Times New Roman" w:eastAsia="DengXian" w:hAnsi="Times New Roman" w:cs="Times New Roman"/>
          <w:b/>
          <w:bCs/>
          <w:sz w:val="26"/>
          <w:szCs w:val="26"/>
        </w:rPr>
      </w:pPr>
    </w:p>
    <w:p w14:paraId="35CB081E" w14:textId="77777777" w:rsidR="00DA2AC5" w:rsidRPr="00D6639F" w:rsidRDefault="00DA2AC5" w:rsidP="0099251B">
      <w:pPr>
        <w:rPr>
          <w:rFonts w:asciiTheme="majorBidi" w:hAnsiTheme="majorBidi" w:cstheme="majorBidi"/>
          <w:sz w:val="28"/>
          <w:szCs w:val="28"/>
        </w:rPr>
      </w:pPr>
    </w:p>
    <w:sectPr w:rsidR="00DA2AC5" w:rsidRPr="00D6639F">
      <w:headerReference w:type="even" r:id="rId77"/>
      <w:headerReference w:type="default" r:id="rId78"/>
      <w:footerReference w:type="even" r:id="rId79"/>
      <w:footerReference w:type="default" r:id="rId80"/>
      <w:headerReference w:type="first" r:id="rId81"/>
      <w:footerReference w:type="first" r:id="rId8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9698" w14:textId="77777777" w:rsidR="00AA2C7A" w:rsidRDefault="00AA2C7A" w:rsidP="0061671F">
      <w:pPr>
        <w:spacing w:after="0" w:line="240" w:lineRule="auto"/>
      </w:pPr>
      <w:r>
        <w:separator/>
      </w:r>
    </w:p>
  </w:endnote>
  <w:endnote w:type="continuationSeparator" w:id="0">
    <w:p w14:paraId="52532776" w14:textId="77777777" w:rsidR="00AA2C7A" w:rsidRDefault="00AA2C7A" w:rsidP="0061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URWPalladioL-Roma">
    <w:altName w:val="Cambria"/>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37D3" w14:textId="77777777" w:rsidR="004C2958" w:rsidRDefault="004C2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858798"/>
      <w:docPartObj>
        <w:docPartGallery w:val="Page Numbers (Bottom of Page)"/>
        <w:docPartUnique/>
      </w:docPartObj>
    </w:sdtPr>
    <w:sdtEndPr>
      <w:rPr>
        <w:noProof/>
      </w:rPr>
    </w:sdtEndPr>
    <w:sdtContent>
      <w:p w14:paraId="32F4824D" w14:textId="1166D783" w:rsidR="0061671F" w:rsidRDefault="0061671F">
        <w:pPr>
          <w:pStyle w:val="Footer"/>
          <w:jc w:val="center"/>
        </w:pPr>
        <w:r w:rsidRPr="0061671F">
          <w:rPr>
            <w:rFonts w:asciiTheme="majorBidi" w:hAnsiTheme="majorBidi" w:cstheme="majorBidi"/>
            <w:b/>
            <w:bCs/>
            <w:sz w:val="28"/>
            <w:szCs w:val="28"/>
          </w:rPr>
          <w:fldChar w:fldCharType="begin"/>
        </w:r>
        <w:r w:rsidRPr="0061671F">
          <w:rPr>
            <w:rFonts w:asciiTheme="majorBidi" w:hAnsiTheme="majorBidi" w:cstheme="majorBidi"/>
            <w:b/>
            <w:bCs/>
            <w:sz w:val="28"/>
            <w:szCs w:val="28"/>
          </w:rPr>
          <w:instrText xml:space="preserve"> PAGE   \* MERGEFORMAT </w:instrText>
        </w:r>
        <w:r w:rsidRPr="0061671F">
          <w:rPr>
            <w:rFonts w:asciiTheme="majorBidi" w:hAnsiTheme="majorBidi" w:cstheme="majorBidi"/>
            <w:b/>
            <w:bCs/>
            <w:sz w:val="28"/>
            <w:szCs w:val="28"/>
          </w:rPr>
          <w:fldChar w:fldCharType="separate"/>
        </w:r>
        <w:r w:rsidRPr="0061671F">
          <w:rPr>
            <w:rFonts w:asciiTheme="majorBidi" w:hAnsiTheme="majorBidi" w:cstheme="majorBidi"/>
            <w:b/>
            <w:bCs/>
            <w:noProof/>
            <w:sz w:val="28"/>
            <w:szCs w:val="28"/>
          </w:rPr>
          <w:t>2</w:t>
        </w:r>
        <w:r w:rsidRPr="0061671F">
          <w:rPr>
            <w:rFonts w:asciiTheme="majorBidi" w:hAnsiTheme="majorBidi" w:cstheme="majorBidi"/>
            <w:b/>
            <w:bCs/>
            <w:noProof/>
            <w:sz w:val="28"/>
            <w:szCs w:val="28"/>
          </w:rPr>
          <w:fldChar w:fldCharType="end"/>
        </w:r>
      </w:p>
    </w:sdtContent>
  </w:sdt>
  <w:p w14:paraId="635588A7" w14:textId="77777777" w:rsidR="0061671F" w:rsidRDefault="00616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227B" w14:textId="77777777" w:rsidR="004C2958" w:rsidRDefault="004C2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0E747" w14:textId="77777777" w:rsidR="00AA2C7A" w:rsidRDefault="00AA2C7A" w:rsidP="0061671F">
      <w:pPr>
        <w:spacing w:after="0" w:line="240" w:lineRule="auto"/>
      </w:pPr>
      <w:r>
        <w:separator/>
      </w:r>
    </w:p>
  </w:footnote>
  <w:footnote w:type="continuationSeparator" w:id="0">
    <w:p w14:paraId="29A87E33" w14:textId="77777777" w:rsidR="00AA2C7A" w:rsidRDefault="00AA2C7A" w:rsidP="00616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15A9" w14:textId="5D0F7ECD" w:rsidR="004C2958" w:rsidRDefault="00AA2C7A">
    <w:pPr>
      <w:pStyle w:val="Header"/>
    </w:pPr>
    <w:r>
      <w:rPr>
        <w:noProof/>
      </w:rPr>
      <w:pict w14:anchorId="2BBBC2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808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6C75" w14:textId="01FD82FF" w:rsidR="004C2958" w:rsidRDefault="00AA2C7A">
    <w:pPr>
      <w:pStyle w:val="Header"/>
    </w:pPr>
    <w:r>
      <w:rPr>
        <w:noProof/>
      </w:rPr>
      <w:pict w14:anchorId="1DAC9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808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D59B" w14:textId="28E7C9F0" w:rsidR="004C2958" w:rsidRDefault="00AA2C7A">
    <w:pPr>
      <w:pStyle w:val="Header"/>
    </w:pPr>
    <w:r>
      <w:rPr>
        <w:noProof/>
      </w:rPr>
      <w:pict w14:anchorId="7B774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808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D5958"/>
    <w:multiLevelType w:val="hybridMultilevel"/>
    <w:tmpl w:val="9D5ECD90"/>
    <w:lvl w:ilvl="0" w:tplc="D4985628">
      <w:start w:val="1"/>
      <w:numFmt w:val="decimal"/>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1" w15:restartNumberingAfterBreak="0">
    <w:nsid w:val="33B27C58"/>
    <w:multiLevelType w:val="hybridMultilevel"/>
    <w:tmpl w:val="4246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85"/>
    <w:rsid w:val="00002CAA"/>
    <w:rsid w:val="00021F5B"/>
    <w:rsid w:val="00035B05"/>
    <w:rsid w:val="00036B44"/>
    <w:rsid w:val="00057382"/>
    <w:rsid w:val="00062B4C"/>
    <w:rsid w:val="00073A3A"/>
    <w:rsid w:val="000A6531"/>
    <w:rsid w:val="000B1965"/>
    <w:rsid w:val="000B3431"/>
    <w:rsid w:val="0011563A"/>
    <w:rsid w:val="001303A9"/>
    <w:rsid w:val="00152720"/>
    <w:rsid w:val="0018282D"/>
    <w:rsid w:val="001B0D34"/>
    <w:rsid w:val="00200430"/>
    <w:rsid w:val="00203FB3"/>
    <w:rsid w:val="0021132D"/>
    <w:rsid w:val="00213578"/>
    <w:rsid w:val="00215B30"/>
    <w:rsid w:val="0022121E"/>
    <w:rsid w:val="0024524F"/>
    <w:rsid w:val="00286B2C"/>
    <w:rsid w:val="002D1F8C"/>
    <w:rsid w:val="00321922"/>
    <w:rsid w:val="00395BE3"/>
    <w:rsid w:val="003A239B"/>
    <w:rsid w:val="003A55B4"/>
    <w:rsid w:val="003B519B"/>
    <w:rsid w:val="003C6544"/>
    <w:rsid w:val="00405B19"/>
    <w:rsid w:val="00411307"/>
    <w:rsid w:val="0044366D"/>
    <w:rsid w:val="00456F35"/>
    <w:rsid w:val="004C2958"/>
    <w:rsid w:val="004D2505"/>
    <w:rsid w:val="004D6233"/>
    <w:rsid w:val="004F1B66"/>
    <w:rsid w:val="004F2813"/>
    <w:rsid w:val="004F3B93"/>
    <w:rsid w:val="00502314"/>
    <w:rsid w:val="00515958"/>
    <w:rsid w:val="0057671C"/>
    <w:rsid w:val="0059137A"/>
    <w:rsid w:val="005A3450"/>
    <w:rsid w:val="005A75EB"/>
    <w:rsid w:val="005B4C7D"/>
    <w:rsid w:val="005C57D3"/>
    <w:rsid w:val="005C668A"/>
    <w:rsid w:val="005E1100"/>
    <w:rsid w:val="005E517C"/>
    <w:rsid w:val="005E598A"/>
    <w:rsid w:val="005E634E"/>
    <w:rsid w:val="005F5CAF"/>
    <w:rsid w:val="0061671F"/>
    <w:rsid w:val="00656426"/>
    <w:rsid w:val="00664273"/>
    <w:rsid w:val="00696FCD"/>
    <w:rsid w:val="006C04C8"/>
    <w:rsid w:val="006F1238"/>
    <w:rsid w:val="00713DA9"/>
    <w:rsid w:val="00741958"/>
    <w:rsid w:val="00750C3D"/>
    <w:rsid w:val="007776B9"/>
    <w:rsid w:val="00777F58"/>
    <w:rsid w:val="0078752C"/>
    <w:rsid w:val="007A1733"/>
    <w:rsid w:val="007B3B3C"/>
    <w:rsid w:val="007E3FD3"/>
    <w:rsid w:val="007F28EB"/>
    <w:rsid w:val="007F4A8D"/>
    <w:rsid w:val="007F6AA7"/>
    <w:rsid w:val="00805278"/>
    <w:rsid w:val="00817BFE"/>
    <w:rsid w:val="0084155E"/>
    <w:rsid w:val="008506BB"/>
    <w:rsid w:val="00855586"/>
    <w:rsid w:val="00862CE2"/>
    <w:rsid w:val="00865581"/>
    <w:rsid w:val="008B262D"/>
    <w:rsid w:val="008C36F3"/>
    <w:rsid w:val="009165EB"/>
    <w:rsid w:val="00934904"/>
    <w:rsid w:val="009560EC"/>
    <w:rsid w:val="0099251B"/>
    <w:rsid w:val="009A4523"/>
    <w:rsid w:val="009D0B0D"/>
    <w:rsid w:val="00A02385"/>
    <w:rsid w:val="00A0436C"/>
    <w:rsid w:val="00A07422"/>
    <w:rsid w:val="00A26FF8"/>
    <w:rsid w:val="00A30B8E"/>
    <w:rsid w:val="00A40647"/>
    <w:rsid w:val="00AA2C7A"/>
    <w:rsid w:val="00AD523A"/>
    <w:rsid w:val="00AE4336"/>
    <w:rsid w:val="00AE68B0"/>
    <w:rsid w:val="00AF429B"/>
    <w:rsid w:val="00B05C25"/>
    <w:rsid w:val="00B2543F"/>
    <w:rsid w:val="00B85BAA"/>
    <w:rsid w:val="00BE5163"/>
    <w:rsid w:val="00C11455"/>
    <w:rsid w:val="00C31C57"/>
    <w:rsid w:val="00C33495"/>
    <w:rsid w:val="00C3690E"/>
    <w:rsid w:val="00C547C6"/>
    <w:rsid w:val="00C54CDA"/>
    <w:rsid w:val="00C74EC2"/>
    <w:rsid w:val="00C82CAE"/>
    <w:rsid w:val="00CB2C2B"/>
    <w:rsid w:val="00CB73D9"/>
    <w:rsid w:val="00CD4DD8"/>
    <w:rsid w:val="00CD707F"/>
    <w:rsid w:val="00CF4658"/>
    <w:rsid w:val="00D1196F"/>
    <w:rsid w:val="00D16EE8"/>
    <w:rsid w:val="00D50EFF"/>
    <w:rsid w:val="00D6639F"/>
    <w:rsid w:val="00DA2AC5"/>
    <w:rsid w:val="00DF33BF"/>
    <w:rsid w:val="00E1457F"/>
    <w:rsid w:val="00E221D6"/>
    <w:rsid w:val="00E5065A"/>
    <w:rsid w:val="00E55A5D"/>
    <w:rsid w:val="00E561D7"/>
    <w:rsid w:val="00E73860"/>
    <w:rsid w:val="00E86DAB"/>
    <w:rsid w:val="00EB4880"/>
    <w:rsid w:val="00F0378F"/>
    <w:rsid w:val="00F27F02"/>
    <w:rsid w:val="00F336A2"/>
    <w:rsid w:val="00F364F8"/>
    <w:rsid w:val="00F371DF"/>
    <w:rsid w:val="00F514F5"/>
    <w:rsid w:val="00F96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B3B212"/>
  <w15:chartTrackingRefBased/>
  <w15:docId w15:val="{7F73D823-9918-4143-AB7C-3D5B981C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71F"/>
  </w:style>
  <w:style w:type="paragraph" w:styleId="Footer">
    <w:name w:val="footer"/>
    <w:basedOn w:val="Normal"/>
    <w:link w:val="FooterChar"/>
    <w:uiPriority w:val="99"/>
    <w:unhideWhenUsed/>
    <w:rsid w:val="00616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71F"/>
  </w:style>
  <w:style w:type="table" w:styleId="TableGrid">
    <w:name w:val="Table Grid"/>
    <w:basedOn w:val="TableNormal"/>
    <w:uiPriority w:val="39"/>
    <w:rsid w:val="005A7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429B"/>
    <w:pPr>
      <w:ind w:left="720"/>
      <w:contextualSpacing/>
    </w:pPr>
  </w:style>
  <w:style w:type="character" w:styleId="Hyperlink">
    <w:name w:val="Hyperlink"/>
    <w:basedOn w:val="DefaultParagraphFont"/>
    <w:uiPriority w:val="99"/>
    <w:unhideWhenUsed/>
    <w:rsid w:val="00C54CDA"/>
    <w:rPr>
      <w:color w:val="0563C1" w:themeColor="hyperlink"/>
      <w:u w:val="single"/>
    </w:rPr>
  </w:style>
  <w:style w:type="character" w:styleId="UnresolvedMention">
    <w:name w:val="Unresolved Mention"/>
    <w:basedOn w:val="DefaultParagraphFont"/>
    <w:uiPriority w:val="99"/>
    <w:semiHidden/>
    <w:unhideWhenUsed/>
    <w:rsid w:val="00C54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92480">
      <w:bodyDiv w:val="1"/>
      <w:marLeft w:val="0"/>
      <w:marRight w:val="0"/>
      <w:marTop w:val="0"/>
      <w:marBottom w:val="0"/>
      <w:divBdr>
        <w:top w:val="none" w:sz="0" w:space="0" w:color="auto"/>
        <w:left w:val="none" w:sz="0" w:space="0" w:color="auto"/>
        <w:bottom w:val="none" w:sz="0" w:space="0" w:color="auto"/>
        <w:right w:val="none" w:sz="0" w:space="0" w:color="auto"/>
      </w:divBdr>
    </w:div>
    <w:div w:id="953751286">
      <w:bodyDiv w:val="1"/>
      <w:marLeft w:val="0"/>
      <w:marRight w:val="0"/>
      <w:marTop w:val="0"/>
      <w:marBottom w:val="0"/>
      <w:divBdr>
        <w:top w:val="none" w:sz="0" w:space="0" w:color="auto"/>
        <w:left w:val="none" w:sz="0" w:space="0" w:color="auto"/>
        <w:bottom w:val="none" w:sz="0" w:space="0" w:color="auto"/>
        <w:right w:val="none" w:sz="0" w:space="0" w:color="auto"/>
      </w:divBdr>
      <w:divsChild>
        <w:div w:id="1103457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inonline.org/HOL/LandingPage?handle=hein.journals/colb2022&amp;div=16&amp;id=&amp;page=" TargetMode="External"/><Relationship Id="rId18" Type="http://schemas.openxmlformats.org/officeDocument/2006/relationships/hyperlink" Target="https://doi.org/10.1016/j.frl.2024.106594" TargetMode="External"/><Relationship Id="rId26" Type="http://schemas.openxmlformats.org/officeDocument/2006/relationships/hyperlink" Target="https://doi.org/10.1016/j.irfa.2022.102367" TargetMode="External"/><Relationship Id="rId39" Type="http://schemas.openxmlformats.org/officeDocument/2006/relationships/hyperlink" Target="https://doi.org/10.1016/j.jclepro.2022.134721" TargetMode="External"/><Relationship Id="rId21" Type="http://schemas.openxmlformats.org/officeDocument/2006/relationships/hyperlink" Target="https://doi.org/10.1017/S0022109013000069" TargetMode="External"/><Relationship Id="rId34" Type="http://schemas.openxmlformats.org/officeDocument/2006/relationships/hyperlink" Target="https://doi.org/10.1016/j.jfineco.2021.09.023" TargetMode="External"/><Relationship Id="rId42" Type="http://schemas.openxmlformats.org/officeDocument/2006/relationships/hyperlink" Target="https://doi.org/10.1111/j.1540-6261.2005.00813.x" TargetMode="External"/><Relationship Id="rId47" Type="http://schemas.openxmlformats.org/officeDocument/2006/relationships/hyperlink" Target="https://doi.org/10.1002/bse.2303" TargetMode="External"/><Relationship Id="rId50" Type="http://schemas.openxmlformats.org/officeDocument/2006/relationships/hyperlink" Target="https://doi.org/10.1108/NBRI-04-2019-0016" TargetMode="External"/><Relationship Id="rId55" Type="http://schemas.openxmlformats.org/officeDocument/2006/relationships/hyperlink" Target="https://dx.doi.org/10.2139/ssrn.3440407" TargetMode="External"/><Relationship Id="rId63" Type="http://schemas.openxmlformats.org/officeDocument/2006/relationships/hyperlink" Target="https://doi.org/10.1002/csr.2063" TargetMode="External"/><Relationship Id="rId68" Type="http://schemas.openxmlformats.org/officeDocument/2006/relationships/hyperlink" Target="https://doi.org/10.1016/j.irfa.2024.103509" TargetMode="External"/><Relationship Id="rId76" Type="http://schemas.openxmlformats.org/officeDocument/2006/relationships/hyperlink" Target="https://doi.org/10.3389/fenvs.2022.1084632" TargetMode="External"/><Relationship Id="rId84" Type="http://schemas.openxmlformats.org/officeDocument/2006/relationships/glossaryDocument" Target="glossary/document.xml"/><Relationship Id="rId7" Type="http://schemas.openxmlformats.org/officeDocument/2006/relationships/hyperlink" Target="https://doi.org/10.1108/SAMPJ-01-2022-0060" TargetMode="External"/><Relationship Id="rId71" Type="http://schemas.openxmlformats.org/officeDocument/2006/relationships/hyperlink" Target="https://doi.org/10.1002/csr.2224" TargetMode="External"/><Relationship Id="rId2" Type="http://schemas.openxmlformats.org/officeDocument/2006/relationships/styles" Target="styles.xml"/><Relationship Id="rId16" Type="http://schemas.openxmlformats.org/officeDocument/2006/relationships/hyperlink" Target="https://doi.org/10.1080/23322039.2021.1885195" TargetMode="External"/><Relationship Id="rId29" Type="http://schemas.openxmlformats.org/officeDocument/2006/relationships/hyperlink" Target="https://doi.org/10.1002/jcaf.22777" TargetMode="External"/><Relationship Id="rId11" Type="http://schemas.openxmlformats.org/officeDocument/2006/relationships/hyperlink" Target="https://doi.org/10.1371/journal.pone.0312510" TargetMode="External"/><Relationship Id="rId24" Type="http://schemas.openxmlformats.org/officeDocument/2006/relationships/hyperlink" Target="https://doi.org/10.1111/j.1540-6261.2011.01686.x" TargetMode="External"/><Relationship Id="rId32" Type="http://schemas.openxmlformats.org/officeDocument/2006/relationships/hyperlink" Target="https://doi.org/10.1111/j.1467-8683.2012.00909.x" TargetMode="External"/><Relationship Id="rId37" Type="http://schemas.openxmlformats.org/officeDocument/2006/relationships/hyperlink" Target="https://doi.org/10.3389/fenvs.2024.1526681" TargetMode="External"/><Relationship Id="rId40" Type="http://schemas.openxmlformats.org/officeDocument/2006/relationships/hyperlink" Target="https://ssrn.com/abstract=4049313" TargetMode="External"/><Relationship Id="rId45" Type="http://schemas.openxmlformats.org/officeDocument/2006/relationships/hyperlink" Target="https://doi.org/10.1016/j.jbankfin.2016.11.024" TargetMode="External"/><Relationship Id="rId53" Type="http://schemas.openxmlformats.org/officeDocument/2006/relationships/hyperlink" Target="https://doi.org/10.1002/smj.2348" TargetMode="External"/><Relationship Id="rId58" Type="http://schemas.openxmlformats.org/officeDocument/2006/relationships/hyperlink" Target="https://www.emerald.com/insight/content/doi/10.1108/ijchm-06-2015-0274/full/html" TargetMode="External"/><Relationship Id="rId66" Type="http://schemas.openxmlformats.org/officeDocument/2006/relationships/hyperlink" Target="https://doi.org/10.3389/fpsyg.2022.948674" TargetMode="External"/><Relationship Id="rId74" Type="http://schemas.openxmlformats.org/officeDocument/2006/relationships/hyperlink" Target="https://doi.org/10.1007/s13132-024-02129-y"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journals.sagepub.com/doi/abs/10.1177/0149206312441211" TargetMode="External"/><Relationship Id="rId82" Type="http://schemas.openxmlformats.org/officeDocument/2006/relationships/footer" Target="footer3.xml"/><Relationship Id="rId19" Type="http://schemas.openxmlformats.org/officeDocument/2006/relationships/hyperlink" Target="https://psycnet.apa.org/buy/1990-22524-001" TargetMode="External"/><Relationship Id="rId4" Type="http://schemas.openxmlformats.org/officeDocument/2006/relationships/webSettings" Target="webSettings.xml"/><Relationship Id="rId9" Type="http://schemas.openxmlformats.org/officeDocument/2006/relationships/hyperlink" Target="https://doi.org/10.1016/j.frl.2023.104719" TargetMode="External"/><Relationship Id="rId14" Type="http://schemas.openxmlformats.org/officeDocument/2006/relationships/hyperlink" Target="https://doi.org/10.1002/asmb.2758" TargetMode="External"/><Relationship Id="rId22" Type="http://schemas.openxmlformats.org/officeDocument/2006/relationships/hyperlink" Target="https://doi.org/10.1016/j.frl.2024.105800" TargetMode="External"/><Relationship Id="rId27" Type="http://schemas.openxmlformats.org/officeDocument/2006/relationships/hyperlink" Target="https://doi.org/10.1016/j.irfa.2023.103003" TargetMode="External"/><Relationship Id="rId30" Type="http://schemas.openxmlformats.org/officeDocument/2006/relationships/hyperlink" Target="https://doi.org/10.1016/j.jbusres.2023.114327" TargetMode="External"/><Relationship Id="rId35" Type="http://schemas.openxmlformats.org/officeDocument/2006/relationships/hyperlink" Target="https://doi.org/10.1016/j.intaccaudtax.2025.100702" TargetMode="External"/><Relationship Id="rId43" Type="http://schemas.openxmlformats.org/officeDocument/2006/relationships/hyperlink" Target="https://onlinelibrary.wiley.com/doi/abs/10.1111/j.1354-7798.2005.00302.x" TargetMode="External"/><Relationship Id="rId48" Type="http://schemas.openxmlformats.org/officeDocument/2006/relationships/hyperlink" Target="https://doi.org/10.3390/jrfm16040244" TargetMode="External"/><Relationship Id="rId56" Type="http://schemas.openxmlformats.org/officeDocument/2006/relationships/hyperlink" Target="https://sloanreview.mit.edu/article/managing-overconfidence/" TargetMode="External"/><Relationship Id="rId64" Type="http://schemas.openxmlformats.org/officeDocument/2006/relationships/hyperlink" Target="https://doi.org/10.1016/j.jbusres.2023.114026" TargetMode="External"/><Relationship Id="rId69" Type="http://schemas.openxmlformats.org/officeDocument/2006/relationships/hyperlink" Target="https://doi.org/10.3390/ijerph20010447" TargetMode="External"/><Relationship Id="rId77" Type="http://schemas.openxmlformats.org/officeDocument/2006/relationships/header" Target="header1.xml"/><Relationship Id="rId8" Type="http://schemas.openxmlformats.org/officeDocument/2006/relationships/hyperlink" Target="https://doi.org/10.1111/j.1467-8551.2005.00446.x" TargetMode="External"/><Relationship Id="rId51" Type="http://schemas.openxmlformats.org/officeDocument/2006/relationships/hyperlink" Target="https://doi.org/10.1108/JKM-05-2023-0445" TargetMode="External"/><Relationship Id="rId72" Type="http://schemas.openxmlformats.org/officeDocument/2006/relationships/hyperlink" Target="https://doi.org/10.1016/j.frl.2023.104887" TargetMode="External"/><Relationship Id="rId80" Type="http://schemas.openxmlformats.org/officeDocument/2006/relationships/footer" Target="footer2.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irabf.org/upload/journal/prog/1st%20%20%20%20%20Media%20Attention,%20ESG%20Performance%20and%20Firm%20Value.pdf" TargetMode="External"/><Relationship Id="rId17" Type="http://schemas.openxmlformats.org/officeDocument/2006/relationships/hyperlink" Target="https://doi.org/10.1007/s10551-019-04164-1" TargetMode="External"/><Relationship Id="rId25" Type="http://schemas.openxmlformats.org/officeDocument/2006/relationships/hyperlink" Target="https://doi.org/10.61173/wsc71495" TargetMode="External"/><Relationship Id="rId33" Type="http://schemas.openxmlformats.org/officeDocument/2006/relationships/hyperlink" Target="https://doi.org/10.3390/su142214674" TargetMode="External"/><Relationship Id="rId38" Type="http://schemas.openxmlformats.org/officeDocument/2006/relationships/hyperlink" Target="https://doi.org/10.1111/acfi.13011" TargetMode="External"/><Relationship Id="rId46" Type="http://schemas.openxmlformats.org/officeDocument/2006/relationships/hyperlink" Target="https://doi.org/10.3390/su142013447" TargetMode="External"/><Relationship Id="rId59" Type="http://schemas.openxmlformats.org/officeDocument/2006/relationships/hyperlink" Target="https://doi.org/10.1111/corg.12344" TargetMode="External"/><Relationship Id="rId67" Type="http://schemas.openxmlformats.org/officeDocument/2006/relationships/hyperlink" Target="https://www.mdpi.com/2071-1050/15/21/15570" TargetMode="External"/><Relationship Id="rId20" Type="http://schemas.openxmlformats.org/officeDocument/2006/relationships/hyperlink" Target="https://doi.org/10.1016/j.econlet.2025.112207" TargetMode="External"/><Relationship Id="rId41" Type="http://schemas.openxmlformats.org/officeDocument/2006/relationships/hyperlink" Target="http://www.nber.org/papers/w10813" TargetMode="External"/><Relationship Id="rId54" Type="http://schemas.openxmlformats.org/officeDocument/2006/relationships/hyperlink" Target="https://ssrn.com/abstract=3440407" TargetMode="External"/><Relationship Id="rId62" Type="http://schemas.openxmlformats.org/officeDocument/2006/relationships/hyperlink" Target="https://doi.org/10.1016/j.najef.2023.102034" TargetMode="External"/><Relationship Id="rId70" Type="http://schemas.openxmlformats.org/officeDocument/2006/relationships/hyperlink" Target="https://doi.org/10.1371/journal.pone.0292355" TargetMode="External"/><Relationship Id="rId75" Type="http://schemas.openxmlformats.org/officeDocument/2006/relationships/hyperlink" Target="https://doi.org/10.1108/EJIM-11-2023-0987"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6/j.jfi.2013.02.003" TargetMode="External"/><Relationship Id="rId23" Type="http://schemas.openxmlformats.org/officeDocument/2006/relationships/hyperlink" Target="http://www.nber.org/papers/w16041" TargetMode="External"/><Relationship Id="rId28" Type="http://schemas.openxmlformats.org/officeDocument/2006/relationships/hyperlink" Target="https://doi.org/10.1111/j.1540-6261.2012.01753.x" TargetMode="External"/><Relationship Id="rId36" Type="http://schemas.openxmlformats.org/officeDocument/2006/relationships/hyperlink" Target="https://doi.org/10.1002/smj.2519" TargetMode="External"/><Relationship Id="rId49" Type="http://schemas.openxmlformats.org/officeDocument/2006/relationships/hyperlink" Target="https://aaltodoc.aalto.fi/items/4eef5961-14c7-43a3-ba5a-8998233e5787" TargetMode="External"/><Relationship Id="rId57" Type="http://schemas.openxmlformats.org/officeDocument/2006/relationships/hyperlink" Target="https://www.emerald.com/insight/content/doi/10.1108/ijoes-11-2024-0358/full/html" TargetMode="External"/><Relationship Id="rId10" Type="http://schemas.openxmlformats.org/officeDocument/2006/relationships/hyperlink" Target="https://doi.org/10.1177/01492063221110203" TargetMode="External"/><Relationship Id="rId31" Type="http://schemas.openxmlformats.org/officeDocument/2006/relationships/hyperlink" Target="https://doi.org/10.1016/j.jcorpfin.2015.10.009" TargetMode="External"/><Relationship Id="rId44" Type="http://schemas.openxmlformats.org/officeDocument/2006/relationships/hyperlink" Target="http://www.nber.org/papers/w15659" TargetMode="External"/><Relationship Id="rId52" Type="http://schemas.openxmlformats.org/officeDocument/2006/relationships/hyperlink" Target="https://doi.org/10.3390/SU12010061" TargetMode="External"/><Relationship Id="rId60" Type="http://schemas.openxmlformats.org/officeDocument/2006/relationships/hyperlink" Target="https://doi.org/10.1108/JAL-08-2024-0222" TargetMode="External"/><Relationship Id="rId65" Type="http://schemas.openxmlformats.org/officeDocument/2006/relationships/hyperlink" Target="https://doi.org/10.1037/0022-3514.82.5.819" TargetMode="External"/><Relationship Id="rId73" Type="http://schemas.openxmlformats.org/officeDocument/2006/relationships/hyperlink" Target="https://doi.org/10.54254/2754-1169/2024.17815" TargetMode="External"/><Relationship Id="rId78" Type="http://schemas.openxmlformats.org/officeDocument/2006/relationships/header" Target="header2.xml"/><Relationship Id="rId81"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B8FBFA39F34DF6A5F6E6354226AFB3"/>
        <w:category>
          <w:name w:val="General"/>
          <w:gallery w:val="placeholder"/>
        </w:category>
        <w:types>
          <w:type w:val="bbPlcHdr"/>
        </w:types>
        <w:behaviors>
          <w:behavior w:val="content"/>
        </w:behaviors>
        <w:guid w:val="{B162730A-D762-4B54-A7C1-988BCEC38D4C}"/>
      </w:docPartPr>
      <w:docPartBody>
        <w:p w:rsidR="00806800" w:rsidRDefault="00773E43" w:rsidP="00773E43">
          <w:pPr>
            <w:pStyle w:val="96B8FBFA39F34DF6A5F6E6354226AFB3"/>
          </w:pPr>
          <w:r>
            <w:rPr>
              <w:rStyle w:val="PlaceholderText"/>
            </w:rPr>
            <w:t>Click or tap here to enter text.</w:t>
          </w:r>
        </w:p>
      </w:docPartBody>
    </w:docPart>
    <w:docPart>
      <w:docPartPr>
        <w:name w:val="94F7EFBC4FDB4B1887D1AA67706FBD4B"/>
        <w:category>
          <w:name w:val="General"/>
          <w:gallery w:val="placeholder"/>
        </w:category>
        <w:types>
          <w:type w:val="bbPlcHdr"/>
        </w:types>
        <w:behaviors>
          <w:behavior w:val="content"/>
        </w:behaviors>
        <w:guid w:val="{905C3A18-F405-43DC-A9C0-43537B011A54}"/>
      </w:docPartPr>
      <w:docPartBody>
        <w:p w:rsidR="00806800" w:rsidRDefault="00773E43" w:rsidP="00773E43">
          <w:pPr>
            <w:pStyle w:val="94F7EFBC4FDB4B1887D1AA67706FBD4B"/>
          </w:pPr>
          <w:r>
            <w:rPr>
              <w:rStyle w:val="PlaceholderText"/>
            </w:rPr>
            <w:t>Click or tap here to enter text.</w:t>
          </w:r>
        </w:p>
      </w:docPartBody>
    </w:docPart>
    <w:docPart>
      <w:docPartPr>
        <w:name w:val="27495CB434044F3E84E262A7A4DD3BF5"/>
        <w:category>
          <w:name w:val="General"/>
          <w:gallery w:val="placeholder"/>
        </w:category>
        <w:types>
          <w:type w:val="bbPlcHdr"/>
        </w:types>
        <w:behaviors>
          <w:behavior w:val="content"/>
        </w:behaviors>
        <w:guid w:val="{D296A00D-3056-4489-98C0-C30A60C5EED6}"/>
      </w:docPartPr>
      <w:docPartBody>
        <w:p w:rsidR="00806800" w:rsidRDefault="00773E43" w:rsidP="00773E43">
          <w:pPr>
            <w:pStyle w:val="27495CB434044F3E84E262A7A4DD3BF5"/>
          </w:pPr>
          <w:r>
            <w:rPr>
              <w:rStyle w:val="PlaceholderText"/>
            </w:rPr>
            <w:t>Click or tap here to enter text.</w:t>
          </w:r>
        </w:p>
      </w:docPartBody>
    </w:docPart>
    <w:docPart>
      <w:docPartPr>
        <w:name w:val="0F2B8733496A46739BA1C298AEC15972"/>
        <w:category>
          <w:name w:val="General"/>
          <w:gallery w:val="placeholder"/>
        </w:category>
        <w:types>
          <w:type w:val="bbPlcHdr"/>
        </w:types>
        <w:behaviors>
          <w:behavior w:val="content"/>
        </w:behaviors>
        <w:guid w:val="{7DAE0F04-8870-472F-A263-DEB97BE745EA}"/>
      </w:docPartPr>
      <w:docPartBody>
        <w:p w:rsidR="00806800" w:rsidRDefault="00773E43" w:rsidP="00773E43">
          <w:pPr>
            <w:pStyle w:val="0F2B8733496A46739BA1C298AEC15972"/>
          </w:pPr>
          <w:r>
            <w:rPr>
              <w:rStyle w:val="PlaceholderText"/>
            </w:rPr>
            <w:t>Click or tap here to enter text.</w:t>
          </w:r>
        </w:p>
      </w:docPartBody>
    </w:docPart>
    <w:docPart>
      <w:docPartPr>
        <w:name w:val="BA7DF0F5A7514C4E8E0CC9DCBFEDD388"/>
        <w:category>
          <w:name w:val="General"/>
          <w:gallery w:val="placeholder"/>
        </w:category>
        <w:types>
          <w:type w:val="bbPlcHdr"/>
        </w:types>
        <w:behaviors>
          <w:behavior w:val="content"/>
        </w:behaviors>
        <w:guid w:val="{83760E79-5130-420E-8820-693BF602437C}"/>
      </w:docPartPr>
      <w:docPartBody>
        <w:p w:rsidR="00000000" w:rsidRDefault="0083215E" w:rsidP="0083215E">
          <w:pPr>
            <w:pStyle w:val="BA7DF0F5A7514C4E8E0CC9DCBFEDD38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URWPalladioL-Roma">
    <w:altName w:val="Cambria"/>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43"/>
    <w:rsid w:val="001D212C"/>
    <w:rsid w:val="002E1CB4"/>
    <w:rsid w:val="00307636"/>
    <w:rsid w:val="004D08DC"/>
    <w:rsid w:val="00773E43"/>
    <w:rsid w:val="00793BE0"/>
    <w:rsid w:val="007A624A"/>
    <w:rsid w:val="00806800"/>
    <w:rsid w:val="0083215E"/>
    <w:rsid w:val="00AA2AE3"/>
    <w:rsid w:val="00CB73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qFormat/>
    <w:rsid w:val="0083215E"/>
    <w:rPr>
      <w:color w:val="808080"/>
    </w:rPr>
  </w:style>
  <w:style w:type="paragraph" w:customStyle="1" w:styleId="96B8FBFA39F34DF6A5F6E6354226AFB3">
    <w:name w:val="96B8FBFA39F34DF6A5F6E6354226AFB3"/>
    <w:rsid w:val="00773E43"/>
  </w:style>
  <w:style w:type="paragraph" w:customStyle="1" w:styleId="94F7EFBC4FDB4B1887D1AA67706FBD4B">
    <w:name w:val="94F7EFBC4FDB4B1887D1AA67706FBD4B"/>
    <w:rsid w:val="00773E43"/>
  </w:style>
  <w:style w:type="paragraph" w:customStyle="1" w:styleId="27495CB434044F3E84E262A7A4DD3BF5">
    <w:name w:val="27495CB434044F3E84E262A7A4DD3BF5"/>
    <w:rsid w:val="00773E43"/>
  </w:style>
  <w:style w:type="paragraph" w:customStyle="1" w:styleId="0F2B8733496A46739BA1C298AEC15972">
    <w:name w:val="0F2B8733496A46739BA1C298AEC15972"/>
    <w:rsid w:val="00773E43"/>
  </w:style>
  <w:style w:type="paragraph" w:customStyle="1" w:styleId="BA7DF0F5A7514C4E8E0CC9DCBFEDD388">
    <w:name w:val="BA7DF0F5A7514C4E8E0CC9DCBFEDD388"/>
    <w:rsid w:val="008321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8321</Words>
  <Characters>47434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3</cp:revision>
  <cp:lastPrinted>2025-06-01T06:34:00Z</cp:lastPrinted>
  <dcterms:created xsi:type="dcterms:W3CDTF">2025-06-01T06:34:00Z</dcterms:created>
  <dcterms:modified xsi:type="dcterms:W3CDTF">2025-06-01T06:35:00Z</dcterms:modified>
</cp:coreProperties>
</file>