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5468" w14:textId="1AC78327" w:rsidR="00CE3155" w:rsidRDefault="00CE3155" w:rsidP="002365E1">
      <w:pPr>
        <w:spacing w:line="360" w:lineRule="auto"/>
        <w:jc w:val="right"/>
        <w:rPr>
          <w:rFonts w:ascii="Arial" w:hAnsi="Arial" w:cs="Arial"/>
          <w:b/>
          <w:bCs/>
          <w:sz w:val="36"/>
          <w:szCs w:val="36"/>
        </w:rPr>
      </w:pPr>
      <w:bookmarkStart w:id="0" w:name="_Hlk176585774"/>
      <w:bookmarkStart w:id="1" w:name="_Toc141033526"/>
      <w:bookmarkEnd w:id="0"/>
      <w:r w:rsidRPr="00CE3155">
        <w:rPr>
          <w:rFonts w:ascii="Arial" w:hAnsi="Arial" w:cs="Arial"/>
          <w:b/>
          <w:bCs/>
          <w:sz w:val="36"/>
          <w:szCs w:val="36"/>
        </w:rPr>
        <w:t>Original Research Article</w:t>
      </w:r>
    </w:p>
    <w:p w14:paraId="73B42465" w14:textId="3049BAD8" w:rsidR="0039516C" w:rsidRDefault="00506168" w:rsidP="002365E1">
      <w:pPr>
        <w:spacing w:after="0" w:line="360" w:lineRule="auto"/>
        <w:jc w:val="right"/>
        <w:rPr>
          <w:rFonts w:ascii="Arial" w:hAnsi="Arial" w:cs="Arial"/>
          <w:i/>
          <w:iCs/>
          <w:sz w:val="20"/>
          <w:szCs w:val="20"/>
        </w:rPr>
      </w:pPr>
      <w:r w:rsidRPr="004C08F9">
        <w:rPr>
          <w:rFonts w:ascii="Arial" w:hAnsi="Arial" w:cs="Arial"/>
          <w:b/>
          <w:bCs/>
          <w:sz w:val="36"/>
          <w:szCs w:val="36"/>
          <w:highlight w:val="yellow"/>
        </w:rPr>
        <w:t>Unlocking the Interplay Among Financial Capability, Risk-Taking, and Financial Well-Being: Insights from Women in Sri Lanka</w:t>
      </w:r>
    </w:p>
    <w:p w14:paraId="547AA0BC" w14:textId="7F752190" w:rsidR="0039516C" w:rsidRDefault="0039516C" w:rsidP="002365E1">
      <w:pPr>
        <w:spacing w:after="0" w:line="360" w:lineRule="auto"/>
        <w:jc w:val="right"/>
        <w:rPr>
          <w:rFonts w:ascii="Arial" w:hAnsi="Arial" w:cs="Arial"/>
          <w:i/>
          <w:iCs/>
          <w:sz w:val="20"/>
          <w:szCs w:val="20"/>
        </w:rPr>
      </w:pPr>
    </w:p>
    <w:p w14:paraId="4B958646" w14:textId="77777777" w:rsidR="0039516C" w:rsidRDefault="0039516C" w:rsidP="002365E1">
      <w:pPr>
        <w:spacing w:after="0" w:line="360" w:lineRule="auto"/>
        <w:jc w:val="right"/>
        <w:rPr>
          <w:rFonts w:ascii="Arial" w:hAnsi="Arial" w:cs="Arial"/>
          <w:i/>
          <w:iCs/>
          <w:sz w:val="20"/>
          <w:szCs w:val="20"/>
        </w:rPr>
      </w:pPr>
    </w:p>
    <w:p w14:paraId="6F5B1A0F" w14:textId="50D00692" w:rsidR="002365E1" w:rsidRPr="002365E1" w:rsidRDefault="002365E1" w:rsidP="002365E1">
      <w:pPr>
        <w:spacing w:after="0" w:line="360" w:lineRule="auto"/>
        <w:jc w:val="right"/>
        <w:rPr>
          <w:rFonts w:ascii="Arial" w:hAnsi="Arial" w:cs="Arial"/>
          <w:i/>
          <w:iCs/>
          <w:sz w:val="20"/>
          <w:szCs w:val="20"/>
        </w:rPr>
      </w:pPr>
      <w:r>
        <w:rPr>
          <w:rFonts w:ascii="Arial" w:hAnsi="Arial" w:cs="Arial"/>
          <w:i/>
          <w:iCs/>
          <w:noProof/>
          <w:sz w:val="20"/>
          <w:szCs w:val="20"/>
          <w:vertAlign w:val="superscript"/>
        </w:rPr>
        <mc:AlternateContent>
          <mc:Choice Requires="wps">
            <w:drawing>
              <wp:anchor distT="0" distB="0" distL="114300" distR="114300" simplePos="0" relativeHeight="251712512" behindDoc="0" locked="0" layoutInCell="1" allowOverlap="1" wp14:anchorId="5968F914" wp14:editId="084279B6">
                <wp:simplePos x="0" y="0"/>
                <wp:positionH relativeFrom="column">
                  <wp:posOffset>-38100</wp:posOffset>
                </wp:positionH>
                <wp:positionV relativeFrom="paragraph">
                  <wp:posOffset>60325</wp:posOffset>
                </wp:positionV>
                <wp:extent cx="5988050" cy="25400"/>
                <wp:effectExtent l="0" t="0" r="31750" b="31750"/>
                <wp:wrapNone/>
                <wp:docPr id="965479436" name="Straight Connector 19"/>
                <wp:cNvGraphicFramePr/>
                <a:graphic xmlns:a="http://schemas.openxmlformats.org/drawingml/2006/main">
                  <a:graphicData uri="http://schemas.microsoft.com/office/word/2010/wordprocessingShape">
                    <wps:wsp>
                      <wps:cNvCnPr/>
                      <wps:spPr>
                        <a:xfrm flipV="1">
                          <a:off x="0" y="0"/>
                          <a:ext cx="5988050" cy="25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6D0ED0" id="Straight Connector 19"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pt,4.75pt" to="46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" strokecolor="black [3200]" strokeweight="1.5pt">
                <v:stroke joinstyle="miter"/>
              </v:line>
            </w:pict>
          </mc:Fallback>
        </mc:AlternateContent>
      </w:r>
    </w:p>
    <w:p w14:paraId="37BA69AC" w14:textId="0E623E2A" w:rsidR="00765BB0" w:rsidRDefault="002365E1" w:rsidP="002365E1">
      <w:pPr>
        <w:spacing w:before="240" w:line="360" w:lineRule="auto"/>
        <w:jc w:val="both"/>
        <w:rPr>
          <w:rFonts w:ascii="Arial" w:hAnsi="Arial" w:cs="Arial"/>
          <w:b/>
          <w:bCs/>
        </w:rPr>
      </w:pPr>
      <w:r w:rsidRPr="002365E1">
        <w:rPr>
          <w:rFonts w:ascii="Arial" w:hAnsi="Arial" w:cs="Arial"/>
          <w:b/>
          <w:bCs/>
        </w:rPr>
        <w:t>ABSTRACT</w:t>
      </w:r>
    </w:p>
    <w:p w14:paraId="3E7C37DE" w14:textId="69F77BF7" w:rsidR="002365E1" w:rsidRDefault="002365E1" w:rsidP="002365E1">
      <w:pPr>
        <w:spacing w:before="240" w:line="360" w:lineRule="auto"/>
        <w:jc w:val="both"/>
        <w:rPr>
          <w:rFonts w:ascii="Arial" w:hAnsi="Arial" w:cs="Arial"/>
          <w:b/>
          <w:bCs/>
        </w:rPr>
      </w:pPr>
      <w:r>
        <w:rPr>
          <w:rFonts w:ascii="Arial" w:hAnsi="Arial" w:cs="Arial"/>
          <w:b/>
          <w:bCs/>
          <w:noProof/>
        </w:rPr>
        <mc:AlternateContent>
          <mc:Choice Requires="wps">
            <w:drawing>
              <wp:anchor distT="0" distB="0" distL="114300" distR="114300" simplePos="0" relativeHeight="251713536" behindDoc="0" locked="0" layoutInCell="1" allowOverlap="1" wp14:anchorId="3ACAA2D8" wp14:editId="20BD12ED">
                <wp:simplePos x="0" y="0"/>
                <wp:positionH relativeFrom="margin">
                  <wp:align>right</wp:align>
                </wp:positionH>
                <wp:positionV relativeFrom="paragraph">
                  <wp:posOffset>57150</wp:posOffset>
                </wp:positionV>
                <wp:extent cx="5924550" cy="2987040"/>
                <wp:effectExtent l="0" t="0" r="19050" b="22860"/>
                <wp:wrapNone/>
                <wp:docPr id="104393194" name="Text Box 20"/>
                <wp:cNvGraphicFramePr/>
                <a:graphic xmlns:a="http://schemas.openxmlformats.org/drawingml/2006/main">
                  <a:graphicData uri="http://schemas.microsoft.com/office/word/2010/wordprocessingShape">
                    <wps:wsp>
                      <wps:cNvSpPr txBox="1"/>
                      <wps:spPr>
                        <a:xfrm>
                          <a:off x="0" y="0"/>
                          <a:ext cx="5924550" cy="2987040"/>
                        </a:xfrm>
                        <a:prstGeom prst="rect">
                          <a:avLst/>
                        </a:prstGeom>
                        <a:solidFill>
                          <a:schemeClr val="bg1">
                            <a:lumMod val="85000"/>
                          </a:schemeClr>
                        </a:solidFill>
                        <a:ln w="6350">
                          <a:solidFill>
                            <a:prstClr val="black"/>
                          </a:solidFill>
                        </a:ln>
                      </wps:spPr>
                      <wps:txbx>
                        <w:txbxContent>
                          <w:p w14:paraId="0C778507" w14:textId="77777777" w:rsidR="00494E7E" w:rsidRPr="00494E7E" w:rsidRDefault="002365E1" w:rsidP="00494E7E">
                            <w:pPr>
                              <w:spacing w:line="240" w:lineRule="auto"/>
                              <w:jc w:val="both"/>
                              <w:rPr>
                                <w:rFonts w:ascii="Arial" w:hAnsi="Arial" w:cs="Arial"/>
                                <w:sz w:val="20"/>
                                <w:szCs w:val="20"/>
                              </w:rPr>
                            </w:pPr>
                            <w:r w:rsidRPr="00494E7E">
                              <w:rPr>
                                <w:rFonts w:ascii="Arial" w:eastAsia="Calibri" w:hAnsi="Arial" w:cs="Arial"/>
                                <w:b/>
                                <w:sz w:val="20"/>
                                <w:szCs w:val="20"/>
                              </w:rPr>
                              <w:t xml:space="preserve">Aims: </w:t>
                            </w:r>
                            <w:r w:rsidRPr="00494E7E">
                              <w:rPr>
                                <w:rFonts w:ascii="Arial" w:hAnsi="Arial" w:cs="Arial"/>
                                <w:sz w:val="20"/>
                                <w:szCs w:val="20"/>
                              </w:rPr>
                              <w:t xml:space="preserve">The present empirical study sought to investigate the interconnections among financial capability, risk-taking ability, and financial well-being for women from a Sri Lankan perspective. </w:t>
                            </w:r>
                          </w:p>
                          <w:p w14:paraId="0F26026D" w14:textId="6E51B8D2" w:rsidR="00494E7E" w:rsidRPr="00494E7E" w:rsidRDefault="00494E7E" w:rsidP="00494E7E">
                            <w:pPr>
                              <w:spacing w:line="240" w:lineRule="auto"/>
                              <w:jc w:val="both"/>
                              <w:rPr>
                                <w:rFonts w:ascii="Arial" w:hAnsi="Arial" w:cs="Arial"/>
                                <w:sz w:val="20"/>
                                <w:szCs w:val="20"/>
                              </w:rPr>
                            </w:pPr>
                            <w:r w:rsidRPr="00494E7E">
                              <w:rPr>
                                <w:rFonts w:ascii="Arial" w:eastAsia="Calibri" w:hAnsi="Arial" w:cs="Arial"/>
                                <w:b/>
                                <w:sz w:val="20"/>
                                <w:szCs w:val="20"/>
                              </w:rPr>
                              <w:t>Methodology:</w:t>
                            </w:r>
                            <w:r w:rsidRPr="00494E7E">
                              <w:rPr>
                                <w:rFonts w:ascii="Arial" w:eastAsia="Calibri" w:hAnsi="Arial" w:cs="Arial"/>
                                <w:sz w:val="20"/>
                                <w:szCs w:val="20"/>
                              </w:rPr>
                              <w:t xml:space="preserve"> </w:t>
                            </w:r>
                            <w:r w:rsidR="00C1271F">
                              <w:rPr>
                                <w:rFonts w:ascii="Arial" w:eastAsia="Calibri" w:hAnsi="Arial" w:cs="Arial"/>
                                <w:sz w:val="20"/>
                                <w:szCs w:val="20"/>
                              </w:rPr>
                              <w:t xml:space="preserve">the study follows a quantitative deductive methodology. </w:t>
                            </w:r>
                            <w:r w:rsidRPr="00494E7E">
                              <w:rPr>
                                <w:rFonts w:ascii="Arial" w:hAnsi="Arial" w:cs="Arial"/>
                                <w:sz w:val="20"/>
                                <w:szCs w:val="20"/>
                              </w:rPr>
                              <w:t xml:space="preserve">The study </w:t>
                            </w:r>
                            <w:r w:rsidR="00C1271F">
                              <w:rPr>
                                <w:rFonts w:ascii="Arial" w:hAnsi="Arial" w:cs="Arial"/>
                                <w:sz w:val="20"/>
                                <w:szCs w:val="20"/>
                              </w:rPr>
                              <w:t xml:space="preserve">sample includes </w:t>
                            </w:r>
                            <w:r w:rsidRPr="00494E7E">
                              <w:rPr>
                                <w:rFonts w:ascii="Arial" w:hAnsi="Arial" w:cs="Arial"/>
                                <w:sz w:val="20"/>
                                <w:szCs w:val="20"/>
                              </w:rPr>
                              <w:t xml:space="preserve">working women who belong to the formal sector in Sri Lanka and the respondents were selected using a purposive sampling method. </w:t>
                            </w:r>
                            <w:r w:rsidR="00584CF5" w:rsidRPr="00584CF5">
                              <w:rPr>
                                <w:rFonts w:ascii="Arial" w:hAnsi="Arial" w:cs="Arial"/>
                                <w:sz w:val="20"/>
                                <w:szCs w:val="20"/>
                              </w:rPr>
                              <w:t xml:space="preserve">Data were gathered from 198 participants through an online survey utilizing Google Forms. The </w:t>
                            </w:r>
                            <w:r w:rsidR="00F71EAB">
                              <w:rPr>
                                <w:rFonts w:ascii="Arial" w:hAnsi="Arial" w:cs="Arial"/>
                                <w:sz w:val="20"/>
                                <w:szCs w:val="20"/>
                              </w:rPr>
                              <w:t>study</w:t>
                            </w:r>
                            <w:r w:rsidR="00584CF5" w:rsidRPr="00584CF5">
                              <w:rPr>
                                <w:rFonts w:ascii="Arial" w:hAnsi="Arial" w:cs="Arial"/>
                                <w:sz w:val="20"/>
                                <w:szCs w:val="20"/>
                              </w:rPr>
                              <w:t xml:space="preserve"> employed descriptive, </w:t>
                            </w:r>
                            <w:r w:rsidR="00F71EAB">
                              <w:rPr>
                                <w:rFonts w:ascii="Arial" w:hAnsi="Arial" w:cs="Arial"/>
                                <w:sz w:val="20"/>
                                <w:szCs w:val="20"/>
                              </w:rPr>
                              <w:t xml:space="preserve">Pearson’s </w:t>
                            </w:r>
                            <w:r w:rsidR="00584CF5" w:rsidRPr="00584CF5">
                              <w:rPr>
                                <w:rFonts w:ascii="Arial" w:hAnsi="Arial" w:cs="Arial"/>
                                <w:sz w:val="20"/>
                                <w:szCs w:val="20"/>
                              </w:rPr>
                              <w:t>correlation, and</w:t>
                            </w:r>
                            <w:r w:rsidR="00F71EAB">
                              <w:rPr>
                                <w:rFonts w:ascii="Arial" w:hAnsi="Arial" w:cs="Arial"/>
                                <w:sz w:val="20"/>
                                <w:szCs w:val="20"/>
                              </w:rPr>
                              <w:t xml:space="preserve"> PROCESS Macro</w:t>
                            </w:r>
                            <w:r w:rsidR="00584CF5" w:rsidRPr="00584CF5">
                              <w:rPr>
                                <w:rFonts w:ascii="Arial" w:hAnsi="Arial" w:cs="Arial"/>
                                <w:sz w:val="20"/>
                                <w:szCs w:val="20"/>
                              </w:rPr>
                              <w:t xml:space="preserve"> regression models</w:t>
                            </w:r>
                            <w:r w:rsidR="00F71EAB">
                              <w:rPr>
                                <w:rFonts w:ascii="Arial" w:hAnsi="Arial" w:cs="Arial"/>
                                <w:sz w:val="20"/>
                                <w:szCs w:val="20"/>
                              </w:rPr>
                              <w:t xml:space="preserve"> to test the hypotheses</w:t>
                            </w:r>
                            <w:r w:rsidR="00584CF5" w:rsidRPr="00584CF5">
                              <w:rPr>
                                <w:rFonts w:ascii="Arial" w:hAnsi="Arial" w:cs="Arial"/>
                                <w:sz w:val="20"/>
                                <w:szCs w:val="20"/>
                              </w:rPr>
                              <w:t>.</w:t>
                            </w:r>
                          </w:p>
                          <w:p w14:paraId="7D88CD9C" w14:textId="632EE90B" w:rsidR="00494E7E" w:rsidRDefault="00494E7E" w:rsidP="00494E7E">
                            <w:pPr>
                              <w:pStyle w:val="Body"/>
                              <w:spacing w:after="0"/>
                              <w:rPr>
                                <w:rFonts w:ascii="Arial" w:hAnsi="Arial" w:cs="Arial"/>
                              </w:rPr>
                            </w:pPr>
                            <w:r w:rsidRPr="00494E7E">
                              <w:rPr>
                                <w:rFonts w:ascii="Arial" w:eastAsia="Calibri" w:hAnsi="Arial" w:cs="Arial"/>
                                <w:b/>
                                <w:bCs/>
                              </w:rPr>
                              <w:t xml:space="preserve">Results and Conclusion: </w:t>
                            </w:r>
                            <w:r w:rsidR="00584CF5">
                              <w:rPr>
                                <w:rFonts w:ascii="Arial" w:hAnsi="Arial" w:cs="Arial"/>
                              </w:rPr>
                              <w:t>The study found</w:t>
                            </w:r>
                            <w:r w:rsidR="00584CF5" w:rsidRPr="00584CF5">
                              <w:rPr>
                                <w:rFonts w:ascii="Arial" w:hAnsi="Arial" w:cs="Arial"/>
                              </w:rPr>
                              <w:t xml:space="preserve"> significant relationships between women's financial capability, risk-taking ability, and financial well-being. </w:t>
                            </w:r>
                            <w:r w:rsidRPr="00494E7E">
                              <w:rPr>
                                <w:rFonts w:ascii="Arial" w:hAnsi="Arial" w:cs="Arial"/>
                              </w:rPr>
                              <w:t xml:space="preserve"> Furthermore, </w:t>
                            </w:r>
                            <w:r w:rsidR="00F71EAB">
                              <w:rPr>
                                <w:rFonts w:ascii="Arial" w:hAnsi="Arial" w:cs="Arial"/>
                              </w:rPr>
                              <w:t>it was also established that</w:t>
                            </w:r>
                            <w:r w:rsidRPr="00494E7E">
                              <w:rPr>
                                <w:rFonts w:ascii="Arial" w:hAnsi="Arial" w:cs="Arial"/>
                              </w:rPr>
                              <w:t xml:space="preserve"> risk-taking ability </w:t>
                            </w:r>
                            <w:r w:rsidR="00F71EAB">
                              <w:rPr>
                                <w:rFonts w:ascii="Arial" w:hAnsi="Arial" w:cs="Arial"/>
                              </w:rPr>
                              <w:t>partially mediates the</w:t>
                            </w:r>
                            <w:r w:rsidRPr="00494E7E">
                              <w:rPr>
                                <w:rFonts w:ascii="Arial" w:hAnsi="Arial" w:cs="Arial"/>
                              </w:rPr>
                              <w:t xml:space="preserve"> relationship between financial capability and financial well-being. </w:t>
                            </w:r>
                          </w:p>
                          <w:p w14:paraId="1530B332" w14:textId="20B52FC2" w:rsidR="00494E7E" w:rsidRDefault="00494E7E" w:rsidP="00494E7E">
                            <w:pPr>
                              <w:pStyle w:val="Body"/>
                              <w:spacing w:before="240" w:after="0"/>
                              <w:rPr>
                                <w:rFonts w:ascii="Arial" w:hAnsi="Arial" w:cs="Arial"/>
                              </w:rPr>
                            </w:pPr>
                            <w:r w:rsidRPr="00494E7E">
                              <w:rPr>
                                <w:rFonts w:ascii="Arial" w:hAnsi="Arial" w:cs="Arial"/>
                                <w:b/>
                                <w:bCs/>
                              </w:rPr>
                              <w:t>Practical Implications:</w:t>
                            </w:r>
                            <w:r w:rsidRPr="00494E7E">
                              <w:rPr>
                                <w:rFonts w:ascii="Arial" w:hAnsi="Arial" w:cs="Arial"/>
                              </w:rPr>
                              <w:t xml:space="preserve"> The findings of a study highlight </w:t>
                            </w:r>
                            <w:r w:rsidR="00584CF5">
                              <w:rPr>
                                <w:rFonts w:ascii="Arial" w:hAnsi="Arial" w:cs="Arial"/>
                              </w:rPr>
                              <w:t>that, b</w:t>
                            </w:r>
                            <w:r w:rsidRPr="00494E7E">
                              <w:rPr>
                                <w:rFonts w:ascii="Arial" w:hAnsi="Arial" w:cs="Arial"/>
                              </w:rPr>
                              <w:t xml:space="preserve">y fostering a balance between financial capability and responsible risk-taking, practitioners can better equip individuals to make informed financial decisions which in turn improves the long-term financial well-being of employed women. </w:t>
                            </w:r>
                          </w:p>
                          <w:p w14:paraId="78D43CA7" w14:textId="020D3AE6" w:rsidR="00494E7E" w:rsidRPr="00494E7E" w:rsidRDefault="00494E7E" w:rsidP="00494E7E">
                            <w:pPr>
                              <w:pStyle w:val="Body"/>
                              <w:spacing w:before="240" w:after="0"/>
                              <w:rPr>
                                <w:rFonts w:ascii="Arial" w:hAnsi="Arial" w:cs="Arial"/>
                              </w:rPr>
                            </w:pPr>
                            <w:r w:rsidRPr="00494E7E">
                              <w:rPr>
                                <w:rFonts w:ascii="Arial" w:hAnsi="Arial" w:cs="Arial"/>
                                <w:b/>
                                <w:bCs/>
                              </w:rPr>
                              <w:t>Originality:</w:t>
                            </w:r>
                            <w:r>
                              <w:rPr>
                                <w:rFonts w:ascii="Arial" w:hAnsi="Arial" w:cs="Arial"/>
                              </w:rPr>
                              <w:t xml:space="preserve"> </w:t>
                            </w:r>
                            <w:r w:rsidRPr="00494E7E">
                              <w:rPr>
                                <w:rFonts w:ascii="Arial" w:hAnsi="Arial" w:cs="Arial"/>
                              </w:rPr>
                              <w:t>This is one of the first studies in financial well-being literature, that investigates the mediating role of risk-taking ability in</w:t>
                            </w:r>
                            <w:r w:rsidR="00F71EAB">
                              <w:rPr>
                                <w:rFonts w:ascii="Arial" w:hAnsi="Arial" w:cs="Arial"/>
                              </w:rPr>
                              <w:t xml:space="preserve"> the</w:t>
                            </w:r>
                            <w:r w:rsidRPr="00494E7E">
                              <w:rPr>
                                <w:rFonts w:ascii="Arial" w:hAnsi="Arial" w:cs="Arial"/>
                              </w:rPr>
                              <w:t xml:space="preserve"> financial well-being of women in the context of Sri Lanka where a majority of the studies </w:t>
                            </w:r>
                            <w:r w:rsidR="00F71EAB">
                              <w:rPr>
                                <w:rFonts w:ascii="Arial" w:hAnsi="Arial" w:cs="Arial"/>
                              </w:rPr>
                              <w:t>focus</w:t>
                            </w:r>
                            <w:r w:rsidRPr="00494E7E">
                              <w:rPr>
                                <w:rFonts w:ascii="Arial" w:hAnsi="Arial" w:cs="Arial"/>
                              </w:rPr>
                              <w:t xml:space="preserve"> on the respondents in general while ignoring the risk component.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CAA2D8" id="_x0000_t202" coordsize="21600,21600" o:spt="202" path="m,l,21600r21600,l21600,xe">
                <v:stroke joinstyle="miter"/>
                <v:path gradientshapeok="t" o:connecttype="rect"/>
              </v:shapetype>
              <v:shape id="Text Box 20" o:spid="_x0000_s1026" type="#_x0000_t202" style="position:absolute;left:0;text-align:left;margin-left:415.3pt;margin-top:4.5pt;width:466.5pt;height:235.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" fillcolor="#d8d8d8 [2732]" strokeweight=".5pt">
                <v:textbox>
                  <w:txbxContent>
                    <w:p w14:paraId="0C778507" w14:textId="77777777" w:rsidR="00494E7E" w:rsidRPr="00494E7E" w:rsidRDefault="002365E1" w:rsidP="00494E7E">
                      <w:pPr>
                        <w:spacing w:line="240" w:lineRule="auto"/>
                        <w:jc w:val="both"/>
                        <w:rPr>
                          <w:rFonts w:ascii="Arial" w:hAnsi="Arial" w:cs="Arial"/>
                          <w:sz w:val="20"/>
                          <w:szCs w:val="20"/>
                        </w:rPr>
                      </w:pPr>
                      <w:r w:rsidRPr="00494E7E">
                        <w:rPr>
                          <w:rFonts w:ascii="Arial" w:eastAsia="Calibri" w:hAnsi="Arial" w:cs="Arial"/>
                          <w:b/>
                          <w:sz w:val="20"/>
                          <w:szCs w:val="20"/>
                        </w:rPr>
                        <w:t xml:space="preserve">Aims: </w:t>
                      </w:r>
                      <w:r w:rsidRPr="00494E7E">
                        <w:rPr>
                          <w:rFonts w:ascii="Arial" w:hAnsi="Arial" w:cs="Arial"/>
                          <w:sz w:val="20"/>
                          <w:szCs w:val="20"/>
                        </w:rPr>
                        <w:t xml:space="preserve">The present empirical study sought to investigate the interconnections among financial capability, risk-taking ability, and financial well-being for women from a Sri Lankan perspective. </w:t>
                      </w:r>
                    </w:p>
                    <w:p w14:paraId="0F26026D" w14:textId="6E51B8D2" w:rsidR="00494E7E" w:rsidRPr="00494E7E" w:rsidRDefault="00494E7E" w:rsidP="00494E7E">
                      <w:pPr>
                        <w:spacing w:line="240" w:lineRule="auto"/>
                        <w:jc w:val="both"/>
                        <w:rPr>
                          <w:rFonts w:ascii="Arial" w:hAnsi="Arial" w:cs="Arial"/>
                          <w:sz w:val="20"/>
                          <w:szCs w:val="20"/>
                        </w:rPr>
                      </w:pPr>
                      <w:r w:rsidRPr="00494E7E">
                        <w:rPr>
                          <w:rFonts w:ascii="Arial" w:eastAsia="Calibri" w:hAnsi="Arial" w:cs="Arial"/>
                          <w:b/>
                          <w:sz w:val="20"/>
                          <w:szCs w:val="20"/>
                        </w:rPr>
                        <w:t>Methodology:</w:t>
                      </w:r>
                      <w:r w:rsidRPr="00494E7E">
                        <w:rPr>
                          <w:rFonts w:ascii="Arial" w:eastAsia="Calibri" w:hAnsi="Arial" w:cs="Arial"/>
                          <w:sz w:val="20"/>
                          <w:szCs w:val="20"/>
                        </w:rPr>
                        <w:t xml:space="preserve"> </w:t>
                      </w:r>
                      <w:r w:rsidR="00C1271F">
                        <w:rPr>
                          <w:rFonts w:ascii="Arial" w:eastAsia="Calibri" w:hAnsi="Arial" w:cs="Arial"/>
                          <w:sz w:val="20"/>
                          <w:szCs w:val="20"/>
                        </w:rPr>
                        <w:t xml:space="preserve">the study follows a quantitative deductive methodology. </w:t>
                      </w:r>
                      <w:r w:rsidRPr="00494E7E">
                        <w:rPr>
                          <w:rFonts w:ascii="Arial" w:hAnsi="Arial" w:cs="Arial"/>
                          <w:sz w:val="20"/>
                          <w:szCs w:val="20"/>
                        </w:rPr>
                        <w:t xml:space="preserve">The study </w:t>
                      </w:r>
                      <w:r w:rsidR="00C1271F">
                        <w:rPr>
                          <w:rFonts w:ascii="Arial" w:hAnsi="Arial" w:cs="Arial"/>
                          <w:sz w:val="20"/>
                          <w:szCs w:val="20"/>
                        </w:rPr>
                        <w:t xml:space="preserve">sample includes </w:t>
                      </w:r>
                      <w:r w:rsidRPr="00494E7E">
                        <w:rPr>
                          <w:rFonts w:ascii="Arial" w:hAnsi="Arial" w:cs="Arial"/>
                          <w:sz w:val="20"/>
                          <w:szCs w:val="20"/>
                        </w:rPr>
                        <w:t xml:space="preserve">working women who belong to the formal sector in Sri Lanka and the respondents were selected using a purposive sampling method. </w:t>
                      </w:r>
                      <w:r w:rsidR="00584CF5" w:rsidRPr="00584CF5">
                        <w:rPr>
                          <w:rFonts w:ascii="Arial" w:hAnsi="Arial" w:cs="Arial"/>
                          <w:sz w:val="20"/>
                          <w:szCs w:val="20"/>
                        </w:rPr>
                        <w:t xml:space="preserve">Data were gathered from 198 participants through an online survey utilizing Google Forms. The </w:t>
                      </w:r>
                      <w:r w:rsidR="00F71EAB">
                        <w:rPr>
                          <w:rFonts w:ascii="Arial" w:hAnsi="Arial" w:cs="Arial"/>
                          <w:sz w:val="20"/>
                          <w:szCs w:val="20"/>
                        </w:rPr>
                        <w:t>study</w:t>
                      </w:r>
                      <w:r w:rsidR="00584CF5" w:rsidRPr="00584CF5">
                        <w:rPr>
                          <w:rFonts w:ascii="Arial" w:hAnsi="Arial" w:cs="Arial"/>
                          <w:sz w:val="20"/>
                          <w:szCs w:val="20"/>
                        </w:rPr>
                        <w:t xml:space="preserve"> employed descriptive, </w:t>
                      </w:r>
                      <w:r w:rsidR="00F71EAB">
                        <w:rPr>
                          <w:rFonts w:ascii="Arial" w:hAnsi="Arial" w:cs="Arial"/>
                          <w:sz w:val="20"/>
                          <w:szCs w:val="20"/>
                        </w:rPr>
                        <w:t xml:space="preserve">Pearson’s </w:t>
                      </w:r>
                      <w:r w:rsidR="00584CF5" w:rsidRPr="00584CF5">
                        <w:rPr>
                          <w:rFonts w:ascii="Arial" w:hAnsi="Arial" w:cs="Arial"/>
                          <w:sz w:val="20"/>
                          <w:szCs w:val="20"/>
                        </w:rPr>
                        <w:t>correlation, and</w:t>
                      </w:r>
                      <w:r w:rsidR="00F71EAB">
                        <w:rPr>
                          <w:rFonts w:ascii="Arial" w:hAnsi="Arial" w:cs="Arial"/>
                          <w:sz w:val="20"/>
                          <w:szCs w:val="20"/>
                        </w:rPr>
                        <w:t xml:space="preserve"> PROCESS Macro</w:t>
                      </w:r>
                      <w:r w:rsidR="00584CF5" w:rsidRPr="00584CF5">
                        <w:rPr>
                          <w:rFonts w:ascii="Arial" w:hAnsi="Arial" w:cs="Arial"/>
                          <w:sz w:val="20"/>
                          <w:szCs w:val="20"/>
                        </w:rPr>
                        <w:t xml:space="preserve"> regression models</w:t>
                      </w:r>
                      <w:r w:rsidR="00F71EAB">
                        <w:rPr>
                          <w:rFonts w:ascii="Arial" w:hAnsi="Arial" w:cs="Arial"/>
                          <w:sz w:val="20"/>
                          <w:szCs w:val="20"/>
                        </w:rPr>
                        <w:t xml:space="preserve"> to test the hypotheses</w:t>
                      </w:r>
                      <w:r w:rsidR="00584CF5" w:rsidRPr="00584CF5">
                        <w:rPr>
                          <w:rFonts w:ascii="Arial" w:hAnsi="Arial" w:cs="Arial"/>
                          <w:sz w:val="20"/>
                          <w:szCs w:val="20"/>
                        </w:rPr>
                        <w:t>.</w:t>
                      </w:r>
                    </w:p>
                    <w:p w14:paraId="7D88CD9C" w14:textId="632EE90B" w:rsidR="00494E7E" w:rsidRDefault="00494E7E" w:rsidP="00494E7E">
                      <w:pPr>
                        <w:pStyle w:val="Body"/>
                        <w:spacing w:after="0"/>
                        <w:rPr>
                          <w:rFonts w:ascii="Arial" w:hAnsi="Arial" w:cs="Arial"/>
                        </w:rPr>
                      </w:pPr>
                      <w:r w:rsidRPr="00494E7E">
                        <w:rPr>
                          <w:rFonts w:ascii="Arial" w:eastAsia="Calibri" w:hAnsi="Arial" w:cs="Arial"/>
                          <w:b/>
                          <w:bCs/>
                        </w:rPr>
                        <w:t xml:space="preserve">Results and Conclusion: </w:t>
                      </w:r>
                      <w:r w:rsidR="00584CF5">
                        <w:rPr>
                          <w:rFonts w:ascii="Arial" w:hAnsi="Arial" w:cs="Arial"/>
                        </w:rPr>
                        <w:t>The study found</w:t>
                      </w:r>
                      <w:r w:rsidR="00584CF5" w:rsidRPr="00584CF5">
                        <w:rPr>
                          <w:rFonts w:ascii="Arial" w:hAnsi="Arial" w:cs="Arial"/>
                        </w:rPr>
                        <w:t xml:space="preserve"> significant relationships between women's financial capability, risk-taking ability, and financial well-being. </w:t>
                      </w:r>
                      <w:r w:rsidRPr="00494E7E">
                        <w:rPr>
                          <w:rFonts w:ascii="Arial" w:hAnsi="Arial" w:cs="Arial"/>
                        </w:rPr>
                        <w:t xml:space="preserve"> Furthermore, </w:t>
                      </w:r>
                      <w:r w:rsidR="00F71EAB">
                        <w:rPr>
                          <w:rFonts w:ascii="Arial" w:hAnsi="Arial" w:cs="Arial"/>
                        </w:rPr>
                        <w:t>it was also established that</w:t>
                      </w:r>
                      <w:r w:rsidRPr="00494E7E">
                        <w:rPr>
                          <w:rFonts w:ascii="Arial" w:hAnsi="Arial" w:cs="Arial"/>
                        </w:rPr>
                        <w:t xml:space="preserve"> risk-taking ability </w:t>
                      </w:r>
                      <w:r w:rsidR="00F71EAB">
                        <w:rPr>
                          <w:rFonts w:ascii="Arial" w:hAnsi="Arial" w:cs="Arial"/>
                        </w:rPr>
                        <w:t>partially mediates the</w:t>
                      </w:r>
                      <w:r w:rsidRPr="00494E7E">
                        <w:rPr>
                          <w:rFonts w:ascii="Arial" w:hAnsi="Arial" w:cs="Arial"/>
                        </w:rPr>
                        <w:t xml:space="preserve"> relationship between financial capability and financial well-being. </w:t>
                      </w:r>
                    </w:p>
                    <w:p w14:paraId="1530B332" w14:textId="20B52FC2" w:rsidR="00494E7E" w:rsidRDefault="00494E7E" w:rsidP="00494E7E">
                      <w:pPr>
                        <w:pStyle w:val="Body"/>
                        <w:spacing w:before="240" w:after="0"/>
                        <w:rPr>
                          <w:rFonts w:ascii="Arial" w:hAnsi="Arial" w:cs="Arial"/>
                        </w:rPr>
                      </w:pPr>
                      <w:r w:rsidRPr="00494E7E">
                        <w:rPr>
                          <w:rFonts w:ascii="Arial" w:hAnsi="Arial" w:cs="Arial"/>
                          <w:b/>
                          <w:bCs/>
                        </w:rPr>
                        <w:t>Practical Implications:</w:t>
                      </w:r>
                      <w:r w:rsidRPr="00494E7E">
                        <w:rPr>
                          <w:rFonts w:ascii="Arial" w:hAnsi="Arial" w:cs="Arial"/>
                        </w:rPr>
                        <w:t xml:space="preserve"> The findings of a study highlight </w:t>
                      </w:r>
                      <w:r w:rsidR="00584CF5">
                        <w:rPr>
                          <w:rFonts w:ascii="Arial" w:hAnsi="Arial" w:cs="Arial"/>
                        </w:rPr>
                        <w:t>that, b</w:t>
                      </w:r>
                      <w:r w:rsidRPr="00494E7E">
                        <w:rPr>
                          <w:rFonts w:ascii="Arial" w:hAnsi="Arial" w:cs="Arial"/>
                        </w:rPr>
                        <w:t xml:space="preserve">y fostering a balance between financial capability and responsible risk-taking, practitioners can better equip individuals to make informed financial decisions which in turn improves the long-term financial well-being of employed women. </w:t>
                      </w:r>
                    </w:p>
                    <w:p w14:paraId="78D43CA7" w14:textId="020D3AE6" w:rsidR="00494E7E" w:rsidRPr="00494E7E" w:rsidRDefault="00494E7E" w:rsidP="00494E7E">
                      <w:pPr>
                        <w:pStyle w:val="Body"/>
                        <w:spacing w:before="240" w:after="0"/>
                        <w:rPr>
                          <w:rFonts w:ascii="Arial" w:hAnsi="Arial" w:cs="Arial"/>
                        </w:rPr>
                      </w:pPr>
                      <w:r w:rsidRPr="00494E7E">
                        <w:rPr>
                          <w:rFonts w:ascii="Arial" w:hAnsi="Arial" w:cs="Arial"/>
                          <w:b/>
                          <w:bCs/>
                        </w:rPr>
                        <w:t>Originality:</w:t>
                      </w:r>
                      <w:r>
                        <w:rPr>
                          <w:rFonts w:ascii="Arial" w:hAnsi="Arial" w:cs="Arial"/>
                        </w:rPr>
                        <w:t xml:space="preserve"> </w:t>
                      </w:r>
                      <w:r w:rsidRPr="00494E7E">
                        <w:rPr>
                          <w:rFonts w:ascii="Arial" w:hAnsi="Arial" w:cs="Arial"/>
                        </w:rPr>
                        <w:t>This is one of the first studies in financial well-being literature, that investigates the mediating role of risk-taking ability in</w:t>
                      </w:r>
                      <w:r w:rsidR="00F71EAB">
                        <w:rPr>
                          <w:rFonts w:ascii="Arial" w:hAnsi="Arial" w:cs="Arial"/>
                        </w:rPr>
                        <w:t xml:space="preserve"> the</w:t>
                      </w:r>
                      <w:r w:rsidRPr="00494E7E">
                        <w:rPr>
                          <w:rFonts w:ascii="Arial" w:hAnsi="Arial" w:cs="Arial"/>
                        </w:rPr>
                        <w:t xml:space="preserve"> financial well-being of women in the context of Sri Lanka where </w:t>
                      </w:r>
                      <w:proofErr w:type="gramStart"/>
                      <w:r w:rsidRPr="00494E7E">
                        <w:rPr>
                          <w:rFonts w:ascii="Arial" w:hAnsi="Arial" w:cs="Arial"/>
                        </w:rPr>
                        <w:t>a majority of</w:t>
                      </w:r>
                      <w:proofErr w:type="gramEnd"/>
                      <w:r w:rsidRPr="00494E7E">
                        <w:rPr>
                          <w:rFonts w:ascii="Arial" w:hAnsi="Arial" w:cs="Arial"/>
                        </w:rPr>
                        <w:t xml:space="preserve"> the studies </w:t>
                      </w:r>
                      <w:r w:rsidR="00F71EAB">
                        <w:rPr>
                          <w:rFonts w:ascii="Arial" w:hAnsi="Arial" w:cs="Arial"/>
                        </w:rPr>
                        <w:t>focus</w:t>
                      </w:r>
                      <w:r w:rsidRPr="00494E7E">
                        <w:rPr>
                          <w:rFonts w:ascii="Arial" w:hAnsi="Arial" w:cs="Arial"/>
                        </w:rPr>
                        <w:t xml:space="preserve"> on the respondents in general while ignoring the risk component. </w:t>
                      </w:r>
                    </w:p>
                  </w:txbxContent>
                </v:textbox>
                <w10:wrap anchorx="margin"/>
              </v:shape>
            </w:pict>
          </mc:Fallback>
        </mc:AlternateContent>
      </w:r>
    </w:p>
    <w:p w14:paraId="6E0BC1BD" w14:textId="77777777" w:rsidR="002365E1" w:rsidRDefault="002365E1" w:rsidP="002365E1">
      <w:pPr>
        <w:spacing w:before="240" w:line="360" w:lineRule="auto"/>
        <w:jc w:val="both"/>
        <w:rPr>
          <w:rFonts w:ascii="Arial" w:hAnsi="Arial" w:cs="Arial"/>
          <w:b/>
          <w:bCs/>
        </w:rPr>
      </w:pPr>
    </w:p>
    <w:p w14:paraId="2EDAC59F" w14:textId="77777777" w:rsidR="002365E1" w:rsidRDefault="002365E1" w:rsidP="002365E1">
      <w:pPr>
        <w:spacing w:before="240" w:line="360" w:lineRule="auto"/>
        <w:jc w:val="both"/>
        <w:rPr>
          <w:rFonts w:ascii="Arial" w:hAnsi="Arial" w:cs="Arial"/>
          <w:b/>
          <w:bCs/>
        </w:rPr>
      </w:pPr>
    </w:p>
    <w:p w14:paraId="2D6F38C1" w14:textId="77777777" w:rsidR="002365E1" w:rsidRDefault="002365E1" w:rsidP="002365E1">
      <w:pPr>
        <w:spacing w:before="240" w:line="360" w:lineRule="auto"/>
        <w:jc w:val="both"/>
        <w:rPr>
          <w:rFonts w:ascii="Arial" w:hAnsi="Arial" w:cs="Arial"/>
          <w:b/>
          <w:bCs/>
        </w:rPr>
      </w:pPr>
    </w:p>
    <w:p w14:paraId="3A476DD8" w14:textId="77777777" w:rsidR="002365E1" w:rsidRDefault="002365E1" w:rsidP="002365E1">
      <w:pPr>
        <w:spacing w:before="240" w:line="360" w:lineRule="auto"/>
        <w:jc w:val="both"/>
        <w:rPr>
          <w:rFonts w:ascii="Arial" w:hAnsi="Arial" w:cs="Arial"/>
          <w:b/>
          <w:bCs/>
        </w:rPr>
      </w:pPr>
    </w:p>
    <w:p w14:paraId="7F7DCB39" w14:textId="77777777" w:rsidR="002365E1" w:rsidRDefault="002365E1" w:rsidP="002365E1">
      <w:pPr>
        <w:spacing w:before="240" w:line="360" w:lineRule="auto"/>
        <w:jc w:val="both"/>
        <w:rPr>
          <w:rFonts w:ascii="Arial" w:hAnsi="Arial" w:cs="Arial"/>
          <w:b/>
          <w:bCs/>
        </w:rPr>
      </w:pPr>
    </w:p>
    <w:p w14:paraId="12F417E1" w14:textId="77777777" w:rsidR="002365E1" w:rsidRDefault="002365E1" w:rsidP="002365E1">
      <w:pPr>
        <w:spacing w:before="240" w:line="360" w:lineRule="auto"/>
        <w:jc w:val="both"/>
        <w:rPr>
          <w:rFonts w:ascii="Arial" w:hAnsi="Arial" w:cs="Arial"/>
          <w:b/>
          <w:bCs/>
        </w:rPr>
      </w:pPr>
    </w:p>
    <w:p w14:paraId="1F4C93F5" w14:textId="77777777" w:rsidR="002365E1" w:rsidRDefault="002365E1" w:rsidP="002365E1">
      <w:pPr>
        <w:spacing w:before="240" w:line="360" w:lineRule="auto"/>
        <w:jc w:val="both"/>
        <w:rPr>
          <w:rFonts w:ascii="Arial" w:hAnsi="Arial" w:cs="Arial"/>
          <w:b/>
          <w:bCs/>
        </w:rPr>
      </w:pPr>
    </w:p>
    <w:p w14:paraId="1CFCB10E" w14:textId="77777777" w:rsidR="00494E7E" w:rsidRPr="00494E7E" w:rsidRDefault="00494E7E" w:rsidP="00494E7E">
      <w:pPr>
        <w:spacing w:after="0" w:line="360" w:lineRule="auto"/>
        <w:jc w:val="both"/>
        <w:rPr>
          <w:rFonts w:ascii="Arial" w:hAnsi="Arial" w:cs="Arial"/>
          <w:b/>
          <w:bCs/>
          <w:i/>
          <w:iCs/>
          <w:sz w:val="20"/>
          <w:szCs w:val="20"/>
        </w:rPr>
      </w:pPr>
      <w:r w:rsidRPr="00494E7E">
        <w:rPr>
          <w:rFonts w:ascii="Arial" w:hAnsi="Arial" w:cs="Arial"/>
          <w:b/>
          <w:bCs/>
          <w:i/>
          <w:iCs/>
          <w:sz w:val="20"/>
          <w:szCs w:val="20"/>
        </w:rPr>
        <w:t xml:space="preserve">Keywords: </w:t>
      </w:r>
      <w:r w:rsidRPr="00494E7E">
        <w:rPr>
          <w:rFonts w:ascii="Arial" w:hAnsi="Arial" w:cs="Arial"/>
          <w:i/>
          <w:iCs/>
          <w:sz w:val="20"/>
          <w:szCs w:val="20"/>
        </w:rPr>
        <w:t>Financial Capability, Financial Well-Being, Risk-Taking Ability, Women</w:t>
      </w:r>
    </w:p>
    <w:p w14:paraId="774C8C25" w14:textId="3EAD7573" w:rsidR="00B02B61" w:rsidRPr="00494E7E" w:rsidRDefault="00494E7E" w:rsidP="008C4494">
      <w:pPr>
        <w:pStyle w:val="Heading2"/>
        <w:spacing w:line="360" w:lineRule="auto"/>
        <w:rPr>
          <w:rFonts w:ascii="Arial" w:hAnsi="Arial" w:cs="Arial"/>
          <w:sz w:val="22"/>
          <w:szCs w:val="22"/>
        </w:rPr>
      </w:pPr>
      <w:r w:rsidRPr="00494E7E">
        <w:rPr>
          <w:rFonts w:ascii="Arial" w:hAnsi="Arial" w:cs="Arial"/>
          <w:sz w:val="22"/>
          <w:szCs w:val="22"/>
        </w:rPr>
        <w:t>1. INTRODUCTION</w:t>
      </w:r>
    </w:p>
    <w:bookmarkEnd w:id="1"/>
    <w:p w14:paraId="3EA1691D" w14:textId="1C253F3F" w:rsidR="009D71D3" w:rsidRPr="00494E7E" w:rsidRDefault="00CB25A0" w:rsidP="008C4494">
      <w:pPr>
        <w:spacing w:line="360" w:lineRule="auto"/>
        <w:jc w:val="both"/>
        <w:rPr>
          <w:rFonts w:ascii="Arial" w:hAnsi="Arial" w:cs="Arial"/>
          <w:sz w:val="20"/>
          <w:szCs w:val="20"/>
        </w:rPr>
      </w:pPr>
      <w:r w:rsidRPr="00494E7E">
        <w:rPr>
          <w:rFonts w:ascii="Arial" w:hAnsi="Arial" w:cs="Arial"/>
          <w:sz w:val="20"/>
          <w:szCs w:val="20"/>
        </w:rPr>
        <w:t xml:space="preserve">Financial </w:t>
      </w:r>
      <w:r w:rsidR="005E7F48" w:rsidRPr="00494E7E">
        <w:rPr>
          <w:rFonts w:ascii="Arial" w:hAnsi="Arial" w:cs="Arial"/>
          <w:sz w:val="20"/>
          <w:szCs w:val="20"/>
        </w:rPr>
        <w:t>well-being</w:t>
      </w:r>
      <w:r w:rsidRPr="00494E7E">
        <w:rPr>
          <w:rFonts w:ascii="Arial" w:hAnsi="Arial" w:cs="Arial"/>
          <w:sz w:val="20"/>
          <w:szCs w:val="20"/>
        </w:rPr>
        <w:t xml:space="preserve"> has become increasingly more important as an area of study for </w:t>
      </w:r>
      <w:r w:rsidR="005E7F48" w:rsidRPr="00494E7E">
        <w:rPr>
          <w:rFonts w:ascii="Arial" w:hAnsi="Arial" w:cs="Arial"/>
          <w:sz w:val="20"/>
          <w:szCs w:val="20"/>
        </w:rPr>
        <w:t>policymakers</w:t>
      </w:r>
      <w:r w:rsidRPr="00494E7E">
        <w:rPr>
          <w:rFonts w:ascii="Arial" w:hAnsi="Arial" w:cs="Arial"/>
          <w:sz w:val="20"/>
          <w:szCs w:val="20"/>
        </w:rPr>
        <w:t xml:space="preserve"> and researchers in developed </w:t>
      </w:r>
      <w:r w:rsidR="00D058CB" w:rsidRPr="00494E7E">
        <w:rPr>
          <w:rFonts w:ascii="Arial" w:hAnsi="Arial" w:cs="Arial"/>
          <w:sz w:val="20"/>
          <w:szCs w:val="20"/>
        </w:rPr>
        <w:t>and developing economies.</w:t>
      </w:r>
      <w:r w:rsidR="00597A12" w:rsidRPr="00494E7E">
        <w:rPr>
          <w:rFonts w:ascii="Arial" w:hAnsi="Arial" w:cs="Arial"/>
          <w:sz w:val="20"/>
          <w:szCs w:val="20"/>
        </w:rPr>
        <w:t xml:space="preserve"> </w:t>
      </w:r>
      <w:r w:rsidR="00354B86" w:rsidRPr="00494E7E">
        <w:rPr>
          <w:rFonts w:ascii="Arial" w:hAnsi="Arial" w:cs="Arial"/>
          <w:sz w:val="20"/>
          <w:szCs w:val="20"/>
        </w:rPr>
        <w:t xml:space="preserve">The issue of financial </w:t>
      </w:r>
      <w:r w:rsidR="005E7F48" w:rsidRPr="00494E7E">
        <w:rPr>
          <w:rFonts w:ascii="Arial" w:hAnsi="Arial" w:cs="Arial"/>
          <w:sz w:val="20"/>
          <w:szCs w:val="20"/>
        </w:rPr>
        <w:t>well-being</w:t>
      </w:r>
      <w:r w:rsidR="00354B86" w:rsidRPr="00494E7E">
        <w:rPr>
          <w:rFonts w:ascii="Arial" w:hAnsi="Arial" w:cs="Arial"/>
          <w:sz w:val="20"/>
          <w:szCs w:val="20"/>
        </w:rPr>
        <w:t xml:space="preserve"> has gained momentum and coverage since the Global Financial Crisis (GFC) of 2018, which had its origins in </w:t>
      </w:r>
      <w:r w:rsidR="005E7F48" w:rsidRPr="00494E7E">
        <w:rPr>
          <w:rFonts w:ascii="Arial" w:hAnsi="Arial" w:cs="Arial"/>
          <w:sz w:val="20"/>
          <w:szCs w:val="20"/>
        </w:rPr>
        <w:t xml:space="preserve">the </w:t>
      </w:r>
      <w:r w:rsidR="00354B86" w:rsidRPr="00494E7E">
        <w:rPr>
          <w:rFonts w:ascii="Arial" w:hAnsi="Arial" w:cs="Arial"/>
          <w:sz w:val="20"/>
          <w:szCs w:val="20"/>
        </w:rPr>
        <w:t xml:space="preserve">financial systems of North America and Europe. However, the issue of personal financial indebtedness is not only a Western issue </w:t>
      </w:r>
      <w:r w:rsidR="006A7853">
        <w:rPr>
          <w:rFonts w:ascii="Arial" w:hAnsi="Arial" w:cs="Arial"/>
          <w:sz w:val="20"/>
          <w:szCs w:val="20"/>
        </w:rPr>
        <w:t>but</w:t>
      </w:r>
      <w:r w:rsidR="00354B86" w:rsidRPr="00494E7E">
        <w:rPr>
          <w:rFonts w:ascii="Arial" w:hAnsi="Arial" w:cs="Arial"/>
          <w:sz w:val="20"/>
          <w:szCs w:val="20"/>
        </w:rPr>
        <w:t xml:space="preserve"> is commonplace in developing </w:t>
      </w:r>
      <w:r w:rsidR="005256A6" w:rsidRPr="00494E7E">
        <w:rPr>
          <w:rFonts w:ascii="Arial" w:hAnsi="Arial" w:cs="Arial"/>
          <w:sz w:val="20"/>
          <w:szCs w:val="20"/>
        </w:rPr>
        <w:t>countries</w:t>
      </w:r>
      <w:r w:rsidR="00354B86" w:rsidRPr="00494E7E">
        <w:rPr>
          <w:rFonts w:ascii="Arial" w:hAnsi="Arial" w:cs="Arial"/>
          <w:sz w:val="20"/>
          <w:szCs w:val="20"/>
        </w:rPr>
        <w:t xml:space="preserve"> as well, especially in less industrialized economies where subsistence farming is prevalent. </w:t>
      </w:r>
    </w:p>
    <w:p w14:paraId="0FFCC163" w14:textId="50008C3B" w:rsidR="00597A12" w:rsidRPr="00494E7E" w:rsidRDefault="00597A12" w:rsidP="008C4494">
      <w:pPr>
        <w:spacing w:line="360" w:lineRule="auto"/>
        <w:jc w:val="both"/>
        <w:rPr>
          <w:rFonts w:ascii="Arial" w:hAnsi="Arial" w:cs="Arial"/>
          <w:sz w:val="20"/>
          <w:szCs w:val="20"/>
        </w:rPr>
      </w:pPr>
      <w:r w:rsidRPr="00494E7E">
        <w:rPr>
          <w:rFonts w:ascii="Arial" w:hAnsi="Arial" w:cs="Arial"/>
          <w:sz w:val="20"/>
          <w:szCs w:val="20"/>
        </w:rPr>
        <w:lastRenderedPageBreak/>
        <w:t>The economic backdrop in which this study is conducted is somewhat unique as Sri Lanka is presently experiencing the worst economic crisis since independence. The Government of Sri Lanka (</w:t>
      </w:r>
      <w:proofErr w:type="spellStart"/>
      <w:r w:rsidRPr="00494E7E">
        <w:rPr>
          <w:rFonts w:ascii="Arial" w:hAnsi="Arial" w:cs="Arial"/>
          <w:sz w:val="20"/>
          <w:szCs w:val="20"/>
        </w:rPr>
        <w:t>GoSL</w:t>
      </w:r>
      <w:proofErr w:type="spellEnd"/>
      <w:r w:rsidRPr="00494E7E">
        <w:rPr>
          <w:rFonts w:ascii="Arial" w:hAnsi="Arial" w:cs="Arial"/>
          <w:sz w:val="20"/>
          <w:szCs w:val="20"/>
        </w:rPr>
        <w:t xml:space="preserve">) defaulted on its sovereign debt in April 2022 causing exchange rate volatility, hyperinflation, and shortages of essentials including food, medicines, and fuel. Remedial action implemented including import restrictions and the floating of the Sri Lankan rupee resulted in an unstable business environment leading to a drastic contraction in economic activity levels and unemployment in certain segments of the </w:t>
      </w:r>
      <w:proofErr w:type="spellStart"/>
      <w:r w:rsidRPr="00494E7E">
        <w:rPr>
          <w:rFonts w:ascii="Arial" w:hAnsi="Arial" w:cs="Arial"/>
          <w:sz w:val="20"/>
          <w:szCs w:val="20"/>
        </w:rPr>
        <w:t>labour</w:t>
      </w:r>
      <w:proofErr w:type="spellEnd"/>
      <w:r w:rsidRPr="00494E7E">
        <w:rPr>
          <w:rFonts w:ascii="Arial" w:hAnsi="Arial" w:cs="Arial"/>
          <w:sz w:val="20"/>
          <w:szCs w:val="20"/>
        </w:rPr>
        <w:t xml:space="preserve"> force. </w:t>
      </w:r>
      <w:proofErr w:type="spellStart"/>
      <w:r w:rsidRPr="00494E7E">
        <w:rPr>
          <w:rFonts w:ascii="Arial" w:hAnsi="Arial" w:cs="Arial"/>
          <w:sz w:val="20"/>
          <w:szCs w:val="20"/>
        </w:rPr>
        <w:t>GoSL</w:t>
      </w:r>
      <w:proofErr w:type="spellEnd"/>
      <w:r w:rsidRPr="00494E7E">
        <w:rPr>
          <w:rFonts w:ascii="Arial" w:hAnsi="Arial" w:cs="Arial"/>
          <w:sz w:val="20"/>
          <w:szCs w:val="20"/>
        </w:rPr>
        <w:t xml:space="preserve"> is currently in the process of implementing the structural changes required to put Sri Lanka on a more sustainable debt and consequently, a growth path with the Extended Fund Facility (EFF), approved by the </w:t>
      </w:r>
      <w:r w:rsidR="002E55BB" w:rsidRPr="00494E7E">
        <w:rPr>
          <w:rFonts w:ascii="Arial" w:hAnsi="Arial" w:cs="Arial"/>
          <w:sz w:val="20"/>
          <w:szCs w:val="20"/>
        </w:rPr>
        <w:t>International Monetary Fund (</w:t>
      </w:r>
      <w:r w:rsidRPr="00494E7E">
        <w:rPr>
          <w:rFonts w:ascii="Arial" w:hAnsi="Arial" w:cs="Arial"/>
          <w:sz w:val="20"/>
          <w:szCs w:val="20"/>
        </w:rPr>
        <w:t>IMF</w:t>
      </w:r>
      <w:r w:rsidR="002E55BB" w:rsidRPr="00494E7E">
        <w:rPr>
          <w:rFonts w:ascii="Arial" w:hAnsi="Arial" w:cs="Arial"/>
          <w:sz w:val="20"/>
          <w:szCs w:val="20"/>
        </w:rPr>
        <w:t>)</w:t>
      </w:r>
      <w:r w:rsidRPr="00494E7E">
        <w:rPr>
          <w:rFonts w:ascii="Arial" w:hAnsi="Arial" w:cs="Arial"/>
          <w:sz w:val="20"/>
          <w:szCs w:val="20"/>
        </w:rPr>
        <w:t xml:space="preserve"> Board in March 2023. The ultimate impact of the sovereign debt-led foreign exchange crisis on the Sri Lankan </w:t>
      </w:r>
      <w:proofErr w:type="spellStart"/>
      <w:r w:rsidRPr="00494E7E">
        <w:rPr>
          <w:rFonts w:ascii="Arial" w:hAnsi="Arial" w:cs="Arial"/>
          <w:sz w:val="20"/>
          <w:szCs w:val="20"/>
        </w:rPr>
        <w:t>labour</w:t>
      </w:r>
      <w:proofErr w:type="spellEnd"/>
      <w:r w:rsidRPr="00494E7E">
        <w:rPr>
          <w:rFonts w:ascii="Arial" w:hAnsi="Arial" w:cs="Arial"/>
          <w:sz w:val="20"/>
          <w:szCs w:val="20"/>
        </w:rPr>
        <w:t xml:space="preserve"> force and the wider socio-economic implications are still largely unknown. However, the rising cost of living, higher income taxes, and restricted access to capital and finances have resulted in significant financial stress on households and individuals, evident through observed social phenomena such as strikes both in public and private sector organizations, increased levels of skilled and unskilled migration and higher employee turnover as workers seek higher salaries and alternative modes of employment.</w:t>
      </w:r>
    </w:p>
    <w:p w14:paraId="2AC4FE2E" w14:textId="77777777" w:rsidR="005705E1" w:rsidRPr="00494E7E" w:rsidRDefault="00354B86" w:rsidP="005705E1">
      <w:pPr>
        <w:spacing w:line="360" w:lineRule="auto"/>
        <w:jc w:val="both"/>
        <w:rPr>
          <w:rFonts w:ascii="Arial" w:hAnsi="Arial" w:cs="Arial"/>
          <w:sz w:val="20"/>
          <w:szCs w:val="20"/>
        </w:rPr>
      </w:pPr>
      <w:r w:rsidRPr="00494E7E">
        <w:rPr>
          <w:rFonts w:ascii="Arial" w:hAnsi="Arial" w:cs="Arial"/>
          <w:sz w:val="20"/>
          <w:szCs w:val="20"/>
        </w:rPr>
        <w:t xml:space="preserve">In the </w:t>
      </w:r>
      <w:r w:rsidR="009307B0" w:rsidRPr="00494E7E">
        <w:rPr>
          <w:rFonts w:ascii="Arial" w:hAnsi="Arial" w:cs="Arial"/>
          <w:sz w:val="20"/>
          <w:szCs w:val="20"/>
        </w:rPr>
        <w:t>prevailing conditions and context of Sri Lanka</w:t>
      </w:r>
      <w:r w:rsidRPr="00494E7E">
        <w:rPr>
          <w:rFonts w:ascii="Arial" w:hAnsi="Arial" w:cs="Arial"/>
          <w:sz w:val="20"/>
          <w:szCs w:val="20"/>
        </w:rPr>
        <w:t xml:space="preserve">, </w:t>
      </w:r>
      <w:r w:rsidR="000A1552" w:rsidRPr="00494E7E">
        <w:rPr>
          <w:rFonts w:ascii="Arial" w:hAnsi="Arial" w:cs="Arial"/>
          <w:sz w:val="20"/>
          <w:szCs w:val="20"/>
        </w:rPr>
        <w:t xml:space="preserve">where there are higher levels of poverty and a larger proportion of the population living in rural areas and access to financial resources is more through informal and </w:t>
      </w:r>
      <w:r w:rsidR="0016228F" w:rsidRPr="00494E7E">
        <w:rPr>
          <w:rFonts w:ascii="Arial" w:hAnsi="Arial" w:cs="Arial"/>
          <w:sz w:val="20"/>
          <w:szCs w:val="20"/>
        </w:rPr>
        <w:t>community-based</w:t>
      </w:r>
      <w:r w:rsidR="000A1552" w:rsidRPr="00494E7E">
        <w:rPr>
          <w:rFonts w:ascii="Arial" w:hAnsi="Arial" w:cs="Arial"/>
          <w:sz w:val="20"/>
          <w:szCs w:val="20"/>
        </w:rPr>
        <w:t xml:space="preserve"> methods, but also more and more women seeking to leave traditional </w:t>
      </w:r>
      <w:r w:rsidR="005256A6" w:rsidRPr="00494E7E">
        <w:rPr>
          <w:rFonts w:ascii="Arial" w:hAnsi="Arial" w:cs="Arial"/>
          <w:sz w:val="20"/>
          <w:szCs w:val="20"/>
        </w:rPr>
        <w:t>gender-based</w:t>
      </w:r>
      <w:r w:rsidR="000A1552" w:rsidRPr="00494E7E">
        <w:rPr>
          <w:rFonts w:ascii="Arial" w:hAnsi="Arial" w:cs="Arial"/>
          <w:sz w:val="20"/>
          <w:szCs w:val="20"/>
        </w:rPr>
        <w:t xml:space="preserve"> roles and occupations for work in the formal sector, isolating the context in which the financial wellbeing of women is studied is pivotal.</w:t>
      </w:r>
      <w:r w:rsidR="0016228F" w:rsidRPr="00494E7E">
        <w:rPr>
          <w:rFonts w:ascii="Arial" w:hAnsi="Arial" w:cs="Arial"/>
          <w:sz w:val="20"/>
          <w:szCs w:val="20"/>
        </w:rPr>
        <w:t xml:space="preserve"> </w:t>
      </w:r>
      <w:r w:rsidR="009307B0" w:rsidRPr="00494E7E">
        <w:rPr>
          <w:rFonts w:ascii="Arial" w:hAnsi="Arial" w:cs="Arial"/>
          <w:sz w:val="20"/>
          <w:szCs w:val="20"/>
        </w:rPr>
        <w:t xml:space="preserve">Therefore, the focus of this study </w:t>
      </w:r>
      <w:r w:rsidR="00F44DD8">
        <w:rPr>
          <w:rFonts w:ascii="Arial" w:hAnsi="Arial" w:cs="Arial"/>
          <w:sz w:val="20"/>
          <w:szCs w:val="20"/>
        </w:rPr>
        <w:t>is</w:t>
      </w:r>
      <w:r w:rsidR="009307B0" w:rsidRPr="00494E7E">
        <w:rPr>
          <w:rFonts w:ascii="Arial" w:hAnsi="Arial" w:cs="Arial"/>
          <w:sz w:val="20"/>
          <w:szCs w:val="20"/>
        </w:rPr>
        <w:t xml:space="preserve"> on the financial well-being of women employed in the formal sector in Sri Lanka. A company operating in the formal sector would be any firm legally incorporated in Sri Lanka, contributing to income and other relevant taxes, and those </w:t>
      </w:r>
      <w:r w:rsidR="005705E1">
        <w:rPr>
          <w:rFonts w:ascii="Arial" w:hAnsi="Arial" w:cs="Arial"/>
          <w:sz w:val="20"/>
          <w:szCs w:val="20"/>
        </w:rPr>
        <w:t>t</w:t>
      </w:r>
      <w:r w:rsidR="009307B0" w:rsidRPr="00494E7E">
        <w:rPr>
          <w:rFonts w:ascii="Arial" w:hAnsi="Arial" w:cs="Arial"/>
          <w:sz w:val="20"/>
          <w:szCs w:val="20"/>
        </w:rPr>
        <w:t>h</w:t>
      </w:r>
      <w:r w:rsidR="005705E1">
        <w:rPr>
          <w:rFonts w:ascii="Arial" w:hAnsi="Arial" w:cs="Arial"/>
          <w:sz w:val="20"/>
          <w:szCs w:val="20"/>
        </w:rPr>
        <w:t>at</w:t>
      </w:r>
      <w:r w:rsidR="009307B0" w:rsidRPr="00494E7E">
        <w:rPr>
          <w:rFonts w:ascii="Arial" w:hAnsi="Arial" w:cs="Arial"/>
          <w:sz w:val="20"/>
          <w:szCs w:val="20"/>
        </w:rPr>
        <w:t xml:space="preserve"> have access to finance and capital through the formal banking and financial services sector. </w:t>
      </w:r>
      <w:r w:rsidR="005705E1" w:rsidRPr="00494E7E">
        <w:rPr>
          <w:rFonts w:ascii="Arial" w:hAnsi="Arial" w:cs="Arial"/>
          <w:sz w:val="20"/>
          <w:szCs w:val="20"/>
        </w:rPr>
        <w:t xml:space="preserve">Since the study hopes to understand the </w:t>
      </w:r>
      <w:r w:rsidR="005705E1">
        <w:rPr>
          <w:rFonts w:ascii="Arial" w:hAnsi="Arial" w:cs="Arial"/>
          <w:sz w:val="20"/>
          <w:szCs w:val="20"/>
        </w:rPr>
        <w:t>r</w:t>
      </w:r>
      <w:r w:rsidR="005705E1" w:rsidRPr="00494E7E">
        <w:rPr>
          <w:rFonts w:ascii="Arial" w:hAnsi="Arial" w:cs="Arial"/>
          <w:sz w:val="20"/>
          <w:szCs w:val="20"/>
        </w:rPr>
        <w:t xml:space="preserve">isk-taking </w:t>
      </w:r>
      <w:proofErr w:type="spellStart"/>
      <w:r w:rsidR="005705E1" w:rsidRPr="00494E7E">
        <w:rPr>
          <w:rFonts w:ascii="Arial" w:hAnsi="Arial" w:cs="Arial"/>
          <w:sz w:val="20"/>
          <w:szCs w:val="20"/>
        </w:rPr>
        <w:t>behavio</w:t>
      </w:r>
      <w:r w:rsidR="005705E1">
        <w:rPr>
          <w:rFonts w:ascii="Arial" w:hAnsi="Arial" w:cs="Arial"/>
          <w:sz w:val="20"/>
          <w:szCs w:val="20"/>
        </w:rPr>
        <w:t>u</w:t>
      </w:r>
      <w:r w:rsidR="005705E1" w:rsidRPr="00494E7E">
        <w:rPr>
          <w:rFonts w:ascii="Arial" w:hAnsi="Arial" w:cs="Arial"/>
          <w:sz w:val="20"/>
          <w:szCs w:val="20"/>
        </w:rPr>
        <w:t>rs</w:t>
      </w:r>
      <w:proofErr w:type="spellEnd"/>
      <w:r w:rsidR="005705E1" w:rsidRPr="00494E7E">
        <w:rPr>
          <w:rFonts w:ascii="Arial" w:hAnsi="Arial" w:cs="Arial"/>
          <w:sz w:val="20"/>
          <w:szCs w:val="20"/>
        </w:rPr>
        <w:t xml:space="preserve"> of women and their financial capabilities</w:t>
      </w:r>
      <w:r w:rsidR="005705E1">
        <w:rPr>
          <w:rFonts w:ascii="Arial" w:hAnsi="Arial" w:cs="Arial"/>
          <w:sz w:val="20"/>
          <w:szCs w:val="20"/>
        </w:rPr>
        <w:t>,</w:t>
      </w:r>
      <w:r w:rsidR="005705E1" w:rsidRPr="00494E7E">
        <w:rPr>
          <w:rFonts w:ascii="Arial" w:hAnsi="Arial" w:cs="Arial"/>
          <w:sz w:val="20"/>
          <w:szCs w:val="20"/>
        </w:rPr>
        <w:t xml:space="preserve"> </w:t>
      </w:r>
      <w:r w:rsidR="005705E1">
        <w:rPr>
          <w:rFonts w:ascii="Arial" w:hAnsi="Arial" w:cs="Arial"/>
          <w:sz w:val="20"/>
          <w:szCs w:val="20"/>
        </w:rPr>
        <w:t xml:space="preserve">which </w:t>
      </w:r>
      <w:r w:rsidR="005705E1" w:rsidRPr="00494E7E">
        <w:rPr>
          <w:rFonts w:ascii="Arial" w:hAnsi="Arial" w:cs="Arial"/>
          <w:sz w:val="20"/>
          <w:szCs w:val="20"/>
        </w:rPr>
        <w:t>would be different in the formal sector as compared to the informal sector, the latter was chosen as the preferred area of attention where the individual is placed on a risk spectrum ranging from risk-averse or low-risk tolerance to risk seeking or high-risk tolerance which would be their risk propensity or risk appetite.</w:t>
      </w:r>
    </w:p>
    <w:p w14:paraId="44E20663" w14:textId="5E0D4986" w:rsidR="005705E1" w:rsidRPr="005705E1" w:rsidRDefault="005705E1" w:rsidP="005705E1">
      <w:pPr>
        <w:pStyle w:val="NormalWeb"/>
        <w:spacing w:line="360" w:lineRule="auto"/>
        <w:jc w:val="both"/>
        <w:rPr>
          <w:rFonts w:ascii="Arial" w:hAnsi="Arial" w:cs="Arial"/>
          <w:sz w:val="20"/>
          <w:szCs w:val="20"/>
        </w:rPr>
      </w:pPr>
      <w:r w:rsidRPr="005705E1">
        <w:rPr>
          <w:rFonts w:ascii="Arial" w:hAnsi="Arial" w:cs="Arial"/>
          <w:sz w:val="20"/>
          <w:szCs w:val="20"/>
          <w:highlight w:val="yellow"/>
        </w:rPr>
        <w:t xml:space="preserve">For women engaged in Sri Lanka’s formal economic sector, the possession of financial capability represents a fundamental element of empowerment and equity. The attainment of financial well-being not only facilitates individual stability but also supports broader societal objectives, including the promotion of gender equality, economic advancement, and the alleviation of gender-based financial inequalities. In a societal context like Sri Lanka where women have historically encountered obstacles to financial independence, the enhancement of financial capability holds significant ethical implications; it fosters equity, economic stability, and self-reliance. By investigating the role of risk-taking ability as a mediating factor, this research shed light on the manner in which women's financial decisions and overall well-being are influenced by their proficiency in managing and undertaking calculated financial risk. The outcomes of </w:t>
      </w:r>
      <w:r w:rsidRPr="005705E1">
        <w:rPr>
          <w:rFonts w:ascii="Arial" w:hAnsi="Arial" w:cs="Arial"/>
          <w:sz w:val="20"/>
          <w:szCs w:val="20"/>
          <w:highlight w:val="yellow"/>
        </w:rPr>
        <w:lastRenderedPageBreak/>
        <w:t>this research have the potential to furnish essential insights for policymakers and organizations committed to fostering women's financial empowerment, thereby offering methodologies to mitigate gender disparities in financial literacy and decision-making authority. Consequently, this investigation transcends mere economic considerations; it resonates with ethical imperatives aimed at promoting equality, advocating for women's rights, and enabling women to construct secure financial futures for themselves and their families, thereby contributing to the establishment of a more equitable Sri Lankan society.</w:t>
      </w:r>
    </w:p>
    <w:p w14:paraId="606178A5" w14:textId="6143F9FA" w:rsidR="009E146D" w:rsidRPr="00494E7E" w:rsidRDefault="009E146D" w:rsidP="008C4494">
      <w:pPr>
        <w:spacing w:line="360" w:lineRule="auto"/>
        <w:jc w:val="both"/>
        <w:rPr>
          <w:rFonts w:ascii="Arial" w:hAnsi="Arial" w:cs="Arial"/>
          <w:sz w:val="20"/>
          <w:szCs w:val="20"/>
        </w:rPr>
      </w:pPr>
      <w:r w:rsidRPr="00494E7E">
        <w:rPr>
          <w:rFonts w:ascii="Arial" w:hAnsi="Arial" w:cs="Arial"/>
          <w:sz w:val="20"/>
          <w:szCs w:val="20"/>
        </w:rPr>
        <w:t>T</w:t>
      </w:r>
      <w:r w:rsidR="00F4354A" w:rsidRPr="00494E7E">
        <w:rPr>
          <w:rFonts w:ascii="Arial" w:hAnsi="Arial" w:cs="Arial"/>
          <w:sz w:val="20"/>
          <w:szCs w:val="20"/>
        </w:rPr>
        <w:t>herefore, t</w:t>
      </w:r>
      <w:r w:rsidRPr="00494E7E">
        <w:rPr>
          <w:rFonts w:ascii="Arial" w:hAnsi="Arial" w:cs="Arial"/>
          <w:sz w:val="20"/>
          <w:szCs w:val="20"/>
        </w:rPr>
        <w:t>his study attempts to shed light on the Sri Lankan context, specifically women</w:t>
      </w:r>
      <w:r w:rsidR="005705E1">
        <w:rPr>
          <w:rFonts w:ascii="Arial" w:hAnsi="Arial" w:cs="Arial"/>
          <w:sz w:val="20"/>
          <w:szCs w:val="20"/>
        </w:rPr>
        <w:t xml:space="preserve"> working in the formal sector</w:t>
      </w:r>
      <w:r w:rsidRPr="00494E7E">
        <w:rPr>
          <w:rFonts w:ascii="Arial" w:hAnsi="Arial" w:cs="Arial"/>
          <w:sz w:val="20"/>
          <w:szCs w:val="20"/>
        </w:rPr>
        <w:t>,</w:t>
      </w:r>
      <w:r w:rsidR="00B9070A" w:rsidRPr="00494E7E">
        <w:rPr>
          <w:rFonts w:ascii="Arial" w:hAnsi="Arial" w:cs="Arial"/>
          <w:sz w:val="20"/>
          <w:szCs w:val="20"/>
        </w:rPr>
        <w:t xml:space="preserve"> to study the impact of financial capability on financial well-being with the mediator of risk-taking ability as in the search for an area of study relatively unexplored in the context of financial well-being, it is evident that the relationships have not been researched or documented in the context of developing economies, specifically women in Sri Lanka.</w:t>
      </w:r>
    </w:p>
    <w:p w14:paraId="1F4B7420" w14:textId="32BBAC7C" w:rsidR="005E7F48" w:rsidRPr="00494E7E" w:rsidRDefault="00494E7E" w:rsidP="008C4494">
      <w:pPr>
        <w:pStyle w:val="Heading2"/>
        <w:spacing w:line="360" w:lineRule="auto"/>
        <w:rPr>
          <w:rFonts w:ascii="Arial" w:hAnsi="Arial" w:cs="Arial"/>
          <w:sz w:val="22"/>
          <w:szCs w:val="22"/>
        </w:rPr>
      </w:pPr>
      <w:bookmarkStart w:id="2" w:name="_Toc141033527"/>
      <w:r w:rsidRPr="00494E7E">
        <w:rPr>
          <w:rFonts w:ascii="Arial" w:hAnsi="Arial" w:cs="Arial"/>
          <w:sz w:val="22"/>
          <w:szCs w:val="22"/>
        </w:rPr>
        <w:t xml:space="preserve">1.1 </w:t>
      </w:r>
      <w:r w:rsidR="005E7F48" w:rsidRPr="00494E7E">
        <w:rPr>
          <w:rFonts w:ascii="Arial" w:hAnsi="Arial" w:cs="Arial"/>
          <w:sz w:val="22"/>
          <w:szCs w:val="22"/>
        </w:rPr>
        <w:t>Research Gap</w:t>
      </w:r>
      <w:bookmarkEnd w:id="2"/>
    </w:p>
    <w:p w14:paraId="73F32EC5" w14:textId="25EBB6CC" w:rsidR="00EF4BDA" w:rsidRPr="00494E7E" w:rsidRDefault="00D741DE" w:rsidP="00A0190B">
      <w:pPr>
        <w:spacing w:line="360" w:lineRule="auto"/>
        <w:jc w:val="both"/>
        <w:rPr>
          <w:rFonts w:ascii="Arial" w:hAnsi="Arial" w:cs="Arial"/>
          <w:sz w:val="20"/>
          <w:szCs w:val="20"/>
        </w:rPr>
      </w:pPr>
      <w:r>
        <w:rPr>
          <w:rFonts w:ascii="Arial" w:hAnsi="Arial" w:cs="Arial"/>
          <w:sz w:val="20"/>
          <w:szCs w:val="20"/>
        </w:rPr>
        <w:t>“</w:t>
      </w:r>
      <w:r w:rsidR="00EF4BDA" w:rsidRPr="00494E7E">
        <w:rPr>
          <w:rFonts w:ascii="Arial" w:hAnsi="Arial" w:cs="Arial"/>
          <w:sz w:val="20"/>
          <w:szCs w:val="20"/>
        </w:rPr>
        <w:t>Although financial well-being is theoretically similar for both genders, research indicates gender differences affect its manifestation. Additionally, women globally earn about 20% less than men</w:t>
      </w:r>
      <w:r>
        <w:rPr>
          <w:rFonts w:ascii="Arial" w:hAnsi="Arial" w:cs="Arial"/>
          <w:sz w:val="20"/>
          <w:szCs w:val="20"/>
        </w:rPr>
        <w:t>”</w:t>
      </w:r>
      <w:r w:rsidR="00EF4BDA" w:rsidRPr="00494E7E">
        <w:rPr>
          <w:rFonts w:ascii="Arial" w:hAnsi="Arial" w:cs="Arial"/>
          <w:sz w:val="20"/>
          <w:szCs w:val="20"/>
        </w:rPr>
        <w:t xml:space="preserve"> (International </w:t>
      </w:r>
      <w:proofErr w:type="spellStart"/>
      <w:r w:rsidR="00EF4BDA" w:rsidRPr="00494E7E">
        <w:rPr>
          <w:rFonts w:ascii="Arial" w:hAnsi="Arial" w:cs="Arial"/>
          <w:sz w:val="20"/>
          <w:szCs w:val="20"/>
        </w:rPr>
        <w:t>Labour</w:t>
      </w:r>
      <w:proofErr w:type="spellEnd"/>
      <w:r w:rsidR="00EF4BDA" w:rsidRPr="00494E7E">
        <w:rPr>
          <w:rFonts w:ascii="Arial" w:hAnsi="Arial" w:cs="Arial"/>
          <w:sz w:val="20"/>
          <w:szCs w:val="20"/>
        </w:rPr>
        <w:t xml:space="preserve"> Organization, 2022). Conversely, women's financial capabilities are progressively improving in various </w:t>
      </w:r>
      <w:r w:rsidR="00065094" w:rsidRPr="00494E7E">
        <w:rPr>
          <w:rFonts w:ascii="Arial" w:hAnsi="Arial" w:cs="Arial"/>
          <w:sz w:val="20"/>
          <w:szCs w:val="20"/>
        </w:rPr>
        <w:t>regions,</w:t>
      </w:r>
      <w:r w:rsidR="00065094">
        <w:rPr>
          <w:rFonts w:ascii="Arial" w:hAnsi="Arial" w:cs="Arial"/>
          <w:sz w:val="20"/>
          <w:szCs w:val="20"/>
        </w:rPr>
        <w:t xml:space="preserve"> </w:t>
      </w:r>
      <w:r w:rsidR="00065094" w:rsidRPr="00065094">
        <w:rPr>
          <w:rFonts w:ascii="Arial" w:hAnsi="Arial" w:cs="Arial"/>
          <w:sz w:val="20"/>
          <w:szCs w:val="20"/>
          <w:highlight w:val="yellow"/>
        </w:rPr>
        <w:t>however still at a preliminary stage</w:t>
      </w:r>
      <w:r w:rsidR="00EF4BDA" w:rsidRPr="00065094">
        <w:rPr>
          <w:rFonts w:ascii="Arial" w:hAnsi="Arial" w:cs="Arial"/>
          <w:sz w:val="20"/>
          <w:szCs w:val="20"/>
          <w:highlight w:val="yellow"/>
        </w:rPr>
        <w:t>.</w:t>
      </w:r>
      <w:r w:rsidR="00EF4BDA" w:rsidRPr="00494E7E">
        <w:rPr>
          <w:rFonts w:ascii="Arial" w:hAnsi="Arial" w:cs="Arial"/>
          <w:sz w:val="20"/>
          <w:szCs w:val="20"/>
        </w:rPr>
        <w:t xml:space="preserve"> Moreover, women's educational levels, labor force involvement, and entrepreneurial pursuits have markedly increased in recent decades. </w:t>
      </w:r>
      <w:r w:rsidR="00065094" w:rsidRPr="00065094">
        <w:rPr>
          <w:rFonts w:ascii="Arial" w:hAnsi="Arial" w:cs="Arial"/>
          <w:sz w:val="20"/>
          <w:szCs w:val="20"/>
          <w:highlight w:val="yellow"/>
        </w:rPr>
        <w:t>However, despite these advances, women’s financial autonomy and decision-making power remain limited</w:t>
      </w:r>
      <w:r w:rsidR="00A0190B">
        <w:rPr>
          <w:rFonts w:ascii="Arial" w:hAnsi="Arial" w:cs="Arial"/>
          <w:sz w:val="20"/>
          <w:szCs w:val="20"/>
        </w:rPr>
        <w:t xml:space="preserve"> and challenges regarding women’s financial capabilities still persist.</w:t>
      </w:r>
      <w:r>
        <w:rPr>
          <w:rFonts w:ascii="Arial" w:hAnsi="Arial" w:cs="Arial"/>
          <w:sz w:val="20"/>
          <w:szCs w:val="20"/>
        </w:rPr>
        <w:t xml:space="preserve"> </w:t>
      </w:r>
      <w:proofErr w:type="gramStart"/>
      <w:r w:rsidR="00EF4BDA" w:rsidRPr="00494E7E">
        <w:rPr>
          <w:rFonts w:ascii="Arial" w:hAnsi="Arial" w:cs="Arial"/>
          <w:sz w:val="20"/>
          <w:szCs w:val="20"/>
        </w:rPr>
        <w:t>They</w:t>
      </w:r>
      <w:proofErr w:type="gramEnd"/>
      <w:r w:rsidR="00EF4BDA" w:rsidRPr="00494E7E">
        <w:rPr>
          <w:rFonts w:ascii="Arial" w:hAnsi="Arial" w:cs="Arial"/>
          <w:sz w:val="20"/>
          <w:szCs w:val="20"/>
        </w:rPr>
        <w:t xml:space="preserve"> often encounter wage gaps, restricted access to credit and financial services, and societal norms that hinder financial independence. Such factors can adversely affect their wealth accumulation, investment, and prudent financial decision-making.</w:t>
      </w:r>
    </w:p>
    <w:p w14:paraId="591E749E" w14:textId="026EE927" w:rsidR="000C6011" w:rsidRPr="00494E7E" w:rsidRDefault="000C6011" w:rsidP="00EF4BDA">
      <w:pPr>
        <w:spacing w:line="360" w:lineRule="auto"/>
        <w:jc w:val="both"/>
        <w:rPr>
          <w:rFonts w:ascii="Arial" w:hAnsi="Arial" w:cs="Arial"/>
          <w:sz w:val="20"/>
          <w:szCs w:val="20"/>
        </w:rPr>
      </w:pPr>
      <w:r w:rsidRPr="00494E7E">
        <w:rPr>
          <w:rFonts w:ascii="Arial" w:hAnsi="Arial" w:cs="Arial"/>
          <w:sz w:val="20"/>
          <w:szCs w:val="20"/>
        </w:rPr>
        <w:t>Furthermore, women are less financially literate than men (Al-</w:t>
      </w:r>
      <w:proofErr w:type="spellStart"/>
      <w:r w:rsidRPr="00494E7E">
        <w:rPr>
          <w:rFonts w:ascii="Arial" w:hAnsi="Arial" w:cs="Arial"/>
          <w:sz w:val="20"/>
          <w:szCs w:val="20"/>
        </w:rPr>
        <w:t>Bahrani</w:t>
      </w:r>
      <w:proofErr w:type="spellEnd"/>
      <w:r w:rsidRPr="00494E7E">
        <w:rPr>
          <w:rFonts w:ascii="Arial" w:hAnsi="Arial" w:cs="Arial"/>
          <w:sz w:val="20"/>
          <w:szCs w:val="20"/>
        </w:rPr>
        <w:t xml:space="preserve"> et al., 2020; </w:t>
      </w:r>
      <w:proofErr w:type="spellStart"/>
      <w:r w:rsidRPr="00494E7E">
        <w:rPr>
          <w:rFonts w:ascii="Arial" w:hAnsi="Arial" w:cs="Arial"/>
          <w:sz w:val="20"/>
          <w:szCs w:val="20"/>
        </w:rPr>
        <w:t>Gerrans</w:t>
      </w:r>
      <w:proofErr w:type="spellEnd"/>
      <w:r w:rsidRPr="00494E7E">
        <w:rPr>
          <w:rFonts w:ascii="Arial" w:hAnsi="Arial" w:cs="Arial"/>
          <w:sz w:val="20"/>
          <w:szCs w:val="20"/>
        </w:rPr>
        <w:t xml:space="preserve"> et al., 2014; </w:t>
      </w:r>
      <w:proofErr w:type="spellStart"/>
      <w:r w:rsidRPr="00494E7E">
        <w:rPr>
          <w:rFonts w:ascii="Arial" w:hAnsi="Arial" w:cs="Arial"/>
          <w:sz w:val="20"/>
          <w:szCs w:val="20"/>
        </w:rPr>
        <w:t>Karakurum-Ozdemir</w:t>
      </w:r>
      <w:proofErr w:type="spellEnd"/>
      <w:r w:rsidRPr="00494E7E">
        <w:rPr>
          <w:rFonts w:ascii="Arial" w:hAnsi="Arial" w:cs="Arial"/>
          <w:sz w:val="20"/>
          <w:szCs w:val="20"/>
        </w:rPr>
        <w:t xml:space="preserve"> et al., 2019; </w:t>
      </w:r>
      <w:proofErr w:type="spellStart"/>
      <w:r w:rsidRPr="00494E7E">
        <w:rPr>
          <w:rFonts w:ascii="Arial" w:hAnsi="Arial" w:cs="Arial"/>
          <w:sz w:val="20"/>
          <w:szCs w:val="20"/>
        </w:rPr>
        <w:t>Kirbi</w:t>
      </w:r>
      <w:proofErr w:type="spellEnd"/>
      <w:r w:rsidRPr="00494E7E">
        <w:rPr>
          <w:rFonts w:ascii="Arial" w:hAnsi="Arial" w:cs="Arial"/>
          <w:sz w:val="20"/>
          <w:szCs w:val="20"/>
        </w:rPr>
        <w:t xml:space="preserve"> et al., 2017), more risk-averse when it comes to financial decision making (</w:t>
      </w:r>
      <w:proofErr w:type="spellStart"/>
      <w:r w:rsidRPr="00494E7E">
        <w:rPr>
          <w:rFonts w:ascii="Arial" w:hAnsi="Arial" w:cs="Arial"/>
          <w:sz w:val="20"/>
          <w:szCs w:val="20"/>
        </w:rPr>
        <w:t>Borghans</w:t>
      </w:r>
      <w:proofErr w:type="spellEnd"/>
      <w:r w:rsidRPr="00494E7E">
        <w:rPr>
          <w:rFonts w:ascii="Arial" w:hAnsi="Arial" w:cs="Arial"/>
          <w:sz w:val="20"/>
          <w:szCs w:val="20"/>
        </w:rPr>
        <w:t xml:space="preserve"> et al., 2009; Grable, 2000), and financially socialize later compared to men (</w:t>
      </w:r>
      <w:proofErr w:type="spellStart"/>
      <w:r w:rsidRPr="00494E7E">
        <w:rPr>
          <w:rFonts w:ascii="Arial" w:hAnsi="Arial" w:cs="Arial"/>
          <w:sz w:val="20"/>
          <w:szCs w:val="20"/>
        </w:rPr>
        <w:t>Falahati</w:t>
      </w:r>
      <w:proofErr w:type="spellEnd"/>
      <w:r w:rsidRPr="00494E7E">
        <w:rPr>
          <w:rFonts w:ascii="Arial" w:hAnsi="Arial" w:cs="Arial"/>
          <w:sz w:val="20"/>
          <w:szCs w:val="20"/>
        </w:rPr>
        <w:t xml:space="preserve"> &amp; </w:t>
      </w:r>
      <w:proofErr w:type="spellStart"/>
      <w:r w:rsidRPr="00494E7E">
        <w:rPr>
          <w:rFonts w:ascii="Arial" w:hAnsi="Arial" w:cs="Arial"/>
          <w:sz w:val="20"/>
          <w:szCs w:val="20"/>
        </w:rPr>
        <w:t>Paim</w:t>
      </w:r>
      <w:proofErr w:type="spellEnd"/>
      <w:r w:rsidRPr="00494E7E">
        <w:rPr>
          <w:rFonts w:ascii="Arial" w:hAnsi="Arial" w:cs="Arial"/>
          <w:sz w:val="20"/>
          <w:szCs w:val="20"/>
        </w:rPr>
        <w:t xml:space="preserve">, 2011). </w:t>
      </w:r>
      <w:r w:rsidR="00956BBE" w:rsidRPr="00494E7E">
        <w:rPr>
          <w:rFonts w:ascii="Arial" w:hAnsi="Arial" w:cs="Arial"/>
          <w:sz w:val="20"/>
          <w:szCs w:val="20"/>
        </w:rPr>
        <w:t>A</w:t>
      </w:r>
      <w:r w:rsidRPr="00494E7E">
        <w:rPr>
          <w:rFonts w:ascii="Arial" w:hAnsi="Arial" w:cs="Arial"/>
          <w:sz w:val="20"/>
          <w:szCs w:val="20"/>
        </w:rPr>
        <w:t xml:space="preserve"> literature review</w:t>
      </w:r>
      <w:r w:rsidR="00956BBE" w:rsidRPr="00494E7E">
        <w:rPr>
          <w:rFonts w:ascii="Arial" w:hAnsi="Arial" w:cs="Arial"/>
          <w:sz w:val="20"/>
          <w:szCs w:val="20"/>
        </w:rPr>
        <w:t xml:space="preserve"> done by Singh and Malik (2022)</w:t>
      </w:r>
      <w:r w:rsidRPr="00494E7E">
        <w:rPr>
          <w:rFonts w:ascii="Arial" w:hAnsi="Arial" w:cs="Arial"/>
          <w:sz w:val="20"/>
          <w:szCs w:val="20"/>
        </w:rPr>
        <w:t xml:space="preserve"> revealed that women seem to be </w:t>
      </w:r>
      <w:proofErr w:type="gramStart"/>
      <w:r w:rsidRPr="00494E7E">
        <w:rPr>
          <w:rFonts w:ascii="Arial" w:hAnsi="Arial" w:cs="Arial"/>
          <w:sz w:val="20"/>
          <w:szCs w:val="20"/>
        </w:rPr>
        <w:t>more wary</w:t>
      </w:r>
      <w:proofErr w:type="gramEnd"/>
      <w:r w:rsidRPr="00494E7E">
        <w:rPr>
          <w:rFonts w:ascii="Arial" w:hAnsi="Arial" w:cs="Arial"/>
          <w:sz w:val="20"/>
          <w:szCs w:val="20"/>
        </w:rPr>
        <w:t xml:space="preserve"> of risk and have less confidence in their investment decisions than men</w:t>
      </w:r>
      <w:r w:rsidR="00956BBE" w:rsidRPr="00494E7E">
        <w:rPr>
          <w:rFonts w:ascii="Arial" w:hAnsi="Arial" w:cs="Arial"/>
          <w:sz w:val="20"/>
          <w:szCs w:val="20"/>
        </w:rPr>
        <w:t xml:space="preserve">. </w:t>
      </w:r>
      <w:r w:rsidRPr="00494E7E">
        <w:rPr>
          <w:rFonts w:ascii="Arial" w:hAnsi="Arial" w:cs="Arial"/>
          <w:sz w:val="20"/>
          <w:szCs w:val="20"/>
        </w:rPr>
        <w:t>Women's risk-taking ability is a significant predictor of financial capability and well-being concepts. It has the potential to influence women's decisions in a given socioeconomic setting.</w:t>
      </w:r>
    </w:p>
    <w:p w14:paraId="37D6DB6A" w14:textId="25651936" w:rsidR="007E24C9" w:rsidRPr="00494E7E" w:rsidRDefault="00D741DE" w:rsidP="008C4494">
      <w:pPr>
        <w:spacing w:line="360" w:lineRule="auto"/>
        <w:jc w:val="both"/>
        <w:rPr>
          <w:rFonts w:ascii="Arial" w:hAnsi="Arial" w:cs="Arial"/>
          <w:sz w:val="20"/>
          <w:szCs w:val="20"/>
        </w:rPr>
      </w:pPr>
      <w:r>
        <w:rPr>
          <w:rFonts w:ascii="Arial" w:hAnsi="Arial" w:cs="Arial"/>
          <w:sz w:val="20"/>
          <w:szCs w:val="20"/>
        </w:rPr>
        <w:t>“</w:t>
      </w:r>
      <w:r w:rsidR="007E24C9" w:rsidRPr="00494E7E">
        <w:rPr>
          <w:rFonts w:ascii="Arial" w:hAnsi="Arial" w:cs="Arial"/>
          <w:sz w:val="20"/>
          <w:szCs w:val="20"/>
        </w:rPr>
        <w:t xml:space="preserve">Despite these facts, when psychological factors are taken into account, </w:t>
      </w:r>
      <w:r w:rsidR="00956BBE" w:rsidRPr="00494E7E">
        <w:rPr>
          <w:rFonts w:ascii="Arial" w:hAnsi="Arial" w:cs="Arial"/>
          <w:sz w:val="20"/>
          <w:szCs w:val="20"/>
        </w:rPr>
        <w:t>it is</w:t>
      </w:r>
      <w:r w:rsidR="007E24C9" w:rsidRPr="00494E7E">
        <w:rPr>
          <w:rFonts w:ascii="Arial" w:hAnsi="Arial" w:cs="Arial"/>
          <w:sz w:val="20"/>
          <w:szCs w:val="20"/>
        </w:rPr>
        <w:t xml:space="preserve"> found an increased amount of research studies whereby no significant distinctions between men and women were observed</w:t>
      </w:r>
      <w:r>
        <w:rPr>
          <w:rFonts w:ascii="Arial" w:hAnsi="Arial" w:cs="Arial"/>
          <w:sz w:val="20"/>
          <w:szCs w:val="20"/>
        </w:rPr>
        <w:t>”</w:t>
      </w:r>
      <w:r w:rsidR="007E24C9" w:rsidRPr="00494E7E">
        <w:rPr>
          <w:rFonts w:ascii="Arial" w:hAnsi="Arial" w:cs="Arial"/>
          <w:sz w:val="20"/>
          <w:szCs w:val="20"/>
        </w:rPr>
        <w:t xml:space="preserve"> (Furnham &amp; Cheng, 2017). </w:t>
      </w:r>
      <w:proofErr w:type="spellStart"/>
      <w:r w:rsidR="00956BBE" w:rsidRPr="00494E7E">
        <w:rPr>
          <w:rFonts w:ascii="Arial" w:hAnsi="Arial" w:cs="Arial"/>
          <w:sz w:val="20"/>
          <w:szCs w:val="20"/>
        </w:rPr>
        <w:t>Borghans</w:t>
      </w:r>
      <w:proofErr w:type="spellEnd"/>
      <w:r w:rsidR="00956BBE" w:rsidRPr="00494E7E">
        <w:rPr>
          <w:rFonts w:ascii="Arial" w:hAnsi="Arial" w:cs="Arial"/>
          <w:sz w:val="20"/>
          <w:szCs w:val="20"/>
        </w:rPr>
        <w:t xml:space="preserve"> et al. (2009) state that </w:t>
      </w:r>
      <w:r>
        <w:rPr>
          <w:rFonts w:ascii="Arial" w:hAnsi="Arial" w:cs="Arial"/>
          <w:sz w:val="20"/>
          <w:szCs w:val="20"/>
        </w:rPr>
        <w:t>“</w:t>
      </w:r>
      <w:r w:rsidR="00956BBE" w:rsidRPr="00494E7E">
        <w:rPr>
          <w:rFonts w:ascii="Arial" w:hAnsi="Arial" w:cs="Arial"/>
          <w:sz w:val="20"/>
          <w:szCs w:val="20"/>
        </w:rPr>
        <w:t>w</w:t>
      </w:r>
      <w:r w:rsidR="007E24C9" w:rsidRPr="00494E7E">
        <w:rPr>
          <w:rFonts w:ascii="Arial" w:hAnsi="Arial" w:cs="Arial"/>
          <w:sz w:val="20"/>
          <w:szCs w:val="20"/>
        </w:rPr>
        <w:t>omen appear to be more risk-averse and have less confidence in how they make investments than men, according to the studies reviewed</w:t>
      </w:r>
      <w:r>
        <w:rPr>
          <w:rFonts w:ascii="Arial" w:hAnsi="Arial" w:cs="Arial"/>
          <w:sz w:val="20"/>
          <w:szCs w:val="20"/>
        </w:rPr>
        <w:t>”</w:t>
      </w:r>
      <w:r w:rsidR="007E24C9" w:rsidRPr="00494E7E">
        <w:rPr>
          <w:rFonts w:ascii="Arial" w:hAnsi="Arial" w:cs="Arial"/>
          <w:sz w:val="20"/>
          <w:szCs w:val="20"/>
        </w:rPr>
        <w:t>. Other studies on traits, values, and psychological factors (</w:t>
      </w:r>
      <w:proofErr w:type="spellStart"/>
      <w:r w:rsidR="007E24C9" w:rsidRPr="00494E7E">
        <w:rPr>
          <w:rFonts w:ascii="Arial" w:hAnsi="Arial" w:cs="Arial"/>
          <w:sz w:val="20"/>
          <w:szCs w:val="20"/>
        </w:rPr>
        <w:t>Norvilitis</w:t>
      </w:r>
      <w:proofErr w:type="spellEnd"/>
      <w:r w:rsidR="007E24C9" w:rsidRPr="00494E7E">
        <w:rPr>
          <w:rFonts w:ascii="Arial" w:hAnsi="Arial" w:cs="Arial"/>
          <w:sz w:val="20"/>
          <w:szCs w:val="20"/>
        </w:rPr>
        <w:t xml:space="preserve"> et al., 2006; </w:t>
      </w:r>
      <w:proofErr w:type="spellStart"/>
      <w:r w:rsidR="007E24C9" w:rsidRPr="00494E7E">
        <w:rPr>
          <w:rFonts w:ascii="Arial" w:hAnsi="Arial" w:cs="Arial"/>
          <w:sz w:val="20"/>
          <w:szCs w:val="20"/>
        </w:rPr>
        <w:t>Ponchio</w:t>
      </w:r>
      <w:proofErr w:type="spellEnd"/>
      <w:r w:rsidR="007E24C9" w:rsidRPr="00494E7E">
        <w:rPr>
          <w:rFonts w:ascii="Arial" w:hAnsi="Arial" w:cs="Arial"/>
          <w:sz w:val="20"/>
          <w:szCs w:val="20"/>
        </w:rPr>
        <w:t xml:space="preserve"> et al., 2019) have thrown light on </w:t>
      </w:r>
      <w:r>
        <w:rPr>
          <w:rFonts w:ascii="Arial" w:hAnsi="Arial" w:cs="Arial"/>
          <w:sz w:val="20"/>
          <w:szCs w:val="20"/>
        </w:rPr>
        <w:t>“</w:t>
      </w:r>
      <w:r w:rsidR="007E24C9" w:rsidRPr="00494E7E">
        <w:rPr>
          <w:rFonts w:ascii="Arial" w:hAnsi="Arial" w:cs="Arial"/>
          <w:sz w:val="20"/>
          <w:szCs w:val="20"/>
        </w:rPr>
        <w:t xml:space="preserve">individual predecessors of financial well-being; however, certain studies have either not explored feasible gender disparities underlying the traits examined or have found no significant variations between men and </w:t>
      </w:r>
      <w:r w:rsidR="007E24C9" w:rsidRPr="00494E7E">
        <w:rPr>
          <w:rFonts w:ascii="Arial" w:hAnsi="Arial" w:cs="Arial"/>
          <w:sz w:val="20"/>
          <w:szCs w:val="20"/>
        </w:rPr>
        <w:lastRenderedPageBreak/>
        <w:t>women, indicating that the research field on psychological elements still has potential avenues for future research</w:t>
      </w:r>
      <w:r>
        <w:rPr>
          <w:rFonts w:ascii="Arial" w:hAnsi="Arial" w:cs="Arial"/>
          <w:sz w:val="20"/>
          <w:szCs w:val="20"/>
        </w:rPr>
        <w:t>”</w:t>
      </w:r>
      <w:r w:rsidR="007E24C9" w:rsidRPr="00494E7E">
        <w:rPr>
          <w:rFonts w:ascii="Arial" w:hAnsi="Arial" w:cs="Arial"/>
          <w:sz w:val="20"/>
          <w:szCs w:val="20"/>
        </w:rPr>
        <w:t xml:space="preserve"> (Gonçalves</w:t>
      </w:r>
      <w:r w:rsidR="008D1179">
        <w:rPr>
          <w:rFonts w:ascii="Arial" w:hAnsi="Arial" w:cs="Arial"/>
          <w:sz w:val="20"/>
          <w:szCs w:val="20"/>
        </w:rPr>
        <w:t xml:space="preserve"> et al.</w:t>
      </w:r>
      <w:r w:rsidR="007E24C9" w:rsidRPr="00494E7E">
        <w:rPr>
          <w:rFonts w:ascii="Arial" w:hAnsi="Arial" w:cs="Arial"/>
          <w:sz w:val="20"/>
          <w:szCs w:val="20"/>
        </w:rPr>
        <w:t>, 2021).</w:t>
      </w:r>
    </w:p>
    <w:p w14:paraId="49259227" w14:textId="28C17979" w:rsidR="007E24C9" w:rsidRPr="00494E7E" w:rsidRDefault="0014755B" w:rsidP="008C4494">
      <w:pPr>
        <w:spacing w:line="360" w:lineRule="auto"/>
        <w:jc w:val="both"/>
        <w:rPr>
          <w:rFonts w:ascii="Arial" w:hAnsi="Arial" w:cs="Arial"/>
          <w:sz w:val="20"/>
          <w:szCs w:val="20"/>
        </w:rPr>
      </w:pPr>
      <w:r>
        <w:rPr>
          <w:rFonts w:ascii="Arial" w:hAnsi="Arial" w:cs="Arial"/>
          <w:sz w:val="20"/>
          <w:szCs w:val="20"/>
        </w:rPr>
        <w:t>“</w:t>
      </w:r>
      <w:r w:rsidR="007E24C9" w:rsidRPr="00494E7E">
        <w:rPr>
          <w:rFonts w:ascii="Arial" w:hAnsi="Arial" w:cs="Arial"/>
          <w:sz w:val="20"/>
          <w:szCs w:val="20"/>
        </w:rPr>
        <w:t>Furthermore, women's risk-taking ability is a significant predictor of financial capability and well-being concepts. It has the potential to influence women's decisions in a given socioeconomic context. Because currently, available research fails to address the risk dimension, future research should include it while studying this relationship</w:t>
      </w:r>
      <w:r>
        <w:rPr>
          <w:rFonts w:ascii="Arial" w:hAnsi="Arial" w:cs="Arial"/>
          <w:sz w:val="20"/>
          <w:szCs w:val="20"/>
        </w:rPr>
        <w:t>”</w:t>
      </w:r>
      <w:r w:rsidR="007E24C9" w:rsidRPr="00494E7E">
        <w:rPr>
          <w:rFonts w:ascii="Arial" w:hAnsi="Arial" w:cs="Arial"/>
          <w:sz w:val="20"/>
          <w:szCs w:val="20"/>
        </w:rPr>
        <w:t xml:space="preserve"> (Parvathy &amp; Kumar, 2022). Although there have been a few studies on the above-mentioned </w:t>
      </w:r>
      <w:proofErr w:type="spellStart"/>
      <w:r w:rsidR="007E24C9" w:rsidRPr="00494E7E">
        <w:rPr>
          <w:rFonts w:ascii="Arial" w:hAnsi="Arial" w:cs="Arial"/>
          <w:sz w:val="20"/>
          <w:szCs w:val="20"/>
        </w:rPr>
        <w:t>behavioural</w:t>
      </w:r>
      <w:proofErr w:type="spellEnd"/>
      <w:r w:rsidR="007E24C9" w:rsidRPr="00494E7E">
        <w:rPr>
          <w:rFonts w:ascii="Arial" w:hAnsi="Arial" w:cs="Arial"/>
          <w:sz w:val="20"/>
          <w:szCs w:val="20"/>
        </w:rPr>
        <w:t xml:space="preserve"> factors (</w:t>
      </w:r>
      <w:proofErr w:type="spellStart"/>
      <w:r w:rsidR="007E24C9" w:rsidRPr="00494E7E">
        <w:rPr>
          <w:rFonts w:ascii="Arial" w:hAnsi="Arial" w:cs="Arial"/>
          <w:sz w:val="20"/>
          <w:szCs w:val="20"/>
        </w:rPr>
        <w:t>Sorgente</w:t>
      </w:r>
      <w:proofErr w:type="spellEnd"/>
      <w:r w:rsidR="007E24C9" w:rsidRPr="00494E7E">
        <w:rPr>
          <w:rFonts w:ascii="Arial" w:hAnsi="Arial" w:cs="Arial"/>
          <w:sz w:val="20"/>
          <w:szCs w:val="20"/>
        </w:rPr>
        <w:t xml:space="preserve"> &amp; </w:t>
      </w:r>
      <w:proofErr w:type="spellStart"/>
      <w:r w:rsidR="007E24C9" w:rsidRPr="00494E7E">
        <w:rPr>
          <w:rFonts w:ascii="Arial" w:hAnsi="Arial" w:cs="Arial"/>
          <w:sz w:val="20"/>
          <w:szCs w:val="20"/>
        </w:rPr>
        <w:t>Lanz</w:t>
      </w:r>
      <w:proofErr w:type="spellEnd"/>
      <w:r w:rsidR="007E24C9" w:rsidRPr="00494E7E">
        <w:rPr>
          <w:rFonts w:ascii="Arial" w:hAnsi="Arial" w:cs="Arial"/>
          <w:sz w:val="20"/>
          <w:szCs w:val="20"/>
        </w:rPr>
        <w:t xml:space="preserve">, 2017), there is still a need to investigate the relationship between financial well-being and specific </w:t>
      </w:r>
      <w:proofErr w:type="spellStart"/>
      <w:r w:rsidR="007E24C9" w:rsidRPr="00494E7E">
        <w:rPr>
          <w:rFonts w:ascii="Arial" w:hAnsi="Arial" w:cs="Arial"/>
          <w:sz w:val="20"/>
          <w:szCs w:val="20"/>
        </w:rPr>
        <w:t>behaviours</w:t>
      </w:r>
      <w:proofErr w:type="spellEnd"/>
      <w:r w:rsidR="007E24C9" w:rsidRPr="00494E7E">
        <w:rPr>
          <w:rFonts w:ascii="Arial" w:hAnsi="Arial" w:cs="Arial"/>
          <w:sz w:val="20"/>
          <w:szCs w:val="20"/>
        </w:rPr>
        <w:t xml:space="preserve"> such as insurance and risk-taking (Singh &amp; Malik, 2022).</w:t>
      </w:r>
    </w:p>
    <w:p w14:paraId="691317C2" w14:textId="3B0DB221" w:rsidR="00C901E3" w:rsidRPr="00494E7E" w:rsidRDefault="00CC1C79" w:rsidP="008C4494">
      <w:pPr>
        <w:spacing w:line="360" w:lineRule="auto"/>
        <w:jc w:val="both"/>
        <w:rPr>
          <w:rFonts w:ascii="Arial" w:hAnsi="Arial" w:cs="Arial"/>
          <w:sz w:val="20"/>
          <w:szCs w:val="20"/>
        </w:rPr>
      </w:pPr>
      <w:r w:rsidRPr="00494E7E">
        <w:rPr>
          <w:rFonts w:ascii="Arial" w:hAnsi="Arial" w:cs="Arial"/>
          <w:sz w:val="20"/>
          <w:szCs w:val="20"/>
        </w:rPr>
        <w:t>In addition, t</w:t>
      </w:r>
      <w:r w:rsidR="00C901E3" w:rsidRPr="00494E7E">
        <w:rPr>
          <w:rFonts w:ascii="Arial" w:hAnsi="Arial" w:cs="Arial"/>
          <w:sz w:val="20"/>
          <w:szCs w:val="20"/>
        </w:rPr>
        <w:t>he majority of studies on financial well-being have been carried out in developed countries (</w:t>
      </w:r>
      <w:proofErr w:type="spellStart"/>
      <w:r w:rsidR="00C901E3" w:rsidRPr="00494E7E">
        <w:rPr>
          <w:rFonts w:ascii="Arial" w:hAnsi="Arial" w:cs="Arial"/>
          <w:sz w:val="20"/>
          <w:szCs w:val="20"/>
        </w:rPr>
        <w:t>Ngamaba</w:t>
      </w:r>
      <w:proofErr w:type="spellEnd"/>
      <w:r w:rsidR="00C901E3" w:rsidRPr="00494E7E">
        <w:rPr>
          <w:rFonts w:ascii="Arial" w:hAnsi="Arial" w:cs="Arial"/>
          <w:sz w:val="20"/>
          <w:szCs w:val="20"/>
        </w:rPr>
        <w:t xml:space="preserve"> et al., 2020), and there is a significant gap in understanding the financial well-being of individuals from developing and poor countries (</w:t>
      </w:r>
      <w:proofErr w:type="spellStart"/>
      <w:r w:rsidR="003A402F" w:rsidRPr="00494E7E">
        <w:rPr>
          <w:rFonts w:ascii="Arial" w:hAnsi="Arial" w:cs="Arial"/>
          <w:color w:val="222222"/>
          <w:sz w:val="20"/>
          <w:szCs w:val="20"/>
          <w:shd w:val="clear" w:color="auto" w:fill="FFFFFF"/>
        </w:rPr>
        <w:t>Brüggen</w:t>
      </w:r>
      <w:proofErr w:type="spellEnd"/>
      <w:r w:rsidR="008D1179">
        <w:rPr>
          <w:rFonts w:ascii="Arial" w:hAnsi="Arial" w:cs="Arial"/>
          <w:color w:val="222222"/>
          <w:sz w:val="20"/>
          <w:szCs w:val="20"/>
          <w:shd w:val="clear" w:color="auto" w:fill="FFFFFF"/>
        </w:rPr>
        <w:t xml:space="preserve"> et al.</w:t>
      </w:r>
      <w:r w:rsidR="003A402F" w:rsidRPr="00494E7E">
        <w:rPr>
          <w:rFonts w:ascii="Arial" w:hAnsi="Arial" w:cs="Arial"/>
          <w:color w:val="222222"/>
          <w:sz w:val="20"/>
          <w:szCs w:val="20"/>
          <w:shd w:val="clear" w:color="auto" w:fill="FFFFFF"/>
        </w:rPr>
        <w:t>, 2017</w:t>
      </w:r>
      <w:r w:rsidR="00C901E3" w:rsidRPr="00494E7E">
        <w:rPr>
          <w:rFonts w:ascii="Arial" w:hAnsi="Arial" w:cs="Arial"/>
          <w:sz w:val="20"/>
          <w:szCs w:val="20"/>
        </w:rPr>
        <w:t xml:space="preserve">). </w:t>
      </w:r>
      <w:r w:rsidR="00EE730D">
        <w:rPr>
          <w:rFonts w:ascii="Arial" w:hAnsi="Arial" w:cs="Arial"/>
          <w:sz w:val="20"/>
          <w:szCs w:val="20"/>
        </w:rPr>
        <w:t>“</w:t>
      </w:r>
      <w:r w:rsidR="00EF4BDA" w:rsidRPr="00494E7E">
        <w:rPr>
          <w:rFonts w:ascii="Arial" w:hAnsi="Arial" w:cs="Arial"/>
          <w:sz w:val="20"/>
          <w:szCs w:val="20"/>
        </w:rPr>
        <w:t>B</w:t>
      </w:r>
      <w:r w:rsidR="00C901E3" w:rsidRPr="00494E7E">
        <w:rPr>
          <w:rFonts w:ascii="Arial" w:hAnsi="Arial" w:cs="Arial"/>
          <w:sz w:val="20"/>
          <w:szCs w:val="20"/>
        </w:rPr>
        <w:t>ecause of differences in contextual factors such as culture, society, and family characteristics, financial well-being solutions proposed for developed countries may be difficult for non-developed countries. As a result, studies on financial well-being in developing countries are needed to figure out their state and problems</w:t>
      </w:r>
      <w:r w:rsidR="00EE730D">
        <w:rPr>
          <w:rFonts w:ascii="Arial" w:hAnsi="Arial" w:cs="Arial"/>
          <w:sz w:val="20"/>
          <w:szCs w:val="20"/>
        </w:rPr>
        <w:t>”</w:t>
      </w:r>
      <w:r w:rsidR="00C901E3" w:rsidRPr="00494E7E">
        <w:rPr>
          <w:rFonts w:ascii="Arial" w:hAnsi="Arial" w:cs="Arial"/>
          <w:sz w:val="20"/>
          <w:szCs w:val="20"/>
        </w:rPr>
        <w:t xml:space="preserve"> (Parvathy &amp; Kumar, 2022).</w:t>
      </w:r>
    </w:p>
    <w:p w14:paraId="0F7048AE" w14:textId="46FDF576" w:rsidR="00E720FF" w:rsidRPr="00494E7E" w:rsidRDefault="00B841E4" w:rsidP="008C4494">
      <w:pPr>
        <w:spacing w:line="360" w:lineRule="auto"/>
        <w:jc w:val="both"/>
        <w:rPr>
          <w:rFonts w:ascii="Arial" w:hAnsi="Arial" w:cs="Arial"/>
          <w:sz w:val="20"/>
          <w:szCs w:val="20"/>
        </w:rPr>
      </w:pPr>
      <w:r w:rsidRPr="00494E7E">
        <w:rPr>
          <w:rFonts w:ascii="Arial" w:hAnsi="Arial" w:cs="Arial"/>
          <w:sz w:val="20"/>
          <w:szCs w:val="20"/>
        </w:rPr>
        <w:t xml:space="preserve">However, the current state of knowledge does not cover the risk dimension and adequate literature about the relationships </w:t>
      </w:r>
      <w:r w:rsidR="000170CD" w:rsidRPr="00494E7E">
        <w:rPr>
          <w:rFonts w:ascii="Arial" w:hAnsi="Arial" w:cs="Arial"/>
          <w:sz w:val="20"/>
          <w:szCs w:val="20"/>
        </w:rPr>
        <w:t>between</w:t>
      </w:r>
      <w:r w:rsidRPr="00494E7E">
        <w:rPr>
          <w:rFonts w:ascii="Arial" w:hAnsi="Arial" w:cs="Arial"/>
          <w:sz w:val="20"/>
          <w:szCs w:val="20"/>
        </w:rPr>
        <w:t xml:space="preserve"> financial capability, risk-taking ability, and financial well-being is not available, hence this is still an under-researched area. Further, most of the research on these </w:t>
      </w:r>
      <w:r w:rsidR="00B31A3E" w:rsidRPr="00494E7E">
        <w:rPr>
          <w:rFonts w:ascii="Arial" w:hAnsi="Arial" w:cs="Arial"/>
          <w:sz w:val="20"/>
          <w:szCs w:val="20"/>
        </w:rPr>
        <w:t>construct</w:t>
      </w:r>
      <w:r w:rsidR="0027344D" w:rsidRPr="00494E7E">
        <w:rPr>
          <w:rFonts w:ascii="Arial" w:hAnsi="Arial" w:cs="Arial"/>
          <w:sz w:val="20"/>
          <w:szCs w:val="20"/>
        </w:rPr>
        <w:t>s</w:t>
      </w:r>
      <w:r w:rsidRPr="00494E7E">
        <w:rPr>
          <w:rFonts w:ascii="Arial" w:hAnsi="Arial" w:cs="Arial"/>
          <w:sz w:val="20"/>
          <w:szCs w:val="20"/>
        </w:rPr>
        <w:t xml:space="preserve"> is conducted focusing on the respondents as general and there can be differences across the cultures of developing and developed countries. This indicates the presence of a clear knowledge gap in this area of study and there is a need to incorporate the risk element while studying the relationship between financial capability and financial well-being. Therefore, it is noteworthy to study the interconnections among financial capability, risk-taking ability, and financial well-being, especially for women in a developing country perspective, particularly Sri Lanka.</w:t>
      </w:r>
      <w:r w:rsidR="0027344D" w:rsidRPr="00494E7E">
        <w:rPr>
          <w:rFonts w:ascii="Arial" w:hAnsi="Arial" w:cs="Arial"/>
          <w:sz w:val="20"/>
          <w:szCs w:val="20"/>
        </w:rPr>
        <w:t xml:space="preserve"> The specific research objectives of the study are;</w:t>
      </w:r>
    </w:p>
    <w:p w14:paraId="0FAB2F5C" w14:textId="1702B007" w:rsidR="00E720FF" w:rsidRPr="008D1179" w:rsidRDefault="00E720FF" w:rsidP="00A0190B">
      <w:pPr>
        <w:pStyle w:val="ListParagraph"/>
        <w:numPr>
          <w:ilvl w:val="0"/>
          <w:numId w:val="9"/>
        </w:numPr>
        <w:spacing w:line="360" w:lineRule="auto"/>
        <w:jc w:val="both"/>
        <w:rPr>
          <w:rFonts w:ascii="Arial" w:hAnsi="Arial" w:cs="Arial"/>
          <w:sz w:val="20"/>
          <w:szCs w:val="20"/>
          <w:highlight w:val="yellow"/>
        </w:rPr>
      </w:pPr>
      <w:r w:rsidRPr="008D1179">
        <w:rPr>
          <w:rFonts w:ascii="Arial" w:hAnsi="Arial" w:cs="Arial"/>
          <w:sz w:val="20"/>
          <w:szCs w:val="20"/>
          <w:highlight w:val="yellow"/>
        </w:rPr>
        <w:t>To identify the relationship</w:t>
      </w:r>
      <w:r w:rsidR="008D1179" w:rsidRPr="008D1179">
        <w:rPr>
          <w:rFonts w:ascii="Arial" w:hAnsi="Arial" w:cs="Arial"/>
          <w:sz w:val="20"/>
          <w:szCs w:val="20"/>
          <w:highlight w:val="yellow"/>
        </w:rPr>
        <w:t>s</w:t>
      </w:r>
      <w:r w:rsidRPr="008D1179">
        <w:rPr>
          <w:rFonts w:ascii="Arial" w:hAnsi="Arial" w:cs="Arial"/>
          <w:sz w:val="20"/>
          <w:szCs w:val="20"/>
          <w:highlight w:val="yellow"/>
        </w:rPr>
        <w:t xml:space="preserve"> between the financial capability</w:t>
      </w:r>
      <w:r w:rsidR="008D1179" w:rsidRPr="008D1179">
        <w:rPr>
          <w:rFonts w:ascii="Arial" w:hAnsi="Arial" w:cs="Arial"/>
          <w:sz w:val="20"/>
          <w:szCs w:val="20"/>
          <w:highlight w:val="yellow"/>
        </w:rPr>
        <w:t>, risk-taking ability, and</w:t>
      </w:r>
      <w:r w:rsidRPr="008D1179">
        <w:rPr>
          <w:rFonts w:ascii="Arial" w:hAnsi="Arial" w:cs="Arial"/>
          <w:sz w:val="20"/>
          <w:szCs w:val="20"/>
          <w:highlight w:val="yellow"/>
        </w:rPr>
        <w:t xml:space="preserve"> financial well-being of women, in Sri Lanka.</w:t>
      </w:r>
    </w:p>
    <w:p w14:paraId="45B1DAA1" w14:textId="7DF1F42D" w:rsidR="00E720FF" w:rsidRPr="008D1179" w:rsidRDefault="00E720FF" w:rsidP="00A0190B">
      <w:pPr>
        <w:pStyle w:val="ListParagraph"/>
        <w:numPr>
          <w:ilvl w:val="0"/>
          <w:numId w:val="9"/>
        </w:numPr>
        <w:spacing w:line="360" w:lineRule="auto"/>
        <w:jc w:val="both"/>
        <w:rPr>
          <w:rFonts w:ascii="Arial" w:hAnsi="Arial" w:cs="Arial"/>
          <w:sz w:val="20"/>
          <w:szCs w:val="20"/>
          <w:highlight w:val="yellow"/>
        </w:rPr>
      </w:pPr>
      <w:r w:rsidRPr="008D1179">
        <w:rPr>
          <w:rFonts w:ascii="Arial" w:hAnsi="Arial" w:cs="Arial"/>
          <w:sz w:val="20"/>
          <w:szCs w:val="20"/>
          <w:highlight w:val="yellow"/>
        </w:rPr>
        <w:t xml:space="preserve">To </w:t>
      </w:r>
      <w:r w:rsidR="008D1179" w:rsidRPr="008D1179">
        <w:rPr>
          <w:rFonts w:ascii="Arial" w:hAnsi="Arial" w:cs="Arial"/>
          <w:sz w:val="20"/>
          <w:szCs w:val="20"/>
          <w:highlight w:val="yellow"/>
        </w:rPr>
        <w:t>investigate</w:t>
      </w:r>
      <w:r w:rsidRPr="008D1179">
        <w:rPr>
          <w:rFonts w:ascii="Arial" w:hAnsi="Arial" w:cs="Arial"/>
          <w:sz w:val="20"/>
          <w:szCs w:val="20"/>
          <w:highlight w:val="yellow"/>
        </w:rPr>
        <w:t xml:space="preserve"> the mediating </w:t>
      </w:r>
      <w:r w:rsidR="008D1179" w:rsidRPr="008D1179">
        <w:rPr>
          <w:rFonts w:ascii="Arial" w:hAnsi="Arial" w:cs="Arial"/>
          <w:sz w:val="20"/>
          <w:szCs w:val="20"/>
          <w:highlight w:val="yellow"/>
        </w:rPr>
        <w:t xml:space="preserve">role </w:t>
      </w:r>
      <w:r w:rsidRPr="008D1179">
        <w:rPr>
          <w:rFonts w:ascii="Arial" w:hAnsi="Arial" w:cs="Arial"/>
          <w:sz w:val="20"/>
          <w:szCs w:val="20"/>
          <w:highlight w:val="yellow"/>
        </w:rPr>
        <w:t xml:space="preserve">of the risk-taking ability </w:t>
      </w:r>
      <w:r w:rsidR="008D1179" w:rsidRPr="008D1179">
        <w:rPr>
          <w:rFonts w:ascii="Arial" w:hAnsi="Arial" w:cs="Arial"/>
          <w:sz w:val="20"/>
          <w:szCs w:val="20"/>
          <w:highlight w:val="yellow"/>
        </w:rPr>
        <w:t xml:space="preserve">between the financial capability and </w:t>
      </w:r>
      <w:r w:rsidRPr="008D1179">
        <w:rPr>
          <w:rFonts w:ascii="Arial" w:hAnsi="Arial" w:cs="Arial"/>
          <w:sz w:val="20"/>
          <w:szCs w:val="20"/>
          <w:highlight w:val="yellow"/>
        </w:rPr>
        <w:t>financial well-being</w:t>
      </w:r>
      <w:r w:rsidR="008D1179" w:rsidRPr="008D1179">
        <w:rPr>
          <w:rFonts w:ascii="Arial" w:hAnsi="Arial" w:cs="Arial"/>
          <w:sz w:val="20"/>
          <w:szCs w:val="20"/>
          <w:highlight w:val="yellow"/>
        </w:rPr>
        <w:t xml:space="preserve"> of women in Sri Lanka.</w:t>
      </w:r>
    </w:p>
    <w:p w14:paraId="6D30BD9C" w14:textId="019F9712" w:rsidR="0027344D" w:rsidRPr="00494E7E" w:rsidRDefault="0027344D" w:rsidP="0027344D">
      <w:pPr>
        <w:spacing w:line="360" w:lineRule="auto"/>
        <w:jc w:val="both"/>
        <w:rPr>
          <w:rFonts w:ascii="Arial" w:hAnsi="Arial" w:cs="Arial"/>
        </w:rPr>
      </w:pPr>
      <w:r w:rsidRPr="00494E7E">
        <w:rPr>
          <w:rFonts w:ascii="Arial" w:hAnsi="Arial" w:cs="Arial"/>
          <w:sz w:val="20"/>
          <w:szCs w:val="20"/>
        </w:rPr>
        <w:t xml:space="preserve">The rest of the paper embodies the sections including literature review, conceptual framework, research methodology, </w:t>
      </w:r>
      <w:r w:rsidR="00D15C4F" w:rsidRPr="00494E7E">
        <w:rPr>
          <w:rFonts w:ascii="Arial" w:hAnsi="Arial" w:cs="Arial"/>
          <w:sz w:val="20"/>
          <w:szCs w:val="20"/>
        </w:rPr>
        <w:t xml:space="preserve">analysis and results, and </w:t>
      </w:r>
      <w:r w:rsidRPr="00494E7E">
        <w:rPr>
          <w:rFonts w:ascii="Arial" w:hAnsi="Arial" w:cs="Arial"/>
          <w:sz w:val="20"/>
          <w:szCs w:val="20"/>
        </w:rPr>
        <w:t>conclusion</w:t>
      </w:r>
      <w:r w:rsidR="00D15C4F" w:rsidRPr="00494E7E">
        <w:rPr>
          <w:rFonts w:ascii="Arial" w:hAnsi="Arial" w:cs="Arial"/>
          <w:sz w:val="20"/>
          <w:szCs w:val="20"/>
        </w:rPr>
        <w:t xml:space="preserve"> and</w:t>
      </w:r>
      <w:r w:rsidRPr="00494E7E">
        <w:rPr>
          <w:rFonts w:ascii="Arial" w:hAnsi="Arial" w:cs="Arial"/>
          <w:sz w:val="20"/>
          <w:szCs w:val="20"/>
        </w:rPr>
        <w:t xml:space="preserve"> implications.</w:t>
      </w:r>
    </w:p>
    <w:p w14:paraId="080A6D65" w14:textId="045814A4" w:rsidR="007C684F" w:rsidRPr="00494E7E" w:rsidRDefault="00494E7E" w:rsidP="00E84B18">
      <w:pPr>
        <w:pStyle w:val="Heading1"/>
        <w:spacing w:line="360" w:lineRule="auto"/>
        <w:jc w:val="left"/>
        <w:rPr>
          <w:rFonts w:ascii="Arial" w:hAnsi="Arial" w:cs="Arial"/>
          <w:sz w:val="22"/>
          <w:szCs w:val="22"/>
        </w:rPr>
      </w:pPr>
      <w:bookmarkStart w:id="3" w:name="_Toc141033531"/>
      <w:r w:rsidRPr="00494E7E">
        <w:rPr>
          <w:rFonts w:ascii="Arial" w:hAnsi="Arial" w:cs="Arial"/>
          <w:caps w:val="0"/>
          <w:sz w:val="22"/>
          <w:szCs w:val="22"/>
        </w:rPr>
        <w:lastRenderedPageBreak/>
        <w:t>2. LITERATURE REVIEW</w:t>
      </w:r>
      <w:bookmarkEnd w:id="3"/>
    </w:p>
    <w:p w14:paraId="65C58443" w14:textId="3E8D949F" w:rsidR="007C684F" w:rsidRPr="00494E7E" w:rsidRDefault="00494E7E" w:rsidP="008C4494">
      <w:pPr>
        <w:pStyle w:val="Heading2"/>
        <w:spacing w:line="360" w:lineRule="auto"/>
        <w:rPr>
          <w:rFonts w:ascii="Arial" w:hAnsi="Arial" w:cs="Arial"/>
          <w:sz w:val="22"/>
          <w:szCs w:val="22"/>
        </w:rPr>
      </w:pPr>
      <w:bookmarkStart w:id="4" w:name="_Toc141033532"/>
      <w:r w:rsidRPr="00494E7E">
        <w:rPr>
          <w:rFonts w:ascii="Arial" w:hAnsi="Arial" w:cs="Arial"/>
          <w:sz w:val="22"/>
          <w:szCs w:val="22"/>
        </w:rPr>
        <w:t xml:space="preserve">2.1 </w:t>
      </w:r>
      <w:r w:rsidR="007C684F" w:rsidRPr="00494E7E">
        <w:rPr>
          <w:rFonts w:ascii="Arial" w:hAnsi="Arial" w:cs="Arial"/>
          <w:sz w:val="22"/>
          <w:szCs w:val="22"/>
        </w:rPr>
        <w:t>Financial Well-Being</w:t>
      </w:r>
      <w:bookmarkEnd w:id="4"/>
      <w:r w:rsidR="004C08F9">
        <w:rPr>
          <w:rFonts w:ascii="Arial" w:hAnsi="Arial" w:cs="Arial"/>
          <w:sz w:val="22"/>
          <w:szCs w:val="22"/>
        </w:rPr>
        <w:t xml:space="preserve"> </w:t>
      </w:r>
    </w:p>
    <w:p w14:paraId="4D5489E4" w14:textId="67D7F6D4" w:rsidR="00682EF2" w:rsidRPr="00494E7E" w:rsidRDefault="00682EF2" w:rsidP="008C4494">
      <w:pPr>
        <w:spacing w:line="360" w:lineRule="auto"/>
        <w:jc w:val="both"/>
        <w:rPr>
          <w:rFonts w:ascii="Arial" w:hAnsi="Arial" w:cs="Arial"/>
          <w:sz w:val="20"/>
          <w:szCs w:val="20"/>
        </w:rPr>
      </w:pPr>
      <w:r w:rsidRPr="00494E7E">
        <w:rPr>
          <w:rFonts w:ascii="Arial" w:hAnsi="Arial" w:cs="Arial"/>
          <w:sz w:val="20"/>
          <w:szCs w:val="20"/>
        </w:rPr>
        <w:t xml:space="preserve">Financial well-being is defined by Porter and Garman (1990) as an individual's perception of the features of their financial state in relation to specific standards.  Financial well-being is a state of mind produced by an operational financial process known as financial wellness; financial attitude and knowledge produce financial </w:t>
      </w:r>
      <w:proofErr w:type="spellStart"/>
      <w:r w:rsidRPr="00494E7E">
        <w:rPr>
          <w:rFonts w:ascii="Arial" w:hAnsi="Arial" w:cs="Arial"/>
          <w:sz w:val="20"/>
          <w:szCs w:val="20"/>
        </w:rPr>
        <w:t>behaviour</w:t>
      </w:r>
      <w:proofErr w:type="spellEnd"/>
      <w:r w:rsidRPr="00494E7E">
        <w:rPr>
          <w:rFonts w:ascii="Arial" w:hAnsi="Arial" w:cs="Arial"/>
          <w:sz w:val="20"/>
          <w:szCs w:val="20"/>
        </w:rPr>
        <w:t xml:space="preserve">, and healthy financial </w:t>
      </w:r>
      <w:proofErr w:type="spellStart"/>
      <w:r w:rsidRPr="00494E7E">
        <w:rPr>
          <w:rFonts w:ascii="Arial" w:hAnsi="Arial" w:cs="Arial"/>
          <w:sz w:val="20"/>
          <w:szCs w:val="20"/>
        </w:rPr>
        <w:t>behaviour</w:t>
      </w:r>
      <w:proofErr w:type="spellEnd"/>
      <w:r w:rsidRPr="00494E7E">
        <w:rPr>
          <w:rFonts w:ascii="Arial" w:hAnsi="Arial" w:cs="Arial"/>
          <w:sz w:val="20"/>
          <w:szCs w:val="20"/>
        </w:rPr>
        <w:t xml:space="preserve"> is responsible for producing a high degree of financial well-being (</w:t>
      </w:r>
      <w:r w:rsidR="002B24AC" w:rsidRPr="00494E7E">
        <w:rPr>
          <w:rFonts w:ascii="Arial" w:hAnsi="Arial" w:cs="Arial"/>
          <w:color w:val="222222"/>
          <w:sz w:val="20"/>
          <w:szCs w:val="20"/>
          <w:shd w:val="clear" w:color="auto" w:fill="FFFFFF"/>
        </w:rPr>
        <w:t>Shim</w:t>
      </w:r>
      <w:r w:rsidR="00EC3C58" w:rsidRPr="00494E7E">
        <w:rPr>
          <w:rFonts w:ascii="Arial" w:hAnsi="Arial" w:cs="Arial"/>
          <w:color w:val="222222"/>
          <w:sz w:val="20"/>
          <w:szCs w:val="20"/>
          <w:shd w:val="clear" w:color="auto" w:fill="FFFFFF"/>
        </w:rPr>
        <w:t xml:space="preserve"> et al.</w:t>
      </w:r>
      <w:r w:rsidR="002B24AC" w:rsidRPr="00494E7E">
        <w:rPr>
          <w:rFonts w:ascii="Arial" w:hAnsi="Arial" w:cs="Arial"/>
          <w:color w:val="222222"/>
          <w:sz w:val="20"/>
          <w:szCs w:val="20"/>
          <w:shd w:val="clear" w:color="auto" w:fill="FFFFFF"/>
        </w:rPr>
        <w:t>, 2009</w:t>
      </w:r>
      <w:r w:rsidRPr="00494E7E">
        <w:rPr>
          <w:rFonts w:ascii="Arial" w:hAnsi="Arial" w:cs="Arial"/>
          <w:sz w:val="20"/>
          <w:szCs w:val="20"/>
        </w:rPr>
        <w:t xml:space="preserve">). </w:t>
      </w:r>
    </w:p>
    <w:p w14:paraId="039CE300" w14:textId="222EAF7A" w:rsidR="00682EF2" w:rsidRPr="00494E7E" w:rsidRDefault="00E85841" w:rsidP="008C4494">
      <w:pPr>
        <w:spacing w:line="360" w:lineRule="auto"/>
        <w:jc w:val="both"/>
        <w:rPr>
          <w:rFonts w:ascii="Arial" w:hAnsi="Arial" w:cs="Arial"/>
          <w:sz w:val="20"/>
          <w:szCs w:val="20"/>
        </w:rPr>
      </w:pPr>
      <w:r>
        <w:rPr>
          <w:rFonts w:ascii="Arial" w:hAnsi="Arial" w:cs="Arial"/>
          <w:sz w:val="20"/>
          <w:szCs w:val="20"/>
        </w:rPr>
        <w:t>“</w:t>
      </w:r>
      <w:r w:rsidR="00682EF2" w:rsidRPr="00494E7E">
        <w:rPr>
          <w:rFonts w:ascii="Arial" w:hAnsi="Arial" w:cs="Arial"/>
          <w:sz w:val="20"/>
          <w:szCs w:val="20"/>
        </w:rPr>
        <w:t>Financial well-being is defined as self-satisfaction with one's current financial situation, assurance of meeting conventional costs of living and emergency costs, having the ability to pursue one's interests, and confidence in one's future retirement</w:t>
      </w:r>
      <w:r>
        <w:rPr>
          <w:rFonts w:ascii="Arial" w:hAnsi="Arial" w:cs="Arial"/>
          <w:sz w:val="20"/>
          <w:szCs w:val="20"/>
        </w:rPr>
        <w:t>”</w:t>
      </w:r>
      <w:r w:rsidR="00682EF2" w:rsidRPr="00494E7E">
        <w:rPr>
          <w:rFonts w:ascii="Arial" w:hAnsi="Arial" w:cs="Arial"/>
          <w:sz w:val="20"/>
          <w:szCs w:val="20"/>
        </w:rPr>
        <w:t xml:space="preserve"> (</w:t>
      </w:r>
      <w:proofErr w:type="spellStart"/>
      <w:r w:rsidR="003A402F" w:rsidRPr="00494E7E">
        <w:rPr>
          <w:rFonts w:ascii="Arial" w:hAnsi="Arial" w:cs="Arial"/>
          <w:color w:val="222222"/>
          <w:sz w:val="20"/>
          <w:szCs w:val="20"/>
          <w:shd w:val="clear" w:color="auto" w:fill="FFFFFF"/>
        </w:rPr>
        <w:t>Mahdzan</w:t>
      </w:r>
      <w:proofErr w:type="spellEnd"/>
      <w:r w:rsidR="00EC3C58" w:rsidRPr="00494E7E">
        <w:rPr>
          <w:rFonts w:ascii="Arial" w:hAnsi="Arial" w:cs="Arial"/>
          <w:color w:val="222222"/>
          <w:sz w:val="20"/>
          <w:szCs w:val="20"/>
          <w:shd w:val="clear" w:color="auto" w:fill="FFFFFF"/>
        </w:rPr>
        <w:t xml:space="preserve"> et al.,</w:t>
      </w:r>
      <w:r w:rsidR="00682EF2" w:rsidRPr="00494E7E">
        <w:rPr>
          <w:rFonts w:ascii="Arial" w:hAnsi="Arial" w:cs="Arial"/>
          <w:sz w:val="20"/>
          <w:szCs w:val="20"/>
        </w:rPr>
        <w:t xml:space="preserve">2020). </w:t>
      </w:r>
      <w:r>
        <w:rPr>
          <w:rFonts w:ascii="Arial" w:hAnsi="Arial" w:cs="Arial"/>
          <w:sz w:val="20"/>
          <w:szCs w:val="20"/>
        </w:rPr>
        <w:t>“</w:t>
      </w:r>
      <w:r w:rsidR="00682EF2" w:rsidRPr="00494E7E">
        <w:rPr>
          <w:rFonts w:ascii="Arial" w:hAnsi="Arial" w:cs="Arial"/>
          <w:sz w:val="20"/>
          <w:szCs w:val="20"/>
        </w:rPr>
        <w:t>Males and females have different levels of financial well-being, which can be attributed to the distinctive impacts of socialization agents and early years experiences for customers</w:t>
      </w:r>
      <w:r>
        <w:rPr>
          <w:rFonts w:ascii="Arial" w:hAnsi="Arial" w:cs="Arial"/>
          <w:sz w:val="20"/>
          <w:szCs w:val="20"/>
        </w:rPr>
        <w:t>”</w:t>
      </w:r>
      <w:r w:rsidR="00682EF2" w:rsidRPr="00494E7E">
        <w:rPr>
          <w:rFonts w:ascii="Arial" w:hAnsi="Arial" w:cs="Arial"/>
          <w:sz w:val="20"/>
          <w:szCs w:val="20"/>
        </w:rPr>
        <w:t xml:space="preserve"> (</w:t>
      </w:r>
      <w:proofErr w:type="spellStart"/>
      <w:r w:rsidR="00682EF2" w:rsidRPr="00494E7E">
        <w:rPr>
          <w:rFonts w:ascii="Arial" w:hAnsi="Arial" w:cs="Arial"/>
          <w:sz w:val="20"/>
          <w:szCs w:val="20"/>
        </w:rPr>
        <w:t>Falahati</w:t>
      </w:r>
      <w:proofErr w:type="spellEnd"/>
      <w:r w:rsidR="00682EF2" w:rsidRPr="00494E7E">
        <w:rPr>
          <w:rFonts w:ascii="Arial" w:hAnsi="Arial" w:cs="Arial"/>
          <w:sz w:val="20"/>
          <w:szCs w:val="20"/>
        </w:rPr>
        <w:t xml:space="preserve"> &amp; Sabri, 2015). </w:t>
      </w:r>
    </w:p>
    <w:p w14:paraId="320885B7" w14:textId="7FD1D5E5" w:rsidR="003F413C" w:rsidRPr="00494E7E" w:rsidRDefault="003F413C" w:rsidP="008C4494">
      <w:pPr>
        <w:spacing w:line="360" w:lineRule="auto"/>
        <w:jc w:val="both"/>
        <w:rPr>
          <w:rFonts w:ascii="Arial" w:hAnsi="Arial" w:cs="Arial"/>
          <w:sz w:val="20"/>
          <w:szCs w:val="20"/>
        </w:rPr>
      </w:pPr>
      <w:r w:rsidRPr="00494E7E">
        <w:rPr>
          <w:rFonts w:ascii="Arial" w:hAnsi="Arial" w:cs="Arial"/>
          <w:sz w:val="20"/>
          <w:szCs w:val="20"/>
        </w:rPr>
        <w:t>Financial well-being is defined as having both present and future financial security and financial freedom of choice (B</w:t>
      </w:r>
      <w:r w:rsidR="007F7F26">
        <w:rPr>
          <w:rFonts w:ascii="Arial" w:hAnsi="Arial" w:cs="Arial"/>
          <w:sz w:val="20"/>
          <w:szCs w:val="20"/>
        </w:rPr>
        <w:t>ureau</w:t>
      </w:r>
      <w:r w:rsidRPr="00494E7E">
        <w:rPr>
          <w:rFonts w:ascii="Arial" w:hAnsi="Arial" w:cs="Arial"/>
          <w:sz w:val="20"/>
          <w:szCs w:val="20"/>
        </w:rPr>
        <w:t>, 2015). Many researchers (</w:t>
      </w:r>
      <w:proofErr w:type="spellStart"/>
      <w:r w:rsidRPr="00494E7E">
        <w:rPr>
          <w:rFonts w:ascii="Arial" w:hAnsi="Arial" w:cs="Arial"/>
          <w:sz w:val="20"/>
          <w:szCs w:val="20"/>
        </w:rPr>
        <w:t>Mahdzan</w:t>
      </w:r>
      <w:proofErr w:type="spellEnd"/>
      <w:r w:rsidRPr="00494E7E">
        <w:rPr>
          <w:rFonts w:ascii="Arial" w:hAnsi="Arial" w:cs="Arial"/>
          <w:sz w:val="20"/>
          <w:szCs w:val="20"/>
        </w:rPr>
        <w:t xml:space="preserve"> et al., 2020) in this area use the conceptual model developed by </w:t>
      </w:r>
      <w:proofErr w:type="spellStart"/>
      <w:r w:rsidRPr="00494E7E">
        <w:rPr>
          <w:rFonts w:ascii="Arial" w:hAnsi="Arial" w:cs="Arial"/>
          <w:sz w:val="20"/>
          <w:szCs w:val="20"/>
        </w:rPr>
        <w:t>Bruggen</w:t>
      </w:r>
      <w:proofErr w:type="spellEnd"/>
      <w:r w:rsidRPr="00494E7E">
        <w:rPr>
          <w:rFonts w:ascii="Arial" w:hAnsi="Arial" w:cs="Arial"/>
          <w:sz w:val="20"/>
          <w:szCs w:val="20"/>
        </w:rPr>
        <w:t xml:space="preserve"> et al. (2017), where </w:t>
      </w:r>
      <w:r w:rsidR="004C08F9">
        <w:rPr>
          <w:rFonts w:ascii="Arial" w:hAnsi="Arial" w:cs="Arial"/>
          <w:sz w:val="20"/>
          <w:szCs w:val="20"/>
        </w:rPr>
        <w:t>f</w:t>
      </w:r>
      <w:r w:rsidR="004C08F9" w:rsidRPr="00494E7E">
        <w:rPr>
          <w:rFonts w:ascii="Arial" w:hAnsi="Arial" w:cs="Arial"/>
          <w:sz w:val="20"/>
          <w:szCs w:val="20"/>
        </w:rPr>
        <w:t xml:space="preserve">inancial well-being </w:t>
      </w:r>
      <w:r w:rsidRPr="00494E7E">
        <w:rPr>
          <w:rFonts w:ascii="Arial" w:hAnsi="Arial" w:cs="Arial"/>
          <w:sz w:val="20"/>
          <w:szCs w:val="20"/>
        </w:rPr>
        <w:t>was defined as "the perception of being able to sustain current and anticipated desired living standards and financial freedom". This definition emphasizes </w:t>
      </w:r>
      <w:r w:rsidR="00D22572" w:rsidRPr="00494E7E">
        <w:rPr>
          <w:rFonts w:ascii="Arial" w:hAnsi="Arial" w:cs="Arial"/>
          <w:sz w:val="20"/>
          <w:szCs w:val="20"/>
        </w:rPr>
        <w:t>Financial well-being</w:t>
      </w:r>
      <w:r w:rsidR="00D22572">
        <w:rPr>
          <w:rFonts w:ascii="Arial" w:hAnsi="Arial" w:cs="Arial"/>
          <w:sz w:val="20"/>
          <w:szCs w:val="20"/>
        </w:rPr>
        <w:t>’s</w:t>
      </w:r>
      <w:r w:rsidRPr="00494E7E">
        <w:rPr>
          <w:rFonts w:ascii="Arial" w:hAnsi="Arial" w:cs="Arial"/>
          <w:sz w:val="20"/>
          <w:szCs w:val="20"/>
        </w:rPr>
        <w:t xml:space="preserve"> two components: current money management stress and expected future financial security. </w:t>
      </w:r>
    </w:p>
    <w:p w14:paraId="27021331" w14:textId="72045160" w:rsidR="00EB4640" w:rsidRPr="00494E7E" w:rsidRDefault="003F413C" w:rsidP="008C4494">
      <w:pPr>
        <w:spacing w:line="360" w:lineRule="auto"/>
        <w:jc w:val="both"/>
        <w:rPr>
          <w:rFonts w:ascii="Arial" w:hAnsi="Arial" w:cs="Arial"/>
          <w:sz w:val="20"/>
          <w:szCs w:val="20"/>
        </w:rPr>
      </w:pPr>
      <w:r w:rsidRPr="00494E7E">
        <w:rPr>
          <w:rFonts w:ascii="Arial" w:hAnsi="Arial" w:cs="Arial"/>
          <w:sz w:val="20"/>
          <w:szCs w:val="20"/>
        </w:rPr>
        <w:t xml:space="preserve">Given that the definition provided by </w:t>
      </w:r>
      <w:r w:rsidR="007F7F26" w:rsidRPr="00494E7E">
        <w:rPr>
          <w:rFonts w:ascii="Arial" w:hAnsi="Arial" w:cs="Arial"/>
          <w:sz w:val="20"/>
          <w:szCs w:val="20"/>
        </w:rPr>
        <w:t>(B</w:t>
      </w:r>
      <w:r w:rsidR="007F7F26">
        <w:rPr>
          <w:rFonts w:ascii="Arial" w:hAnsi="Arial" w:cs="Arial"/>
          <w:sz w:val="20"/>
          <w:szCs w:val="20"/>
        </w:rPr>
        <w:t>ureau</w:t>
      </w:r>
      <w:r w:rsidR="007F7F26" w:rsidRPr="00494E7E">
        <w:rPr>
          <w:rFonts w:ascii="Arial" w:hAnsi="Arial" w:cs="Arial"/>
          <w:sz w:val="20"/>
          <w:szCs w:val="20"/>
        </w:rPr>
        <w:t>, 2015)</w:t>
      </w:r>
      <w:r w:rsidR="007F7F26">
        <w:rPr>
          <w:rFonts w:ascii="Arial" w:hAnsi="Arial" w:cs="Arial"/>
          <w:sz w:val="20"/>
          <w:szCs w:val="20"/>
        </w:rPr>
        <w:t xml:space="preserve"> </w:t>
      </w:r>
      <w:r w:rsidRPr="00494E7E">
        <w:rPr>
          <w:rFonts w:ascii="Arial" w:hAnsi="Arial" w:cs="Arial"/>
          <w:sz w:val="20"/>
          <w:szCs w:val="20"/>
        </w:rPr>
        <w:t xml:space="preserve">is more comprehensive than the others, this study uses it to define </w:t>
      </w:r>
      <w:r w:rsidR="00D22572">
        <w:rPr>
          <w:rFonts w:ascii="Arial" w:hAnsi="Arial" w:cs="Arial"/>
          <w:sz w:val="20"/>
          <w:szCs w:val="20"/>
        </w:rPr>
        <w:t>f</w:t>
      </w:r>
      <w:r w:rsidR="00D22572" w:rsidRPr="00494E7E">
        <w:rPr>
          <w:rFonts w:ascii="Arial" w:hAnsi="Arial" w:cs="Arial"/>
          <w:sz w:val="20"/>
          <w:szCs w:val="20"/>
        </w:rPr>
        <w:t>inancial well-being</w:t>
      </w:r>
      <w:r w:rsidRPr="00494E7E">
        <w:rPr>
          <w:rFonts w:ascii="Arial" w:hAnsi="Arial" w:cs="Arial"/>
          <w:sz w:val="20"/>
          <w:szCs w:val="20"/>
        </w:rPr>
        <w:t xml:space="preserve">. </w:t>
      </w:r>
      <w:r w:rsidR="00B33B19">
        <w:rPr>
          <w:rFonts w:ascii="Arial" w:hAnsi="Arial" w:cs="Arial"/>
          <w:sz w:val="20"/>
          <w:szCs w:val="20"/>
        </w:rPr>
        <w:t>“</w:t>
      </w:r>
      <w:r w:rsidRPr="00494E7E">
        <w:rPr>
          <w:rFonts w:ascii="Arial" w:hAnsi="Arial" w:cs="Arial"/>
          <w:sz w:val="20"/>
          <w:szCs w:val="20"/>
        </w:rPr>
        <w:t>Financial well-being is defined as the ability to meet one's current and future financial commitments, as well as an individual's assurance of his current financial standing and the autonomy to carry out one's daily life as well as future aspirations without financial impediments</w:t>
      </w:r>
      <w:r w:rsidR="00B33B19">
        <w:rPr>
          <w:rFonts w:ascii="Arial" w:hAnsi="Arial" w:cs="Arial"/>
          <w:sz w:val="20"/>
          <w:szCs w:val="20"/>
        </w:rPr>
        <w:t>”</w:t>
      </w:r>
      <w:r w:rsidRPr="00494E7E">
        <w:rPr>
          <w:rFonts w:ascii="Arial" w:hAnsi="Arial" w:cs="Arial"/>
          <w:sz w:val="20"/>
          <w:szCs w:val="20"/>
        </w:rPr>
        <w:t xml:space="preserve"> (Parvathy &amp; Kumar, 2022). </w:t>
      </w:r>
      <w:r w:rsidR="0044034A" w:rsidRPr="00494E7E">
        <w:rPr>
          <w:rFonts w:ascii="Arial" w:hAnsi="Arial" w:cs="Arial"/>
          <w:sz w:val="20"/>
          <w:szCs w:val="20"/>
        </w:rPr>
        <w:t xml:space="preserve">However, </w:t>
      </w:r>
      <w:r w:rsidR="00DC7564">
        <w:rPr>
          <w:rFonts w:ascii="Arial" w:hAnsi="Arial" w:cs="Arial"/>
          <w:sz w:val="20"/>
          <w:szCs w:val="20"/>
        </w:rPr>
        <w:t>“</w:t>
      </w:r>
      <w:r w:rsidR="0044034A" w:rsidRPr="00494E7E">
        <w:rPr>
          <w:rFonts w:ascii="Arial" w:hAnsi="Arial" w:cs="Arial"/>
          <w:sz w:val="20"/>
          <w:szCs w:val="20"/>
        </w:rPr>
        <w:t>there is a lack of agreement and clarity in prior research about how financial well-being has been measured and defined</w:t>
      </w:r>
      <w:r w:rsidR="00DC7564">
        <w:rPr>
          <w:rFonts w:ascii="Arial" w:hAnsi="Arial" w:cs="Arial"/>
          <w:sz w:val="20"/>
          <w:szCs w:val="20"/>
        </w:rPr>
        <w:t>”</w:t>
      </w:r>
      <w:r w:rsidR="0044034A" w:rsidRPr="00494E7E">
        <w:rPr>
          <w:rFonts w:ascii="Arial" w:hAnsi="Arial" w:cs="Arial"/>
          <w:sz w:val="20"/>
          <w:szCs w:val="20"/>
        </w:rPr>
        <w:t xml:space="preserve"> (</w:t>
      </w:r>
      <w:proofErr w:type="spellStart"/>
      <w:r w:rsidR="0044034A" w:rsidRPr="00494E7E">
        <w:rPr>
          <w:rFonts w:ascii="Arial" w:hAnsi="Arial" w:cs="Arial"/>
          <w:sz w:val="20"/>
          <w:szCs w:val="20"/>
        </w:rPr>
        <w:t>Sorgente</w:t>
      </w:r>
      <w:proofErr w:type="spellEnd"/>
      <w:r w:rsidR="0044034A" w:rsidRPr="00494E7E">
        <w:rPr>
          <w:rFonts w:ascii="Arial" w:hAnsi="Arial" w:cs="Arial"/>
          <w:sz w:val="20"/>
          <w:szCs w:val="20"/>
        </w:rPr>
        <w:t xml:space="preserve"> &amp; </w:t>
      </w:r>
      <w:proofErr w:type="spellStart"/>
      <w:r w:rsidR="0044034A" w:rsidRPr="00494E7E">
        <w:rPr>
          <w:rFonts w:ascii="Arial" w:hAnsi="Arial" w:cs="Arial"/>
          <w:sz w:val="20"/>
          <w:szCs w:val="20"/>
        </w:rPr>
        <w:t>Lanz</w:t>
      </w:r>
      <w:proofErr w:type="spellEnd"/>
      <w:r w:rsidR="0044034A" w:rsidRPr="00494E7E">
        <w:rPr>
          <w:rFonts w:ascii="Arial" w:hAnsi="Arial" w:cs="Arial"/>
          <w:sz w:val="20"/>
          <w:szCs w:val="20"/>
        </w:rPr>
        <w:t xml:space="preserve">, 2017). </w:t>
      </w:r>
      <w:r w:rsidR="00EB4640" w:rsidRPr="00494E7E">
        <w:rPr>
          <w:rFonts w:ascii="Arial" w:hAnsi="Arial" w:cs="Arial"/>
          <w:sz w:val="20"/>
          <w:szCs w:val="20"/>
        </w:rPr>
        <w:t xml:space="preserve">In this study, financial well-being is considered as </w:t>
      </w:r>
      <w:r w:rsidR="00F41CAF" w:rsidRPr="00494E7E">
        <w:rPr>
          <w:rFonts w:ascii="Arial" w:hAnsi="Arial" w:cs="Arial"/>
          <w:sz w:val="20"/>
          <w:szCs w:val="20"/>
        </w:rPr>
        <w:t>the state of possessing both present and future financial security, along with the freedom to make financial choices according to one's preferences.</w:t>
      </w:r>
    </w:p>
    <w:p w14:paraId="60716523" w14:textId="1FDA642F" w:rsidR="007C684F" w:rsidRPr="00494E7E" w:rsidRDefault="00494E7E" w:rsidP="008C4494">
      <w:pPr>
        <w:pStyle w:val="Heading2"/>
        <w:spacing w:line="360" w:lineRule="auto"/>
        <w:rPr>
          <w:rFonts w:ascii="Arial" w:hAnsi="Arial" w:cs="Arial"/>
          <w:sz w:val="20"/>
          <w:szCs w:val="20"/>
        </w:rPr>
      </w:pPr>
      <w:bookmarkStart w:id="5" w:name="_Toc141033533"/>
      <w:r w:rsidRPr="00494E7E">
        <w:rPr>
          <w:rFonts w:ascii="Arial" w:hAnsi="Arial" w:cs="Arial"/>
          <w:sz w:val="20"/>
          <w:szCs w:val="20"/>
        </w:rPr>
        <w:t xml:space="preserve">2.2 </w:t>
      </w:r>
      <w:r w:rsidR="007C684F" w:rsidRPr="00494E7E">
        <w:rPr>
          <w:rFonts w:ascii="Arial" w:hAnsi="Arial" w:cs="Arial"/>
          <w:sz w:val="20"/>
          <w:szCs w:val="20"/>
        </w:rPr>
        <w:t>Financial Capability</w:t>
      </w:r>
      <w:bookmarkEnd w:id="5"/>
    </w:p>
    <w:p w14:paraId="494EE544" w14:textId="4E77EDBE" w:rsidR="00410A0B" w:rsidRPr="00494E7E" w:rsidRDefault="00C17816" w:rsidP="008C4494">
      <w:pPr>
        <w:spacing w:line="360" w:lineRule="auto"/>
        <w:jc w:val="both"/>
        <w:rPr>
          <w:rFonts w:ascii="Arial" w:hAnsi="Arial" w:cs="Arial"/>
          <w:sz w:val="20"/>
          <w:szCs w:val="20"/>
        </w:rPr>
      </w:pPr>
      <w:r w:rsidRPr="00494E7E">
        <w:rPr>
          <w:rFonts w:ascii="Arial" w:hAnsi="Arial" w:cs="Arial"/>
          <w:sz w:val="20"/>
          <w:szCs w:val="20"/>
        </w:rPr>
        <w:t xml:space="preserve">Financial capability is not precisely defined </w:t>
      </w:r>
      <w:r w:rsidR="00620EAD" w:rsidRPr="00494E7E">
        <w:rPr>
          <w:rFonts w:ascii="Arial" w:hAnsi="Arial" w:cs="Arial"/>
          <w:sz w:val="20"/>
          <w:szCs w:val="20"/>
        </w:rPr>
        <w:t xml:space="preserve">in the literature </w:t>
      </w:r>
      <w:r w:rsidRPr="00494E7E">
        <w:rPr>
          <w:rFonts w:ascii="Arial" w:hAnsi="Arial" w:cs="Arial"/>
          <w:sz w:val="20"/>
          <w:szCs w:val="20"/>
        </w:rPr>
        <w:t>(</w:t>
      </w:r>
      <w:proofErr w:type="spellStart"/>
      <w:r w:rsidRPr="00494E7E">
        <w:rPr>
          <w:rFonts w:ascii="Arial" w:hAnsi="Arial" w:cs="Arial"/>
          <w:sz w:val="20"/>
          <w:szCs w:val="20"/>
        </w:rPr>
        <w:t>Sherraden</w:t>
      </w:r>
      <w:proofErr w:type="spellEnd"/>
      <w:r w:rsidRPr="00494E7E">
        <w:rPr>
          <w:rFonts w:ascii="Arial" w:hAnsi="Arial" w:cs="Arial"/>
          <w:sz w:val="20"/>
          <w:szCs w:val="20"/>
        </w:rPr>
        <w:t xml:space="preserve"> </w:t>
      </w:r>
      <w:r w:rsidR="00620EAD" w:rsidRPr="00494E7E">
        <w:rPr>
          <w:rFonts w:ascii="Arial" w:hAnsi="Arial" w:cs="Arial"/>
          <w:sz w:val="20"/>
          <w:szCs w:val="20"/>
        </w:rPr>
        <w:t>&amp;</w:t>
      </w:r>
      <w:r w:rsidRPr="00494E7E">
        <w:rPr>
          <w:rFonts w:ascii="Arial" w:hAnsi="Arial" w:cs="Arial"/>
          <w:sz w:val="20"/>
          <w:szCs w:val="20"/>
        </w:rPr>
        <w:t xml:space="preserve"> </w:t>
      </w:r>
      <w:proofErr w:type="spellStart"/>
      <w:r w:rsidRPr="00494E7E">
        <w:rPr>
          <w:rFonts w:ascii="Arial" w:hAnsi="Arial" w:cs="Arial"/>
          <w:sz w:val="20"/>
          <w:szCs w:val="20"/>
        </w:rPr>
        <w:t>Ansong</w:t>
      </w:r>
      <w:proofErr w:type="spellEnd"/>
      <w:r w:rsidRPr="00494E7E">
        <w:rPr>
          <w:rFonts w:ascii="Arial" w:hAnsi="Arial" w:cs="Arial"/>
          <w:sz w:val="20"/>
          <w:szCs w:val="20"/>
        </w:rPr>
        <w:t xml:space="preserve">, 2016). According to </w:t>
      </w:r>
      <w:r w:rsidR="00620EAD" w:rsidRPr="00494E7E">
        <w:rPr>
          <w:rFonts w:ascii="Arial" w:hAnsi="Arial" w:cs="Arial"/>
          <w:sz w:val="20"/>
          <w:szCs w:val="20"/>
        </w:rPr>
        <w:t>Bolaji-</w:t>
      </w:r>
      <w:proofErr w:type="spellStart"/>
      <w:r w:rsidR="00620EAD" w:rsidRPr="00494E7E">
        <w:rPr>
          <w:rFonts w:ascii="Arial" w:hAnsi="Arial" w:cs="Arial"/>
          <w:sz w:val="20"/>
          <w:szCs w:val="20"/>
        </w:rPr>
        <w:t>Adio</w:t>
      </w:r>
      <w:proofErr w:type="spellEnd"/>
      <w:r w:rsidR="00EC3C58" w:rsidRPr="00494E7E">
        <w:rPr>
          <w:rFonts w:ascii="Arial" w:hAnsi="Arial" w:cs="Arial"/>
          <w:sz w:val="20"/>
          <w:szCs w:val="20"/>
        </w:rPr>
        <w:t xml:space="preserve"> et al. </w:t>
      </w:r>
      <w:r w:rsidRPr="00494E7E">
        <w:rPr>
          <w:rFonts w:ascii="Arial" w:hAnsi="Arial" w:cs="Arial"/>
          <w:sz w:val="20"/>
          <w:szCs w:val="20"/>
        </w:rPr>
        <w:t>(2013), financial capability is the internal capacity to act in one's best financial interest provided social, economic, and environmental circumstances.</w:t>
      </w:r>
      <w:r w:rsidR="007713F3">
        <w:rPr>
          <w:rFonts w:ascii="Arial" w:hAnsi="Arial" w:cs="Arial"/>
          <w:sz w:val="20"/>
          <w:szCs w:val="20"/>
        </w:rPr>
        <w:t xml:space="preserve"> </w:t>
      </w:r>
      <w:r w:rsidRPr="00494E7E">
        <w:rPr>
          <w:rFonts w:ascii="Arial" w:hAnsi="Arial" w:cs="Arial"/>
          <w:sz w:val="20"/>
          <w:szCs w:val="20"/>
        </w:rPr>
        <w:t xml:space="preserve">Johnson and </w:t>
      </w:r>
      <w:proofErr w:type="spellStart"/>
      <w:r w:rsidRPr="00494E7E">
        <w:rPr>
          <w:rFonts w:ascii="Arial" w:hAnsi="Arial" w:cs="Arial"/>
          <w:sz w:val="20"/>
          <w:szCs w:val="20"/>
        </w:rPr>
        <w:t>Sherraden</w:t>
      </w:r>
      <w:proofErr w:type="spellEnd"/>
      <w:r w:rsidRPr="00494E7E">
        <w:rPr>
          <w:rFonts w:ascii="Arial" w:hAnsi="Arial" w:cs="Arial"/>
          <w:sz w:val="20"/>
          <w:szCs w:val="20"/>
        </w:rPr>
        <w:t xml:space="preserve"> (2007) define financial capability as the combination of a person's "ability to act" and "opportunity to act," and </w:t>
      </w:r>
      <w:proofErr w:type="spellStart"/>
      <w:r w:rsidRPr="00494E7E">
        <w:rPr>
          <w:rFonts w:ascii="Arial" w:hAnsi="Arial" w:cs="Arial"/>
          <w:sz w:val="20"/>
          <w:szCs w:val="20"/>
        </w:rPr>
        <w:t>Sherraden</w:t>
      </w:r>
      <w:proofErr w:type="spellEnd"/>
      <w:r w:rsidRPr="00494E7E">
        <w:rPr>
          <w:rFonts w:ascii="Arial" w:hAnsi="Arial" w:cs="Arial"/>
          <w:sz w:val="20"/>
          <w:szCs w:val="20"/>
        </w:rPr>
        <w:t xml:space="preserve"> and </w:t>
      </w:r>
      <w:proofErr w:type="spellStart"/>
      <w:r w:rsidRPr="00494E7E">
        <w:rPr>
          <w:rFonts w:ascii="Arial" w:hAnsi="Arial" w:cs="Arial"/>
          <w:sz w:val="20"/>
          <w:szCs w:val="20"/>
        </w:rPr>
        <w:t>Ansong</w:t>
      </w:r>
      <w:proofErr w:type="spellEnd"/>
      <w:r w:rsidRPr="00494E7E">
        <w:rPr>
          <w:rFonts w:ascii="Arial" w:hAnsi="Arial" w:cs="Arial"/>
          <w:sz w:val="20"/>
          <w:szCs w:val="20"/>
        </w:rPr>
        <w:t xml:space="preserve"> (2016) operationalize this definition by identifying the earlier with financial literacy and the second with financial inclusion, though this approach is not lacking complexity, as both components are multidimensional concepts in and of themselves. </w:t>
      </w:r>
      <w:proofErr w:type="spellStart"/>
      <w:r w:rsidRPr="00494E7E">
        <w:rPr>
          <w:rFonts w:ascii="Arial" w:hAnsi="Arial" w:cs="Arial"/>
          <w:sz w:val="20"/>
          <w:szCs w:val="20"/>
        </w:rPr>
        <w:t>Sherraden</w:t>
      </w:r>
      <w:proofErr w:type="spellEnd"/>
      <w:r w:rsidRPr="00494E7E">
        <w:rPr>
          <w:rFonts w:ascii="Arial" w:hAnsi="Arial" w:cs="Arial"/>
          <w:sz w:val="20"/>
          <w:szCs w:val="20"/>
        </w:rPr>
        <w:t xml:space="preserve"> and </w:t>
      </w:r>
      <w:proofErr w:type="spellStart"/>
      <w:r w:rsidRPr="00494E7E">
        <w:rPr>
          <w:rFonts w:ascii="Arial" w:hAnsi="Arial" w:cs="Arial"/>
          <w:sz w:val="20"/>
          <w:szCs w:val="20"/>
        </w:rPr>
        <w:t>Ansong</w:t>
      </w:r>
      <w:proofErr w:type="spellEnd"/>
      <w:r w:rsidRPr="00494E7E">
        <w:rPr>
          <w:rFonts w:ascii="Arial" w:hAnsi="Arial" w:cs="Arial"/>
          <w:sz w:val="20"/>
          <w:szCs w:val="20"/>
        </w:rPr>
        <w:t xml:space="preserve"> (2016) recommend, from a </w:t>
      </w:r>
      <w:r w:rsidRPr="00494E7E">
        <w:rPr>
          <w:rFonts w:ascii="Arial" w:hAnsi="Arial" w:cs="Arial"/>
          <w:sz w:val="20"/>
          <w:szCs w:val="20"/>
        </w:rPr>
        <w:lastRenderedPageBreak/>
        <w:t>theoretical standpoint, that the various measures of financial capability reflect both financial literacy (i.e. financial knowledge and skills) and financial inclusion (i.e. accessibility to and usage of financial services and products); and provide adaptability for context-specific operationalization, which means that the measures of financial capability could differ between and within nations or regions.</w:t>
      </w:r>
    </w:p>
    <w:p w14:paraId="6BEE157E" w14:textId="4E531991" w:rsidR="002A74AA" w:rsidRPr="00494E7E" w:rsidRDefault="002A74AA" w:rsidP="008C4494">
      <w:pPr>
        <w:spacing w:line="360" w:lineRule="auto"/>
        <w:jc w:val="both"/>
        <w:rPr>
          <w:rFonts w:ascii="Arial" w:hAnsi="Arial" w:cs="Arial"/>
          <w:sz w:val="20"/>
          <w:szCs w:val="20"/>
        </w:rPr>
      </w:pPr>
      <w:r w:rsidRPr="00494E7E">
        <w:rPr>
          <w:rFonts w:ascii="Arial" w:hAnsi="Arial" w:cs="Arial"/>
          <w:sz w:val="20"/>
          <w:szCs w:val="20"/>
        </w:rPr>
        <w:t xml:space="preserve">This study refers to financial capability as an individual's or entity's overall ability to manage their financial resources effectively, make informed decisions, and achieve financial well-being while having access to financial resources regardless of their </w:t>
      </w:r>
      <w:r w:rsidR="002D35DD" w:rsidRPr="00494E7E">
        <w:rPr>
          <w:rFonts w:ascii="Arial" w:hAnsi="Arial" w:cs="Arial"/>
          <w:sz w:val="20"/>
          <w:szCs w:val="20"/>
        </w:rPr>
        <w:t>socioeconomic</w:t>
      </w:r>
      <w:r w:rsidRPr="00494E7E">
        <w:rPr>
          <w:rFonts w:ascii="Arial" w:hAnsi="Arial" w:cs="Arial"/>
          <w:sz w:val="20"/>
          <w:szCs w:val="20"/>
        </w:rPr>
        <w:t xml:space="preserve"> position.</w:t>
      </w:r>
    </w:p>
    <w:p w14:paraId="19CAD4D5" w14:textId="0F880FC3" w:rsidR="007C684F" w:rsidRPr="0080118E" w:rsidRDefault="0080118E" w:rsidP="008C4494">
      <w:pPr>
        <w:pStyle w:val="Heading2"/>
        <w:spacing w:line="360" w:lineRule="auto"/>
        <w:rPr>
          <w:rFonts w:ascii="Arial" w:hAnsi="Arial" w:cs="Arial"/>
          <w:sz w:val="22"/>
          <w:szCs w:val="22"/>
        </w:rPr>
      </w:pPr>
      <w:bookmarkStart w:id="6" w:name="_Toc141033534"/>
      <w:r w:rsidRPr="0080118E">
        <w:rPr>
          <w:rFonts w:ascii="Arial" w:hAnsi="Arial" w:cs="Arial"/>
          <w:sz w:val="22"/>
          <w:szCs w:val="22"/>
        </w:rPr>
        <w:t xml:space="preserve">2.3 </w:t>
      </w:r>
      <w:r w:rsidR="007C684F" w:rsidRPr="0080118E">
        <w:rPr>
          <w:rFonts w:ascii="Arial" w:hAnsi="Arial" w:cs="Arial"/>
          <w:sz w:val="22"/>
          <w:szCs w:val="22"/>
        </w:rPr>
        <w:t>Risk-Taking Ability</w:t>
      </w:r>
      <w:bookmarkEnd w:id="6"/>
    </w:p>
    <w:p w14:paraId="7803DE6D" w14:textId="77777777" w:rsidR="00C17816" w:rsidRPr="0080118E" w:rsidRDefault="00C17816" w:rsidP="008C4494">
      <w:pPr>
        <w:spacing w:line="360" w:lineRule="auto"/>
        <w:jc w:val="both"/>
        <w:rPr>
          <w:rFonts w:ascii="Arial" w:hAnsi="Arial" w:cs="Arial"/>
          <w:sz w:val="20"/>
          <w:szCs w:val="20"/>
        </w:rPr>
      </w:pPr>
      <w:r w:rsidRPr="0080118E">
        <w:rPr>
          <w:rFonts w:ascii="Arial" w:hAnsi="Arial" w:cs="Arial"/>
          <w:sz w:val="20"/>
          <w:szCs w:val="20"/>
        </w:rPr>
        <w:t xml:space="preserve">According to a study conducted by Callan and Johnson (2002), individual risk attitudes have two components: an expressed element concerning the person's beliefs and an unstated element reflecting the person's feelings and emotions. They tried to convey an individual's risk tolerance explicitly and comprehensibly in order that they could identify acceptable trade-offs between risk and the financial reward needed for bearing risk. </w:t>
      </w:r>
    </w:p>
    <w:p w14:paraId="456D90D8" w14:textId="564BFC02" w:rsidR="007F51C3" w:rsidRPr="0080118E" w:rsidRDefault="005216E3" w:rsidP="008C4494">
      <w:pPr>
        <w:spacing w:line="360" w:lineRule="auto"/>
        <w:jc w:val="both"/>
        <w:rPr>
          <w:rFonts w:ascii="Arial" w:hAnsi="Arial" w:cs="Arial"/>
          <w:sz w:val="20"/>
          <w:szCs w:val="20"/>
        </w:rPr>
      </w:pPr>
      <w:proofErr w:type="spellStart"/>
      <w:r w:rsidRPr="0080118E">
        <w:rPr>
          <w:rFonts w:ascii="Arial" w:hAnsi="Arial" w:cs="Arial"/>
          <w:sz w:val="20"/>
          <w:szCs w:val="20"/>
        </w:rPr>
        <w:t>Lampenius</w:t>
      </w:r>
      <w:proofErr w:type="spellEnd"/>
      <w:r w:rsidRPr="0080118E">
        <w:rPr>
          <w:rFonts w:ascii="Arial" w:hAnsi="Arial" w:cs="Arial"/>
          <w:sz w:val="20"/>
          <w:szCs w:val="20"/>
        </w:rPr>
        <w:t xml:space="preserve"> and </w:t>
      </w:r>
      <w:proofErr w:type="spellStart"/>
      <w:r w:rsidRPr="0080118E">
        <w:rPr>
          <w:rFonts w:ascii="Arial" w:hAnsi="Arial" w:cs="Arial"/>
          <w:sz w:val="20"/>
          <w:szCs w:val="20"/>
        </w:rPr>
        <w:t>Zickar</w:t>
      </w:r>
      <w:proofErr w:type="spellEnd"/>
      <w:r w:rsidRPr="0080118E">
        <w:rPr>
          <w:rFonts w:ascii="Arial" w:hAnsi="Arial" w:cs="Arial"/>
          <w:sz w:val="20"/>
          <w:szCs w:val="20"/>
        </w:rPr>
        <w:t xml:space="preserve"> (2005) defined the two dimensions of financial risk attitude as Risk Control and Speculative Risk in their study on financial risk attitude. The stimulating aspect of risk-taking is the individual's proclivity for risk-taking. It captures an individual's gambling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and the appealing option that by accepting a higher level of risk, the expected return will increase (</w:t>
      </w:r>
      <w:proofErr w:type="spellStart"/>
      <w:r w:rsidRPr="0080118E">
        <w:rPr>
          <w:rFonts w:ascii="Arial" w:hAnsi="Arial" w:cs="Arial"/>
          <w:sz w:val="20"/>
          <w:szCs w:val="20"/>
        </w:rPr>
        <w:t>Zaleskiewicz</w:t>
      </w:r>
      <w:proofErr w:type="spellEnd"/>
      <w:r w:rsidRPr="0080118E">
        <w:rPr>
          <w:rFonts w:ascii="Arial" w:hAnsi="Arial" w:cs="Arial"/>
          <w:sz w:val="20"/>
          <w:szCs w:val="20"/>
        </w:rPr>
        <w:t xml:space="preserve">, 2001; </w:t>
      </w:r>
      <w:proofErr w:type="spellStart"/>
      <w:r w:rsidRPr="0080118E">
        <w:rPr>
          <w:rFonts w:ascii="Arial" w:hAnsi="Arial" w:cs="Arial"/>
          <w:sz w:val="20"/>
          <w:szCs w:val="20"/>
        </w:rPr>
        <w:t>Lampenius</w:t>
      </w:r>
      <w:proofErr w:type="spellEnd"/>
      <w:r w:rsidRPr="0080118E">
        <w:rPr>
          <w:rFonts w:ascii="Arial" w:hAnsi="Arial" w:cs="Arial"/>
          <w:sz w:val="20"/>
          <w:szCs w:val="20"/>
        </w:rPr>
        <w:t xml:space="preserve"> &amp; </w:t>
      </w:r>
      <w:proofErr w:type="spellStart"/>
      <w:r w:rsidRPr="0080118E">
        <w:rPr>
          <w:rFonts w:ascii="Arial" w:hAnsi="Arial" w:cs="Arial"/>
          <w:sz w:val="20"/>
          <w:szCs w:val="20"/>
        </w:rPr>
        <w:t>Zickar</w:t>
      </w:r>
      <w:proofErr w:type="spellEnd"/>
      <w:r w:rsidRPr="0080118E">
        <w:rPr>
          <w:rFonts w:ascii="Arial" w:hAnsi="Arial" w:cs="Arial"/>
          <w:sz w:val="20"/>
          <w:szCs w:val="20"/>
        </w:rPr>
        <w:t xml:space="preserve">, 2005). </w:t>
      </w:r>
      <w:r w:rsidR="009B0CC6" w:rsidRPr="0080118E">
        <w:rPr>
          <w:rFonts w:ascii="Arial" w:hAnsi="Arial" w:cs="Arial"/>
          <w:sz w:val="20"/>
          <w:szCs w:val="20"/>
        </w:rPr>
        <w:t>Similarly</w:t>
      </w:r>
      <w:r w:rsidRPr="0080118E">
        <w:rPr>
          <w:rFonts w:ascii="Arial" w:hAnsi="Arial" w:cs="Arial"/>
          <w:sz w:val="20"/>
          <w:szCs w:val="20"/>
        </w:rPr>
        <w:t>, r</w:t>
      </w:r>
      <w:r w:rsidR="009B0CC6" w:rsidRPr="0080118E">
        <w:rPr>
          <w:rFonts w:ascii="Arial" w:hAnsi="Arial" w:cs="Arial"/>
          <w:sz w:val="20"/>
          <w:szCs w:val="20"/>
        </w:rPr>
        <w:t xml:space="preserve">isk </w:t>
      </w:r>
      <w:r w:rsidRPr="0080118E">
        <w:rPr>
          <w:rFonts w:ascii="Arial" w:hAnsi="Arial" w:cs="Arial"/>
          <w:sz w:val="20"/>
          <w:szCs w:val="20"/>
        </w:rPr>
        <w:t>c</w:t>
      </w:r>
      <w:r w:rsidR="009B0CC6" w:rsidRPr="0080118E">
        <w:rPr>
          <w:rFonts w:ascii="Arial" w:hAnsi="Arial" w:cs="Arial"/>
          <w:sz w:val="20"/>
          <w:szCs w:val="20"/>
        </w:rPr>
        <w:t xml:space="preserve">ontrol </w:t>
      </w:r>
      <w:r w:rsidRPr="0080118E">
        <w:rPr>
          <w:rFonts w:ascii="Arial" w:hAnsi="Arial" w:cs="Arial"/>
          <w:sz w:val="20"/>
          <w:szCs w:val="20"/>
        </w:rPr>
        <w:t xml:space="preserve">is </w:t>
      </w:r>
      <w:r w:rsidR="009B0CC6" w:rsidRPr="0080118E">
        <w:rPr>
          <w:rFonts w:ascii="Arial" w:hAnsi="Arial" w:cs="Arial"/>
          <w:sz w:val="20"/>
          <w:szCs w:val="20"/>
        </w:rPr>
        <w:t>the individual’s tendency towards the risk-averse side. It influences the decision-maker by reminding him/her that by accepting a higher level of risk, the potential for future losses will increase (</w:t>
      </w:r>
      <w:proofErr w:type="spellStart"/>
      <w:r w:rsidR="009B0CC6" w:rsidRPr="0080118E">
        <w:rPr>
          <w:rFonts w:ascii="Arial" w:hAnsi="Arial" w:cs="Arial"/>
          <w:sz w:val="20"/>
          <w:szCs w:val="20"/>
        </w:rPr>
        <w:t>Zaleskiewicz</w:t>
      </w:r>
      <w:proofErr w:type="spellEnd"/>
      <w:r w:rsidR="009B0CC6" w:rsidRPr="0080118E">
        <w:rPr>
          <w:rFonts w:ascii="Arial" w:hAnsi="Arial" w:cs="Arial"/>
          <w:sz w:val="20"/>
          <w:szCs w:val="20"/>
        </w:rPr>
        <w:t xml:space="preserve">, 2001; </w:t>
      </w:r>
      <w:proofErr w:type="spellStart"/>
      <w:r w:rsidR="009B0CC6" w:rsidRPr="0080118E">
        <w:rPr>
          <w:rFonts w:ascii="Arial" w:hAnsi="Arial" w:cs="Arial"/>
          <w:sz w:val="20"/>
          <w:szCs w:val="20"/>
        </w:rPr>
        <w:t>Lampenius</w:t>
      </w:r>
      <w:proofErr w:type="spellEnd"/>
      <w:r w:rsidR="009B0CC6" w:rsidRPr="0080118E">
        <w:rPr>
          <w:rFonts w:ascii="Arial" w:hAnsi="Arial" w:cs="Arial"/>
          <w:sz w:val="20"/>
          <w:szCs w:val="20"/>
        </w:rPr>
        <w:t xml:space="preserve"> &amp; </w:t>
      </w:r>
      <w:proofErr w:type="spellStart"/>
      <w:r w:rsidR="009B0CC6" w:rsidRPr="0080118E">
        <w:rPr>
          <w:rFonts w:ascii="Arial" w:hAnsi="Arial" w:cs="Arial"/>
          <w:sz w:val="20"/>
          <w:szCs w:val="20"/>
        </w:rPr>
        <w:t>Zickar</w:t>
      </w:r>
      <w:proofErr w:type="spellEnd"/>
      <w:r w:rsidR="009B0CC6" w:rsidRPr="0080118E">
        <w:rPr>
          <w:rFonts w:ascii="Arial" w:hAnsi="Arial" w:cs="Arial"/>
          <w:sz w:val="20"/>
          <w:szCs w:val="20"/>
        </w:rPr>
        <w:t>, 2005).</w:t>
      </w:r>
      <w:r w:rsidR="000F4AA8" w:rsidRPr="0080118E">
        <w:rPr>
          <w:rFonts w:ascii="Arial" w:hAnsi="Arial" w:cs="Arial"/>
          <w:sz w:val="20"/>
          <w:szCs w:val="20"/>
        </w:rPr>
        <w:t xml:space="preserve"> </w:t>
      </w:r>
      <w:r w:rsidR="007F51C3" w:rsidRPr="0080118E">
        <w:rPr>
          <w:rFonts w:ascii="Arial" w:hAnsi="Arial" w:cs="Arial"/>
          <w:sz w:val="20"/>
          <w:szCs w:val="20"/>
        </w:rPr>
        <w:t>In this study, risk-taking ability is considered as an individual's inclination and capacity to engage in both risk-seeking behaviors and risk-avoidance strategies.</w:t>
      </w:r>
    </w:p>
    <w:p w14:paraId="70F18D13" w14:textId="5B87FAE5" w:rsidR="00D269AC" w:rsidRPr="0080118E" w:rsidRDefault="0080118E" w:rsidP="008C4494">
      <w:pPr>
        <w:spacing w:line="360" w:lineRule="auto"/>
        <w:jc w:val="both"/>
        <w:rPr>
          <w:rFonts w:ascii="Arial" w:hAnsi="Arial" w:cs="Arial"/>
          <w:b/>
          <w:bCs/>
        </w:rPr>
      </w:pPr>
      <w:r w:rsidRPr="0080118E">
        <w:rPr>
          <w:rFonts w:ascii="Arial" w:hAnsi="Arial" w:cs="Arial"/>
          <w:b/>
          <w:bCs/>
        </w:rPr>
        <w:t xml:space="preserve">2.4 </w:t>
      </w:r>
      <w:r w:rsidR="00D269AC" w:rsidRPr="0080118E">
        <w:rPr>
          <w:rFonts w:ascii="Arial" w:hAnsi="Arial" w:cs="Arial"/>
          <w:b/>
          <w:bCs/>
        </w:rPr>
        <w:t xml:space="preserve">Financial Capability </w:t>
      </w:r>
      <w:r w:rsidR="00B83B35" w:rsidRPr="0080118E">
        <w:rPr>
          <w:rFonts w:ascii="Arial" w:hAnsi="Arial" w:cs="Arial"/>
          <w:b/>
          <w:bCs/>
        </w:rPr>
        <w:t>and Financial Well-being</w:t>
      </w:r>
    </w:p>
    <w:p w14:paraId="627CB6F0" w14:textId="2114520C" w:rsidR="009864EF" w:rsidRPr="0080118E" w:rsidRDefault="000035F6" w:rsidP="008C4494">
      <w:pPr>
        <w:spacing w:line="360" w:lineRule="auto"/>
        <w:jc w:val="both"/>
        <w:rPr>
          <w:rFonts w:ascii="Arial" w:hAnsi="Arial" w:cs="Arial"/>
          <w:sz w:val="20"/>
          <w:szCs w:val="20"/>
        </w:rPr>
      </w:pPr>
      <w:r w:rsidRPr="0080118E">
        <w:rPr>
          <w:rFonts w:ascii="Arial" w:hAnsi="Arial" w:cs="Arial"/>
          <w:sz w:val="20"/>
          <w:szCs w:val="20"/>
        </w:rPr>
        <w:t xml:space="preserve">Financial capability is defined as the combination of financial literacy and financial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that leads to financial well-being. Higher financial capability is linked to greater financial well-being (Xiao, 2016). Empirical evidence suggests that financially capable individuals are less inclined to be financially exposed and that the "opportunity to act" (i.e. financial inclusion) serves a more significant part in improving household financial health than the "ability to act" (i.e. financial literacy) (Fernández-López</w:t>
      </w:r>
      <w:r w:rsidR="00E84B18" w:rsidRPr="0080118E">
        <w:rPr>
          <w:rFonts w:ascii="Arial" w:hAnsi="Arial" w:cs="Arial"/>
          <w:sz w:val="20"/>
          <w:szCs w:val="20"/>
        </w:rPr>
        <w:t xml:space="preserve"> et al.</w:t>
      </w:r>
      <w:r w:rsidRPr="0080118E">
        <w:rPr>
          <w:rFonts w:ascii="Arial" w:hAnsi="Arial" w:cs="Arial"/>
          <w:sz w:val="20"/>
          <w:szCs w:val="20"/>
        </w:rPr>
        <w:t xml:space="preserve">, 2023). The study findings of Parvathy and Kumar (2022) revealed a significant relationship between financial capability and financial well-being. According to the findings of Fu's (2020) study, individual financial literacy and financial inclusion are highly predictive of an individual's financial well-being. </w:t>
      </w:r>
      <w:r w:rsidR="009864EF" w:rsidRPr="0080118E">
        <w:rPr>
          <w:rFonts w:ascii="Arial" w:hAnsi="Arial" w:cs="Arial"/>
          <w:sz w:val="20"/>
          <w:szCs w:val="20"/>
        </w:rPr>
        <w:t xml:space="preserve">The following hypothesis is formulated on the basis of </w:t>
      </w:r>
      <w:r w:rsidR="00FF4EB7" w:rsidRPr="0080118E">
        <w:rPr>
          <w:rFonts w:ascii="Arial" w:hAnsi="Arial" w:cs="Arial"/>
          <w:sz w:val="20"/>
          <w:szCs w:val="20"/>
        </w:rPr>
        <w:t xml:space="preserve">the </w:t>
      </w:r>
      <w:r w:rsidR="009864EF" w:rsidRPr="0080118E">
        <w:rPr>
          <w:rFonts w:ascii="Arial" w:hAnsi="Arial" w:cs="Arial"/>
          <w:sz w:val="20"/>
          <w:szCs w:val="20"/>
        </w:rPr>
        <w:t>above literature evidence:</w:t>
      </w:r>
    </w:p>
    <w:p w14:paraId="2F375FFD" w14:textId="6395797E" w:rsidR="009E146D" w:rsidRPr="002365E1" w:rsidRDefault="009864EF" w:rsidP="008C4494">
      <w:pPr>
        <w:spacing w:line="360" w:lineRule="auto"/>
        <w:jc w:val="both"/>
        <w:rPr>
          <w:rFonts w:ascii="Arial" w:hAnsi="Arial" w:cs="Arial"/>
          <w:i/>
          <w:iCs/>
          <w:sz w:val="24"/>
          <w:szCs w:val="24"/>
        </w:rPr>
      </w:pPr>
      <w:r w:rsidRPr="0080118E">
        <w:rPr>
          <w:rFonts w:ascii="Arial" w:hAnsi="Arial" w:cs="Arial"/>
          <w:i/>
          <w:iCs/>
          <w:sz w:val="20"/>
          <w:szCs w:val="20"/>
        </w:rPr>
        <w:t>H</w:t>
      </w:r>
      <w:r w:rsidRPr="0080118E">
        <w:rPr>
          <w:rFonts w:ascii="Arial" w:hAnsi="Arial" w:cs="Arial"/>
          <w:i/>
          <w:iCs/>
          <w:sz w:val="20"/>
          <w:szCs w:val="20"/>
          <w:vertAlign w:val="subscript"/>
        </w:rPr>
        <w:t>1</w:t>
      </w:r>
      <w:r w:rsidRPr="0080118E">
        <w:rPr>
          <w:rFonts w:ascii="Arial" w:hAnsi="Arial" w:cs="Arial"/>
          <w:i/>
          <w:iCs/>
          <w:sz w:val="20"/>
          <w:szCs w:val="20"/>
        </w:rPr>
        <w:t xml:space="preserve">: There is a positive relationship between Financial Capability and </w:t>
      </w:r>
      <w:r w:rsidR="00EC3C58" w:rsidRPr="0080118E">
        <w:rPr>
          <w:rFonts w:ascii="Arial" w:hAnsi="Arial" w:cs="Arial"/>
          <w:i/>
          <w:iCs/>
          <w:sz w:val="20"/>
          <w:szCs w:val="20"/>
        </w:rPr>
        <w:t>Financial Well-Being</w:t>
      </w:r>
      <w:r w:rsidR="00BE59AA" w:rsidRPr="0080118E">
        <w:rPr>
          <w:rFonts w:ascii="Arial" w:hAnsi="Arial" w:cs="Arial"/>
          <w:i/>
          <w:iCs/>
          <w:sz w:val="20"/>
          <w:szCs w:val="20"/>
        </w:rPr>
        <w:t>.</w:t>
      </w:r>
    </w:p>
    <w:p w14:paraId="10B40111" w14:textId="1311B0E4" w:rsidR="00B83B35" w:rsidRPr="0080118E" w:rsidRDefault="0080118E" w:rsidP="008C4494">
      <w:pPr>
        <w:pStyle w:val="Heading2"/>
        <w:spacing w:line="360" w:lineRule="auto"/>
        <w:rPr>
          <w:rFonts w:ascii="Arial" w:hAnsi="Arial" w:cs="Arial"/>
          <w:sz w:val="22"/>
          <w:szCs w:val="22"/>
        </w:rPr>
      </w:pPr>
      <w:bookmarkStart w:id="7" w:name="_Toc141033535"/>
      <w:r w:rsidRPr="0080118E">
        <w:rPr>
          <w:rFonts w:ascii="Arial" w:hAnsi="Arial" w:cs="Arial"/>
          <w:sz w:val="22"/>
          <w:szCs w:val="22"/>
        </w:rPr>
        <w:lastRenderedPageBreak/>
        <w:t xml:space="preserve">2.5 </w:t>
      </w:r>
      <w:r w:rsidR="00B83B35" w:rsidRPr="0080118E">
        <w:rPr>
          <w:rFonts w:ascii="Arial" w:hAnsi="Arial" w:cs="Arial"/>
          <w:sz w:val="22"/>
          <w:szCs w:val="22"/>
        </w:rPr>
        <w:t>Financial Capability and Risk-Taking Ability</w:t>
      </w:r>
      <w:bookmarkEnd w:id="7"/>
    </w:p>
    <w:p w14:paraId="22947F9C" w14:textId="0929CE87" w:rsidR="009B0CC6" w:rsidRPr="0080118E" w:rsidRDefault="008F2182" w:rsidP="008C4494">
      <w:pPr>
        <w:spacing w:line="360" w:lineRule="auto"/>
        <w:jc w:val="both"/>
        <w:rPr>
          <w:rFonts w:ascii="Arial" w:hAnsi="Arial" w:cs="Arial"/>
          <w:sz w:val="20"/>
          <w:szCs w:val="20"/>
        </w:rPr>
      </w:pPr>
      <w:r w:rsidRPr="0080118E">
        <w:rPr>
          <w:rFonts w:ascii="Arial" w:hAnsi="Arial" w:cs="Arial"/>
          <w:sz w:val="20"/>
          <w:szCs w:val="20"/>
        </w:rPr>
        <w:t xml:space="preserve">Higher levels of attained education and income have been found to be correlated positively with a greater willingness to take financial risks, according to the financial knowledge literature </w:t>
      </w:r>
      <w:r w:rsidR="009620A7" w:rsidRPr="0080118E">
        <w:rPr>
          <w:rFonts w:ascii="Arial" w:hAnsi="Arial" w:cs="Arial"/>
          <w:sz w:val="20"/>
          <w:szCs w:val="20"/>
        </w:rPr>
        <w:t>(</w:t>
      </w:r>
      <w:r w:rsidR="009E3525" w:rsidRPr="0080118E">
        <w:rPr>
          <w:rFonts w:ascii="Arial" w:hAnsi="Arial" w:cs="Arial"/>
          <w:sz w:val="20"/>
          <w:szCs w:val="20"/>
        </w:rPr>
        <w:t>Bayar</w:t>
      </w:r>
      <w:r w:rsidR="00BE59AA" w:rsidRPr="0080118E">
        <w:rPr>
          <w:rFonts w:ascii="Arial" w:hAnsi="Arial" w:cs="Arial"/>
          <w:sz w:val="20"/>
          <w:szCs w:val="20"/>
        </w:rPr>
        <w:t xml:space="preserve"> et al.</w:t>
      </w:r>
      <w:r w:rsidR="009E3525" w:rsidRPr="0080118E">
        <w:rPr>
          <w:rFonts w:ascii="Arial" w:hAnsi="Arial" w:cs="Arial"/>
          <w:sz w:val="20"/>
          <w:szCs w:val="20"/>
        </w:rPr>
        <w:t>, 2</w:t>
      </w:r>
      <w:r w:rsidR="009620A7" w:rsidRPr="0080118E">
        <w:rPr>
          <w:rFonts w:ascii="Arial" w:hAnsi="Arial" w:cs="Arial"/>
          <w:sz w:val="20"/>
          <w:szCs w:val="20"/>
        </w:rPr>
        <w:t xml:space="preserve">020; </w:t>
      </w:r>
      <w:proofErr w:type="spellStart"/>
      <w:r w:rsidR="009620A7" w:rsidRPr="0080118E">
        <w:rPr>
          <w:rFonts w:ascii="Arial" w:hAnsi="Arial" w:cs="Arial"/>
          <w:sz w:val="20"/>
          <w:szCs w:val="20"/>
        </w:rPr>
        <w:t>Duasa</w:t>
      </w:r>
      <w:proofErr w:type="spellEnd"/>
      <w:r w:rsidR="009620A7" w:rsidRPr="0080118E">
        <w:rPr>
          <w:rFonts w:ascii="Arial" w:hAnsi="Arial" w:cs="Arial"/>
          <w:sz w:val="20"/>
          <w:szCs w:val="20"/>
        </w:rPr>
        <w:t xml:space="preserve"> </w:t>
      </w:r>
      <w:r w:rsidR="00EC0F09" w:rsidRPr="0080118E">
        <w:rPr>
          <w:rFonts w:ascii="Arial" w:hAnsi="Arial" w:cs="Arial"/>
          <w:sz w:val="20"/>
          <w:szCs w:val="20"/>
        </w:rPr>
        <w:t>&amp;</w:t>
      </w:r>
      <w:r w:rsidR="009620A7" w:rsidRPr="0080118E">
        <w:rPr>
          <w:rFonts w:ascii="Arial" w:hAnsi="Arial" w:cs="Arial"/>
          <w:sz w:val="20"/>
          <w:szCs w:val="20"/>
        </w:rPr>
        <w:t xml:space="preserve"> Yusof 2013; </w:t>
      </w:r>
      <w:proofErr w:type="spellStart"/>
      <w:r w:rsidR="009620A7" w:rsidRPr="0080118E">
        <w:rPr>
          <w:rFonts w:ascii="Arial" w:hAnsi="Arial" w:cs="Arial"/>
          <w:sz w:val="20"/>
          <w:szCs w:val="20"/>
        </w:rPr>
        <w:t>Nosita</w:t>
      </w:r>
      <w:proofErr w:type="spellEnd"/>
      <w:r w:rsidR="009620A7" w:rsidRPr="0080118E">
        <w:rPr>
          <w:rFonts w:ascii="Arial" w:hAnsi="Arial" w:cs="Arial"/>
          <w:sz w:val="20"/>
          <w:szCs w:val="20"/>
        </w:rPr>
        <w:t xml:space="preserve"> et al. 2020).</w:t>
      </w:r>
    </w:p>
    <w:p w14:paraId="030357FD" w14:textId="2546FD9F" w:rsidR="009620A7" w:rsidRPr="0080118E" w:rsidRDefault="003A0A25" w:rsidP="008C4494">
      <w:pPr>
        <w:spacing w:line="360" w:lineRule="auto"/>
        <w:jc w:val="both"/>
        <w:rPr>
          <w:rFonts w:ascii="Arial" w:hAnsi="Arial" w:cs="Arial"/>
          <w:sz w:val="20"/>
          <w:szCs w:val="20"/>
        </w:rPr>
      </w:pPr>
      <w:r w:rsidRPr="0080118E">
        <w:rPr>
          <w:rFonts w:ascii="Arial" w:hAnsi="Arial" w:cs="Arial"/>
          <w:sz w:val="20"/>
          <w:szCs w:val="20"/>
        </w:rPr>
        <w:t xml:space="preserve">Significant evidence, however, suggests that financial knowledge can predict financial risk-taking </w:t>
      </w:r>
      <w:proofErr w:type="spellStart"/>
      <w:r w:rsidRPr="0080118E">
        <w:rPr>
          <w:rFonts w:ascii="Arial" w:hAnsi="Arial" w:cs="Arial"/>
          <w:sz w:val="20"/>
          <w:szCs w:val="20"/>
        </w:rPr>
        <w:t>behaviours</w:t>
      </w:r>
      <w:proofErr w:type="spellEnd"/>
      <w:r w:rsidRPr="0080118E">
        <w:rPr>
          <w:rFonts w:ascii="Arial" w:hAnsi="Arial" w:cs="Arial"/>
          <w:sz w:val="20"/>
          <w:szCs w:val="20"/>
        </w:rPr>
        <w:t xml:space="preserve"> (Tang &amp; Baker, 2016). Financial literacy/financial knowledge level and financial risk tolerance have been found to be positively associated </w:t>
      </w:r>
      <w:r w:rsidR="0093042C" w:rsidRPr="0080118E">
        <w:rPr>
          <w:rFonts w:ascii="Arial" w:hAnsi="Arial" w:cs="Arial"/>
          <w:sz w:val="20"/>
          <w:szCs w:val="20"/>
        </w:rPr>
        <w:t>with</w:t>
      </w:r>
      <w:r w:rsidRPr="0080118E">
        <w:rPr>
          <w:rFonts w:ascii="Arial" w:hAnsi="Arial" w:cs="Arial"/>
          <w:sz w:val="20"/>
          <w:szCs w:val="20"/>
        </w:rPr>
        <w:t xml:space="preserve"> studies in this field (Saurabh &amp; Nandan, 2019). Other well-cited studies have confirmed the existence of positive associations between financial literacy and financial risk tolerance (Bayar</w:t>
      </w:r>
      <w:r w:rsidR="00BE59AA" w:rsidRPr="0080118E">
        <w:rPr>
          <w:rFonts w:ascii="Arial" w:hAnsi="Arial" w:cs="Arial"/>
          <w:sz w:val="20"/>
          <w:szCs w:val="20"/>
        </w:rPr>
        <w:t xml:space="preserve"> et al.</w:t>
      </w:r>
      <w:r w:rsidRPr="0080118E">
        <w:rPr>
          <w:rFonts w:ascii="Arial" w:hAnsi="Arial" w:cs="Arial"/>
          <w:sz w:val="20"/>
          <w:szCs w:val="20"/>
        </w:rPr>
        <w:t xml:space="preserve">, 2020; </w:t>
      </w:r>
      <w:proofErr w:type="spellStart"/>
      <w:r w:rsidRPr="0080118E">
        <w:rPr>
          <w:rFonts w:ascii="Arial" w:hAnsi="Arial" w:cs="Arial"/>
          <w:sz w:val="20"/>
          <w:szCs w:val="20"/>
        </w:rPr>
        <w:t>Bannier</w:t>
      </w:r>
      <w:proofErr w:type="spellEnd"/>
      <w:r w:rsidRPr="0080118E">
        <w:rPr>
          <w:rFonts w:ascii="Arial" w:hAnsi="Arial" w:cs="Arial"/>
          <w:sz w:val="20"/>
          <w:szCs w:val="20"/>
        </w:rPr>
        <w:t xml:space="preserve"> &amp; Neubert, 2016; Chatterjee</w:t>
      </w:r>
      <w:r w:rsidR="00BE59AA" w:rsidRPr="0080118E">
        <w:rPr>
          <w:rFonts w:ascii="Arial" w:hAnsi="Arial" w:cs="Arial"/>
          <w:sz w:val="20"/>
          <w:szCs w:val="20"/>
        </w:rPr>
        <w:t xml:space="preserve"> et al.</w:t>
      </w:r>
      <w:r w:rsidRPr="0080118E">
        <w:rPr>
          <w:rFonts w:ascii="Arial" w:hAnsi="Arial" w:cs="Arial"/>
          <w:sz w:val="20"/>
          <w:szCs w:val="20"/>
        </w:rPr>
        <w:t xml:space="preserve">, 2017). On the contrary, </w:t>
      </w:r>
      <w:proofErr w:type="spellStart"/>
      <w:r w:rsidRPr="0080118E">
        <w:rPr>
          <w:rFonts w:ascii="Arial" w:hAnsi="Arial" w:cs="Arial"/>
          <w:sz w:val="20"/>
          <w:szCs w:val="20"/>
        </w:rPr>
        <w:t>Aydemir</w:t>
      </w:r>
      <w:proofErr w:type="spellEnd"/>
      <w:r w:rsidRPr="0080118E">
        <w:rPr>
          <w:rFonts w:ascii="Arial" w:hAnsi="Arial" w:cs="Arial"/>
          <w:sz w:val="20"/>
          <w:szCs w:val="20"/>
        </w:rPr>
        <w:t xml:space="preserve"> and </w:t>
      </w:r>
      <w:proofErr w:type="spellStart"/>
      <w:r w:rsidRPr="0080118E">
        <w:rPr>
          <w:rFonts w:ascii="Arial" w:hAnsi="Arial" w:cs="Arial"/>
          <w:sz w:val="20"/>
          <w:szCs w:val="20"/>
        </w:rPr>
        <w:t>Aren</w:t>
      </w:r>
      <w:proofErr w:type="spellEnd"/>
      <w:r w:rsidRPr="0080118E">
        <w:rPr>
          <w:rFonts w:ascii="Arial" w:hAnsi="Arial" w:cs="Arial"/>
          <w:sz w:val="20"/>
          <w:szCs w:val="20"/>
        </w:rPr>
        <w:t xml:space="preserve"> (2017) found an opposite relationship between financial literacy and financial risk tolerance. That is, financial experts prefer riskier alternatives to people with low-risk perceptions, thus inducing positive </w:t>
      </w:r>
      <w:proofErr w:type="spellStart"/>
      <w:r w:rsidRPr="0080118E">
        <w:rPr>
          <w:rFonts w:ascii="Arial" w:hAnsi="Arial" w:cs="Arial"/>
          <w:sz w:val="20"/>
          <w:szCs w:val="20"/>
        </w:rPr>
        <w:t>behavioural</w:t>
      </w:r>
      <w:proofErr w:type="spellEnd"/>
      <w:r w:rsidRPr="0080118E">
        <w:rPr>
          <w:rFonts w:ascii="Arial" w:hAnsi="Arial" w:cs="Arial"/>
          <w:sz w:val="20"/>
          <w:szCs w:val="20"/>
        </w:rPr>
        <w:t xml:space="preserve"> beliefs towards the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w:t>
      </w:r>
      <w:r w:rsidR="006867BE" w:rsidRPr="0080118E">
        <w:rPr>
          <w:rFonts w:ascii="Arial" w:hAnsi="Arial" w:cs="Arial"/>
          <w:sz w:val="20"/>
          <w:szCs w:val="20"/>
        </w:rPr>
        <w:t>Based on this premise, since financial knowledge is considered one of the components of financial capability, the following hypothesis is developed.</w:t>
      </w:r>
    </w:p>
    <w:p w14:paraId="63964E0C" w14:textId="77777777" w:rsidR="00EC0F09" w:rsidRPr="0080118E" w:rsidRDefault="009B0CC6" w:rsidP="008C4494">
      <w:pPr>
        <w:spacing w:line="360" w:lineRule="auto"/>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2</w:t>
      </w:r>
      <w:r w:rsidRPr="0080118E">
        <w:rPr>
          <w:rFonts w:ascii="Arial" w:hAnsi="Arial" w:cs="Arial"/>
          <w:i/>
          <w:iCs/>
          <w:sz w:val="20"/>
          <w:szCs w:val="20"/>
        </w:rPr>
        <w:t>: There is a positive relationship between Financial Capability and Risk-Taking Ability.</w:t>
      </w:r>
    </w:p>
    <w:p w14:paraId="635B4036" w14:textId="6BE63530" w:rsidR="00EC0F09" w:rsidRPr="0080118E" w:rsidRDefault="0080118E" w:rsidP="008C4494">
      <w:pPr>
        <w:pStyle w:val="Heading2"/>
        <w:spacing w:line="360" w:lineRule="auto"/>
        <w:rPr>
          <w:rFonts w:ascii="Arial" w:hAnsi="Arial" w:cs="Arial"/>
          <w:sz w:val="22"/>
          <w:szCs w:val="22"/>
        </w:rPr>
      </w:pPr>
      <w:bookmarkStart w:id="8" w:name="_Toc141033536"/>
      <w:r w:rsidRPr="0080118E">
        <w:rPr>
          <w:rFonts w:ascii="Arial" w:hAnsi="Arial" w:cs="Arial"/>
          <w:sz w:val="22"/>
          <w:szCs w:val="22"/>
        </w:rPr>
        <w:t xml:space="preserve">2.6 </w:t>
      </w:r>
      <w:r w:rsidR="00B83B35" w:rsidRPr="0080118E">
        <w:rPr>
          <w:rFonts w:ascii="Arial" w:hAnsi="Arial" w:cs="Arial"/>
          <w:sz w:val="22"/>
          <w:szCs w:val="22"/>
        </w:rPr>
        <w:t>Risk-Taking Ability and Financial Well-Being</w:t>
      </w:r>
      <w:bookmarkEnd w:id="8"/>
    </w:p>
    <w:p w14:paraId="22363B67" w14:textId="77777777" w:rsidR="00D551B0" w:rsidRPr="0080118E" w:rsidRDefault="00D551B0" w:rsidP="008C4494">
      <w:pPr>
        <w:spacing w:line="360" w:lineRule="auto"/>
        <w:jc w:val="both"/>
        <w:rPr>
          <w:rFonts w:ascii="Arial" w:hAnsi="Arial" w:cs="Arial"/>
          <w:sz w:val="20"/>
          <w:szCs w:val="20"/>
        </w:rPr>
      </w:pPr>
      <w:r w:rsidRPr="0080118E">
        <w:rPr>
          <w:rFonts w:ascii="Arial" w:hAnsi="Arial" w:cs="Arial"/>
          <w:sz w:val="20"/>
          <w:szCs w:val="20"/>
        </w:rPr>
        <w:t>Individuals possess both elements of financial risk-taking, namely the tendency to be controlled or averse to risk in some circumstances and the tendency to take that risk in others. As a result, the Risk Control and Speculative Risk aspects of financial risk-taking attitudes were found to be present in individuals</w:t>
      </w:r>
      <w:r w:rsidR="00DB5A21" w:rsidRPr="0080118E">
        <w:rPr>
          <w:rFonts w:ascii="Arial" w:hAnsi="Arial" w:cs="Arial"/>
          <w:sz w:val="20"/>
          <w:szCs w:val="20"/>
        </w:rPr>
        <w:t xml:space="preserve"> (</w:t>
      </w:r>
      <w:proofErr w:type="spellStart"/>
      <w:r w:rsidR="00DB5A21" w:rsidRPr="0080118E">
        <w:rPr>
          <w:rFonts w:ascii="Arial" w:hAnsi="Arial" w:cs="Arial"/>
          <w:sz w:val="20"/>
          <w:szCs w:val="20"/>
        </w:rPr>
        <w:t>Zaleskiewicz</w:t>
      </w:r>
      <w:proofErr w:type="spellEnd"/>
      <w:r w:rsidR="00DB5A21" w:rsidRPr="0080118E">
        <w:rPr>
          <w:rFonts w:ascii="Arial" w:hAnsi="Arial" w:cs="Arial"/>
          <w:sz w:val="20"/>
          <w:szCs w:val="20"/>
        </w:rPr>
        <w:t xml:space="preserve">, 2001). </w:t>
      </w:r>
    </w:p>
    <w:p w14:paraId="5CDE45B2" w14:textId="5523F7BC" w:rsidR="00DB5A21" w:rsidRPr="0080118E" w:rsidRDefault="00D551B0" w:rsidP="008C4494">
      <w:pPr>
        <w:spacing w:line="360" w:lineRule="auto"/>
        <w:jc w:val="both"/>
        <w:rPr>
          <w:rFonts w:ascii="Arial" w:hAnsi="Arial" w:cs="Arial"/>
          <w:sz w:val="20"/>
          <w:szCs w:val="20"/>
        </w:rPr>
      </w:pPr>
      <w:r w:rsidRPr="0080118E">
        <w:rPr>
          <w:rFonts w:ascii="Arial" w:hAnsi="Arial" w:cs="Arial"/>
          <w:sz w:val="20"/>
          <w:szCs w:val="20"/>
        </w:rPr>
        <w:t xml:space="preserve">The driving force for the tendency towards risk control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is that it allows the individual to constructively plan towards accomplishing a specific investment goal.</w:t>
      </w:r>
      <w:r w:rsidR="001C0F5B" w:rsidRPr="0080118E">
        <w:rPr>
          <w:rFonts w:ascii="Arial" w:hAnsi="Arial" w:cs="Arial"/>
          <w:sz w:val="20"/>
          <w:szCs w:val="20"/>
        </w:rPr>
        <w:t xml:space="preserve"> Furthermore, risk-averse </w:t>
      </w:r>
      <w:r w:rsidR="00B31A3E" w:rsidRPr="0080118E">
        <w:rPr>
          <w:rFonts w:ascii="Arial" w:hAnsi="Arial" w:cs="Arial"/>
          <w:sz w:val="20"/>
          <w:szCs w:val="20"/>
        </w:rPr>
        <w:t>people always want</w:t>
      </w:r>
      <w:r w:rsidR="001C0F5B" w:rsidRPr="0080118E">
        <w:rPr>
          <w:rFonts w:ascii="Arial" w:hAnsi="Arial" w:cs="Arial"/>
          <w:sz w:val="20"/>
          <w:szCs w:val="20"/>
        </w:rPr>
        <w:t xml:space="preserve"> to be certain of their future and thus be able to plan how they want to prioritize their goals.</w:t>
      </w:r>
      <w:r w:rsidR="005844F3" w:rsidRPr="0080118E">
        <w:rPr>
          <w:rFonts w:ascii="Arial" w:hAnsi="Arial" w:cs="Arial"/>
          <w:sz w:val="20"/>
          <w:szCs w:val="20"/>
        </w:rPr>
        <w:t xml:space="preserve"> </w:t>
      </w:r>
      <w:r w:rsidR="001C0F5B" w:rsidRPr="0080118E">
        <w:rPr>
          <w:rFonts w:ascii="Arial" w:hAnsi="Arial" w:cs="Arial"/>
          <w:sz w:val="20"/>
          <w:szCs w:val="20"/>
        </w:rPr>
        <w:t xml:space="preserve">Those who tend to be more willing to take risks have higher levels of financial satisfaction (Sages &amp; Grable, 2010). Individuals with high-risk tolerance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were found to be far more satisfied with their financial situation, implying that risk tolerance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plays a positive role in estimating financial satisfaction </w:t>
      </w:r>
      <w:r w:rsidR="00545373" w:rsidRPr="0080118E">
        <w:rPr>
          <w:rFonts w:ascii="Arial" w:hAnsi="Arial" w:cs="Arial"/>
          <w:sz w:val="20"/>
          <w:szCs w:val="20"/>
        </w:rPr>
        <w:t xml:space="preserve">(Aboagye </w:t>
      </w:r>
      <w:r w:rsidR="00C26BDB" w:rsidRPr="0080118E">
        <w:rPr>
          <w:rFonts w:ascii="Arial" w:hAnsi="Arial" w:cs="Arial"/>
          <w:sz w:val="20"/>
          <w:szCs w:val="20"/>
        </w:rPr>
        <w:t>&amp;</w:t>
      </w:r>
      <w:r w:rsidR="00545373" w:rsidRPr="0080118E">
        <w:rPr>
          <w:rFonts w:ascii="Arial" w:hAnsi="Arial" w:cs="Arial"/>
          <w:sz w:val="20"/>
          <w:szCs w:val="20"/>
        </w:rPr>
        <w:t xml:space="preserve"> Jung, 2018). </w:t>
      </w:r>
      <w:r w:rsidR="001C0F5B" w:rsidRPr="0080118E">
        <w:rPr>
          <w:rFonts w:ascii="Arial" w:hAnsi="Arial" w:cs="Arial"/>
          <w:sz w:val="20"/>
          <w:szCs w:val="20"/>
        </w:rPr>
        <w:t xml:space="preserve">Furthermore, there have been studies that show a negative relationship between risk tolerance and financial satisfaction </w:t>
      </w:r>
      <w:r w:rsidR="00545373" w:rsidRPr="0080118E">
        <w:rPr>
          <w:rFonts w:ascii="Arial" w:hAnsi="Arial" w:cs="Arial"/>
          <w:sz w:val="20"/>
          <w:szCs w:val="20"/>
        </w:rPr>
        <w:t xml:space="preserve">(i.e. </w:t>
      </w:r>
      <w:proofErr w:type="spellStart"/>
      <w:r w:rsidR="00545373" w:rsidRPr="0080118E">
        <w:rPr>
          <w:rFonts w:ascii="Arial" w:hAnsi="Arial" w:cs="Arial"/>
          <w:sz w:val="20"/>
          <w:szCs w:val="20"/>
        </w:rPr>
        <w:t>Joo</w:t>
      </w:r>
      <w:proofErr w:type="spellEnd"/>
      <w:r w:rsidR="00545373" w:rsidRPr="0080118E">
        <w:rPr>
          <w:rFonts w:ascii="Arial" w:hAnsi="Arial" w:cs="Arial"/>
          <w:sz w:val="20"/>
          <w:szCs w:val="20"/>
        </w:rPr>
        <w:t xml:space="preserve"> </w:t>
      </w:r>
      <w:r w:rsidR="00BE59AA" w:rsidRPr="0080118E">
        <w:rPr>
          <w:rFonts w:ascii="Arial" w:hAnsi="Arial" w:cs="Arial"/>
          <w:sz w:val="20"/>
          <w:szCs w:val="20"/>
        </w:rPr>
        <w:t>&amp;</w:t>
      </w:r>
      <w:r w:rsidR="00545373" w:rsidRPr="0080118E">
        <w:rPr>
          <w:rFonts w:ascii="Arial" w:hAnsi="Arial" w:cs="Arial"/>
          <w:sz w:val="20"/>
          <w:szCs w:val="20"/>
        </w:rPr>
        <w:t xml:space="preserve"> Grable, 2004). </w:t>
      </w:r>
      <w:r w:rsidR="00DB5A21" w:rsidRPr="0080118E">
        <w:rPr>
          <w:rFonts w:ascii="Arial" w:hAnsi="Arial" w:cs="Arial"/>
          <w:sz w:val="20"/>
          <w:szCs w:val="20"/>
        </w:rPr>
        <w:t>Hence the following hypothesis is formulated</w:t>
      </w:r>
      <w:r w:rsidR="00B32248" w:rsidRPr="0080118E">
        <w:rPr>
          <w:rFonts w:ascii="Arial" w:hAnsi="Arial" w:cs="Arial"/>
          <w:sz w:val="20"/>
          <w:szCs w:val="20"/>
        </w:rPr>
        <w:t xml:space="preserve"> to test </w:t>
      </w:r>
      <w:r w:rsidR="00FC1FD1" w:rsidRPr="0080118E">
        <w:rPr>
          <w:rFonts w:ascii="Arial" w:hAnsi="Arial" w:cs="Arial"/>
          <w:sz w:val="20"/>
          <w:szCs w:val="20"/>
        </w:rPr>
        <w:t>the relationships</w:t>
      </w:r>
      <w:r w:rsidR="00DB5A21" w:rsidRPr="0080118E">
        <w:rPr>
          <w:rFonts w:ascii="Arial" w:hAnsi="Arial" w:cs="Arial"/>
          <w:sz w:val="20"/>
          <w:szCs w:val="20"/>
        </w:rPr>
        <w:t>.</w:t>
      </w:r>
    </w:p>
    <w:p w14:paraId="3EAB0A69" w14:textId="5FE3CBD9" w:rsidR="00DB5A21" w:rsidRPr="0080118E" w:rsidRDefault="00DB5A21" w:rsidP="008C4494">
      <w:pPr>
        <w:spacing w:line="360" w:lineRule="auto"/>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3</w:t>
      </w:r>
      <w:r w:rsidRPr="0080118E">
        <w:rPr>
          <w:rFonts w:ascii="Arial" w:hAnsi="Arial" w:cs="Arial"/>
          <w:i/>
          <w:iCs/>
          <w:sz w:val="20"/>
          <w:szCs w:val="20"/>
        </w:rPr>
        <w:t>: There is a positive relationship between Risk-Taking Ability and Financial Well-Being</w:t>
      </w:r>
      <w:r w:rsidR="00BE59AA" w:rsidRPr="0080118E">
        <w:rPr>
          <w:rFonts w:ascii="Arial" w:hAnsi="Arial" w:cs="Arial"/>
          <w:i/>
          <w:iCs/>
          <w:sz w:val="20"/>
          <w:szCs w:val="20"/>
        </w:rPr>
        <w:t>.</w:t>
      </w:r>
    </w:p>
    <w:p w14:paraId="7AB16DC0" w14:textId="79CE3D5D" w:rsidR="00B83B35" w:rsidRPr="0080118E" w:rsidRDefault="0080118E" w:rsidP="008C4494">
      <w:pPr>
        <w:pStyle w:val="Heading2"/>
        <w:spacing w:line="360" w:lineRule="auto"/>
        <w:rPr>
          <w:rFonts w:ascii="Arial" w:hAnsi="Arial" w:cs="Arial"/>
          <w:sz w:val="20"/>
          <w:szCs w:val="20"/>
        </w:rPr>
      </w:pPr>
      <w:bookmarkStart w:id="9" w:name="_Toc141033537"/>
      <w:r w:rsidRPr="0080118E">
        <w:rPr>
          <w:rFonts w:ascii="Arial" w:hAnsi="Arial" w:cs="Arial"/>
          <w:sz w:val="20"/>
          <w:szCs w:val="20"/>
        </w:rPr>
        <w:t xml:space="preserve">2.7 </w:t>
      </w:r>
      <w:r w:rsidR="00B83B35" w:rsidRPr="0080118E">
        <w:rPr>
          <w:rFonts w:ascii="Arial" w:hAnsi="Arial" w:cs="Arial"/>
          <w:sz w:val="20"/>
          <w:szCs w:val="20"/>
        </w:rPr>
        <w:t>Mediating Role of Risk-Taking Ability Between Financial Capability and Financial Well-Being</w:t>
      </w:r>
      <w:bookmarkEnd w:id="9"/>
    </w:p>
    <w:p w14:paraId="716C3E85" w14:textId="66F3E1BF" w:rsidR="00B83B35" w:rsidRPr="0080118E" w:rsidRDefault="00C26BDB" w:rsidP="008C4494">
      <w:pPr>
        <w:spacing w:line="360" w:lineRule="auto"/>
        <w:jc w:val="both"/>
        <w:rPr>
          <w:rFonts w:ascii="Arial" w:hAnsi="Arial" w:cs="Arial"/>
          <w:sz w:val="20"/>
          <w:szCs w:val="20"/>
        </w:rPr>
      </w:pPr>
      <w:r w:rsidRPr="0080118E">
        <w:rPr>
          <w:rFonts w:ascii="Arial" w:hAnsi="Arial" w:cs="Arial"/>
          <w:sz w:val="20"/>
          <w:szCs w:val="20"/>
        </w:rPr>
        <w:t xml:space="preserve">The concept </w:t>
      </w:r>
      <w:r w:rsidR="00FA7683" w:rsidRPr="0080118E">
        <w:rPr>
          <w:rFonts w:ascii="Arial" w:hAnsi="Arial" w:cs="Arial"/>
          <w:sz w:val="20"/>
          <w:szCs w:val="20"/>
        </w:rPr>
        <w:t xml:space="preserve">of </w:t>
      </w:r>
      <w:r w:rsidRPr="0080118E">
        <w:rPr>
          <w:rFonts w:ascii="Arial" w:hAnsi="Arial" w:cs="Arial"/>
          <w:sz w:val="20"/>
          <w:szCs w:val="20"/>
        </w:rPr>
        <w:t>risk has been investigated from r</w:t>
      </w:r>
      <w:r w:rsidR="001C0F5B" w:rsidRPr="0080118E">
        <w:rPr>
          <w:rFonts w:ascii="Arial" w:hAnsi="Arial" w:cs="Arial"/>
          <w:sz w:val="20"/>
          <w:szCs w:val="20"/>
        </w:rPr>
        <w:t>isk aversion (Arrow, 1971) and risk tolerance (</w:t>
      </w:r>
      <w:proofErr w:type="spellStart"/>
      <w:r w:rsidR="001C0F5B" w:rsidRPr="0080118E">
        <w:rPr>
          <w:rFonts w:ascii="Arial" w:hAnsi="Arial" w:cs="Arial"/>
          <w:sz w:val="20"/>
          <w:szCs w:val="20"/>
        </w:rPr>
        <w:t>Gron</w:t>
      </w:r>
      <w:proofErr w:type="spellEnd"/>
      <w:r w:rsidRPr="0080118E">
        <w:rPr>
          <w:rFonts w:ascii="Arial" w:hAnsi="Arial" w:cs="Arial"/>
          <w:sz w:val="20"/>
          <w:szCs w:val="20"/>
        </w:rPr>
        <w:t xml:space="preserve"> &amp;</w:t>
      </w:r>
      <w:r w:rsidR="001C0F5B" w:rsidRPr="0080118E">
        <w:rPr>
          <w:rFonts w:ascii="Arial" w:hAnsi="Arial" w:cs="Arial"/>
          <w:sz w:val="20"/>
          <w:szCs w:val="20"/>
        </w:rPr>
        <w:t xml:space="preserve"> Winton, 2001; Grable, 2000) </w:t>
      </w:r>
      <w:r w:rsidRPr="0080118E">
        <w:rPr>
          <w:rFonts w:ascii="Arial" w:hAnsi="Arial" w:cs="Arial"/>
          <w:sz w:val="20"/>
          <w:szCs w:val="20"/>
        </w:rPr>
        <w:t>perspective</w:t>
      </w:r>
      <w:r w:rsidR="001C0F5B" w:rsidRPr="0080118E">
        <w:rPr>
          <w:rFonts w:ascii="Arial" w:hAnsi="Arial" w:cs="Arial"/>
          <w:sz w:val="20"/>
          <w:szCs w:val="20"/>
        </w:rPr>
        <w:t xml:space="preserve">. In the contexts of satisfaction with loyalty, assessment of products </w:t>
      </w:r>
      <w:r w:rsidR="001C0F5B" w:rsidRPr="0080118E">
        <w:rPr>
          <w:rFonts w:ascii="Arial" w:hAnsi="Arial" w:cs="Arial"/>
          <w:sz w:val="20"/>
          <w:szCs w:val="20"/>
        </w:rPr>
        <w:lastRenderedPageBreak/>
        <w:t>with preference (</w:t>
      </w:r>
      <w:proofErr w:type="spellStart"/>
      <w:r w:rsidR="001C0F5B" w:rsidRPr="0080118E">
        <w:rPr>
          <w:rFonts w:ascii="Arial" w:hAnsi="Arial" w:cs="Arial"/>
          <w:sz w:val="20"/>
          <w:szCs w:val="20"/>
        </w:rPr>
        <w:t>Gurhan</w:t>
      </w:r>
      <w:proofErr w:type="spellEnd"/>
      <w:r w:rsidR="001C0F5B" w:rsidRPr="0080118E">
        <w:rPr>
          <w:rFonts w:ascii="Arial" w:hAnsi="Arial" w:cs="Arial"/>
          <w:sz w:val="20"/>
          <w:szCs w:val="20"/>
        </w:rPr>
        <w:t xml:space="preserve"> </w:t>
      </w:r>
      <w:proofErr w:type="spellStart"/>
      <w:r w:rsidR="001C0F5B" w:rsidRPr="0080118E">
        <w:rPr>
          <w:rFonts w:ascii="Arial" w:hAnsi="Arial" w:cs="Arial"/>
          <w:sz w:val="20"/>
          <w:szCs w:val="20"/>
        </w:rPr>
        <w:t>Canli</w:t>
      </w:r>
      <w:proofErr w:type="spellEnd"/>
      <w:r w:rsidR="001C0F5B" w:rsidRPr="0080118E">
        <w:rPr>
          <w:rFonts w:ascii="Arial" w:hAnsi="Arial" w:cs="Arial"/>
          <w:sz w:val="20"/>
          <w:szCs w:val="20"/>
        </w:rPr>
        <w:t xml:space="preserve"> </w:t>
      </w:r>
      <w:r w:rsidR="00B21FD1" w:rsidRPr="0080118E">
        <w:rPr>
          <w:rFonts w:ascii="Arial" w:hAnsi="Arial" w:cs="Arial"/>
          <w:sz w:val="20"/>
          <w:szCs w:val="20"/>
        </w:rPr>
        <w:t>&amp;</w:t>
      </w:r>
      <w:r w:rsidR="001C0F5B" w:rsidRPr="0080118E">
        <w:rPr>
          <w:rFonts w:ascii="Arial" w:hAnsi="Arial" w:cs="Arial"/>
          <w:sz w:val="20"/>
          <w:szCs w:val="20"/>
        </w:rPr>
        <w:t xml:space="preserve"> Batra, 2004), and </w:t>
      </w:r>
      <w:r w:rsidR="00B21FD1" w:rsidRPr="0080118E">
        <w:rPr>
          <w:rFonts w:ascii="Arial" w:hAnsi="Arial" w:cs="Arial"/>
          <w:sz w:val="20"/>
          <w:szCs w:val="20"/>
        </w:rPr>
        <w:t xml:space="preserve">incongruity with evaluation </w:t>
      </w:r>
      <w:r w:rsidR="001C0F5B" w:rsidRPr="0080118E">
        <w:rPr>
          <w:rFonts w:ascii="Arial" w:hAnsi="Arial" w:cs="Arial"/>
          <w:sz w:val="20"/>
          <w:szCs w:val="20"/>
        </w:rPr>
        <w:t xml:space="preserve">(Campbell </w:t>
      </w:r>
      <w:r w:rsidR="00BE59AA" w:rsidRPr="0080118E">
        <w:rPr>
          <w:rFonts w:ascii="Arial" w:hAnsi="Arial" w:cs="Arial"/>
          <w:sz w:val="20"/>
          <w:szCs w:val="20"/>
        </w:rPr>
        <w:t>&amp;</w:t>
      </w:r>
      <w:r w:rsidR="001C0F5B" w:rsidRPr="0080118E">
        <w:rPr>
          <w:rFonts w:ascii="Arial" w:hAnsi="Arial" w:cs="Arial"/>
          <w:sz w:val="20"/>
          <w:szCs w:val="20"/>
        </w:rPr>
        <w:t xml:space="preserve"> Goldstein, 2001), risk has been considered a moderator. </w:t>
      </w:r>
      <w:r w:rsidR="00B21FD1" w:rsidRPr="0080118E">
        <w:rPr>
          <w:rFonts w:ascii="Arial" w:hAnsi="Arial" w:cs="Arial"/>
          <w:sz w:val="20"/>
          <w:szCs w:val="20"/>
        </w:rPr>
        <w:t>Worthy</w:t>
      </w:r>
      <w:r w:rsidR="007F7F26">
        <w:rPr>
          <w:rFonts w:ascii="Arial" w:hAnsi="Arial" w:cs="Arial"/>
          <w:sz w:val="20"/>
          <w:szCs w:val="20"/>
        </w:rPr>
        <w:t xml:space="preserve"> et al.</w:t>
      </w:r>
      <w:r w:rsidR="00B21FD1" w:rsidRPr="0080118E">
        <w:rPr>
          <w:rFonts w:ascii="Arial" w:hAnsi="Arial" w:cs="Arial"/>
          <w:sz w:val="20"/>
          <w:szCs w:val="20"/>
        </w:rPr>
        <w:t xml:space="preserve"> </w:t>
      </w:r>
      <w:r w:rsidR="001C0F5B" w:rsidRPr="0080118E">
        <w:rPr>
          <w:rFonts w:ascii="Arial" w:hAnsi="Arial" w:cs="Arial"/>
          <w:sz w:val="20"/>
          <w:szCs w:val="20"/>
        </w:rPr>
        <w:t xml:space="preserve">(2010) confirmed </w:t>
      </w:r>
      <w:r w:rsidR="00135B5A">
        <w:rPr>
          <w:rFonts w:ascii="Arial" w:hAnsi="Arial" w:cs="Arial"/>
          <w:sz w:val="20"/>
          <w:szCs w:val="20"/>
        </w:rPr>
        <w:t>“</w:t>
      </w:r>
      <w:r w:rsidR="001C0F5B" w:rsidRPr="0080118E">
        <w:rPr>
          <w:rFonts w:ascii="Arial" w:hAnsi="Arial" w:cs="Arial"/>
          <w:sz w:val="20"/>
          <w:szCs w:val="20"/>
        </w:rPr>
        <w:t xml:space="preserve">the relationship between financial risk along with financial management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in the setting of credit cards with financial debt issues</w:t>
      </w:r>
      <w:r w:rsidR="00135B5A">
        <w:rPr>
          <w:rFonts w:ascii="Arial" w:hAnsi="Arial" w:cs="Arial"/>
          <w:sz w:val="20"/>
          <w:szCs w:val="20"/>
        </w:rPr>
        <w:t>”</w:t>
      </w:r>
      <w:r w:rsidR="001C0F5B" w:rsidRPr="0080118E">
        <w:rPr>
          <w:rFonts w:ascii="Arial" w:hAnsi="Arial" w:cs="Arial"/>
          <w:sz w:val="20"/>
          <w:szCs w:val="20"/>
        </w:rPr>
        <w:t xml:space="preserve">. </w:t>
      </w:r>
      <w:r w:rsidR="00545373" w:rsidRPr="0080118E">
        <w:rPr>
          <w:rFonts w:ascii="Arial" w:hAnsi="Arial" w:cs="Arial"/>
          <w:sz w:val="20"/>
          <w:szCs w:val="20"/>
        </w:rPr>
        <w:t>This study argues that risk-taking ability can be a mediator between Financial Capability and Financial Well-Being and proposes the following hypothesis:</w:t>
      </w:r>
    </w:p>
    <w:p w14:paraId="23F75993" w14:textId="4FFD2647" w:rsidR="00B04E70" w:rsidRPr="0080118E" w:rsidRDefault="00545373" w:rsidP="008C4494">
      <w:pPr>
        <w:spacing w:line="360" w:lineRule="auto"/>
        <w:ind w:left="360" w:hanging="360"/>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4</w:t>
      </w:r>
      <w:r w:rsidRPr="0080118E">
        <w:rPr>
          <w:rFonts w:ascii="Arial" w:hAnsi="Arial" w:cs="Arial"/>
          <w:i/>
          <w:iCs/>
          <w:sz w:val="20"/>
          <w:szCs w:val="20"/>
        </w:rPr>
        <w:t xml:space="preserve">: </w:t>
      </w:r>
      <w:bookmarkStart w:id="10" w:name="_Hlk176585717"/>
      <w:r w:rsidR="00987EA5" w:rsidRPr="0080118E">
        <w:rPr>
          <w:rFonts w:ascii="Arial" w:hAnsi="Arial" w:cs="Arial"/>
          <w:i/>
          <w:iCs/>
          <w:sz w:val="20"/>
          <w:szCs w:val="20"/>
        </w:rPr>
        <w:t>Risk-taking ability</w:t>
      </w:r>
      <w:r w:rsidRPr="0080118E">
        <w:rPr>
          <w:rFonts w:ascii="Arial" w:hAnsi="Arial" w:cs="Arial"/>
          <w:i/>
          <w:iCs/>
          <w:sz w:val="20"/>
          <w:szCs w:val="20"/>
        </w:rPr>
        <w:t xml:space="preserve"> mediates the relationship between Financial Capability and Financial Well-Being</w:t>
      </w:r>
      <w:bookmarkEnd w:id="10"/>
      <w:r w:rsidR="00BE59AA" w:rsidRPr="0080118E">
        <w:rPr>
          <w:rFonts w:ascii="Arial" w:hAnsi="Arial" w:cs="Arial"/>
          <w:i/>
          <w:iCs/>
          <w:sz w:val="20"/>
          <w:szCs w:val="20"/>
        </w:rPr>
        <w:t>.</w:t>
      </w:r>
    </w:p>
    <w:p w14:paraId="3B862809" w14:textId="764CB1D2" w:rsidR="00472FCC" w:rsidRPr="0080118E" w:rsidRDefault="0080118E" w:rsidP="007F66EB">
      <w:pPr>
        <w:pStyle w:val="Heading2"/>
        <w:spacing w:line="360" w:lineRule="auto"/>
        <w:rPr>
          <w:rFonts w:ascii="Arial" w:hAnsi="Arial" w:cs="Arial"/>
          <w:sz w:val="22"/>
          <w:szCs w:val="22"/>
        </w:rPr>
      </w:pPr>
      <w:bookmarkStart w:id="11" w:name="_Toc141033541"/>
      <w:r w:rsidRPr="0080118E">
        <w:rPr>
          <w:rFonts w:ascii="Arial" w:hAnsi="Arial" w:cs="Arial"/>
          <w:sz w:val="22"/>
          <w:szCs w:val="22"/>
        </w:rPr>
        <w:t>3. CONCEPTUALIZATION</w:t>
      </w:r>
      <w:bookmarkEnd w:id="11"/>
    </w:p>
    <w:p w14:paraId="67DE1399" w14:textId="6E78A382" w:rsidR="007F66EB" w:rsidRPr="0080118E" w:rsidRDefault="00472FCC" w:rsidP="008C4494">
      <w:pPr>
        <w:spacing w:line="360" w:lineRule="auto"/>
        <w:jc w:val="both"/>
        <w:rPr>
          <w:rFonts w:ascii="Arial" w:eastAsia="Times New Roman" w:hAnsi="Arial" w:cs="Arial"/>
          <w:sz w:val="20"/>
          <w:szCs w:val="20"/>
        </w:rPr>
      </w:pPr>
      <w:r w:rsidRPr="0080118E">
        <w:rPr>
          <w:rFonts w:ascii="Arial" w:hAnsi="Arial" w:cs="Arial"/>
          <w:sz w:val="20"/>
          <w:szCs w:val="20"/>
        </w:rPr>
        <w:t xml:space="preserve">The following figure shows the conceptual model developed for this study. </w:t>
      </w:r>
      <w:r w:rsidRPr="0080118E">
        <w:rPr>
          <w:rFonts w:ascii="Arial" w:eastAsia="Times New Roman" w:hAnsi="Arial" w:cs="Arial"/>
          <w:sz w:val="20"/>
          <w:szCs w:val="20"/>
        </w:rPr>
        <w:t>In this study, the independent variable is financial capability, financial well-being is considered dependent, and risk-taking ability is treated as a mediating variable.</w:t>
      </w:r>
    </w:p>
    <w:p w14:paraId="4ADA8C3B" w14:textId="2525AB9D" w:rsidR="00472FCC" w:rsidRPr="0080118E" w:rsidRDefault="00EE359B" w:rsidP="008C4494">
      <w:pPr>
        <w:spacing w:line="360" w:lineRule="auto"/>
        <w:jc w:val="both"/>
        <w:rPr>
          <w:rFonts w:ascii="Arial" w:hAnsi="Arial" w:cs="Arial"/>
          <w:sz w:val="20"/>
          <w:szCs w:val="20"/>
        </w:rPr>
      </w:pPr>
      <w:r w:rsidRPr="0080118E">
        <w:rPr>
          <w:rFonts w:ascii="Arial" w:hAnsi="Arial" w:cs="Arial"/>
          <w:noProof/>
          <w:sz w:val="18"/>
          <w:szCs w:val="20"/>
        </w:rPr>
        <mc:AlternateContent>
          <mc:Choice Requires="wpg">
            <w:drawing>
              <wp:anchor distT="0" distB="0" distL="114300" distR="114300" simplePos="0" relativeHeight="251705344" behindDoc="0" locked="0" layoutInCell="1" allowOverlap="1" wp14:anchorId="085DF8D3" wp14:editId="6F90151F">
                <wp:simplePos x="0" y="0"/>
                <wp:positionH relativeFrom="margin">
                  <wp:posOffset>531628</wp:posOffset>
                </wp:positionH>
                <wp:positionV relativeFrom="paragraph">
                  <wp:posOffset>-175775</wp:posOffset>
                </wp:positionV>
                <wp:extent cx="4624705" cy="1459040"/>
                <wp:effectExtent l="0" t="0" r="23495" b="0"/>
                <wp:wrapNone/>
                <wp:docPr id="1529271962" name="Group 2"/>
                <wp:cNvGraphicFramePr/>
                <a:graphic xmlns:a="http://schemas.openxmlformats.org/drawingml/2006/main">
                  <a:graphicData uri="http://schemas.microsoft.com/office/word/2010/wordprocessingGroup">
                    <wpg:wgp>
                      <wpg:cNvGrpSpPr/>
                      <wpg:grpSpPr>
                        <a:xfrm>
                          <a:off x="0" y="0"/>
                          <a:ext cx="4624705" cy="1459040"/>
                          <a:chOff x="0" y="290945"/>
                          <a:chExt cx="4624705" cy="1284662"/>
                        </a:xfrm>
                      </wpg:grpSpPr>
                      <wpg:grpSp>
                        <wpg:cNvPr id="589420086" name="Group 13"/>
                        <wpg:cNvGrpSpPr/>
                        <wpg:grpSpPr>
                          <a:xfrm>
                            <a:off x="0" y="290945"/>
                            <a:ext cx="4624705" cy="898662"/>
                            <a:chOff x="-22497" y="164"/>
                            <a:chExt cx="4572272" cy="1103317"/>
                          </a:xfrm>
                        </wpg:grpSpPr>
                        <wpg:grpSp>
                          <wpg:cNvPr id="819506332" name="Group 3"/>
                          <wpg:cNvGrpSpPr/>
                          <wpg:grpSpPr>
                            <a:xfrm>
                              <a:off x="992981" y="164"/>
                              <a:ext cx="2535834" cy="873485"/>
                              <a:chOff x="434181" y="164"/>
                              <a:chExt cx="2535834" cy="873485"/>
                            </a:xfrm>
                          </wpg:grpSpPr>
                          <wps:wsp>
                            <wps:cNvPr id="1586894372" name="Text Box 2"/>
                            <wps:cNvSpPr txBox="1">
                              <a:spLocks noChangeArrowheads="1"/>
                            </wps:cNvSpPr>
                            <wps:spPr bwMode="auto">
                              <a:xfrm>
                                <a:off x="2597340" y="475585"/>
                                <a:ext cx="372675" cy="368814"/>
                              </a:xfrm>
                              <a:prstGeom prst="rect">
                                <a:avLst/>
                              </a:prstGeom>
                              <a:solidFill>
                                <a:schemeClr val="bg1"/>
                              </a:solidFill>
                              <a:ln w="9525">
                                <a:noFill/>
                                <a:miter lim="800000"/>
                                <a:headEnd/>
                                <a:tailEnd/>
                              </a:ln>
                            </wps:spPr>
                            <wps:txbx>
                              <w:txbxContent>
                                <w:p w14:paraId="1383C98A"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3</w:t>
                                  </w:r>
                                </w:p>
                              </w:txbxContent>
                            </wps:txbx>
                            <wps:bodyPr rot="0" vert="horz" wrap="square" lIns="91440" tIns="45720" rIns="91440" bIns="45720" anchor="t" anchorCtr="0">
                              <a:noAutofit/>
                            </wps:bodyPr>
                          </wps:wsp>
                          <wps:wsp>
                            <wps:cNvPr id="231239871" name="Text Box 2"/>
                            <wps:cNvSpPr txBox="1">
                              <a:spLocks noChangeArrowheads="1"/>
                            </wps:cNvSpPr>
                            <wps:spPr bwMode="auto">
                              <a:xfrm>
                                <a:off x="1489085" y="164"/>
                                <a:ext cx="445770" cy="324945"/>
                              </a:xfrm>
                              <a:prstGeom prst="rect">
                                <a:avLst/>
                              </a:prstGeom>
                              <a:solidFill>
                                <a:schemeClr val="bg1"/>
                              </a:solidFill>
                              <a:ln w="9525">
                                <a:noFill/>
                                <a:miter lim="800000"/>
                                <a:headEnd/>
                                <a:tailEnd/>
                              </a:ln>
                            </wps:spPr>
                            <wps:txbx>
                              <w:txbxContent>
                                <w:p w14:paraId="41D77538"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1</w:t>
                                  </w:r>
                                </w:p>
                              </w:txbxContent>
                            </wps:txbx>
                            <wps:bodyPr rot="0" vert="horz" wrap="square" lIns="91440" tIns="45720" rIns="91440" bIns="45720" anchor="t" anchorCtr="0">
                              <a:noAutofit/>
                            </wps:bodyPr>
                          </wps:wsp>
                          <wps:wsp>
                            <wps:cNvPr id="540159756" name="Text Box 2"/>
                            <wps:cNvSpPr txBox="1">
                              <a:spLocks noChangeArrowheads="1"/>
                            </wps:cNvSpPr>
                            <wps:spPr bwMode="auto">
                              <a:xfrm>
                                <a:off x="434181" y="511917"/>
                                <a:ext cx="510365" cy="361732"/>
                              </a:xfrm>
                              <a:prstGeom prst="rect">
                                <a:avLst/>
                              </a:prstGeom>
                              <a:solidFill>
                                <a:schemeClr val="bg1"/>
                              </a:solidFill>
                              <a:ln w="9525">
                                <a:noFill/>
                                <a:miter lim="800000"/>
                                <a:headEnd/>
                                <a:tailEnd/>
                              </a:ln>
                            </wps:spPr>
                            <wps:txbx>
                              <w:txbxContent>
                                <w:p w14:paraId="01B8C721"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2</w:t>
                                  </w:r>
                                </w:p>
                              </w:txbxContent>
                            </wps:txbx>
                            <wps:bodyPr rot="0" vert="horz" wrap="square" lIns="91440" tIns="45720" rIns="91440" bIns="45720" anchor="t" anchorCtr="0">
                              <a:noAutofit/>
                            </wps:bodyPr>
                          </wps:wsp>
                        </wpg:grpSp>
                        <wpg:grpSp>
                          <wpg:cNvPr id="1086196186" name="Group 2"/>
                          <wpg:cNvGrpSpPr/>
                          <wpg:grpSpPr>
                            <a:xfrm>
                              <a:off x="-22497" y="102223"/>
                              <a:ext cx="4572272" cy="1001258"/>
                              <a:chOff x="-22497" y="-84071"/>
                              <a:chExt cx="4572363" cy="1001564"/>
                            </a:xfrm>
                          </wpg:grpSpPr>
                          <wps:wsp>
                            <wps:cNvPr id="738938959" name="Straight Arrow Connector 1"/>
                            <wps:cNvCnPr>
                              <a:stCxn id="217" idx="3"/>
                              <a:endCxn id="626538059" idx="1"/>
                            </wps:cNvCnPr>
                            <wps:spPr>
                              <a:xfrm>
                                <a:off x="1697083" y="90885"/>
                                <a:ext cx="1133203" cy="108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22497" y="-84071"/>
                                <a:ext cx="1719580" cy="349913"/>
                              </a:xfrm>
                              <a:prstGeom prst="rect">
                                <a:avLst/>
                              </a:prstGeom>
                              <a:solidFill>
                                <a:srgbClr val="FFFFFF"/>
                              </a:solidFill>
                              <a:ln w="9525">
                                <a:solidFill>
                                  <a:srgbClr val="000000"/>
                                </a:solidFill>
                                <a:miter lim="800000"/>
                                <a:headEnd/>
                                <a:tailEnd/>
                              </a:ln>
                            </wps:spPr>
                            <wps:txbx>
                              <w:txbxContent>
                                <w:p w14:paraId="28BBF20A"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Capability (FC)</w:t>
                                  </w:r>
                                </w:p>
                              </w:txbxContent>
                            </wps:txbx>
                            <wps:bodyPr rot="0" vert="horz" wrap="square" lIns="91440" tIns="45720" rIns="91440" bIns="45720" anchor="ctr" anchorCtr="0">
                              <a:noAutofit/>
                            </wps:bodyPr>
                          </wps:wsp>
                          <wps:wsp>
                            <wps:cNvPr id="626538059" name="Text Box 2"/>
                            <wps:cNvSpPr txBox="1">
                              <a:spLocks noChangeArrowheads="1"/>
                            </wps:cNvSpPr>
                            <wps:spPr bwMode="auto">
                              <a:xfrm>
                                <a:off x="2830286" y="-68645"/>
                                <a:ext cx="1719580" cy="340827"/>
                              </a:xfrm>
                              <a:prstGeom prst="rect">
                                <a:avLst/>
                              </a:prstGeom>
                              <a:solidFill>
                                <a:srgbClr val="FFFFFF"/>
                              </a:solidFill>
                              <a:ln w="9525">
                                <a:solidFill>
                                  <a:srgbClr val="000000"/>
                                </a:solidFill>
                                <a:miter lim="800000"/>
                                <a:headEnd/>
                                <a:tailEnd/>
                              </a:ln>
                            </wps:spPr>
                            <wps:txbx>
                              <w:txbxContent>
                                <w:p w14:paraId="4D413430" w14:textId="706A1DB0" w:rsidR="0010558E" w:rsidRPr="0080118E" w:rsidRDefault="0010558E" w:rsidP="00472FCC">
                                  <w:pPr>
                                    <w:jc w:val="center"/>
                                    <w:rPr>
                                      <w:rFonts w:ascii="Arial" w:hAnsi="Arial" w:cs="Arial"/>
                                      <w:sz w:val="20"/>
                                      <w:szCs w:val="20"/>
                                    </w:rPr>
                                  </w:pPr>
                                  <w:r w:rsidRPr="0080118E">
                                    <w:rPr>
                                      <w:rFonts w:ascii="Arial" w:hAnsi="Arial" w:cs="Arial"/>
                                      <w:sz w:val="20"/>
                                      <w:szCs w:val="20"/>
                                    </w:rPr>
                                    <w:t>Financial Well</w:t>
                                  </w:r>
                                  <w:r w:rsidR="00D22572">
                                    <w:rPr>
                                      <w:rFonts w:ascii="Arial" w:hAnsi="Arial" w:cs="Arial"/>
                                      <w:sz w:val="20"/>
                                      <w:szCs w:val="20"/>
                                    </w:rPr>
                                    <w:t>-B</w:t>
                                  </w:r>
                                  <w:r w:rsidRPr="0080118E">
                                    <w:rPr>
                                      <w:rFonts w:ascii="Arial" w:hAnsi="Arial" w:cs="Arial"/>
                                      <w:sz w:val="20"/>
                                      <w:szCs w:val="20"/>
                                    </w:rPr>
                                    <w:t>eing</w:t>
                                  </w:r>
                                </w:p>
                              </w:txbxContent>
                            </wps:txbx>
                            <wps:bodyPr rot="0" vert="horz" wrap="square" lIns="91440" tIns="45720" rIns="91440" bIns="45720" anchor="ctr" anchorCtr="0">
                              <a:noAutofit/>
                            </wps:bodyPr>
                          </wps:wsp>
                          <wps:wsp>
                            <wps:cNvPr id="2140027" name="Text Box 2"/>
                            <wps:cNvSpPr txBox="1">
                              <a:spLocks noChangeArrowheads="1"/>
                            </wps:cNvSpPr>
                            <wps:spPr bwMode="auto">
                              <a:xfrm>
                                <a:off x="1448505" y="598154"/>
                                <a:ext cx="1719580" cy="319339"/>
                              </a:xfrm>
                              <a:prstGeom prst="rect">
                                <a:avLst/>
                              </a:prstGeom>
                              <a:solidFill>
                                <a:srgbClr val="FFFFFF"/>
                              </a:solidFill>
                              <a:ln w="9525">
                                <a:solidFill>
                                  <a:srgbClr val="000000"/>
                                </a:solidFill>
                                <a:miter lim="800000"/>
                                <a:headEnd/>
                                <a:tailEnd/>
                              </a:ln>
                            </wps:spPr>
                            <wps:txbx>
                              <w:txbxContent>
                                <w:p w14:paraId="597BFC03"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Risk Taking Ability (RTA)</w:t>
                                  </w:r>
                                </w:p>
                              </w:txbxContent>
                            </wps:txbx>
                            <wps:bodyPr rot="0" vert="horz" wrap="square" lIns="91440" tIns="45720" rIns="91440" bIns="45720" anchor="ctr" anchorCtr="0">
                              <a:noAutofit/>
                            </wps:bodyPr>
                          </wps:wsp>
                          <wps:wsp>
                            <wps:cNvPr id="1582939967" name="Straight Arrow Connector 1"/>
                            <wps:cNvCnPr>
                              <a:stCxn id="2140027" idx="3"/>
                              <a:endCxn id="626538059" idx="2"/>
                            </wps:cNvCnPr>
                            <wps:spPr>
                              <a:xfrm flipV="1">
                                <a:off x="3168085" y="272182"/>
                                <a:ext cx="521992" cy="48564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50021142" name="Straight Arrow Connector 1"/>
                            <wps:cNvCnPr>
                              <a:stCxn id="217" idx="2"/>
                              <a:endCxn id="2140027" idx="1"/>
                            </wps:cNvCnPr>
                            <wps:spPr>
                              <a:xfrm>
                                <a:off x="837294" y="265842"/>
                                <a:ext cx="611211" cy="49198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grpSp>
                      <wps:wsp>
                        <wps:cNvPr id="1118624605" name="Text Box 1"/>
                        <wps:cNvSpPr txBox="1"/>
                        <wps:spPr>
                          <a:xfrm>
                            <a:off x="0" y="1316360"/>
                            <a:ext cx="3141258" cy="259247"/>
                          </a:xfrm>
                          <a:prstGeom prst="rect">
                            <a:avLst/>
                          </a:prstGeom>
                          <a:noFill/>
                          <a:ln w="6350">
                            <a:noFill/>
                          </a:ln>
                        </wps:spPr>
                        <wps:txbx>
                          <w:txbxContent>
                            <w:p w14:paraId="047FF27C" w14:textId="6E766AA0" w:rsidR="0010558E" w:rsidRPr="0080118E" w:rsidRDefault="0010558E" w:rsidP="00472FCC">
                              <w:pPr>
                                <w:jc w:val="center"/>
                                <w:rPr>
                                  <w:rFonts w:ascii="Arial" w:hAnsi="Arial" w:cs="Arial"/>
                                  <w:b/>
                                  <w:bCs/>
                                  <w:sz w:val="20"/>
                                  <w:szCs w:val="20"/>
                                </w:rPr>
                              </w:pPr>
                              <w:r w:rsidRPr="0080118E">
                                <w:rPr>
                                  <w:rFonts w:ascii="Arial" w:hAnsi="Arial" w:cs="Arial"/>
                                  <w:b/>
                                  <w:bCs/>
                                  <w:sz w:val="20"/>
                                  <w:szCs w:val="20"/>
                                </w:rPr>
                                <w:t>Figure1: Conceptual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85DF8D3" id="Group 2" o:spid="_x0000_s1027" style="position:absolute;left:0;text-align:left;margin-left:41.85pt;margin-top:-13.85pt;width:364.15pt;height:114.9pt;z-index:251705344;mso-position-horizontal-relative:margin;mso-height-relative:margin" coordorigin=",2909" coordsize="46247,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">
                <v:group id="Group 13" o:spid="_x0000_s1028" style="position:absolute;top:2909;width:46247;height:8987" coordorigin="-224,1" coordsize="45722,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">
                  <v:group id="Group 3" o:spid="_x0000_s1029" style="position:absolute;left:9929;top:1;width:25359;height:8735" coordorigin="4341,1" coordsize="25358,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">
                    <v:shape id="_x0000_s1030" type="#_x0000_t202" style="position:absolute;left:25973;top:4755;width:3727;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" fillcolor="white [3212]" stroked="f">
                      <v:textbox>
                        <w:txbxContent>
                          <w:p w14:paraId="1383C98A"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3</w:t>
                            </w:r>
                          </w:p>
                        </w:txbxContent>
                      </v:textbox>
                    </v:shape>
                    <v:shape id="_x0000_s1031" type="#_x0000_t202" style="position:absolute;left:14890;top:1;width:445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" fillcolor="white [3212]" stroked="f">
                      <v:textbox>
                        <w:txbxContent>
                          <w:p w14:paraId="41D77538"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1</w:t>
                            </w:r>
                          </w:p>
                        </w:txbxContent>
                      </v:textbox>
                    </v:shape>
                    <v:shape id="_x0000_s1032" type="#_x0000_t202" style="position:absolute;left:4341;top:5119;width:5104;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" fillcolor="white [3212]" stroked="f">
                      <v:textbox>
                        <w:txbxContent>
                          <w:p w14:paraId="01B8C721"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2</w:t>
                            </w:r>
                          </w:p>
                        </w:txbxContent>
                      </v:textbox>
                    </v:shape>
                  </v:group>
                  <v:group id="_x0000_s1033" style="position:absolute;left:-224;top:1022;width:45721;height:10012" coordorigin="-224,-840" coordsize="45723,1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1" o:spid="_x0000_s1034" type="#_x0000_t32" style="position:absolute;left:16970;top:908;width:11332;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" strokecolor="black [3200]" strokeweight="1pt">
                      <v:stroke endarrow="block" joinstyle="miter"/>
                    </v:shape>
                    <v:shape id="_x0000_s1035" type="#_x0000_t202" style="position:absolute;left:-224;top:-840;width:17194;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8BBF20A"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Capability (FC)</w:t>
                            </w:r>
                          </w:p>
                        </w:txbxContent>
                      </v:textbox>
                    </v:shape>
                    <v:shape id="_x0000_s1036" type="#_x0000_t202" style="position:absolute;left:28302;top:-686;width:17196;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">
                      <v:textbox>
                        <w:txbxContent>
                          <w:p w14:paraId="4D413430" w14:textId="706A1DB0" w:rsidR="0010558E" w:rsidRPr="0080118E" w:rsidRDefault="0010558E" w:rsidP="00472FCC">
                            <w:pPr>
                              <w:jc w:val="center"/>
                              <w:rPr>
                                <w:rFonts w:ascii="Arial" w:hAnsi="Arial" w:cs="Arial"/>
                                <w:sz w:val="20"/>
                                <w:szCs w:val="20"/>
                              </w:rPr>
                            </w:pPr>
                            <w:r w:rsidRPr="0080118E">
                              <w:rPr>
                                <w:rFonts w:ascii="Arial" w:hAnsi="Arial" w:cs="Arial"/>
                                <w:sz w:val="20"/>
                                <w:szCs w:val="20"/>
                              </w:rPr>
                              <w:t>Financial Well</w:t>
                            </w:r>
                            <w:r w:rsidR="00D22572">
                              <w:rPr>
                                <w:rFonts w:ascii="Arial" w:hAnsi="Arial" w:cs="Arial"/>
                                <w:sz w:val="20"/>
                                <w:szCs w:val="20"/>
                              </w:rPr>
                              <w:t>-B</w:t>
                            </w:r>
                            <w:r w:rsidRPr="0080118E">
                              <w:rPr>
                                <w:rFonts w:ascii="Arial" w:hAnsi="Arial" w:cs="Arial"/>
                                <w:sz w:val="20"/>
                                <w:szCs w:val="20"/>
                              </w:rPr>
                              <w:t>eing</w:t>
                            </w:r>
                          </w:p>
                        </w:txbxContent>
                      </v:textbox>
                    </v:shape>
                    <v:shape id="_x0000_s1037" type="#_x0000_t202" style="position:absolute;left:14485;top:5981;width:17195;height:3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">
                      <v:textbox>
                        <w:txbxContent>
                          <w:p w14:paraId="597BFC03"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Risk Taking Ability (RTA)</w:t>
                            </w:r>
                          </w:p>
                        </w:txbxContent>
                      </v:textbox>
                    </v:shape>
                    <v:shape id="Straight Arrow Connector 1" o:spid="_x0000_s1038" type="#_x0000_t32" style="position:absolute;left:31680;top:2721;width:5220;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" strokecolor="black [3200]" strokeweight="1pt">
                      <v:stroke endarrow="block" joinstyle="miter"/>
                    </v:shape>
                    <v:shape id="Straight Arrow Connector 1" o:spid="_x0000_s1039" type="#_x0000_t32" style="position:absolute;left:8372;top:2658;width:6113;height:4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" strokecolor="black [3200]" strokeweight="1pt">
                      <v:stroke endarrow="block" joinstyle="miter"/>
                    </v:shape>
                  </v:group>
                </v:group>
                <v:shape id="Text Box 1" o:spid="_x0000_s1040" type="#_x0000_t202" style="position:absolute;top:13163;width:31412;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" filled="f" stroked="f" strokeweight=".5pt">
                  <v:textbox>
                    <w:txbxContent>
                      <w:p w14:paraId="047FF27C" w14:textId="6E766AA0" w:rsidR="0010558E" w:rsidRPr="0080118E" w:rsidRDefault="0010558E" w:rsidP="00472FCC">
                        <w:pPr>
                          <w:jc w:val="center"/>
                          <w:rPr>
                            <w:rFonts w:ascii="Arial" w:hAnsi="Arial" w:cs="Arial"/>
                            <w:b/>
                            <w:bCs/>
                            <w:sz w:val="20"/>
                            <w:szCs w:val="20"/>
                          </w:rPr>
                        </w:pPr>
                        <w:r w:rsidRPr="0080118E">
                          <w:rPr>
                            <w:rFonts w:ascii="Arial" w:hAnsi="Arial" w:cs="Arial"/>
                            <w:b/>
                            <w:bCs/>
                            <w:sz w:val="20"/>
                            <w:szCs w:val="20"/>
                          </w:rPr>
                          <w:t>Figure1: Conceptual Model</w:t>
                        </w:r>
                      </w:p>
                    </w:txbxContent>
                  </v:textbox>
                </v:shape>
                <w10:wrap anchorx="margin"/>
              </v:group>
            </w:pict>
          </mc:Fallback>
        </mc:AlternateContent>
      </w:r>
    </w:p>
    <w:p w14:paraId="3D42A194" w14:textId="156A26B9" w:rsidR="00472FCC" w:rsidRPr="0080118E" w:rsidRDefault="0080118E" w:rsidP="008C4494">
      <w:pPr>
        <w:spacing w:line="360" w:lineRule="auto"/>
        <w:jc w:val="both"/>
        <w:rPr>
          <w:rFonts w:ascii="Arial" w:hAnsi="Arial" w:cs="Arial"/>
          <w:sz w:val="20"/>
          <w:szCs w:val="20"/>
        </w:rPr>
      </w:pPr>
      <w:r>
        <w:rPr>
          <w:noProof/>
        </w:rPr>
        <mc:AlternateContent>
          <mc:Choice Requires="wps">
            <w:drawing>
              <wp:anchor distT="0" distB="0" distL="114300" distR="114300" simplePos="0" relativeHeight="251715584" behindDoc="0" locked="0" layoutInCell="1" allowOverlap="1" wp14:anchorId="5C5F0FBA" wp14:editId="1E9A2441">
                <wp:simplePos x="0" y="0"/>
                <wp:positionH relativeFrom="margin">
                  <wp:posOffset>2813148</wp:posOffset>
                </wp:positionH>
                <wp:positionV relativeFrom="paragraph">
                  <wp:posOffset>66040</wp:posOffset>
                </wp:positionV>
                <wp:extent cx="376949" cy="341033"/>
                <wp:effectExtent l="0" t="0" r="0" b="1905"/>
                <wp:wrapNone/>
                <wp:docPr id="1285585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49" cy="341033"/>
                        </a:xfrm>
                        <a:prstGeom prst="rect">
                          <a:avLst/>
                        </a:prstGeom>
                        <a:noFill/>
                        <a:ln w="9525">
                          <a:noFill/>
                          <a:miter lim="800000"/>
                          <a:headEnd/>
                          <a:tailEnd/>
                        </a:ln>
                      </wps:spPr>
                      <wps:txbx>
                        <w:txbxContent>
                          <w:p w14:paraId="56014719" w14:textId="2780239E" w:rsidR="0080118E" w:rsidRPr="0080118E" w:rsidRDefault="0080118E" w:rsidP="0080118E">
                            <w:pPr>
                              <w:jc w:val="center"/>
                              <w:rPr>
                                <w:rFonts w:ascii="Arial" w:hAnsi="Arial" w:cs="Arial"/>
                                <w:b/>
                                <w:bCs/>
                                <w:sz w:val="20"/>
                                <w:szCs w:val="20"/>
                                <w:vertAlign w:val="subscript"/>
                              </w:rPr>
                            </w:pPr>
                            <w:r w:rsidRPr="0080118E">
                              <w:rPr>
                                <w:rFonts w:ascii="Arial" w:hAnsi="Arial" w:cs="Arial"/>
                                <w:b/>
                                <w:bCs/>
                                <w:sz w:val="20"/>
                                <w:szCs w:val="20"/>
                              </w:rPr>
                              <w:t>H</w:t>
                            </w:r>
                            <w:r>
                              <w:rPr>
                                <w:rFonts w:ascii="Arial" w:hAnsi="Arial" w:cs="Arial"/>
                                <w:b/>
                                <w:bCs/>
                                <w:sz w:val="20"/>
                                <w:szCs w:val="20"/>
                                <w:vertAlign w:val="subscript"/>
                              </w:rPr>
                              <w:t>4</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5F0FBA" id="Text Box 2" o:spid="_x0000_s1041" type="#_x0000_t202" style="position:absolute;left:0;text-align:left;margin-left:221.5pt;margin-top:5.2pt;width:29.7pt;height:26.85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" filled="f" stroked="f">
                <v:textbox>
                  <w:txbxContent>
                    <w:p w14:paraId="56014719" w14:textId="2780239E" w:rsidR="0080118E" w:rsidRPr="0080118E" w:rsidRDefault="0080118E" w:rsidP="0080118E">
                      <w:pPr>
                        <w:jc w:val="center"/>
                        <w:rPr>
                          <w:rFonts w:ascii="Arial" w:hAnsi="Arial" w:cs="Arial"/>
                          <w:b/>
                          <w:bCs/>
                          <w:sz w:val="20"/>
                          <w:szCs w:val="20"/>
                          <w:vertAlign w:val="subscript"/>
                        </w:rPr>
                      </w:pPr>
                      <w:r w:rsidRPr="0080118E">
                        <w:rPr>
                          <w:rFonts w:ascii="Arial" w:hAnsi="Arial" w:cs="Arial"/>
                          <w:b/>
                          <w:bCs/>
                          <w:sz w:val="20"/>
                          <w:szCs w:val="20"/>
                        </w:rPr>
                        <w:t>H</w:t>
                      </w:r>
                      <w:r>
                        <w:rPr>
                          <w:rFonts w:ascii="Arial" w:hAnsi="Arial" w:cs="Arial"/>
                          <w:b/>
                          <w:bCs/>
                          <w:sz w:val="20"/>
                          <w:szCs w:val="20"/>
                          <w:vertAlign w:val="subscript"/>
                        </w:rPr>
                        <w:t>4</w:t>
                      </w:r>
                    </w:p>
                  </w:txbxContent>
                </v:textbox>
                <w10:wrap anchorx="margin"/>
              </v:shape>
            </w:pict>
          </mc:Fallback>
        </mc:AlternateContent>
      </w:r>
    </w:p>
    <w:p w14:paraId="403D850E" w14:textId="5F7207C2" w:rsidR="00472FCC" w:rsidRPr="0080118E" w:rsidRDefault="00472FCC" w:rsidP="008C4494">
      <w:pPr>
        <w:spacing w:line="360" w:lineRule="auto"/>
        <w:jc w:val="both"/>
        <w:rPr>
          <w:rFonts w:ascii="Arial" w:hAnsi="Arial" w:cs="Arial"/>
          <w:sz w:val="20"/>
          <w:szCs w:val="20"/>
        </w:rPr>
      </w:pPr>
    </w:p>
    <w:p w14:paraId="68333730" w14:textId="77777777" w:rsidR="00EE359B" w:rsidRDefault="00EE359B" w:rsidP="008C4494">
      <w:pPr>
        <w:spacing w:after="0" w:line="360" w:lineRule="auto"/>
        <w:jc w:val="both"/>
        <w:rPr>
          <w:rFonts w:ascii="Arial" w:hAnsi="Arial" w:cs="Arial"/>
          <w:i/>
          <w:iCs/>
          <w:sz w:val="20"/>
          <w:szCs w:val="20"/>
        </w:rPr>
      </w:pPr>
    </w:p>
    <w:p w14:paraId="1878ADED" w14:textId="77777777" w:rsidR="00EE359B" w:rsidRDefault="00EE359B" w:rsidP="008C4494">
      <w:pPr>
        <w:spacing w:after="0" w:line="360" w:lineRule="auto"/>
        <w:jc w:val="both"/>
        <w:rPr>
          <w:rFonts w:ascii="Arial" w:hAnsi="Arial" w:cs="Arial"/>
          <w:i/>
          <w:iCs/>
          <w:sz w:val="20"/>
          <w:szCs w:val="20"/>
        </w:rPr>
      </w:pPr>
    </w:p>
    <w:p w14:paraId="32711DF1" w14:textId="0FD9254D" w:rsidR="00472FCC" w:rsidRPr="0080118E" w:rsidRDefault="00472FCC" w:rsidP="008C4494">
      <w:pPr>
        <w:spacing w:after="0" w:line="360" w:lineRule="auto"/>
        <w:jc w:val="both"/>
        <w:rPr>
          <w:rFonts w:ascii="Arial" w:hAnsi="Arial" w:cs="Arial"/>
          <w:i/>
          <w:iCs/>
          <w:sz w:val="20"/>
          <w:szCs w:val="20"/>
        </w:rPr>
      </w:pPr>
      <w:r w:rsidRPr="0080118E">
        <w:rPr>
          <w:rFonts w:ascii="Arial" w:hAnsi="Arial" w:cs="Arial"/>
          <w:i/>
          <w:iCs/>
          <w:sz w:val="20"/>
          <w:szCs w:val="20"/>
        </w:rPr>
        <w:t>(Source: Developed for the study purpose)</w:t>
      </w:r>
    </w:p>
    <w:p w14:paraId="38966C4F" w14:textId="4EB9F40E" w:rsidR="00472FCC" w:rsidRPr="002365E1" w:rsidRDefault="0080118E" w:rsidP="008C4494">
      <w:pPr>
        <w:spacing w:before="240" w:line="360" w:lineRule="auto"/>
        <w:jc w:val="both"/>
        <w:rPr>
          <w:rFonts w:ascii="Arial" w:hAnsi="Arial" w:cs="Arial"/>
          <w:b/>
          <w:bCs/>
          <w:sz w:val="24"/>
          <w:szCs w:val="24"/>
        </w:rPr>
      </w:pPr>
      <w:r w:rsidRPr="0080118E">
        <w:rPr>
          <w:rFonts w:ascii="Arial" w:hAnsi="Arial" w:cs="Arial"/>
          <w:b/>
          <w:bCs/>
        </w:rPr>
        <w:t xml:space="preserve">3.1 </w:t>
      </w:r>
      <w:r w:rsidR="00472FCC" w:rsidRPr="0080118E">
        <w:rPr>
          <w:rFonts w:ascii="Arial" w:hAnsi="Arial" w:cs="Arial"/>
          <w:b/>
          <w:bCs/>
        </w:rPr>
        <w:t>Theoretical Support for Conceptualization</w:t>
      </w:r>
    </w:p>
    <w:p w14:paraId="7DC5F0A8" w14:textId="3900628B" w:rsidR="00472FCC" w:rsidRPr="0080118E" w:rsidRDefault="00472FCC" w:rsidP="008C4494">
      <w:pPr>
        <w:spacing w:line="360" w:lineRule="auto"/>
        <w:jc w:val="both"/>
        <w:rPr>
          <w:rFonts w:ascii="Arial" w:hAnsi="Arial" w:cs="Arial"/>
          <w:sz w:val="20"/>
          <w:szCs w:val="20"/>
        </w:rPr>
      </w:pPr>
      <w:r w:rsidRPr="0080118E">
        <w:rPr>
          <w:rFonts w:ascii="Arial" w:hAnsi="Arial" w:cs="Arial"/>
          <w:sz w:val="20"/>
          <w:szCs w:val="20"/>
        </w:rPr>
        <w:t>The importance of psychological aspects is recognized in the theory of planned behavior (</w:t>
      </w:r>
      <w:proofErr w:type="spellStart"/>
      <w:r w:rsidRPr="0080118E">
        <w:rPr>
          <w:rFonts w:ascii="Arial" w:hAnsi="Arial" w:cs="Arial"/>
          <w:sz w:val="20"/>
          <w:szCs w:val="20"/>
        </w:rPr>
        <w:t>Ajzen</w:t>
      </w:r>
      <w:proofErr w:type="spellEnd"/>
      <w:r w:rsidRPr="0080118E">
        <w:rPr>
          <w:rFonts w:ascii="Arial" w:hAnsi="Arial" w:cs="Arial"/>
          <w:sz w:val="20"/>
          <w:szCs w:val="20"/>
        </w:rPr>
        <w:t>, 1991), which examines the attitude-behavior relationship. According to the theory of planned behavior (TPB), among other factors, attitude shapes behavior intentions and behaviors. Shim et al. (2010) observed a positive relationship between attitude and financial management behavior.</w:t>
      </w:r>
    </w:p>
    <w:p w14:paraId="1A002B24" w14:textId="48DCB6DC" w:rsidR="00472FCC" w:rsidRPr="0080118E" w:rsidRDefault="00472FCC" w:rsidP="008C4494">
      <w:pPr>
        <w:spacing w:line="360" w:lineRule="auto"/>
        <w:jc w:val="both"/>
        <w:rPr>
          <w:rFonts w:ascii="Arial" w:hAnsi="Arial" w:cs="Arial"/>
          <w:i/>
          <w:iCs/>
          <w:sz w:val="20"/>
          <w:szCs w:val="20"/>
        </w:rPr>
      </w:pPr>
      <w:r w:rsidRPr="0080118E">
        <w:rPr>
          <w:rFonts w:ascii="Arial" w:hAnsi="Arial" w:cs="Arial"/>
          <w:sz w:val="20"/>
          <w:szCs w:val="20"/>
        </w:rPr>
        <w:t xml:space="preserve">Financial capability refers to an individual's knowledge, skills, and access to resources that enable them to manage their finances effectively. People with higher financial capability are more likely to have a better understanding of the risks associated with different financial decisions, such as investments or borrowing, and are better equipped to make informed choices. Risk-taking ability, in this context, relates to an individual's willingness to </w:t>
      </w:r>
      <w:r w:rsidR="00987EA5" w:rsidRPr="0080118E">
        <w:rPr>
          <w:rFonts w:ascii="Arial" w:hAnsi="Arial" w:cs="Arial"/>
          <w:sz w:val="20"/>
          <w:szCs w:val="20"/>
        </w:rPr>
        <w:t>take</w:t>
      </w:r>
      <w:r w:rsidRPr="0080118E">
        <w:rPr>
          <w:rFonts w:ascii="Arial" w:hAnsi="Arial" w:cs="Arial"/>
          <w:sz w:val="20"/>
          <w:szCs w:val="20"/>
        </w:rPr>
        <w:t xml:space="preserve"> financial risks. Financial well-being is considered the perception of being able to sustain current and anticipated desired living standards and financial freedom.</w:t>
      </w:r>
      <w:r w:rsidR="007713F3">
        <w:rPr>
          <w:rFonts w:ascii="Arial" w:hAnsi="Arial" w:cs="Arial"/>
          <w:sz w:val="20"/>
          <w:szCs w:val="20"/>
        </w:rPr>
        <w:t xml:space="preserve"> </w:t>
      </w:r>
      <w:r w:rsidRPr="0080118E">
        <w:rPr>
          <w:rFonts w:ascii="Arial" w:hAnsi="Arial" w:cs="Arial"/>
          <w:sz w:val="20"/>
          <w:szCs w:val="20"/>
        </w:rPr>
        <w:t xml:space="preserve">According to TPB, financial capability affects the individual’s intention to take risks, which is the risk-taking ability and both together account for the individual’s financial </w:t>
      </w:r>
      <w:proofErr w:type="spellStart"/>
      <w:r w:rsidRPr="0080118E">
        <w:rPr>
          <w:rFonts w:ascii="Arial" w:hAnsi="Arial" w:cs="Arial"/>
          <w:sz w:val="20"/>
          <w:szCs w:val="20"/>
        </w:rPr>
        <w:t>behavioural</w:t>
      </w:r>
      <w:proofErr w:type="spellEnd"/>
      <w:r w:rsidRPr="0080118E">
        <w:rPr>
          <w:rFonts w:ascii="Arial" w:hAnsi="Arial" w:cs="Arial"/>
          <w:sz w:val="20"/>
          <w:szCs w:val="20"/>
        </w:rPr>
        <w:t xml:space="preserve"> aspects, the financial well-being.</w:t>
      </w:r>
    </w:p>
    <w:p w14:paraId="000B2B7D" w14:textId="6C7BF1EE" w:rsidR="000515B7" w:rsidRDefault="00216310" w:rsidP="005844F3">
      <w:pPr>
        <w:pStyle w:val="Heading1"/>
        <w:spacing w:line="360" w:lineRule="auto"/>
        <w:jc w:val="both"/>
        <w:rPr>
          <w:rFonts w:ascii="Arial" w:hAnsi="Arial" w:cs="Arial"/>
          <w:caps w:val="0"/>
          <w:sz w:val="22"/>
          <w:szCs w:val="22"/>
        </w:rPr>
      </w:pPr>
      <w:bookmarkStart w:id="12" w:name="_Toc141033538"/>
      <w:r w:rsidRPr="00216310">
        <w:rPr>
          <w:rFonts w:ascii="Arial" w:hAnsi="Arial" w:cs="Arial"/>
          <w:caps w:val="0"/>
          <w:sz w:val="22"/>
          <w:szCs w:val="22"/>
        </w:rPr>
        <w:lastRenderedPageBreak/>
        <w:t xml:space="preserve">4. </w:t>
      </w:r>
      <w:r w:rsidR="000515B7">
        <w:rPr>
          <w:rFonts w:ascii="Arial" w:hAnsi="Arial" w:cs="Arial"/>
          <w:caps w:val="0"/>
          <w:sz w:val="22"/>
          <w:szCs w:val="22"/>
        </w:rPr>
        <w:t xml:space="preserve">METHODOLOGY </w:t>
      </w:r>
    </w:p>
    <w:p w14:paraId="72F6F6BC" w14:textId="1C1F83AC" w:rsidR="00B83B35" w:rsidRPr="00216310" w:rsidRDefault="00216310" w:rsidP="005844F3">
      <w:pPr>
        <w:pStyle w:val="Heading1"/>
        <w:spacing w:line="360" w:lineRule="auto"/>
        <w:jc w:val="both"/>
        <w:rPr>
          <w:rFonts w:ascii="Arial" w:hAnsi="Arial" w:cs="Arial"/>
          <w:sz w:val="22"/>
          <w:szCs w:val="22"/>
        </w:rPr>
      </w:pPr>
      <w:r w:rsidRPr="00216310">
        <w:rPr>
          <w:rFonts w:ascii="Arial" w:hAnsi="Arial" w:cs="Arial"/>
          <w:caps w:val="0"/>
          <w:sz w:val="22"/>
          <w:szCs w:val="22"/>
        </w:rPr>
        <w:t>RESEARCH DESIGN</w:t>
      </w:r>
      <w:bookmarkEnd w:id="12"/>
    </w:p>
    <w:p w14:paraId="2E09082F" w14:textId="6471A86A" w:rsidR="00B83B35" w:rsidRPr="00216310" w:rsidRDefault="00216310" w:rsidP="008C4494">
      <w:pPr>
        <w:pStyle w:val="Heading2"/>
        <w:spacing w:line="360" w:lineRule="auto"/>
        <w:rPr>
          <w:rFonts w:ascii="Arial" w:hAnsi="Arial" w:cs="Arial"/>
          <w:sz w:val="22"/>
          <w:szCs w:val="22"/>
        </w:rPr>
      </w:pPr>
      <w:bookmarkStart w:id="13" w:name="_Toc141033539"/>
      <w:r w:rsidRPr="00216310">
        <w:rPr>
          <w:rFonts w:ascii="Arial" w:hAnsi="Arial" w:cs="Arial"/>
          <w:sz w:val="22"/>
          <w:szCs w:val="22"/>
        </w:rPr>
        <w:t xml:space="preserve">4.1 </w:t>
      </w:r>
      <w:r w:rsidR="00B83B35" w:rsidRPr="00216310">
        <w:rPr>
          <w:rFonts w:ascii="Arial" w:hAnsi="Arial" w:cs="Arial"/>
          <w:sz w:val="22"/>
          <w:szCs w:val="22"/>
        </w:rPr>
        <w:t xml:space="preserve">Research </w:t>
      </w:r>
      <w:r w:rsidR="00974DC5" w:rsidRPr="00216310">
        <w:rPr>
          <w:rFonts w:ascii="Arial" w:hAnsi="Arial" w:cs="Arial"/>
          <w:sz w:val="22"/>
          <w:szCs w:val="22"/>
        </w:rPr>
        <w:t>Strategy</w:t>
      </w:r>
      <w:bookmarkEnd w:id="13"/>
    </w:p>
    <w:p w14:paraId="1A487EB6" w14:textId="725A867D" w:rsidR="006A1F24" w:rsidRPr="00216310" w:rsidRDefault="00110825" w:rsidP="008C4494">
      <w:pPr>
        <w:spacing w:line="360" w:lineRule="auto"/>
        <w:jc w:val="both"/>
        <w:rPr>
          <w:rFonts w:ascii="Arial" w:hAnsi="Arial" w:cs="Arial"/>
          <w:sz w:val="20"/>
          <w:szCs w:val="20"/>
        </w:rPr>
      </w:pPr>
      <w:r w:rsidRPr="00216310">
        <w:rPr>
          <w:rFonts w:ascii="Arial" w:hAnsi="Arial" w:cs="Arial"/>
          <w:sz w:val="20"/>
          <w:szCs w:val="20"/>
        </w:rPr>
        <w:t>This study follow</w:t>
      </w:r>
      <w:r w:rsidR="00276ED9" w:rsidRPr="00216310">
        <w:rPr>
          <w:rFonts w:ascii="Arial" w:hAnsi="Arial" w:cs="Arial"/>
          <w:sz w:val="20"/>
          <w:szCs w:val="20"/>
        </w:rPr>
        <w:t>ed</w:t>
      </w:r>
      <w:r w:rsidRPr="00216310">
        <w:rPr>
          <w:rFonts w:ascii="Arial" w:hAnsi="Arial" w:cs="Arial"/>
          <w:sz w:val="20"/>
          <w:szCs w:val="20"/>
        </w:rPr>
        <w:t xml:space="preserve"> a positivistic philosophy in which the researcher believes that knowledge in the environment can be gained through observation, collects and analyses data objectively, findings are quantifiable, and hypotheses are formulated that can be tested and verified.</w:t>
      </w:r>
      <w:r w:rsidR="006A1F24" w:rsidRPr="00216310">
        <w:rPr>
          <w:rFonts w:ascii="Arial" w:hAnsi="Arial" w:cs="Arial"/>
          <w:sz w:val="20"/>
          <w:szCs w:val="20"/>
        </w:rPr>
        <w:t xml:space="preserve"> </w:t>
      </w:r>
    </w:p>
    <w:p w14:paraId="02C6C6C8" w14:textId="7CF8EB9F" w:rsidR="00B04E70" w:rsidRPr="00216310" w:rsidRDefault="00974DC5" w:rsidP="008C4494">
      <w:pPr>
        <w:spacing w:line="360" w:lineRule="auto"/>
        <w:jc w:val="both"/>
        <w:rPr>
          <w:rFonts w:ascii="Arial" w:hAnsi="Arial" w:cs="Arial"/>
          <w:sz w:val="20"/>
          <w:szCs w:val="20"/>
        </w:rPr>
      </w:pPr>
      <w:r w:rsidRPr="00216310">
        <w:rPr>
          <w:rFonts w:ascii="Arial" w:hAnsi="Arial" w:cs="Arial"/>
          <w:sz w:val="20"/>
          <w:szCs w:val="20"/>
        </w:rPr>
        <w:t>Further, t</w:t>
      </w:r>
      <w:r w:rsidR="00B04E70" w:rsidRPr="00216310">
        <w:rPr>
          <w:rFonts w:ascii="Arial" w:hAnsi="Arial" w:cs="Arial"/>
          <w:sz w:val="20"/>
          <w:szCs w:val="20"/>
        </w:rPr>
        <w:t xml:space="preserve">his study employs </w:t>
      </w:r>
      <w:r w:rsidR="00B462C0" w:rsidRPr="00216310">
        <w:rPr>
          <w:rFonts w:ascii="Arial" w:hAnsi="Arial" w:cs="Arial"/>
          <w:sz w:val="20"/>
          <w:szCs w:val="20"/>
        </w:rPr>
        <w:t>a deductive</w:t>
      </w:r>
      <w:r w:rsidR="00B04E70" w:rsidRPr="00216310">
        <w:rPr>
          <w:rFonts w:ascii="Arial" w:hAnsi="Arial" w:cs="Arial"/>
          <w:sz w:val="20"/>
          <w:szCs w:val="20"/>
        </w:rPr>
        <w:t xml:space="preserve"> methodology, whereby the researcher first develops a theory about the subject of interest, then refines that theory into more precise hypotheses and</w:t>
      </w:r>
      <w:r w:rsidR="00B462C0" w:rsidRPr="00216310">
        <w:rPr>
          <w:rFonts w:ascii="Arial" w:hAnsi="Arial" w:cs="Arial"/>
          <w:sz w:val="20"/>
          <w:szCs w:val="20"/>
        </w:rPr>
        <w:t xml:space="preserve"> </w:t>
      </w:r>
      <w:r w:rsidR="00B04E70" w:rsidRPr="00216310">
        <w:rPr>
          <w:rFonts w:ascii="Arial" w:hAnsi="Arial" w:cs="Arial"/>
          <w:sz w:val="20"/>
          <w:szCs w:val="20"/>
        </w:rPr>
        <w:t>conducts the study in a non-contrived study setting.</w:t>
      </w:r>
      <w:r w:rsidRPr="00216310">
        <w:rPr>
          <w:rFonts w:ascii="Arial" w:hAnsi="Arial" w:cs="Arial"/>
          <w:sz w:val="20"/>
          <w:szCs w:val="20"/>
        </w:rPr>
        <w:t xml:space="preserve"> The quantitative method w</w:t>
      </w:r>
      <w:r w:rsidR="00DC623D" w:rsidRPr="00216310">
        <w:rPr>
          <w:rFonts w:ascii="Arial" w:hAnsi="Arial" w:cs="Arial"/>
          <w:sz w:val="20"/>
          <w:szCs w:val="20"/>
        </w:rPr>
        <w:t>a</w:t>
      </w:r>
      <w:r w:rsidR="00276ED9" w:rsidRPr="00216310">
        <w:rPr>
          <w:rFonts w:ascii="Arial" w:hAnsi="Arial" w:cs="Arial"/>
          <w:sz w:val="20"/>
          <w:szCs w:val="20"/>
        </w:rPr>
        <w:t>s</w:t>
      </w:r>
      <w:r w:rsidRPr="00216310">
        <w:rPr>
          <w:rFonts w:ascii="Arial" w:hAnsi="Arial" w:cs="Arial"/>
          <w:sz w:val="20"/>
          <w:szCs w:val="20"/>
        </w:rPr>
        <w:t xml:space="preserve"> the most appropriate methodological choice for this sort of study since it involves the collection of quantitative data using predetermined instruments and the researcher uses mathematical models as the methodology of data analysis.</w:t>
      </w:r>
    </w:p>
    <w:p w14:paraId="4F4E5E55" w14:textId="2FA10584" w:rsidR="00B83B35" w:rsidRPr="00216310" w:rsidRDefault="00216310" w:rsidP="008C4494">
      <w:pPr>
        <w:pStyle w:val="Heading2"/>
        <w:spacing w:line="360" w:lineRule="auto"/>
        <w:rPr>
          <w:rFonts w:ascii="Arial" w:hAnsi="Arial" w:cs="Arial"/>
          <w:sz w:val="22"/>
          <w:szCs w:val="22"/>
        </w:rPr>
      </w:pPr>
      <w:bookmarkStart w:id="14" w:name="_Toc141033540"/>
      <w:r w:rsidRPr="00216310">
        <w:rPr>
          <w:rFonts w:ascii="Arial" w:hAnsi="Arial" w:cs="Arial"/>
          <w:sz w:val="22"/>
          <w:szCs w:val="22"/>
        </w:rPr>
        <w:t xml:space="preserve">4.2 </w:t>
      </w:r>
      <w:r w:rsidR="00B83B35" w:rsidRPr="00216310">
        <w:rPr>
          <w:rFonts w:ascii="Arial" w:hAnsi="Arial" w:cs="Arial"/>
          <w:sz w:val="22"/>
          <w:szCs w:val="22"/>
        </w:rPr>
        <w:t>Sampling procedure</w:t>
      </w:r>
      <w:bookmarkEnd w:id="14"/>
    </w:p>
    <w:p w14:paraId="15AEEC6E" w14:textId="6FA668D0" w:rsidR="006A1F24" w:rsidRPr="00216310" w:rsidRDefault="006776C6" w:rsidP="008C4494">
      <w:pPr>
        <w:spacing w:line="360" w:lineRule="auto"/>
        <w:jc w:val="both"/>
        <w:rPr>
          <w:rFonts w:ascii="Arial" w:hAnsi="Arial" w:cs="Arial"/>
          <w:sz w:val="20"/>
          <w:szCs w:val="20"/>
        </w:rPr>
      </w:pPr>
      <w:r w:rsidRPr="00216310">
        <w:rPr>
          <w:rFonts w:ascii="Arial" w:hAnsi="Arial" w:cs="Arial"/>
          <w:sz w:val="20"/>
          <w:szCs w:val="20"/>
        </w:rPr>
        <w:t xml:space="preserve">The target population of this study constitutes of working women who belong to the formal sector in </w:t>
      </w:r>
      <w:r w:rsidR="0023400A" w:rsidRPr="00216310">
        <w:rPr>
          <w:rFonts w:ascii="Arial" w:hAnsi="Arial" w:cs="Arial"/>
          <w:sz w:val="20"/>
          <w:szCs w:val="20"/>
        </w:rPr>
        <w:t>Sri Lanka</w:t>
      </w:r>
      <w:r w:rsidRPr="00216310">
        <w:rPr>
          <w:rFonts w:ascii="Arial" w:hAnsi="Arial" w:cs="Arial"/>
          <w:sz w:val="20"/>
          <w:szCs w:val="20"/>
        </w:rPr>
        <w:t>. Formal employees are the workers whose employer contributes to the provident fund on behalf of them (</w:t>
      </w:r>
      <w:proofErr w:type="spellStart"/>
      <w:r w:rsidRPr="00216310">
        <w:rPr>
          <w:rFonts w:ascii="Arial" w:hAnsi="Arial" w:cs="Arial"/>
          <w:sz w:val="20"/>
          <w:szCs w:val="20"/>
        </w:rPr>
        <w:t>Arunatilake</w:t>
      </w:r>
      <w:proofErr w:type="spellEnd"/>
      <w:r w:rsidRPr="00216310">
        <w:rPr>
          <w:rFonts w:ascii="Arial" w:hAnsi="Arial" w:cs="Arial"/>
          <w:sz w:val="20"/>
          <w:szCs w:val="20"/>
        </w:rPr>
        <w:t xml:space="preserve"> &amp; Ranasinghe, 2023). </w:t>
      </w:r>
    </w:p>
    <w:p w14:paraId="407B3F10" w14:textId="6CE13F2C" w:rsidR="00533BD1" w:rsidRPr="00216310" w:rsidRDefault="006776C6" w:rsidP="008C4494">
      <w:pPr>
        <w:spacing w:line="360" w:lineRule="auto"/>
        <w:jc w:val="both"/>
        <w:rPr>
          <w:rFonts w:ascii="Arial" w:hAnsi="Arial" w:cs="Arial"/>
          <w:sz w:val="20"/>
          <w:szCs w:val="20"/>
        </w:rPr>
      </w:pPr>
      <w:r w:rsidRPr="00216310">
        <w:rPr>
          <w:rFonts w:ascii="Arial" w:hAnsi="Arial" w:cs="Arial"/>
          <w:sz w:val="20"/>
          <w:szCs w:val="20"/>
        </w:rPr>
        <w:t xml:space="preserve">Since the data regarding the study population is not available, according to </w:t>
      </w:r>
      <w:proofErr w:type="spellStart"/>
      <w:r w:rsidRPr="00216310">
        <w:rPr>
          <w:rFonts w:ascii="Arial" w:hAnsi="Arial" w:cs="Arial"/>
          <w:sz w:val="20"/>
          <w:szCs w:val="20"/>
        </w:rPr>
        <w:t>Krejcie</w:t>
      </w:r>
      <w:proofErr w:type="spellEnd"/>
      <w:r w:rsidRPr="00216310">
        <w:rPr>
          <w:rFonts w:ascii="Arial" w:hAnsi="Arial" w:cs="Arial"/>
          <w:sz w:val="20"/>
          <w:szCs w:val="20"/>
        </w:rPr>
        <w:t xml:space="preserve"> and Morgan (1970), 384 samples </w:t>
      </w:r>
      <w:r w:rsidR="00276ED9" w:rsidRPr="00216310">
        <w:rPr>
          <w:rFonts w:ascii="Arial" w:hAnsi="Arial" w:cs="Arial"/>
          <w:sz w:val="20"/>
          <w:szCs w:val="20"/>
        </w:rPr>
        <w:t xml:space="preserve">must be used, which is the maximum number of samples that need to be included with a confidence level of 95% and a </w:t>
      </w:r>
      <w:r w:rsidRPr="00216310">
        <w:rPr>
          <w:rFonts w:ascii="Arial" w:hAnsi="Arial" w:cs="Arial"/>
          <w:sz w:val="20"/>
          <w:szCs w:val="20"/>
        </w:rPr>
        <w:t xml:space="preserve">margin </w:t>
      </w:r>
      <w:r w:rsidR="0023400A" w:rsidRPr="00216310">
        <w:rPr>
          <w:rFonts w:ascii="Arial" w:hAnsi="Arial" w:cs="Arial"/>
          <w:sz w:val="20"/>
          <w:szCs w:val="20"/>
        </w:rPr>
        <w:t xml:space="preserve">of </w:t>
      </w:r>
      <w:r w:rsidRPr="00216310">
        <w:rPr>
          <w:rFonts w:ascii="Arial" w:hAnsi="Arial" w:cs="Arial"/>
          <w:sz w:val="20"/>
          <w:szCs w:val="20"/>
        </w:rPr>
        <w:t>error of 5%.</w:t>
      </w:r>
      <w:r w:rsidR="00D50416" w:rsidRPr="00216310">
        <w:rPr>
          <w:rFonts w:ascii="Arial" w:hAnsi="Arial" w:cs="Arial"/>
          <w:sz w:val="20"/>
          <w:szCs w:val="20"/>
        </w:rPr>
        <w:t xml:space="preserve"> Having decided </w:t>
      </w:r>
      <w:r w:rsidR="00C850D3" w:rsidRPr="00216310">
        <w:rPr>
          <w:rFonts w:ascii="Arial" w:hAnsi="Arial" w:cs="Arial"/>
          <w:sz w:val="20"/>
          <w:szCs w:val="20"/>
        </w:rPr>
        <w:t xml:space="preserve">on </w:t>
      </w:r>
      <w:r w:rsidR="00D50416" w:rsidRPr="00216310">
        <w:rPr>
          <w:rFonts w:ascii="Arial" w:hAnsi="Arial" w:cs="Arial"/>
          <w:sz w:val="20"/>
          <w:szCs w:val="20"/>
        </w:rPr>
        <w:t xml:space="preserve">the likely suitable sample size, this study employs the </w:t>
      </w:r>
      <w:r w:rsidR="00533ACF" w:rsidRPr="00216310">
        <w:rPr>
          <w:rFonts w:ascii="Arial" w:hAnsi="Arial" w:cs="Arial"/>
          <w:sz w:val="20"/>
          <w:szCs w:val="20"/>
        </w:rPr>
        <w:t>purposive</w:t>
      </w:r>
      <w:r w:rsidR="00D50416" w:rsidRPr="00216310">
        <w:rPr>
          <w:rFonts w:ascii="Arial" w:hAnsi="Arial" w:cs="Arial"/>
          <w:sz w:val="20"/>
          <w:szCs w:val="20"/>
        </w:rPr>
        <w:t xml:space="preserve"> sampling technique of the non-probability sampling method</w:t>
      </w:r>
      <w:r w:rsidR="00276ED9" w:rsidRPr="00216310">
        <w:rPr>
          <w:rFonts w:ascii="Arial" w:hAnsi="Arial" w:cs="Arial"/>
          <w:sz w:val="20"/>
          <w:szCs w:val="20"/>
        </w:rPr>
        <w:t>.</w:t>
      </w:r>
      <w:r w:rsidR="0023400A" w:rsidRPr="00216310">
        <w:rPr>
          <w:rFonts w:ascii="Arial" w:hAnsi="Arial" w:cs="Arial"/>
          <w:sz w:val="20"/>
          <w:szCs w:val="20"/>
        </w:rPr>
        <w:t xml:space="preserve"> Accordingly, the study ended up collecting data from 198 respondents with a response rate of 51.58%.</w:t>
      </w:r>
    </w:p>
    <w:p w14:paraId="3CEE0656" w14:textId="679B1A13" w:rsidR="00B83B35" w:rsidRPr="00216310" w:rsidRDefault="00216310" w:rsidP="008C4494">
      <w:pPr>
        <w:pStyle w:val="Heading2"/>
        <w:spacing w:line="360" w:lineRule="auto"/>
        <w:rPr>
          <w:rFonts w:ascii="Arial" w:hAnsi="Arial" w:cs="Arial"/>
          <w:sz w:val="22"/>
          <w:szCs w:val="22"/>
        </w:rPr>
      </w:pPr>
      <w:bookmarkStart w:id="15" w:name="_Toc141033543"/>
      <w:r w:rsidRPr="00216310">
        <w:rPr>
          <w:rFonts w:ascii="Arial" w:hAnsi="Arial" w:cs="Arial"/>
          <w:sz w:val="22"/>
          <w:szCs w:val="22"/>
        </w:rPr>
        <w:t xml:space="preserve">4.3 </w:t>
      </w:r>
      <w:r w:rsidR="00B83B35" w:rsidRPr="00216310">
        <w:rPr>
          <w:rFonts w:ascii="Arial" w:hAnsi="Arial" w:cs="Arial"/>
          <w:sz w:val="22"/>
          <w:szCs w:val="22"/>
        </w:rPr>
        <w:t>Data collection</w:t>
      </w:r>
      <w:bookmarkEnd w:id="15"/>
    </w:p>
    <w:p w14:paraId="0FAA372A" w14:textId="4C840B66" w:rsidR="00974DC5" w:rsidRPr="00216310" w:rsidRDefault="00974DC5" w:rsidP="008C4494">
      <w:pPr>
        <w:spacing w:line="360" w:lineRule="auto"/>
        <w:jc w:val="both"/>
        <w:rPr>
          <w:rFonts w:ascii="Arial" w:hAnsi="Arial" w:cs="Arial"/>
          <w:sz w:val="20"/>
          <w:szCs w:val="20"/>
        </w:rPr>
      </w:pPr>
      <w:r w:rsidRPr="00216310">
        <w:rPr>
          <w:rFonts w:ascii="Arial" w:hAnsi="Arial" w:cs="Arial"/>
          <w:sz w:val="20"/>
          <w:szCs w:val="20"/>
        </w:rPr>
        <w:t xml:space="preserve">This study </w:t>
      </w:r>
      <w:r w:rsidR="00747601" w:rsidRPr="00216310">
        <w:rPr>
          <w:rFonts w:ascii="Arial" w:hAnsi="Arial" w:cs="Arial"/>
          <w:sz w:val="20"/>
          <w:szCs w:val="20"/>
        </w:rPr>
        <w:t>has used</w:t>
      </w:r>
      <w:r w:rsidRPr="00216310">
        <w:rPr>
          <w:rFonts w:ascii="Arial" w:hAnsi="Arial" w:cs="Arial"/>
          <w:sz w:val="20"/>
          <w:szCs w:val="20"/>
        </w:rPr>
        <w:t xml:space="preserve"> a survey strategy which enable</w:t>
      </w:r>
      <w:r w:rsidR="00747601" w:rsidRPr="00216310">
        <w:rPr>
          <w:rFonts w:ascii="Arial" w:hAnsi="Arial" w:cs="Arial"/>
          <w:sz w:val="20"/>
          <w:szCs w:val="20"/>
        </w:rPr>
        <w:t>d</w:t>
      </w:r>
      <w:r w:rsidRPr="00216310">
        <w:rPr>
          <w:rFonts w:ascii="Arial" w:hAnsi="Arial" w:cs="Arial"/>
          <w:sz w:val="20"/>
          <w:szCs w:val="20"/>
        </w:rPr>
        <w:t xml:space="preserve"> the researcher</w:t>
      </w:r>
      <w:r w:rsidR="00747601" w:rsidRPr="00216310">
        <w:rPr>
          <w:rFonts w:ascii="Arial" w:hAnsi="Arial" w:cs="Arial"/>
          <w:sz w:val="20"/>
          <w:szCs w:val="20"/>
        </w:rPr>
        <w:t>s</w:t>
      </w:r>
      <w:r w:rsidRPr="00216310">
        <w:rPr>
          <w:rFonts w:ascii="Arial" w:hAnsi="Arial" w:cs="Arial"/>
          <w:sz w:val="20"/>
          <w:szCs w:val="20"/>
        </w:rPr>
        <w:t xml:space="preserve"> to collect a huge amount of data from a sizeable target population. The data collected </w:t>
      </w:r>
      <w:r w:rsidR="00747601" w:rsidRPr="00216310">
        <w:rPr>
          <w:rFonts w:ascii="Arial" w:hAnsi="Arial" w:cs="Arial"/>
          <w:sz w:val="20"/>
          <w:szCs w:val="20"/>
        </w:rPr>
        <w:t>was</w:t>
      </w:r>
      <w:r w:rsidRPr="00216310">
        <w:rPr>
          <w:rFonts w:ascii="Arial" w:hAnsi="Arial" w:cs="Arial"/>
          <w:sz w:val="20"/>
          <w:szCs w:val="20"/>
        </w:rPr>
        <w:t xml:space="preserve"> analyzed using descriptive and inferential analysis tools. To gather primary data, a self-reporting questionnaire </w:t>
      </w:r>
      <w:r w:rsidR="00747601" w:rsidRPr="00216310">
        <w:rPr>
          <w:rFonts w:ascii="Arial" w:hAnsi="Arial" w:cs="Arial"/>
          <w:sz w:val="20"/>
          <w:szCs w:val="20"/>
        </w:rPr>
        <w:t>was</w:t>
      </w:r>
      <w:r w:rsidRPr="00216310">
        <w:rPr>
          <w:rFonts w:ascii="Arial" w:hAnsi="Arial" w:cs="Arial"/>
          <w:sz w:val="20"/>
          <w:szCs w:val="20"/>
        </w:rPr>
        <w:t xml:space="preserve"> issued to all the women working in the formal sector in Sri Lanka. In addition, secondary data were collected based on various sources such as journal articles published papers, </w:t>
      </w:r>
      <w:r w:rsidR="00B31A3E" w:rsidRPr="00216310">
        <w:rPr>
          <w:rFonts w:ascii="Arial" w:hAnsi="Arial" w:cs="Arial"/>
          <w:sz w:val="20"/>
          <w:szCs w:val="20"/>
        </w:rPr>
        <w:t>and websites</w:t>
      </w:r>
      <w:r w:rsidRPr="00216310">
        <w:rPr>
          <w:rFonts w:ascii="Arial" w:hAnsi="Arial" w:cs="Arial"/>
          <w:sz w:val="20"/>
          <w:szCs w:val="20"/>
        </w:rPr>
        <w:t xml:space="preserve"> of the relevant institutions.</w:t>
      </w:r>
    </w:p>
    <w:p w14:paraId="1275E7B6" w14:textId="333BBB59" w:rsidR="00B83B35" w:rsidRPr="00216310" w:rsidRDefault="00216310" w:rsidP="008C4494">
      <w:pPr>
        <w:pStyle w:val="Heading2"/>
        <w:spacing w:line="360" w:lineRule="auto"/>
        <w:rPr>
          <w:rFonts w:ascii="Arial" w:hAnsi="Arial" w:cs="Arial"/>
          <w:sz w:val="22"/>
          <w:szCs w:val="22"/>
        </w:rPr>
      </w:pPr>
      <w:bookmarkStart w:id="16" w:name="_Toc141033544"/>
      <w:r w:rsidRPr="00216310">
        <w:rPr>
          <w:rFonts w:ascii="Arial" w:hAnsi="Arial" w:cs="Arial"/>
          <w:sz w:val="22"/>
          <w:szCs w:val="22"/>
        </w:rPr>
        <w:t xml:space="preserve">4.4 </w:t>
      </w:r>
      <w:r w:rsidR="00B83B35" w:rsidRPr="00216310">
        <w:rPr>
          <w:rFonts w:ascii="Arial" w:hAnsi="Arial" w:cs="Arial"/>
          <w:sz w:val="22"/>
          <w:szCs w:val="22"/>
        </w:rPr>
        <w:t>Data analysis</w:t>
      </w:r>
      <w:bookmarkEnd w:id="16"/>
    </w:p>
    <w:p w14:paraId="4EEFA9A4" w14:textId="5DFB8F07" w:rsidR="00F756A4" w:rsidRPr="00216310" w:rsidRDefault="00F756A4" w:rsidP="008C4494">
      <w:pPr>
        <w:spacing w:line="360" w:lineRule="auto"/>
        <w:jc w:val="both"/>
        <w:rPr>
          <w:rFonts w:ascii="Arial" w:hAnsi="Arial" w:cs="Arial"/>
          <w:sz w:val="20"/>
          <w:szCs w:val="20"/>
        </w:rPr>
      </w:pPr>
      <w:r w:rsidRPr="00216310">
        <w:rPr>
          <w:rFonts w:ascii="Arial" w:hAnsi="Arial" w:cs="Arial"/>
          <w:sz w:val="20"/>
          <w:szCs w:val="20"/>
        </w:rPr>
        <w:t>To analyze the first objective</w:t>
      </w:r>
      <w:r w:rsidR="00CB08C6" w:rsidRPr="00216310">
        <w:rPr>
          <w:rFonts w:ascii="Arial" w:hAnsi="Arial" w:cs="Arial"/>
          <w:sz w:val="20"/>
          <w:szCs w:val="20"/>
        </w:rPr>
        <w:t>,</w:t>
      </w:r>
      <w:r w:rsidRPr="00216310">
        <w:rPr>
          <w:rFonts w:ascii="Arial" w:hAnsi="Arial" w:cs="Arial"/>
          <w:sz w:val="20"/>
          <w:szCs w:val="20"/>
        </w:rPr>
        <w:t xml:space="preserve"> this study </w:t>
      </w:r>
      <w:r w:rsidR="00CB08C6" w:rsidRPr="00216310">
        <w:rPr>
          <w:rFonts w:ascii="Arial" w:hAnsi="Arial" w:cs="Arial"/>
          <w:sz w:val="20"/>
          <w:szCs w:val="20"/>
        </w:rPr>
        <w:t>utilized</w:t>
      </w:r>
      <w:r w:rsidRPr="00216310">
        <w:rPr>
          <w:rFonts w:ascii="Arial" w:hAnsi="Arial" w:cs="Arial"/>
          <w:sz w:val="20"/>
          <w:szCs w:val="20"/>
        </w:rPr>
        <w:t xml:space="preserve"> bivariate correlation analysis. The direction, strength, and significance of the bivariate relationship between the variables </w:t>
      </w:r>
      <w:r w:rsidR="00CB08C6" w:rsidRPr="00216310">
        <w:rPr>
          <w:rFonts w:ascii="Arial" w:hAnsi="Arial" w:cs="Arial"/>
          <w:sz w:val="20"/>
          <w:szCs w:val="20"/>
        </w:rPr>
        <w:t>were</w:t>
      </w:r>
      <w:r w:rsidRPr="00216310">
        <w:rPr>
          <w:rFonts w:ascii="Arial" w:hAnsi="Arial" w:cs="Arial"/>
          <w:sz w:val="20"/>
          <w:szCs w:val="20"/>
        </w:rPr>
        <w:t xml:space="preserve"> evaluated by the Pearson correlation coefficient. According to </w:t>
      </w:r>
      <w:proofErr w:type="spellStart"/>
      <w:r w:rsidRPr="00216310">
        <w:rPr>
          <w:rFonts w:ascii="Arial" w:hAnsi="Arial" w:cs="Arial"/>
          <w:sz w:val="20"/>
          <w:szCs w:val="20"/>
        </w:rPr>
        <w:t>Gogtay</w:t>
      </w:r>
      <w:proofErr w:type="spellEnd"/>
      <w:r w:rsidRPr="00216310">
        <w:rPr>
          <w:rFonts w:ascii="Arial" w:hAnsi="Arial" w:cs="Arial"/>
          <w:sz w:val="20"/>
          <w:szCs w:val="20"/>
        </w:rPr>
        <w:t xml:space="preserve"> &amp; </w:t>
      </w:r>
      <w:proofErr w:type="spellStart"/>
      <w:r w:rsidRPr="00216310">
        <w:rPr>
          <w:rFonts w:ascii="Arial" w:hAnsi="Arial" w:cs="Arial"/>
          <w:sz w:val="20"/>
          <w:szCs w:val="20"/>
        </w:rPr>
        <w:t>Thatte</w:t>
      </w:r>
      <w:proofErr w:type="spellEnd"/>
      <w:r w:rsidRPr="00216310">
        <w:rPr>
          <w:rFonts w:ascii="Arial" w:hAnsi="Arial" w:cs="Arial"/>
          <w:sz w:val="20"/>
          <w:szCs w:val="20"/>
        </w:rPr>
        <w:t xml:space="preserve"> (2017), the correlation coefficient values (r) ranging from 0.10 to </w:t>
      </w:r>
      <w:r w:rsidRPr="00216310">
        <w:rPr>
          <w:rFonts w:ascii="Arial" w:hAnsi="Arial" w:cs="Arial"/>
          <w:sz w:val="20"/>
          <w:szCs w:val="20"/>
        </w:rPr>
        <w:lastRenderedPageBreak/>
        <w:t>0.29 are considered weak, from 0.30 to 0.49 are considered medium and from 0.50 to 1.0 are considered strong.</w:t>
      </w:r>
    </w:p>
    <w:p w14:paraId="347B5AB3" w14:textId="7571BDFB" w:rsidR="00701669" w:rsidRPr="00216310" w:rsidRDefault="00F756A4" w:rsidP="00DA626D">
      <w:pPr>
        <w:spacing w:line="360" w:lineRule="auto"/>
        <w:jc w:val="both"/>
        <w:rPr>
          <w:rFonts w:ascii="Arial" w:hAnsi="Arial" w:cs="Arial"/>
          <w:b/>
          <w:bCs/>
          <w:sz w:val="20"/>
          <w:szCs w:val="20"/>
        </w:rPr>
      </w:pPr>
      <w:r w:rsidRPr="00216310">
        <w:rPr>
          <w:rFonts w:ascii="Arial" w:hAnsi="Arial" w:cs="Arial"/>
          <w:sz w:val="20"/>
          <w:szCs w:val="20"/>
        </w:rPr>
        <w:t>In order to achieve the mediational effect of risk-taking ability this study follow</w:t>
      </w:r>
      <w:r w:rsidR="00CB08C6" w:rsidRPr="00216310">
        <w:rPr>
          <w:rFonts w:ascii="Arial" w:hAnsi="Arial" w:cs="Arial"/>
          <w:sz w:val="20"/>
          <w:szCs w:val="20"/>
        </w:rPr>
        <w:t>ed</w:t>
      </w:r>
      <w:r w:rsidRPr="00216310">
        <w:rPr>
          <w:rFonts w:ascii="Arial" w:hAnsi="Arial" w:cs="Arial"/>
          <w:sz w:val="20"/>
          <w:szCs w:val="20"/>
        </w:rPr>
        <w:t xml:space="preserve"> </w:t>
      </w:r>
      <w:proofErr w:type="spellStart"/>
      <w:r w:rsidR="00DA626D" w:rsidRPr="00216310">
        <w:rPr>
          <w:rFonts w:ascii="Arial" w:hAnsi="Arial" w:cs="Arial"/>
          <w:sz w:val="20"/>
          <w:szCs w:val="20"/>
        </w:rPr>
        <w:t>Heyes</w:t>
      </w:r>
      <w:proofErr w:type="spellEnd"/>
      <w:r w:rsidR="00DA626D" w:rsidRPr="00216310">
        <w:rPr>
          <w:rFonts w:ascii="Arial" w:hAnsi="Arial" w:cs="Arial"/>
          <w:sz w:val="20"/>
          <w:szCs w:val="20"/>
        </w:rPr>
        <w:t xml:space="preserve"> </w:t>
      </w:r>
      <w:r w:rsidR="00EB5607" w:rsidRPr="00216310">
        <w:rPr>
          <w:rFonts w:ascii="Arial" w:hAnsi="Arial" w:cs="Arial"/>
          <w:sz w:val="20"/>
          <w:szCs w:val="20"/>
        </w:rPr>
        <w:t xml:space="preserve">PROCESS Model 4. </w:t>
      </w:r>
      <w:r w:rsidR="006F2CA1" w:rsidRPr="00216310">
        <w:rPr>
          <w:rFonts w:ascii="Arial" w:hAnsi="Arial" w:cs="Arial"/>
          <w:sz w:val="20"/>
          <w:szCs w:val="20"/>
        </w:rPr>
        <w:t>Process Macro constitutes a bootstrapping statistical computational tool developed by Andrew Hayes as an enhancement for both SPSS and SAS software platforms (Hayes</w:t>
      </w:r>
      <w:r w:rsidR="00DD1E42" w:rsidRPr="00216310">
        <w:rPr>
          <w:rFonts w:ascii="Arial" w:hAnsi="Arial" w:cs="Arial"/>
          <w:sz w:val="20"/>
          <w:szCs w:val="20"/>
        </w:rPr>
        <w:t>,</w:t>
      </w:r>
      <w:r w:rsidR="006F2CA1" w:rsidRPr="00216310">
        <w:rPr>
          <w:rFonts w:ascii="Arial" w:hAnsi="Arial" w:cs="Arial"/>
          <w:sz w:val="20"/>
          <w:szCs w:val="20"/>
        </w:rPr>
        <w:t xml:space="preserve"> 201</w:t>
      </w:r>
      <w:r w:rsidR="008C6950">
        <w:rPr>
          <w:rFonts w:ascii="Arial" w:hAnsi="Arial" w:cs="Arial"/>
          <w:sz w:val="20"/>
          <w:szCs w:val="20"/>
        </w:rPr>
        <w:t>7</w:t>
      </w:r>
      <w:r w:rsidR="006F2CA1" w:rsidRPr="00216310">
        <w:rPr>
          <w:rFonts w:ascii="Arial" w:hAnsi="Arial" w:cs="Arial"/>
          <w:sz w:val="20"/>
          <w:szCs w:val="20"/>
        </w:rPr>
        <w:t>). This program is employed to investigate the influence of one or more mediating or moderating variables on the correlation between independent and dependent variables. The software calculates the direct, indirect, and total effects of variable X on variable Y, in addition to providing unstandardized and standardized regression coefficients, standard errors, and various statistical measures including t and p values as well as R² (</w:t>
      </w:r>
      <w:r w:rsidR="006F2CA1" w:rsidRPr="00216310">
        <w:rPr>
          <w:rFonts w:ascii="Arial" w:hAnsi="Arial" w:cs="Arial"/>
          <w:color w:val="222222"/>
          <w:sz w:val="20"/>
          <w:szCs w:val="20"/>
          <w:shd w:val="clear" w:color="auto" w:fill="FFFFFF"/>
        </w:rPr>
        <w:t>Abu-Bader &amp; Jones, 2021).</w:t>
      </w:r>
    </w:p>
    <w:p w14:paraId="5FFF3217" w14:textId="3EA2264E" w:rsidR="00533BD1" w:rsidRPr="00216310" w:rsidRDefault="00533BD1" w:rsidP="008C4494">
      <w:pPr>
        <w:autoSpaceDE w:val="0"/>
        <w:autoSpaceDN w:val="0"/>
        <w:adjustRightInd w:val="0"/>
        <w:spacing w:after="0" w:line="360" w:lineRule="auto"/>
        <w:jc w:val="both"/>
        <w:rPr>
          <w:rFonts w:ascii="Arial" w:hAnsi="Arial" w:cs="Arial"/>
          <w:sz w:val="20"/>
        </w:rPr>
      </w:pPr>
      <w:bookmarkStart w:id="17" w:name="_Hlk141032748"/>
      <w:r w:rsidRPr="00216310">
        <w:rPr>
          <w:rFonts w:ascii="Arial" w:hAnsi="Arial" w:cs="Arial"/>
          <w:sz w:val="20"/>
        </w:rPr>
        <w:t>A test of statistical significance as proposed by Sobel (1982) will be used to test the statistical significance of the mediation. The Sobel test involves the multiplication of a and b coefficient estimates and determining the ratio of the resulting value to standard error. Sobel (1982) proposed the use of the following formula:</w:t>
      </w:r>
    </w:p>
    <w:p w14:paraId="5C317F69"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noProof/>
          <w:sz w:val="20"/>
        </w:rPr>
        <mc:AlternateContent>
          <mc:Choice Requires="wpg">
            <w:drawing>
              <wp:anchor distT="0" distB="0" distL="114300" distR="114300" simplePos="0" relativeHeight="251693056" behindDoc="0" locked="0" layoutInCell="1" allowOverlap="1" wp14:anchorId="5900630C" wp14:editId="7EE4B300">
                <wp:simplePos x="0" y="0"/>
                <wp:positionH relativeFrom="column">
                  <wp:posOffset>1459382</wp:posOffset>
                </wp:positionH>
                <wp:positionV relativeFrom="paragraph">
                  <wp:posOffset>4369</wp:posOffset>
                </wp:positionV>
                <wp:extent cx="2626157" cy="577901"/>
                <wp:effectExtent l="0" t="0" r="3175" b="0"/>
                <wp:wrapNone/>
                <wp:docPr id="227" name="Group 227"/>
                <wp:cNvGraphicFramePr/>
                <a:graphic xmlns:a="http://schemas.openxmlformats.org/drawingml/2006/main">
                  <a:graphicData uri="http://schemas.microsoft.com/office/word/2010/wordprocessingGroup">
                    <wpg:wgp>
                      <wpg:cNvGrpSpPr/>
                      <wpg:grpSpPr>
                        <a:xfrm>
                          <a:off x="0" y="0"/>
                          <a:ext cx="2626157" cy="577901"/>
                          <a:chOff x="0" y="0"/>
                          <a:chExt cx="2574290" cy="609784"/>
                        </a:xfrm>
                      </wpg:grpSpPr>
                      <wps:wsp>
                        <wps:cNvPr id="228" name="Text Box 228"/>
                        <wps:cNvSpPr txBox="1"/>
                        <wps:spPr>
                          <a:xfrm>
                            <a:off x="0" y="0"/>
                            <a:ext cx="2574290" cy="609784"/>
                          </a:xfrm>
                          <a:prstGeom prst="rect">
                            <a:avLst/>
                          </a:prstGeom>
                          <a:solidFill>
                            <a:sysClr val="window" lastClr="FFFFFF"/>
                          </a:solidFill>
                          <a:ln w="6350">
                            <a:noFill/>
                          </a:ln>
                          <a:effectLst/>
                        </wps:spPr>
                        <wps:txbx>
                          <w:txbxContent>
                            <w:p w14:paraId="1BE10924" w14:textId="77777777" w:rsidR="0010558E" w:rsidRDefault="00135B5A" w:rsidP="00533BD1">
                              <m:oMathPara>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r>
                                        <w:rPr>
                                          <w:rFonts w:ascii="Cambria Math" w:hAnsi="Cambria Math" w:cs="Times New Roman"/>
                                          <w:color w:val="000000" w:themeColor="text1"/>
                                          <w:szCs w:val="24"/>
                                        </w:rPr>
                                        <m:t>b</m:t>
                                      </m:r>
                                    </m:num>
                                    <m:den>
                                      <m:rad>
                                        <m:radPr>
                                          <m:degHide m:val="1"/>
                                          <m:ctrlPr>
                                            <w:rPr>
                                              <w:rFonts w:ascii="Cambria Math" w:hAnsi="Cambria Math" w:cs="Times New Roman"/>
                                              <w:i/>
                                              <w:color w:val="000000" w:themeColor="text1"/>
                                              <w:szCs w:val="24"/>
                                            </w:rPr>
                                          </m:ctrlPr>
                                        </m:radPr>
                                        <m:deg/>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b</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a</m:t>
                                              </m:r>
                                            </m:sub>
                                            <m:sup>
                                              <m:r>
                                                <w:rPr>
                                                  <w:rFonts w:ascii="Cambria Math" w:hAnsi="Cambria Math" w:cs="Times New Roman"/>
                                                  <w:color w:val="000000" w:themeColor="text1"/>
                                                  <w:szCs w:val="24"/>
                                                </w:rPr>
                                                <m:t>2</m:t>
                                              </m:r>
                                            </m:sup>
                                          </m:sSubSup>
                                          <m:r>
                                            <w:rPr>
                                              <w:rFonts w:ascii="Cambria Math" w:hAnsi="Cambria Math" w:cs="Times New Roman"/>
                                              <w:color w:val="000000" w:themeColor="text1"/>
                                              <w:szCs w:val="24"/>
                                            </w:rPr>
                                            <m:t>+</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a</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b</m:t>
                                              </m:r>
                                            </m:sub>
                                            <m:sup>
                                              <m:r>
                                                <w:rPr>
                                                  <w:rFonts w:ascii="Cambria Math" w:hAnsi="Cambria Math" w:cs="Times New Roman"/>
                                                  <w:color w:val="000000" w:themeColor="text1"/>
                                                  <w:szCs w:val="24"/>
                                                </w:rPr>
                                                <m:t>2</m:t>
                                              </m:r>
                                            </m:sup>
                                          </m:sSubSup>
                                        </m:e>
                                      </m:rad>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15756" y="164633"/>
                            <a:ext cx="415980" cy="360679"/>
                          </a:xfrm>
                          <a:prstGeom prst="rect">
                            <a:avLst/>
                          </a:prstGeom>
                          <a:noFill/>
                          <a:ln w="6350">
                            <a:noFill/>
                          </a:ln>
                          <a:effectLst/>
                        </wps:spPr>
                        <wps:txbx>
                          <w:txbxContent>
                            <w:p w14:paraId="23286965" w14:textId="77777777" w:rsidR="0010558E" w:rsidRPr="00F14567" w:rsidRDefault="0010558E" w:rsidP="00533BD1">
                              <w:pPr>
                                <w:autoSpaceDE w:val="0"/>
                                <w:autoSpaceDN w:val="0"/>
                                <w:adjustRightInd w:val="0"/>
                                <w:spacing w:after="0" w:line="360" w:lineRule="auto"/>
                                <w:rPr>
                                  <w:rFonts w:cs="Times New Roman"/>
                                  <w:szCs w:val="24"/>
                                </w:rPr>
                              </w:pPr>
                              <w:r>
                                <w:rPr>
                                  <w:rFonts w:cs="Times New Roman"/>
                                  <w:szCs w:val="24"/>
                                </w:rPr>
                                <w:t>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00630C" id="Group 227" o:spid="_x0000_s1042" style="position:absolute;margin-left:114.9pt;margin-top:.35pt;width:206.8pt;height:45.5pt;z-index:251693056;mso-width-relative:margin;mso-height-relative:margin" coordsize="25742,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">
                <v:shape id="Text Box 228" o:spid="_x0000_s1043" type="#_x0000_t202" style="position:absolute;width:25742;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" fillcolor="window" stroked="f" strokeweight=".5pt">
                  <v:textbox>
                    <w:txbxContent>
                      <w:p w14:paraId="1BE10924" w14:textId="77777777" w:rsidR="0010558E" w:rsidRDefault="008A1069" w:rsidP="00533BD1">
                        <m:oMathPara>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ab</m:t>
                                </m:r>
                              </m:num>
                              <m:den>
                                <m:rad>
                                  <m:radPr>
                                    <m:degHide m:val="1"/>
                                    <m:ctrlPr>
                                      <w:rPr>
                                        <w:rFonts w:ascii="Cambria Math" w:hAnsi="Cambria Math" w:cs="Times New Roman"/>
                                        <w:i/>
                                        <w:color w:val="000000" w:themeColor="text1"/>
                                        <w:szCs w:val="24"/>
                                      </w:rPr>
                                    </m:ctrlPr>
                                  </m:radPr>
                                  <m:deg/>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b</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a</m:t>
                                        </m:r>
                                      </m:sub>
                                      <m:sup>
                                        <m:r>
                                          <w:rPr>
                                            <w:rFonts w:ascii="Cambria Math" w:hAnsi="Cambria Math" w:cs="Times New Roman"/>
                                            <w:color w:val="000000" w:themeColor="text1"/>
                                            <w:szCs w:val="24"/>
                                          </w:rPr>
                                          <m:t>2</m:t>
                                        </m:r>
                                      </m:sup>
                                    </m:sSubSup>
                                    <m:r>
                                      <w:rPr>
                                        <w:rFonts w:ascii="Cambria Math" w:hAnsi="Cambria Math" w:cs="Times New Roman"/>
                                        <w:color w:val="000000" w:themeColor="text1"/>
                                        <w:szCs w:val="24"/>
                                      </w:rPr>
                                      <m:t>+</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a</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b</m:t>
                                        </m:r>
                                      </m:sub>
                                      <m:sup>
                                        <m:r>
                                          <w:rPr>
                                            <w:rFonts w:ascii="Cambria Math" w:hAnsi="Cambria Math" w:cs="Times New Roman"/>
                                            <w:color w:val="000000" w:themeColor="text1"/>
                                            <w:szCs w:val="24"/>
                                          </w:rPr>
                                          <m:t>2</m:t>
                                        </m:r>
                                      </m:sup>
                                    </m:sSubSup>
                                  </m:e>
                                </m:rad>
                              </m:den>
                            </m:f>
                          </m:oMath>
                        </m:oMathPara>
                      </w:p>
                    </w:txbxContent>
                  </v:textbox>
                </v:shape>
                <v:shape id="Text Box 229" o:spid="_x0000_s1044" type="#_x0000_t202" style="position:absolute;left:4157;top:1646;width:4160;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23286965" w14:textId="77777777" w:rsidR="0010558E" w:rsidRPr="00F14567" w:rsidRDefault="0010558E" w:rsidP="00533BD1">
                        <w:pPr>
                          <w:autoSpaceDE w:val="0"/>
                          <w:autoSpaceDN w:val="0"/>
                          <w:adjustRightInd w:val="0"/>
                          <w:spacing w:after="0" w:line="360" w:lineRule="auto"/>
                          <w:rPr>
                            <w:rFonts w:cs="Times New Roman"/>
                            <w:szCs w:val="24"/>
                          </w:rPr>
                        </w:pPr>
                        <w:r>
                          <w:rPr>
                            <w:rFonts w:cs="Times New Roman"/>
                            <w:szCs w:val="24"/>
                          </w:rPr>
                          <w:t>Z =</w:t>
                        </w:r>
                      </w:p>
                    </w:txbxContent>
                  </v:textbox>
                </v:shape>
              </v:group>
            </w:pict>
          </mc:Fallback>
        </mc:AlternateContent>
      </w:r>
    </w:p>
    <w:p w14:paraId="71F1BDED" w14:textId="77777777" w:rsidR="00533BD1" w:rsidRPr="00216310" w:rsidRDefault="00533BD1" w:rsidP="008C4494">
      <w:pPr>
        <w:autoSpaceDE w:val="0"/>
        <w:autoSpaceDN w:val="0"/>
        <w:adjustRightInd w:val="0"/>
        <w:spacing w:after="0" w:line="360" w:lineRule="auto"/>
        <w:rPr>
          <w:rFonts w:ascii="Arial" w:hAnsi="Arial" w:cs="Arial"/>
          <w:sz w:val="20"/>
        </w:rPr>
      </w:pPr>
    </w:p>
    <w:p w14:paraId="621024AE"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sz w:val="20"/>
        </w:rPr>
        <w:t>Where,</w:t>
      </w:r>
    </w:p>
    <w:p w14:paraId="205C2385"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sz w:val="20"/>
        </w:rPr>
        <w:tab/>
        <w:t>a - path between the independent variable and mediator variable</w:t>
      </w:r>
    </w:p>
    <w:p w14:paraId="09CB65E9" w14:textId="77777777" w:rsidR="00533BD1" w:rsidRPr="00216310" w:rsidRDefault="00533BD1" w:rsidP="008C4494">
      <w:pPr>
        <w:autoSpaceDE w:val="0"/>
        <w:autoSpaceDN w:val="0"/>
        <w:adjustRightInd w:val="0"/>
        <w:spacing w:after="0" w:line="360" w:lineRule="auto"/>
        <w:ind w:firstLine="720"/>
        <w:rPr>
          <w:rFonts w:ascii="Arial" w:hAnsi="Arial" w:cs="Arial"/>
          <w:sz w:val="20"/>
        </w:rPr>
      </w:pPr>
      <w:r w:rsidRPr="00216310">
        <w:rPr>
          <w:rFonts w:ascii="Arial" w:hAnsi="Arial" w:cs="Arial"/>
          <w:sz w:val="20"/>
        </w:rPr>
        <w:t>S</w:t>
      </w:r>
      <w:r w:rsidRPr="00216310">
        <w:rPr>
          <w:rFonts w:ascii="Arial" w:hAnsi="Arial" w:cs="Arial"/>
          <w:sz w:val="20"/>
          <w:vertAlign w:val="subscript"/>
        </w:rPr>
        <w:t xml:space="preserve">a </w:t>
      </w:r>
      <w:r w:rsidRPr="00216310">
        <w:rPr>
          <w:rFonts w:ascii="Arial" w:eastAsiaTheme="minorEastAsia" w:hAnsi="Arial" w:cs="Arial"/>
          <w:sz w:val="20"/>
        </w:rPr>
        <w:t xml:space="preserve">- </w:t>
      </w:r>
      <w:r w:rsidRPr="00216310">
        <w:rPr>
          <w:rFonts w:ascii="Arial" w:hAnsi="Arial" w:cs="Arial"/>
          <w:sz w:val="20"/>
        </w:rPr>
        <w:t>standard error of a path (coefficient)</w:t>
      </w:r>
    </w:p>
    <w:p w14:paraId="5B113EC9" w14:textId="77777777" w:rsidR="00533BD1" w:rsidRPr="00216310" w:rsidRDefault="00533BD1" w:rsidP="008C4494">
      <w:pPr>
        <w:autoSpaceDE w:val="0"/>
        <w:autoSpaceDN w:val="0"/>
        <w:adjustRightInd w:val="0"/>
        <w:spacing w:after="0" w:line="360" w:lineRule="auto"/>
        <w:ind w:firstLine="720"/>
        <w:rPr>
          <w:rFonts w:ascii="Arial" w:hAnsi="Arial" w:cs="Arial"/>
          <w:sz w:val="20"/>
        </w:rPr>
      </w:pPr>
      <w:r w:rsidRPr="00216310">
        <w:rPr>
          <w:rFonts w:ascii="Arial" w:hAnsi="Arial" w:cs="Arial"/>
          <w:sz w:val="20"/>
        </w:rPr>
        <w:t>b - path between the mediator variable and the dependent variable</w:t>
      </w:r>
    </w:p>
    <w:p w14:paraId="7B14E081" w14:textId="77777777" w:rsidR="00533BD1" w:rsidRPr="00216310" w:rsidRDefault="00533BD1" w:rsidP="008C4494">
      <w:pPr>
        <w:spacing w:line="360" w:lineRule="auto"/>
        <w:ind w:firstLine="720"/>
        <w:jc w:val="both"/>
        <w:rPr>
          <w:rFonts w:ascii="Arial" w:hAnsi="Arial" w:cs="Arial"/>
        </w:rPr>
      </w:pPr>
      <w:r w:rsidRPr="00216310">
        <w:rPr>
          <w:rFonts w:ascii="Arial" w:hAnsi="Arial" w:cs="Arial"/>
          <w:sz w:val="20"/>
        </w:rPr>
        <w:t>S</w:t>
      </w:r>
      <w:r w:rsidRPr="00216310">
        <w:rPr>
          <w:rFonts w:ascii="Arial" w:hAnsi="Arial" w:cs="Arial"/>
          <w:sz w:val="20"/>
          <w:vertAlign w:val="subscript"/>
        </w:rPr>
        <w:t>b -</w:t>
      </w:r>
      <w:r w:rsidRPr="00216310">
        <w:rPr>
          <w:rFonts w:ascii="Arial" w:hAnsi="Arial" w:cs="Arial"/>
          <w:sz w:val="20"/>
        </w:rPr>
        <w:t>standard error of path b</w:t>
      </w:r>
    </w:p>
    <w:p w14:paraId="0517BE09" w14:textId="61353205" w:rsidR="00987EA5" w:rsidRPr="00216310" w:rsidRDefault="00216310" w:rsidP="008C4494">
      <w:pPr>
        <w:pStyle w:val="Heading2"/>
        <w:spacing w:line="360" w:lineRule="auto"/>
        <w:rPr>
          <w:rFonts w:ascii="Arial" w:hAnsi="Arial" w:cs="Arial"/>
          <w:sz w:val="22"/>
          <w:szCs w:val="22"/>
        </w:rPr>
      </w:pPr>
      <w:bookmarkStart w:id="18" w:name="_Toc141033542"/>
      <w:bookmarkStart w:id="19" w:name="_Toc141033545"/>
      <w:bookmarkEnd w:id="17"/>
      <w:r w:rsidRPr="00216310">
        <w:rPr>
          <w:rFonts w:ascii="Arial" w:hAnsi="Arial" w:cs="Arial"/>
          <w:sz w:val="22"/>
          <w:szCs w:val="22"/>
        </w:rPr>
        <w:t xml:space="preserve">4.5 </w:t>
      </w:r>
      <w:r w:rsidR="00987EA5" w:rsidRPr="00216310">
        <w:rPr>
          <w:rFonts w:ascii="Arial" w:hAnsi="Arial" w:cs="Arial"/>
          <w:sz w:val="22"/>
          <w:szCs w:val="22"/>
        </w:rPr>
        <w:t>Operationalization</w:t>
      </w:r>
      <w:bookmarkEnd w:id="18"/>
    </w:p>
    <w:p w14:paraId="7CD04AA8" w14:textId="55B7CDB8" w:rsidR="00987EA5" w:rsidRPr="00216310" w:rsidRDefault="00987EA5" w:rsidP="008C4494">
      <w:pPr>
        <w:spacing w:line="360" w:lineRule="auto"/>
        <w:jc w:val="both"/>
        <w:rPr>
          <w:rFonts w:ascii="Arial" w:hAnsi="Arial" w:cs="Arial"/>
          <w:sz w:val="20"/>
          <w:szCs w:val="20"/>
        </w:rPr>
      </w:pPr>
      <w:r w:rsidRPr="00216310">
        <w:rPr>
          <w:rFonts w:ascii="Arial" w:hAnsi="Arial" w:cs="Arial"/>
          <w:sz w:val="20"/>
          <w:szCs w:val="20"/>
        </w:rPr>
        <w:t xml:space="preserve">The questionnaire for the study is divided into four parts. In the first part of the questionnaire, the demographic details of the respondents are included. The second part consists of questions related to the study variables which are adopted from the extant literature. To measure financial Well-Being, ten question items are adopted from a scale developed by the </w:t>
      </w:r>
      <w:r w:rsidRPr="00216310">
        <w:rPr>
          <w:rFonts w:ascii="Arial" w:hAnsi="Arial" w:cs="Arial"/>
          <w:color w:val="000000" w:themeColor="text1"/>
          <w:sz w:val="20"/>
          <w:szCs w:val="20"/>
        </w:rPr>
        <w:t xml:space="preserve">CFPB (2015). Similarly, the scale for risk-taking ability is adapted from a prior empirical study by </w:t>
      </w:r>
      <w:proofErr w:type="spellStart"/>
      <w:r w:rsidRPr="00216310">
        <w:rPr>
          <w:rFonts w:ascii="Arial" w:hAnsi="Arial" w:cs="Arial"/>
          <w:color w:val="000000" w:themeColor="text1"/>
          <w:sz w:val="20"/>
          <w:szCs w:val="20"/>
        </w:rPr>
        <w:t>Lampenius</w:t>
      </w:r>
      <w:proofErr w:type="spellEnd"/>
      <w:r w:rsidRPr="00216310">
        <w:rPr>
          <w:rFonts w:ascii="Arial" w:hAnsi="Arial" w:cs="Arial"/>
          <w:color w:val="000000" w:themeColor="text1"/>
          <w:sz w:val="20"/>
          <w:szCs w:val="20"/>
        </w:rPr>
        <w:t xml:space="preserve"> and </w:t>
      </w:r>
      <w:proofErr w:type="spellStart"/>
      <w:r w:rsidRPr="00216310">
        <w:rPr>
          <w:rFonts w:ascii="Arial" w:hAnsi="Arial" w:cs="Arial"/>
          <w:color w:val="000000" w:themeColor="text1"/>
          <w:sz w:val="20"/>
          <w:szCs w:val="20"/>
        </w:rPr>
        <w:t>Zickar</w:t>
      </w:r>
      <w:proofErr w:type="spellEnd"/>
      <w:r w:rsidRPr="00216310">
        <w:rPr>
          <w:rFonts w:ascii="Arial" w:hAnsi="Arial" w:cs="Arial"/>
          <w:color w:val="000000" w:themeColor="text1"/>
          <w:sz w:val="20"/>
          <w:szCs w:val="20"/>
        </w:rPr>
        <w:t xml:space="preserve"> (2005) which consists of ten questions</w:t>
      </w:r>
      <w:r w:rsidR="007F460B" w:rsidRPr="00216310">
        <w:rPr>
          <w:rFonts w:ascii="Arial" w:hAnsi="Arial" w:cs="Arial"/>
          <w:color w:val="000000" w:themeColor="text1"/>
          <w:sz w:val="20"/>
          <w:szCs w:val="20"/>
        </w:rPr>
        <w:t xml:space="preserve"> where five relate to speculative risk and five relate to risk control</w:t>
      </w:r>
      <w:r w:rsidRPr="00216310">
        <w:rPr>
          <w:rFonts w:ascii="Arial" w:hAnsi="Arial" w:cs="Arial"/>
          <w:color w:val="000000" w:themeColor="text1"/>
          <w:sz w:val="20"/>
          <w:szCs w:val="20"/>
        </w:rPr>
        <w:t xml:space="preserve">. The financial capability was constructed by combining different measures of financial knowledge and financial inclusion where five items from Perry and Morris (2005) and eight items from </w:t>
      </w:r>
      <w:proofErr w:type="spellStart"/>
      <w:r w:rsidRPr="00216310">
        <w:rPr>
          <w:rFonts w:ascii="Arial" w:hAnsi="Arial" w:cs="Arial"/>
          <w:color w:val="000000" w:themeColor="text1"/>
          <w:sz w:val="20"/>
          <w:szCs w:val="20"/>
        </w:rPr>
        <w:t>Mindra</w:t>
      </w:r>
      <w:proofErr w:type="spellEnd"/>
      <w:r w:rsidRPr="00216310">
        <w:rPr>
          <w:rFonts w:ascii="Arial" w:hAnsi="Arial" w:cs="Arial"/>
          <w:color w:val="000000" w:themeColor="text1"/>
          <w:sz w:val="20"/>
          <w:szCs w:val="20"/>
        </w:rPr>
        <w:t xml:space="preserve"> and Moya, (2017) were adopted respectively</w:t>
      </w:r>
      <w:r w:rsidRPr="00216310">
        <w:rPr>
          <w:rFonts w:ascii="Arial" w:hAnsi="Arial" w:cs="Arial"/>
          <w:sz w:val="20"/>
          <w:szCs w:val="20"/>
        </w:rPr>
        <w:t xml:space="preserve">. The survey items were graded on a five-point Likert scale, with 1 referring to strongly disagree and referring to strongly agree. The reliability of the instrument was measured using Cronbach’s Alpha Coefficient (CAC) analysis where values above 0.7 were considered in this study to be reliable. </w:t>
      </w:r>
    </w:p>
    <w:p w14:paraId="154AA286" w14:textId="6E7E1A1A" w:rsidR="00987EA5" w:rsidRPr="00216310" w:rsidRDefault="00987EA5" w:rsidP="008C4494">
      <w:pPr>
        <w:spacing w:line="360" w:lineRule="auto"/>
        <w:jc w:val="both"/>
        <w:rPr>
          <w:rFonts w:ascii="Arial" w:hAnsi="Arial" w:cs="Arial"/>
          <w:b/>
          <w:bCs/>
          <w:sz w:val="20"/>
          <w:szCs w:val="20"/>
        </w:rPr>
      </w:pPr>
      <w:r w:rsidRPr="00216310">
        <w:rPr>
          <w:rFonts w:ascii="Arial" w:hAnsi="Arial" w:cs="Arial"/>
          <w:b/>
          <w:bCs/>
          <w:sz w:val="20"/>
          <w:szCs w:val="20"/>
        </w:rPr>
        <w:t xml:space="preserve">Table </w:t>
      </w:r>
      <w:r w:rsidR="007F460B" w:rsidRPr="00216310">
        <w:rPr>
          <w:rFonts w:ascii="Arial" w:hAnsi="Arial" w:cs="Arial"/>
          <w:b/>
          <w:bCs/>
          <w:sz w:val="20"/>
          <w:szCs w:val="20"/>
        </w:rPr>
        <w:t>1</w:t>
      </w:r>
      <w:r w:rsidRPr="00216310">
        <w:rPr>
          <w:rFonts w:ascii="Arial" w:hAnsi="Arial" w:cs="Arial"/>
          <w:b/>
          <w:bCs/>
          <w:sz w:val="20"/>
          <w:szCs w:val="20"/>
        </w:rPr>
        <w:t>: Reliability and Validity Analysis for Overall Variables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701"/>
        <w:gridCol w:w="2701"/>
        <w:gridCol w:w="2701"/>
      </w:tblGrid>
      <w:tr w:rsidR="00096E8E" w:rsidRPr="00216310" w14:paraId="43EB7F53" w14:textId="77777777" w:rsidTr="00096E8E">
        <w:trPr>
          <w:trHeight w:val="299"/>
          <w:jc w:val="center"/>
        </w:trPr>
        <w:tc>
          <w:tcPr>
            <w:tcW w:w="2701" w:type="dxa"/>
            <w:vAlign w:val="center"/>
          </w:tcPr>
          <w:p w14:paraId="017821AD" w14:textId="703C9F69"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lastRenderedPageBreak/>
              <w:t>Variable</w:t>
            </w:r>
          </w:p>
        </w:tc>
        <w:tc>
          <w:tcPr>
            <w:tcW w:w="2701" w:type="dxa"/>
            <w:vAlign w:val="center"/>
          </w:tcPr>
          <w:p w14:paraId="78B0ADBB" w14:textId="6757CAC1"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t>Number of Question Items</w:t>
            </w:r>
          </w:p>
        </w:tc>
        <w:tc>
          <w:tcPr>
            <w:tcW w:w="2701" w:type="dxa"/>
            <w:vAlign w:val="center"/>
          </w:tcPr>
          <w:p w14:paraId="2D05CE81" w14:textId="480EAE2B"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t>Cronbach’s Alpha Value</w:t>
            </w:r>
          </w:p>
        </w:tc>
      </w:tr>
      <w:tr w:rsidR="00096E8E" w:rsidRPr="00216310" w14:paraId="09DDE1E4" w14:textId="77777777" w:rsidTr="00096E8E">
        <w:trPr>
          <w:trHeight w:val="299"/>
          <w:jc w:val="center"/>
        </w:trPr>
        <w:tc>
          <w:tcPr>
            <w:tcW w:w="2701" w:type="dxa"/>
          </w:tcPr>
          <w:p w14:paraId="3C805AC9" w14:textId="7FF0D4F6"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Financial Capability</w:t>
            </w:r>
          </w:p>
        </w:tc>
        <w:tc>
          <w:tcPr>
            <w:tcW w:w="2701" w:type="dxa"/>
            <w:vAlign w:val="center"/>
          </w:tcPr>
          <w:p w14:paraId="23279D60" w14:textId="1B547A15"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13</w:t>
            </w:r>
          </w:p>
        </w:tc>
        <w:tc>
          <w:tcPr>
            <w:tcW w:w="2701" w:type="dxa"/>
            <w:vAlign w:val="center"/>
          </w:tcPr>
          <w:p w14:paraId="41CD22DF" w14:textId="5AD7C381"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0.924</w:t>
            </w:r>
          </w:p>
        </w:tc>
      </w:tr>
      <w:tr w:rsidR="00096E8E" w:rsidRPr="00216310" w14:paraId="159C9E1E" w14:textId="77777777" w:rsidTr="00096E8E">
        <w:trPr>
          <w:trHeight w:val="296"/>
          <w:jc w:val="center"/>
        </w:trPr>
        <w:tc>
          <w:tcPr>
            <w:tcW w:w="2701" w:type="dxa"/>
          </w:tcPr>
          <w:p w14:paraId="202FA785" w14:textId="078B15D3"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Risk Taking Ability</w:t>
            </w:r>
          </w:p>
        </w:tc>
        <w:tc>
          <w:tcPr>
            <w:tcW w:w="2701" w:type="dxa"/>
            <w:vAlign w:val="center"/>
          </w:tcPr>
          <w:p w14:paraId="5F3A5BED" w14:textId="576D832D"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10</w:t>
            </w:r>
          </w:p>
        </w:tc>
        <w:tc>
          <w:tcPr>
            <w:tcW w:w="2701" w:type="dxa"/>
            <w:vAlign w:val="center"/>
          </w:tcPr>
          <w:p w14:paraId="5CE57F4B" w14:textId="42D88E67"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0.859</w:t>
            </w:r>
          </w:p>
        </w:tc>
      </w:tr>
      <w:tr w:rsidR="00096E8E" w:rsidRPr="00216310" w14:paraId="5CA736A5" w14:textId="77777777" w:rsidTr="00096E8E">
        <w:trPr>
          <w:trHeight w:val="299"/>
          <w:jc w:val="center"/>
        </w:trPr>
        <w:tc>
          <w:tcPr>
            <w:tcW w:w="2701" w:type="dxa"/>
          </w:tcPr>
          <w:p w14:paraId="346AABC8" w14:textId="54F7FAF3"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Financial Wellbeing</w:t>
            </w:r>
          </w:p>
        </w:tc>
        <w:tc>
          <w:tcPr>
            <w:tcW w:w="2701" w:type="dxa"/>
            <w:vAlign w:val="center"/>
          </w:tcPr>
          <w:p w14:paraId="7B4CEB0C" w14:textId="77BA2581"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10</w:t>
            </w:r>
          </w:p>
        </w:tc>
        <w:tc>
          <w:tcPr>
            <w:tcW w:w="2701" w:type="dxa"/>
            <w:vAlign w:val="center"/>
          </w:tcPr>
          <w:p w14:paraId="50E231EE" w14:textId="6F46DCC0"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0.821</w:t>
            </w:r>
          </w:p>
        </w:tc>
      </w:tr>
    </w:tbl>
    <w:p w14:paraId="72233779" w14:textId="77777777" w:rsidR="00987EA5" w:rsidRPr="00216310" w:rsidRDefault="00987EA5" w:rsidP="008C4494">
      <w:pPr>
        <w:spacing w:line="360" w:lineRule="auto"/>
        <w:jc w:val="both"/>
        <w:rPr>
          <w:rFonts w:ascii="Arial" w:hAnsi="Arial" w:cs="Arial"/>
        </w:rPr>
      </w:pPr>
    </w:p>
    <w:p w14:paraId="00D4F0C7" w14:textId="03636FF8" w:rsidR="00096E8E" w:rsidRPr="00216310" w:rsidRDefault="00AA1347" w:rsidP="00AA1347">
      <w:pPr>
        <w:spacing w:line="360" w:lineRule="auto"/>
        <w:ind w:left="540"/>
        <w:rPr>
          <w:rFonts w:ascii="Arial" w:hAnsi="Arial" w:cs="Arial"/>
          <w:i/>
          <w:iCs/>
          <w:sz w:val="20"/>
          <w:szCs w:val="20"/>
        </w:rPr>
      </w:pPr>
      <w:r w:rsidRPr="00216310">
        <w:rPr>
          <w:rFonts w:ascii="Arial" w:hAnsi="Arial" w:cs="Arial"/>
          <w:i/>
          <w:iCs/>
          <w:sz w:val="20"/>
          <w:szCs w:val="20"/>
        </w:rPr>
        <w:t xml:space="preserve"> </w:t>
      </w:r>
      <w:r w:rsidR="003F6B93" w:rsidRPr="00216310">
        <w:rPr>
          <w:rFonts w:ascii="Arial" w:hAnsi="Arial" w:cs="Arial"/>
          <w:i/>
          <w:iCs/>
          <w:sz w:val="20"/>
          <w:szCs w:val="20"/>
        </w:rPr>
        <w:t>(Source: Survey Data)</w:t>
      </w:r>
    </w:p>
    <w:p w14:paraId="0C0E1851" w14:textId="08AB58F3" w:rsidR="00096E8E" w:rsidRPr="00216310" w:rsidRDefault="00216310" w:rsidP="005844F3">
      <w:pPr>
        <w:tabs>
          <w:tab w:val="left" w:pos="1370"/>
        </w:tabs>
        <w:spacing w:line="360" w:lineRule="auto"/>
        <w:jc w:val="both"/>
        <w:rPr>
          <w:rFonts w:ascii="Arial" w:hAnsi="Arial" w:cs="Arial"/>
          <w:b/>
          <w:bCs/>
        </w:rPr>
      </w:pPr>
      <w:r w:rsidRPr="00216310">
        <w:rPr>
          <w:rFonts w:ascii="Arial" w:hAnsi="Arial" w:cs="Arial"/>
          <w:b/>
          <w:bCs/>
        </w:rPr>
        <w:t>5. RESULTS</w:t>
      </w:r>
      <w:r w:rsidR="000515B7">
        <w:rPr>
          <w:rFonts w:ascii="Arial" w:hAnsi="Arial" w:cs="Arial"/>
          <w:b/>
          <w:bCs/>
        </w:rPr>
        <w:t xml:space="preserve"> and DISCUSSION</w:t>
      </w:r>
    </w:p>
    <w:p w14:paraId="2EFE0957" w14:textId="6407885E" w:rsidR="00E83146" w:rsidRDefault="00E83146" w:rsidP="008C4494">
      <w:pPr>
        <w:tabs>
          <w:tab w:val="left" w:pos="1370"/>
        </w:tabs>
        <w:spacing w:line="360" w:lineRule="auto"/>
        <w:jc w:val="both"/>
        <w:rPr>
          <w:rFonts w:ascii="Arial" w:hAnsi="Arial" w:cs="Arial"/>
          <w:b/>
          <w:bCs/>
        </w:rPr>
      </w:pPr>
      <w:r>
        <w:rPr>
          <w:rFonts w:ascii="Arial" w:hAnsi="Arial" w:cs="Arial"/>
          <w:b/>
          <w:bCs/>
        </w:rPr>
        <w:t>5.</w:t>
      </w:r>
      <w:r w:rsidR="00065094">
        <w:rPr>
          <w:rFonts w:ascii="Arial" w:hAnsi="Arial" w:cs="Arial"/>
          <w:b/>
          <w:bCs/>
        </w:rPr>
        <w:t>1</w:t>
      </w:r>
      <w:r>
        <w:rPr>
          <w:rFonts w:ascii="Arial" w:hAnsi="Arial" w:cs="Arial"/>
          <w:b/>
          <w:bCs/>
        </w:rPr>
        <w:t xml:space="preserve"> Test of Parametric Assumptions</w:t>
      </w:r>
    </w:p>
    <w:p w14:paraId="5359E6A8" w14:textId="77777777" w:rsidR="00E83146" w:rsidRPr="00DB5992" w:rsidRDefault="00E83146" w:rsidP="008C4494">
      <w:pPr>
        <w:tabs>
          <w:tab w:val="left" w:pos="1370"/>
        </w:tabs>
        <w:spacing w:line="360" w:lineRule="auto"/>
        <w:jc w:val="both"/>
        <w:rPr>
          <w:rFonts w:ascii="Arial" w:hAnsi="Arial" w:cs="Arial"/>
          <w:sz w:val="20"/>
          <w:szCs w:val="20"/>
          <w:highlight w:val="yellow"/>
        </w:rPr>
      </w:pPr>
      <w:r w:rsidRPr="00DB5992">
        <w:rPr>
          <w:rFonts w:ascii="Arial" w:hAnsi="Arial" w:cs="Arial"/>
          <w:sz w:val="20"/>
          <w:szCs w:val="20"/>
          <w:highlight w:val="yellow"/>
        </w:rPr>
        <w:t xml:space="preserve">Initially, the data were examined to confirm that they met the assumptions of linearity through a series of tests. First, variables were plotted on a scatter diagram to visually assess whether the relationships appeared linear. Normality was then checked using a histogram and a normality curve, while multicollinearity was assessed using Pearson’s correlation. </w:t>
      </w:r>
    </w:p>
    <w:p w14:paraId="0B35EE3A" w14:textId="333CEEA5" w:rsidR="00E83146" w:rsidRPr="00E83146" w:rsidRDefault="00E83146" w:rsidP="008C4494">
      <w:pPr>
        <w:tabs>
          <w:tab w:val="left" w:pos="1370"/>
        </w:tabs>
        <w:spacing w:line="360" w:lineRule="auto"/>
        <w:jc w:val="both"/>
        <w:rPr>
          <w:rFonts w:ascii="Arial" w:hAnsi="Arial" w:cs="Arial"/>
          <w:sz w:val="20"/>
          <w:szCs w:val="20"/>
        </w:rPr>
      </w:pPr>
      <w:r w:rsidRPr="00DB5992">
        <w:rPr>
          <w:rFonts w:ascii="Arial" w:hAnsi="Arial" w:cs="Arial"/>
          <w:sz w:val="20"/>
          <w:szCs w:val="20"/>
          <w:highlight w:val="yellow"/>
        </w:rPr>
        <w:t>To test for autocorrelation, the Durbin-Watson test was applied, and homoscedasticity was verified using a residual plot. The results indicated that all assumptions were sat</w:t>
      </w:r>
      <w:bookmarkStart w:id="20" w:name="_GoBack"/>
      <w:bookmarkEnd w:id="20"/>
      <w:r w:rsidRPr="00DB5992">
        <w:rPr>
          <w:rFonts w:ascii="Arial" w:hAnsi="Arial" w:cs="Arial"/>
          <w:sz w:val="20"/>
          <w:szCs w:val="20"/>
          <w:highlight w:val="yellow"/>
        </w:rPr>
        <w:t>isfied. Specifically, the scatter plot suggested a linear relationship between the independent and dependent variables, the histogram confirmed normality, the Durbin-Watson statistic fell within the acceptable range of 1.5 to 2.5 (1.520), and the residuals were evenly distributed across the regression line.</w:t>
      </w:r>
    </w:p>
    <w:p w14:paraId="0760C7B0" w14:textId="05E9A986" w:rsidR="00456847" w:rsidRPr="00577B9C" w:rsidRDefault="00577B9C" w:rsidP="008C4494">
      <w:pPr>
        <w:tabs>
          <w:tab w:val="left" w:pos="1370"/>
        </w:tabs>
        <w:spacing w:line="360" w:lineRule="auto"/>
        <w:jc w:val="both"/>
        <w:rPr>
          <w:rFonts w:ascii="Arial" w:hAnsi="Arial" w:cs="Arial"/>
          <w:b/>
          <w:bCs/>
          <w:sz w:val="24"/>
          <w:szCs w:val="24"/>
        </w:rPr>
      </w:pPr>
      <w:r w:rsidRPr="00577B9C">
        <w:rPr>
          <w:rFonts w:ascii="Arial" w:hAnsi="Arial" w:cs="Arial"/>
          <w:b/>
          <w:bCs/>
        </w:rPr>
        <w:t>5.</w:t>
      </w:r>
      <w:r w:rsidR="00065094">
        <w:rPr>
          <w:rFonts w:ascii="Arial" w:hAnsi="Arial" w:cs="Arial"/>
          <w:b/>
          <w:bCs/>
        </w:rPr>
        <w:t>2</w:t>
      </w:r>
      <w:r w:rsidRPr="00577B9C">
        <w:rPr>
          <w:rFonts w:ascii="Arial" w:hAnsi="Arial" w:cs="Arial"/>
          <w:b/>
          <w:bCs/>
        </w:rPr>
        <w:t xml:space="preserve"> </w:t>
      </w:r>
      <w:r w:rsidR="00456847" w:rsidRPr="00577B9C">
        <w:rPr>
          <w:rFonts w:ascii="Arial" w:hAnsi="Arial" w:cs="Arial"/>
          <w:b/>
          <w:bCs/>
        </w:rPr>
        <w:t>Correlation Analysis</w:t>
      </w:r>
    </w:p>
    <w:p w14:paraId="5BA52E11" w14:textId="6AEAB4DD" w:rsidR="00815BE5" w:rsidRDefault="00985BAD" w:rsidP="00815BE5">
      <w:pPr>
        <w:tabs>
          <w:tab w:val="left" w:pos="1370"/>
        </w:tabs>
        <w:spacing w:line="360" w:lineRule="auto"/>
        <w:jc w:val="both"/>
        <w:rPr>
          <w:rFonts w:ascii="Arial" w:hAnsi="Arial" w:cs="Arial"/>
          <w:sz w:val="20"/>
          <w:szCs w:val="20"/>
        </w:rPr>
      </w:pPr>
      <w:r w:rsidRPr="00577B9C">
        <w:rPr>
          <w:rFonts w:ascii="Arial" w:hAnsi="Arial" w:cs="Arial"/>
          <w:sz w:val="20"/>
          <w:szCs w:val="20"/>
        </w:rPr>
        <w:t>To</w:t>
      </w:r>
      <w:r w:rsidR="00456847" w:rsidRPr="00577B9C">
        <w:rPr>
          <w:rFonts w:ascii="Arial" w:hAnsi="Arial" w:cs="Arial"/>
          <w:sz w:val="20"/>
          <w:szCs w:val="20"/>
        </w:rPr>
        <w:t xml:space="preserve"> analyze the first three hypotheses to test the associations between various study variables Pearson’s correlation analysis was used in this study.</w:t>
      </w:r>
      <w:r w:rsidR="007713F3">
        <w:rPr>
          <w:rFonts w:ascii="Arial" w:hAnsi="Arial" w:cs="Arial"/>
          <w:sz w:val="20"/>
          <w:szCs w:val="20"/>
        </w:rPr>
        <w:t xml:space="preserve"> </w:t>
      </w:r>
      <w:r w:rsidR="00815BE5" w:rsidRPr="00577B9C">
        <w:rPr>
          <w:rFonts w:ascii="Arial" w:hAnsi="Arial" w:cs="Arial"/>
          <w:sz w:val="20"/>
          <w:szCs w:val="20"/>
        </w:rPr>
        <w:t>Table 4 shows the results of correlation analysis between the study variables. The results reveal that the correlation coefficient (r) value between financial capability and financial well-being is 0.503 with a p-value of 0.000. This indicates there is a strong positive correlation between financial capability and financial well-being, indicating that higher financial capability is associated with greater financial well-being. Similarly, the correlation coefficient (r) value between financial capability and risk-taking ability is 0.</w:t>
      </w:r>
      <w:r w:rsidR="00784BDD" w:rsidRPr="00577B9C">
        <w:rPr>
          <w:rFonts w:ascii="Arial" w:hAnsi="Arial" w:cs="Arial"/>
          <w:sz w:val="20"/>
          <w:szCs w:val="20"/>
        </w:rPr>
        <w:t>636</w:t>
      </w:r>
      <w:r w:rsidR="00815BE5" w:rsidRPr="00577B9C">
        <w:rPr>
          <w:rFonts w:ascii="Arial" w:hAnsi="Arial" w:cs="Arial"/>
          <w:sz w:val="20"/>
          <w:szCs w:val="20"/>
        </w:rPr>
        <w:t xml:space="preserve"> with a statistically significant p-value of 0.000. This indicates there is a strong positive correlation between financial capability and risk-taking ability, suggesting that individuals with higher financial capability tend to have a greater willingness to take risks. Finally, the correlation coefficient (r) value between risk-taking ability and financial well-being is </w:t>
      </w:r>
      <w:r w:rsidR="00784BDD" w:rsidRPr="00577B9C">
        <w:rPr>
          <w:rFonts w:ascii="Arial" w:hAnsi="Arial" w:cs="Arial"/>
          <w:sz w:val="20"/>
          <w:szCs w:val="20"/>
        </w:rPr>
        <w:t xml:space="preserve">0.634 </w:t>
      </w:r>
      <w:r w:rsidR="00815BE5" w:rsidRPr="00577B9C">
        <w:rPr>
          <w:rFonts w:ascii="Arial" w:hAnsi="Arial" w:cs="Arial"/>
          <w:sz w:val="20"/>
          <w:szCs w:val="20"/>
        </w:rPr>
        <w:t>with a statistically significant p-value of 0.000 which means that individuals who are more willing to take risks also tend to have higher financial well-being.</w:t>
      </w:r>
    </w:p>
    <w:p w14:paraId="26034141" w14:textId="77777777" w:rsidR="007713F3" w:rsidRPr="00F51824" w:rsidRDefault="007713F3" w:rsidP="007713F3">
      <w:pPr>
        <w:tabs>
          <w:tab w:val="left" w:pos="1370"/>
        </w:tabs>
        <w:spacing w:line="360" w:lineRule="auto"/>
        <w:jc w:val="both"/>
        <w:rPr>
          <w:rFonts w:ascii="Arial" w:hAnsi="Arial" w:cs="Arial"/>
          <w:b/>
          <w:bCs/>
          <w:sz w:val="20"/>
          <w:szCs w:val="20"/>
        </w:rPr>
      </w:pPr>
      <w:r w:rsidRPr="00F51824">
        <w:rPr>
          <w:rFonts w:ascii="Arial" w:hAnsi="Arial" w:cs="Arial"/>
          <w:b/>
          <w:bCs/>
          <w:sz w:val="20"/>
          <w:szCs w:val="20"/>
        </w:rPr>
        <w:t>Table 3: Correlation Matrix</w:t>
      </w:r>
    </w:p>
    <w:tbl>
      <w:tblPr>
        <w:tblStyle w:val="TableGrid"/>
        <w:tblpPr w:leftFromText="180" w:rightFromText="180" w:vertAnchor="text" w:tblpXSpec="center" w:tblpY="1"/>
        <w:tblOverlap w:val="never"/>
        <w:tblW w:w="9389" w:type="dxa"/>
        <w:jc w:val="center"/>
        <w:tblLook w:val="04A0" w:firstRow="1" w:lastRow="0" w:firstColumn="1" w:lastColumn="0" w:noHBand="0" w:noVBand="1"/>
      </w:tblPr>
      <w:tblGrid>
        <w:gridCol w:w="4966"/>
        <w:gridCol w:w="2440"/>
        <w:gridCol w:w="1983"/>
      </w:tblGrid>
      <w:tr w:rsidR="007713F3" w:rsidRPr="00F51824" w14:paraId="250F61C2" w14:textId="77777777" w:rsidTr="00D1523D">
        <w:trPr>
          <w:trHeight w:val="873"/>
          <w:jc w:val="center"/>
        </w:trPr>
        <w:tc>
          <w:tcPr>
            <w:tcW w:w="4966" w:type="dxa"/>
            <w:vAlign w:val="center"/>
          </w:tcPr>
          <w:p w14:paraId="65EB10EF" w14:textId="77777777" w:rsidR="007713F3" w:rsidRPr="00F51824" w:rsidRDefault="007713F3" w:rsidP="00D1523D">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lastRenderedPageBreak/>
              <w:t>Relationship</w:t>
            </w:r>
          </w:p>
        </w:tc>
        <w:tc>
          <w:tcPr>
            <w:tcW w:w="2440" w:type="dxa"/>
            <w:vAlign w:val="center"/>
          </w:tcPr>
          <w:p w14:paraId="05F5951E" w14:textId="77777777" w:rsidR="007713F3" w:rsidRPr="00F51824" w:rsidRDefault="007713F3" w:rsidP="00D1523D">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Pearson Correlation coefficient</w:t>
            </w:r>
          </w:p>
        </w:tc>
        <w:tc>
          <w:tcPr>
            <w:tcW w:w="1983" w:type="dxa"/>
            <w:vAlign w:val="center"/>
          </w:tcPr>
          <w:p w14:paraId="39664FC7" w14:textId="77777777" w:rsidR="007713F3" w:rsidRPr="00F51824" w:rsidRDefault="007713F3" w:rsidP="00D1523D">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Significant Value</w:t>
            </w:r>
          </w:p>
        </w:tc>
      </w:tr>
      <w:tr w:rsidR="007713F3" w:rsidRPr="00F51824" w14:paraId="1E651960" w14:textId="77777777" w:rsidTr="00D1523D">
        <w:trPr>
          <w:trHeight w:val="436"/>
          <w:jc w:val="center"/>
        </w:trPr>
        <w:tc>
          <w:tcPr>
            <w:tcW w:w="4966" w:type="dxa"/>
            <w:vAlign w:val="center"/>
          </w:tcPr>
          <w:p w14:paraId="5A26087F" w14:textId="77777777" w:rsidR="007713F3" w:rsidRPr="00F51824" w:rsidRDefault="007713F3" w:rsidP="00D1523D">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Financial Capability and Financial Wellbeing</w:t>
            </w:r>
          </w:p>
        </w:tc>
        <w:tc>
          <w:tcPr>
            <w:tcW w:w="2440" w:type="dxa"/>
            <w:vAlign w:val="center"/>
          </w:tcPr>
          <w:p w14:paraId="0020D2BF"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0.503</w:t>
            </w:r>
          </w:p>
        </w:tc>
        <w:tc>
          <w:tcPr>
            <w:tcW w:w="1983" w:type="dxa"/>
            <w:vAlign w:val="center"/>
          </w:tcPr>
          <w:p w14:paraId="06419E5D"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r w:rsidR="007713F3" w:rsidRPr="00F51824" w14:paraId="74392501" w14:textId="77777777" w:rsidTr="00D1523D">
        <w:trPr>
          <w:trHeight w:val="436"/>
          <w:jc w:val="center"/>
        </w:trPr>
        <w:tc>
          <w:tcPr>
            <w:tcW w:w="4966" w:type="dxa"/>
            <w:vAlign w:val="center"/>
          </w:tcPr>
          <w:p w14:paraId="278B3395" w14:textId="77777777" w:rsidR="007713F3" w:rsidRPr="00F51824" w:rsidRDefault="007713F3" w:rsidP="00D1523D">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Financial Capability and Risk-Taking Ability</w:t>
            </w:r>
          </w:p>
        </w:tc>
        <w:tc>
          <w:tcPr>
            <w:tcW w:w="2440" w:type="dxa"/>
            <w:vAlign w:val="center"/>
          </w:tcPr>
          <w:p w14:paraId="2246952A"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0.636</w:t>
            </w:r>
          </w:p>
        </w:tc>
        <w:tc>
          <w:tcPr>
            <w:tcW w:w="1983" w:type="dxa"/>
            <w:vAlign w:val="center"/>
          </w:tcPr>
          <w:p w14:paraId="08D526AB"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r w:rsidR="007713F3" w:rsidRPr="00F51824" w14:paraId="3BD6C7FE" w14:textId="77777777" w:rsidTr="00D1523D">
        <w:trPr>
          <w:trHeight w:val="436"/>
          <w:jc w:val="center"/>
        </w:trPr>
        <w:tc>
          <w:tcPr>
            <w:tcW w:w="4966" w:type="dxa"/>
            <w:vAlign w:val="center"/>
          </w:tcPr>
          <w:p w14:paraId="4F4D865E" w14:textId="77777777" w:rsidR="007713F3" w:rsidRPr="00F51824" w:rsidRDefault="007713F3" w:rsidP="00D1523D">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Risk-Taking Ability and Financial Wellbeing</w:t>
            </w:r>
          </w:p>
        </w:tc>
        <w:tc>
          <w:tcPr>
            <w:tcW w:w="2440" w:type="dxa"/>
            <w:vAlign w:val="center"/>
          </w:tcPr>
          <w:p w14:paraId="6C28B510"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0.634</w:t>
            </w:r>
          </w:p>
        </w:tc>
        <w:tc>
          <w:tcPr>
            <w:tcW w:w="1983" w:type="dxa"/>
            <w:vAlign w:val="center"/>
          </w:tcPr>
          <w:p w14:paraId="70B71CBF" w14:textId="77777777" w:rsidR="007713F3" w:rsidRPr="00F51824" w:rsidRDefault="007713F3" w:rsidP="00D1523D">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bl>
    <w:p w14:paraId="5474F5B7" w14:textId="1140E68E" w:rsidR="007713F3" w:rsidRPr="007713F3" w:rsidRDefault="007713F3" w:rsidP="00815BE5">
      <w:pPr>
        <w:tabs>
          <w:tab w:val="left" w:pos="1370"/>
        </w:tabs>
        <w:spacing w:line="360" w:lineRule="auto"/>
        <w:jc w:val="both"/>
        <w:rPr>
          <w:rFonts w:ascii="Arial" w:hAnsi="Arial" w:cs="Arial"/>
          <w:i/>
          <w:iCs/>
          <w:sz w:val="24"/>
          <w:szCs w:val="24"/>
        </w:rPr>
      </w:pPr>
      <w:r w:rsidRPr="00F51824">
        <w:rPr>
          <w:rFonts w:ascii="Arial" w:hAnsi="Arial" w:cs="Arial"/>
          <w:i/>
          <w:iCs/>
          <w:sz w:val="20"/>
          <w:szCs w:val="20"/>
        </w:rPr>
        <w:t>(Source: Survey Data)</w:t>
      </w:r>
    </w:p>
    <w:p w14:paraId="244E26A3" w14:textId="11B24006" w:rsidR="00E53315" w:rsidRPr="00577B9C" w:rsidRDefault="00577B9C" w:rsidP="00815BE5">
      <w:pPr>
        <w:tabs>
          <w:tab w:val="left" w:pos="1370"/>
        </w:tabs>
        <w:spacing w:line="360" w:lineRule="auto"/>
        <w:jc w:val="both"/>
        <w:rPr>
          <w:rFonts w:ascii="Arial" w:hAnsi="Arial" w:cs="Arial"/>
          <w:b/>
          <w:bCs/>
        </w:rPr>
      </w:pPr>
      <w:r w:rsidRPr="00577B9C">
        <w:rPr>
          <w:rFonts w:ascii="Arial" w:hAnsi="Arial" w:cs="Arial"/>
          <w:b/>
          <w:bCs/>
        </w:rPr>
        <w:t>5.</w:t>
      </w:r>
      <w:r w:rsidR="00065094">
        <w:rPr>
          <w:rFonts w:ascii="Arial" w:hAnsi="Arial" w:cs="Arial"/>
          <w:b/>
          <w:bCs/>
        </w:rPr>
        <w:t>3</w:t>
      </w:r>
      <w:r w:rsidRPr="00577B9C">
        <w:rPr>
          <w:rFonts w:ascii="Arial" w:hAnsi="Arial" w:cs="Arial"/>
          <w:b/>
          <w:bCs/>
        </w:rPr>
        <w:t xml:space="preserve"> </w:t>
      </w:r>
      <w:r w:rsidR="00E53315" w:rsidRPr="00577B9C">
        <w:rPr>
          <w:rFonts w:ascii="Arial" w:hAnsi="Arial" w:cs="Arial"/>
          <w:b/>
          <w:bCs/>
        </w:rPr>
        <w:t>Mediation Analysis</w:t>
      </w:r>
    </w:p>
    <w:p w14:paraId="1C55699D" w14:textId="60891E64" w:rsidR="007D0A71" w:rsidRPr="00577B9C" w:rsidRDefault="007D0A71" w:rsidP="00815BE5">
      <w:pPr>
        <w:tabs>
          <w:tab w:val="left" w:pos="1370"/>
        </w:tabs>
        <w:spacing w:line="360" w:lineRule="auto"/>
        <w:jc w:val="both"/>
        <w:rPr>
          <w:rFonts w:ascii="Arial" w:hAnsi="Arial" w:cs="Arial"/>
          <w:sz w:val="20"/>
          <w:szCs w:val="20"/>
        </w:rPr>
      </w:pPr>
      <w:r w:rsidRPr="007408A6">
        <w:rPr>
          <w:rFonts w:ascii="Arial" w:hAnsi="Arial" w:cs="Arial"/>
          <w:sz w:val="20"/>
          <w:szCs w:val="20"/>
          <w:highlight w:val="yellow"/>
        </w:rPr>
        <w:t xml:space="preserve">Mediation analysis was used to investigate the hypothesis that risk-taking ability mediates the relationship between financial capability and financial well-being. </w:t>
      </w:r>
      <w:r w:rsidR="008E28CE" w:rsidRPr="007408A6">
        <w:rPr>
          <w:rFonts w:ascii="Arial" w:hAnsi="Arial" w:cs="Arial"/>
          <w:sz w:val="20"/>
          <w:szCs w:val="20"/>
          <w:highlight w:val="yellow"/>
        </w:rPr>
        <w:t xml:space="preserve">This approach is well-suited for examining indirect effects, as it allows for a more nuanced understanding of how financial capability impacts financial well-being through an intermediary variable of risk-taking ability. </w:t>
      </w:r>
      <w:r w:rsidRPr="007408A6">
        <w:rPr>
          <w:rFonts w:ascii="Arial" w:hAnsi="Arial" w:cs="Arial"/>
          <w:sz w:val="20"/>
          <w:szCs w:val="20"/>
          <w:highlight w:val="yellow"/>
        </w:rPr>
        <w:t xml:space="preserve">Mediation analysis was conducted using Model 4 of PROCESS Macro for SPSS. </w:t>
      </w:r>
      <w:r w:rsidR="008E28CE" w:rsidRPr="007408A6">
        <w:rPr>
          <w:rFonts w:ascii="Arial" w:hAnsi="Arial" w:cs="Arial"/>
          <w:sz w:val="20"/>
          <w:szCs w:val="20"/>
          <w:highlight w:val="yellow"/>
        </w:rPr>
        <w:t xml:space="preserve">By employing Model 4 of the PROCESS Macro for SPSS, the analysis provided a structured and rigorous method for testing the hypothesized mediating effect. </w:t>
      </w:r>
      <w:r w:rsidRPr="007408A6">
        <w:rPr>
          <w:rFonts w:ascii="Arial" w:hAnsi="Arial" w:cs="Arial"/>
          <w:sz w:val="20"/>
          <w:szCs w:val="20"/>
          <w:highlight w:val="yellow"/>
        </w:rPr>
        <w:t>The analysis aimed to examine the relationship between financial capability</w:t>
      </w:r>
      <w:r w:rsidR="00F15C86" w:rsidRPr="007408A6">
        <w:rPr>
          <w:rFonts w:ascii="Arial" w:hAnsi="Arial" w:cs="Arial"/>
          <w:sz w:val="20"/>
          <w:szCs w:val="20"/>
          <w:highlight w:val="yellow"/>
        </w:rPr>
        <w:t xml:space="preserve"> (X)</w:t>
      </w:r>
      <w:r w:rsidRPr="007408A6">
        <w:rPr>
          <w:rFonts w:ascii="Arial" w:hAnsi="Arial" w:cs="Arial"/>
          <w:sz w:val="20"/>
          <w:szCs w:val="20"/>
          <w:highlight w:val="yellow"/>
        </w:rPr>
        <w:t>, risk-taking ability</w:t>
      </w:r>
      <w:r w:rsidR="00F15C86" w:rsidRPr="007408A6">
        <w:rPr>
          <w:rFonts w:ascii="Arial" w:hAnsi="Arial" w:cs="Arial"/>
          <w:sz w:val="20"/>
          <w:szCs w:val="20"/>
          <w:highlight w:val="yellow"/>
        </w:rPr>
        <w:t xml:space="preserve"> (M),</w:t>
      </w:r>
      <w:r w:rsidRPr="007408A6">
        <w:rPr>
          <w:rFonts w:ascii="Arial" w:hAnsi="Arial" w:cs="Arial"/>
          <w:sz w:val="20"/>
          <w:szCs w:val="20"/>
          <w:highlight w:val="yellow"/>
        </w:rPr>
        <w:t xml:space="preserve"> and financial well-being</w:t>
      </w:r>
      <w:r w:rsidR="00F15C86" w:rsidRPr="007408A6">
        <w:rPr>
          <w:rFonts w:ascii="Arial" w:hAnsi="Arial" w:cs="Arial"/>
          <w:sz w:val="20"/>
          <w:szCs w:val="20"/>
          <w:highlight w:val="yellow"/>
        </w:rPr>
        <w:t xml:space="preserve"> (Y) and to determine if the effect of X on Y was mediated by M.</w:t>
      </w:r>
    </w:p>
    <w:p w14:paraId="008227FF" w14:textId="20F28109" w:rsidR="005E3EE9" w:rsidRPr="00F51824" w:rsidRDefault="005E3EE9" w:rsidP="00FE01F2">
      <w:pPr>
        <w:tabs>
          <w:tab w:val="left" w:pos="1370"/>
        </w:tabs>
        <w:spacing w:line="360" w:lineRule="auto"/>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4</w:t>
      </w:r>
      <w:r w:rsidRPr="00F51824">
        <w:rPr>
          <w:rFonts w:ascii="Arial" w:hAnsi="Arial" w:cs="Arial"/>
          <w:b/>
          <w:bCs/>
          <w:sz w:val="20"/>
          <w:szCs w:val="20"/>
        </w:rPr>
        <w:t>: Total Effect Model</w:t>
      </w:r>
    </w:p>
    <w:tbl>
      <w:tblPr>
        <w:tblStyle w:val="TableGrid"/>
        <w:tblW w:w="0" w:type="auto"/>
        <w:tblLook w:val="04A0" w:firstRow="1" w:lastRow="0" w:firstColumn="1" w:lastColumn="0" w:noHBand="0" w:noVBand="1"/>
      </w:tblPr>
      <w:tblGrid>
        <w:gridCol w:w="3944"/>
        <w:gridCol w:w="1615"/>
        <w:gridCol w:w="1346"/>
        <w:gridCol w:w="1256"/>
        <w:gridCol w:w="1161"/>
      </w:tblGrid>
      <w:tr w:rsidR="005E3EE9" w:rsidRPr="00F51824" w14:paraId="7784360E" w14:textId="77777777" w:rsidTr="000E7FE0">
        <w:trPr>
          <w:trHeight w:val="351"/>
        </w:trPr>
        <w:tc>
          <w:tcPr>
            <w:tcW w:w="3944" w:type="dxa"/>
            <w:vAlign w:val="center"/>
          </w:tcPr>
          <w:p w14:paraId="1C45036F"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Predictor</w:t>
            </w:r>
          </w:p>
        </w:tc>
        <w:tc>
          <w:tcPr>
            <w:tcW w:w="1615" w:type="dxa"/>
            <w:vAlign w:val="center"/>
          </w:tcPr>
          <w:p w14:paraId="1EA169BB"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Coefficient</w:t>
            </w:r>
          </w:p>
        </w:tc>
        <w:tc>
          <w:tcPr>
            <w:tcW w:w="1346" w:type="dxa"/>
            <w:vAlign w:val="center"/>
          </w:tcPr>
          <w:p w14:paraId="3161F6F3"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P-Value</w:t>
            </w:r>
          </w:p>
        </w:tc>
        <w:tc>
          <w:tcPr>
            <w:tcW w:w="1256" w:type="dxa"/>
            <w:vAlign w:val="center"/>
          </w:tcPr>
          <w:p w14:paraId="164B9977"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LLCI</w:t>
            </w:r>
          </w:p>
        </w:tc>
        <w:tc>
          <w:tcPr>
            <w:tcW w:w="1161" w:type="dxa"/>
            <w:vAlign w:val="center"/>
          </w:tcPr>
          <w:p w14:paraId="6D4B2981"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ULCI</w:t>
            </w:r>
          </w:p>
        </w:tc>
      </w:tr>
      <w:tr w:rsidR="005E3EE9" w:rsidRPr="00F51824" w14:paraId="6FBD5476" w14:textId="77777777" w:rsidTr="000E7FE0">
        <w:trPr>
          <w:trHeight w:val="362"/>
        </w:trPr>
        <w:tc>
          <w:tcPr>
            <w:tcW w:w="3944" w:type="dxa"/>
          </w:tcPr>
          <w:p w14:paraId="261AA6CE"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Constant</w:t>
            </w:r>
          </w:p>
        </w:tc>
        <w:tc>
          <w:tcPr>
            <w:tcW w:w="1615" w:type="dxa"/>
            <w:vAlign w:val="center"/>
          </w:tcPr>
          <w:p w14:paraId="677E001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1.478</w:t>
            </w:r>
          </w:p>
        </w:tc>
        <w:tc>
          <w:tcPr>
            <w:tcW w:w="1346" w:type="dxa"/>
            <w:vAlign w:val="center"/>
          </w:tcPr>
          <w:p w14:paraId="67D5F7E6"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16941D55"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1.050</w:t>
            </w:r>
          </w:p>
        </w:tc>
        <w:tc>
          <w:tcPr>
            <w:tcW w:w="1161" w:type="dxa"/>
            <w:vAlign w:val="center"/>
          </w:tcPr>
          <w:p w14:paraId="4B35F323"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1.906</w:t>
            </w:r>
          </w:p>
        </w:tc>
      </w:tr>
      <w:tr w:rsidR="005E3EE9" w:rsidRPr="00F51824" w14:paraId="250034DD" w14:textId="77777777" w:rsidTr="000E7FE0">
        <w:trPr>
          <w:trHeight w:val="351"/>
        </w:trPr>
        <w:tc>
          <w:tcPr>
            <w:tcW w:w="3944" w:type="dxa"/>
          </w:tcPr>
          <w:p w14:paraId="4D5E2F66"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Financial Capability</w:t>
            </w:r>
          </w:p>
        </w:tc>
        <w:tc>
          <w:tcPr>
            <w:tcW w:w="1615" w:type="dxa"/>
            <w:vAlign w:val="center"/>
          </w:tcPr>
          <w:p w14:paraId="314D31B3"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0.449</w:t>
            </w:r>
          </w:p>
        </w:tc>
        <w:tc>
          <w:tcPr>
            <w:tcW w:w="1346" w:type="dxa"/>
            <w:vAlign w:val="center"/>
          </w:tcPr>
          <w:p w14:paraId="79786B1A"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1BB1C4CD"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0.341</w:t>
            </w:r>
          </w:p>
        </w:tc>
        <w:tc>
          <w:tcPr>
            <w:tcW w:w="1161" w:type="dxa"/>
            <w:vAlign w:val="center"/>
          </w:tcPr>
          <w:p w14:paraId="0DD7A5CC"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0.558</w:t>
            </w:r>
          </w:p>
        </w:tc>
      </w:tr>
      <w:tr w:rsidR="005E3EE9" w:rsidRPr="00F51824" w14:paraId="4AE2A329" w14:textId="77777777" w:rsidTr="000E7FE0">
        <w:trPr>
          <w:trHeight w:val="341"/>
        </w:trPr>
        <w:tc>
          <w:tcPr>
            <w:tcW w:w="9322" w:type="dxa"/>
            <w:gridSpan w:val="5"/>
          </w:tcPr>
          <w:p w14:paraId="13F8CD24"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Outcome: Financial Well-Being</w:t>
            </w:r>
          </w:p>
        </w:tc>
      </w:tr>
    </w:tbl>
    <w:p w14:paraId="739A47DD" w14:textId="77777777" w:rsidR="005E3EE9" w:rsidRPr="00F51824" w:rsidRDefault="005E3EE9" w:rsidP="005E3EE9">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7568A305" w14:textId="4E0D5EFA" w:rsidR="005E3EE9" w:rsidRPr="00137AFA" w:rsidRDefault="00F15C86" w:rsidP="00815BE5">
      <w:pPr>
        <w:tabs>
          <w:tab w:val="left" w:pos="1370"/>
        </w:tabs>
        <w:spacing w:line="360" w:lineRule="auto"/>
        <w:jc w:val="both"/>
        <w:rPr>
          <w:rFonts w:ascii="Arial" w:hAnsi="Arial" w:cs="Arial"/>
          <w:sz w:val="20"/>
          <w:szCs w:val="20"/>
        </w:rPr>
      </w:pPr>
      <w:r w:rsidRPr="00137AFA">
        <w:rPr>
          <w:rFonts w:ascii="Arial" w:hAnsi="Arial" w:cs="Arial"/>
          <w:sz w:val="20"/>
          <w:szCs w:val="20"/>
        </w:rPr>
        <w:t xml:space="preserve">The results showed that financial capability positively predicted </w:t>
      </w:r>
      <w:r w:rsidR="00DB09C8" w:rsidRPr="00137AFA">
        <w:rPr>
          <w:rFonts w:ascii="Arial" w:hAnsi="Arial" w:cs="Arial"/>
          <w:sz w:val="20"/>
          <w:szCs w:val="20"/>
        </w:rPr>
        <w:t>financial well</w:t>
      </w:r>
      <w:r w:rsidR="00E360C0" w:rsidRPr="00137AFA">
        <w:rPr>
          <w:rFonts w:ascii="Arial" w:hAnsi="Arial" w:cs="Arial"/>
          <w:sz w:val="20"/>
          <w:szCs w:val="20"/>
        </w:rPr>
        <w:t>-</w:t>
      </w:r>
      <w:r w:rsidR="00DB09C8" w:rsidRPr="00137AFA">
        <w:rPr>
          <w:rFonts w:ascii="Arial" w:hAnsi="Arial" w:cs="Arial"/>
          <w:sz w:val="20"/>
          <w:szCs w:val="20"/>
        </w:rPr>
        <w:t>being</w:t>
      </w:r>
      <w:r w:rsidRPr="00137AFA">
        <w:rPr>
          <w:rFonts w:ascii="Arial" w:hAnsi="Arial" w:cs="Arial"/>
          <w:sz w:val="20"/>
          <w:szCs w:val="20"/>
        </w:rPr>
        <w:t xml:space="preserve"> (B = 0.</w:t>
      </w:r>
      <w:r w:rsidR="00E360C0" w:rsidRPr="00137AFA">
        <w:rPr>
          <w:rFonts w:ascii="Arial" w:hAnsi="Arial" w:cs="Arial"/>
          <w:sz w:val="20"/>
          <w:szCs w:val="20"/>
        </w:rPr>
        <w:t>150</w:t>
      </w:r>
      <w:r w:rsidRPr="00137AFA">
        <w:rPr>
          <w:rFonts w:ascii="Arial" w:hAnsi="Arial" w:cs="Arial"/>
          <w:sz w:val="20"/>
          <w:szCs w:val="20"/>
        </w:rPr>
        <w:t>, p</w:t>
      </w:r>
      <w:r w:rsidR="00A56D64" w:rsidRPr="00137AFA">
        <w:rPr>
          <w:rFonts w:ascii="Arial" w:hAnsi="Arial" w:cs="Arial"/>
          <w:sz w:val="20"/>
          <w:szCs w:val="20"/>
        </w:rPr>
        <w:t>=0.0</w:t>
      </w:r>
      <w:r w:rsidR="00E360C0" w:rsidRPr="00137AFA">
        <w:rPr>
          <w:rFonts w:ascii="Arial" w:hAnsi="Arial" w:cs="Arial"/>
          <w:sz w:val="20"/>
          <w:szCs w:val="20"/>
        </w:rPr>
        <w:t>18</w:t>
      </w:r>
      <w:r w:rsidRPr="00137AFA">
        <w:rPr>
          <w:rFonts w:ascii="Arial" w:hAnsi="Arial" w:cs="Arial"/>
          <w:sz w:val="20"/>
          <w:szCs w:val="20"/>
        </w:rPr>
        <w:t>)</w:t>
      </w:r>
      <w:r w:rsidR="00DB09C8" w:rsidRPr="00137AFA">
        <w:rPr>
          <w:rFonts w:ascii="Arial" w:hAnsi="Arial" w:cs="Arial"/>
          <w:sz w:val="20"/>
          <w:szCs w:val="20"/>
        </w:rPr>
        <w:t xml:space="preserve"> which shows the direct effect</w:t>
      </w:r>
      <w:r w:rsidR="00E360C0" w:rsidRPr="00137AFA">
        <w:rPr>
          <w:rFonts w:ascii="Arial" w:hAnsi="Arial" w:cs="Arial"/>
          <w:sz w:val="20"/>
          <w:szCs w:val="20"/>
        </w:rPr>
        <w:t xml:space="preserve"> of financial capability on financial well-being in the presence of the mediator</w:t>
      </w:r>
      <w:r w:rsidR="00DB09C8" w:rsidRPr="00137AFA">
        <w:rPr>
          <w:rFonts w:ascii="Arial" w:hAnsi="Arial" w:cs="Arial"/>
          <w:sz w:val="20"/>
          <w:szCs w:val="20"/>
        </w:rPr>
        <w:t>.</w:t>
      </w:r>
      <w:r w:rsidRPr="00137AFA">
        <w:rPr>
          <w:rFonts w:ascii="Arial" w:hAnsi="Arial" w:cs="Arial"/>
          <w:sz w:val="20"/>
          <w:szCs w:val="20"/>
        </w:rPr>
        <w:t xml:space="preserve"> </w:t>
      </w:r>
      <w:r w:rsidR="00DB09C8" w:rsidRPr="00137AFA">
        <w:rPr>
          <w:rFonts w:ascii="Arial" w:hAnsi="Arial" w:cs="Arial"/>
          <w:sz w:val="20"/>
          <w:szCs w:val="20"/>
        </w:rPr>
        <w:t>R</w:t>
      </w:r>
      <w:r w:rsidRPr="00137AFA">
        <w:rPr>
          <w:rFonts w:ascii="Arial" w:hAnsi="Arial" w:cs="Arial"/>
          <w:sz w:val="20"/>
          <w:szCs w:val="20"/>
        </w:rPr>
        <w:t xml:space="preserve">isk-taking ability also had a positive effect on financial </w:t>
      </w:r>
      <w:r w:rsidR="00DB09C8" w:rsidRPr="00137AFA">
        <w:rPr>
          <w:rFonts w:ascii="Arial" w:hAnsi="Arial" w:cs="Arial"/>
          <w:sz w:val="20"/>
          <w:szCs w:val="20"/>
        </w:rPr>
        <w:t>well-being</w:t>
      </w:r>
      <w:r w:rsidRPr="00137AFA">
        <w:rPr>
          <w:rFonts w:ascii="Arial" w:hAnsi="Arial" w:cs="Arial"/>
          <w:sz w:val="20"/>
          <w:szCs w:val="20"/>
        </w:rPr>
        <w:t xml:space="preserve"> (B= </w:t>
      </w:r>
      <w:r w:rsidR="00A56D64" w:rsidRPr="00137AFA">
        <w:rPr>
          <w:rFonts w:ascii="Arial" w:hAnsi="Arial" w:cs="Arial"/>
          <w:sz w:val="20"/>
          <w:szCs w:val="20"/>
        </w:rPr>
        <w:t xml:space="preserve">0.548, p=0.000). </w:t>
      </w:r>
    </w:p>
    <w:p w14:paraId="013D0528" w14:textId="2D4843B2" w:rsidR="005E3EE9" w:rsidRPr="00F51824" w:rsidRDefault="005E3EE9" w:rsidP="005E3EE9">
      <w:pPr>
        <w:tabs>
          <w:tab w:val="left" w:pos="1370"/>
        </w:tabs>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5</w:t>
      </w:r>
      <w:r w:rsidRPr="00F51824">
        <w:rPr>
          <w:rFonts w:ascii="Arial" w:hAnsi="Arial" w:cs="Arial"/>
          <w:b/>
          <w:bCs/>
          <w:sz w:val="20"/>
          <w:szCs w:val="20"/>
        </w:rPr>
        <w:t>: Direct Effect Model</w:t>
      </w:r>
    </w:p>
    <w:tbl>
      <w:tblPr>
        <w:tblStyle w:val="TableGrid"/>
        <w:tblW w:w="0" w:type="auto"/>
        <w:tblLook w:val="04A0" w:firstRow="1" w:lastRow="0" w:firstColumn="1" w:lastColumn="0" w:noHBand="0" w:noVBand="1"/>
      </w:tblPr>
      <w:tblGrid>
        <w:gridCol w:w="3944"/>
        <w:gridCol w:w="1615"/>
        <w:gridCol w:w="1346"/>
        <w:gridCol w:w="1256"/>
        <w:gridCol w:w="1161"/>
      </w:tblGrid>
      <w:tr w:rsidR="005A56B3" w:rsidRPr="00F51824" w14:paraId="12A23A36" w14:textId="77777777" w:rsidTr="005A56B3">
        <w:trPr>
          <w:trHeight w:val="351"/>
        </w:trPr>
        <w:tc>
          <w:tcPr>
            <w:tcW w:w="3944" w:type="dxa"/>
            <w:vAlign w:val="center"/>
          </w:tcPr>
          <w:p w14:paraId="1CFB85DB"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Predictor</w:t>
            </w:r>
          </w:p>
        </w:tc>
        <w:tc>
          <w:tcPr>
            <w:tcW w:w="1615" w:type="dxa"/>
            <w:vAlign w:val="center"/>
          </w:tcPr>
          <w:p w14:paraId="784AF07B"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Coefficient</w:t>
            </w:r>
          </w:p>
        </w:tc>
        <w:tc>
          <w:tcPr>
            <w:tcW w:w="1346" w:type="dxa"/>
            <w:vAlign w:val="center"/>
          </w:tcPr>
          <w:p w14:paraId="6DF8A6CA"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P-Value</w:t>
            </w:r>
          </w:p>
        </w:tc>
        <w:tc>
          <w:tcPr>
            <w:tcW w:w="1256" w:type="dxa"/>
            <w:vAlign w:val="center"/>
          </w:tcPr>
          <w:p w14:paraId="77237E9A"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LLCI</w:t>
            </w:r>
          </w:p>
        </w:tc>
        <w:tc>
          <w:tcPr>
            <w:tcW w:w="1161" w:type="dxa"/>
            <w:vAlign w:val="center"/>
          </w:tcPr>
          <w:p w14:paraId="27BCD774"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ULCI</w:t>
            </w:r>
          </w:p>
        </w:tc>
      </w:tr>
      <w:tr w:rsidR="005E3EE9" w:rsidRPr="00F51824" w14:paraId="7CEC8BA5" w14:textId="77777777" w:rsidTr="000E7FE0">
        <w:trPr>
          <w:trHeight w:val="362"/>
        </w:trPr>
        <w:tc>
          <w:tcPr>
            <w:tcW w:w="3944" w:type="dxa"/>
          </w:tcPr>
          <w:p w14:paraId="749FDE84"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Constant</w:t>
            </w:r>
          </w:p>
        </w:tc>
        <w:tc>
          <w:tcPr>
            <w:tcW w:w="1615" w:type="dxa"/>
            <w:vAlign w:val="center"/>
          </w:tcPr>
          <w:p w14:paraId="342850EF"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0.658</w:t>
            </w:r>
          </w:p>
        </w:tc>
        <w:tc>
          <w:tcPr>
            <w:tcW w:w="1346" w:type="dxa"/>
            <w:vAlign w:val="center"/>
          </w:tcPr>
          <w:p w14:paraId="09B5B8B8"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0.003</w:t>
            </w:r>
          </w:p>
        </w:tc>
        <w:tc>
          <w:tcPr>
            <w:tcW w:w="1256" w:type="dxa"/>
            <w:vAlign w:val="center"/>
          </w:tcPr>
          <w:p w14:paraId="1B7C20CB"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0.222</w:t>
            </w:r>
          </w:p>
        </w:tc>
        <w:tc>
          <w:tcPr>
            <w:tcW w:w="1161" w:type="dxa"/>
            <w:vAlign w:val="center"/>
          </w:tcPr>
          <w:p w14:paraId="0402DD32"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1.095</w:t>
            </w:r>
          </w:p>
        </w:tc>
      </w:tr>
      <w:tr w:rsidR="005E3EE9" w:rsidRPr="00F51824" w14:paraId="13CB7CB2" w14:textId="77777777" w:rsidTr="000E7FE0">
        <w:trPr>
          <w:trHeight w:val="351"/>
        </w:trPr>
        <w:tc>
          <w:tcPr>
            <w:tcW w:w="3944" w:type="dxa"/>
          </w:tcPr>
          <w:p w14:paraId="19B639E5"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Financial Capability</w:t>
            </w:r>
          </w:p>
        </w:tc>
        <w:tc>
          <w:tcPr>
            <w:tcW w:w="1615" w:type="dxa"/>
            <w:vAlign w:val="center"/>
          </w:tcPr>
          <w:p w14:paraId="7ED7D0E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0.150</w:t>
            </w:r>
          </w:p>
        </w:tc>
        <w:tc>
          <w:tcPr>
            <w:tcW w:w="1346" w:type="dxa"/>
            <w:vAlign w:val="center"/>
          </w:tcPr>
          <w:p w14:paraId="3875BEB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0.018</w:t>
            </w:r>
          </w:p>
        </w:tc>
        <w:tc>
          <w:tcPr>
            <w:tcW w:w="1256" w:type="dxa"/>
            <w:vAlign w:val="center"/>
          </w:tcPr>
          <w:p w14:paraId="1821CD3E"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0.026</w:t>
            </w:r>
          </w:p>
        </w:tc>
        <w:tc>
          <w:tcPr>
            <w:tcW w:w="1161" w:type="dxa"/>
            <w:vAlign w:val="center"/>
          </w:tcPr>
          <w:p w14:paraId="63CB92CC"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0.274</w:t>
            </w:r>
          </w:p>
        </w:tc>
      </w:tr>
      <w:tr w:rsidR="005E3EE9" w:rsidRPr="00F51824" w14:paraId="3A4E58FA" w14:textId="77777777" w:rsidTr="000E7FE0">
        <w:trPr>
          <w:trHeight w:val="351"/>
        </w:trPr>
        <w:tc>
          <w:tcPr>
            <w:tcW w:w="3944" w:type="dxa"/>
          </w:tcPr>
          <w:p w14:paraId="007B7150"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Risk-Taking Ability</w:t>
            </w:r>
          </w:p>
        </w:tc>
        <w:tc>
          <w:tcPr>
            <w:tcW w:w="1615" w:type="dxa"/>
            <w:vAlign w:val="center"/>
          </w:tcPr>
          <w:p w14:paraId="1AB6C9D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0.548</w:t>
            </w:r>
          </w:p>
        </w:tc>
        <w:tc>
          <w:tcPr>
            <w:tcW w:w="1346" w:type="dxa"/>
            <w:vAlign w:val="center"/>
          </w:tcPr>
          <w:p w14:paraId="71699398"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7A5021CB"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0.403</w:t>
            </w:r>
          </w:p>
        </w:tc>
        <w:tc>
          <w:tcPr>
            <w:tcW w:w="1161" w:type="dxa"/>
            <w:vAlign w:val="center"/>
          </w:tcPr>
          <w:p w14:paraId="6F2D5CCF"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0.693</w:t>
            </w:r>
          </w:p>
        </w:tc>
      </w:tr>
      <w:tr w:rsidR="005E3EE9" w:rsidRPr="00F51824" w14:paraId="3855A943" w14:textId="77777777" w:rsidTr="000E7FE0">
        <w:trPr>
          <w:trHeight w:val="341"/>
        </w:trPr>
        <w:tc>
          <w:tcPr>
            <w:tcW w:w="9322" w:type="dxa"/>
            <w:gridSpan w:val="5"/>
          </w:tcPr>
          <w:p w14:paraId="6AB83853"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Outcome: Financial Well-Being</w:t>
            </w:r>
          </w:p>
        </w:tc>
      </w:tr>
    </w:tbl>
    <w:p w14:paraId="494B3267" w14:textId="77777777" w:rsidR="005E3EE9" w:rsidRPr="00F51824" w:rsidRDefault="005E3EE9" w:rsidP="005E3EE9">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6C9668AE" w14:textId="0C075BC5" w:rsidR="00823C67" w:rsidRPr="00D14FFB" w:rsidRDefault="00E360C0" w:rsidP="00815BE5">
      <w:pPr>
        <w:tabs>
          <w:tab w:val="left" w:pos="1370"/>
        </w:tabs>
        <w:spacing w:line="360" w:lineRule="auto"/>
        <w:jc w:val="both"/>
        <w:rPr>
          <w:rFonts w:ascii="Arial" w:hAnsi="Arial" w:cs="Arial"/>
          <w:b/>
          <w:bCs/>
          <w:sz w:val="20"/>
          <w:szCs w:val="20"/>
        </w:rPr>
      </w:pPr>
      <w:r w:rsidRPr="00D14FFB">
        <w:rPr>
          <w:rFonts w:ascii="Arial" w:hAnsi="Arial" w:cs="Arial"/>
          <w:sz w:val="20"/>
          <w:szCs w:val="20"/>
        </w:rPr>
        <w:lastRenderedPageBreak/>
        <w:t>The results revealed</w:t>
      </w:r>
      <w:r w:rsidR="00A56D64" w:rsidRPr="00D14FFB">
        <w:rPr>
          <w:rFonts w:ascii="Arial" w:hAnsi="Arial" w:cs="Arial"/>
          <w:sz w:val="20"/>
          <w:szCs w:val="20"/>
        </w:rPr>
        <w:t xml:space="preserve">, </w:t>
      </w:r>
      <w:r w:rsidRPr="00D14FFB">
        <w:rPr>
          <w:rFonts w:ascii="Arial" w:hAnsi="Arial" w:cs="Arial"/>
          <w:sz w:val="20"/>
          <w:szCs w:val="20"/>
        </w:rPr>
        <w:t>that </w:t>
      </w:r>
      <w:r w:rsidR="00A56D64" w:rsidRPr="00D14FFB">
        <w:rPr>
          <w:rFonts w:ascii="Arial" w:hAnsi="Arial" w:cs="Arial"/>
          <w:sz w:val="20"/>
          <w:szCs w:val="20"/>
        </w:rPr>
        <w:t>financial capability (B=0.150, p=0.018) had a significant direct effect on financial well-being with the mediator in the model</w:t>
      </w:r>
      <w:r w:rsidRPr="00D14FFB">
        <w:rPr>
          <w:rFonts w:ascii="Arial" w:hAnsi="Arial" w:cs="Arial"/>
          <w:sz w:val="20"/>
          <w:szCs w:val="20"/>
        </w:rPr>
        <w:t xml:space="preserve"> and a significant indirect effect of financial capability on financial well-being</w:t>
      </w:r>
      <w:r w:rsidR="00A56D64" w:rsidRPr="00D14FFB">
        <w:rPr>
          <w:rFonts w:ascii="Arial" w:hAnsi="Arial" w:cs="Arial"/>
          <w:sz w:val="20"/>
          <w:szCs w:val="20"/>
        </w:rPr>
        <w:t xml:space="preserve">, which means </w:t>
      </w:r>
      <w:r w:rsidR="005E3EE9" w:rsidRPr="00D14FFB">
        <w:rPr>
          <w:rFonts w:ascii="Arial" w:hAnsi="Arial" w:cs="Arial"/>
          <w:sz w:val="20"/>
          <w:szCs w:val="20"/>
        </w:rPr>
        <w:t>that</w:t>
      </w:r>
      <w:r w:rsidR="00A56D64" w:rsidRPr="00D14FFB">
        <w:rPr>
          <w:rFonts w:ascii="Arial" w:hAnsi="Arial" w:cs="Arial"/>
          <w:sz w:val="20"/>
          <w:szCs w:val="20"/>
        </w:rPr>
        <w:t xml:space="preserve"> partial mediation was observed. </w:t>
      </w:r>
      <w:r w:rsidRPr="00D14FFB">
        <w:rPr>
          <w:rFonts w:ascii="Arial" w:hAnsi="Arial" w:cs="Arial"/>
          <w:sz w:val="20"/>
          <w:szCs w:val="20"/>
        </w:rPr>
        <w:t xml:space="preserve">The indirect effect of X on Y through risk-taking ability was significant as the confidence intervals based on 5,000 bootstrap samples did not contain zero (B=0.299, 95% confidence interval are 0.214, 0.456). </w:t>
      </w:r>
      <w:r w:rsidR="00A56D64" w:rsidRPr="00D14FFB">
        <w:rPr>
          <w:rFonts w:ascii="Arial" w:hAnsi="Arial" w:cs="Arial"/>
          <w:sz w:val="20"/>
          <w:szCs w:val="20"/>
        </w:rPr>
        <w:t xml:space="preserve">The model accounted for a total of </w:t>
      </w:r>
      <w:r w:rsidR="002F1AC3" w:rsidRPr="00D14FFB">
        <w:rPr>
          <w:rFonts w:ascii="Arial" w:hAnsi="Arial" w:cs="Arial"/>
          <w:sz w:val="20"/>
          <w:szCs w:val="20"/>
        </w:rPr>
        <w:t xml:space="preserve">41.9% of the variance of the dependent variable. </w:t>
      </w:r>
      <w:r w:rsidR="005E3EE9" w:rsidRPr="00D14FFB">
        <w:rPr>
          <w:rFonts w:ascii="Arial" w:hAnsi="Arial" w:cs="Arial"/>
          <w:sz w:val="20"/>
          <w:szCs w:val="20"/>
        </w:rPr>
        <w:t>The mediation analysis summary is presented in Table 6.</w:t>
      </w:r>
    </w:p>
    <w:p w14:paraId="573CDD32" w14:textId="390C8120" w:rsidR="004C50B0" w:rsidRPr="00F51824" w:rsidRDefault="004C50B0" w:rsidP="004C50B0">
      <w:pPr>
        <w:tabs>
          <w:tab w:val="left" w:pos="1370"/>
        </w:tabs>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6</w:t>
      </w:r>
      <w:r w:rsidRPr="00F51824">
        <w:rPr>
          <w:rFonts w:ascii="Arial" w:hAnsi="Arial" w:cs="Arial"/>
          <w:b/>
          <w:bCs/>
          <w:sz w:val="20"/>
          <w:szCs w:val="20"/>
        </w:rPr>
        <w:t>: Mediation Analysis Summary</w:t>
      </w:r>
    </w:p>
    <w:tbl>
      <w:tblPr>
        <w:tblStyle w:val="TableGrid"/>
        <w:tblW w:w="0" w:type="auto"/>
        <w:tblLayout w:type="fixed"/>
        <w:tblLook w:val="04A0" w:firstRow="1" w:lastRow="0" w:firstColumn="1" w:lastColumn="0" w:noHBand="0" w:noVBand="1"/>
      </w:tblPr>
      <w:tblGrid>
        <w:gridCol w:w="2785"/>
        <w:gridCol w:w="900"/>
        <w:gridCol w:w="900"/>
        <w:gridCol w:w="990"/>
        <w:gridCol w:w="810"/>
        <w:gridCol w:w="810"/>
        <w:gridCol w:w="963"/>
        <w:gridCol w:w="1190"/>
      </w:tblGrid>
      <w:tr w:rsidR="000E386D" w:rsidRPr="00F51824" w14:paraId="4427341F" w14:textId="77777777" w:rsidTr="00AF1A3D">
        <w:trPr>
          <w:trHeight w:val="823"/>
        </w:trPr>
        <w:tc>
          <w:tcPr>
            <w:tcW w:w="2785" w:type="dxa"/>
            <w:vMerge w:val="restart"/>
            <w:vAlign w:val="center"/>
          </w:tcPr>
          <w:p w14:paraId="110F9894" w14:textId="438CB931"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Relationship</w:t>
            </w:r>
          </w:p>
        </w:tc>
        <w:tc>
          <w:tcPr>
            <w:tcW w:w="900" w:type="dxa"/>
            <w:vMerge w:val="restart"/>
            <w:vAlign w:val="center"/>
          </w:tcPr>
          <w:p w14:paraId="1E5D13A0" w14:textId="01443EC2"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Total Effect</w:t>
            </w:r>
          </w:p>
        </w:tc>
        <w:tc>
          <w:tcPr>
            <w:tcW w:w="900" w:type="dxa"/>
            <w:vMerge w:val="restart"/>
            <w:vAlign w:val="center"/>
          </w:tcPr>
          <w:p w14:paraId="73C69AE4" w14:textId="0E0F0B8E"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Direct Effect</w:t>
            </w:r>
          </w:p>
        </w:tc>
        <w:tc>
          <w:tcPr>
            <w:tcW w:w="990" w:type="dxa"/>
            <w:vMerge w:val="restart"/>
            <w:vAlign w:val="center"/>
          </w:tcPr>
          <w:p w14:paraId="25311EC1" w14:textId="5F8EB06F"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Indirect Effect</w:t>
            </w:r>
          </w:p>
        </w:tc>
        <w:tc>
          <w:tcPr>
            <w:tcW w:w="1620" w:type="dxa"/>
            <w:gridSpan w:val="2"/>
            <w:vAlign w:val="center"/>
          </w:tcPr>
          <w:p w14:paraId="05248363" w14:textId="18F568D2"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Confidence Interval</w:t>
            </w:r>
          </w:p>
        </w:tc>
        <w:tc>
          <w:tcPr>
            <w:tcW w:w="963" w:type="dxa"/>
            <w:vMerge w:val="restart"/>
            <w:vAlign w:val="center"/>
          </w:tcPr>
          <w:p w14:paraId="35A9C98D" w14:textId="79B867AB" w:rsidR="000E386D" w:rsidRPr="00F51824" w:rsidRDefault="000E386D" w:rsidP="000E386D">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R-Square</w:t>
            </w:r>
          </w:p>
        </w:tc>
        <w:tc>
          <w:tcPr>
            <w:tcW w:w="1190" w:type="dxa"/>
            <w:vMerge w:val="restart"/>
            <w:vAlign w:val="center"/>
          </w:tcPr>
          <w:p w14:paraId="64D11533" w14:textId="1A0E679E"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Conclusion</w:t>
            </w:r>
          </w:p>
        </w:tc>
      </w:tr>
      <w:tr w:rsidR="000E386D" w:rsidRPr="00F51824" w14:paraId="734F749D" w14:textId="77777777" w:rsidTr="00AF1A3D">
        <w:trPr>
          <w:trHeight w:val="142"/>
        </w:trPr>
        <w:tc>
          <w:tcPr>
            <w:tcW w:w="2785" w:type="dxa"/>
            <w:vMerge/>
          </w:tcPr>
          <w:p w14:paraId="2F076700"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00" w:type="dxa"/>
            <w:vMerge/>
          </w:tcPr>
          <w:p w14:paraId="4A072764"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00" w:type="dxa"/>
            <w:vMerge/>
          </w:tcPr>
          <w:p w14:paraId="0F7F109B"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90" w:type="dxa"/>
            <w:vMerge/>
          </w:tcPr>
          <w:p w14:paraId="18ACC5A8"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810" w:type="dxa"/>
          </w:tcPr>
          <w:p w14:paraId="37276C1D" w14:textId="65EA034E" w:rsidR="000E386D" w:rsidRPr="00137AFA" w:rsidRDefault="000E386D" w:rsidP="004C50B0">
            <w:pPr>
              <w:tabs>
                <w:tab w:val="left" w:pos="1370"/>
              </w:tabs>
              <w:spacing w:line="360" w:lineRule="auto"/>
              <w:jc w:val="both"/>
              <w:rPr>
                <w:rFonts w:ascii="Arial" w:hAnsi="Arial" w:cs="Arial"/>
                <w:b/>
                <w:bCs/>
                <w:sz w:val="18"/>
                <w:szCs w:val="18"/>
              </w:rPr>
            </w:pPr>
            <w:r w:rsidRPr="00137AFA">
              <w:rPr>
                <w:rFonts w:ascii="Arial" w:hAnsi="Arial" w:cs="Arial"/>
                <w:b/>
                <w:bCs/>
                <w:sz w:val="18"/>
                <w:szCs w:val="18"/>
              </w:rPr>
              <w:t>Lower Bound</w:t>
            </w:r>
          </w:p>
        </w:tc>
        <w:tc>
          <w:tcPr>
            <w:tcW w:w="810" w:type="dxa"/>
          </w:tcPr>
          <w:p w14:paraId="7E6B6335" w14:textId="38FD205C" w:rsidR="000E386D" w:rsidRPr="00137AFA" w:rsidRDefault="000E386D" w:rsidP="004C50B0">
            <w:pPr>
              <w:tabs>
                <w:tab w:val="left" w:pos="1370"/>
              </w:tabs>
              <w:spacing w:line="360" w:lineRule="auto"/>
              <w:jc w:val="both"/>
              <w:rPr>
                <w:rFonts w:ascii="Arial" w:hAnsi="Arial" w:cs="Arial"/>
                <w:b/>
                <w:bCs/>
                <w:sz w:val="18"/>
                <w:szCs w:val="18"/>
              </w:rPr>
            </w:pPr>
            <w:r w:rsidRPr="00137AFA">
              <w:rPr>
                <w:rFonts w:ascii="Arial" w:hAnsi="Arial" w:cs="Arial"/>
                <w:b/>
                <w:bCs/>
                <w:sz w:val="18"/>
                <w:szCs w:val="18"/>
              </w:rPr>
              <w:t>Upper Bound</w:t>
            </w:r>
          </w:p>
        </w:tc>
        <w:tc>
          <w:tcPr>
            <w:tcW w:w="963" w:type="dxa"/>
            <w:vMerge/>
          </w:tcPr>
          <w:p w14:paraId="75432D23"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1190" w:type="dxa"/>
            <w:vMerge/>
          </w:tcPr>
          <w:p w14:paraId="78C9DDD0" w14:textId="4DA6060E" w:rsidR="000E386D" w:rsidRPr="00F51824" w:rsidRDefault="000E386D" w:rsidP="004C50B0">
            <w:pPr>
              <w:tabs>
                <w:tab w:val="left" w:pos="1370"/>
              </w:tabs>
              <w:spacing w:line="360" w:lineRule="auto"/>
              <w:jc w:val="both"/>
              <w:rPr>
                <w:rFonts w:ascii="Arial" w:hAnsi="Arial" w:cs="Arial"/>
                <w:b/>
                <w:bCs/>
                <w:sz w:val="20"/>
                <w:szCs w:val="20"/>
              </w:rPr>
            </w:pPr>
          </w:p>
        </w:tc>
      </w:tr>
      <w:tr w:rsidR="000E386D" w:rsidRPr="00F51824" w14:paraId="58A9EF44" w14:textId="77777777" w:rsidTr="00AF1A3D">
        <w:trPr>
          <w:trHeight w:val="1224"/>
        </w:trPr>
        <w:tc>
          <w:tcPr>
            <w:tcW w:w="2785" w:type="dxa"/>
            <w:vAlign w:val="center"/>
          </w:tcPr>
          <w:p w14:paraId="4A399535" w14:textId="472A424C"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Financial Capability &gt;&gt;&gt;Risk-Taking Ability &gt;&gt;&gt;&gt; Financial Well-Being</w:t>
            </w:r>
          </w:p>
        </w:tc>
        <w:tc>
          <w:tcPr>
            <w:tcW w:w="900" w:type="dxa"/>
            <w:vAlign w:val="center"/>
          </w:tcPr>
          <w:p w14:paraId="1E1DFAEE" w14:textId="6C6C9D18"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0.449**</w:t>
            </w:r>
          </w:p>
        </w:tc>
        <w:tc>
          <w:tcPr>
            <w:tcW w:w="900" w:type="dxa"/>
            <w:vAlign w:val="center"/>
          </w:tcPr>
          <w:p w14:paraId="7F304CC8" w14:textId="0C828ADC"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0.150**</w:t>
            </w:r>
          </w:p>
        </w:tc>
        <w:tc>
          <w:tcPr>
            <w:tcW w:w="990" w:type="dxa"/>
            <w:vAlign w:val="center"/>
          </w:tcPr>
          <w:p w14:paraId="7AFE8A11" w14:textId="7408D91D"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0.299**</w:t>
            </w:r>
          </w:p>
        </w:tc>
        <w:tc>
          <w:tcPr>
            <w:tcW w:w="810" w:type="dxa"/>
            <w:vAlign w:val="center"/>
          </w:tcPr>
          <w:p w14:paraId="1203A04B" w14:textId="692E1A8F"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0.197</w:t>
            </w:r>
          </w:p>
        </w:tc>
        <w:tc>
          <w:tcPr>
            <w:tcW w:w="810" w:type="dxa"/>
            <w:vAlign w:val="center"/>
          </w:tcPr>
          <w:p w14:paraId="3029294D" w14:textId="27D83B60"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0.405</w:t>
            </w:r>
          </w:p>
        </w:tc>
        <w:tc>
          <w:tcPr>
            <w:tcW w:w="963" w:type="dxa"/>
            <w:vAlign w:val="center"/>
          </w:tcPr>
          <w:p w14:paraId="5F80CC35" w14:textId="49225FDC" w:rsidR="000E386D" w:rsidRPr="00F51824" w:rsidRDefault="000E386D" w:rsidP="000E386D">
            <w:pPr>
              <w:tabs>
                <w:tab w:val="left" w:pos="1370"/>
              </w:tabs>
              <w:spacing w:line="360" w:lineRule="auto"/>
              <w:jc w:val="center"/>
              <w:rPr>
                <w:rFonts w:ascii="Arial" w:hAnsi="Arial" w:cs="Arial"/>
                <w:sz w:val="20"/>
                <w:szCs w:val="20"/>
              </w:rPr>
            </w:pPr>
            <w:r w:rsidRPr="00F51824">
              <w:rPr>
                <w:rFonts w:ascii="Arial" w:hAnsi="Arial" w:cs="Arial"/>
                <w:sz w:val="20"/>
                <w:szCs w:val="20"/>
              </w:rPr>
              <w:t>0.419**</w:t>
            </w:r>
          </w:p>
        </w:tc>
        <w:tc>
          <w:tcPr>
            <w:tcW w:w="1190" w:type="dxa"/>
            <w:vAlign w:val="center"/>
          </w:tcPr>
          <w:p w14:paraId="36223076" w14:textId="2D2780B1"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Partial Mediation</w:t>
            </w:r>
          </w:p>
        </w:tc>
      </w:tr>
      <w:tr w:rsidR="000E386D" w:rsidRPr="00F51824" w14:paraId="5E83650E" w14:textId="77777777" w:rsidTr="000E386D">
        <w:trPr>
          <w:trHeight w:val="287"/>
        </w:trPr>
        <w:tc>
          <w:tcPr>
            <w:tcW w:w="9348" w:type="dxa"/>
            <w:gridSpan w:val="8"/>
            <w:vAlign w:val="center"/>
          </w:tcPr>
          <w:p w14:paraId="151194BA" w14:textId="267915D0" w:rsidR="000E386D" w:rsidRPr="00F51824" w:rsidRDefault="000E386D" w:rsidP="000E386D">
            <w:pPr>
              <w:tabs>
                <w:tab w:val="left" w:pos="1370"/>
              </w:tabs>
              <w:spacing w:line="360" w:lineRule="auto"/>
              <w:rPr>
                <w:rFonts w:ascii="Arial" w:hAnsi="Arial" w:cs="Arial"/>
                <w:sz w:val="20"/>
                <w:szCs w:val="20"/>
              </w:rPr>
            </w:pPr>
            <w:r w:rsidRPr="00F51824">
              <w:rPr>
                <w:rFonts w:ascii="Arial" w:hAnsi="Arial" w:cs="Arial"/>
                <w:sz w:val="20"/>
                <w:szCs w:val="20"/>
              </w:rPr>
              <w:t>**significant at the 0.05 level</w:t>
            </w:r>
          </w:p>
        </w:tc>
      </w:tr>
    </w:tbl>
    <w:p w14:paraId="17FB4A52" w14:textId="77777777" w:rsidR="00EF7E36" w:rsidRPr="00F51824" w:rsidRDefault="00EF7E36" w:rsidP="00EF7E36">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3EC2FF55" w14:textId="685F49FD" w:rsidR="004C50B0" w:rsidRPr="002365E1" w:rsidRDefault="002C0617" w:rsidP="004C50B0">
      <w:pPr>
        <w:tabs>
          <w:tab w:val="left" w:pos="1370"/>
        </w:tabs>
        <w:spacing w:line="360" w:lineRule="auto"/>
        <w:jc w:val="both"/>
        <w:rPr>
          <w:rFonts w:ascii="Arial" w:hAnsi="Arial" w:cs="Arial"/>
          <w:sz w:val="24"/>
          <w:szCs w:val="24"/>
        </w:rPr>
      </w:pPr>
      <w:r w:rsidRPr="00D14FFB">
        <w:rPr>
          <w:rFonts w:ascii="Arial" w:hAnsi="Arial" w:cs="Arial"/>
          <w:noProof/>
          <w:sz w:val="18"/>
          <w:szCs w:val="18"/>
        </w:rPr>
        <mc:AlternateContent>
          <mc:Choice Requires="wpg">
            <w:drawing>
              <wp:anchor distT="0" distB="0" distL="114300" distR="114300" simplePos="0" relativeHeight="251707392" behindDoc="0" locked="0" layoutInCell="1" allowOverlap="1" wp14:anchorId="7226319B" wp14:editId="423A4E0E">
                <wp:simplePos x="0" y="0"/>
                <wp:positionH relativeFrom="margin">
                  <wp:posOffset>1336964</wp:posOffset>
                </wp:positionH>
                <wp:positionV relativeFrom="paragraph">
                  <wp:posOffset>766849</wp:posOffset>
                </wp:positionV>
                <wp:extent cx="2839720" cy="637259"/>
                <wp:effectExtent l="0" t="0" r="0" b="0"/>
                <wp:wrapNone/>
                <wp:docPr id="3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637259"/>
                          <a:chOff x="-12406" y="178"/>
                          <a:chExt cx="25742" cy="4007"/>
                        </a:xfrm>
                      </wpg:grpSpPr>
                      <wps:wsp>
                        <wps:cNvPr id="39" name="Text Box 285"/>
                        <wps:cNvSpPr txBox="1">
                          <a:spLocks noChangeArrowheads="1"/>
                        </wps:cNvSpPr>
                        <wps:spPr bwMode="auto">
                          <a:xfrm>
                            <a:off x="-12406" y="178"/>
                            <a:ext cx="25742" cy="40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89BD22" w14:textId="77777777" w:rsidR="0010558E" w:rsidRPr="00396866" w:rsidRDefault="00135B5A" w:rsidP="002C0617">
                              <w:pPr>
                                <w:rPr>
                                  <w:rFonts w:ascii="Times New Roman" w:hAnsi="Times New Roman" w:cs="Times New Roman"/>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ab</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b</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a</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wps:txbx>
                        <wps:bodyPr rot="0" vert="horz" wrap="square" lIns="91440" tIns="45720" rIns="91440" bIns="45720" anchor="t" anchorCtr="0" upright="1">
                          <a:noAutofit/>
                        </wps:bodyPr>
                      </wps:wsp>
                      <wps:wsp>
                        <wps:cNvPr id="40" name="Text Box 286"/>
                        <wps:cNvSpPr txBox="1">
                          <a:spLocks noChangeArrowheads="1"/>
                        </wps:cNvSpPr>
                        <wps:spPr bwMode="auto">
                          <a:xfrm>
                            <a:off x="-8212" y="427"/>
                            <a:ext cx="4160" cy="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567973"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226319B" id="Group 284" o:spid="_x0000_s1045" style="position:absolute;left:0;text-align:left;margin-left:105.25pt;margin-top:60.4pt;width:223.6pt;height:50.2pt;z-index:251707392;mso-position-horizontal-relative:margin;mso-width-relative:margin;mso-height-relative:margin" coordorigin="-12406,178" coordsize="25742,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">
                <v:shape id="Text Box 285" o:spid="_x0000_s1046" type="#_x0000_t202" style="position:absolute;left:-12406;top:178;width:25742;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" stroked="f" strokeweight=".5pt">
                  <v:textbox>
                    <w:txbxContent>
                      <w:p w14:paraId="4389BD22" w14:textId="77777777" w:rsidR="0010558E" w:rsidRPr="00396866" w:rsidRDefault="008A1069" w:rsidP="002C0617">
                        <w:pPr>
                          <w:rPr>
                            <w:rFonts w:ascii="Times New Roman" w:hAnsi="Times New Roman" w:cs="Times New Roman"/>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ab</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b</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a</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v:textbox>
                </v:shape>
                <v:shape id="Text Box 286" o:spid="_x0000_s1047" type="#_x0000_t202" style="position:absolute;left:-8212;top:427;width:4160;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2567973"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v:textbox>
                </v:shape>
                <w10:wrap anchorx="margin"/>
              </v:group>
            </w:pict>
          </mc:Fallback>
        </mc:AlternateContent>
      </w:r>
      <w:r w:rsidRPr="00D14FFB">
        <w:rPr>
          <w:rFonts w:ascii="Arial" w:hAnsi="Arial" w:cs="Arial"/>
          <w:sz w:val="20"/>
          <w:szCs w:val="20"/>
        </w:rPr>
        <w:t>The statistical significance of the mediation has been tested using a statistical significance test proposed by Sobel (1982). Values of regression coefficients have been applied to the Sobel calculator and the results are as follows:</w:t>
      </w:r>
    </w:p>
    <w:p w14:paraId="5AFB567C" w14:textId="5F8E1242" w:rsidR="002C0617" w:rsidRPr="002365E1" w:rsidRDefault="002C0617" w:rsidP="004C50B0">
      <w:pPr>
        <w:tabs>
          <w:tab w:val="left" w:pos="1370"/>
        </w:tabs>
        <w:spacing w:line="360" w:lineRule="auto"/>
        <w:jc w:val="both"/>
        <w:rPr>
          <w:rFonts w:ascii="Arial" w:hAnsi="Arial" w:cs="Arial"/>
          <w:b/>
          <w:bCs/>
          <w:sz w:val="28"/>
          <w:szCs w:val="28"/>
        </w:rPr>
      </w:pPr>
    </w:p>
    <w:p w14:paraId="23A522EA" w14:textId="7AF1A6D8" w:rsidR="00823C67" w:rsidRPr="002365E1" w:rsidRDefault="002C0617" w:rsidP="00815BE5">
      <w:pPr>
        <w:tabs>
          <w:tab w:val="left" w:pos="1370"/>
        </w:tabs>
        <w:spacing w:line="360" w:lineRule="auto"/>
        <w:jc w:val="both"/>
        <w:rPr>
          <w:rFonts w:ascii="Arial" w:hAnsi="Arial" w:cs="Arial"/>
          <w:sz w:val="24"/>
          <w:szCs w:val="24"/>
        </w:rPr>
      </w:pPr>
      <w:r w:rsidRPr="002365E1">
        <w:rPr>
          <w:rFonts w:ascii="Arial" w:hAnsi="Arial" w:cs="Arial"/>
          <w:noProof/>
        </w:rPr>
        <mc:AlternateContent>
          <mc:Choice Requires="wpg">
            <w:drawing>
              <wp:anchor distT="0" distB="0" distL="114300" distR="114300" simplePos="0" relativeHeight="251709440" behindDoc="0" locked="0" layoutInCell="1" allowOverlap="1" wp14:anchorId="59B62414" wp14:editId="28EA3CE2">
                <wp:simplePos x="0" y="0"/>
                <wp:positionH relativeFrom="margin">
                  <wp:posOffset>1779905</wp:posOffset>
                </wp:positionH>
                <wp:positionV relativeFrom="paragraph">
                  <wp:posOffset>105410</wp:posOffset>
                </wp:positionV>
                <wp:extent cx="2867660" cy="609600"/>
                <wp:effectExtent l="0" t="0" r="8890" b="0"/>
                <wp:wrapNone/>
                <wp:docPr id="35"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660" cy="609600"/>
                          <a:chOff x="-1795" y="0"/>
                          <a:chExt cx="27538" cy="6097"/>
                        </a:xfrm>
                      </wpg:grpSpPr>
                      <wps:wsp>
                        <wps:cNvPr id="36" name="Text Box 288"/>
                        <wps:cNvSpPr txBox="1">
                          <a:spLocks noChangeArrowheads="1"/>
                        </wps:cNvSpPr>
                        <wps:spPr bwMode="auto">
                          <a:xfrm>
                            <a:off x="0" y="0"/>
                            <a:ext cx="25742" cy="60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2A873A" w14:textId="74C60C3C" w:rsidR="0010558E" w:rsidRPr="00396866" w:rsidRDefault="00135B5A" w:rsidP="002C0617">
                              <w:pP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0.299</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0.548</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0.074</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0.546</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0.052</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wps:txbx>
                        <wps:bodyPr rot="0" vert="horz" wrap="square" lIns="91440" tIns="45720" rIns="91440" bIns="45720" anchor="t" anchorCtr="0" upright="1">
                          <a:noAutofit/>
                        </wps:bodyPr>
                      </wps:wsp>
                      <wps:wsp>
                        <wps:cNvPr id="37" name="Text Box 289"/>
                        <wps:cNvSpPr txBox="1">
                          <a:spLocks noChangeArrowheads="1"/>
                        </wps:cNvSpPr>
                        <wps:spPr bwMode="auto">
                          <a:xfrm>
                            <a:off x="-1795" y="1002"/>
                            <a:ext cx="4159" cy="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9292FD"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B62414" id="Group 287" o:spid="_x0000_s1048" style="position:absolute;left:0;text-align:left;margin-left:140.15pt;margin-top:8.3pt;width:225.8pt;height:48pt;z-index:251709440;mso-position-horizontal-relative:margin;mso-width-relative:margin;mso-height-relative:margin" coordorigin="-1795" coordsize="27538,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">
                <v:shape id="Text Box 288" o:spid="_x0000_s1049" type="#_x0000_t202" style="position:absolute;width:25742;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" stroked="f" strokeweight=".5pt">
                  <v:textbox>
                    <w:txbxContent>
                      <w:p w14:paraId="312A873A" w14:textId="74C60C3C" w:rsidR="0010558E" w:rsidRPr="00396866" w:rsidRDefault="008A1069" w:rsidP="002C0617">
                        <w:pP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0.299</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0.548</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0.074</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0.546</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0.052</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v:textbox>
                </v:shape>
                <v:shape id="Text Box 289" o:spid="_x0000_s1050" type="#_x0000_t202" style="position:absolute;left:-1795;top:1002;width:4159;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79292FD"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v:textbox>
                </v:shape>
                <w10:wrap anchorx="margin"/>
              </v:group>
            </w:pict>
          </mc:Fallback>
        </mc:AlternateContent>
      </w:r>
    </w:p>
    <w:p w14:paraId="5819A3CB" w14:textId="623ED188" w:rsidR="00823C67" w:rsidRPr="002365E1" w:rsidRDefault="00823C67" w:rsidP="00815BE5">
      <w:pPr>
        <w:tabs>
          <w:tab w:val="left" w:pos="1370"/>
        </w:tabs>
        <w:spacing w:line="360" w:lineRule="auto"/>
        <w:jc w:val="both"/>
        <w:rPr>
          <w:rFonts w:ascii="Arial" w:hAnsi="Arial" w:cs="Arial"/>
          <w:b/>
          <w:bCs/>
          <w:sz w:val="24"/>
          <w:szCs w:val="24"/>
        </w:rPr>
      </w:pPr>
    </w:p>
    <w:p w14:paraId="1FE15204" w14:textId="21346431" w:rsidR="00823C67" w:rsidRPr="002365E1" w:rsidRDefault="002C0617" w:rsidP="00815BE5">
      <w:pPr>
        <w:tabs>
          <w:tab w:val="left" w:pos="1370"/>
        </w:tabs>
        <w:spacing w:line="360" w:lineRule="auto"/>
        <w:jc w:val="both"/>
        <w:rPr>
          <w:rFonts w:ascii="Arial" w:hAnsi="Arial" w:cs="Arial"/>
          <w:b/>
          <w:bCs/>
          <w:sz w:val="24"/>
          <w:szCs w:val="24"/>
        </w:rPr>
      </w:pPr>
      <w:r w:rsidRPr="002365E1">
        <w:rPr>
          <w:rFonts w:ascii="Arial" w:hAnsi="Arial" w:cs="Arial"/>
          <w:noProof/>
        </w:rPr>
        <mc:AlternateContent>
          <mc:Choice Requires="wps">
            <w:drawing>
              <wp:anchor distT="0" distB="0" distL="114300" distR="114300" simplePos="0" relativeHeight="251711488" behindDoc="1" locked="0" layoutInCell="1" allowOverlap="1" wp14:anchorId="73910F8B" wp14:editId="562A0108">
                <wp:simplePos x="0" y="0"/>
                <wp:positionH relativeFrom="column">
                  <wp:posOffset>1786659</wp:posOffset>
                </wp:positionH>
                <wp:positionV relativeFrom="paragraph">
                  <wp:posOffset>107315</wp:posOffset>
                </wp:positionV>
                <wp:extent cx="681355" cy="310515"/>
                <wp:effectExtent l="0" t="0" r="0" b="6985"/>
                <wp:wrapTight wrapText="bothSides">
                  <wp:wrapPolygon edited="0">
                    <wp:start x="1795" y="0"/>
                    <wp:lineTo x="1795" y="20778"/>
                    <wp:lineTo x="19745" y="20778"/>
                    <wp:lineTo x="19745" y="0"/>
                    <wp:lineTo x="1795" y="0"/>
                  </wp:wrapPolygon>
                </wp:wrapTight>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10515"/>
                        </a:xfrm>
                        <a:prstGeom prst="rect">
                          <a:avLst/>
                        </a:prstGeom>
                        <a:noFill/>
                        <a:ln w="6350">
                          <a:noFill/>
                        </a:ln>
                        <a:effectLst/>
                      </wps:spPr>
                      <wps:txbx>
                        <w:txbxContent>
                          <w:p w14:paraId="3DEA2AD7"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 5.752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910F8B" id="Text Box 290" o:spid="_x0000_s1051" type="#_x0000_t202" style="position:absolute;left:0;text-align:left;margin-left:140.7pt;margin-top:8.45pt;width:53.65pt;height:24.45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" filled="f" stroked="f" strokeweight=".5pt">
                <v:textbox>
                  <w:txbxContent>
                    <w:p w14:paraId="3DEA2AD7"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 5.752</w:t>
                      </w:r>
                    </w:p>
                  </w:txbxContent>
                </v:textbox>
                <w10:wrap type="tight"/>
              </v:shape>
            </w:pict>
          </mc:Fallback>
        </mc:AlternateContent>
      </w:r>
    </w:p>
    <w:p w14:paraId="3AC85968" w14:textId="77777777" w:rsidR="000E386D" w:rsidRPr="002365E1" w:rsidRDefault="000E386D" w:rsidP="00815BE5">
      <w:pPr>
        <w:tabs>
          <w:tab w:val="left" w:pos="1370"/>
        </w:tabs>
        <w:spacing w:line="360" w:lineRule="auto"/>
        <w:jc w:val="both"/>
        <w:rPr>
          <w:rFonts w:ascii="Arial" w:hAnsi="Arial" w:cs="Arial"/>
          <w:sz w:val="24"/>
          <w:szCs w:val="24"/>
        </w:rPr>
      </w:pPr>
    </w:p>
    <w:p w14:paraId="23E4C5B9" w14:textId="121E3478" w:rsidR="000E386D" w:rsidRPr="00D14FFB" w:rsidRDefault="000E386D" w:rsidP="00815BE5">
      <w:pPr>
        <w:tabs>
          <w:tab w:val="left" w:pos="1370"/>
        </w:tabs>
        <w:spacing w:line="360" w:lineRule="auto"/>
        <w:jc w:val="both"/>
        <w:rPr>
          <w:rFonts w:ascii="Arial" w:hAnsi="Arial" w:cs="Arial"/>
          <w:sz w:val="20"/>
          <w:szCs w:val="20"/>
        </w:rPr>
      </w:pPr>
      <w:r w:rsidRPr="00D14FFB">
        <w:rPr>
          <w:rFonts w:ascii="Arial" w:hAnsi="Arial" w:cs="Arial"/>
          <w:sz w:val="20"/>
          <w:szCs w:val="20"/>
        </w:rPr>
        <w:t>According to Mallinckrodt</w:t>
      </w:r>
      <w:r w:rsidR="008C6950">
        <w:rPr>
          <w:rFonts w:ascii="Arial" w:hAnsi="Arial" w:cs="Arial"/>
          <w:sz w:val="20"/>
          <w:szCs w:val="20"/>
        </w:rPr>
        <w:t xml:space="preserve"> </w:t>
      </w:r>
      <w:r w:rsidRPr="00D14FFB">
        <w:rPr>
          <w:rFonts w:ascii="Arial" w:hAnsi="Arial" w:cs="Arial"/>
          <w:sz w:val="20"/>
          <w:szCs w:val="20"/>
        </w:rPr>
        <w:t>et al. (2006), since the z-score (5.752) is greater than 1.96, the mediation is statistically significant at a 5% significance level. That means the risk-taking ability of women significantly carries the influence of financial capability on financial well-being.</w:t>
      </w:r>
      <w:r w:rsidR="007713F3">
        <w:rPr>
          <w:rFonts w:ascii="Arial" w:hAnsi="Arial" w:cs="Arial"/>
          <w:sz w:val="20"/>
          <w:szCs w:val="20"/>
        </w:rPr>
        <w:t xml:space="preserve"> </w:t>
      </w:r>
      <w:r w:rsidRPr="00D14FFB">
        <w:rPr>
          <w:rFonts w:ascii="Arial" w:hAnsi="Arial" w:cs="Arial"/>
          <w:sz w:val="20"/>
          <w:szCs w:val="20"/>
        </w:rPr>
        <w:t>Hence, risk-taking ability partially mediates the relationship between financial capability and financial well-being. These results suggest that improving financial capability can lead to an increase in risk-taking ability, which in turn may increase the financial well-being of women.</w:t>
      </w:r>
    </w:p>
    <w:p w14:paraId="73FAE173" w14:textId="3513AE24" w:rsidR="000E386D" w:rsidRPr="00D14FFB" w:rsidRDefault="00D14FFB" w:rsidP="005844F3">
      <w:pPr>
        <w:pStyle w:val="Heading1"/>
        <w:jc w:val="both"/>
        <w:rPr>
          <w:rFonts w:ascii="Arial" w:hAnsi="Arial" w:cs="Arial"/>
          <w:sz w:val="22"/>
          <w:szCs w:val="24"/>
        </w:rPr>
      </w:pPr>
      <w:r w:rsidRPr="00D14FFB">
        <w:rPr>
          <w:rFonts w:ascii="Arial" w:hAnsi="Arial" w:cs="Arial"/>
          <w:caps w:val="0"/>
          <w:sz w:val="22"/>
          <w:szCs w:val="24"/>
        </w:rPr>
        <w:lastRenderedPageBreak/>
        <w:t>6. CONCLUSIONS AND IMPLICATIONS</w:t>
      </w:r>
    </w:p>
    <w:p w14:paraId="48900980" w14:textId="7F6AC56C" w:rsidR="00BD5CA0" w:rsidRPr="00D14FFB" w:rsidRDefault="00D14FFB" w:rsidP="00BD5CA0">
      <w:pPr>
        <w:pStyle w:val="Heading2"/>
        <w:spacing w:line="360" w:lineRule="auto"/>
        <w:rPr>
          <w:rFonts w:ascii="Arial" w:hAnsi="Arial" w:cs="Arial"/>
          <w:sz w:val="22"/>
          <w:szCs w:val="24"/>
        </w:rPr>
      </w:pPr>
      <w:r w:rsidRPr="00D14FFB">
        <w:rPr>
          <w:rFonts w:ascii="Arial" w:hAnsi="Arial" w:cs="Arial"/>
          <w:sz w:val="22"/>
          <w:szCs w:val="24"/>
        </w:rPr>
        <w:t xml:space="preserve">6.1 </w:t>
      </w:r>
      <w:r w:rsidR="00BD5CA0" w:rsidRPr="00D14FFB">
        <w:rPr>
          <w:rFonts w:ascii="Arial" w:hAnsi="Arial" w:cs="Arial"/>
          <w:sz w:val="22"/>
          <w:szCs w:val="24"/>
        </w:rPr>
        <w:t>Findings of the Study</w:t>
      </w:r>
    </w:p>
    <w:p w14:paraId="4D069880" w14:textId="28BA4C29" w:rsidR="0078075B" w:rsidRPr="00137AFA" w:rsidRDefault="00E84B18" w:rsidP="0078075B">
      <w:pPr>
        <w:spacing w:line="360" w:lineRule="auto"/>
        <w:jc w:val="both"/>
        <w:rPr>
          <w:rFonts w:ascii="Arial" w:hAnsi="Arial" w:cs="Arial"/>
          <w:sz w:val="20"/>
          <w:szCs w:val="20"/>
        </w:rPr>
      </w:pPr>
      <w:r w:rsidRPr="00137AFA">
        <w:rPr>
          <w:rFonts w:ascii="Arial" w:hAnsi="Arial" w:cs="Arial"/>
          <w:sz w:val="20"/>
          <w:szCs w:val="20"/>
        </w:rPr>
        <w:t>The results of the H</w:t>
      </w:r>
      <w:r w:rsidRPr="00137AFA">
        <w:rPr>
          <w:rFonts w:ascii="Arial" w:hAnsi="Arial" w:cs="Arial"/>
          <w:sz w:val="20"/>
          <w:szCs w:val="20"/>
          <w:vertAlign w:val="subscript"/>
        </w:rPr>
        <w:t>1</w:t>
      </w:r>
      <w:r w:rsidRPr="00137AFA">
        <w:rPr>
          <w:rFonts w:ascii="Arial" w:hAnsi="Arial" w:cs="Arial"/>
          <w:sz w:val="20"/>
          <w:szCs w:val="20"/>
        </w:rPr>
        <w:t xml:space="preserve"> analysis indicate that there is a strong positive correlation between financial capability and financial well-being, indicating that higher financial capability is associated with greater financial well-being. The finding empirically supports the </w:t>
      </w:r>
      <w:r w:rsidR="0083388D" w:rsidRPr="00137AFA">
        <w:rPr>
          <w:rFonts w:ascii="Arial" w:hAnsi="Arial" w:cs="Arial"/>
          <w:sz w:val="20"/>
          <w:szCs w:val="20"/>
        </w:rPr>
        <w:t>findings</w:t>
      </w:r>
      <w:r w:rsidRPr="00137AFA">
        <w:rPr>
          <w:rFonts w:ascii="Arial" w:hAnsi="Arial" w:cs="Arial"/>
          <w:sz w:val="20"/>
          <w:szCs w:val="20"/>
        </w:rPr>
        <w:t xml:space="preserve"> of earlier studies. (Anthony</w:t>
      </w:r>
      <w:r w:rsidR="0083388D" w:rsidRPr="00137AFA">
        <w:rPr>
          <w:rFonts w:ascii="Arial" w:hAnsi="Arial" w:cs="Arial"/>
          <w:sz w:val="20"/>
          <w:szCs w:val="20"/>
        </w:rPr>
        <w:t xml:space="preserve"> &amp; Sabri</w:t>
      </w:r>
      <w:r w:rsidRPr="00137AFA">
        <w:rPr>
          <w:rFonts w:ascii="Arial" w:hAnsi="Arial" w:cs="Arial"/>
          <w:sz w:val="20"/>
          <w:szCs w:val="20"/>
        </w:rPr>
        <w:t xml:space="preserve">, 2019; Sabri </w:t>
      </w:r>
      <w:r w:rsidR="0083388D" w:rsidRPr="00137AFA">
        <w:rPr>
          <w:rFonts w:ascii="Arial" w:hAnsi="Arial" w:cs="Arial"/>
          <w:sz w:val="20"/>
          <w:szCs w:val="20"/>
        </w:rPr>
        <w:t>&amp;</w:t>
      </w:r>
      <w:r w:rsidRPr="00137AFA">
        <w:rPr>
          <w:rFonts w:ascii="Arial" w:hAnsi="Arial" w:cs="Arial"/>
          <w:sz w:val="20"/>
          <w:szCs w:val="20"/>
        </w:rPr>
        <w:t xml:space="preserve"> Zakaria, 2018</w:t>
      </w:r>
      <w:r w:rsidR="0083388D" w:rsidRPr="00137AFA">
        <w:rPr>
          <w:rFonts w:ascii="Arial" w:hAnsi="Arial" w:cs="Arial"/>
          <w:sz w:val="20"/>
          <w:szCs w:val="20"/>
        </w:rPr>
        <w:t xml:space="preserve">; </w:t>
      </w:r>
      <w:r w:rsidR="0083388D" w:rsidRPr="00137AFA">
        <w:rPr>
          <w:rFonts w:ascii="Arial" w:hAnsi="Arial" w:cs="Arial"/>
          <w:color w:val="222222"/>
          <w:sz w:val="20"/>
          <w:szCs w:val="20"/>
          <w:shd w:val="clear" w:color="auto" w:fill="FFFFFF"/>
        </w:rPr>
        <w:t>Parvathy &amp; Kumar, 2022</w:t>
      </w:r>
      <w:r w:rsidRPr="00137AFA">
        <w:rPr>
          <w:rFonts w:ascii="Arial" w:hAnsi="Arial" w:cs="Arial"/>
          <w:sz w:val="20"/>
          <w:szCs w:val="20"/>
        </w:rPr>
        <w:t xml:space="preserve">). </w:t>
      </w:r>
      <w:r w:rsidR="0078075B" w:rsidRPr="00137AFA">
        <w:rPr>
          <w:rFonts w:ascii="Arial" w:hAnsi="Arial" w:cs="Arial"/>
          <w:sz w:val="20"/>
          <w:szCs w:val="20"/>
        </w:rPr>
        <w:t xml:space="preserve">Women exhibit improved financial task performance and outcomes when their financial competencies align with suitable attitudes and </w:t>
      </w:r>
      <w:proofErr w:type="spellStart"/>
      <w:r w:rsidR="0078075B" w:rsidRPr="00137AFA">
        <w:rPr>
          <w:rFonts w:ascii="Arial" w:hAnsi="Arial" w:cs="Arial"/>
          <w:sz w:val="20"/>
          <w:szCs w:val="20"/>
        </w:rPr>
        <w:t>behaviours</w:t>
      </w:r>
      <w:proofErr w:type="spellEnd"/>
      <w:r w:rsidR="0078075B" w:rsidRPr="00137AFA">
        <w:rPr>
          <w:rFonts w:ascii="Arial" w:hAnsi="Arial" w:cs="Arial"/>
          <w:sz w:val="20"/>
          <w:szCs w:val="20"/>
        </w:rPr>
        <w:t>.</w:t>
      </w:r>
    </w:p>
    <w:p w14:paraId="59BE142A" w14:textId="4F548408" w:rsidR="0083388D" w:rsidRPr="00137AFA" w:rsidRDefault="0083388D" w:rsidP="0078075B">
      <w:pPr>
        <w:spacing w:line="360" w:lineRule="auto"/>
        <w:jc w:val="both"/>
        <w:rPr>
          <w:rFonts w:ascii="Arial" w:hAnsi="Arial" w:cs="Arial"/>
          <w:sz w:val="20"/>
          <w:szCs w:val="20"/>
        </w:rPr>
      </w:pPr>
      <w:r w:rsidRPr="00137AFA">
        <w:rPr>
          <w:rFonts w:ascii="Arial" w:hAnsi="Arial" w:cs="Arial"/>
          <w:sz w:val="20"/>
          <w:szCs w:val="20"/>
        </w:rPr>
        <w:t>The results of the H</w:t>
      </w:r>
      <w:r w:rsidRPr="00137AFA">
        <w:rPr>
          <w:rFonts w:ascii="Arial" w:hAnsi="Arial" w:cs="Arial"/>
          <w:sz w:val="20"/>
          <w:szCs w:val="20"/>
          <w:vertAlign w:val="subscript"/>
        </w:rPr>
        <w:t>2</w:t>
      </w:r>
      <w:r w:rsidRPr="00137AFA">
        <w:rPr>
          <w:rFonts w:ascii="Arial" w:hAnsi="Arial" w:cs="Arial"/>
          <w:sz w:val="20"/>
          <w:szCs w:val="20"/>
        </w:rPr>
        <w:t xml:space="preserve"> analysis suggest </w:t>
      </w:r>
      <w:r w:rsidR="004A1EFE" w:rsidRPr="00137AFA">
        <w:rPr>
          <w:rFonts w:ascii="Arial" w:hAnsi="Arial" w:cs="Arial"/>
          <w:sz w:val="20"/>
          <w:szCs w:val="20"/>
        </w:rPr>
        <w:t>there is a strong positive correlation between financial capability and risk-taking ability, suggesting that individuals with higher financial capability tend to have a greater willingness to take risks. This is in line with the findings</w:t>
      </w:r>
      <w:r w:rsidR="008753B9" w:rsidRPr="00137AFA">
        <w:rPr>
          <w:rFonts w:ascii="Arial" w:hAnsi="Arial" w:cs="Arial"/>
          <w:sz w:val="20"/>
          <w:szCs w:val="20"/>
        </w:rPr>
        <w:t xml:space="preserve"> of previous studies (</w:t>
      </w:r>
      <w:r w:rsidR="004A1EFE" w:rsidRPr="00137AFA">
        <w:rPr>
          <w:rFonts w:ascii="Arial" w:hAnsi="Arial" w:cs="Arial"/>
          <w:sz w:val="20"/>
          <w:szCs w:val="20"/>
        </w:rPr>
        <w:t xml:space="preserve">Tang </w:t>
      </w:r>
      <w:r w:rsidR="008753B9" w:rsidRPr="00137AFA">
        <w:rPr>
          <w:rFonts w:ascii="Arial" w:hAnsi="Arial" w:cs="Arial"/>
          <w:sz w:val="20"/>
          <w:szCs w:val="20"/>
        </w:rPr>
        <w:t>&amp;</w:t>
      </w:r>
      <w:r w:rsidR="004A1EFE" w:rsidRPr="00137AFA">
        <w:rPr>
          <w:rFonts w:ascii="Arial" w:hAnsi="Arial" w:cs="Arial"/>
          <w:sz w:val="20"/>
          <w:szCs w:val="20"/>
        </w:rPr>
        <w:t xml:space="preserve"> Baker</w:t>
      </w:r>
      <w:r w:rsidR="008753B9" w:rsidRPr="00137AFA">
        <w:rPr>
          <w:rFonts w:ascii="Arial" w:hAnsi="Arial" w:cs="Arial"/>
          <w:sz w:val="20"/>
          <w:szCs w:val="20"/>
        </w:rPr>
        <w:t xml:space="preserve">, </w:t>
      </w:r>
      <w:r w:rsidR="004A1EFE" w:rsidRPr="00137AFA">
        <w:rPr>
          <w:rFonts w:ascii="Arial" w:hAnsi="Arial" w:cs="Arial"/>
          <w:sz w:val="20"/>
          <w:szCs w:val="20"/>
        </w:rPr>
        <w:t xml:space="preserve">2016; </w:t>
      </w:r>
      <w:proofErr w:type="spellStart"/>
      <w:r w:rsidR="004A1EFE" w:rsidRPr="00137AFA">
        <w:rPr>
          <w:rFonts w:ascii="Arial" w:hAnsi="Arial" w:cs="Arial"/>
          <w:sz w:val="20"/>
          <w:szCs w:val="20"/>
        </w:rPr>
        <w:t>Nosita</w:t>
      </w:r>
      <w:proofErr w:type="spellEnd"/>
      <w:r w:rsidR="004A1EFE" w:rsidRPr="00137AFA">
        <w:rPr>
          <w:rFonts w:ascii="Arial" w:hAnsi="Arial" w:cs="Arial"/>
          <w:sz w:val="20"/>
          <w:szCs w:val="20"/>
        </w:rPr>
        <w:t xml:space="preserve"> et al. 2020). </w:t>
      </w:r>
      <w:r w:rsidR="0078075B" w:rsidRPr="00137AFA">
        <w:rPr>
          <w:rFonts w:ascii="Arial" w:hAnsi="Arial" w:cs="Arial"/>
          <w:sz w:val="20"/>
          <w:szCs w:val="20"/>
        </w:rPr>
        <w:t>Women possessing advanced financial knowledge can discern the intricacies of financial products and associated risks, enabling them to manage risks confidently while pursuing potential rewards. Access to financial services equips individuals with resources to undertake riskier financial activities, whereas a lack of financial capability often results in risk aversion due to uncertainty.</w:t>
      </w:r>
    </w:p>
    <w:p w14:paraId="6DB8544F" w14:textId="77777777" w:rsidR="0078075B" w:rsidRPr="00137AFA" w:rsidRDefault="00D305DD" w:rsidP="00815BE5">
      <w:pPr>
        <w:tabs>
          <w:tab w:val="left" w:pos="1370"/>
        </w:tabs>
        <w:spacing w:line="360" w:lineRule="auto"/>
        <w:jc w:val="both"/>
        <w:rPr>
          <w:rFonts w:ascii="Arial" w:hAnsi="Arial" w:cs="Arial"/>
          <w:sz w:val="20"/>
          <w:szCs w:val="20"/>
        </w:rPr>
      </w:pPr>
      <w:r w:rsidRPr="00137AFA">
        <w:rPr>
          <w:rFonts w:ascii="Arial" w:hAnsi="Arial" w:cs="Arial"/>
          <w:sz w:val="20"/>
          <w:szCs w:val="20"/>
        </w:rPr>
        <w:t xml:space="preserve">The present study also revealed a strong positive relationship between risk-taking ability and financial well-being. </w:t>
      </w:r>
      <w:r w:rsidR="00622CD7" w:rsidRPr="00137AFA">
        <w:rPr>
          <w:rFonts w:ascii="Arial" w:hAnsi="Arial" w:cs="Arial"/>
          <w:sz w:val="20"/>
          <w:szCs w:val="20"/>
        </w:rPr>
        <w:t xml:space="preserve">This supports the findings of Sages and Grable (2010), that those who tend to be more willing to take risks have higher levels of financial satisfaction. </w:t>
      </w:r>
      <w:r w:rsidR="0078075B" w:rsidRPr="00137AFA">
        <w:rPr>
          <w:rFonts w:ascii="Arial" w:hAnsi="Arial" w:cs="Arial"/>
          <w:sz w:val="20"/>
          <w:szCs w:val="20"/>
        </w:rPr>
        <w:t xml:space="preserve"> Individuals who embrace risk are likely to invest in higher-return opportunities, enhancing long-term financial health; conversely, poor risk management can lead to financial detriment.</w:t>
      </w:r>
    </w:p>
    <w:p w14:paraId="55196902" w14:textId="77777777" w:rsidR="0078075B" w:rsidRPr="00137AFA" w:rsidRDefault="0078075B" w:rsidP="00BD5CA0">
      <w:pPr>
        <w:pStyle w:val="Heading2"/>
        <w:spacing w:line="360" w:lineRule="auto"/>
        <w:rPr>
          <w:rFonts w:ascii="Arial" w:eastAsiaTheme="minorHAnsi" w:hAnsi="Arial" w:cs="Arial"/>
          <w:b w:val="0"/>
          <w:color w:val="auto"/>
          <w:sz w:val="20"/>
          <w:szCs w:val="20"/>
        </w:rPr>
      </w:pPr>
      <w:r w:rsidRPr="00137AFA">
        <w:rPr>
          <w:rFonts w:ascii="Arial" w:eastAsiaTheme="minorHAnsi" w:hAnsi="Arial" w:cs="Arial"/>
          <w:b w:val="0"/>
          <w:color w:val="auto"/>
          <w:sz w:val="20"/>
          <w:szCs w:val="20"/>
        </w:rPr>
        <w:t>Grounded in the theory of planned behavior, this investigation reveals that both direct and indirect impacts of financial capability on financial well-being are statistically significant, suggesting that risk-taking propensity partially mediates this relationship. This research represents a foundational empirical study that clarifies the connection between financial capability and financial well-being, with risk-taking propensity as a mediating factor. It is essential to enhance the financial capability, risk-taking propensity, and overall financial well-being of women from middle and low-income backgrounds, as these elements can significantly foster familial and societal progress.</w:t>
      </w:r>
    </w:p>
    <w:p w14:paraId="0F97761B" w14:textId="69D7FAD0" w:rsidR="00BD5CA0" w:rsidRPr="00D14FFB" w:rsidRDefault="00D14FFB" w:rsidP="00BD5CA0">
      <w:pPr>
        <w:pStyle w:val="Heading2"/>
        <w:spacing w:line="360" w:lineRule="auto"/>
        <w:rPr>
          <w:rFonts w:ascii="Arial" w:hAnsi="Arial" w:cs="Arial"/>
          <w:sz w:val="22"/>
          <w:szCs w:val="24"/>
        </w:rPr>
      </w:pPr>
      <w:r w:rsidRPr="00D14FFB">
        <w:rPr>
          <w:rFonts w:ascii="Arial" w:hAnsi="Arial" w:cs="Arial"/>
          <w:sz w:val="22"/>
          <w:szCs w:val="24"/>
        </w:rPr>
        <w:t xml:space="preserve">6.2 </w:t>
      </w:r>
      <w:r w:rsidR="00BD5CA0" w:rsidRPr="00D14FFB">
        <w:rPr>
          <w:rFonts w:ascii="Arial" w:hAnsi="Arial" w:cs="Arial"/>
          <w:sz w:val="22"/>
          <w:szCs w:val="24"/>
        </w:rPr>
        <w:t>Implications of the Study</w:t>
      </w:r>
    </w:p>
    <w:p w14:paraId="7D17C41B" w14:textId="77777777" w:rsidR="00092C82" w:rsidRPr="00D14FFB" w:rsidRDefault="00092C82" w:rsidP="00092C82">
      <w:pPr>
        <w:pStyle w:val="NormalWeb"/>
        <w:spacing w:line="360" w:lineRule="auto"/>
        <w:jc w:val="both"/>
        <w:rPr>
          <w:rFonts w:ascii="Arial" w:hAnsi="Arial" w:cs="Arial"/>
          <w:sz w:val="20"/>
          <w:szCs w:val="20"/>
        </w:rPr>
      </w:pPr>
      <w:bookmarkStart w:id="21" w:name="_Toc141033546"/>
      <w:r w:rsidRPr="00D14FFB">
        <w:rPr>
          <w:rFonts w:ascii="Arial" w:hAnsi="Arial" w:cs="Arial"/>
          <w:sz w:val="20"/>
          <w:szCs w:val="20"/>
        </w:rPr>
        <w:t>When women possess substantial financial capability, they exhibit increased confidence in risk-taking due to their comprehension of investment principles and access to varied financial products. Their enhanced understanding of potential returns enables informed investment decisions. Conversely, limited financial capability may lead to greater risk aversion among women.</w:t>
      </w:r>
    </w:p>
    <w:p w14:paraId="77410663" w14:textId="6AEAC652" w:rsidR="00092C82" w:rsidRDefault="00092C82" w:rsidP="00092C82">
      <w:pPr>
        <w:pStyle w:val="NormalWeb"/>
        <w:spacing w:line="360" w:lineRule="auto"/>
        <w:jc w:val="both"/>
        <w:rPr>
          <w:rFonts w:ascii="Arial" w:hAnsi="Arial" w:cs="Arial"/>
          <w:sz w:val="20"/>
          <w:szCs w:val="20"/>
        </w:rPr>
      </w:pPr>
      <w:r w:rsidRPr="004C3B7B">
        <w:rPr>
          <w:rFonts w:ascii="Arial" w:hAnsi="Arial" w:cs="Arial"/>
          <w:sz w:val="20"/>
          <w:szCs w:val="20"/>
          <w:highlight w:val="yellow"/>
        </w:rPr>
        <w:t xml:space="preserve">The theoretical contributions of this study are multifaceted. First, while financial capability, risk-taking ability, and financial well-being have been examined separately, their combined impact remains unexplored. This </w:t>
      </w:r>
      <w:r w:rsidRPr="004C3B7B">
        <w:rPr>
          <w:rFonts w:ascii="Arial" w:hAnsi="Arial" w:cs="Arial"/>
          <w:sz w:val="20"/>
          <w:szCs w:val="20"/>
          <w:highlight w:val="yellow"/>
        </w:rPr>
        <w:lastRenderedPageBreak/>
        <w:t xml:space="preserve">study introduces a </w:t>
      </w:r>
      <w:r w:rsidR="00E673CA" w:rsidRPr="004C3B7B">
        <w:rPr>
          <w:rFonts w:ascii="Arial" w:hAnsi="Arial" w:cs="Arial"/>
          <w:sz w:val="20"/>
          <w:szCs w:val="20"/>
          <w:highlight w:val="yellow"/>
        </w:rPr>
        <w:t xml:space="preserve">novel </w:t>
      </w:r>
      <w:r w:rsidRPr="004C3B7B">
        <w:rPr>
          <w:rFonts w:ascii="Arial" w:hAnsi="Arial" w:cs="Arial"/>
          <w:sz w:val="20"/>
          <w:szCs w:val="20"/>
          <w:highlight w:val="yellow"/>
        </w:rPr>
        <w:t xml:space="preserve">theoretical model to </w:t>
      </w:r>
      <w:r w:rsidR="00E673CA" w:rsidRPr="004C3B7B">
        <w:rPr>
          <w:rFonts w:ascii="Arial" w:hAnsi="Arial" w:cs="Arial"/>
          <w:sz w:val="20"/>
          <w:szCs w:val="20"/>
          <w:highlight w:val="yellow"/>
        </w:rPr>
        <w:t>examine</w:t>
      </w:r>
      <w:r w:rsidRPr="004C3B7B">
        <w:rPr>
          <w:rFonts w:ascii="Arial" w:hAnsi="Arial" w:cs="Arial"/>
          <w:sz w:val="20"/>
          <w:szCs w:val="20"/>
          <w:highlight w:val="yellow"/>
        </w:rPr>
        <w:t xml:space="preserve"> the mediating role of risk-taking ability in the nexus between financial capability and financial well-being, an aspect previously overlooked in the literature. Second, existing research primarily addresses financial capability and well-being without distinguishing gender differences</w:t>
      </w:r>
      <w:r w:rsidR="00E673CA" w:rsidRPr="004C3B7B">
        <w:rPr>
          <w:rFonts w:ascii="Arial" w:hAnsi="Arial" w:cs="Arial"/>
          <w:sz w:val="20"/>
          <w:szCs w:val="20"/>
          <w:highlight w:val="yellow"/>
        </w:rPr>
        <w:t>. T</w:t>
      </w:r>
      <w:r w:rsidRPr="004C3B7B">
        <w:rPr>
          <w:rFonts w:ascii="Arial" w:hAnsi="Arial" w:cs="Arial"/>
          <w:sz w:val="20"/>
          <w:szCs w:val="20"/>
          <w:highlight w:val="yellow"/>
        </w:rPr>
        <w:t xml:space="preserve">his study </w:t>
      </w:r>
      <w:r w:rsidR="00E673CA" w:rsidRPr="004C3B7B">
        <w:rPr>
          <w:rFonts w:ascii="Arial" w:hAnsi="Arial" w:cs="Arial"/>
          <w:sz w:val="20"/>
          <w:szCs w:val="20"/>
          <w:highlight w:val="yellow"/>
        </w:rPr>
        <w:t>highlights the importance of considering</w:t>
      </w:r>
      <w:r w:rsidRPr="004C3B7B">
        <w:rPr>
          <w:rFonts w:ascii="Arial" w:hAnsi="Arial" w:cs="Arial"/>
          <w:sz w:val="20"/>
          <w:szCs w:val="20"/>
          <w:highlight w:val="yellow"/>
        </w:rPr>
        <w:t xml:space="preserve"> such disparities</w:t>
      </w:r>
      <w:r w:rsidR="00E673CA" w:rsidRPr="004C3B7B">
        <w:rPr>
          <w:rFonts w:ascii="Arial" w:hAnsi="Arial" w:cs="Arial"/>
          <w:sz w:val="20"/>
          <w:szCs w:val="20"/>
          <w:highlight w:val="yellow"/>
        </w:rPr>
        <w:t xml:space="preserve"> in understanding financial </w:t>
      </w:r>
      <w:proofErr w:type="spellStart"/>
      <w:r w:rsidR="00E673CA" w:rsidRPr="004C3B7B">
        <w:rPr>
          <w:rFonts w:ascii="Arial" w:hAnsi="Arial" w:cs="Arial"/>
          <w:sz w:val="20"/>
          <w:szCs w:val="20"/>
          <w:highlight w:val="yellow"/>
        </w:rPr>
        <w:t>behaviours</w:t>
      </w:r>
      <w:proofErr w:type="spellEnd"/>
      <w:r w:rsidR="00E673CA" w:rsidRPr="004C3B7B">
        <w:rPr>
          <w:rFonts w:ascii="Arial" w:hAnsi="Arial" w:cs="Arial"/>
          <w:sz w:val="20"/>
          <w:szCs w:val="20"/>
          <w:highlight w:val="yellow"/>
        </w:rPr>
        <w:t xml:space="preserve"> and outcomes.</w:t>
      </w:r>
      <w:r w:rsidR="00764BA5">
        <w:rPr>
          <w:rFonts w:ascii="Arial" w:hAnsi="Arial" w:cs="Arial"/>
          <w:sz w:val="20"/>
          <w:szCs w:val="20"/>
        </w:rPr>
        <w:t xml:space="preserve"> </w:t>
      </w:r>
      <w:r w:rsidR="004C3B7B">
        <w:rPr>
          <w:rFonts w:ascii="Arial" w:hAnsi="Arial" w:cs="Arial"/>
          <w:sz w:val="20"/>
          <w:szCs w:val="20"/>
        </w:rPr>
        <w:t>Further, by</w:t>
      </w:r>
      <w:r w:rsidRPr="00D14FFB">
        <w:rPr>
          <w:rFonts w:ascii="Arial" w:hAnsi="Arial" w:cs="Arial"/>
          <w:sz w:val="20"/>
          <w:szCs w:val="20"/>
        </w:rPr>
        <w:t xml:space="preserve"> investigating constructs like financial capability, risk-taking ability, and financial well-being, the study enriches the literature, recognizing cultural variances in these constructs </w:t>
      </w:r>
      <w:r w:rsidR="00F44DD8">
        <w:rPr>
          <w:rFonts w:ascii="Arial" w:hAnsi="Arial" w:cs="Arial"/>
          <w:sz w:val="20"/>
          <w:szCs w:val="20"/>
        </w:rPr>
        <w:t>and </w:t>
      </w:r>
      <w:r w:rsidRPr="00D14FFB">
        <w:rPr>
          <w:rFonts w:ascii="Arial" w:hAnsi="Arial" w:cs="Arial"/>
          <w:sz w:val="20"/>
          <w:szCs w:val="20"/>
        </w:rPr>
        <w:t>addressing the scarcity of studies in the Sri Lankan context.</w:t>
      </w:r>
    </w:p>
    <w:p w14:paraId="0837FB15" w14:textId="62987125" w:rsidR="00764BA5" w:rsidRPr="00764BA5" w:rsidRDefault="00764BA5" w:rsidP="00764BA5">
      <w:pPr>
        <w:pStyle w:val="NormalWeb"/>
        <w:spacing w:line="360" w:lineRule="auto"/>
        <w:jc w:val="both"/>
        <w:rPr>
          <w:rFonts w:ascii="Arial" w:hAnsi="Arial" w:cs="Arial"/>
          <w:sz w:val="20"/>
          <w:szCs w:val="20"/>
          <w:highlight w:val="yellow"/>
        </w:rPr>
      </w:pPr>
      <w:r w:rsidRPr="00764BA5">
        <w:rPr>
          <w:rFonts w:ascii="Arial" w:hAnsi="Arial" w:cs="Arial"/>
          <w:sz w:val="20"/>
          <w:szCs w:val="20"/>
          <w:highlight w:val="yellow"/>
        </w:rPr>
        <w:t xml:space="preserve">The empirical contributions of this research hold considerable significance for policymakers, financial institutions, and organizations dedicated to advancing the financial </w:t>
      </w:r>
      <w:r w:rsidR="006B7861">
        <w:rPr>
          <w:rFonts w:ascii="Arial" w:hAnsi="Arial" w:cs="Arial"/>
          <w:sz w:val="20"/>
          <w:szCs w:val="20"/>
          <w:highlight w:val="yellow"/>
        </w:rPr>
        <w:t>well-being</w:t>
      </w:r>
      <w:r w:rsidRPr="00764BA5">
        <w:rPr>
          <w:rFonts w:ascii="Arial" w:hAnsi="Arial" w:cs="Arial"/>
          <w:sz w:val="20"/>
          <w:szCs w:val="20"/>
          <w:highlight w:val="yellow"/>
        </w:rPr>
        <w:t xml:space="preserve"> of women. The results emphasize the necessity of customized financial education programs that not only enhance foundational financial literacy but also foster the confidence and competencies required for proficient risk management. Financial institutions, non-governmental organizations, and governmental entities may leverage these findings to formulate initiatives that specifically tackle the distinct challenges encountered by women in financial management and the execution of calculated financial risks.</w:t>
      </w:r>
    </w:p>
    <w:p w14:paraId="560F93B5" w14:textId="68351D36" w:rsidR="00764BA5" w:rsidRPr="00764BA5" w:rsidRDefault="00764BA5" w:rsidP="00764BA5">
      <w:pPr>
        <w:pStyle w:val="NormalWeb"/>
        <w:spacing w:line="360" w:lineRule="auto"/>
        <w:jc w:val="both"/>
        <w:rPr>
          <w:rFonts w:ascii="Arial" w:hAnsi="Arial" w:cs="Arial"/>
          <w:sz w:val="20"/>
          <w:szCs w:val="20"/>
          <w:highlight w:val="yellow"/>
        </w:rPr>
      </w:pPr>
      <w:r w:rsidRPr="00764BA5">
        <w:rPr>
          <w:rFonts w:ascii="Arial" w:hAnsi="Arial" w:cs="Arial"/>
          <w:sz w:val="20"/>
          <w:szCs w:val="20"/>
          <w:highlight w:val="yellow"/>
        </w:rPr>
        <w:t xml:space="preserve">This research advocates for the incorporation of financial capability and risk management education within broader empowerment frameworks tailored to women. By empowering women with a comprehensive understanding of financial principles along with risk-taking methodologies, such initiatives can facilitate more informed and assured financial decision-making, thereby </w:t>
      </w:r>
      <w:r w:rsidR="006B7861">
        <w:rPr>
          <w:rFonts w:ascii="Arial" w:hAnsi="Arial" w:cs="Arial"/>
          <w:sz w:val="20"/>
          <w:szCs w:val="20"/>
          <w:highlight w:val="yellow"/>
        </w:rPr>
        <w:t>improving</w:t>
      </w:r>
      <w:r w:rsidRPr="00764BA5">
        <w:rPr>
          <w:rFonts w:ascii="Arial" w:hAnsi="Arial" w:cs="Arial"/>
          <w:sz w:val="20"/>
          <w:szCs w:val="20"/>
          <w:highlight w:val="yellow"/>
        </w:rPr>
        <w:t xml:space="preserve"> their overall financial </w:t>
      </w:r>
      <w:r w:rsidR="006B7861">
        <w:rPr>
          <w:rFonts w:ascii="Arial" w:hAnsi="Arial" w:cs="Arial"/>
          <w:sz w:val="20"/>
          <w:szCs w:val="20"/>
          <w:highlight w:val="yellow"/>
        </w:rPr>
        <w:t>well-being</w:t>
      </w:r>
      <w:r w:rsidRPr="00764BA5">
        <w:rPr>
          <w:rFonts w:ascii="Arial" w:hAnsi="Arial" w:cs="Arial"/>
          <w:sz w:val="20"/>
          <w:szCs w:val="20"/>
          <w:highlight w:val="yellow"/>
        </w:rPr>
        <w:t>. Furthermore, the findings accentuate the imperative for targeted interventions that consider gender disparities in financial decision-making processes and accessibility to financial products.</w:t>
      </w:r>
    </w:p>
    <w:p w14:paraId="254105D3" w14:textId="332A70F2" w:rsidR="00764BA5" w:rsidRPr="00764BA5" w:rsidRDefault="00764BA5" w:rsidP="00764BA5">
      <w:pPr>
        <w:pStyle w:val="NormalWeb"/>
        <w:spacing w:line="360" w:lineRule="auto"/>
        <w:jc w:val="both"/>
        <w:rPr>
          <w:rFonts w:ascii="Arial" w:hAnsi="Arial" w:cs="Arial"/>
          <w:sz w:val="20"/>
          <w:szCs w:val="20"/>
          <w:highlight w:val="yellow"/>
        </w:rPr>
      </w:pPr>
      <w:r w:rsidRPr="00764BA5">
        <w:rPr>
          <w:rFonts w:ascii="Arial" w:hAnsi="Arial" w:cs="Arial"/>
          <w:sz w:val="20"/>
          <w:szCs w:val="20"/>
          <w:highlight w:val="yellow"/>
        </w:rPr>
        <w:t>For practitioners, this study underscores the significance of developing instruments and resources that not only enhance financial literacy but also aid women in surmounting psychological impediments to risk-taking. Financial advisors, for instance, could gain from training that emphasizes gender-sensitive methodologies in risk evaluation, thereby offering counsel that promotes judicious risk-taking while ensuring enduring financial stability.</w:t>
      </w:r>
    </w:p>
    <w:p w14:paraId="149EEF6A" w14:textId="13EE2C69" w:rsidR="00092C82" w:rsidRPr="00D14FFB" w:rsidRDefault="00764BA5" w:rsidP="00092C82">
      <w:pPr>
        <w:pStyle w:val="NormalWeb"/>
        <w:spacing w:line="360" w:lineRule="auto"/>
        <w:jc w:val="both"/>
        <w:rPr>
          <w:rFonts w:ascii="Arial" w:hAnsi="Arial" w:cs="Arial"/>
          <w:sz w:val="20"/>
          <w:szCs w:val="20"/>
        </w:rPr>
      </w:pPr>
      <w:r w:rsidRPr="00764BA5">
        <w:rPr>
          <w:rFonts w:ascii="Arial" w:hAnsi="Arial" w:cs="Arial"/>
          <w:sz w:val="20"/>
          <w:szCs w:val="20"/>
          <w:highlight w:val="yellow"/>
        </w:rPr>
        <w:t>Ultimately, by prioritizing both financial capability and the nurturing of sound risk-taking practices, this research provides actionable insights that may lead to improved financial outcomes for women, thus fostering enhanced economic independence and resilience over time.</w:t>
      </w:r>
    </w:p>
    <w:bookmarkEnd w:id="21"/>
    <w:p w14:paraId="1EF8C369" w14:textId="4996B3FA" w:rsidR="00642698" w:rsidRPr="00D14FFB" w:rsidRDefault="000515B7" w:rsidP="00642698">
      <w:pPr>
        <w:pStyle w:val="Heading2"/>
        <w:spacing w:line="360" w:lineRule="auto"/>
        <w:rPr>
          <w:rFonts w:ascii="Arial" w:hAnsi="Arial" w:cs="Arial"/>
          <w:sz w:val="22"/>
          <w:szCs w:val="24"/>
        </w:rPr>
      </w:pPr>
      <w:proofErr w:type="gramStart"/>
      <w:r>
        <w:rPr>
          <w:rFonts w:ascii="Arial" w:hAnsi="Arial" w:cs="Arial"/>
          <w:sz w:val="22"/>
          <w:szCs w:val="24"/>
        </w:rPr>
        <w:t>Consent :</w:t>
      </w:r>
      <w:proofErr w:type="gramEnd"/>
    </w:p>
    <w:p w14:paraId="486D5888" w14:textId="77777777" w:rsidR="00642698" w:rsidRPr="00D14FFB" w:rsidRDefault="00642698" w:rsidP="00642698">
      <w:pPr>
        <w:spacing w:line="360" w:lineRule="auto"/>
        <w:jc w:val="both"/>
        <w:rPr>
          <w:rFonts w:ascii="Arial" w:hAnsi="Arial" w:cs="Arial"/>
          <w:sz w:val="20"/>
          <w:szCs w:val="20"/>
        </w:rPr>
      </w:pPr>
      <w:r w:rsidRPr="00D14FFB">
        <w:rPr>
          <w:rFonts w:ascii="Arial" w:hAnsi="Arial" w:cs="Arial"/>
          <w:sz w:val="20"/>
          <w:szCs w:val="20"/>
        </w:rPr>
        <w:t xml:space="preserve">During the data collection, voluntary participation of the respondents was obtained. The researcher provided sufficient information and assurances about participating in the survey to allow individuals to understand the implications of participation. The study subjects were told that the information they provided will be kept confidential and that their identities would not be revealed in association with the information </w:t>
      </w:r>
      <w:r w:rsidRPr="00D14FFB">
        <w:rPr>
          <w:rFonts w:ascii="Arial" w:hAnsi="Arial" w:cs="Arial"/>
          <w:sz w:val="20"/>
          <w:szCs w:val="20"/>
        </w:rPr>
        <w:lastRenderedPageBreak/>
        <w:t>they provided. Informed consent was secured from each participant. Also, questionnaires were prepared in an understandable manner by a normal person.</w:t>
      </w:r>
    </w:p>
    <w:p w14:paraId="25EA2B88" w14:textId="2402DDF0" w:rsidR="00642698" w:rsidRPr="00D14FFB" w:rsidRDefault="00642698" w:rsidP="00642698">
      <w:pPr>
        <w:spacing w:line="360" w:lineRule="auto"/>
        <w:jc w:val="both"/>
        <w:rPr>
          <w:rFonts w:ascii="Arial" w:hAnsi="Arial" w:cs="Arial"/>
          <w:sz w:val="20"/>
          <w:szCs w:val="20"/>
        </w:rPr>
      </w:pPr>
      <w:r w:rsidRPr="00D14FFB">
        <w:rPr>
          <w:rFonts w:ascii="Arial" w:hAnsi="Arial" w:cs="Arial"/>
          <w:sz w:val="20"/>
          <w:szCs w:val="20"/>
        </w:rPr>
        <w:t xml:space="preserve">Furthermore, </w:t>
      </w:r>
      <w:proofErr w:type="spellStart"/>
      <w:r w:rsidRPr="00D14FFB">
        <w:rPr>
          <w:rFonts w:ascii="Arial" w:hAnsi="Arial" w:cs="Arial"/>
          <w:sz w:val="20"/>
          <w:szCs w:val="20"/>
        </w:rPr>
        <w:t>acknowledegment</w:t>
      </w:r>
      <w:proofErr w:type="spellEnd"/>
      <w:r w:rsidRPr="00D14FFB">
        <w:rPr>
          <w:rFonts w:ascii="Arial" w:hAnsi="Arial" w:cs="Arial"/>
          <w:sz w:val="20"/>
          <w:szCs w:val="20"/>
        </w:rPr>
        <w:t xml:space="preserve"> of works of other authors used in any part of the study were provided with the use of the American Psychological Association (APA) reference method and the full list of </w:t>
      </w:r>
      <w:r w:rsidR="00014826">
        <w:rPr>
          <w:rFonts w:ascii="Arial" w:hAnsi="Arial" w:cs="Arial"/>
          <w:sz w:val="20"/>
          <w:szCs w:val="20"/>
        </w:rPr>
        <w:t>references</w:t>
      </w:r>
      <w:r w:rsidRPr="00D14FFB">
        <w:rPr>
          <w:rFonts w:ascii="Arial" w:hAnsi="Arial" w:cs="Arial"/>
          <w:sz w:val="20"/>
          <w:szCs w:val="20"/>
        </w:rPr>
        <w:t xml:space="preserve"> was attached. The highest level of objectivity in discussions and analyses throughout the research was maintained.</w:t>
      </w:r>
    </w:p>
    <w:p w14:paraId="2669F8B8" w14:textId="1F7260FA" w:rsidR="00201565" w:rsidRDefault="00201565" w:rsidP="00201565">
      <w:pPr>
        <w:rPr>
          <w:rFonts w:ascii="Arial" w:hAnsi="Arial" w:cs="Arial"/>
          <w:b/>
          <w:sz w:val="24"/>
          <w:szCs w:val="20"/>
          <w:highlight w:val="yellow"/>
        </w:rPr>
      </w:pPr>
      <w:r w:rsidRPr="006B7861">
        <w:rPr>
          <w:rFonts w:ascii="Arial" w:hAnsi="Arial" w:cs="Arial"/>
          <w:b/>
          <w:sz w:val="24"/>
          <w:szCs w:val="20"/>
          <w:highlight w:val="yellow"/>
        </w:rPr>
        <w:t xml:space="preserve">Disclaimer </w:t>
      </w:r>
      <w:r w:rsidR="00CB7EEA">
        <w:rPr>
          <w:rFonts w:ascii="Arial" w:hAnsi="Arial" w:cs="Arial"/>
          <w:b/>
          <w:sz w:val="24"/>
          <w:szCs w:val="20"/>
          <w:highlight w:val="yellow"/>
        </w:rPr>
        <w:t xml:space="preserve">of the use of </w:t>
      </w:r>
      <w:r w:rsidRPr="006B7861">
        <w:rPr>
          <w:rFonts w:ascii="Arial" w:hAnsi="Arial" w:cs="Arial"/>
          <w:b/>
          <w:sz w:val="24"/>
          <w:szCs w:val="20"/>
          <w:highlight w:val="yellow"/>
        </w:rPr>
        <w:t>Artificial intelligence</w:t>
      </w:r>
    </w:p>
    <w:p w14:paraId="3A9B9BEA" w14:textId="77777777" w:rsidR="000515B7" w:rsidRPr="000515B7" w:rsidRDefault="000515B7" w:rsidP="000515B7">
      <w:pPr>
        <w:spacing w:after="200" w:line="276" w:lineRule="auto"/>
        <w:rPr>
          <w:rFonts w:ascii="Calibri" w:eastAsia="Calibri" w:hAnsi="Calibri" w:cs="Times New Roman"/>
        </w:rPr>
      </w:pPr>
      <w:r w:rsidRPr="000515B7">
        <w:rPr>
          <w:rFonts w:ascii="Calibri" w:eastAsia="Calibri" w:hAnsi="Calibri"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197063" w14:textId="77777777" w:rsidR="000515B7" w:rsidRPr="000515B7" w:rsidRDefault="000515B7" w:rsidP="000515B7">
      <w:pPr>
        <w:spacing w:after="200" w:line="276" w:lineRule="auto"/>
        <w:rPr>
          <w:rFonts w:ascii="Calibri" w:eastAsia="Calibri" w:hAnsi="Calibri" w:cs="Times New Roman"/>
        </w:rPr>
      </w:pPr>
      <w:r w:rsidRPr="000515B7">
        <w:rPr>
          <w:rFonts w:ascii="Calibri" w:eastAsia="Calibri" w:hAnsi="Calibri" w:cs="Times New Roman"/>
        </w:rPr>
        <w:t>Details of the AI usage are given below:</w:t>
      </w:r>
    </w:p>
    <w:p w14:paraId="5E42EFCB" w14:textId="77777777" w:rsidR="000515B7" w:rsidRPr="006B7861" w:rsidRDefault="000515B7" w:rsidP="00201565">
      <w:pPr>
        <w:rPr>
          <w:rFonts w:ascii="Arial" w:hAnsi="Arial" w:cs="Arial"/>
          <w:b/>
          <w:sz w:val="24"/>
          <w:szCs w:val="20"/>
          <w:highlight w:val="yellow"/>
        </w:rPr>
      </w:pPr>
    </w:p>
    <w:p w14:paraId="429744BB" w14:textId="4A1A3A2A" w:rsidR="00EF4BDA" w:rsidRPr="000515B7" w:rsidRDefault="00201565" w:rsidP="000515B7">
      <w:pPr>
        <w:pStyle w:val="ListParagraph"/>
        <w:numPr>
          <w:ilvl w:val="0"/>
          <w:numId w:val="10"/>
        </w:numPr>
        <w:spacing w:line="360" w:lineRule="auto"/>
        <w:jc w:val="both"/>
        <w:rPr>
          <w:rFonts w:ascii="Arial" w:hAnsi="Arial" w:cs="Arial"/>
          <w:sz w:val="20"/>
          <w:szCs w:val="20"/>
          <w:highlight w:val="yellow"/>
        </w:rPr>
      </w:pPr>
      <w:r w:rsidRPr="000515B7">
        <w:rPr>
          <w:rFonts w:ascii="Arial" w:hAnsi="Arial" w:cs="Arial"/>
          <w:sz w:val="20"/>
          <w:szCs w:val="20"/>
          <w:highlight w:val="yellow"/>
        </w:rPr>
        <w:t>Authors hereby declare that</w:t>
      </w:r>
      <w:r w:rsidR="00CB7EEA" w:rsidRPr="000515B7">
        <w:rPr>
          <w:rFonts w:ascii="Arial" w:hAnsi="Arial" w:cs="Arial"/>
          <w:sz w:val="20"/>
          <w:szCs w:val="20"/>
          <w:highlight w:val="yellow"/>
        </w:rPr>
        <w:t xml:space="preserve"> the following</w:t>
      </w:r>
      <w:r w:rsidRPr="000515B7">
        <w:rPr>
          <w:rFonts w:ascii="Arial" w:hAnsi="Arial" w:cs="Arial"/>
          <w:sz w:val="20"/>
          <w:szCs w:val="20"/>
          <w:highlight w:val="yellow"/>
        </w:rPr>
        <w:t xml:space="preserve"> generative AI technologies </w:t>
      </w:r>
      <w:r w:rsidR="00014826" w:rsidRPr="000515B7">
        <w:rPr>
          <w:rFonts w:ascii="Arial" w:hAnsi="Arial" w:cs="Arial"/>
          <w:sz w:val="20"/>
          <w:szCs w:val="20"/>
          <w:highlight w:val="yellow"/>
        </w:rPr>
        <w:t>of Grammarly (v1.2.112.1518) and</w:t>
      </w:r>
      <w:r w:rsidR="00014826" w:rsidRPr="000515B7">
        <w:rPr>
          <w:rFonts w:ascii="Arial" w:hAnsi="Arial" w:cs="Arial"/>
          <w:sz w:val="20"/>
          <w:szCs w:val="20"/>
        </w:rPr>
        <w:t xml:space="preserve"> Microsoft Copilot have</w:t>
      </w:r>
      <w:r w:rsidRPr="000515B7">
        <w:rPr>
          <w:rFonts w:ascii="Arial" w:hAnsi="Arial" w:cs="Arial"/>
          <w:sz w:val="20"/>
          <w:szCs w:val="20"/>
          <w:highlight w:val="yellow"/>
        </w:rPr>
        <w:t xml:space="preserve"> been used during the writing or editing of manuscripts</w:t>
      </w:r>
      <w:r w:rsidR="00CB7EEA" w:rsidRPr="000515B7">
        <w:rPr>
          <w:rFonts w:ascii="Arial" w:hAnsi="Arial" w:cs="Arial"/>
          <w:sz w:val="20"/>
          <w:szCs w:val="20"/>
          <w:highlight w:val="yellow"/>
        </w:rPr>
        <w:t xml:space="preserve"> to improve the language and academic writing.</w:t>
      </w:r>
      <w:r w:rsidRPr="000515B7">
        <w:rPr>
          <w:rFonts w:ascii="Arial" w:hAnsi="Arial" w:cs="Arial"/>
          <w:sz w:val="20"/>
          <w:szCs w:val="20"/>
          <w:highlight w:val="yellow"/>
        </w:rPr>
        <w:t xml:space="preserve"> </w:t>
      </w:r>
      <w:r w:rsidR="00014826" w:rsidRPr="000515B7">
        <w:rPr>
          <w:rFonts w:ascii="Arial" w:hAnsi="Arial" w:cs="Arial"/>
          <w:sz w:val="20"/>
          <w:szCs w:val="20"/>
          <w:highlight w:val="yellow"/>
        </w:rPr>
        <w:t xml:space="preserve">After utilizing the service, the authors thoroughly reviewed and edited the content as necessary and assumed full responsibility for the content. </w:t>
      </w:r>
    </w:p>
    <w:p w14:paraId="089493FF" w14:textId="35834AC6" w:rsidR="00C43AD9" w:rsidRPr="008139CF" w:rsidRDefault="008139CF" w:rsidP="005844F3">
      <w:pPr>
        <w:pStyle w:val="Heading1"/>
        <w:tabs>
          <w:tab w:val="center" w:pos="4680"/>
        </w:tabs>
        <w:spacing w:line="360" w:lineRule="auto"/>
        <w:rPr>
          <w:rFonts w:ascii="Arial" w:hAnsi="Arial" w:cs="Arial"/>
          <w:sz w:val="22"/>
          <w:szCs w:val="24"/>
        </w:rPr>
      </w:pPr>
      <w:r w:rsidRPr="008139CF">
        <w:rPr>
          <w:rFonts w:ascii="Arial" w:hAnsi="Arial" w:cs="Arial"/>
          <w:caps w:val="0"/>
          <w:sz w:val="22"/>
          <w:szCs w:val="24"/>
        </w:rPr>
        <w:t>REFERENCES</w:t>
      </w:r>
      <w:bookmarkEnd w:id="19"/>
    </w:p>
    <w:p w14:paraId="341C92A8" w14:textId="77777777" w:rsidR="00984C4D"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Aboagye, J., &amp; Jung, J. Y. (2018). Debt holding, financial behavior, and financial satisfaction. </w:t>
      </w:r>
      <w:r w:rsidRPr="00F77421">
        <w:rPr>
          <w:rFonts w:ascii="Arial" w:hAnsi="Arial" w:cs="Arial"/>
          <w:i/>
          <w:iCs/>
          <w:color w:val="222222"/>
          <w:sz w:val="20"/>
          <w:szCs w:val="20"/>
          <w:highlight w:val="yellow"/>
          <w:shd w:val="clear" w:color="auto" w:fill="FFFFFF"/>
        </w:rPr>
        <w:t>Journal of Financial Counseling and Planning</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29</w:t>
      </w:r>
      <w:r w:rsidRPr="00F77421">
        <w:rPr>
          <w:rFonts w:ascii="Arial" w:hAnsi="Arial" w:cs="Arial"/>
          <w:color w:val="222222"/>
          <w:sz w:val="20"/>
          <w:szCs w:val="20"/>
          <w:highlight w:val="yellow"/>
          <w:shd w:val="clear" w:color="auto" w:fill="FFFFFF"/>
        </w:rPr>
        <w:t>(2), 208-218.</w:t>
      </w:r>
    </w:p>
    <w:p w14:paraId="47331896"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 xml:space="preserve">Abu-Bader, S., &amp; Jones, T. V. (2021). Statistical mediation analysis using the </w:t>
      </w:r>
      <w:proofErr w:type="spellStart"/>
      <w:r w:rsidRPr="001A1E9C">
        <w:rPr>
          <w:rFonts w:ascii="Arial" w:hAnsi="Arial" w:cs="Arial"/>
          <w:color w:val="222222"/>
          <w:sz w:val="20"/>
          <w:szCs w:val="20"/>
          <w:highlight w:val="yellow"/>
          <w:shd w:val="clear" w:color="auto" w:fill="FFFFFF"/>
        </w:rPr>
        <w:t>sobel</w:t>
      </w:r>
      <w:proofErr w:type="spellEnd"/>
      <w:r w:rsidRPr="001A1E9C">
        <w:rPr>
          <w:rFonts w:ascii="Arial" w:hAnsi="Arial" w:cs="Arial"/>
          <w:color w:val="222222"/>
          <w:sz w:val="20"/>
          <w:szCs w:val="20"/>
          <w:highlight w:val="yellow"/>
          <w:shd w:val="clear" w:color="auto" w:fill="FFFFFF"/>
        </w:rPr>
        <w:t xml:space="preserve"> test and </w:t>
      </w:r>
      <w:proofErr w:type="spellStart"/>
      <w:r w:rsidRPr="001A1E9C">
        <w:rPr>
          <w:rFonts w:ascii="Arial" w:hAnsi="Arial" w:cs="Arial"/>
          <w:color w:val="222222"/>
          <w:sz w:val="20"/>
          <w:szCs w:val="20"/>
          <w:highlight w:val="yellow"/>
          <w:shd w:val="clear" w:color="auto" w:fill="FFFFFF"/>
        </w:rPr>
        <w:t>hayes</w:t>
      </w:r>
      <w:proofErr w:type="spellEnd"/>
      <w:r w:rsidRPr="001A1E9C">
        <w:rPr>
          <w:rFonts w:ascii="Arial" w:hAnsi="Arial" w:cs="Arial"/>
          <w:color w:val="222222"/>
          <w:sz w:val="20"/>
          <w:szCs w:val="20"/>
          <w:highlight w:val="yellow"/>
          <w:shd w:val="clear" w:color="auto" w:fill="FFFFFF"/>
        </w:rPr>
        <w:t xml:space="preserve"> SPSS process macro. International Journal of Quantitative and Qualitative Research </w:t>
      </w:r>
      <w:proofErr w:type="spellStart"/>
      <w:r w:rsidRPr="001A1E9C">
        <w:rPr>
          <w:rFonts w:ascii="Arial" w:hAnsi="Arial" w:cs="Arial"/>
          <w:color w:val="222222"/>
          <w:sz w:val="20"/>
          <w:szCs w:val="20"/>
          <w:highlight w:val="yellow"/>
          <w:shd w:val="clear" w:color="auto" w:fill="FFFFFF"/>
        </w:rPr>
        <w:t>Methods.</w:t>
      </w:r>
      <w:r w:rsidRPr="00F77421">
        <w:rPr>
          <w:rFonts w:ascii="Arial" w:hAnsi="Arial" w:cs="Arial"/>
          <w:color w:val="222222"/>
          <w:sz w:val="20"/>
          <w:szCs w:val="20"/>
          <w:highlight w:val="yellow"/>
          <w:shd w:val="clear" w:color="auto" w:fill="FFFFFF"/>
        </w:rPr>
        <w:t>Ajzen</w:t>
      </w:r>
      <w:proofErr w:type="spellEnd"/>
      <w:r w:rsidRPr="00F77421">
        <w:rPr>
          <w:rFonts w:ascii="Arial" w:hAnsi="Arial" w:cs="Arial"/>
          <w:color w:val="222222"/>
          <w:sz w:val="20"/>
          <w:szCs w:val="20"/>
          <w:highlight w:val="yellow"/>
          <w:shd w:val="clear" w:color="auto" w:fill="FFFFFF"/>
        </w:rPr>
        <w:t>, I. (1991). The theory of planned behavior. </w:t>
      </w:r>
      <w:r w:rsidRPr="00F77421">
        <w:rPr>
          <w:rFonts w:ascii="Arial" w:hAnsi="Arial" w:cs="Arial"/>
          <w:i/>
          <w:iCs/>
          <w:color w:val="222222"/>
          <w:sz w:val="20"/>
          <w:szCs w:val="20"/>
          <w:highlight w:val="yellow"/>
          <w:shd w:val="clear" w:color="auto" w:fill="FFFFFF"/>
        </w:rPr>
        <w:t>Organizational behavior and human decision processes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50</w:t>
      </w:r>
      <w:r w:rsidRPr="00F77421">
        <w:rPr>
          <w:rFonts w:ascii="Arial" w:hAnsi="Arial" w:cs="Arial"/>
          <w:color w:val="222222"/>
          <w:sz w:val="20"/>
          <w:szCs w:val="20"/>
          <w:highlight w:val="yellow"/>
          <w:shd w:val="clear" w:color="auto" w:fill="FFFFFF"/>
        </w:rPr>
        <w:t>(2), 179-211.</w:t>
      </w:r>
    </w:p>
    <w:p w14:paraId="0E431F5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Al-</w:t>
      </w:r>
      <w:proofErr w:type="spellStart"/>
      <w:r w:rsidRPr="00701BD2">
        <w:rPr>
          <w:rFonts w:ascii="Arial" w:hAnsi="Arial" w:cs="Arial"/>
          <w:color w:val="222222"/>
          <w:sz w:val="20"/>
          <w:szCs w:val="20"/>
          <w:highlight w:val="yellow"/>
          <w:shd w:val="clear" w:color="auto" w:fill="FFFFFF"/>
        </w:rPr>
        <w:t>Bahrani</w:t>
      </w:r>
      <w:proofErr w:type="spellEnd"/>
      <w:r w:rsidRPr="00701BD2">
        <w:rPr>
          <w:rFonts w:ascii="Arial" w:hAnsi="Arial" w:cs="Arial"/>
          <w:color w:val="222222"/>
          <w:sz w:val="20"/>
          <w:szCs w:val="20"/>
          <w:highlight w:val="yellow"/>
          <w:shd w:val="clear" w:color="auto" w:fill="FFFFFF"/>
        </w:rPr>
        <w:t xml:space="preserve">, A., </w:t>
      </w:r>
      <w:proofErr w:type="spellStart"/>
      <w:r w:rsidRPr="00701BD2">
        <w:rPr>
          <w:rFonts w:ascii="Arial" w:hAnsi="Arial" w:cs="Arial"/>
          <w:color w:val="222222"/>
          <w:sz w:val="20"/>
          <w:szCs w:val="20"/>
          <w:highlight w:val="yellow"/>
          <w:shd w:val="clear" w:color="auto" w:fill="FFFFFF"/>
        </w:rPr>
        <w:t>Buser</w:t>
      </w:r>
      <w:proofErr w:type="spellEnd"/>
      <w:r w:rsidRPr="00701BD2">
        <w:rPr>
          <w:rFonts w:ascii="Arial" w:hAnsi="Arial" w:cs="Arial"/>
          <w:color w:val="222222"/>
          <w:sz w:val="20"/>
          <w:szCs w:val="20"/>
          <w:highlight w:val="yellow"/>
          <w:shd w:val="clear" w:color="auto" w:fill="FFFFFF"/>
        </w:rPr>
        <w:t>, W., &amp; Patel, D. (2020). Early causes of financial disquiet and the gender gap in financial literacy: Evidence from college students in the Southeastern United States. </w:t>
      </w:r>
      <w:r w:rsidRPr="00701BD2">
        <w:rPr>
          <w:rFonts w:ascii="Arial" w:hAnsi="Arial" w:cs="Arial"/>
          <w:i/>
          <w:iCs/>
          <w:color w:val="222222"/>
          <w:sz w:val="20"/>
          <w:szCs w:val="20"/>
          <w:highlight w:val="yellow"/>
          <w:shd w:val="clear" w:color="auto" w:fill="FFFFFF"/>
        </w:rPr>
        <w:t>Journal of Family and Economic Issues</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41</w:t>
      </w:r>
      <w:r w:rsidRPr="00701BD2">
        <w:rPr>
          <w:rFonts w:ascii="Arial" w:hAnsi="Arial" w:cs="Arial"/>
          <w:color w:val="222222"/>
          <w:sz w:val="20"/>
          <w:szCs w:val="20"/>
          <w:highlight w:val="yellow"/>
          <w:shd w:val="clear" w:color="auto" w:fill="FFFFFF"/>
        </w:rPr>
        <w:t>, 558-571.</w:t>
      </w:r>
    </w:p>
    <w:p w14:paraId="401709B4"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Anthony, R., &amp; Sabri, M. F. (2019). The impact of a financial capability program on the financial well-being of medical practitioners. </w:t>
      </w:r>
      <w:r w:rsidRPr="001A1E9C">
        <w:rPr>
          <w:rFonts w:ascii="Arial" w:hAnsi="Arial" w:cs="Arial"/>
          <w:i/>
          <w:iCs/>
          <w:color w:val="222222"/>
          <w:sz w:val="20"/>
          <w:szCs w:val="20"/>
          <w:highlight w:val="yellow"/>
          <w:shd w:val="clear" w:color="auto" w:fill="FFFFFF"/>
        </w:rPr>
        <w:t>management</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6</w:t>
      </w:r>
      <w:r w:rsidRPr="001A1E9C">
        <w:rPr>
          <w:rFonts w:ascii="Arial" w:hAnsi="Arial" w:cs="Arial"/>
          <w:color w:val="222222"/>
          <w:sz w:val="20"/>
          <w:szCs w:val="20"/>
          <w:highlight w:val="yellow"/>
          <w:shd w:val="clear" w:color="auto" w:fill="FFFFFF"/>
        </w:rPr>
        <w:t>, 344.</w:t>
      </w:r>
    </w:p>
    <w:p w14:paraId="4EDC0CD7"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Arrow, K. J. (1971). Insurance, risk and resource allocation. </w:t>
      </w:r>
      <w:r w:rsidRPr="00F77421">
        <w:rPr>
          <w:rFonts w:ascii="Arial" w:hAnsi="Arial" w:cs="Arial"/>
          <w:i/>
          <w:iCs/>
          <w:color w:val="222222"/>
          <w:sz w:val="20"/>
          <w:szCs w:val="20"/>
          <w:highlight w:val="yellow"/>
          <w:shd w:val="clear" w:color="auto" w:fill="FFFFFF"/>
        </w:rPr>
        <w:t>University of Illinois at Urbana-Champaign's Academy for Entrepreneurial Leadership Historical Research Reference in Entrepreneurship</w:t>
      </w:r>
      <w:r w:rsidRPr="00F77421">
        <w:rPr>
          <w:rFonts w:ascii="Arial" w:hAnsi="Arial" w:cs="Arial"/>
          <w:color w:val="222222"/>
          <w:sz w:val="20"/>
          <w:szCs w:val="20"/>
          <w:highlight w:val="yellow"/>
          <w:shd w:val="clear" w:color="auto" w:fill="FFFFFF"/>
        </w:rPr>
        <w:t>.</w:t>
      </w:r>
    </w:p>
    <w:p w14:paraId="6AE574C3"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noProof/>
          <w:sz w:val="20"/>
          <w:szCs w:val="20"/>
          <w:highlight w:val="yellow"/>
        </w:rPr>
        <w:lastRenderedPageBreak/>
        <w:t xml:space="preserve">Arunatilake, N., &amp; Ranasinghe, S. (2023, February 27). Promoting Access to Decent Work in Sri Lanka. </w:t>
      </w:r>
      <w:r w:rsidRPr="001A1E9C">
        <w:rPr>
          <w:rFonts w:ascii="Arial" w:hAnsi="Arial" w:cs="Arial"/>
          <w:i/>
          <w:iCs/>
          <w:noProof/>
          <w:sz w:val="20"/>
          <w:szCs w:val="20"/>
          <w:highlight w:val="yellow"/>
        </w:rPr>
        <w:t>Invest in economic sectors that are more likely to generate more productive jobs.</w:t>
      </w:r>
      <w:r w:rsidRPr="008139CF">
        <w:rPr>
          <w:rFonts w:ascii="Arial" w:hAnsi="Arial" w:cs="Arial"/>
          <w:noProof/>
          <w:sz w:val="20"/>
          <w:szCs w:val="20"/>
        </w:rPr>
        <w:t xml:space="preserve"> </w:t>
      </w:r>
    </w:p>
    <w:p w14:paraId="7FBD42D0"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Aydemir</w:t>
      </w:r>
      <w:proofErr w:type="spellEnd"/>
      <w:r w:rsidRPr="00F77421">
        <w:rPr>
          <w:rFonts w:ascii="Arial" w:hAnsi="Arial" w:cs="Arial"/>
          <w:color w:val="222222"/>
          <w:sz w:val="20"/>
          <w:szCs w:val="20"/>
          <w:highlight w:val="yellow"/>
          <w:shd w:val="clear" w:color="auto" w:fill="FFFFFF"/>
        </w:rPr>
        <w:t xml:space="preserve">, S., &amp; </w:t>
      </w:r>
      <w:proofErr w:type="spellStart"/>
      <w:r w:rsidRPr="00F77421">
        <w:rPr>
          <w:rFonts w:ascii="Arial" w:hAnsi="Arial" w:cs="Arial"/>
          <w:color w:val="222222"/>
          <w:sz w:val="20"/>
          <w:szCs w:val="20"/>
          <w:highlight w:val="yellow"/>
          <w:shd w:val="clear" w:color="auto" w:fill="FFFFFF"/>
        </w:rPr>
        <w:t>Aren</w:t>
      </w:r>
      <w:proofErr w:type="spellEnd"/>
      <w:r w:rsidRPr="00F77421">
        <w:rPr>
          <w:rFonts w:ascii="Arial" w:hAnsi="Arial" w:cs="Arial"/>
          <w:color w:val="222222"/>
          <w:sz w:val="20"/>
          <w:szCs w:val="20"/>
          <w:highlight w:val="yellow"/>
          <w:shd w:val="clear" w:color="auto" w:fill="FFFFFF"/>
        </w:rPr>
        <w:t xml:space="preserve">, S. (2017). Do the effects of individual factors on financial risk-taking behavior diversify with financial </w:t>
      </w:r>
      <w:proofErr w:type="gramStart"/>
      <w:r w:rsidRPr="00F77421">
        <w:rPr>
          <w:rFonts w:ascii="Arial" w:hAnsi="Arial" w:cs="Arial"/>
          <w:color w:val="222222"/>
          <w:sz w:val="20"/>
          <w:szCs w:val="20"/>
          <w:highlight w:val="yellow"/>
          <w:shd w:val="clear" w:color="auto" w:fill="FFFFFF"/>
        </w:rPr>
        <w:t>literacy?.</w:t>
      </w:r>
      <w:proofErr w:type="gramEnd"/>
      <w:r w:rsidRPr="00F77421">
        <w:rPr>
          <w:rFonts w:ascii="Arial" w:hAnsi="Arial" w:cs="Arial"/>
          <w:color w:val="222222"/>
          <w:sz w:val="20"/>
          <w:szCs w:val="20"/>
          <w:highlight w:val="yellow"/>
          <w:shd w:val="clear" w:color="auto" w:fill="FFFFFF"/>
        </w:rPr>
        <w:t> </w:t>
      </w:r>
      <w:proofErr w:type="spellStart"/>
      <w:r w:rsidRPr="00F77421">
        <w:rPr>
          <w:rFonts w:ascii="Arial" w:hAnsi="Arial" w:cs="Arial"/>
          <w:i/>
          <w:iCs/>
          <w:color w:val="222222"/>
          <w:sz w:val="20"/>
          <w:szCs w:val="20"/>
          <w:highlight w:val="yellow"/>
          <w:shd w:val="clear" w:color="auto" w:fill="FFFFFF"/>
        </w:rPr>
        <w:t>Kybernetes</w:t>
      </w:r>
      <w:proofErr w:type="spellEnd"/>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46</w:t>
      </w:r>
      <w:r w:rsidRPr="00F77421">
        <w:rPr>
          <w:rFonts w:ascii="Arial" w:hAnsi="Arial" w:cs="Arial"/>
          <w:color w:val="222222"/>
          <w:sz w:val="20"/>
          <w:szCs w:val="20"/>
          <w:highlight w:val="yellow"/>
          <w:shd w:val="clear" w:color="auto" w:fill="FFFFFF"/>
        </w:rPr>
        <w:t>(10), 1706-1734.</w:t>
      </w:r>
    </w:p>
    <w:p w14:paraId="1AB92E02"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Bannier</w:t>
      </w:r>
      <w:proofErr w:type="spellEnd"/>
      <w:r w:rsidRPr="00F77421">
        <w:rPr>
          <w:rFonts w:ascii="Arial" w:hAnsi="Arial" w:cs="Arial"/>
          <w:color w:val="222222"/>
          <w:sz w:val="20"/>
          <w:szCs w:val="20"/>
          <w:highlight w:val="yellow"/>
          <w:shd w:val="clear" w:color="auto" w:fill="FFFFFF"/>
        </w:rPr>
        <w:t>, C. E., &amp; Neubert, M. (2016). Gender differences in financial risk taking: The role of financial literacy and risk tolerance. </w:t>
      </w:r>
      <w:r w:rsidRPr="00F77421">
        <w:rPr>
          <w:rFonts w:ascii="Arial" w:hAnsi="Arial" w:cs="Arial"/>
          <w:i/>
          <w:iCs/>
          <w:color w:val="222222"/>
          <w:sz w:val="20"/>
          <w:szCs w:val="20"/>
          <w:highlight w:val="yellow"/>
          <w:shd w:val="clear" w:color="auto" w:fill="FFFFFF"/>
        </w:rPr>
        <w:t>Economics Letters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145</w:t>
      </w:r>
      <w:r w:rsidRPr="00F77421">
        <w:rPr>
          <w:rFonts w:ascii="Arial" w:hAnsi="Arial" w:cs="Arial"/>
          <w:color w:val="222222"/>
          <w:sz w:val="20"/>
          <w:szCs w:val="20"/>
          <w:highlight w:val="yellow"/>
          <w:shd w:val="clear" w:color="auto" w:fill="FFFFFF"/>
        </w:rPr>
        <w:t>, 130-135.</w:t>
      </w:r>
    </w:p>
    <w:p w14:paraId="4D26D3B9"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bookmarkStart w:id="22" w:name="_Hlk140957838"/>
      <w:r w:rsidRPr="00F77421">
        <w:rPr>
          <w:rFonts w:ascii="Arial" w:hAnsi="Arial" w:cs="Arial"/>
          <w:color w:val="222222"/>
          <w:sz w:val="20"/>
          <w:szCs w:val="20"/>
          <w:highlight w:val="yellow"/>
          <w:shd w:val="clear" w:color="auto" w:fill="FFFFFF"/>
        </w:rPr>
        <w:t xml:space="preserve">Bayar, Y., </w:t>
      </w:r>
      <w:proofErr w:type="spellStart"/>
      <w:r w:rsidRPr="00F77421">
        <w:rPr>
          <w:rFonts w:ascii="Arial" w:hAnsi="Arial" w:cs="Arial"/>
          <w:color w:val="222222"/>
          <w:sz w:val="20"/>
          <w:szCs w:val="20"/>
          <w:highlight w:val="yellow"/>
          <w:shd w:val="clear" w:color="auto" w:fill="FFFFFF"/>
        </w:rPr>
        <w:t>Sezgin</w:t>
      </w:r>
      <w:proofErr w:type="spellEnd"/>
      <w:r w:rsidRPr="00F77421">
        <w:rPr>
          <w:rFonts w:ascii="Arial" w:hAnsi="Arial" w:cs="Arial"/>
          <w:color w:val="222222"/>
          <w:sz w:val="20"/>
          <w:szCs w:val="20"/>
          <w:highlight w:val="yellow"/>
          <w:shd w:val="clear" w:color="auto" w:fill="FFFFFF"/>
        </w:rPr>
        <w:t xml:space="preserve">, H. F., </w:t>
      </w:r>
      <w:proofErr w:type="spellStart"/>
      <w:r w:rsidRPr="00F77421">
        <w:rPr>
          <w:rFonts w:ascii="Arial" w:hAnsi="Arial" w:cs="Arial"/>
          <w:color w:val="222222"/>
          <w:sz w:val="20"/>
          <w:szCs w:val="20"/>
          <w:highlight w:val="yellow"/>
          <w:shd w:val="clear" w:color="auto" w:fill="FFFFFF"/>
        </w:rPr>
        <w:t>Öztürk</w:t>
      </w:r>
      <w:proofErr w:type="spellEnd"/>
      <w:r w:rsidRPr="00F77421">
        <w:rPr>
          <w:rFonts w:ascii="Arial" w:hAnsi="Arial" w:cs="Arial"/>
          <w:color w:val="222222"/>
          <w:sz w:val="20"/>
          <w:szCs w:val="20"/>
          <w:highlight w:val="yellow"/>
          <w:shd w:val="clear" w:color="auto" w:fill="FFFFFF"/>
        </w:rPr>
        <w:t xml:space="preserve">, Ö. F., &amp; </w:t>
      </w:r>
      <w:proofErr w:type="spellStart"/>
      <w:r w:rsidRPr="00F77421">
        <w:rPr>
          <w:rFonts w:ascii="Arial" w:hAnsi="Arial" w:cs="Arial"/>
          <w:color w:val="222222"/>
          <w:sz w:val="20"/>
          <w:szCs w:val="20"/>
          <w:highlight w:val="yellow"/>
          <w:shd w:val="clear" w:color="auto" w:fill="FFFFFF"/>
        </w:rPr>
        <w:t>Şaşmaz</w:t>
      </w:r>
      <w:bookmarkEnd w:id="22"/>
      <w:proofErr w:type="spellEnd"/>
      <w:r w:rsidRPr="00F77421">
        <w:rPr>
          <w:rFonts w:ascii="Arial" w:hAnsi="Arial" w:cs="Arial"/>
          <w:color w:val="222222"/>
          <w:sz w:val="20"/>
          <w:szCs w:val="20"/>
          <w:highlight w:val="yellow"/>
          <w:shd w:val="clear" w:color="auto" w:fill="FFFFFF"/>
        </w:rPr>
        <w:t>, M. Ü. (2020). Financial literacy and financial risk tolerance of individual investors: Multinomial logistic regression approach. </w:t>
      </w:r>
      <w:r w:rsidRPr="00F77421">
        <w:rPr>
          <w:rFonts w:ascii="Arial" w:hAnsi="Arial" w:cs="Arial"/>
          <w:i/>
          <w:iCs/>
          <w:color w:val="222222"/>
          <w:sz w:val="20"/>
          <w:szCs w:val="20"/>
          <w:highlight w:val="yellow"/>
          <w:shd w:val="clear" w:color="auto" w:fill="FFFFFF"/>
        </w:rPr>
        <w:t>Sage Open</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10</w:t>
      </w:r>
      <w:r w:rsidRPr="00F77421">
        <w:rPr>
          <w:rFonts w:ascii="Arial" w:hAnsi="Arial" w:cs="Arial"/>
          <w:color w:val="222222"/>
          <w:sz w:val="20"/>
          <w:szCs w:val="20"/>
          <w:highlight w:val="yellow"/>
          <w:shd w:val="clear" w:color="auto" w:fill="FFFFFF"/>
        </w:rPr>
        <w:t>(3), 2158244020945717.</w:t>
      </w:r>
    </w:p>
    <w:p w14:paraId="6595479B"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 xml:space="preserve">Bayar, Y., </w:t>
      </w:r>
      <w:proofErr w:type="spellStart"/>
      <w:r w:rsidRPr="00F77421">
        <w:rPr>
          <w:rFonts w:ascii="Arial" w:hAnsi="Arial" w:cs="Arial"/>
          <w:color w:val="222222"/>
          <w:sz w:val="20"/>
          <w:szCs w:val="20"/>
          <w:highlight w:val="yellow"/>
          <w:shd w:val="clear" w:color="auto" w:fill="FFFFFF"/>
        </w:rPr>
        <w:t>Sezgin</w:t>
      </w:r>
      <w:proofErr w:type="spellEnd"/>
      <w:r w:rsidRPr="00F77421">
        <w:rPr>
          <w:rFonts w:ascii="Arial" w:hAnsi="Arial" w:cs="Arial"/>
          <w:color w:val="222222"/>
          <w:sz w:val="20"/>
          <w:szCs w:val="20"/>
          <w:highlight w:val="yellow"/>
          <w:shd w:val="clear" w:color="auto" w:fill="FFFFFF"/>
        </w:rPr>
        <w:t xml:space="preserve">, H. F., </w:t>
      </w:r>
      <w:proofErr w:type="spellStart"/>
      <w:r w:rsidRPr="00F77421">
        <w:rPr>
          <w:rFonts w:ascii="Arial" w:hAnsi="Arial" w:cs="Arial"/>
          <w:color w:val="222222"/>
          <w:sz w:val="20"/>
          <w:szCs w:val="20"/>
          <w:highlight w:val="yellow"/>
          <w:shd w:val="clear" w:color="auto" w:fill="FFFFFF"/>
        </w:rPr>
        <w:t>Öztürk</w:t>
      </w:r>
      <w:proofErr w:type="spellEnd"/>
      <w:r w:rsidRPr="00F77421">
        <w:rPr>
          <w:rFonts w:ascii="Arial" w:hAnsi="Arial" w:cs="Arial"/>
          <w:color w:val="222222"/>
          <w:sz w:val="20"/>
          <w:szCs w:val="20"/>
          <w:highlight w:val="yellow"/>
          <w:shd w:val="clear" w:color="auto" w:fill="FFFFFF"/>
        </w:rPr>
        <w:t xml:space="preserve">, Ö. F., &amp; </w:t>
      </w:r>
      <w:proofErr w:type="spellStart"/>
      <w:r w:rsidRPr="00F77421">
        <w:rPr>
          <w:rFonts w:ascii="Arial" w:hAnsi="Arial" w:cs="Arial"/>
          <w:color w:val="222222"/>
          <w:sz w:val="20"/>
          <w:szCs w:val="20"/>
          <w:highlight w:val="yellow"/>
          <w:shd w:val="clear" w:color="auto" w:fill="FFFFFF"/>
        </w:rPr>
        <w:t>Şaşmaz</w:t>
      </w:r>
      <w:proofErr w:type="spellEnd"/>
      <w:r w:rsidRPr="00F77421">
        <w:rPr>
          <w:rFonts w:ascii="Arial" w:hAnsi="Arial" w:cs="Arial"/>
          <w:color w:val="222222"/>
          <w:sz w:val="20"/>
          <w:szCs w:val="20"/>
          <w:highlight w:val="yellow"/>
          <w:shd w:val="clear" w:color="auto" w:fill="FFFFFF"/>
        </w:rPr>
        <w:t>, M. Ü. (2020). Financial literacy and financial risk tolerance of individual investors: Multinomial logistic regression approach. </w:t>
      </w:r>
      <w:r w:rsidRPr="00F77421">
        <w:rPr>
          <w:rFonts w:ascii="Arial" w:hAnsi="Arial" w:cs="Arial"/>
          <w:i/>
          <w:iCs/>
          <w:color w:val="222222"/>
          <w:sz w:val="20"/>
          <w:szCs w:val="20"/>
          <w:highlight w:val="yellow"/>
          <w:shd w:val="clear" w:color="auto" w:fill="FFFFFF"/>
        </w:rPr>
        <w:t>Sage Open</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10</w:t>
      </w:r>
      <w:r w:rsidRPr="00F77421">
        <w:rPr>
          <w:rFonts w:ascii="Arial" w:hAnsi="Arial" w:cs="Arial"/>
          <w:color w:val="222222"/>
          <w:sz w:val="20"/>
          <w:szCs w:val="20"/>
          <w:highlight w:val="yellow"/>
          <w:shd w:val="clear" w:color="auto" w:fill="FFFFFF"/>
        </w:rPr>
        <w:t>(3), 2158244020945717.</w:t>
      </w:r>
    </w:p>
    <w:p w14:paraId="2AE8F8A0"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Bolaji-</w:t>
      </w:r>
      <w:proofErr w:type="spellStart"/>
      <w:r w:rsidRPr="00F77421">
        <w:rPr>
          <w:rFonts w:ascii="Arial" w:hAnsi="Arial" w:cs="Arial"/>
          <w:color w:val="222222"/>
          <w:sz w:val="20"/>
          <w:szCs w:val="20"/>
          <w:highlight w:val="yellow"/>
          <w:shd w:val="clear" w:color="auto" w:fill="FFFFFF"/>
        </w:rPr>
        <w:t>Adio</w:t>
      </w:r>
      <w:proofErr w:type="spellEnd"/>
      <w:r w:rsidRPr="00F77421">
        <w:rPr>
          <w:rFonts w:ascii="Arial" w:hAnsi="Arial" w:cs="Arial"/>
          <w:color w:val="222222"/>
          <w:sz w:val="20"/>
          <w:szCs w:val="20"/>
          <w:highlight w:val="yellow"/>
          <w:shd w:val="clear" w:color="auto" w:fill="FFFFFF"/>
        </w:rPr>
        <w:t xml:space="preserve">, A., </w:t>
      </w:r>
      <w:proofErr w:type="spellStart"/>
      <w:r w:rsidRPr="00F77421">
        <w:rPr>
          <w:rFonts w:ascii="Arial" w:hAnsi="Arial" w:cs="Arial"/>
          <w:color w:val="222222"/>
          <w:sz w:val="20"/>
          <w:szCs w:val="20"/>
          <w:highlight w:val="yellow"/>
          <w:shd w:val="clear" w:color="auto" w:fill="FFFFFF"/>
        </w:rPr>
        <w:t>Iarossi</w:t>
      </w:r>
      <w:proofErr w:type="spellEnd"/>
      <w:r w:rsidRPr="00F77421">
        <w:rPr>
          <w:rFonts w:ascii="Arial" w:hAnsi="Arial" w:cs="Arial"/>
          <w:color w:val="222222"/>
          <w:sz w:val="20"/>
          <w:szCs w:val="20"/>
          <w:highlight w:val="yellow"/>
          <w:shd w:val="clear" w:color="auto" w:fill="FFFFFF"/>
        </w:rPr>
        <w:t xml:space="preserve">, G., </w:t>
      </w:r>
      <w:proofErr w:type="spellStart"/>
      <w:r w:rsidRPr="00F77421">
        <w:rPr>
          <w:rFonts w:ascii="Arial" w:hAnsi="Arial" w:cs="Arial"/>
          <w:color w:val="222222"/>
          <w:sz w:val="20"/>
          <w:szCs w:val="20"/>
          <w:highlight w:val="yellow"/>
          <w:shd w:val="clear" w:color="auto" w:fill="FFFFFF"/>
        </w:rPr>
        <w:t>Perotti</w:t>
      </w:r>
      <w:proofErr w:type="spellEnd"/>
      <w:r w:rsidRPr="00F77421">
        <w:rPr>
          <w:rFonts w:ascii="Arial" w:hAnsi="Arial" w:cs="Arial"/>
          <w:color w:val="222222"/>
          <w:sz w:val="20"/>
          <w:szCs w:val="20"/>
          <w:highlight w:val="yellow"/>
          <w:shd w:val="clear" w:color="auto" w:fill="FFFFFF"/>
        </w:rPr>
        <w:t xml:space="preserve">, V., &amp; </w:t>
      </w:r>
      <w:proofErr w:type="spellStart"/>
      <w:r w:rsidRPr="00F77421">
        <w:rPr>
          <w:rFonts w:ascii="Arial" w:hAnsi="Arial" w:cs="Arial"/>
          <w:color w:val="222222"/>
          <w:sz w:val="20"/>
          <w:szCs w:val="20"/>
          <w:highlight w:val="yellow"/>
          <w:shd w:val="clear" w:color="auto" w:fill="FFFFFF"/>
        </w:rPr>
        <w:t>Zottel</w:t>
      </w:r>
      <w:proofErr w:type="spellEnd"/>
      <w:r w:rsidRPr="00F77421">
        <w:rPr>
          <w:rFonts w:ascii="Arial" w:hAnsi="Arial" w:cs="Arial"/>
          <w:color w:val="222222"/>
          <w:sz w:val="20"/>
          <w:szCs w:val="20"/>
          <w:highlight w:val="yellow"/>
          <w:shd w:val="clear" w:color="auto" w:fill="FFFFFF"/>
        </w:rPr>
        <w:t>, S. (2013). Making sense of financial capability surveys around the world: a review of existing financial capability and literacy measurement instruments. </w:t>
      </w:r>
      <w:r w:rsidRPr="00F77421">
        <w:rPr>
          <w:rFonts w:ascii="Arial" w:hAnsi="Arial" w:cs="Arial"/>
          <w:i/>
          <w:iCs/>
          <w:color w:val="222222"/>
          <w:sz w:val="20"/>
          <w:szCs w:val="20"/>
          <w:highlight w:val="yellow"/>
          <w:shd w:val="clear" w:color="auto" w:fill="FFFFFF"/>
        </w:rPr>
        <w:t>Disclosure</w:t>
      </w:r>
      <w:r w:rsidRPr="00F77421">
        <w:rPr>
          <w:rFonts w:ascii="Arial" w:hAnsi="Arial" w:cs="Arial"/>
          <w:color w:val="222222"/>
          <w:sz w:val="20"/>
          <w:szCs w:val="20"/>
          <w:highlight w:val="yellow"/>
          <w:shd w:val="clear" w:color="auto" w:fill="FFFFFF"/>
        </w:rPr>
        <w:t>.</w:t>
      </w:r>
    </w:p>
    <w:p w14:paraId="4696DA81"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Borghans</w:t>
      </w:r>
      <w:proofErr w:type="spellEnd"/>
      <w:r w:rsidRPr="00701BD2">
        <w:rPr>
          <w:rFonts w:ascii="Arial" w:hAnsi="Arial" w:cs="Arial"/>
          <w:color w:val="222222"/>
          <w:sz w:val="20"/>
          <w:szCs w:val="20"/>
          <w:highlight w:val="yellow"/>
          <w:shd w:val="clear" w:color="auto" w:fill="FFFFFF"/>
        </w:rPr>
        <w:t xml:space="preserve">, L., Heckman, J. J., </w:t>
      </w:r>
      <w:proofErr w:type="spellStart"/>
      <w:r w:rsidRPr="00701BD2">
        <w:rPr>
          <w:rFonts w:ascii="Arial" w:hAnsi="Arial" w:cs="Arial"/>
          <w:color w:val="222222"/>
          <w:sz w:val="20"/>
          <w:szCs w:val="20"/>
          <w:highlight w:val="yellow"/>
          <w:shd w:val="clear" w:color="auto" w:fill="FFFFFF"/>
        </w:rPr>
        <w:t>Golsteyn</w:t>
      </w:r>
      <w:proofErr w:type="spellEnd"/>
      <w:r w:rsidRPr="00701BD2">
        <w:rPr>
          <w:rFonts w:ascii="Arial" w:hAnsi="Arial" w:cs="Arial"/>
          <w:color w:val="222222"/>
          <w:sz w:val="20"/>
          <w:szCs w:val="20"/>
          <w:highlight w:val="yellow"/>
          <w:shd w:val="clear" w:color="auto" w:fill="FFFFFF"/>
        </w:rPr>
        <w:t xml:space="preserve">, B. H., &amp; </w:t>
      </w:r>
      <w:proofErr w:type="spellStart"/>
      <w:r w:rsidRPr="00701BD2">
        <w:rPr>
          <w:rFonts w:ascii="Arial" w:hAnsi="Arial" w:cs="Arial"/>
          <w:color w:val="222222"/>
          <w:sz w:val="20"/>
          <w:szCs w:val="20"/>
          <w:highlight w:val="yellow"/>
          <w:shd w:val="clear" w:color="auto" w:fill="FFFFFF"/>
        </w:rPr>
        <w:t>Meijers</w:t>
      </w:r>
      <w:proofErr w:type="spellEnd"/>
      <w:r w:rsidRPr="00701BD2">
        <w:rPr>
          <w:rFonts w:ascii="Arial" w:hAnsi="Arial" w:cs="Arial"/>
          <w:color w:val="222222"/>
          <w:sz w:val="20"/>
          <w:szCs w:val="20"/>
          <w:highlight w:val="yellow"/>
          <w:shd w:val="clear" w:color="auto" w:fill="FFFFFF"/>
        </w:rPr>
        <w:t>, H. (2009). Gender differences in risk aversion and ambiguity aversion. </w:t>
      </w:r>
      <w:r w:rsidRPr="00701BD2">
        <w:rPr>
          <w:rFonts w:ascii="Arial" w:hAnsi="Arial" w:cs="Arial"/>
          <w:i/>
          <w:iCs/>
          <w:color w:val="222222"/>
          <w:sz w:val="20"/>
          <w:szCs w:val="20"/>
          <w:highlight w:val="yellow"/>
          <w:shd w:val="clear" w:color="auto" w:fill="FFFFFF"/>
        </w:rPr>
        <w:t>Journal of the European Economic Association</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7</w:t>
      </w:r>
      <w:r w:rsidRPr="00701BD2">
        <w:rPr>
          <w:rFonts w:ascii="Arial" w:hAnsi="Arial" w:cs="Arial"/>
          <w:color w:val="222222"/>
          <w:sz w:val="20"/>
          <w:szCs w:val="20"/>
          <w:highlight w:val="yellow"/>
          <w:shd w:val="clear" w:color="auto" w:fill="FFFFFF"/>
        </w:rPr>
        <w:t>(2-3), 649-658.</w:t>
      </w:r>
    </w:p>
    <w:p w14:paraId="2449728A"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bookmarkStart w:id="23" w:name="_Hlk140956846"/>
      <w:proofErr w:type="spellStart"/>
      <w:r w:rsidRPr="00701BD2">
        <w:rPr>
          <w:rFonts w:ascii="Arial" w:hAnsi="Arial" w:cs="Arial"/>
          <w:color w:val="222222"/>
          <w:sz w:val="20"/>
          <w:szCs w:val="20"/>
          <w:highlight w:val="yellow"/>
          <w:shd w:val="clear" w:color="auto" w:fill="FFFFFF"/>
        </w:rPr>
        <w:t>Brüggen</w:t>
      </w:r>
      <w:proofErr w:type="spellEnd"/>
      <w:r w:rsidRPr="00701BD2">
        <w:rPr>
          <w:rFonts w:ascii="Arial" w:hAnsi="Arial" w:cs="Arial"/>
          <w:color w:val="222222"/>
          <w:sz w:val="20"/>
          <w:szCs w:val="20"/>
          <w:highlight w:val="yellow"/>
          <w:shd w:val="clear" w:color="auto" w:fill="FFFFFF"/>
        </w:rPr>
        <w:t xml:space="preserve">, E. C., </w:t>
      </w:r>
      <w:proofErr w:type="spellStart"/>
      <w:r w:rsidRPr="00701BD2">
        <w:rPr>
          <w:rFonts w:ascii="Arial" w:hAnsi="Arial" w:cs="Arial"/>
          <w:color w:val="222222"/>
          <w:sz w:val="20"/>
          <w:szCs w:val="20"/>
          <w:highlight w:val="yellow"/>
          <w:shd w:val="clear" w:color="auto" w:fill="FFFFFF"/>
        </w:rPr>
        <w:t>Hogreve</w:t>
      </w:r>
      <w:proofErr w:type="spellEnd"/>
      <w:r w:rsidRPr="00701BD2">
        <w:rPr>
          <w:rFonts w:ascii="Arial" w:hAnsi="Arial" w:cs="Arial"/>
          <w:color w:val="222222"/>
          <w:sz w:val="20"/>
          <w:szCs w:val="20"/>
          <w:highlight w:val="yellow"/>
          <w:shd w:val="clear" w:color="auto" w:fill="FFFFFF"/>
        </w:rPr>
        <w:t xml:space="preserve">, J., </w:t>
      </w:r>
      <w:proofErr w:type="spellStart"/>
      <w:r w:rsidRPr="00701BD2">
        <w:rPr>
          <w:rFonts w:ascii="Arial" w:hAnsi="Arial" w:cs="Arial"/>
          <w:color w:val="222222"/>
          <w:sz w:val="20"/>
          <w:szCs w:val="20"/>
          <w:highlight w:val="yellow"/>
          <w:shd w:val="clear" w:color="auto" w:fill="FFFFFF"/>
        </w:rPr>
        <w:t>Holmlund</w:t>
      </w:r>
      <w:proofErr w:type="spellEnd"/>
      <w:r w:rsidRPr="00701BD2">
        <w:rPr>
          <w:rFonts w:ascii="Arial" w:hAnsi="Arial" w:cs="Arial"/>
          <w:color w:val="222222"/>
          <w:sz w:val="20"/>
          <w:szCs w:val="20"/>
          <w:highlight w:val="yellow"/>
          <w:shd w:val="clear" w:color="auto" w:fill="FFFFFF"/>
        </w:rPr>
        <w:t xml:space="preserve">, M., </w:t>
      </w:r>
      <w:proofErr w:type="spellStart"/>
      <w:r w:rsidRPr="00701BD2">
        <w:rPr>
          <w:rFonts w:ascii="Arial" w:hAnsi="Arial" w:cs="Arial"/>
          <w:color w:val="222222"/>
          <w:sz w:val="20"/>
          <w:szCs w:val="20"/>
          <w:highlight w:val="yellow"/>
          <w:shd w:val="clear" w:color="auto" w:fill="FFFFFF"/>
        </w:rPr>
        <w:t>Kabadayi</w:t>
      </w:r>
      <w:proofErr w:type="spellEnd"/>
      <w:r w:rsidRPr="00701BD2">
        <w:rPr>
          <w:rFonts w:ascii="Arial" w:hAnsi="Arial" w:cs="Arial"/>
          <w:color w:val="222222"/>
          <w:sz w:val="20"/>
          <w:szCs w:val="20"/>
          <w:highlight w:val="yellow"/>
          <w:shd w:val="clear" w:color="auto" w:fill="FFFFFF"/>
        </w:rPr>
        <w:t xml:space="preserve">, S., &amp; </w:t>
      </w:r>
      <w:proofErr w:type="spellStart"/>
      <w:r w:rsidRPr="00701BD2">
        <w:rPr>
          <w:rFonts w:ascii="Arial" w:hAnsi="Arial" w:cs="Arial"/>
          <w:color w:val="222222"/>
          <w:sz w:val="20"/>
          <w:szCs w:val="20"/>
          <w:highlight w:val="yellow"/>
          <w:shd w:val="clear" w:color="auto" w:fill="FFFFFF"/>
        </w:rPr>
        <w:t>Löfgren</w:t>
      </w:r>
      <w:proofErr w:type="spellEnd"/>
      <w:r w:rsidRPr="00701BD2">
        <w:rPr>
          <w:rFonts w:ascii="Arial" w:hAnsi="Arial" w:cs="Arial"/>
          <w:color w:val="222222"/>
          <w:sz w:val="20"/>
          <w:szCs w:val="20"/>
          <w:highlight w:val="yellow"/>
          <w:shd w:val="clear" w:color="auto" w:fill="FFFFFF"/>
        </w:rPr>
        <w:t xml:space="preserve">, M. </w:t>
      </w:r>
      <w:bookmarkEnd w:id="23"/>
      <w:r w:rsidRPr="00701BD2">
        <w:rPr>
          <w:rFonts w:ascii="Arial" w:hAnsi="Arial" w:cs="Arial"/>
          <w:color w:val="222222"/>
          <w:sz w:val="20"/>
          <w:szCs w:val="20"/>
          <w:highlight w:val="yellow"/>
          <w:shd w:val="clear" w:color="auto" w:fill="FFFFFF"/>
        </w:rPr>
        <w:t>(2017). Financial well-being: A conceptualization and research agenda. </w:t>
      </w:r>
      <w:r w:rsidRPr="00701BD2">
        <w:rPr>
          <w:rFonts w:ascii="Arial" w:hAnsi="Arial" w:cs="Arial"/>
          <w:i/>
          <w:iCs/>
          <w:color w:val="222222"/>
          <w:sz w:val="20"/>
          <w:szCs w:val="20"/>
          <w:highlight w:val="yellow"/>
          <w:shd w:val="clear" w:color="auto" w:fill="FFFFFF"/>
        </w:rPr>
        <w:t>Journal of business research</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79</w:t>
      </w:r>
      <w:r w:rsidRPr="00701BD2">
        <w:rPr>
          <w:rFonts w:ascii="Arial" w:hAnsi="Arial" w:cs="Arial"/>
          <w:color w:val="222222"/>
          <w:sz w:val="20"/>
          <w:szCs w:val="20"/>
          <w:highlight w:val="yellow"/>
          <w:shd w:val="clear" w:color="auto" w:fill="FFFFFF"/>
        </w:rPr>
        <w:t>, 228-237.</w:t>
      </w:r>
    </w:p>
    <w:p w14:paraId="30BBCC49"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Bureau, C. F. P. (2015). Measuring financial well-being: A guide to using the CFPB financial well-being scale. </w:t>
      </w:r>
      <w:r w:rsidRPr="00F77421">
        <w:rPr>
          <w:rFonts w:ascii="Arial" w:hAnsi="Arial" w:cs="Arial"/>
          <w:i/>
          <w:iCs/>
          <w:color w:val="222222"/>
          <w:sz w:val="20"/>
          <w:szCs w:val="20"/>
          <w:highlight w:val="yellow"/>
          <w:shd w:val="clear" w:color="auto" w:fill="FFFFFF"/>
        </w:rPr>
        <w:t>Washington, DC: Consumer Financial Protection Bureau</w:t>
      </w:r>
      <w:r w:rsidRPr="00F77421">
        <w:rPr>
          <w:rFonts w:ascii="Arial" w:hAnsi="Arial" w:cs="Arial"/>
          <w:color w:val="222222"/>
          <w:sz w:val="20"/>
          <w:szCs w:val="20"/>
          <w:highlight w:val="yellow"/>
          <w:shd w:val="clear" w:color="auto" w:fill="FFFFFF"/>
        </w:rPr>
        <w:t>.</w:t>
      </w:r>
    </w:p>
    <w:p w14:paraId="2F98D02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Callan, V. J., &amp; Johnson, M. (2002). Some guidelines for financial planners in measuring and advising clients about their levels of risk tolerance. </w:t>
      </w:r>
      <w:r w:rsidRPr="00F77421">
        <w:rPr>
          <w:rFonts w:ascii="Arial" w:hAnsi="Arial" w:cs="Arial"/>
          <w:i/>
          <w:iCs/>
          <w:color w:val="222222"/>
          <w:sz w:val="20"/>
          <w:szCs w:val="20"/>
          <w:highlight w:val="yellow"/>
          <w:shd w:val="clear" w:color="auto" w:fill="FFFFFF"/>
        </w:rPr>
        <w:t>Journal of Personal Finance</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w:t>
      </w:r>
      <w:r w:rsidRPr="00F77421">
        <w:rPr>
          <w:rFonts w:ascii="Arial" w:hAnsi="Arial" w:cs="Arial"/>
          <w:color w:val="222222"/>
          <w:sz w:val="20"/>
          <w:szCs w:val="20"/>
          <w:highlight w:val="yellow"/>
          <w:shd w:val="clear" w:color="auto" w:fill="FFFFFF"/>
        </w:rPr>
        <w:t>(1), 31-44.</w:t>
      </w:r>
    </w:p>
    <w:p w14:paraId="14774F61" w14:textId="77777777" w:rsidR="00984C4D" w:rsidRPr="00F77421" w:rsidRDefault="00984C4D" w:rsidP="00984C4D">
      <w:pPr>
        <w:spacing w:line="360" w:lineRule="auto"/>
        <w:ind w:left="720" w:hanging="720"/>
        <w:jc w:val="both"/>
        <w:rPr>
          <w:rFonts w:ascii="Arial" w:hAnsi="Arial" w:cs="Arial"/>
          <w:color w:val="222222"/>
          <w:sz w:val="20"/>
          <w:szCs w:val="20"/>
          <w:highlight w:val="yellow"/>
          <w:shd w:val="clear" w:color="auto" w:fill="FFFFFF"/>
        </w:rPr>
      </w:pPr>
      <w:r w:rsidRPr="00F77421">
        <w:rPr>
          <w:rFonts w:ascii="Arial" w:hAnsi="Arial" w:cs="Arial"/>
          <w:color w:val="222222"/>
          <w:sz w:val="20"/>
          <w:szCs w:val="20"/>
          <w:highlight w:val="yellow"/>
          <w:shd w:val="clear" w:color="auto" w:fill="FFFFFF"/>
        </w:rPr>
        <w:t>Campbell, M. C., &amp; Goodstein, R. C. (2001). The moderating effect of perceived risk on consumers' evaluations of product incongruity: Preference for the norm. </w:t>
      </w:r>
      <w:r w:rsidRPr="00F77421">
        <w:rPr>
          <w:rFonts w:ascii="Arial" w:hAnsi="Arial" w:cs="Arial"/>
          <w:i/>
          <w:iCs/>
          <w:color w:val="222222"/>
          <w:sz w:val="20"/>
          <w:szCs w:val="20"/>
          <w:highlight w:val="yellow"/>
          <w:shd w:val="clear" w:color="auto" w:fill="FFFFFF"/>
        </w:rPr>
        <w:t>Journal of Consumer Research</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28</w:t>
      </w:r>
      <w:r w:rsidRPr="00F77421">
        <w:rPr>
          <w:rFonts w:ascii="Arial" w:hAnsi="Arial" w:cs="Arial"/>
          <w:color w:val="222222"/>
          <w:sz w:val="20"/>
          <w:szCs w:val="20"/>
          <w:highlight w:val="yellow"/>
          <w:shd w:val="clear" w:color="auto" w:fill="FFFFFF"/>
        </w:rPr>
        <w:t>(3), 439-449.</w:t>
      </w:r>
    </w:p>
    <w:p w14:paraId="402CE779"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Chatterjee, S., Fan, L., Jacobs, B., &amp; Haas, R. (2017). Risk tolerance and goals-based savings behavior of households: The role of financial literacy. </w:t>
      </w:r>
      <w:r w:rsidRPr="00F77421">
        <w:rPr>
          <w:rFonts w:ascii="Arial" w:hAnsi="Arial" w:cs="Arial"/>
          <w:i/>
          <w:iCs/>
          <w:color w:val="222222"/>
          <w:sz w:val="20"/>
          <w:szCs w:val="20"/>
          <w:highlight w:val="yellow"/>
          <w:shd w:val="clear" w:color="auto" w:fill="FFFFFF"/>
        </w:rPr>
        <w:t>Journal of Personal Finance, Forthcoming</w:t>
      </w:r>
      <w:r w:rsidRPr="00F77421">
        <w:rPr>
          <w:rFonts w:ascii="Arial" w:hAnsi="Arial" w:cs="Arial"/>
          <w:color w:val="222222"/>
          <w:sz w:val="20"/>
          <w:szCs w:val="20"/>
          <w:highlight w:val="yellow"/>
          <w:shd w:val="clear" w:color="auto" w:fill="FFFFFF"/>
        </w:rPr>
        <w:t>.</w:t>
      </w:r>
    </w:p>
    <w:p w14:paraId="15B8DF62"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Duasa</w:t>
      </w:r>
      <w:proofErr w:type="spellEnd"/>
      <w:r w:rsidRPr="00F77421">
        <w:rPr>
          <w:rFonts w:ascii="Arial" w:hAnsi="Arial" w:cs="Arial"/>
          <w:color w:val="222222"/>
          <w:sz w:val="20"/>
          <w:szCs w:val="20"/>
          <w:highlight w:val="yellow"/>
          <w:shd w:val="clear" w:color="auto" w:fill="FFFFFF"/>
        </w:rPr>
        <w:t>, J., &amp; Yusof, S. A. (2013). Determinants of risk tolerance on financial asset ownership: A case of Malaysia. </w:t>
      </w:r>
      <w:r w:rsidRPr="00F77421">
        <w:rPr>
          <w:rFonts w:ascii="Arial" w:hAnsi="Arial" w:cs="Arial"/>
          <w:i/>
          <w:iCs/>
          <w:color w:val="222222"/>
          <w:sz w:val="20"/>
          <w:szCs w:val="20"/>
          <w:highlight w:val="yellow"/>
          <w:shd w:val="clear" w:color="auto" w:fill="FFFFFF"/>
        </w:rPr>
        <w:t>International Journal of Business and Society</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14</w:t>
      </w:r>
      <w:r w:rsidRPr="00F77421">
        <w:rPr>
          <w:rFonts w:ascii="Arial" w:hAnsi="Arial" w:cs="Arial"/>
          <w:color w:val="222222"/>
          <w:sz w:val="20"/>
          <w:szCs w:val="20"/>
          <w:highlight w:val="yellow"/>
          <w:shd w:val="clear" w:color="auto" w:fill="FFFFFF"/>
        </w:rPr>
        <w:t>(1), 1.</w:t>
      </w:r>
    </w:p>
    <w:p w14:paraId="705E5E95"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sz w:val="20"/>
          <w:szCs w:val="20"/>
          <w:highlight w:val="yellow"/>
        </w:rPr>
        <w:lastRenderedPageBreak/>
        <w:t>Falahati</w:t>
      </w:r>
      <w:proofErr w:type="spellEnd"/>
      <w:r w:rsidRPr="00701BD2">
        <w:rPr>
          <w:rFonts w:ascii="Arial" w:hAnsi="Arial" w:cs="Arial"/>
          <w:sz w:val="20"/>
          <w:szCs w:val="20"/>
          <w:highlight w:val="yellow"/>
        </w:rPr>
        <w:t xml:space="preserve">, L., &amp; Sabri, M. F. (2015). An exploratory study of personal financial wellbeing determinants: Examining the moderating effect of gender. </w:t>
      </w:r>
      <w:r w:rsidRPr="00701BD2">
        <w:rPr>
          <w:rFonts w:ascii="Arial" w:hAnsi="Arial" w:cs="Arial"/>
          <w:i/>
          <w:iCs/>
          <w:sz w:val="20"/>
          <w:szCs w:val="20"/>
          <w:highlight w:val="yellow"/>
        </w:rPr>
        <w:t>Asian Social Science</w:t>
      </w:r>
      <w:r w:rsidRPr="00701BD2">
        <w:rPr>
          <w:rFonts w:ascii="Arial" w:hAnsi="Arial" w:cs="Arial"/>
          <w:sz w:val="20"/>
          <w:szCs w:val="20"/>
          <w:highlight w:val="yellow"/>
        </w:rPr>
        <w:t xml:space="preserve">, </w:t>
      </w:r>
      <w:r w:rsidRPr="00701BD2">
        <w:rPr>
          <w:rFonts w:ascii="Arial" w:hAnsi="Arial" w:cs="Arial"/>
          <w:i/>
          <w:iCs/>
          <w:sz w:val="20"/>
          <w:szCs w:val="20"/>
          <w:highlight w:val="yellow"/>
        </w:rPr>
        <w:t>11</w:t>
      </w:r>
      <w:r w:rsidRPr="00701BD2">
        <w:rPr>
          <w:rFonts w:ascii="Arial" w:hAnsi="Arial" w:cs="Arial"/>
          <w:sz w:val="20"/>
          <w:szCs w:val="20"/>
          <w:highlight w:val="yellow"/>
        </w:rPr>
        <w:t xml:space="preserve">(4), 33–42. https://doi.org/10.5539/ </w:t>
      </w:r>
      <w:proofErr w:type="gramStart"/>
      <w:r w:rsidRPr="00701BD2">
        <w:rPr>
          <w:rFonts w:ascii="Arial" w:hAnsi="Arial" w:cs="Arial"/>
          <w:sz w:val="20"/>
          <w:szCs w:val="20"/>
          <w:highlight w:val="yellow"/>
        </w:rPr>
        <w:t>ass.v</w:t>
      </w:r>
      <w:proofErr w:type="gramEnd"/>
      <w:r w:rsidRPr="00701BD2">
        <w:rPr>
          <w:rFonts w:ascii="Arial" w:hAnsi="Arial" w:cs="Arial"/>
          <w:sz w:val="20"/>
          <w:szCs w:val="20"/>
          <w:highlight w:val="yellow"/>
        </w:rPr>
        <w:t>11n4p33</w:t>
      </w:r>
    </w:p>
    <w:p w14:paraId="6F5F6BD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Fernández</w:t>
      </w:r>
      <w:r w:rsidRPr="00F77421">
        <w:rPr>
          <w:rFonts w:ascii="Cambria Math" w:hAnsi="Cambria Math" w:cs="Cambria Math"/>
          <w:color w:val="222222"/>
          <w:sz w:val="20"/>
          <w:szCs w:val="20"/>
          <w:highlight w:val="yellow"/>
          <w:shd w:val="clear" w:color="auto" w:fill="FFFFFF"/>
        </w:rPr>
        <w:t>‐</w:t>
      </w:r>
      <w:r w:rsidRPr="00F77421">
        <w:rPr>
          <w:rFonts w:ascii="Arial" w:hAnsi="Arial" w:cs="Arial"/>
          <w:color w:val="222222"/>
          <w:sz w:val="20"/>
          <w:szCs w:val="20"/>
          <w:highlight w:val="yellow"/>
          <w:shd w:val="clear" w:color="auto" w:fill="FFFFFF"/>
        </w:rPr>
        <w:t>López, S., Álvarez</w:t>
      </w:r>
      <w:r w:rsidRPr="00F77421">
        <w:rPr>
          <w:rFonts w:ascii="Cambria Math" w:hAnsi="Cambria Math" w:cs="Cambria Math"/>
          <w:color w:val="222222"/>
          <w:sz w:val="20"/>
          <w:szCs w:val="20"/>
          <w:highlight w:val="yellow"/>
          <w:shd w:val="clear" w:color="auto" w:fill="FFFFFF"/>
        </w:rPr>
        <w:t>‐</w:t>
      </w:r>
      <w:proofErr w:type="spellStart"/>
      <w:r w:rsidRPr="00F77421">
        <w:rPr>
          <w:rFonts w:ascii="Arial" w:hAnsi="Arial" w:cs="Arial"/>
          <w:color w:val="222222"/>
          <w:sz w:val="20"/>
          <w:szCs w:val="20"/>
          <w:highlight w:val="yellow"/>
          <w:shd w:val="clear" w:color="auto" w:fill="FFFFFF"/>
        </w:rPr>
        <w:t>Espiño</w:t>
      </w:r>
      <w:proofErr w:type="spellEnd"/>
      <w:r w:rsidRPr="00F77421">
        <w:rPr>
          <w:rFonts w:ascii="Arial" w:hAnsi="Arial" w:cs="Arial"/>
          <w:color w:val="222222"/>
          <w:sz w:val="20"/>
          <w:szCs w:val="20"/>
          <w:highlight w:val="yellow"/>
          <w:shd w:val="clear" w:color="auto" w:fill="FFFFFF"/>
        </w:rPr>
        <w:t>, M., Rey</w:t>
      </w:r>
      <w:r w:rsidRPr="00F77421">
        <w:rPr>
          <w:rFonts w:ascii="Cambria Math" w:hAnsi="Cambria Math" w:cs="Cambria Math"/>
          <w:color w:val="222222"/>
          <w:sz w:val="20"/>
          <w:szCs w:val="20"/>
          <w:highlight w:val="yellow"/>
          <w:shd w:val="clear" w:color="auto" w:fill="FFFFFF"/>
        </w:rPr>
        <w:t>‐</w:t>
      </w:r>
      <w:r w:rsidRPr="00F77421">
        <w:rPr>
          <w:rFonts w:ascii="Arial" w:hAnsi="Arial" w:cs="Arial"/>
          <w:color w:val="222222"/>
          <w:sz w:val="20"/>
          <w:szCs w:val="20"/>
          <w:highlight w:val="yellow"/>
          <w:shd w:val="clear" w:color="auto" w:fill="FFFFFF"/>
        </w:rPr>
        <w:t>Ares, L., &amp; Castro</w:t>
      </w:r>
      <w:r w:rsidRPr="00F77421">
        <w:rPr>
          <w:rFonts w:ascii="Cambria Math" w:hAnsi="Cambria Math" w:cs="Cambria Math"/>
          <w:color w:val="222222"/>
          <w:sz w:val="20"/>
          <w:szCs w:val="20"/>
          <w:highlight w:val="yellow"/>
          <w:shd w:val="clear" w:color="auto" w:fill="FFFFFF"/>
        </w:rPr>
        <w:t>‐</w:t>
      </w:r>
      <w:r w:rsidRPr="00F77421">
        <w:rPr>
          <w:rFonts w:ascii="Arial" w:hAnsi="Arial" w:cs="Arial"/>
          <w:color w:val="222222"/>
          <w:sz w:val="20"/>
          <w:szCs w:val="20"/>
          <w:highlight w:val="yellow"/>
          <w:shd w:val="clear" w:color="auto" w:fill="FFFFFF"/>
        </w:rPr>
        <w:t>González, S. (2023). Consumer financial vulnerability: Review, synthesis, and future research agenda. </w:t>
      </w:r>
      <w:r w:rsidRPr="00F77421">
        <w:rPr>
          <w:rFonts w:ascii="Arial" w:hAnsi="Arial" w:cs="Arial"/>
          <w:i/>
          <w:iCs/>
          <w:color w:val="222222"/>
          <w:sz w:val="20"/>
          <w:szCs w:val="20"/>
          <w:highlight w:val="yellow"/>
          <w:shd w:val="clear" w:color="auto" w:fill="FFFFFF"/>
        </w:rPr>
        <w:t>Journal of Economic Surveys</w:t>
      </w:r>
      <w:r w:rsidRPr="00F77421">
        <w:rPr>
          <w:rFonts w:ascii="Arial" w:hAnsi="Arial" w:cs="Arial"/>
          <w:color w:val="222222"/>
          <w:sz w:val="20"/>
          <w:szCs w:val="20"/>
          <w:highlight w:val="yellow"/>
          <w:shd w:val="clear" w:color="auto" w:fill="FFFFFF"/>
        </w:rPr>
        <w:t>.</w:t>
      </w:r>
    </w:p>
    <w:p w14:paraId="3ABA19A9"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Fu, J. (2020). Ability or opportunity to act: What shapes financial well-</w:t>
      </w:r>
      <w:proofErr w:type="gramStart"/>
      <w:r w:rsidRPr="00F77421">
        <w:rPr>
          <w:rFonts w:ascii="Arial" w:hAnsi="Arial" w:cs="Arial"/>
          <w:color w:val="222222"/>
          <w:sz w:val="20"/>
          <w:szCs w:val="20"/>
          <w:highlight w:val="yellow"/>
          <w:shd w:val="clear" w:color="auto" w:fill="FFFFFF"/>
        </w:rPr>
        <w:t>being?.</w:t>
      </w:r>
      <w:proofErr w:type="gramEnd"/>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World Development</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128</w:t>
      </w:r>
      <w:r w:rsidRPr="00F77421">
        <w:rPr>
          <w:rFonts w:ascii="Arial" w:hAnsi="Arial" w:cs="Arial"/>
          <w:color w:val="222222"/>
          <w:sz w:val="20"/>
          <w:szCs w:val="20"/>
          <w:highlight w:val="yellow"/>
          <w:shd w:val="clear" w:color="auto" w:fill="FFFFFF"/>
        </w:rPr>
        <w:t>, 104843.</w:t>
      </w:r>
    </w:p>
    <w:p w14:paraId="10774589"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Furnham, A., &amp; Cheng, H. (2017). Socio-demographic indicators, intelligence, and locus of control as predictors of adult financial well-being. </w:t>
      </w:r>
      <w:r w:rsidRPr="00701BD2">
        <w:rPr>
          <w:rFonts w:ascii="Arial" w:hAnsi="Arial" w:cs="Arial"/>
          <w:i/>
          <w:iCs/>
          <w:color w:val="222222"/>
          <w:sz w:val="20"/>
          <w:szCs w:val="20"/>
          <w:highlight w:val="yellow"/>
          <w:shd w:val="clear" w:color="auto" w:fill="FFFFFF"/>
        </w:rPr>
        <w:t xml:space="preserve">Journal of </w:t>
      </w:r>
      <w:r>
        <w:rPr>
          <w:rFonts w:ascii="Arial" w:hAnsi="Arial" w:cs="Arial"/>
          <w:i/>
          <w:iCs/>
          <w:color w:val="222222"/>
          <w:sz w:val="20"/>
          <w:szCs w:val="20"/>
          <w:highlight w:val="yellow"/>
          <w:shd w:val="clear" w:color="auto" w:fill="FFFFFF"/>
        </w:rPr>
        <w:t>Intelligence</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5</w:t>
      </w:r>
      <w:r w:rsidRPr="00701BD2">
        <w:rPr>
          <w:rFonts w:ascii="Arial" w:hAnsi="Arial" w:cs="Arial"/>
          <w:color w:val="222222"/>
          <w:sz w:val="20"/>
          <w:szCs w:val="20"/>
          <w:highlight w:val="yellow"/>
          <w:shd w:val="clear" w:color="auto" w:fill="FFFFFF"/>
        </w:rPr>
        <w:t>(2), 11.</w:t>
      </w:r>
    </w:p>
    <w:p w14:paraId="4AB343C7"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Gerrans</w:t>
      </w:r>
      <w:proofErr w:type="spellEnd"/>
      <w:r w:rsidRPr="00701BD2">
        <w:rPr>
          <w:rFonts w:ascii="Arial" w:hAnsi="Arial" w:cs="Arial"/>
          <w:color w:val="222222"/>
          <w:sz w:val="20"/>
          <w:szCs w:val="20"/>
          <w:highlight w:val="yellow"/>
          <w:shd w:val="clear" w:color="auto" w:fill="FFFFFF"/>
        </w:rPr>
        <w:t xml:space="preserve">, P., </w:t>
      </w:r>
      <w:proofErr w:type="spellStart"/>
      <w:r w:rsidRPr="00701BD2">
        <w:rPr>
          <w:rFonts w:ascii="Arial" w:hAnsi="Arial" w:cs="Arial"/>
          <w:color w:val="222222"/>
          <w:sz w:val="20"/>
          <w:szCs w:val="20"/>
          <w:highlight w:val="yellow"/>
          <w:shd w:val="clear" w:color="auto" w:fill="FFFFFF"/>
        </w:rPr>
        <w:t>Speelman</w:t>
      </w:r>
      <w:proofErr w:type="spellEnd"/>
      <w:r w:rsidRPr="00701BD2">
        <w:rPr>
          <w:rFonts w:ascii="Arial" w:hAnsi="Arial" w:cs="Arial"/>
          <w:color w:val="222222"/>
          <w:sz w:val="20"/>
          <w:szCs w:val="20"/>
          <w:highlight w:val="yellow"/>
          <w:shd w:val="clear" w:color="auto" w:fill="FFFFFF"/>
        </w:rPr>
        <w:t>, C., &amp; Campitelli, G. (2014). The relationship between personal financial wellness and financial wellbeing: A structural equation modeling approach. </w:t>
      </w:r>
      <w:r w:rsidRPr="00701BD2">
        <w:rPr>
          <w:rFonts w:ascii="Arial" w:hAnsi="Arial" w:cs="Arial"/>
          <w:i/>
          <w:iCs/>
          <w:color w:val="222222"/>
          <w:sz w:val="20"/>
          <w:szCs w:val="20"/>
          <w:highlight w:val="yellow"/>
          <w:shd w:val="clear" w:color="auto" w:fill="FFFFFF"/>
        </w:rPr>
        <w:t>Journal of Family and Economic Issues</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35</w:t>
      </w:r>
      <w:r w:rsidRPr="00701BD2">
        <w:rPr>
          <w:rFonts w:ascii="Arial" w:hAnsi="Arial" w:cs="Arial"/>
          <w:color w:val="222222"/>
          <w:sz w:val="20"/>
          <w:szCs w:val="20"/>
          <w:highlight w:val="yellow"/>
          <w:shd w:val="clear" w:color="auto" w:fill="FFFFFF"/>
        </w:rPr>
        <w:t>, 145-160.</w:t>
      </w:r>
    </w:p>
    <w:p w14:paraId="5A3C0D2C"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1A1E9C">
        <w:rPr>
          <w:rFonts w:ascii="Arial" w:hAnsi="Arial" w:cs="Arial"/>
          <w:color w:val="222222"/>
          <w:sz w:val="20"/>
          <w:szCs w:val="20"/>
          <w:highlight w:val="yellow"/>
          <w:shd w:val="clear" w:color="auto" w:fill="FFFFFF"/>
        </w:rPr>
        <w:t>Gogtay</w:t>
      </w:r>
      <w:proofErr w:type="spellEnd"/>
      <w:r w:rsidRPr="001A1E9C">
        <w:rPr>
          <w:rFonts w:ascii="Arial" w:hAnsi="Arial" w:cs="Arial"/>
          <w:color w:val="222222"/>
          <w:sz w:val="20"/>
          <w:szCs w:val="20"/>
          <w:highlight w:val="yellow"/>
          <w:shd w:val="clear" w:color="auto" w:fill="FFFFFF"/>
        </w:rPr>
        <w:t xml:space="preserve">, N. J., &amp; </w:t>
      </w:r>
      <w:proofErr w:type="spellStart"/>
      <w:r w:rsidRPr="001A1E9C">
        <w:rPr>
          <w:rFonts w:ascii="Arial" w:hAnsi="Arial" w:cs="Arial"/>
          <w:color w:val="222222"/>
          <w:sz w:val="20"/>
          <w:szCs w:val="20"/>
          <w:highlight w:val="yellow"/>
          <w:shd w:val="clear" w:color="auto" w:fill="FFFFFF"/>
        </w:rPr>
        <w:t>Thatte</w:t>
      </w:r>
      <w:proofErr w:type="spellEnd"/>
      <w:r w:rsidRPr="001A1E9C">
        <w:rPr>
          <w:rFonts w:ascii="Arial" w:hAnsi="Arial" w:cs="Arial"/>
          <w:color w:val="222222"/>
          <w:sz w:val="20"/>
          <w:szCs w:val="20"/>
          <w:highlight w:val="yellow"/>
          <w:shd w:val="clear" w:color="auto" w:fill="FFFFFF"/>
        </w:rPr>
        <w:t>, U. M. (2017). Principles of correlation analysis. </w:t>
      </w:r>
      <w:r w:rsidRPr="001A1E9C">
        <w:rPr>
          <w:rFonts w:ascii="Arial" w:hAnsi="Arial" w:cs="Arial"/>
          <w:i/>
          <w:iCs/>
          <w:color w:val="222222"/>
          <w:sz w:val="20"/>
          <w:szCs w:val="20"/>
          <w:highlight w:val="yellow"/>
          <w:shd w:val="clear" w:color="auto" w:fill="FFFFFF"/>
        </w:rPr>
        <w:t>Journal of the Association of Physicians of India</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65</w:t>
      </w:r>
      <w:r w:rsidRPr="001A1E9C">
        <w:rPr>
          <w:rFonts w:ascii="Arial" w:hAnsi="Arial" w:cs="Arial"/>
          <w:color w:val="222222"/>
          <w:sz w:val="20"/>
          <w:szCs w:val="20"/>
          <w:highlight w:val="yellow"/>
          <w:shd w:val="clear" w:color="auto" w:fill="FFFFFF"/>
        </w:rPr>
        <w:t>(3), 78-81.</w:t>
      </w:r>
    </w:p>
    <w:p w14:paraId="4CD22FB1"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 xml:space="preserve">Gonçalves, V. N., </w:t>
      </w:r>
      <w:proofErr w:type="spellStart"/>
      <w:r w:rsidRPr="00701BD2">
        <w:rPr>
          <w:rFonts w:ascii="Arial" w:hAnsi="Arial" w:cs="Arial"/>
          <w:color w:val="222222"/>
          <w:sz w:val="20"/>
          <w:szCs w:val="20"/>
          <w:highlight w:val="yellow"/>
          <w:shd w:val="clear" w:color="auto" w:fill="FFFFFF"/>
        </w:rPr>
        <w:t>Ponchio</w:t>
      </w:r>
      <w:proofErr w:type="spellEnd"/>
      <w:r w:rsidRPr="00701BD2">
        <w:rPr>
          <w:rFonts w:ascii="Arial" w:hAnsi="Arial" w:cs="Arial"/>
          <w:color w:val="222222"/>
          <w:sz w:val="20"/>
          <w:szCs w:val="20"/>
          <w:highlight w:val="yellow"/>
          <w:shd w:val="clear" w:color="auto" w:fill="FFFFFF"/>
        </w:rPr>
        <w:t xml:space="preserve">, M. C., &amp; </w:t>
      </w:r>
      <w:proofErr w:type="spellStart"/>
      <w:r w:rsidRPr="00701BD2">
        <w:rPr>
          <w:rFonts w:ascii="Arial" w:hAnsi="Arial" w:cs="Arial"/>
          <w:color w:val="222222"/>
          <w:sz w:val="20"/>
          <w:szCs w:val="20"/>
          <w:highlight w:val="yellow"/>
          <w:shd w:val="clear" w:color="auto" w:fill="FFFFFF"/>
        </w:rPr>
        <w:t>Basílio</w:t>
      </w:r>
      <w:proofErr w:type="spellEnd"/>
      <w:r w:rsidRPr="00701BD2">
        <w:rPr>
          <w:rFonts w:ascii="Arial" w:hAnsi="Arial" w:cs="Arial"/>
          <w:color w:val="222222"/>
          <w:sz w:val="20"/>
          <w:szCs w:val="20"/>
          <w:highlight w:val="yellow"/>
          <w:shd w:val="clear" w:color="auto" w:fill="FFFFFF"/>
        </w:rPr>
        <w:t>, R. G. (2021). Women’s financial well</w:t>
      </w:r>
      <w:r w:rsidRPr="00701BD2">
        <w:rPr>
          <w:rFonts w:ascii="Cambria Math" w:hAnsi="Cambria Math" w:cs="Cambria Math"/>
          <w:color w:val="222222"/>
          <w:sz w:val="20"/>
          <w:szCs w:val="20"/>
          <w:highlight w:val="yellow"/>
          <w:shd w:val="clear" w:color="auto" w:fill="FFFFFF"/>
        </w:rPr>
        <w:t>‐</w:t>
      </w:r>
      <w:r w:rsidRPr="00701BD2">
        <w:rPr>
          <w:rFonts w:ascii="Arial" w:hAnsi="Arial" w:cs="Arial"/>
          <w:color w:val="222222"/>
          <w:sz w:val="20"/>
          <w:szCs w:val="20"/>
          <w:highlight w:val="yellow"/>
          <w:shd w:val="clear" w:color="auto" w:fill="FFFFFF"/>
        </w:rPr>
        <w:t>being: A systematic literature review and directions for future research. </w:t>
      </w:r>
      <w:r w:rsidRPr="00701BD2">
        <w:rPr>
          <w:rFonts w:ascii="Arial" w:hAnsi="Arial" w:cs="Arial"/>
          <w:i/>
          <w:iCs/>
          <w:color w:val="222222"/>
          <w:sz w:val="20"/>
          <w:szCs w:val="20"/>
          <w:highlight w:val="yellow"/>
          <w:shd w:val="clear" w:color="auto" w:fill="FFFFFF"/>
        </w:rPr>
        <w:t>International Journal of Consumer Studies</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45</w:t>
      </w:r>
      <w:r w:rsidRPr="00701BD2">
        <w:rPr>
          <w:rFonts w:ascii="Arial" w:hAnsi="Arial" w:cs="Arial"/>
          <w:color w:val="222222"/>
          <w:sz w:val="20"/>
          <w:szCs w:val="20"/>
          <w:highlight w:val="yellow"/>
          <w:shd w:val="clear" w:color="auto" w:fill="FFFFFF"/>
        </w:rPr>
        <w:t>(4), 824-843.</w:t>
      </w:r>
    </w:p>
    <w:p w14:paraId="367C89EB" w14:textId="77777777" w:rsidR="00984C4D" w:rsidRPr="008139CF" w:rsidRDefault="00984C4D" w:rsidP="00984C4D">
      <w:pPr>
        <w:spacing w:line="360" w:lineRule="auto"/>
        <w:ind w:left="720" w:hanging="720"/>
        <w:jc w:val="both"/>
        <w:rPr>
          <w:rFonts w:ascii="Arial" w:hAnsi="Arial" w:cs="Arial"/>
          <w:sz w:val="20"/>
          <w:szCs w:val="20"/>
        </w:rPr>
      </w:pPr>
      <w:r w:rsidRPr="00701BD2">
        <w:rPr>
          <w:rFonts w:ascii="Arial" w:hAnsi="Arial" w:cs="Arial"/>
          <w:sz w:val="20"/>
          <w:szCs w:val="20"/>
          <w:highlight w:val="yellow"/>
        </w:rPr>
        <w:t xml:space="preserve">Grable, J. E. (2000). Financial risk tolerance and additional factors that affect risk taking in everyday money matters. </w:t>
      </w:r>
      <w:r w:rsidRPr="00701BD2">
        <w:rPr>
          <w:rFonts w:ascii="Arial" w:hAnsi="Arial" w:cs="Arial"/>
          <w:i/>
          <w:iCs/>
          <w:sz w:val="20"/>
          <w:szCs w:val="20"/>
          <w:highlight w:val="yellow"/>
        </w:rPr>
        <w:t>Journal of Business and Psychology</w:t>
      </w:r>
      <w:r w:rsidRPr="00701BD2">
        <w:rPr>
          <w:rFonts w:ascii="Arial" w:hAnsi="Arial" w:cs="Arial"/>
          <w:sz w:val="20"/>
          <w:szCs w:val="20"/>
          <w:highlight w:val="yellow"/>
        </w:rPr>
        <w:t xml:space="preserve">, </w:t>
      </w:r>
      <w:r w:rsidRPr="00701BD2">
        <w:rPr>
          <w:rFonts w:ascii="Arial" w:hAnsi="Arial" w:cs="Arial"/>
          <w:i/>
          <w:iCs/>
          <w:sz w:val="20"/>
          <w:szCs w:val="20"/>
          <w:highlight w:val="yellow"/>
        </w:rPr>
        <w:t>14</w:t>
      </w:r>
      <w:r w:rsidRPr="00701BD2">
        <w:rPr>
          <w:rFonts w:ascii="Arial" w:hAnsi="Arial" w:cs="Arial"/>
          <w:sz w:val="20"/>
          <w:szCs w:val="20"/>
          <w:highlight w:val="yellow"/>
        </w:rPr>
        <w:t>(4), 625–630. https://doi.org/10.1023/A:10229 94314982</w:t>
      </w:r>
    </w:p>
    <w:p w14:paraId="62C3D66F"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Gron</w:t>
      </w:r>
      <w:proofErr w:type="spellEnd"/>
      <w:r w:rsidRPr="00F77421">
        <w:rPr>
          <w:rFonts w:ascii="Arial" w:hAnsi="Arial" w:cs="Arial"/>
          <w:color w:val="222222"/>
          <w:sz w:val="20"/>
          <w:szCs w:val="20"/>
          <w:highlight w:val="yellow"/>
          <w:shd w:val="clear" w:color="auto" w:fill="FFFFFF"/>
        </w:rPr>
        <w:t>, A., &amp; Winton, A. (2001). Risk overhang and market behavior. </w:t>
      </w:r>
      <w:r w:rsidRPr="00F77421">
        <w:rPr>
          <w:rFonts w:ascii="Arial" w:hAnsi="Arial" w:cs="Arial"/>
          <w:i/>
          <w:iCs/>
          <w:color w:val="222222"/>
          <w:sz w:val="20"/>
          <w:szCs w:val="20"/>
          <w:highlight w:val="yellow"/>
          <w:shd w:val="clear" w:color="auto" w:fill="FFFFFF"/>
        </w:rPr>
        <w:t>The Journal of Business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74</w:t>
      </w:r>
      <w:r w:rsidRPr="00F77421">
        <w:rPr>
          <w:rFonts w:ascii="Arial" w:hAnsi="Arial" w:cs="Arial"/>
          <w:color w:val="222222"/>
          <w:sz w:val="20"/>
          <w:szCs w:val="20"/>
          <w:highlight w:val="yellow"/>
          <w:shd w:val="clear" w:color="auto" w:fill="FFFFFF"/>
        </w:rPr>
        <w:t>(4), 591-612.</w:t>
      </w:r>
    </w:p>
    <w:p w14:paraId="0E0646E8" w14:textId="77777777" w:rsidR="00984C4D"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Gürhan-Canli</w:t>
      </w:r>
      <w:proofErr w:type="spellEnd"/>
      <w:r w:rsidRPr="00F77421">
        <w:rPr>
          <w:rFonts w:ascii="Arial" w:hAnsi="Arial" w:cs="Arial"/>
          <w:color w:val="222222"/>
          <w:sz w:val="20"/>
          <w:szCs w:val="20"/>
          <w:highlight w:val="yellow"/>
          <w:shd w:val="clear" w:color="auto" w:fill="FFFFFF"/>
        </w:rPr>
        <w:t>, Z., &amp; Batra, R. (2004). When corporate image affects product evaluations: The moderating role of perceived risk. </w:t>
      </w:r>
      <w:r w:rsidRPr="00F77421">
        <w:rPr>
          <w:rFonts w:ascii="Arial" w:hAnsi="Arial" w:cs="Arial"/>
          <w:i/>
          <w:iCs/>
          <w:color w:val="222222"/>
          <w:sz w:val="20"/>
          <w:szCs w:val="20"/>
          <w:highlight w:val="yellow"/>
          <w:shd w:val="clear" w:color="auto" w:fill="FFFFFF"/>
        </w:rPr>
        <w:t>Journal of marketing research</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41</w:t>
      </w:r>
      <w:r w:rsidRPr="00F77421">
        <w:rPr>
          <w:rFonts w:ascii="Arial" w:hAnsi="Arial" w:cs="Arial"/>
          <w:color w:val="222222"/>
          <w:sz w:val="20"/>
          <w:szCs w:val="20"/>
          <w:highlight w:val="yellow"/>
          <w:shd w:val="clear" w:color="auto" w:fill="FFFFFF"/>
        </w:rPr>
        <w:t>(2), 197-205</w:t>
      </w:r>
      <w:r w:rsidRPr="008139CF">
        <w:rPr>
          <w:rFonts w:ascii="Arial" w:hAnsi="Arial" w:cs="Arial"/>
          <w:color w:val="222222"/>
          <w:sz w:val="20"/>
          <w:szCs w:val="20"/>
          <w:shd w:val="clear" w:color="auto" w:fill="FFFFFF"/>
        </w:rPr>
        <w:t>.</w:t>
      </w:r>
    </w:p>
    <w:p w14:paraId="21DAD8F2"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Hayes, A. F. (2017). </w:t>
      </w:r>
      <w:r w:rsidRPr="001A1E9C">
        <w:rPr>
          <w:rFonts w:ascii="Arial" w:hAnsi="Arial" w:cs="Arial"/>
          <w:i/>
          <w:iCs/>
          <w:color w:val="222222"/>
          <w:sz w:val="20"/>
          <w:szCs w:val="20"/>
          <w:highlight w:val="yellow"/>
          <w:shd w:val="clear" w:color="auto" w:fill="FFFFFF"/>
        </w:rPr>
        <w:t>Introduction to mediation, moderation, and conditional process analysis: A regression-based approach</w:t>
      </w:r>
      <w:r w:rsidRPr="001A1E9C">
        <w:rPr>
          <w:rFonts w:ascii="Arial" w:hAnsi="Arial" w:cs="Arial"/>
          <w:color w:val="222222"/>
          <w:sz w:val="20"/>
          <w:szCs w:val="20"/>
          <w:highlight w:val="yellow"/>
          <w:shd w:val="clear" w:color="auto" w:fill="FFFFFF"/>
        </w:rPr>
        <w:t>. Guilford publications.</w:t>
      </w:r>
    </w:p>
    <w:p w14:paraId="63C18B43"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 xml:space="preserve">International </w:t>
      </w:r>
      <w:proofErr w:type="spellStart"/>
      <w:r w:rsidRPr="00701BD2">
        <w:rPr>
          <w:rFonts w:ascii="Arial" w:hAnsi="Arial" w:cs="Arial"/>
          <w:color w:val="222222"/>
          <w:sz w:val="20"/>
          <w:szCs w:val="20"/>
          <w:highlight w:val="yellow"/>
          <w:shd w:val="clear" w:color="auto" w:fill="FFFFFF"/>
        </w:rPr>
        <w:t>Labour</w:t>
      </w:r>
      <w:proofErr w:type="spellEnd"/>
      <w:r w:rsidRPr="00701BD2">
        <w:rPr>
          <w:rFonts w:ascii="Arial" w:hAnsi="Arial" w:cs="Arial"/>
          <w:color w:val="222222"/>
          <w:sz w:val="20"/>
          <w:szCs w:val="20"/>
          <w:highlight w:val="yellow"/>
          <w:shd w:val="clear" w:color="auto" w:fill="FFFFFF"/>
        </w:rPr>
        <w:t xml:space="preserve"> Organization (2022). </w:t>
      </w:r>
      <w:r w:rsidRPr="00701BD2">
        <w:rPr>
          <w:rFonts w:ascii="Arial" w:hAnsi="Arial" w:cs="Arial"/>
          <w:i/>
          <w:iCs/>
          <w:color w:val="222222"/>
          <w:sz w:val="20"/>
          <w:szCs w:val="20"/>
          <w:highlight w:val="yellow"/>
          <w:shd w:val="clear" w:color="auto" w:fill="FFFFFF"/>
        </w:rPr>
        <w:t>Pay transparency can address the gender pay gap.</w:t>
      </w:r>
      <w:r w:rsidRPr="00701BD2">
        <w:rPr>
          <w:rFonts w:ascii="Arial" w:hAnsi="Arial" w:cs="Arial"/>
          <w:color w:val="222222"/>
          <w:sz w:val="20"/>
          <w:szCs w:val="20"/>
          <w:highlight w:val="yellow"/>
          <w:shd w:val="clear" w:color="auto" w:fill="FFFFFF"/>
        </w:rPr>
        <w:t xml:space="preserve"> Retrieved from https://www.ilo.org/global/about-the-ilo/newsroom/news/WCMS_856203/lang--en/index.htm</w:t>
      </w:r>
    </w:p>
    <w:p w14:paraId="130870E5"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 xml:space="preserve">Johnson, E., &amp; </w:t>
      </w:r>
      <w:proofErr w:type="spellStart"/>
      <w:r w:rsidRPr="00F77421">
        <w:rPr>
          <w:rFonts w:ascii="Arial" w:hAnsi="Arial" w:cs="Arial"/>
          <w:color w:val="222222"/>
          <w:sz w:val="20"/>
          <w:szCs w:val="20"/>
          <w:highlight w:val="yellow"/>
          <w:shd w:val="clear" w:color="auto" w:fill="FFFFFF"/>
        </w:rPr>
        <w:t>Sherraden</w:t>
      </w:r>
      <w:proofErr w:type="spellEnd"/>
      <w:r w:rsidRPr="00F77421">
        <w:rPr>
          <w:rFonts w:ascii="Arial" w:hAnsi="Arial" w:cs="Arial"/>
          <w:color w:val="222222"/>
          <w:sz w:val="20"/>
          <w:szCs w:val="20"/>
          <w:highlight w:val="yellow"/>
          <w:shd w:val="clear" w:color="auto" w:fill="FFFFFF"/>
        </w:rPr>
        <w:t xml:space="preserve">, M. S. (2007). From financial literacy to financial capability </w:t>
      </w:r>
      <w:proofErr w:type="spellStart"/>
      <w:r w:rsidRPr="00F77421">
        <w:rPr>
          <w:rFonts w:ascii="Arial" w:hAnsi="Arial" w:cs="Arial"/>
          <w:color w:val="222222"/>
          <w:sz w:val="20"/>
          <w:szCs w:val="20"/>
          <w:highlight w:val="yellow"/>
          <w:shd w:val="clear" w:color="auto" w:fill="FFFFFF"/>
        </w:rPr>
        <w:t>smong</w:t>
      </w:r>
      <w:proofErr w:type="spellEnd"/>
      <w:r w:rsidRPr="00F77421">
        <w:rPr>
          <w:rFonts w:ascii="Arial" w:hAnsi="Arial" w:cs="Arial"/>
          <w:color w:val="222222"/>
          <w:sz w:val="20"/>
          <w:szCs w:val="20"/>
          <w:highlight w:val="yellow"/>
          <w:shd w:val="clear" w:color="auto" w:fill="FFFFFF"/>
        </w:rPr>
        <w:t xml:space="preserve"> youth. </w:t>
      </w:r>
      <w:r w:rsidRPr="00F77421">
        <w:rPr>
          <w:rFonts w:ascii="Arial" w:hAnsi="Arial" w:cs="Arial"/>
          <w:i/>
          <w:iCs/>
          <w:color w:val="222222"/>
          <w:sz w:val="20"/>
          <w:szCs w:val="20"/>
          <w:highlight w:val="yellow"/>
          <w:shd w:val="clear" w:color="auto" w:fill="FFFFFF"/>
        </w:rPr>
        <w:t>J. Soc. &amp; Soc. Welfare</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34</w:t>
      </w:r>
      <w:r w:rsidRPr="00F77421">
        <w:rPr>
          <w:rFonts w:ascii="Arial" w:hAnsi="Arial" w:cs="Arial"/>
          <w:color w:val="222222"/>
          <w:sz w:val="20"/>
          <w:szCs w:val="20"/>
          <w:highlight w:val="yellow"/>
          <w:shd w:val="clear" w:color="auto" w:fill="FFFFFF"/>
        </w:rPr>
        <w:t>, 119.</w:t>
      </w:r>
    </w:p>
    <w:p w14:paraId="45DFB5B7"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lastRenderedPageBreak/>
        <w:t>Joo</w:t>
      </w:r>
      <w:proofErr w:type="spellEnd"/>
      <w:r w:rsidRPr="00F77421">
        <w:rPr>
          <w:rFonts w:ascii="Arial" w:hAnsi="Arial" w:cs="Arial"/>
          <w:color w:val="222222"/>
          <w:sz w:val="20"/>
          <w:szCs w:val="20"/>
          <w:highlight w:val="yellow"/>
          <w:shd w:val="clear" w:color="auto" w:fill="FFFFFF"/>
        </w:rPr>
        <w:t>, S. H., &amp; Grable, J. E. (2004). An exploratory framework of the determinants of financial satisfaction. </w:t>
      </w:r>
      <w:r w:rsidRPr="00F77421">
        <w:rPr>
          <w:rFonts w:ascii="Arial" w:hAnsi="Arial" w:cs="Arial"/>
          <w:i/>
          <w:iCs/>
          <w:color w:val="222222"/>
          <w:sz w:val="20"/>
          <w:szCs w:val="20"/>
          <w:highlight w:val="yellow"/>
          <w:shd w:val="clear" w:color="auto" w:fill="FFFFFF"/>
        </w:rPr>
        <w:t>Journal of family and economic Issues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25</w:t>
      </w:r>
      <w:r w:rsidRPr="00F77421">
        <w:rPr>
          <w:rFonts w:ascii="Arial" w:hAnsi="Arial" w:cs="Arial"/>
          <w:color w:val="222222"/>
          <w:sz w:val="20"/>
          <w:szCs w:val="20"/>
          <w:highlight w:val="yellow"/>
          <w:shd w:val="clear" w:color="auto" w:fill="FFFFFF"/>
        </w:rPr>
        <w:t>, 25-50.</w:t>
      </w:r>
    </w:p>
    <w:p w14:paraId="324B13FC"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Karakurum-Ozdemir</w:t>
      </w:r>
      <w:proofErr w:type="spellEnd"/>
      <w:r w:rsidRPr="00701BD2">
        <w:rPr>
          <w:rFonts w:ascii="Arial" w:hAnsi="Arial" w:cs="Arial"/>
          <w:color w:val="222222"/>
          <w:sz w:val="20"/>
          <w:szCs w:val="20"/>
          <w:highlight w:val="yellow"/>
          <w:shd w:val="clear" w:color="auto" w:fill="FFFFFF"/>
        </w:rPr>
        <w:t xml:space="preserve">, K., </w:t>
      </w:r>
      <w:proofErr w:type="spellStart"/>
      <w:r w:rsidRPr="00701BD2">
        <w:rPr>
          <w:rFonts w:ascii="Arial" w:hAnsi="Arial" w:cs="Arial"/>
          <w:color w:val="222222"/>
          <w:sz w:val="20"/>
          <w:szCs w:val="20"/>
          <w:highlight w:val="yellow"/>
          <w:shd w:val="clear" w:color="auto" w:fill="FFFFFF"/>
        </w:rPr>
        <w:t>Kokkizil</w:t>
      </w:r>
      <w:proofErr w:type="spellEnd"/>
      <w:r w:rsidRPr="00701BD2">
        <w:rPr>
          <w:rFonts w:ascii="Arial" w:hAnsi="Arial" w:cs="Arial"/>
          <w:color w:val="222222"/>
          <w:sz w:val="20"/>
          <w:szCs w:val="20"/>
          <w:highlight w:val="yellow"/>
          <w:shd w:val="clear" w:color="auto" w:fill="FFFFFF"/>
        </w:rPr>
        <w:t xml:space="preserve">, M., &amp; </w:t>
      </w:r>
      <w:proofErr w:type="spellStart"/>
      <w:r w:rsidRPr="00701BD2">
        <w:rPr>
          <w:rFonts w:ascii="Arial" w:hAnsi="Arial" w:cs="Arial"/>
          <w:color w:val="222222"/>
          <w:sz w:val="20"/>
          <w:szCs w:val="20"/>
          <w:highlight w:val="yellow"/>
          <w:shd w:val="clear" w:color="auto" w:fill="FFFFFF"/>
        </w:rPr>
        <w:t>Uysal</w:t>
      </w:r>
      <w:proofErr w:type="spellEnd"/>
      <w:r w:rsidRPr="00701BD2">
        <w:rPr>
          <w:rFonts w:ascii="Arial" w:hAnsi="Arial" w:cs="Arial"/>
          <w:color w:val="222222"/>
          <w:sz w:val="20"/>
          <w:szCs w:val="20"/>
          <w:highlight w:val="yellow"/>
          <w:shd w:val="clear" w:color="auto" w:fill="FFFFFF"/>
        </w:rPr>
        <w:t>, G. (2019). Financial literacy in developing countries. </w:t>
      </w:r>
      <w:r w:rsidRPr="00701BD2">
        <w:rPr>
          <w:rFonts w:ascii="Arial" w:hAnsi="Arial" w:cs="Arial"/>
          <w:i/>
          <w:iCs/>
          <w:color w:val="222222"/>
          <w:sz w:val="20"/>
          <w:szCs w:val="20"/>
          <w:highlight w:val="yellow"/>
          <w:shd w:val="clear" w:color="auto" w:fill="FFFFFF"/>
        </w:rPr>
        <w:t>Social Indicators Research</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143</w:t>
      </w:r>
      <w:r w:rsidRPr="00701BD2">
        <w:rPr>
          <w:rFonts w:ascii="Arial" w:hAnsi="Arial" w:cs="Arial"/>
          <w:color w:val="222222"/>
          <w:sz w:val="20"/>
          <w:szCs w:val="20"/>
          <w:highlight w:val="yellow"/>
          <w:shd w:val="clear" w:color="auto" w:fill="FFFFFF"/>
        </w:rPr>
        <w:t>, 325-353.</w:t>
      </w:r>
    </w:p>
    <w:p w14:paraId="054A709C" w14:textId="77777777" w:rsidR="00984C4D" w:rsidRPr="008139CF" w:rsidRDefault="00984C4D" w:rsidP="00984C4D">
      <w:pPr>
        <w:spacing w:line="360" w:lineRule="auto"/>
        <w:ind w:left="720" w:hanging="720"/>
        <w:jc w:val="both"/>
        <w:rPr>
          <w:rFonts w:ascii="Arial" w:hAnsi="Arial" w:cs="Arial"/>
          <w:sz w:val="20"/>
          <w:szCs w:val="20"/>
        </w:rPr>
      </w:pPr>
      <w:proofErr w:type="spellStart"/>
      <w:r w:rsidRPr="00701BD2">
        <w:rPr>
          <w:rFonts w:ascii="Arial" w:hAnsi="Arial" w:cs="Arial"/>
          <w:sz w:val="20"/>
          <w:szCs w:val="20"/>
          <w:highlight w:val="yellow"/>
        </w:rPr>
        <w:t>Kirbi</w:t>
      </w:r>
      <w:proofErr w:type="spellEnd"/>
      <w:r w:rsidRPr="00701BD2">
        <w:rPr>
          <w:rFonts w:ascii="Arial" w:hAnsi="Arial" w:cs="Arial"/>
          <w:sz w:val="20"/>
          <w:szCs w:val="20"/>
          <w:highlight w:val="yellow"/>
        </w:rPr>
        <w:t xml:space="preserve">, I. S., </w:t>
      </w:r>
      <w:proofErr w:type="spellStart"/>
      <w:r w:rsidRPr="00701BD2">
        <w:rPr>
          <w:rFonts w:ascii="Arial" w:hAnsi="Arial" w:cs="Arial"/>
          <w:sz w:val="20"/>
          <w:szCs w:val="20"/>
          <w:highlight w:val="yellow"/>
        </w:rPr>
        <w:t>Vehovec</w:t>
      </w:r>
      <w:proofErr w:type="spellEnd"/>
      <w:r w:rsidRPr="00701BD2">
        <w:rPr>
          <w:rFonts w:ascii="Arial" w:hAnsi="Arial" w:cs="Arial"/>
          <w:sz w:val="20"/>
          <w:szCs w:val="20"/>
          <w:highlight w:val="yellow"/>
        </w:rPr>
        <w:t xml:space="preserve">, M., &amp; </w:t>
      </w:r>
      <w:proofErr w:type="spellStart"/>
      <w:r w:rsidRPr="00701BD2">
        <w:rPr>
          <w:rFonts w:ascii="Arial" w:hAnsi="Arial" w:cs="Arial"/>
          <w:sz w:val="20"/>
          <w:szCs w:val="20"/>
          <w:highlight w:val="yellow"/>
        </w:rPr>
        <w:t>Galic</w:t>
      </w:r>
      <w:proofErr w:type="spellEnd"/>
      <w:r w:rsidRPr="00701BD2">
        <w:rPr>
          <w:rFonts w:ascii="Arial" w:hAnsi="Arial" w:cs="Arial"/>
          <w:sz w:val="20"/>
          <w:szCs w:val="20"/>
          <w:highlight w:val="yellow"/>
        </w:rPr>
        <w:t xml:space="preserve">, Z. (2017). Relationship between financial satisfaction and financial literacy: Exploring gender differences. </w:t>
      </w:r>
      <w:proofErr w:type="spellStart"/>
      <w:r w:rsidRPr="00701BD2">
        <w:rPr>
          <w:rFonts w:ascii="Arial" w:hAnsi="Arial" w:cs="Arial"/>
          <w:sz w:val="20"/>
          <w:szCs w:val="20"/>
          <w:highlight w:val="yellow"/>
        </w:rPr>
        <w:t>Drustvena</w:t>
      </w:r>
      <w:proofErr w:type="spellEnd"/>
      <w:r w:rsidRPr="00701BD2">
        <w:rPr>
          <w:rFonts w:ascii="Arial" w:hAnsi="Arial" w:cs="Arial"/>
          <w:sz w:val="20"/>
          <w:szCs w:val="20"/>
          <w:highlight w:val="yellow"/>
        </w:rPr>
        <w:t xml:space="preserve"> </w:t>
      </w:r>
      <w:proofErr w:type="spellStart"/>
      <w:r w:rsidRPr="00701BD2">
        <w:rPr>
          <w:rFonts w:ascii="Arial" w:hAnsi="Arial" w:cs="Arial"/>
          <w:sz w:val="20"/>
          <w:szCs w:val="20"/>
          <w:highlight w:val="yellow"/>
        </w:rPr>
        <w:t>Istrazivanja</w:t>
      </w:r>
      <w:proofErr w:type="spellEnd"/>
      <w:r w:rsidRPr="00701BD2">
        <w:rPr>
          <w:rFonts w:ascii="Arial" w:hAnsi="Arial" w:cs="Arial"/>
          <w:sz w:val="20"/>
          <w:szCs w:val="20"/>
          <w:highlight w:val="yellow"/>
        </w:rPr>
        <w:t>, 26(2), 165–185. https://doi.org/10.5559/ di.26.2.02</w:t>
      </w:r>
    </w:p>
    <w:p w14:paraId="13CEBDC8"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1A1E9C">
        <w:rPr>
          <w:rFonts w:ascii="Arial" w:hAnsi="Arial" w:cs="Arial"/>
          <w:color w:val="222222"/>
          <w:sz w:val="20"/>
          <w:szCs w:val="20"/>
          <w:highlight w:val="yellow"/>
          <w:shd w:val="clear" w:color="auto" w:fill="FFFFFF"/>
        </w:rPr>
        <w:t>Krejcie</w:t>
      </w:r>
      <w:proofErr w:type="spellEnd"/>
      <w:r w:rsidRPr="001A1E9C">
        <w:rPr>
          <w:rFonts w:ascii="Arial" w:hAnsi="Arial" w:cs="Arial"/>
          <w:color w:val="222222"/>
          <w:sz w:val="20"/>
          <w:szCs w:val="20"/>
          <w:highlight w:val="yellow"/>
          <w:shd w:val="clear" w:color="auto" w:fill="FFFFFF"/>
        </w:rPr>
        <w:t>, R. V., &amp; Morgan, D. W. (1970). Determining sample size for research activities. </w:t>
      </w:r>
      <w:r w:rsidRPr="001A1E9C">
        <w:rPr>
          <w:rFonts w:ascii="Arial" w:hAnsi="Arial" w:cs="Arial"/>
          <w:i/>
          <w:iCs/>
          <w:color w:val="222222"/>
          <w:sz w:val="20"/>
          <w:szCs w:val="20"/>
          <w:highlight w:val="yellow"/>
          <w:shd w:val="clear" w:color="auto" w:fill="FFFFFF"/>
        </w:rPr>
        <w:t>Educational and psychological measurement</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30</w:t>
      </w:r>
      <w:r w:rsidRPr="001A1E9C">
        <w:rPr>
          <w:rFonts w:ascii="Arial" w:hAnsi="Arial" w:cs="Arial"/>
          <w:color w:val="222222"/>
          <w:sz w:val="20"/>
          <w:szCs w:val="20"/>
          <w:highlight w:val="yellow"/>
          <w:shd w:val="clear" w:color="auto" w:fill="FFFFFF"/>
        </w:rPr>
        <w:t>(3), 607-610.</w:t>
      </w:r>
    </w:p>
    <w:p w14:paraId="7D536277" w14:textId="77777777" w:rsidR="00984C4D" w:rsidRPr="00F77421" w:rsidRDefault="00984C4D" w:rsidP="00984C4D">
      <w:pPr>
        <w:spacing w:line="360" w:lineRule="auto"/>
        <w:ind w:left="720" w:hanging="720"/>
        <w:jc w:val="both"/>
        <w:rPr>
          <w:rFonts w:ascii="Arial" w:hAnsi="Arial" w:cs="Arial"/>
          <w:color w:val="222222"/>
          <w:sz w:val="20"/>
          <w:szCs w:val="20"/>
          <w:highlight w:val="yellow"/>
          <w:shd w:val="clear" w:color="auto" w:fill="FFFFFF"/>
        </w:rPr>
      </w:pPr>
      <w:proofErr w:type="spellStart"/>
      <w:r w:rsidRPr="00F77421">
        <w:rPr>
          <w:rFonts w:ascii="Arial" w:hAnsi="Arial" w:cs="Arial"/>
          <w:color w:val="222222"/>
          <w:sz w:val="20"/>
          <w:szCs w:val="20"/>
          <w:highlight w:val="yellow"/>
          <w:shd w:val="clear" w:color="auto" w:fill="FFFFFF"/>
        </w:rPr>
        <w:t>Lampenius</w:t>
      </w:r>
      <w:proofErr w:type="spellEnd"/>
      <w:r w:rsidRPr="00F77421">
        <w:rPr>
          <w:rFonts w:ascii="Arial" w:hAnsi="Arial" w:cs="Arial"/>
          <w:color w:val="222222"/>
          <w:sz w:val="20"/>
          <w:szCs w:val="20"/>
          <w:highlight w:val="yellow"/>
          <w:shd w:val="clear" w:color="auto" w:fill="FFFFFF"/>
        </w:rPr>
        <w:t xml:space="preserve">, N., &amp; </w:t>
      </w:r>
      <w:proofErr w:type="spellStart"/>
      <w:r w:rsidRPr="00F77421">
        <w:rPr>
          <w:rFonts w:ascii="Arial" w:hAnsi="Arial" w:cs="Arial"/>
          <w:color w:val="222222"/>
          <w:sz w:val="20"/>
          <w:szCs w:val="20"/>
          <w:highlight w:val="yellow"/>
          <w:shd w:val="clear" w:color="auto" w:fill="FFFFFF"/>
        </w:rPr>
        <w:t>Zickar</w:t>
      </w:r>
      <w:proofErr w:type="spellEnd"/>
      <w:r w:rsidRPr="00F77421">
        <w:rPr>
          <w:rFonts w:ascii="Arial" w:hAnsi="Arial" w:cs="Arial"/>
          <w:color w:val="222222"/>
          <w:sz w:val="20"/>
          <w:szCs w:val="20"/>
          <w:highlight w:val="yellow"/>
          <w:shd w:val="clear" w:color="auto" w:fill="FFFFFF"/>
        </w:rPr>
        <w:t>, M. J. (2005). Development and validation of a model and measure of financial risk-taking. </w:t>
      </w:r>
      <w:r w:rsidRPr="00F77421">
        <w:rPr>
          <w:rFonts w:ascii="Arial" w:hAnsi="Arial" w:cs="Arial"/>
          <w:i/>
          <w:iCs/>
          <w:color w:val="222222"/>
          <w:sz w:val="20"/>
          <w:szCs w:val="20"/>
          <w:highlight w:val="yellow"/>
          <w:shd w:val="clear" w:color="auto" w:fill="FFFFFF"/>
        </w:rPr>
        <w:t>The Journal of Behavioral Finance</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6</w:t>
      </w:r>
      <w:r w:rsidRPr="00F77421">
        <w:rPr>
          <w:rFonts w:ascii="Arial" w:hAnsi="Arial" w:cs="Arial"/>
          <w:color w:val="222222"/>
          <w:sz w:val="20"/>
          <w:szCs w:val="20"/>
          <w:highlight w:val="yellow"/>
          <w:shd w:val="clear" w:color="auto" w:fill="FFFFFF"/>
        </w:rPr>
        <w:t>(3), 129-143.</w:t>
      </w:r>
    </w:p>
    <w:p w14:paraId="02F57402" w14:textId="77777777" w:rsidR="00984C4D" w:rsidRDefault="00984C4D" w:rsidP="00984C4D">
      <w:pPr>
        <w:spacing w:line="360" w:lineRule="auto"/>
        <w:ind w:left="720" w:hanging="720"/>
        <w:jc w:val="both"/>
        <w:rPr>
          <w:rFonts w:ascii="Arial" w:hAnsi="Arial" w:cs="Arial"/>
          <w:color w:val="222222"/>
          <w:sz w:val="20"/>
          <w:szCs w:val="20"/>
          <w:shd w:val="clear" w:color="auto" w:fill="FFFFFF"/>
        </w:rPr>
      </w:pPr>
      <w:bookmarkStart w:id="24" w:name="_Hlk140956743"/>
      <w:proofErr w:type="spellStart"/>
      <w:r w:rsidRPr="00F77421">
        <w:rPr>
          <w:rFonts w:ascii="Arial" w:hAnsi="Arial" w:cs="Arial"/>
          <w:color w:val="222222"/>
          <w:sz w:val="20"/>
          <w:szCs w:val="20"/>
          <w:highlight w:val="yellow"/>
          <w:shd w:val="clear" w:color="auto" w:fill="FFFFFF"/>
        </w:rPr>
        <w:t>Mahdzan</w:t>
      </w:r>
      <w:proofErr w:type="spellEnd"/>
      <w:r w:rsidRPr="00F77421">
        <w:rPr>
          <w:rFonts w:ascii="Arial" w:hAnsi="Arial" w:cs="Arial"/>
          <w:color w:val="222222"/>
          <w:sz w:val="20"/>
          <w:szCs w:val="20"/>
          <w:highlight w:val="yellow"/>
          <w:shd w:val="clear" w:color="auto" w:fill="FFFFFF"/>
        </w:rPr>
        <w:t xml:space="preserve">, N. S., </w:t>
      </w:r>
      <w:proofErr w:type="spellStart"/>
      <w:r w:rsidRPr="00F77421">
        <w:rPr>
          <w:rFonts w:ascii="Arial" w:hAnsi="Arial" w:cs="Arial"/>
          <w:color w:val="222222"/>
          <w:sz w:val="20"/>
          <w:szCs w:val="20"/>
          <w:highlight w:val="yellow"/>
          <w:shd w:val="clear" w:color="auto" w:fill="FFFFFF"/>
        </w:rPr>
        <w:t>Zainudin</w:t>
      </w:r>
      <w:proofErr w:type="spellEnd"/>
      <w:r w:rsidRPr="00F77421">
        <w:rPr>
          <w:rFonts w:ascii="Arial" w:hAnsi="Arial" w:cs="Arial"/>
          <w:color w:val="222222"/>
          <w:sz w:val="20"/>
          <w:szCs w:val="20"/>
          <w:highlight w:val="yellow"/>
          <w:shd w:val="clear" w:color="auto" w:fill="FFFFFF"/>
        </w:rPr>
        <w:t xml:space="preserve">, R., Abd </w:t>
      </w:r>
      <w:proofErr w:type="spellStart"/>
      <w:r w:rsidRPr="00F77421">
        <w:rPr>
          <w:rFonts w:ascii="Arial" w:hAnsi="Arial" w:cs="Arial"/>
          <w:color w:val="222222"/>
          <w:sz w:val="20"/>
          <w:szCs w:val="20"/>
          <w:highlight w:val="yellow"/>
          <w:shd w:val="clear" w:color="auto" w:fill="FFFFFF"/>
        </w:rPr>
        <w:t>Sukor</w:t>
      </w:r>
      <w:proofErr w:type="spellEnd"/>
      <w:r w:rsidRPr="00F77421">
        <w:rPr>
          <w:rFonts w:ascii="Arial" w:hAnsi="Arial" w:cs="Arial"/>
          <w:color w:val="222222"/>
          <w:sz w:val="20"/>
          <w:szCs w:val="20"/>
          <w:highlight w:val="yellow"/>
          <w:shd w:val="clear" w:color="auto" w:fill="FFFFFF"/>
        </w:rPr>
        <w:t xml:space="preserve">, M. E., </w:t>
      </w:r>
      <w:proofErr w:type="spellStart"/>
      <w:r w:rsidRPr="00F77421">
        <w:rPr>
          <w:rFonts w:ascii="Arial" w:hAnsi="Arial" w:cs="Arial"/>
          <w:color w:val="222222"/>
          <w:sz w:val="20"/>
          <w:szCs w:val="20"/>
          <w:highlight w:val="yellow"/>
          <w:shd w:val="clear" w:color="auto" w:fill="FFFFFF"/>
        </w:rPr>
        <w:t>Zainir</w:t>
      </w:r>
      <w:proofErr w:type="spellEnd"/>
      <w:r w:rsidRPr="00F77421">
        <w:rPr>
          <w:rFonts w:ascii="Arial" w:hAnsi="Arial" w:cs="Arial"/>
          <w:color w:val="222222"/>
          <w:sz w:val="20"/>
          <w:szCs w:val="20"/>
          <w:highlight w:val="yellow"/>
          <w:shd w:val="clear" w:color="auto" w:fill="FFFFFF"/>
        </w:rPr>
        <w:t>, F., &amp; Wan Ahmad</w:t>
      </w:r>
      <w:bookmarkEnd w:id="24"/>
      <w:r w:rsidRPr="00F77421">
        <w:rPr>
          <w:rFonts w:ascii="Arial" w:hAnsi="Arial" w:cs="Arial"/>
          <w:color w:val="222222"/>
          <w:sz w:val="20"/>
          <w:szCs w:val="20"/>
          <w:highlight w:val="yellow"/>
          <w:shd w:val="clear" w:color="auto" w:fill="FFFFFF"/>
        </w:rPr>
        <w:t>, W. M. (2020). An exploratory study of financial well-being among Malaysian households. </w:t>
      </w:r>
      <w:r w:rsidRPr="00F77421">
        <w:rPr>
          <w:rFonts w:ascii="Arial" w:hAnsi="Arial" w:cs="Arial"/>
          <w:i/>
          <w:iCs/>
          <w:color w:val="222222"/>
          <w:sz w:val="20"/>
          <w:szCs w:val="20"/>
          <w:highlight w:val="yellow"/>
          <w:shd w:val="clear" w:color="auto" w:fill="FFFFFF"/>
        </w:rPr>
        <w:t>Journal of Asian Business and Economic Studies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27</w:t>
      </w:r>
      <w:r w:rsidRPr="00F77421">
        <w:rPr>
          <w:rFonts w:ascii="Arial" w:hAnsi="Arial" w:cs="Arial"/>
          <w:color w:val="222222"/>
          <w:sz w:val="20"/>
          <w:szCs w:val="20"/>
          <w:highlight w:val="yellow"/>
          <w:shd w:val="clear" w:color="auto" w:fill="FFFFFF"/>
        </w:rPr>
        <w:t>(3), 285-302.</w:t>
      </w:r>
    </w:p>
    <w:p w14:paraId="1D701F1C" w14:textId="77777777" w:rsidR="00984C4D"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Mallinckrodt, B., Abraham, W. T., Wei, M., &amp; Russell, D. W. (2006). Advances in testing the statistical significance of mediation effects. </w:t>
      </w:r>
      <w:r w:rsidRPr="001A1E9C">
        <w:rPr>
          <w:rFonts w:ascii="Arial" w:hAnsi="Arial" w:cs="Arial"/>
          <w:i/>
          <w:iCs/>
          <w:color w:val="222222"/>
          <w:sz w:val="20"/>
          <w:szCs w:val="20"/>
          <w:highlight w:val="yellow"/>
          <w:shd w:val="clear" w:color="auto" w:fill="FFFFFF"/>
        </w:rPr>
        <w:t>Journal of counseling psychology</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53</w:t>
      </w:r>
      <w:r w:rsidRPr="001A1E9C">
        <w:rPr>
          <w:rFonts w:ascii="Arial" w:hAnsi="Arial" w:cs="Arial"/>
          <w:color w:val="222222"/>
          <w:sz w:val="20"/>
          <w:szCs w:val="20"/>
          <w:highlight w:val="yellow"/>
          <w:shd w:val="clear" w:color="auto" w:fill="FFFFFF"/>
        </w:rPr>
        <w:t>(3), 372.</w:t>
      </w:r>
    </w:p>
    <w:p w14:paraId="7166395B"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1A1E9C">
        <w:rPr>
          <w:rFonts w:ascii="Arial" w:hAnsi="Arial" w:cs="Arial"/>
          <w:color w:val="222222"/>
          <w:sz w:val="20"/>
          <w:szCs w:val="20"/>
          <w:highlight w:val="yellow"/>
          <w:shd w:val="clear" w:color="auto" w:fill="FFFFFF"/>
        </w:rPr>
        <w:t>Mindra</w:t>
      </w:r>
      <w:proofErr w:type="spellEnd"/>
      <w:r w:rsidRPr="001A1E9C">
        <w:rPr>
          <w:rFonts w:ascii="Arial" w:hAnsi="Arial" w:cs="Arial"/>
          <w:color w:val="222222"/>
          <w:sz w:val="20"/>
          <w:szCs w:val="20"/>
          <w:highlight w:val="yellow"/>
          <w:shd w:val="clear" w:color="auto" w:fill="FFFFFF"/>
        </w:rPr>
        <w:t>, R., &amp; Moya, M. (2017). Financial self-efficacy: a mediator in advancing financial inclusion. </w:t>
      </w:r>
      <w:r w:rsidRPr="001A1E9C">
        <w:rPr>
          <w:rFonts w:ascii="Arial" w:hAnsi="Arial" w:cs="Arial"/>
          <w:i/>
          <w:iCs/>
          <w:color w:val="222222"/>
          <w:sz w:val="20"/>
          <w:szCs w:val="20"/>
          <w:highlight w:val="yellow"/>
          <w:shd w:val="clear" w:color="auto" w:fill="FFFFFF"/>
        </w:rPr>
        <w:t>Equality, Diversity and Inclusion: An International Journal</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36</w:t>
      </w:r>
      <w:r w:rsidRPr="001A1E9C">
        <w:rPr>
          <w:rFonts w:ascii="Arial" w:hAnsi="Arial" w:cs="Arial"/>
          <w:color w:val="222222"/>
          <w:sz w:val="20"/>
          <w:szCs w:val="20"/>
          <w:highlight w:val="yellow"/>
          <w:shd w:val="clear" w:color="auto" w:fill="FFFFFF"/>
        </w:rPr>
        <w:t>(2), 128-149.</w:t>
      </w:r>
    </w:p>
    <w:p w14:paraId="79B35423"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Ngamaba</w:t>
      </w:r>
      <w:proofErr w:type="spellEnd"/>
      <w:r w:rsidRPr="00701BD2">
        <w:rPr>
          <w:rFonts w:ascii="Arial" w:hAnsi="Arial" w:cs="Arial"/>
          <w:color w:val="222222"/>
          <w:sz w:val="20"/>
          <w:szCs w:val="20"/>
          <w:highlight w:val="yellow"/>
          <w:shd w:val="clear" w:color="auto" w:fill="FFFFFF"/>
        </w:rPr>
        <w:t xml:space="preserve">, K. H., Armitage, C., </w:t>
      </w:r>
      <w:proofErr w:type="spellStart"/>
      <w:r w:rsidRPr="00701BD2">
        <w:rPr>
          <w:rFonts w:ascii="Arial" w:hAnsi="Arial" w:cs="Arial"/>
          <w:color w:val="222222"/>
          <w:sz w:val="20"/>
          <w:szCs w:val="20"/>
          <w:highlight w:val="yellow"/>
          <w:shd w:val="clear" w:color="auto" w:fill="FFFFFF"/>
        </w:rPr>
        <w:t>Panagioti</w:t>
      </w:r>
      <w:proofErr w:type="spellEnd"/>
      <w:r w:rsidRPr="00701BD2">
        <w:rPr>
          <w:rFonts w:ascii="Arial" w:hAnsi="Arial" w:cs="Arial"/>
          <w:color w:val="222222"/>
          <w:sz w:val="20"/>
          <w:szCs w:val="20"/>
          <w:highlight w:val="yellow"/>
          <w:shd w:val="clear" w:color="auto" w:fill="FFFFFF"/>
        </w:rPr>
        <w:t>, M., &amp; Hodkinson, A. (2020). How closely related are financial satisfaction and subjective well-being? Systematic review and meta-analysis. </w:t>
      </w:r>
      <w:r w:rsidRPr="00701BD2">
        <w:rPr>
          <w:rFonts w:ascii="Arial" w:hAnsi="Arial" w:cs="Arial"/>
          <w:i/>
          <w:iCs/>
          <w:color w:val="222222"/>
          <w:sz w:val="20"/>
          <w:szCs w:val="20"/>
          <w:highlight w:val="yellow"/>
          <w:shd w:val="clear" w:color="auto" w:fill="FFFFFF"/>
        </w:rPr>
        <w:t>Journal of Behavioral and Experimental Economics</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85</w:t>
      </w:r>
      <w:r w:rsidRPr="00701BD2">
        <w:rPr>
          <w:rFonts w:ascii="Arial" w:hAnsi="Arial" w:cs="Arial"/>
          <w:color w:val="222222"/>
          <w:sz w:val="20"/>
          <w:szCs w:val="20"/>
          <w:highlight w:val="yellow"/>
          <w:shd w:val="clear" w:color="auto" w:fill="FFFFFF"/>
        </w:rPr>
        <w:t>, 101522.</w:t>
      </w:r>
    </w:p>
    <w:p w14:paraId="6FAFBB1F"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Norvilitis</w:t>
      </w:r>
      <w:proofErr w:type="spellEnd"/>
      <w:r w:rsidRPr="00701BD2">
        <w:rPr>
          <w:rFonts w:ascii="Arial" w:hAnsi="Arial" w:cs="Arial"/>
          <w:color w:val="222222"/>
          <w:sz w:val="20"/>
          <w:szCs w:val="20"/>
          <w:highlight w:val="yellow"/>
          <w:shd w:val="clear" w:color="auto" w:fill="FFFFFF"/>
        </w:rPr>
        <w:t xml:space="preserve">, J. M., Merwin, M. M., </w:t>
      </w:r>
      <w:proofErr w:type="spellStart"/>
      <w:r w:rsidRPr="00701BD2">
        <w:rPr>
          <w:rFonts w:ascii="Arial" w:hAnsi="Arial" w:cs="Arial"/>
          <w:color w:val="222222"/>
          <w:sz w:val="20"/>
          <w:szCs w:val="20"/>
          <w:highlight w:val="yellow"/>
          <w:shd w:val="clear" w:color="auto" w:fill="FFFFFF"/>
        </w:rPr>
        <w:t>Osberg</w:t>
      </w:r>
      <w:proofErr w:type="spellEnd"/>
      <w:r w:rsidRPr="00701BD2">
        <w:rPr>
          <w:rFonts w:ascii="Arial" w:hAnsi="Arial" w:cs="Arial"/>
          <w:color w:val="222222"/>
          <w:sz w:val="20"/>
          <w:szCs w:val="20"/>
          <w:highlight w:val="yellow"/>
          <w:shd w:val="clear" w:color="auto" w:fill="FFFFFF"/>
        </w:rPr>
        <w:t xml:space="preserve">, T. M., </w:t>
      </w:r>
      <w:proofErr w:type="spellStart"/>
      <w:r w:rsidRPr="00701BD2">
        <w:rPr>
          <w:rFonts w:ascii="Arial" w:hAnsi="Arial" w:cs="Arial"/>
          <w:color w:val="222222"/>
          <w:sz w:val="20"/>
          <w:szCs w:val="20"/>
          <w:highlight w:val="yellow"/>
          <w:shd w:val="clear" w:color="auto" w:fill="FFFFFF"/>
        </w:rPr>
        <w:t>Roehling</w:t>
      </w:r>
      <w:proofErr w:type="spellEnd"/>
      <w:r w:rsidRPr="00701BD2">
        <w:rPr>
          <w:rFonts w:ascii="Arial" w:hAnsi="Arial" w:cs="Arial"/>
          <w:color w:val="222222"/>
          <w:sz w:val="20"/>
          <w:szCs w:val="20"/>
          <w:highlight w:val="yellow"/>
          <w:shd w:val="clear" w:color="auto" w:fill="FFFFFF"/>
        </w:rPr>
        <w:t>, P. V., Young, P., &amp; Kamas, M. M. (2006). Personality factors, money attitudes, financial knowledge, and credit</w:t>
      </w:r>
      <w:r w:rsidRPr="00701BD2">
        <w:rPr>
          <w:rFonts w:ascii="Cambria Math" w:hAnsi="Cambria Math" w:cs="Cambria Math"/>
          <w:color w:val="222222"/>
          <w:sz w:val="20"/>
          <w:szCs w:val="20"/>
          <w:highlight w:val="yellow"/>
          <w:shd w:val="clear" w:color="auto" w:fill="FFFFFF"/>
        </w:rPr>
        <w:t>‐</w:t>
      </w:r>
      <w:r w:rsidRPr="00701BD2">
        <w:rPr>
          <w:rFonts w:ascii="Arial" w:hAnsi="Arial" w:cs="Arial"/>
          <w:color w:val="222222"/>
          <w:sz w:val="20"/>
          <w:szCs w:val="20"/>
          <w:highlight w:val="yellow"/>
          <w:shd w:val="clear" w:color="auto" w:fill="FFFFFF"/>
        </w:rPr>
        <w:t>card debt in college students 1. </w:t>
      </w:r>
      <w:r w:rsidRPr="00701BD2">
        <w:rPr>
          <w:rFonts w:ascii="Arial" w:hAnsi="Arial" w:cs="Arial"/>
          <w:i/>
          <w:iCs/>
          <w:color w:val="222222"/>
          <w:sz w:val="20"/>
          <w:szCs w:val="20"/>
          <w:highlight w:val="yellow"/>
          <w:shd w:val="clear" w:color="auto" w:fill="FFFFFF"/>
        </w:rPr>
        <w:t xml:space="preserve">Journal of </w:t>
      </w:r>
      <w:r>
        <w:rPr>
          <w:rFonts w:ascii="Arial" w:hAnsi="Arial" w:cs="Arial"/>
          <w:i/>
          <w:iCs/>
          <w:color w:val="222222"/>
          <w:sz w:val="20"/>
          <w:szCs w:val="20"/>
          <w:highlight w:val="yellow"/>
          <w:shd w:val="clear" w:color="auto" w:fill="FFFFFF"/>
        </w:rPr>
        <w:t>A</w:t>
      </w:r>
      <w:r w:rsidRPr="00701BD2">
        <w:rPr>
          <w:rFonts w:ascii="Arial" w:hAnsi="Arial" w:cs="Arial"/>
          <w:i/>
          <w:iCs/>
          <w:color w:val="222222"/>
          <w:sz w:val="20"/>
          <w:szCs w:val="20"/>
          <w:highlight w:val="yellow"/>
          <w:shd w:val="clear" w:color="auto" w:fill="FFFFFF"/>
        </w:rPr>
        <w:t xml:space="preserve">pplied </w:t>
      </w:r>
      <w:r>
        <w:rPr>
          <w:rFonts w:ascii="Arial" w:hAnsi="Arial" w:cs="Arial"/>
          <w:i/>
          <w:iCs/>
          <w:color w:val="222222"/>
          <w:sz w:val="20"/>
          <w:szCs w:val="20"/>
          <w:highlight w:val="yellow"/>
          <w:shd w:val="clear" w:color="auto" w:fill="FFFFFF"/>
        </w:rPr>
        <w:t>S</w:t>
      </w:r>
      <w:r w:rsidRPr="00701BD2">
        <w:rPr>
          <w:rFonts w:ascii="Arial" w:hAnsi="Arial" w:cs="Arial"/>
          <w:i/>
          <w:iCs/>
          <w:color w:val="222222"/>
          <w:sz w:val="20"/>
          <w:szCs w:val="20"/>
          <w:highlight w:val="yellow"/>
          <w:shd w:val="clear" w:color="auto" w:fill="FFFFFF"/>
        </w:rPr>
        <w:t xml:space="preserve">ocial </w:t>
      </w:r>
      <w:r>
        <w:rPr>
          <w:rFonts w:ascii="Arial" w:hAnsi="Arial" w:cs="Arial"/>
          <w:i/>
          <w:iCs/>
          <w:color w:val="222222"/>
          <w:sz w:val="20"/>
          <w:szCs w:val="20"/>
          <w:highlight w:val="yellow"/>
          <w:shd w:val="clear" w:color="auto" w:fill="FFFFFF"/>
        </w:rPr>
        <w:t>P</w:t>
      </w:r>
      <w:r w:rsidRPr="00701BD2">
        <w:rPr>
          <w:rFonts w:ascii="Arial" w:hAnsi="Arial" w:cs="Arial"/>
          <w:i/>
          <w:iCs/>
          <w:color w:val="222222"/>
          <w:sz w:val="20"/>
          <w:szCs w:val="20"/>
          <w:highlight w:val="yellow"/>
          <w:shd w:val="clear" w:color="auto" w:fill="FFFFFF"/>
        </w:rPr>
        <w:t>sychology</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36</w:t>
      </w:r>
      <w:r w:rsidRPr="00701BD2">
        <w:rPr>
          <w:rFonts w:ascii="Arial" w:hAnsi="Arial" w:cs="Arial"/>
          <w:color w:val="222222"/>
          <w:sz w:val="20"/>
          <w:szCs w:val="20"/>
          <w:highlight w:val="yellow"/>
          <w:shd w:val="clear" w:color="auto" w:fill="FFFFFF"/>
        </w:rPr>
        <w:t>(6), 1395-1413.</w:t>
      </w:r>
    </w:p>
    <w:p w14:paraId="43AA9091"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Nosita</w:t>
      </w:r>
      <w:proofErr w:type="spellEnd"/>
      <w:r w:rsidRPr="00F77421">
        <w:rPr>
          <w:rFonts w:ascii="Arial" w:hAnsi="Arial" w:cs="Arial"/>
          <w:color w:val="222222"/>
          <w:sz w:val="20"/>
          <w:szCs w:val="20"/>
          <w:highlight w:val="yellow"/>
          <w:shd w:val="clear" w:color="auto" w:fill="FFFFFF"/>
        </w:rPr>
        <w:t xml:space="preserve">, F., Pirzada, K., Lestari, T., &amp; </w:t>
      </w:r>
      <w:proofErr w:type="spellStart"/>
      <w:r w:rsidRPr="00F77421">
        <w:rPr>
          <w:rFonts w:ascii="Arial" w:hAnsi="Arial" w:cs="Arial"/>
          <w:color w:val="222222"/>
          <w:sz w:val="20"/>
          <w:szCs w:val="20"/>
          <w:highlight w:val="yellow"/>
          <w:shd w:val="clear" w:color="auto" w:fill="FFFFFF"/>
        </w:rPr>
        <w:t>Cahyono</w:t>
      </w:r>
      <w:proofErr w:type="spellEnd"/>
      <w:r w:rsidRPr="00F77421">
        <w:rPr>
          <w:rFonts w:ascii="Arial" w:hAnsi="Arial" w:cs="Arial"/>
          <w:color w:val="222222"/>
          <w:sz w:val="20"/>
          <w:szCs w:val="20"/>
          <w:highlight w:val="yellow"/>
          <w:shd w:val="clear" w:color="auto" w:fill="FFFFFF"/>
        </w:rPr>
        <w:t>, R. (2020). IMPACT OF DEMOGRAPHIC FACTORS ON RISK TOLERANCE. </w:t>
      </w:r>
      <w:r w:rsidRPr="00F77421">
        <w:rPr>
          <w:rFonts w:ascii="Arial" w:hAnsi="Arial" w:cs="Arial"/>
          <w:i/>
          <w:iCs/>
          <w:color w:val="222222"/>
          <w:sz w:val="20"/>
          <w:szCs w:val="20"/>
          <w:highlight w:val="yellow"/>
          <w:shd w:val="clear" w:color="auto" w:fill="FFFFFF"/>
        </w:rPr>
        <w:t>Journal of Security &amp; Sustainability Issues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9</w:t>
      </w:r>
      <w:r w:rsidRPr="00F77421">
        <w:rPr>
          <w:rFonts w:ascii="Arial" w:hAnsi="Arial" w:cs="Arial"/>
          <w:color w:val="222222"/>
          <w:sz w:val="20"/>
          <w:szCs w:val="20"/>
          <w:highlight w:val="yellow"/>
          <w:shd w:val="clear" w:color="auto" w:fill="FFFFFF"/>
        </w:rPr>
        <w:t>(4).</w:t>
      </w:r>
    </w:p>
    <w:p w14:paraId="0178F1B5"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Parvathy, V. K., &amp; Kumar, J. (2022). Financial capability and financial wellbeing of women in community-based organizations: mediating role of decision-making ability. </w:t>
      </w:r>
      <w:r w:rsidRPr="00701BD2">
        <w:rPr>
          <w:rFonts w:ascii="Arial" w:hAnsi="Arial" w:cs="Arial"/>
          <w:i/>
          <w:iCs/>
          <w:color w:val="222222"/>
          <w:sz w:val="20"/>
          <w:szCs w:val="20"/>
          <w:highlight w:val="yellow"/>
          <w:shd w:val="clear" w:color="auto" w:fill="FFFFFF"/>
        </w:rPr>
        <w:t>Managerial Finance</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48</w:t>
      </w:r>
      <w:r w:rsidRPr="00701BD2">
        <w:rPr>
          <w:rFonts w:ascii="Arial" w:hAnsi="Arial" w:cs="Arial"/>
          <w:color w:val="222222"/>
          <w:sz w:val="20"/>
          <w:szCs w:val="20"/>
          <w:highlight w:val="yellow"/>
          <w:shd w:val="clear" w:color="auto" w:fill="FFFFFF"/>
        </w:rPr>
        <w:t>(9/10), 1513-1529.</w:t>
      </w:r>
    </w:p>
    <w:p w14:paraId="17DD56D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Perry, V. G., &amp; Morris, M. D. (2005). Who is in control? The role of self</w:t>
      </w:r>
      <w:r w:rsidRPr="001A1E9C">
        <w:rPr>
          <w:rFonts w:ascii="Cambria Math" w:hAnsi="Cambria Math" w:cs="Cambria Math"/>
          <w:color w:val="222222"/>
          <w:sz w:val="20"/>
          <w:szCs w:val="20"/>
          <w:highlight w:val="yellow"/>
          <w:shd w:val="clear" w:color="auto" w:fill="FFFFFF"/>
        </w:rPr>
        <w:t>‐</w:t>
      </w:r>
      <w:r w:rsidRPr="001A1E9C">
        <w:rPr>
          <w:rFonts w:ascii="Arial" w:hAnsi="Arial" w:cs="Arial"/>
          <w:color w:val="222222"/>
          <w:sz w:val="20"/>
          <w:szCs w:val="20"/>
          <w:highlight w:val="yellow"/>
          <w:shd w:val="clear" w:color="auto" w:fill="FFFFFF"/>
        </w:rPr>
        <w:t>perception, knowledge, and income in explaining consumer financial behavior. </w:t>
      </w:r>
      <w:r w:rsidRPr="001A1E9C">
        <w:rPr>
          <w:rFonts w:ascii="Arial" w:hAnsi="Arial" w:cs="Arial"/>
          <w:i/>
          <w:iCs/>
          <w:color w:val="222222"/>
          <w:sz w:val="20"/>
          <w:szCs w:val="20"/>
          <w:highlight w:val="yellow"/>
          <w:shd w:val="clear" w:color="auto" w:fill="FFFFFF"/>
        </w:rPr>
        <w:t>Journal of Consumer Affairs</w:t>
      </w:r>
      <w:r w:rsidRPr="001A1E9C">
        <w:rPr>
          <w:rFonts w:ascii="Arial" w:hAnsi="Arial" w:cs="Arial"/>
          <w:color w:val="222222"/>
          <w:sz w:val="20"/>
          <w:szCs w:val="20"/>
          <w:highlight w:val="yellow"/>
          <w:shd w:val="clear" w:color="auto" w:fill="FFFFFF"/>
        </w:rPr>
        <w:t>, </w:t>
      </w:r>
      <w:r w:rsidRPr="001A1E9C">
        <w:rPr>
          <w:rFonts w:ascii="Arial" w:hAnsi="Arial" w:cs="Arial"/>
          <w:i/>
          <w:iCs/>
          <w:color w:val="222222"/>
          <w:sz w:val="20"/>
          <w:szCs w:val="20"/>
          <w:highlight w:val="yellow"/>
          <w:shd w:val="clear" w:color="auto" w:fill="FFFFFF"/>
        </w:rPr>
        <w:t>39</w:t>
      </w:r>
      <w:r w:rsidRPr="001A1E9C">
        <w:rPr>
          <w:rFonts w:ascii="Arial" w:hAnsi="Arial" w:cs="Arial"/>
          <w:color w:val="222222"/>
          <w:sz w:val="20"/>
          <w:szCs w:val="20"/>
          <w:highlight w:val="yellow"/>
          <w:shd w:val="clear" w:color="auto" w:fill="FFFFFF"/>
        </w:rPr>
        <w:t>(2), 299-313.</w:t>
      </w:r>
    </w:p>
    <w:p w14:paraId="215A3946"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lastRenderedPageBreak/>
        <w:t>Ponchio</w:t>
      </w:r>
      <w:proofErr w:type="spellEnd"/>
      <w:r w:rsidRPr="00701BD2">
        <w:rPr>
          <w:rFonts w:ascii="Arial" w:hAnsi="Arial" w:cs="Arial"/>
          <w:color w:val="222222"/>
          <w:sz w:val="20"/>
          <w:szCs w:val="20"/>
          <w:highlight w:val="yellow"/>
          <w:shd w:val="clear" w:color="auto" w:fill="FFFFFF"/>
        </w:rPr>
        <w:t>, M. C., Cordeiro, R. A., &amp; Gonçalves, V. N. (2019). Personal factors as antecedents of perceived financial well-being: evidence from Brazil. </w:t>
      </w:r>
      <w:r w:rsidRPr="00701BD2">
        <w:rPr>
          <w:rFonts w:ascii="Arial" w:hAnsi="Arial" w:cs="Arial"/>
          <w:i/>
          <w:iCs/>
          <w:color w:val="222222"/>
          <w:sz w:val="20"/>
          <w:szCs w:val="20"/>
          <w:highlight w:val="yellow"/>
          <w:shd w:val="clear" w:color="auto" w:fill="FFFFFF"/>
        </w:rPr>
        <w:t>International Journal of Bank Marketing</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37</w:t>
      </w:r>
      <w:r w:rsidRPr="00701BD2">
        <w:rPr>
          <w:rFonts w:ascii="Arial" w:hAnsi="Arial" w:cs="Arial"/>
          <w:color w:val="222222"/>
          <w:sz w:val="20"/>
          <w:szCs w:val="20"/>
          <w:highlight w:val="yellow"/>
          <w:shd w:val="clear" w:color="auto" w:fill="FFFFFF"/>
        </w:rPr>
        <w:t>(4), 1004-1024.</w:t>
      </w:r>
    </w:p>
    <w:p w14:paraId="1D54015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Porter, N. M., &amp; Garman, E. T. (1990). A conceptual framework for measuring financial well-being. </w:t>
      </w:r>
      <w:r w:rsidRPr="00F77421">
        <w:rPr>
          <w:rFonts w:ascii="Arial" w:hAnsi="Arial" w:cs="Arial"/>
          <w:i/>
          <w:iCs/>
          <w:color w:val="222222"/>
          <w:sz w:val="20"/>
          <w:szCs w:val="20"/>
          <w:highlight w:val="yellow"/>
          <w:shd w:val="clear" w:color="auto" w:fill="FFFFFF"/>
        </w:rPr>
        <w:t>1990 Annual Proceedings of the Association for Financial Counseling and Planning Education: Many Perspectives Coming Together</w:t>
      </w:r>
      <w:r w:rsidRPr="00F77421">
        <w:rPr>
          <w:rFonts w:ascii="Arial" w:hAnsi="Arial" w:cs="Arial"/>
          <w:color w:val="222222"/>
          <w:sz w:val="20"/>
          <w:szCs w:val="20"/>
          <w:highlight w:val="yellow"/>
          <w:shd w:val="clear" w:color="auto" w:fill="FFFFFF"/>
        </w:rPr>
        <w:t>, 142-152.</w:t>
      </w:r>
    </w:p>
    <w:p w14:paraId="3AC5478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1A1E9C">
        <w:rPr>
          <w:rFonts w:ascii="Arial" w:hAnsi="Arial" w:cs="Arial"/>
          <w:color w:val="222222"/>
          <w:sz w:val="20"/>
          <w:szCs w:val="20"/>
          <w:highlight w:val="yellow"/>
          <w:shd w:val="clear" w:color="auto" w:fill="FFFFFF"/>
        </w:rPr>
        <w:t>Sabri, M. F., &amp; Zakaria, N. F. (2015). Financial well-being among young employees in Malaysia. In </w:t>
      </w:r>
      <w:r w:rsidRPr="001A1E9C">
        <w:rPr>
          <w:rFonts w:ascii="Arial" w:hAnsi="Arial" w:cs="Arial"/>
          <w:i/>
          <w:iCs/>
          <w:color w:val="222222"/>
          <w:sz w:val="20"/>
          <w:szCs w:val="20"/>
          <w:highlight w:val="yellow"/>
          <w:shd w:val="clear" w:color="auto" w:fill="FFFFFF"/>
        </w:rPr>
        <w:t>Handbook of research on behavioral finance and investment strategies: Decision making in the financial industry</w:t>
      </w:r>
      <w:r w:rsidRPr="001A1E9C">
        <w:rPr>
          <w:rFonts w:ascii="Arial" w:hAnsi="Arial" w:cs="Arial"/>
          <w:color w:val="222222"/>
          <w:sz w:val="20"/>
          <w:szCs w:val="20"/>
          <w:highlight w:val="yellow"/>
          <w:shd w:val="clear" w:color="auto" w:fill="FFFFFF"/>
        </w:rPr>
        <w:t> (pp. 221-235). IGI Global</w:t>
      </w:r>
      <w:r w:rsidRPr="008139CF">
        <w:rPr>
          <w:rFonts w:ascii="Arial" w:hAnsi="Arial" w:cs="Arial"/>
          <w:color w:val="222222"/>
          <w:sz w:val="20"/>
          <w:szCs w:val="20"/>
          <w:shd w:val="clear" w:color="auto" w:fill="FFFFFF"/>
        </w:rPr>
        <w:t>.</w:t>
      </w:r>
    </w:p>
    <w:p w14:paraId="3D56F0F5"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Sages, R. A., &amp; Grable, J. E. (2010). Financial Numeracy, Net Worth, and Financial Management Skills: Client Characteristics That Differ Based on Financial Risk Tolerance. </w:t>
      </w:r>
      <w:r w:rsidRPr="00F77421">
        <w:rPr>
          <w:rFonts w:ascii="Arial" w:hAnsi="Arial" w:cs="Arial"/>
          <w:i/>
          <w:iCs/>
          <w:color w:val="222222"/>
          <w:sz w:val="20"/>
          <w:szCs w:val="20"/>
          <w:highlight w:val="yellow"/>
          <w:shd w:val="clear" w:color="auto" w:fill="FFFFFF"/>
        </w:rPr>
        <w:t>Journal of financial service professionals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64</w:t>
      </w:r>
      <w:r w:rsidRPr="00F77421">
        <w:rPr>
          <w:rFonts w:ascii="Arial" w:hAnsi="Arial" w:cs="Arial"/>
          <w:color w:val="222222"/>
          <w:sz w:val="20"/>
          <w:szCs w:val="20"/>
          <w:highlight w:val="yellow"/>
          <w:shd w:val="clear" w:color="auto" w:fill="FFFFFF"/>
        </w:rPr>
        <w:t>(6).</w:t>
      </w:r>
    </w:p>
    <w:p w14:paraId="4B66CB68"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 xml:space="preserve">Saurabh, K., &amp; Nandan, T. (2019). Role of financial knowledge, financial </w:t>
      </w:r>
      <w:proofErr w:type="spellStart"/>
      <w:r w:rsidRPr="00F77421">
        <w:rPr>
          <w:rFonts w:ascii="Arial" w:hAnsi="Arial" w:cs="Arial"/>
          <w:color w:val="222222"/>
          <w:sz w:val="20"/>
          <w:szCs w:val="20"/>
          <w:highlight w:val="yellow"/>
          <w:shd w:val="clear" w:color="auto" w:fill="FFFFFF"/>
        </w:rPr>
        <w:t>socialisation</w:t>
      </w:r>
      <w:proofErr w:type="spellEnd"/>
      <w:r w:rsidRPr="00F77421">
        <w:rPr>
          <w:rFonts w:ascii="Arial" w:hAnsi="Arial" w:cs="Arial"/>
          <w:color w:val="222222"/>
          <w:sz w:val="20"/>
          <w:szCs w:val="20"/>
          <w:highlight w:val="yellow"/>
          <w:shd w:val="clear" w:color="auto" w:fill="FFFFFF"/>
        </w:rPr>
        <w:t xml:space="preserve"> and financial risk attitude in financial satisfaction of Indian individuals. </w:t>
      </w:r>
      <w:r w:rsidRPr="00F77421">
        <w:rPr>
          <w:rFonts w:ascii="Arial" w:hAnsi="Arial" w:cs="Arial"/>
          <w:i/>
          <w:iCs/>
          <w:color w:val="222222"/>
          <w:sz w:val="20"/>
          <w:szCs w:val="20"/>
          <w:highlight w:val="yellow"/>
          <w:shd w:val="clear" w:color="auto" w:fill="FFFFFF"/>
        </w:rPr>
        <w:t>International Journal of Indian Culture and Business Management</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18</w:t>
      </w:r>
      <w:r w:rsidRPr="00F77421">
        <w:rPr>
          <w:rFonts w:ascii="Arial" w:hAnsi="Arial" w:cs="Arial"/>
          <w:color w:val="222222"/>
          <w:sz w:val="20"/>
          <w:szCs w:val="20"/>
          <w:highlight w:val="yellow"/>
          <w:shd w:val="clear" w:color="auto" w:fill="FFFFFF"/>
        </w:rPr>
        <w:t>(1), 104-122.</w:t>
      </w:r>
    </w:p>
    <w:p w14:paraId="41963DE8"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Sherraden</w:t>
      </w:r>
      <w:proofErr w:type="spellEnd"/>
      <w:r w:rsidRPr="00F77421">
        <w:rPr>
          <w:rFonts w:ascii="Arial" w:hAnsi="Arial" w:cs="Arial"/>
          <w:color w:val="222222"/>
          <w:sz w:val="20"/>
          <w:szCs w:val="20"/>
          <w:highlight w:val="yellow"/>
          <w:shd w:val="clear" w:color="auto" w:fill="FFFFFF"/>
        </w:rPr>
        <w:t xml:space="preserve">, M. S., &amp; </w:t>
      </w:r>
      <w:proofErr w:type="spellStart"/>
      <w:r w:rsidRPr="00F77421">
        <w:rPr>
          <w:rFonts w:ascii="Arial" w:hAnsi="Arial" w:cs="Arial"/>
          <w:color w:val="222222"/>
          <w:sz w:val="20"/>
          <w:szCs w:val="20"/>
          <w:highlight w:val="yellow"/>
          <w:shd w:val="clear" w:color="auto" w:fill="FFFFFF"/>
        </w:rPr>
        <w:t>Ansong</w:t>
      </w:r>
      <w:proofErr w:type="spellEnd"/>
      <w:r w:rsidRPr="00F77421">
        <w:rPr>
          <w:rFonts w:ascii="Arial" w:hAnsi="Arial" w:cs="Arial"/>
          <w:color w:val="222222"/>
          <w:sz w:val="20"/>
          <w:szCs w:val="20"/>
          <w:highlight w:val="yellow"/>
          <w:shd w:val="clear" w:color="auto" w:fill="FFFFFF"/>
        </w:rPr>
        <w:t>, D. (2016). Financial literacy to financial capability: Building financial stability and security. </w:t>
      </w:r>
      <w:r w:rsidRPr="00F77421">
        <w:rPr>
          <w:rFonts w:ascii="Arial" w:hAnsi="Arial" w:cs="Arial"/>
          <w:i/>
          <w:iCs/>
          <w:color w:val="222222"/>
          <w:sz w:val="20"/>
          <w:szCs w:val="20"/>
          <w:highlight w:val="yellow"/>
          <w:shd w:val="clear" w:color="auto" w:fill="FFFFFF"/>
        </w:rPr>
        <w:t>International handbook of financial literacy</w:t>
      </w:r>
      <w:r w:rsidRPr="00F77421">
        <w:rPr>
          <w:rFonts w:ascii="Arial" w:hAnsi="Arial" w:cs="Arial"/>
          <w:color w:val="222222"/>
          <w:sz w:val="20"/>
          <w:szCs w:val="20"/>
          <w:highlight w:val="yellow"/>
          <w:shd w:val="clear" w:color="auto" w:fill="FFFFFF"/>
        </w:rPr>
        <w:t>, 83-96.</w:t>
      </w:r>
    </w:p>
    <w:p w14:paraId="3BD1C10D"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 xml:space="preserve">Shim, S., Barber, B. L., Card, N. A., Xiao, J. J., &amp; </w:t>
      </w:r>
      <w:proofErr w:type="spellStart"/>
      <w:r w:rsidRPr="00F77421">
        <w:rPr>
          <w:rFonts w:ascii="Arial" w:hAnsi="Arial" w:cs="Arial"/>
          <w:color w:val="222222"/>
          <w:sz w:val="20"/>
          <w:szCs w:val="20"/>
          <w:highlight w:val="yellow"/>
          <w:shd w:val="clear" w:color="auto" w:fill="FFFFFF"/>
        </w:rPr>
        <w:t>Serido</w:t>
      </w:r>
      <w:proofErr w:type="spellEnd"/>
      <w:r w:rsidRPr="00F77421">
        <w:rPr>
          <w:rFonts w:ascii="Arial" w:hAnsi="Arial" w:cs="Arial"/>
          <w:color w:val="222222"/>
          <w:sz w:val="20"/>
          <w:szCs w:val="20"/>
          <w:highlight w:val="yellow"/>
          <w:shd w:val="clear" w:color="auto" w:fill="FFFFFF"/>
        </w:rPr>
        <w:t>, J. (2010). Financial socialization of first-year college students: The roles of parents, work, and education. </w:t>
      </w:r>
      <w:r w:rsidRPr="00F77421">
        <w:rPr>
          <w:rFonts w:ascii="Arial" w:hAnsi="Arial" w:cs="Arial"/>
          <w:i/>
          <w:iCs/>
          <w:color w:val="222222"/>
          <w:sz w:val="20"/>
          <w:szCs w:val="20"/>
          <w:highlight w:val="yellow"/>
          <w:shd w:val="clear" w:color="auto" w:fill="FFFFFF"/>
        </w:rPr>
        <w:t>Journal of youth and adolescence</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39</w:t>
      </w:r>
      <w:r w:rsidRPr="00F77421">
        <w:rPr>
          <w:rFonts w:ascii="Arial" w:hAnsi="Arial" w:cs="Arial"/>
          <w:color w:val="222222"/>
          <w:sz w:val="20"/>
          <w:szCs w:val="20"/>
          <w:highlight w:val="yellow"/>
          <w:shd w:val="clear" w:color="auto" w:fill="FFFFFF"/>
        </w:rPr>
        <w:t>, 1457-1470.</w:t>
      </w:r>
    </w:p>
    <w:p w14:paraId="78E7EC68"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bookmarkStart w:id="25" w:name="_Hlk140956319"/>
      <w:r w:rsidRPr="00F77421">
        <w:rPr>
          <w:rFonts w:ascii="Arial" w:hAnsi="Arial" w:cs="Arial"/>
          <w:color w:val="222222"/>
          <w:sz w:val="20"/>
          <w:szCs w:val="20"/>
          <w:highlight w:val="yellow"/>
          <w:shd w:val="clear" w:color="auto" w:fill="FFFFFF"/>
        </w:rPr>
        <w:t>Shim, S., Xiao, J. J., Barber, B. L., &amp; Lyons</w:t>
      </w:r>
      <w:bookmarkEnd w:id="25"/>
      <w:r w:rsidRPr="00F77421">
        <w:rPr>
          <w:rFonts w:ascii="Arial" w:hAnsi="Arial" w:cs="Arial"/>
          <w:color w:val="222222"/>
          <w:sz w:val="20"/>
          <w:szCs w:val="20"/>
          <w:highlight w:val="yellow"/>
          <w:shd w:val="clear" w:color="auto" w:fill="FFFFFF"/>
        </w:rPr>
        <w:t>, A. C. (2009). Pathways to life success: A conceptual model of financial well-being for young adults. </w:t>
      </w:r>
      <w:r w:rsidRPr="00F77421">
        <w:rPr>
          <w:rFonts w:ascii="Arial" w:hAnsi="Arial" w:cs="Arial"/>
          <w:i/>
          <w:iCs/>
          <w:color w:val="222222"/>
          <w:sz w:val="20"/>
          <w:szCs w:val="20"/>
          <w:highlight w:val="yellow"/>
          <w:shd w:val="clear" w:color="auto" w:fill="FFFFFF"/>
        </w:rPr>
        <w:t xml:space="preserve">Journal of </w:t>
      </w:r>
      <w:r>
        <w:rPr>
          <w:rFonts w:ascii="Arial" w:hAnsi="Arial" w:cs="Arial"/>
          <w:i/>
          <w:iCs/>
          <w:color w:val="222222"/>
          <w:sz w:val="20"/>
          <w:szCs w:val="20"/>
          <w:highlight w:val="yellow"/>
          <w:shd w:val="clear" w:color="auto" w:fill="FFFFFF"/>
        </w:rPr>
        <w:t>A</w:t>
      </w:r>
      <w:r w:rsidRPr="00F77421">
        <w:rPr>
          <w:rFonts w:ascii="Arial" w:hAnsi="Arial" w:cs="Arial"/>
          <w:i/>
          <w:iCs/>
          <w:color w:val="222222"/>
          <w:sz w:val="20"/>
          <w:szCs w:val="20"/>
          <w:highlight w:val="yellow"/>
          <w:shd w:val="clear" w:color="auto" w:fill="FFFFFF"/>
        </w:rPr>
        <w:t xml:space="preserve">pplied </w:t>
      </w:r>
      <w:r>
        <w:rPr>
          <w:rFonts w:ascii="Arial" w:hAnsi="Arial" w:cs="Arial"/>
          <w:i/>
          <w:iCs/>
          <w:color w:val="222222"/>
          <w:sz w:val="20"/>
          <w:szCs w:val="20"/>
          <w:highlight w:val="yellow"/>
          <w:shd w:val="clear" w:color="auto" w:fill="FFFFFF"/>
        </w:rPr>
        <w:t>D</w:t>
      </w:r>
      <w:r w:rsidRPr="00F77421">
        <w:rPr>
          <w:rFonts w:ascii="Arial" w:hAnsi="Arial" w:cs="Arial"/>
          <w:i/>
          <w:iCs/>
          <w:color w:val="222222"/>
          <w:sz w:val="20"/>
          <w:szCs w:val="20"/>
          <w:highlight w:val="yellow"/>
          <w:shd w:val="clear" w:color="auto" w:fill="FFFFFF"/>
        </w:rPr>
        <w:t xml:space="preserve">evelopmental </w:t>
      </w:r>
      <w:r>
        <w:rPr>
          <w:rFonts w:ascii="Arial" w:hAnsi="Arial" w:cs="Arial"/>
          <w:i/>
          <w:iCs/>
          <w:color w:val="222222"/>
          <w:sz w:val="20"/>
          <w:szCs w:val="20"/>
          <w:highlight w:val="yellow"/>
          <w:shd w:val="clear" w:color="auto" w:fill="FFFFFF"/>
        </w:rPr>
        <w:t>P</w:t>
      </w:r>
      <w:r w:rsidRPr="00F77421">
        <w:rPr>
          <w:rFonts w:ascii="Arial" w:hAnsi="Arial" w:cs="Arial"/>
          <w:i/>
          <w:iCs/>
          <w:color w:val="222222"/>
          <w:sz w:val="20"/>
          <w:szCs w:val="20"/>
          <w:highlight w:val="yellow"/>
          <w:shd w:val="clear" w:color="auto" w:fill="FFFFFF"/>
        </w:rPr>
        <w:t>sychology</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30</w:t>
      </w:r>
      <w:r w:rsidRPr="00F77421">
        <w:rPr>
          <w:rFonts w:ascii="Arial" w:hAnsi="Arial" w:cs="Arial"/>
          <w:color w:val="222222"/>
          <w:sz w:val="20"/>
          <w:szCs w:val="20"/>
          <w:highlight w:val="yellow"/>
          <w:shd w:val="clear" w:color="auto" w:fill="FFFFFF"/>
        </w:rPr>
        <w:t>(6), 708-723.</w:t>
      </w:r>
    </w:p>
    <w:p w14:paraId="74654611"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701BD2">
        <w:rPr>
          <w:rFonts w:ascii="Arial" w:hAnsi="Arial" w:cs="Arial"/>
          <w:color w:val="222222"/>
          <w:sz w:val="20"/>
          <w:szCs w:val="20"/>
          <w:highlight w:val="yellow"/>
          <w:shd w:val="clear" w:color="auto" w:fill="FFFFFF"/>
        </w:rPr>
        <w:t>Singh, D., &amp; Malik, G. (2022). A systematic and bibliometric review of the financial well-being: advancements in the current status and future research agenda. </w:t>
      </w:r>
      <w:r w:rsidRPr="00701BD2">
        <w:rPr>
          <w:rFonts w:ascii="Arial" w:hAnsi="Arial" w:cs="Arial"/>
          <w:i/>
          <w:iCs/>
          <w:color w:val="222222"/>
          <w:sz w:val="20"/>
          <w:szCs w:val="20"/>
          <w:highlight w:val="yellow"/>
          <w:shd w:val="clear" w:color="auto" w:fill="FFFFFF"/>
        </w:rPr>
        <w:t>International Journal of Bank Marketing</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40</w:t>
      </w:r>
      <w:r w:rsidRPr="00701BD2">
        <w:rPr>
          <w:rFonts w:ascii="Arial" w:hAnsi="Arial" w:cs="Arial"/>
          <w:color w:val="222222"/>
          <w:sz w:val="20"/>
          <w:szCs w:val="20"/>
          <w:highlight w:val="yellow"/>
          <w:shd w:val="clear" w:color="auto" w:fill="FFFFFF"/>
        </w:rPr>
        <w:t>(7), 1575-1609.</w:t>
      </w:r>
    </w:p>
    <w:p w14:paraId="6C3DF6C7" w14:textId="77777777" w:rsidR="00984C4D" w:rsidRPr="008139CF" w:rsidRDefault="00984C4D" w:rsidP="00984C4D">
      <w:pPr>
        <w:spacing w:line="360" w:lineRule="auto"/>
        <w:ind w:left="654" w:hangingChars="327" w:hanging="654"/>
        <w:jc w:val="both"/>
        <w:rPr>
          <w:rFonts w:ascii="Arial" w:hAnsi="Arial" w:cs="Arial"/>
          <w:sz w:val="20"/>
          <w:szCs w:val="20"/>
          <w:shd w:val="clear" w:color="auto" w:fill="FFFFFF"/>
        </w:rPr>
      </w:pPr>
      <w:r w:rsidRPr="001A1E9C">
        <w:rPr>
          <w:rFonts w:ascii="Arial" w:hAnsi="Arial" w:cs="Arial"/>
          <w:sz w:val="20"/>
          <w:szCs w:val="20"/>
          <w:highlight w:val="yellow"/>
          <w:shd w:val="clear" w:color="auto" w:fill="FFFFFF"/>
        </w:rPr>
        <w:t>Sobel, M. E. (1982). Asymptotic confidence intervals for indirect effects in structural equation models. </w:t>
      </w:r>
      <w:r w:rsidRPr="001A1E9C">
        <w:rPr>
          <w:rFonts w:ascii="Arial" w:hAnsi="Arial" w:cs="Arial"/>
          <w:i/>
          <w:iCs/>
          <w:sz w:val="20"/>
          <w:szCs w:val="20"/>
          <w:highlight w:val="yellow"/>
          <w:shd w:val="clear" w:color="auto" w:fill="FFFFFF"/>
        </w:rPr>
        <w:t>Sociological Methodology</w:t>
      </w:r>
      <w:r w:rsidRPr="001A1E9C">
        <w:rPr>
          <w:rFonts w:ascii="Arial" w:hAnsi="Arial" w:cs="Arial"/>
          <w:sz w:val="20"/>
          <w:szCs w:val="20"/>
          <w:highlight w:val="yellow"/>
          <w:shd w:val="clear" w:color="auto" w:fill="FFFFFF"/>
        </w:rPr>
        <w:t>, </w:t>
      </w:r>
      <w:r w:rsidRPr="001A1E9C">
        <w:rPr>
          <w:rFonts w:ascii="Arial" w:hAnsi="Arial" w:cs="Arial"/>
          <w:i/>
          <w:iCs/>
          <w:sz w:val="20"/>
          <w:szCs w:val="20"/>
          <w:highlight w:val="yellow"/>
          <w:shd w:val="clear" w:color="auto" w:fill="FFFFFF"/>
        </w:rPr>
        <w:t>13</w:t>
      </w:r>
      <w:r w:rsidRPr="001A1E9C">
        <w:rPr>
          <w:rFonts w:ascii="Arial" w:hAnsi="Arial" w:cs="Arial"/>
          <w:sz w:val="20"/>
          <w:szCs w:val="20"/>
          <w:highlight w:val="yellow"/>
          <w:shd w:val="clear" w:color="auto" w:fill="FFFFFF"/>
        </w:rPr>
        <w:t>, 290-312.</w:t>
      </w:r>
    </w:p>
    <w:p w14:paraId="20313332"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701BD2">
        <w:rPr>
          <w:rFonts w:ascii="Arial" w:hAnsi="Arial" w:cs="Arial"/>
          <w:color w:val="222222"/>
          <w:sz w:val="20"/>
          <w:szCs w:val="20"/>
          <w:highlight w:val="yellow"/>
          <w:shd w:val="clear" w:color="auto" w:fill="FFFFFF"/>
        </w:rPr>
        <w:t>Sorgente</w:t>
      </w:r>
      <w:proofErr w:type="spellEnd"/>
      <w:r w:rsidRPr="00701BD2">
        <w:rPr>
          <w:rFonts w:ascii="Arial" w:hAnsi="Arial" w:cs="Arial"/>
          <w:color w:val="222222"/>
          <w:sz w:val="20"/>
          <w:szCs w:val="20"/>
          <w:highlight w:val="yellow"/>
          <w:shd w:val="clear" w:color="auto" w:fill="FFFFFF"/>
        </w:rPr>
        <w:t xml:space="preserve">, A., &amp; </w:t>
      </w:r>
      <w:proofErr w:type="spellStart"/>
      <w:r w:rsidRPr="00701BD2">
        <w:rPr>
          <w:rFonts w:ascii="Arial" w:hAnsi="Arial" w:cs="Arial"/>
          <w:color w:val="222222"/>
          <w:sz w:val="20"/>
          <w:szCs w:val="20"/>
          <w:highlight w:val="yellow"/>
          <w:shd w:val="clear" w:color="auto" w:fill="FFFFFF"/>
        </w:rPr>
        <w:t>Lanz</w:t>
      </w:r>
      <w:proofErr w:type="spellEnd"/>
      <w:r w:rsidRPr="00701BD2">
        <w:rPr>
          <w:rFonts w:ascii="Arial" w:hAnsi="Arial" w:cs="Arial"/>
          <w:color w:val="222222"/>
          <w:sz w:val="20"/>
          <w:szCs w:val="20"/>
          <w:highlight w:val="yellow"/>
          <w:shd w:val="clear" w:color="auto" w:fill="FFFFFF"/>
        </w:rPr>
        <w:t>, M. (2017). Emerging adults’ financial well-being: A scoping review. </w:t>
      </w:r>
      <w:r w:rsidRPr="00701BD2">
        <w:rPr>
          <w:rFonts w:ascii="Arial" w:hAnsi="Arial" w:cs="Arial"/>
          <w:i/>
          <w:iCs/>
          <w:color w:val="222222"/>
          <w:sz w:val="20"/>
          <w:szCs w:val="20"/>
          <w:highlight w:val="yellow"/>
          <w:shd w:val="clear" w:color="auto" w:fill="FFFFFF"/>
        </w:rPr>
        <w:t>Adolescent Research Review</w:t>
      </w:r>
      <w:r w:rsidRPr="00701BD2">
        <w:rPr>
          <w:rFonts w:ascii="Arial" w:hAnsi="Arial" w:cs="Arial"/>
          <w:color w:val="222222"/>
          <w:sz w:val="20"/>
          <w:szCs w:val="20"/>
          <w:highlight w:val="yellow"/>
          <w:shd w:val="clear" w:color="auto" w:fill="FFFFFF"/>
        </w:rPr>
        <w:t>, </w:t>
      </w:r>
      <w:r w:rsidRPr="00701BD2">
        <w:rPr>
          <w:rFonts w:ascii="Arial" w:hAnsi="Arial" w:cs="Arial"/>
          <w:i/>
          <w:iCs/>
          <w:color w:val="222222"/>
          <w:sz w:val="20"/>
          <w:szCs w:val="20"/>
          <w:highlight w:val="yellow"/>
          <w:shd w:val="clear" w:color="auto" w:fill="FFFFFF"/>
        </w:rPr>
        <w:t>2</w:t>
      </w:r>
      <w:r w:rsidRPr="00701BD2">
        <w:rPr>
          <w:rFonts w:ascii="Arial" w:hAnsi="Arial" w:cs="Arial"/>
          <w:color w:val="222222"/>
          <w:sz w:val="20"/>
          <w:szCs w:val="20"/>
          <w:highlight w:val="yellow"/>
          <w:shd w:val="clear" w:color="auto" w:fill="FFFFFF"/>
        </w:rPr>
        <w:t>, 255-292.</w:t>
      </w:r>
    </w:p>
    <w:p w14:paraId="1A85C53B"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Tang, N., &amp; Baker, A. (2016). Self-esteem, financial knowledge and financial behavior. </w:t>
      </w:r>
      <w:r w:rsidRPr="00F77421">
        <w:rPr>
          <w:rFonts w:ascii="Arial" w:hAnsi="Arial" w:cs="Arial"/>
          <w:i/>
          <w:iCs/>
          <w:color w:val="222222"/>
          <w:sz w:val="20"/>
          <w:szCs w:val="20"/>
          <w:highlight w:val="yellow"/>
          <w:shd w:val="clear" w:color="auto" w:fill="FFFFFF"/>
        </w:rPr>
        <w:t>Journal of Economic Psychology</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54</w:t>
      </w:r>
      <w:r w:rsidRPr="00F77421">
        <w:rPr>
          <w:rFonts w:ascii="Arial" w:hAnsi="Arial" w:cs="Arial"/>
          <w:color w:val="222222"/>
          <w:sz w:val="20"/>
          <w:szCs w:val="20"/>
          <w:highlight w:val="yellow"/>
          <w:shd w:val="clear" w:color="auto" w:fill="FFFFFF"/>
        </w:rPr>
        <w:t>, 164-176.</w:t>
      </w:r>
    </w:p>
    <w:p w14:paraId="18EC2787"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bookmarkStart w:id="26" w:name="_Hlk140959261"/>
      <w:r w:rsidRPr="00F77421">
        <w:rPr>
          <w:rFonts w:ascii="Arial" w:hAnsi="Arial" w:cs="Arial"/>
          <w:color w:val="222222"/>
          <w:sz w:val="20"/>
          <w:szCs w:val="20"/>
          <w:highlight w:val="yellow"/>
          <w:shd w:val="clear" w:color="auto" w:fill="FFFFFF"/>
        </w:rPr>
        <w:lastRenderedPageBreak/>
        <w:t xml:space="preserve">Worthy, S. L., </w:t>
      </w:r>
      <w:proofErr w:type="spellStart"/>
      <w:r w:rsidRPr="00F77421">
        <w:rPr>
          <w:rFonts w:ascii="Arial" w:hAnsi="Arial" w:cs="Arial"/>
          <w:color w:val="222222"/>
          <w:sz w:val="20"/>
          <w:szCs w:val="20"/>
          <w:highlight w:val="yellow"/>
          <w:shd w:val="clear" w:color="auto" w:fill="FFFFFF"/>
        </w:rPr>
        <w:t>Jonkman</w:t>
      </w:r>
      <w:proofErr w:type="spellEnd"/>
      <w:r w:rsidRPr="00F77421">
        <w:rPr>
          <w:rFonts w:ascii="Arial" w:hAnsi="Arial" w:cs="Arial"/>
          <w:color w:val="222222"/>
          <w:sz w:val="20"/>
          <w:szCs w:val="20"/>
          <w:highlight w:val="yellow"/>
          <w:shd w:val="clear" w:color="auto" w:fill="FFFFFF"/>
        </w:rPr>
        <w:t>, J., &amp; Blinn-Pike,</w:t>
      </w:r>
      <w:bookmarkEnd w:id="26"/>
      <w:r w:rsidRPr="00F77421">
        <w:rPr>
          <w:rFonts w:ascii="Arial" w:hAnsi="Arial" w:cs="Arial"/>
          <w:color w:val="222222"/>
          <w:sz w:val="20"/>
          <w:szCs w:val="20"/>
          <w:highlight w:val="yellow"/>
          <w:shd w:val="clear" w:color="auto" w:fill="FFFFFF"/>
        </w:rPr>
        <w:t xml:space="preserve"> L. (2010). Sensation-seeking, risk-taking, and problematic financial behaviors of college students. </w:t>
      </w:r>
      <w:r w:rsidRPr="00F77421">
        <w:rPr>
          <w:rFonts w:ascii="Arial" w:hAnsi="Arial" w:cs="Arial"/>
          <w:i/>
          <w:iCs/>
          <w:color w:val="222222"/>
          <w:sz w:val="20"/>
          <w:szCs w:val="20"/>
          <w:highlight w:val="yellow"/>
          <w:shd w:val="clear" w:color="auto" w:fill="FFFFFF"/>
        </w:rPr>
        <w:t>Journal of Family and Economic Issues</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31</w:t>
      </w:r>
      <w:r w:rsidRPr="00F77421">
        <w:rPr>
          <w:rFonts w:ascii="Arial" w:hAnsi="Arial" w:cs="Arial"/>
          <w:color w:val="222222"/>
          <w:sz w:val="20"/>
          <w:szCs w:val="20"/>
          <w:highlight w:val="yellow"/>
          <w:shd w:val="clear" w:color="auto" w:fill="FFFFFF"/>
        </w:rPr>
        <w:t>, 161-170.</w:t>
      </w:r>
    </w:p>
    <w:p w14:paraId="36B51746"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r w:rsidRPr="00F77421">
        <w:rPr>
          <w:rFonts w:ascii="Arial" w:hAnsi="Arial" w:cs="Arial"/>
          <w:color w:val="222222"/>
          <w:sz w:val="20"/>
          <w:szCs w:val="20"/>
          <w:highlight w:val="yellow"/>
          <w:shd w:val="clear" w:color="auto" w:fill="FFFFFF"/>
        </w:rPr>
        <w:t>Xiao, J. J. (2016). Consumer financial capability and wellbeing. </w:t>
      </w:r>
      <w:r w:rsidRPr="00F77421">
        <w:rPr>
          <w:rFonts w:ascii="Arial" w:hAnsi="Arial" w:cs="Arial"/>
          <w:i/>
          <w:iCs/>
          <w:color w:val="222222"/>
          <w:sz w:val="20"/>
          <w:szCs w:val="20"/>
          <w:highlight w:val="yellow"/>
          <w:shd w:val="clear" w:color="auto" w:fill="FFFFFF"/>
        </w:rPr>
        <w:t>Handbook of consumer finance research</w:t>
      </w:r>
      <w:r w:rsidRPr="00F77421">
        <w:rPr>
          <w:rFonts w:ascii="Arial" w:hAnsi="Arial" w:cs="Arial"/>
          <w:color w:val="222222"/>
          <w:sz w:val="20"/>
          <w:szCs w:val="20"/>
          <w:highlight w:val="yellow"/>
          <w:shd w:val="clear" w:color="auto" w:fill="FFFFFF"/>
        </w:rPr>
        <w:t>, 3-17.</w:t>
      </w:r>
    </w:p>
    <w:p w14:paraId="5C4A98DE" w14:textId="77777777" w:rsidR="00984C4D" w:rsidRPr="008139CF" w:rsidRDefault="00984C4D" w:rsidP="00984C4D">
      <w:pPr>
        <w:spacing w:line="360" w:lineRule="auto"/>
        <w:ind w:left="720" w:hanging="720"/>
        <w:jc w:val="both"/>
        <w:rPr>
          <w:rFonts w:ascii="Arial" w:hAnsi="Arial" w:cs="Arial"/>
          <w:color w:val="222222"/>
          <w:sz w:val="20"/>
          <w:szCs w:val="20"/>
          <w:shd w:val="clear" w:color="auto" w:fill="FFFFFF"/>
        </w:rPr>
      </w:pPr>
      <w:proofErr w:type="spellStart"/>
      <w:r w:rsidRPr="00F77421">
        <w:rPr>
          <w:rFonts w:ascii="Arial" w:hAnsi="Arial" w:cs="Arial"/>
          <w:color w:val="222222"/>
          <w:sz w:val="20"/>
          <w:szCs w:val="20"/>
          <w:highlight w:val="yellow"/>
          <w:shd w:val="clear" w:color="auto" w:fill="FFFFFF"/>
        </w:rPr>
        <w:t>Zaleskiewicz</w:t>
      </w:r>
      <w:proofErr w:type="spellEnd"/>
      <w:r w:rsidRPr="00F77421">
        <w:rPr>
          <w:rFonts w:ascii="Arial" w:hAnsi="Arial" w:cs="Arial"/>
          <w:color w:val="222222"/>
          <w:sz w:val="20"/>
          <w:szCs w:val="20"/>
          <w:highlight w:val="yellow"/>
          <w:shd w:val="clear" w:color="auto" w:fill="FFFFFF"/>
        </w:rPr>
        <w:t>, T. (2001). Beyond risk seeking and risk aversion: Personality and the dual nature of economic risk taking. </w:t>
      </w:r>
      <w:r w:rsidRPr="00F77421">
        <w:rPr>
          <w:rFonts w:ascii="Arial" w:hAnsi="Arial" w:cs="Arial"/>
          <w:i/>
          <w:iCs/>
          <w:color w:val="222222"/>
          <w:sz w:val="20"/>
          <w:szCs w:val="20"/>
          <w:highlight w:val="yellow"/>
          <w:shd w:val="clear" w:color="auto" w:fill="FFFFFF"/>
        </w:rPr>
        <w:t>European journal of Personality</w:t>
      </w:r>
      <w:r w:rsidRPr="00F77421">
        <w:rPr>
          <w:rFonts w:ascii="Arial" w:hAnsi="Arial" w:cs="Arial"/>
          <w:color w:val="222222"/>
          <w:sz w:val="20"/>
          <w:szCs w:val="20"/>
          <w:highlight w:val="yellow"/>
          <w:shd w:val="clear" w:color="auto" w:fill="FFFFFF"/>
        </w:rPr>
        <w:t>, </w:t>
      </w:r>
      <w:r w:rsidRPr="00F77421">
        <w:rPr>
          <w:rFonts w:ascii="Arial" w:hAnsi="Arial" w:cs="Arial"/>
          <w:i/>
          <w:iCs/>
          <w:color w:val="222222"/>
          <w:sz w:val="20"/>
          <w:szCs w:val="20"/>
          <w:highlight w:val="yellow"/>
          <w:shd w:val="clear" w:color="auto" w:fill="FFFFFF"/>
        </w:rPr>
        <w:t>15</w:t>
      </w:r>
      <w:r w:rsidRPr="00F77421">
        <w:rPr>
          <w:rFonts w:ascii="Arial" w:hAnsi="Arial" w:cs="Arial"/>
          <w:color w:val="222222"/>
          <w:sz w:val="20"/>
          <w:szCs w:val="20"/>
          <w:highlight w:val="yellow"/>
          <w:shd w:val="clear" w:color="auto" w:fill="FFFFFF"/>
        </w:rPr>
        <w:t>(S1), S105-S122.</w:t>
      </w:r>
    </w:p>
    <w:p w14:paraId="1FDD1E1A" w14:textId="6004D2EC" w:rsidR="006F2CA1" w:rsidRPr="008139CF" w:rsidRDefault="006F2CA1" w:rsidP="008C4494">
      <w:pPr>
        <w:spacing w:line="360" w:lineRule="auto"/>
        <w:ind w:left="720" w:hanging="720"/>
        <w:jc w:val="both"/>
        <w:rPr>
          <w:rFonts w:ascii="Arial" w:hAnsi="Arial" w:cs="Arial"/>
          <w:color w:val="222222"/>
          <w:sz w:val="20"/>
          <w:szCs w:val="20"/>
          <w:shd w:val="clear" w:color="auto" w:fill="FFFFFF"/>
        </w:rPr>
      </w:pPr>
    </w:p>
    <w:p w14:paraId="595EDC38"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757DC9D9"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50CAE999"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5D971EE7"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764068C0"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2624475C"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1A198652"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77D98B12"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2EF834DF"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sectPr w:rsidR="00265FC7" w:rsidRPr="002365E1" w:rsidSect="009C15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343A4" w14:textId="77777777" w:rsidR="00693895" w:rsidRDefault="00693895" w:rsidP="009C15CC">
      <w:pPr>
        <w:spacing w:after="0" w:line="240" w:lineRule="auto"/>
      </w:pPr>
      <w:r>
        <w:separator/>
      </w:r>
    </w:p>
  </w:endnote>
  <w:endnote w:type="continuationSeparator" w:id="0">
    <w:p w14:paraId="5B0288CB" w14:textId="77777777" w:rsidR="00693895" w:rsidRDefault="00693895" w:rsidP="009C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C2E6" w14:textId="77777777" w:rsidR="0039516C" w:rsidRDefault="00395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960706"/>
      <w:docPartObj>
        <w:docPartGallery w:val="Page Numbers (Bottom of Page)"/>
        <w:docPartUnique/>
      </w:docPartObj>
    </w:sdtPr>
    <w:sdtEndPr>
      <w:rPr>
        <w:noProof/>
      </w:rPr>
    </w:sdtEndPr>
    <w:sdtContent>
      <w:p w14:paraId="15FE09DF" w14:textId="77777777" w:rsidR="0010558E" w:rsidRDefault="0010558E">
        <w:pPr>
          <w:pStyle w:val="Footer"/>
          <w:jc w:val="center"/>
        </w:pPr>
      </w:p>
      <w:p w14:paraId="3FAA9D6E" w14:textId="7E25B348" w:rsidR="0010558E" w:rsidRDefault="0010558E">
        <w:pPr>
          <w:pStyle w:val="Footer"/>
          <w:jc w:val="center"/>
        </w:pPr>
        <w:r>
          <w:fldChar w:fldCharType="begin"/>
        </w:r>
        <w:r>
          <w:instrText xml:space="preserve"> PAGE   \* MERGEFORMAT </w:instrText>
        </w:r>
        <w:r>
          <w:fldChar w:fldCharType="separate"/>
        </w:r>
        <w:r w:rsidR="008B5F5B">
          <w:rPr>
            <w:noProof/>
          </w:rPr>
          <w:t>21</w:t>
        </w:r>
        <w:r>
          <w:rPr>
            <w:noProof/>
          </w:rPr>
          <w:fldChar w:fldCharType="end"/>
        </w:r>
      </w:p>
    </w:sdtContent>
  </w:sdt>
  <w:p w14:paraId="020036A0" w14:textId="77777777" w:rsidR="0010558E" w:rsidRDefault="00105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BE32" w14:textId="77777777" w:rsidR="0039516C" w:rsidRDefault="0039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2368" w14:textId="77777777" w:rsidR="00693895" w:rsidRDefault="00693895" w:rsidP="009C15CC">
      <w:pPr>
        <w:spacing w:after="0" w:line="240" w:lineRule="auto"/>
      </w:pPr>
      <w:r>
        <w:separator/>
      </w:r>
    </w:p>
  </w:footnote>
  <w:footnote w:type="continuationSeparator" w:id="0">
    <w:p w14:paraId="0B2E8C79" w14:textId="77777777" w:rsidR="00693895" w:rsidRDefault="00693895" w:rsidP="009C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29F4" w14:textId="288A908D" w:rsidR="0039516C" w:rsidRDefault="00135B5A">
    <w:pPr>
      <w:pStyle w:val="Header"/>
    </w:pPr>
    <w:r>
      <w:rPr>
        <w:noProof/>
      </w:rPr>
      <w:pict w14:anchorId="1E832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1995" w14:textId="38430839" w:rsidR="0039516C" w:rsidRDefault="00135B5A">
    <w:pPr>
      <w:pStyle w:val="Header"/>
    </w:pPr>
    <w:r>
      <w:rPr>
        <w:noProof/>
      </w:rPr>
      <w:pict w14:anchorId="5A2E2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F3AD" w14:textId="265C675B" w:rsidR="0039516C" w:rsidRDefault="00135B5A">
    <w:pPr>
      <w:pStyle w:val="Header"/>
    </w:pPr>
    <w:r>
      <w:rPr>
        <w:noProof/>
      </w:rPr>
      <w:pict w14:anchorId="39F92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30D"/>
    <w:multiLevelType w:val="hybridMultilevel"/>
    <w:tmpl w:val="7CCC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B264D"/>
    <w:multiLevelType w:val="hybridMultilevel"/>
    <w:tmpl w:val="045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C255E"/>
    <w:multiLevelType w:val="hybridMultilevel"/>
    <w:tmpl w:val="C25C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610E"/>
    <w:multiLevelType w:val="hybridMultilevel"/>
    <w:tmpl w:val="3CD07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B77F7C"/>
    <w:multiLevelType w:val="hybridMultilevel"/>
    <w:tmpl w:val="9A66A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F31C7"/>
    <w:multiLevelType w:val="hybridMultilevel"/>
    <w:tmpl w:val="4080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3432D"/>
    <w:multiLevelType w:val="hybridMultilevel"/>
    <w:tmpl w:val="ACD6F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F525F9"/>
    <w:multiLevelType w:val="hybridMultilevel"/>
    <w:tmpl w:val="DB3C35CE"/>
    <w:lvl w:ilvl="0" w:tplc="ABE2A168">
      <w:start w:val="1"/>
      <w:numFmt w:val="decimal"/>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537DA"/>
    <w:multiLevelType w:val="hybridMultilevel"/>
    <w:tmpl w:val="F76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90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2"/>
  </w:num>
  <w:num w:numId="5">
    <w:abstractNumId w:val="9"/>
  </w:num>
  <w:num w:numId="6">
    <w:abstractNumId w:val="3"/>
  </w:num>
  <w:num w:numId="7">
    <w:abstractNumId w:val="6"/>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0tTQysjQwMDAzMjVR0lEKTi0uzszPAykwNK8FAMQXEtctAAAA"/>
  </w:docVars>
  <w:rsids>
    <w:rsidRoot w:val="00B36C79"/>
    <w:rsid w:val="000035F6"/>
    <w:rsid w:val="00013A66"/>
    <w:rsid w:val="00014826"/>
    <w:rsid w:val="000170CD"/>
    <w:rsid w:val="00031D18"/>
    <w:rsid w:val="00037734"/>
    <w:rsid w:val="000515B7"/>
    <w:rsid w:val="00052F7A"/>
    <w:rsid w:val="00063467"/>
    <w:rsid w:val="00065094"/>
    <w:rsid w:val="00065FE3"/>
    <w:rsid w:val="0008433D"/>
    <w:rsid w:val="000848A9"/>
    <w:rsid w:val="00086595"/>
    <w:rsid w:val="000916CE"/>
    <w:rsid w:val="00092C82"/>
    <w:rsid w:val="0009550A"/>
    <w:rsid w:val="00096E8E"/>
    <w:rsid w:val="000A1552"/>
    <w:rsid w:val="000A2D2D"/>
    <w:rsid w:val="000A3732"/>
    <w:rsid w:val="000B31A4"/>
    <w:rsid w:val="000B5B39"/>
    <w:rsid w:val="000B6647"/>
    <w:rsid w:val="000C16C9"/>
    <w:rsid w:val="000C6011"/>
    <w:rsid w:val="000E386D"/>
    <w:rsid w:val="000E7916"/>
    <w:rsid w:val="000E7FE0"/>
    <w:rsid w:val="000F4AA8"/>
    <w:rsid w:val="000F7ED1"/>
    <w:rsid w:val="0010558E"/>
    <w:rsid w:val="00106B33"/>
    <w:rsid w:val="00110825"/>
    <w:rsid w:val="00113164"/>
    <w:rsid w:val="001136C3"/>
    <w:rsid w:val="001165D7"/>
    <w:rsid w:val="00131AA5"/>
    <w:rsid w:val="00135466"/>
    <w:rsid w:val="00135B5A"/>
    <w:rsid w:val="00136A24"/>
    <w:rsid w:val="00137AFA"/>
    <w:rsid w:val="00142814"/>
    <w:rsid w:val="00143F3D"/>
    <w:rsid w:val="0014755B"/>
    <w:rsid w:val="001533A4"/>
    <w:rsid w:val="0015640E"/>
    <w:rsid w:val="0016228F"/>
    <w:rsid w:val="00186CB4"/>
    <w:rsid w:val="001A033B"/>
    <w:rsid w:val="001A31F2"/>
    <w:rsid w:val="001B2558"/>
    <w:rsid w:val="001B2C34"/>
    <w:rsid w:val="001B4647"/>
    <w:rsid w:val="001B596B"/>
    <w:rsid w:val="001B64D6"/>
    <w:rsid w:val="001C0F5B"/>
    <w:rsid w:val="001C1A36"/>
    <w:rsid w:val="001C3980"/>
    <w:rsid w:val="001C4DA4"/>
    <w:rsid w:val="001D3756"/>
    <w:rsid w:val="001E595C"/>
    <w:rsid w:val="001F5654"/>
    <w:rsid w:val="001F648A"/>
    <w:rsid w:val="00201565"/>
    <w:rsid w:val="00202A5D"/>
    <w:rsid w:val="00206C73"/>
    <w:rsid w:val="00216310"/>
    <w:rsid w:val="00225BE8"/>
    <w:rsid w:val="0023400A"/>
    <w:rsid w:val="002365E1"/>
    <w:rsid w:val="00240DAC"/>
    <w:rsid w:val="00265FC7"/>
    <w:rsid w:val="00267CBA"/>
    <w:rsid w:val="002715B7"/>
    <w:rsid w:val="0027344D"/>
    <w:rsid w:val="00273AD6"/>
    <w:rsid w:val="00276ED9"/>
    <w:rsid w:val="002848FA"/>
    <w:rsid w:val="00293677"/>
    <w:rsid w:val="0029541D"/>
    <w:rsid w:val="00297D22"/>
    <w:rsid w:val="002A0A31"/>
    <w:rsid w:val="002A4B6B"/>
    <w:rsid w:val="002A74AA"/>
    <w:rsid w:val="002B24AC"/>
    <w:rsid w:val="002B4422"/>
    <w:rsid w:val="002C0617"/>
    <w:rsid w:val="002C52B7"/>
    <w:rsid w:val="002C5571"/>
    <w:rsid w:val="002C61D7"/>
    <w:rsid w:val="002D35DD"/>
    <w:rsid w:val="002D5E57"/>
    <w:rsid w:val="002E55BB"/>
    <w:rsid w:val="002F1AC3"/>
    <w:rsid w:val="002F328E"/>
    <w:rsid w:val="00300482"/>
    <w:rsid w:val="00301F76"/>
    <w:rsid w:val="00304B25"/>
    <w:rsid w:val="003248F5"/>
    <w:rsid w:val="00333AF9"/>
    <w:rsid w:val="00345E4C"/>
    <w:rsid w:val="00353427"/>
    <w:rsid w:val="00354B86"/>
    <w:rsid w:val="00360846"/>
    <w:rsid w:val="00366A57"/>
    <w:rsid w:val="00375B38"/>
    <w:rsid w:val="0038259F"/>
    <w:rsid w:val="00391BDF"/>
    <w:rsid w:val="00392489"/>
    <w:rsid w:val="0039516C"/>
    <w:rsid w:val="003A0A25"/>
    <w:rsid w:val="003A14ED"/>
    <w:rsid w:val="003A3910"/>
    <w:rsid w:val="003A402F"/>
    <w:rsid w:val="003B1B91"/>
    <w:rsid w:val="003E4368"/>
    <w:rsid w:val="003E4BE8"/>
    <w:rsid w:val="003F413C"/>
    <w:rsid w:val="003F6B93"/>
    <w:rsid w:val="003F7ED1"/>
    <w:rsid w:val="00404898"/>
    <w:rsid w:val="00405AC0"/>
    <w:rsid w:val="00410A0B"/>
    <w:rsid w:val="00416A77"/>
    <w:rsid w:val="00427511"/>
    <w:rsid w:val="0044034A"/>
    <w:rsid w:val="00443299"/>
    <w:rsid w:val="00451419"/>
    <w:rsid w:val="00455D75"/>
    <w:rsid w:val="00456847"/>
    <w:rsid w:val="00463114"/>
    <w:rsid w:val="004641EF"/>
    <w:rsid w:val="00472FCC"/>
    <w:rsid w:val="00481237"/>
    <w:rsid w:val="004814D4"/>
    <w:rsid w:val="004827FB"/>
    <w:rsid w:val="0048317D"/>
    <w:rsid w:val="00494E7E"/>
    <w:rsid w:val="004955B1"/>
    <w:rsid w:val="004A1EFE"/>
    <w:rsid w:val="004A3175"/>
    <w:rsid w:val="004B64D0"/>
    <w:rsid w:val="004B6952"/>
    <w:rsid w:val="004C08F9"/>
    <w:rsid w:val="004C2F38"/>
    <w:rsid w:val="004C3B7B"/>
    <w:rsid w:val="004C46AB"/>
    <w:rsid w:val="004C50B0"/>
    <w:rsid w:val="004E11DC"/>
    <w:rsid w:val="004E7F99"/>
    <w:rsid w:val="00502137"/>
    <w:rsid w:val="00503B1C"/>
    <w:rsid w:val="00506168"/>
    <w:rsid w:val="00512CCA"/>
    <w:rsid w:val="00517851"/>
    <w:rsid w:val="005216E3"/>
    <w:rsid w:val="005237AA"/>
    <w:rsid w:val="005242A2"/>
    <w:rsid w:val="005256A6"/>
    <w:rsid w:val="00526C6D"/>
    <w:rsid w:val="00527F91"/>
    <w:rsid w:val="00533ACF"/>
    <w:rsid w:val="00533BD1"/>
    <w:rsid w:val="005368F1"/>
    <w:rsid w:val="00544DAD"/>
    <w:rsid w:val="00545373"/>
    <w:rsid w:val="005453F9"/>
    <w:rsid w:val="005502F1"/>
    <w:rsid w:val="00552206"/>
    <w:rsid w:val="0056393A"/>
    <w:rsid w:val="005705E1"/>
    <w:rsid w:val="00574BC2"/>
    <w:rsid w:val="00576C30"/>
    <w:rsid w:val="00577B9C"/>
    <w:rsid w:val="00583926"/>
    <w:rsid w:val="00584251"/>
    <w:rsid w:val="005844F3"/>
    <w:rsid w:val="00584CF5"/>
    <w:rsid w:val="00597A12"/>
    <w:rsid w:val="005A56B3"/>
    <w:rsid w:val="005C369D"/>
    <w:rsid w:val="005C48D5"/>
    <w:rsid w:val="005D6119"/>
    <w:rsid w:val="005E0C59"/>
    <w:rsid w:val="005E3EE9"/>
    <w:rsid w:val="005E7F48"/>
    <w:rsid w:val="005F12C5"/>
    <w:rsid w:val="005F6D43"/>
    <w:rsid w:val="006009FA"/>
    <w:rsid w:val="00600DC8"/>
    <w:rsid w:val="00611A65"/>
    <w:rsid w:val="006166C1"/>
    <w:rsid w:val="00617B66"/>
    <w:rsid w:val="00620EAD"/>
    <w:rsid w:val="00622CD7"/>
    <w:rsid w:val="006301B2"/>
    <w:rsid w:val="00630FEF"/>
    <w:rsid w:val="0063497E"/>
    <w:rsid w:val="00636DC3"/>
    <w:rsid w:val="00641E0D"/>
    <w:rsid w:val="00642698"/>
    <w:rsid w:val="006430CE"/>
    <w:rsid w:val="00644092"/>
    <w:rsid w:val="00647C3D"/>
    <w:rsid w:val="0065250A"/>
    <w:rsid w:val="00656252"/>
    <w:rsid w:val="00660BAC"/>
    <w:rsid w:val="00660FA4"/>
    <w:rsid w:val="00666CEB"/>
    <w:rsid w:val="00677071"/>
    <w:rsid w:val="006776C6"/>
    <w:rsid w:val="00682EF2"/>
    <w:rsid w:val="006867BE"/>
    <w:rsid w:val="00692093"/>
    <w:rsid w:val="00693895"/>
    <w:rsid w:val="006A1F24"/>
    <w:rsid w:val="006A2D41"/>
    <w:rsid w:val="006A7853"/>
    <w:rsid w:val="006B110C"/>
    <w:rsid w:val="006B7861"/>
    <w:rsid w:val="006C7249"/>
    <w:rsid w:val="006D256E"/>
    <w:rsid w:val="006D3DE5"/>
    <w:rsid w:val="006D5C61"/>
    <w:rsid w:val="006E5179"/>
    <w:rsid w:val="006F2CA1"/>
    <w:rsid w:val="00701669"/>
    <w:rsid w:val="00702327"/>
    <w:rsid w:val="00704E42"/>
    <w:rsid w:val="00710E8C"/>
    <w:rsid w:val="007135FC"/>
    <w:rsid w:val="007408A6"/>
    <w:rsid w:val="00747601"/>
    <w:rsid w:val="0075486B"/>
    <w:rsid w:val="00763110"/>
    <w:rsid w:val="00763ADC"/>
    <w:rsid w:val="00764BA5"/>
    <w:rsid w:val="00765BB0"/>
    <w:rsid w:val="007713F3"/>
    <w:rsid w:val="0078075B"/>
    <w:rsid w:val="00784BDD"/>
    <w:rsid w:val="007B5920"/>
    <w:rsid w:val="007C684F"/>
    <w:rsid w:val="007D0A71"/>
    <w:rsid w:val="007D0AC6"/>
    <w:rsid w:val="007D35B1"/>
    <w:rsid w:val="007D43F9"/>
    <w:rsid w:val="007D6429"/>
    <w:rsid w:val="007E24C9"/>
    <w:rsid w:val="007F460B"/>
    <w:rsid w:val="007F51C3"/>
    <w:rsid w:val="007F66EB"/>
    <w:rsid w:val="007F7F26"/>
    <w:rsid w:val="0080118E"/>
    <w:rsid w:val="00806FBC"/>
    <w:rsid w:val="008118D6"/>
    <w:rsid w:val="00812862"/>
    <w:rsid w:val="008139CF"/>
    <w:rsid w:val="00815BE5"/>
    <w:rsid w:val="00817127"/>
    <w:rsid w:val="00823C67"/>
    <w:rsid w:val="0083388D"/>
    <w:rsid w:val="0084161E"/>
    <w:rsid w:val="00864F13"/>
    <w:rsid w:val="00870199"/>
    <w:rsid w:val="008753B9"/>
    <w:rsid w:val="008967DB"/>
    <w:rsid w:val="008A1069"/>
    <w:rsid w:val="008A6E9D"/>
    <w:rsid w:val="008B5F5B"/>
    <w:rsid w:val="008C062C"/>
    <w:rsid w:val="008C0B4A"/>
    <w:rsid w:val="008C4494"/>
    <w:rsid w:val="008C6950"/>
    <w:rsid w:val="008D1179"/>
    <w:rsid w:val="008D1CCB"/>
    <w:rsid w:val="008D58BC"/>
    <w:rsid w:val="008E0F5D"/>
    <w:rsid w:val="008E28CE"/>
    <w:rsid w:val="008F2182"/>
    <w:rsid w:val="008F6C71"/>
    <w:rsid w:val="00911173"/>
    <w:rsid w:val="00913476"/>
    <w:rsid w:val="0093042C"/>
    <w:rsid w:val="009307B0"/>
    <w:rsid w:val="00941A81"/>
    <w:rsid w:val="00942375"/>
    <w:rsid w:val="00956BBE"/>
    <w:rsid w:val="009620A7"/>
    <w:rsid w:val="009626EB"/>
    <w:rsid w:val="00966FBF"/>
    <w:rsid w:val="00974DC5"/>
    <w:rsid w:val="0097594D"/>
    <w:rsid w:val="00984C4D"/>
    <w:rsid w:val="00985BAD"/>
    <w:rsid w:val="009864EF"/>
    <w:rsid w:val="00987EA5"/>
    <w:rsid w:val="009B0CC6"/>
    <w:rsid w:val="009B592A"/>
    <w:rsid w:val="009C15CC"/>
    <w:rsid w:val="009C24C5"/>
    <w:rsid w:val="009D71D3"/>
    <w:rsid w:val="009E063F"/>
    <w:rsid w:val="009E146D"/>
    <w:rsid w:val="009E2697"/>
    <w:rsid w:val="009E3525"/>
    <w:rsid w:val="009E3EF4"/>
    <w:rsid w:val="009F1EFD"/>
    <w:rsid w:val="00A0190B"/>
    <w:rsid w:val="00A03C6F"/>
    <w:rsid w:val="00A04A8E"/>
    <w:rsid w:val="00A204EA"/>
    <w:rsid w:val="00A207C0"/>
    <w:rsid w:val="00A37E46"/>
    <w:rsid w:val="00A45AEA"/>
    <w:rsid w:val="00A53D27"/>
    <w:rsid w:val="00A56D64"/>
    <w:rsid w:val="00A57711"/>
    <w:rsid w:val="00A60FA7"/>
    <w:rsid w:val="00A64FE7"/>
    <w:rsid w:val="00A76609"/>
    <w:rsid w:val="00A841DD"/>
    <w:rsid w:val="00A93EA6"/>
    <w:rsid w:val="00AA1347"/>
    <w:rsid w:val="00AA580D"/>
    <w:rsid w:val="00AB30EB"/>
    <w:rsid w:val="00AC1D8C"/>
    <w:rsid w:val="00AD057C"/>
    <w:rsid w:val="00AE201E"/>
    <w:rsid w:val="00AF1A3D"/>
    <w:rsid w:val="00AF35E5"/>
    <w:rsid w:val="00AF3A83"/>
    <w:rsid w:val="00B02B61"/>
    <w:rsid w:val="00B04828"/>
    <w:rsid w:val="00B04E70"/>
    <w:rsid w:val="00B0649D"/>
    <w:rsid w:val="00B07FEA"/>
    <w:rsid w:val="00B10EB2"/>
    <w:rsid w:val="00B1356D"/>
    <w:rsid w:val="00B21D9E"/>
    <w:rsid w:val="00B21FD1"/>
    <w:rsid w:val="00B27490"/>
    <w:rsid w:val="00B303F1"/>
    <w:rsid w:val="00B30537"/>
    <w:rsid w:val="00B31A3E"/>
    <w:rsid w:val="00B32248"/>
    <w:rsid w:val="00B33B19"/>
    <w:rsid w:val="00B36C79"/>
    <w:rsid w:val="00B44CB0"/>
    <w:rsid w:val="00B462C0"/>
    <w:rsid w:val="00B504CB"/>
    <w:rsid w:val="00B61069"/>
    <w:rsid w:val="00B627E5"/>
    <w:rsid w:val="00B6459A"/>
    <w:rsid w:val="00B64DC0"/>
    <w:rsid w:val="00B73196"/>
    <w:rsid w:val="00B81386"/>
    <w:rsid w:val="00B83055"/>
    <w:rsid w:val="00B83B35"/>
    <w:rsid w:val="00B841E4"/>
    <w:rsid w:val="00B86610"/>
    <w:rsid w:val="00B9070A"/>
    <w:rsid w:val="00B90DD4"/>
    <w:rsid w:val="00B97C23"/>
    <w:rsid w:val="00BA79BB"/>
    <w:rsid w:val="00BC5098"/>
    <w:rsid w:val="00BD5CA0"/>
    <w:rsid w:val="00BE2393"/>
    <w:rsid w:val="00BE41AC"/>
    <w:rsid w:val="00BE59AA"/>
    <w:rsid w:val="00BE62F2"/>
    <w:rsid w:val="00BF5ACF"/>
    <w:rsid w:val="00C05635"/>
    <w:rsid w:val="00C0602E"/>
    <w:rsid w:val="00C0782D"/>
    <w:rsid w:val="00C1236F"/>
    <w:rsid w:val="00C1271F"/>
    <w:rsid w:val="00C1400E"/>
    <w:rsid w:val="00C17816"/>
    <w:rsid w:val="00C17DF8"/>
    <w:rsid w:val="00C26BDB"/>
    <w:rsid w:val="00C33544"/>
    <w:rsid w:val="00C43AD9"/>
    <w:rsid w:val="00C43DE2"/>
    <w:rsid w:val="00C47AFD"/>
    <w:rsid w:val="00C503DC"/>
    <w:rsid w:val="00C53604"/>
    <w:rsid w:val="00C62569"/>
    <w:rsid w:val="00C64ECB"/>
    <w:rsid w:val="00C710B5"/>
    <w:rsid w:val="00C72DE8"/>
    <w:rsid w:val="00C850D3"/>
    <w:rsid w:val="00C901E3"/>
    <w:rsid w:val="00C95B36"/>
    <w:rsid w:val="00CA1555"/>
    <w:rsid w:val="00CA3D86"/>
    <w:rsid w:val="00CB08C6"/>
    <w:rsid w:val="00CB25A0"/>
    <w:rsid w:val="00CB59BF"/>
    <w:rsid w:val="00CB7EEA"/>
    <w:rsid w:val="00CC1C79"/>
    <w:rsid w:val="00CC2C3A"/>
    <w:rsid w:val="00CC5A7D"/>
    <w:rsid w:val="00CD2579"/>
    <w:rsid w:val="00CE3155"/>
    <w:rsid w:val="00CE31F9"/>
    <w:rsid w:val="00CE565C"/>
    <w:rsid w:val="00CF677F"/>
    <w:rsid w:val="00D0420E"/>
    <w:rsid w:val="00D058CB"/>
    <w:rsid w:val="00D14FFB"/>
    <w:rsid w:val="00D15C4F"/>
    <w:rsid w:val="00D22572"/>
    <w:rsid w:val="00D25AFD"/>
    <w:rsid w:val="00D269AC"/>
    <w:rsid w:val="00D305DD"/>
    <w:rsid w:val="00D422BD"/>
    <w:rsid w:val="00D45BD3"/>
    <w:rsid w:val="00D47711"/>
    <w:rsid w:val="00D50416"/>
    <w:rsid w:val="00D551B0"/>
    <w:rsid w:val="00D7155E"/>
    <w:rsid w:val="00D727F8"/>
    <w:rsid w:val="00D741DE"/>
    <w:rsid w:val="00D8700E"/>
    <w:rsid w:val="00DA0887"/>
    <w:rsid w:val="00DA19FB"/>
    <w:rsid w:val="00DA1D1A"/>
    <w:rsid w:val="00DA626D"/>
    <w:rsid w:val="00DA7012"/>
    <w:rsid w:val="00DB09C8"/>
    <w:rsid w:val="00DB0CDB"/>
    <w:rsid w:val="00DB3DD7"/>
    <w:rsid w:val="00DB5992"/>
    <w:rsid w:val="00DB5A21"/>
    <w:rsid w:val="00DC623D"/>
    <w:rsid w:val="00DC7564"/>
    <w:rsid w:val="00DD1E42"/>
    <w:rsid w:val="00E009C2"/>
    <w:rsid w:val="00E25A51"/>
    <w:rsid w:val="00E360C0"/>
    <w:rsid w:val="00E50F1F"/>
    <w:rsid w:val="00E53315"/>
    <w:rsid w:val="00E61A4C"/>
    <w:rsid w:val="00E642F6"/>
    <w:rsid w:val="00E645FA"/>
    <w:rsid w:val="00E673CA"/>
    <w:rsid w:val="00E7100F"/>
    <w:rsid w:val="00E720FF"/>
    <w:rsid w:val="00E73D76"/>
    <w:rsid w:val="00E83146"/>
    <w:rsid w:val="00E84B18"/>
    <w:rsid w:val="00E85841"/>
    <w:rsid w:val="00EA6603"/>
    <w:rsid w:val="00EB4640"/>
    <w:rsid w:val="00EB5607"/>
    <w:rsid w:val="00EB6B0A"/>
    <w:rsid w:val="00EC0225"/>
    <w:rsid w:val="00EC0F09"/>
    <w:rsid w:val="00EC3C58"/>
    <w:rsid w:val="00EC4288"/>
    <w:rsid w:val="00ED0426"/>
    <w:rsid w:val="00ED564F"/>
    <w:rsid w:val="00EE359B"/>
    <w:rsid w:val="00EE730D"/>
    <w:rsid w:val="00EF4BDA"/>
    <w:rsid w:val="00EF7E36"/>
    <w:rsid w:val="00F017A7"/>
    <w:rsid w:val="00F07FBB"/>
    <w:rsid w:val="00F14DB0"/>
    <w:rsid w:val="00F15C86"/>
    <w:rsid w:val="00F30B7F"/>
    <w:rsid w:val="00F41CAF"/>
    <w:rsid w:val="00F4354A"/>
    <w:rsid w:val="00F44DD8"/>
    <w:rsid w:val="00F478C3"/>
    <w:rsid w:val="00F515E2"/>
    <w:rsid w:val="00F51824"/>
    <w:rsid w:val="00F5279F"/>
    <w:rsid w:val="00F53BFE"/>
    <w:rsid w:val="00F63355"/>
    <w:rsid w:val="00F71EAB"/>
    <w:rsid w:val="00F756A4"/>
    <w:rsid w:val="00FA7683"/>
    <w:rsid w:val="00FC1FD1"/>
    <w:rsid w:val="00FC40BE"/>
    <w:rsid w:val="00FE01F2"/>
    <w:rsid w:val="00FE1F76"/>
    <w:rsid w:val="00FE1FC1"/>
    <w:rsid w:val="00FE3D22"/>
    <w:rsid w:val="00FF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30CE"/>
  <w15:chartTrackingRefBased/>
  <w15:docId w15:val="{06F4997F-B370-4175-A428-89A05A51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84F"/>
    <w:pPr>
      <w:keepNext/>
      <w:keepLines/>
      <w:spacing w:before="360" w:after="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09550A"/>
    <w:pPr>
      <w:keepNext/>
      <w:keepLines/>
      <w:spacing w:before="160" w:after="120"/>
      <w:jc w:val="both"/>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C6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3D"/>
    <w:pPr>
      <w:ind w:left="720"/>
      <w:contextualSpacing/>
    </w:pPr>
  </w:style>
  <w:style w:type="character" w:styleId="Hyperlink">
    <w:name w:val="Hyperlink"/>
    <w:basedOn w:val="DefaultParagraphFont"/>
    <w:uiPriority w:val="99"/>
    <w:unhideWhenUsed/>
    <w:rsid w:val="008C062C"/>
    <w:rPr>
      <w:color w:val="0563C1" w:themeColor="hyperlink"/>
      <w:u w:val="single"/>
    </w:rPr>
  </w:style>
  <w:style w:type="character" w:styleId="FollowedHyperlink">
    <w:name w:val="FollowedHyperlink"/>
    <w:basedOn w:val="DefaultParagraphFont"/>
    <w:uiPriority w:val="99"/>
    <w:semiHidden/>
    <w:unhideWhenUsed/>
    <w:rsid w:val="008C062C"/>
    <w:rPr>
      <w:color w:val="954F72" w:themeColor="followedHyperlink"/>
      <w:u w:val="single"/>
    </w:rPr>
  </w:style>
  <w:style w:type="character" w:customStyle="1" w:styleId="Heading1Char">
    <w:name w:val="Heading 1 Char"/>
    <w:basedOn w:val="DefaultParagraphFont"/>
    <w:link w:val="Heading1"/>
    <w:uiPriority w:val="9"/>
    <w:rsid w:val="007C684F"/>
    <w:rPr>
      <w:rFonts w:eastAsiaTheme="majorEastAsia" w:cstheme="majorBidi"/>
      <w:b/>
      <w:caps/>
      <w:color w:val="000000" w:themeColor="text1"/>
      <w:sz w:val="28"/>
      <w:szCs w:val="32"/>
    </w:rPr>
  </w:style>
  <w:style w:type="character" w:customStyle="1" w:styleId="Heading2Char">
    <w:name w:val="Heading 2 Char"/>
    <w:basedOn w:val="DefaultParagraphFont"/>
    <w:link w:val="Heading2"/>
    <w:uiPriority w:val="9"/>
    <w:rsid w:val="0009550A"/>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7C68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E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CC"/>
  </w:style>
  <w:style w:type="paragraph" w:styleId="Footer">
    <w:name w:val="footer"/>
    <w:basedOn w:val="Normal"/>
    <w:link w:val="FooterChar"/>
    <w:uiPriority w:val="99"/>
    <w:unhideWhenUsed/>
    <w:rsid w:val="009C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CC"/>
  </w:style>
  <w:style w:type="paragraph" w:styleId="Bibliography">
    <w:name w:val="Bibliography"/>
    <w:basedOn w:val="Normal"/>
    <w:next w:val="Normal"/>
    <w:uiPriority w:val="37"/>
    <w:unhideWhenUsed/>
    <w:rsid w:val="00C43AD9"/>
  </w:style>
  <w:style w:type="paragraph" w:styleId="TOCHeading">
    <w:name w:val="TOC Heading"/>
    <w:basedOn w:val="Heading1"/>
    <w:next w:val="Normal"/>
    <w:uiPriority w:val="39"/>
    <w:unhideWhenUsed/>
    <w:qFormat/>
    <w:rsid w:val="00574BC2"/>
    <w:pPr>
      <w:spacing w:before="240" w:after="0"/>
      <w:jc w:val="left"/>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574BC2"/>
    <w:pPr>
      <w:tabs>
        <w:tab w:val="right" w:leader="dot" w:pos="9350"/>
      </w:tabs>
      <w:spacing w:after="100"/>
    </w:pPr>
    <w:rPr>
      <w:rFonts w:cstheme="minorHAnsi"/>
      <w:b/>
      <w:bCs/>
      <w:noProof/>
      <w:color w:val="000000" w:themeColor="text1"/>
      <w:sz w:val="24"/>
      <w:szCs w:val="24"/>
    </w:rPr>
  </w:style>
  <w:style w:type="paragraph" w:styleId="TOC2">
    <w:name w:val="toc 2"/>
    <w:basedOn w:val="Normal"/>
    <w:next w:val="Normal"/>
    <w:autoRedefine/>
    <w:uiPriority w:val="39"/>
    <w:unhideWhenUsed/>
    <w:rsid w:val="00574BC2"/>
    <w:pPr>
      <w:spacing w:after="100"/>
      <w:ind w:left="220"/>
    </w:pPr>
  </w:style>
  <w:style w:type="character" w:styleId="CommentReference">
    <w:name w:val="annotation reference"/>
    <w:basedOn w:val="DefaultParagraphFont"/>
    <w:uiPriority w:val="99"/>
    <w:semiHidden/>
    <w:unhideWhenUsed/>
    <w:rsid w:val="00574BC2"/>
    <w:rPr>
      <w:sz w:val="16"/>
      <w:szCs w:val="16"/>
    </w:rPr>
  </w:style>
  <w:style w:type="paragraph" w:styleId="CommentText">
    <w:name w:val="annotation text"/>
    <w:basedOn w:val="Normal"/>
    <w:link w:val="CommentTextChar"/>
    <w:uiPriority w:val="99"/>
    <w:semiHidden/>
    <w:unhideWhenUsed/>
    <w:rsid w:val="00574BC2"/>
    <w:pPr>
      <w:spacing w:line="240" w:lineRule="auto"/>
    </w:pPr>
    <w:rPr>
      <w:sz w:val="20"/>
      <w:szCs w:val="20"/>
    </w:rPr>
  </w:style>
  <w:style w:type="character" w:customStyle="1" w:styleId="CommentTextChar">
    <w:name w:val="Comment Text Char"/>
    <w:basedOn w:val="DefaultParagraphFont"/>
    <w:link w:val="CommentText"/>
    <w:uiPriority w:val="99"/>
    <w:semiHidden/>
    <w:rsid w:val="00574BC2"/>
    <w:rPr>
      <w:sz w:val="20"/>
      <w:szCs w:val="20"/>
    </w:rPr>
  </w:style>
  <w:style w:type="paragraph" w:styleId="CommentSubject">
    <w:name w:val="annotation subject"/>
    <w:basedOn w:val="CommentText"/>
    <w:next w:val="CommentText"/>
    <w:link w:val="CommentSubjectChar"/>
    <w:uiPriority w:val="99"/>
    <w:semiHidden/>
    <w:unhideWhenUsed/>
    <w:rsid w:val="00574BC2"/>
    <w:rPr>
      <w:b/>
      <w:bCs/>
    </w:rPr>
  </w:style>
  <w:style w:type="character" w:customStyle="1" w:styleId="CommentSubjectChar">
    <w:name w:val="Comment Subject Char"/>
    <w:basedOn w:val="CommentTextChar"/>
    <w:link w:val="CommentSubject"/>
    <w:uiPriority w:val="99"/>
    <w:semiHidden/>
    <w:rsid w:val="00574BC2"/>
    <w:rPr>
      <w:b/>
      <w:bCs/>
      <w:sz w:val="20"/>
      <w:szCs w:val="20"/>
    </w:rPr>
  </w:style>
  <w:style w:type="character" w:customStyle="1" w:styleId="UnresolvedMention1">
    <w:name w:val="Unresolved Mention1"/>
    <w:basedOn w:val="DefaultParagraphFont"/>
    <w:uiPriority w:val="99"/>
    <w:semiHidden/>
    <w:unhideWhenUsed/>
    <w:rsid w:val="00F14DB0"/>
    <w:rPr>
      <w:color w:val="605E5C"/>
      <w:shd w:val="clear" w:color="auto" w:fill="E1DFDD"/>
    </w:rPr>
  </w:style>
  <w:style w:type="paragraph" w:styleId="NormalWeb">
    <w:name w:val="Normal (Web)"/>
    <w:basedOn w:val="Normal"/>
    <w:uiPriority w:val="99"/>
    <w:unhideWhenUsed/>
    <w:rsid w:val="00092C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basedOn w:val="Normal"/>
    <w:rsid w:val="00494E7E"/>
    <w:pPr>
      <w:spacing w:after="240" w:line="240" w:lineRule="auto"/>
      <w:jc w:val="both"/>
    </w:pPr>
    <w:rPr>
      <w:rFonts w:ascii="Helvetica" w:eastAsia="Times New Roman" w:hAnsi="Helvetica" w:cs="Times New Roman"/>
      <w:kern w:val="0"/>
      <w:sz w:val="20"/>
      <w:szCs w:val="20"/>
      <w14:ligatures w14:val="none"/>
    </w:rPr>
  </w:style>
  <w:style w:type="character" w:customStyle="1" w:styleId="UnresolvedMention2">
    <w:name w:val="Unresolved Mention2"/>
    <w:basedOn w:val="DefaultParagraphFont"/>
    <w:uiPriority w:val="99"/>
    <w:semiHidden/>
    <w:unhideWhenUsed/>
    <w:rsid w:val="00CE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57">
      <w:bodyDiv w:val="1"/>
      <w:marLeft w:val="0"/>
      <w:marRight w:val="0"/>
      <w:marTop w:val="0"/>
      <w:marBottom w:val="0"/>
      <w:divBdr>
        <w:top w:val="none" w:sz="0" w:space="0" w:color="auto"/>
        <w:left w:val="none" w:sz="0" w:space="0" w:color="auto"/>
        <w:bottom w:val="none" w:sz="0" w:space="0" w:color="auto"/>
        <w:right w:val="none" w:sz="0" w:space="0" w:color="auto"/>
      </w:divBdr>
      <w:divsChild>
        <w:div w:id="1924025746">
          <w:marLeft w:val="0"/>
          <w:marRight w:val="0"/>
          <w:marTop w:val="0"/>
          <w:marBottom w:val="0"/>
          <w:divBdr>
            <w:top w:val="none" w:sz="0" w:space="0" w:color="auto"/>
            <w:left w:val="none" w:sz="0" w:space="0" w:color="auto"/>
            <w:bottom w:val="none" w:sz="0" w:space="0" w:color="auto"/>
            <w:right w:val="none" w:sz="0" w:space="0" w:color="auto"/>
          </w:divBdr>
          <w:divsChild>
            <w:div w:id="328097802">
              <w:marLeft w:val="0"/>
              <w:marRight w:val="0"/>
              <w:marTop w:val="0"/>
              <w:marBottom w:val="0"/>
              <w:divBdr>
                <w:top w:val="none" w:sz="0" w:space="0" w:color="auto"/>
                <w:left w:val="none" w:sz="0" w:space="0" w:color="auto"/>
                <w:bottom w:val="none" w:sz="0" w:space="0" w:color="auto"/>
                <w:right w:val="none" w:sz="0" w:space="0" w:color="auto"/>
              </w:divBdr>
              <w:divsChild>
                <w:div w:id="1172137848">
                  <w:marLeft w:val="0"/>
                  <w:marRight w:val="0"/>
                  <w:marTop w:val="0"/>
                  <w:marBottom w:val="0"/>
                  <w:divBdr>
                    <w:top w:val="none" w:sz="0" w:space="0" w:color="auto"/>
                    <w:left w:val="none" w:sz="0" w:space="0" w:color="auto"/>
                    <w:bottom w:val="none" w:sz="0" w:space="0" w:color="auto"/>
                    <w:right w:val="none" w:sz="0" w:space="0" w:color="auto"/>
                  </w:divBdr>
                  <w:divsChild>
                    <w:div w:id="1314020941">
                      <w:marLeft w:val="0"/>
                      <w:marRight w:val="0"/>
                      <w:marTop w:val="0"/>
                      <w:marBottom w:val="0"/>
                      <w:divBdr>
                        <w:top w:val="none" w:sz="0" w:space="0" w:color="auto"/>
                        <w:left w:val="none" w:sz="0" w:space="0" w:color="auto"/>
                        <w:bottom w:val="none" w:sz="0" w:space="0" w:color="auto"/>
                        <w:right w:val="none" w:sz="0" w:space="0" w:color="auto"/>
                      </w:divBdr>
                      <w:divsChild>
                        <w:div w:id="1688601736">
                          <w:marLeft w:val="0"/>
                          <w:marRight w:val="0"/>
                          <w:marTop w:val="0"/>
                          <w:marBottom w:val="0"/>
                          <w:divBdr>
                            <w:top w:val="none" w:sz="0" w:space="0" w:color="auto"/>
                            <w:left w:val="none" w:sz="0" w:space="0" w:color="auto"/>
                            <w:bottom w:val="none" w:sz="0" w:space="0" w:color="auto"/>
                            <w:right w:val="none" w:sz="0" w:space="0" w:color="auto"/>
                          </w:divBdr>
                          <w:divsChild>
                            <w:div w:id="627394251">
                              <w:marLeft w:val="0"/>
                              <w:marRight w:val="0"/>
                              <w:marTop w:val="0"/>
                              <w:marBottom w:val="0"/>
                              <w:divBdr>
                                <w:top w:val="none" w:sz="0" w:space="0" w:color="auto"/>
                                <w:left w:val="none" w:sz="0" w:space="0" w:color="auto"/>
                                <w:bottom w:val="none" w:sz="0" w:space="0" w:color="auto"/>
                                <w:right w:val="none" w:sz="0" w:space="0" w:color="auto"/>
                              </w:divBdr>
                              <w:divsChild>
                                <w:div w:id="1002732830">
                                  <w:marLeft w:val="0"/>
                                  <w:marRight w:val="0"/>
                                  <w:marTop w:val="0"/>
                                  <w:marBottom w:val="0"/>
                                  <w:divBdr>
                                    <w:top w:val="none" w:sz="0" w:space="0" w:color="auto"/>
                                    <w:left w:val="none" w:sz="0" w:space="0" w:color="auto"/>
                                    <w:bottom w:val="none" w:sz="0" w:space="0" w:color="auto"/>
                                    <w:right w:val="none" w:sz="0" w:space="0" w:color="auto"/>
                                  </w:divBdr>
                                  <w:divsChild>
                                    <w:div w:id="5126452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5500">
          <w:marLeft w:val="0"/>
          <w:marRight w:val="0"/>
          <w:marTop w:val="0"/>
          <w:marBottom w:val="0"/>
          <w:divBdr>
            <w:top w:val="none" w:sz="0" w:space="0" w:color="auto"/>
            <w:left w:val="none" w:sz="0" w:space="0" w:color="auto"/>
            <w:bottom w:val="none" w:sz="0" w:space="0" w:color="auto"/>
            <w:right w:val="none" w:sz="0" w:space="0" w:color="auto"/>
          </w:divBdr>
          <w:divsChild>
            <w:div w:id="1631669575">
              <w:marLeft w:val="0"/>
              <w:marRight w:val="0"/>
              <w:marTop w:val="0"/>
              <w:marBottom w:val="0"/>
              <w:divBdr>
                <w:top w:val="none" w:sz="0" w:space="0" w:color="auto"/>
                <w:left w:val="none" w:sz="0" w:space="0" w:color="auto"/>
                <w:bottom w:val="none" w:sz="0" w:space="0" w:color="auto"/>
                <w:right w:val="none" w:sz="0" w:space="0" w:color="auto"/>
              </w:divBdr>
              <w:divsChild>
                <w:div w:id="1654483314">
                  <w:marLeft w:val="0"/>
                  <w:marRight w:val="0"/>
                  <w:marTop w:val="0"/>
                  <w:marBottom w:val="0"/>
                  <w:divBdr>
                    <w:top w:val="none" w:sz="0" w:space="0" w:color="auto"/>
                    <w:left w:val="none" w:sz="0" w:space="0" w:color="auto"/>
                    <w:bottom w:val="none" w:sz="0" w:space="0" w:color="auto"/>
                    <w:right w:val="none" w:sz="0" w:space="0" w:color="auto"/>
                  </w:divBdr>
                  <w:divsChild>
                    <w:div w:id="76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9517">
      <w:bodyDiv w:val="1"/>
      <w:marLeft w:val="0"/>
      <w:marRight w:val="0"/>
      <w:marTop w:val="0"/>
      <w:marBottom w:val="0"/>
      <w:divBdr>
        <w:top w:val="none" w:sz="0" w:space="0" w:color="auto"/>
        <w:left w:val="none" w:sz="0" w:space="0" w:color="auto"/>
        <w:bottom w:val="none" w:sz="0" w:space="0" w:color="auto"/>
        <w:right w:val="none" w:sz="0" w:space="0" w:color="auto"/>
      </w:divBdr>
    </w:div>
    <w:div w:id="355542919">
      <w:bodyDiv w:val="1"/>
      <w:marLeft w:val="0"/>
      <w:marRight w:val="0"/>
      <w:marTop w:val="0"/>
      <w:marBottom w:val="0"/>
      <w:divBdr>
        <w:top w:val="none" w:sz="0" w:space="0" w:color="auto"/>
        <w:left w:val="none" w:sz="0" w:space="0" w:color="auto"/>
        <w:bottom w:val="none" w:sz="0" w:space="0" w:color="auto"/>
        <w:right w:val="none" w:sz="0" w:space="0" w:color="auto"/>
      </w:divBdr>
    </w:div>
    <w:div w:id="436950704">
      <w:bodyDiv w:val="1"/>
      <w:marLeft w:val="0"/>
      <w:marRight w:val="0"/>
      <w:marTop w:val="0"/>
      <w:marBottom w:val="0"/>
      <w:divBdr>
        <w:top w:val="none" w:sz="0" w:space="0" w:color="auto"/>
        <w:left w:val="none" w:sz="0" w:space="0" w:color="auto"/>
        <w:bottom w:val="none" w:sz="0" w:space="0" w:color="auto"/>
        <w:right w:val="none" w:sz="0" w:space="0" w:color="auto"/>
      </w:divBdr>
    </w:div>
    <w:div w:id="504125993">
      <w:bodyDiv w:val="1"/>
      <w:marLeft w:val="0"/>
      <w:marRight w:val="0"/>
      <w:marTop w:val="0"/>
      <w:marBottom w:val="0"/>
      <w:divBdr>
        <w:top w:val="none" w:sz="0" w:space="0" w:color="auto"/>
        <w:left w:val="none" w:sz="0" w:space="0" w:color="auto"/>
        <w:bottom w:val="none" w:sz="0" w:space="0" w:color="auto"/>
        <w:right w:val="none" w:sz="0" w:space="0" w:color="auto"/>
      </w:divBdr>
    </w:div>
    <w:div w:id="571353753">
      <w:bodyDiv w:val="1"/>
      <w:marLeft w:val="0"/>
      <w:marRight w:val="0"/>
      <w:marTop w:val="0"/>
      <w:marBottom w:val="0"/>
      <w:divBdr>
        <w:top w:val="none" w:sz="0" w:space="0" w:color="auto"/>
        <w:left w:val="none" w:sz="0" w:space="0" w:color="auto"/>
        <w:bottom w:val="none" w:sz="0" w:space="0" w:color="auto"/>
        <w:right w:val="none" w:sz="0" w:space="0" w:color="auto"/>
      </w:divBdr>
    </w:div>
    <w:div w:id="575674818">
      <w:bodyDiv w:val="1"/>
      <w:marLeft w:val="0"/>
      <w:marRight w:val="0"/>
      <w:marTop w:val="0"/>
      <w:marBottom w:val="0"/>
      <w:divBdr>
        <w:top w:val="none" w:sz="0" w:space="0" w:color="auto"/>
        <w:left w:val="none" w:sz="0" w:space="0" w:color="auto"/>
        <w:bottom w:val="none" w:sz="0" w:space="0" w:color="auto"/>
        <w:right w:val="none" w:sz="0" w:space="0" w:color="auto"/>
      </w:divBdr>
    </w:div>
    <w:div w:id="689838974">
      <w:bodyDiv w:val="1"/>
      <w:marLeft w:val="0"/>
      <w:marRight w:val="0"/>
      <w:marTop w:val="0"/>
      <w:marBottom w:val="0"/>
      <w:divBdr>
        <w:top w:val="none" w:sz="0" w:space="0" w:color="auto"/>
        <w:left w:val="none" w:sz="0" w:space="0" w:color="auto"/>
        <w:bottom w:val="none" w:sz="0" w:space="0" w:color="auto"/>
        <w:right w:val="none" w:sz="0" w:space="0" w:color="auto"/>
      </w:divBdr>
    </w:div>
    <w:div w:id="900168159">
      <w:bodyDiv w:val="1"/>
      <w:marLeft w:val="0"/>
      <w:marRight w:val="0"/>
      <w:marTop w:val="0"/>
      <w:marBottom w:val="0"/>
      <w:divBdr>
        <w:top w:val="none" w:sz="0" w:space="0" w:color="auto"/>
        <w:left w:val="none" w:sz="0" w:space="0" w:color="auto"/>
        <w:bottom w:val="none" w:sz="0" w:space="0" w:color="auto"/>
        <w:right w:val="none" w:sz="0" w:space="0" w:color="auto"/>
      </w:divBdr>
    </w:div>
    <w:div w:id="1089889972">
      <w:bodyDiv w:val="1"/>
      <w:marLeft w:val="0"/>
      <w:marRight w:val="0"/>
      <w:marTop w:val="0"/>
      <w:marBottom w:val="0"/>
      <w:divBdr>
        <w:top w:val="none" w:sz="0" w:space="0" w:color="auto"/>
        <w:left w:val="none" w:sz="0" w:space="0" w:color="auto"/>
        <w:bottom w:val="none" w:sz="0" w:space="0" w:color="auto"/>
        <w:right w:val="none" w:sz="0" w:space="0" w:color="auto"/>
      </w:divBdr>
    </w:div>
    <w:div w:id="1095781186">
      <w:bodyDiv w:val="1"/>
      <w:marLeft w:val="0"/>
      <w:marRight w:val="0"/>
      <w:marTop w:val="0"/>
      <w:marBottom w:val="0"/>
      <w:divBdr>
        <w:top w:val="none" w:sz="0" w:space="0" w:color="auto"/>
        <w:left w:val="none" w:sz="0" w:space="0" w:color="auto"/>
        <w:bottom w:val="none" w:sz="0" w:space="0" w:color="auto"/>
        <w:right w:val="none" w:sz="0" w:space="0" w:color="auto"/>
      </w:divBdr>
    </w:div>
    <w:div w:id="1099374201">
      <w:bodyDiv w:val="1"/>
      <w:marLeft w:val="0"/>
      <w:marRight w:val="0"/>
      <w:marTop w:val="0"/>
      <w:marBottom w:val="0"/>
      <w:divBdr>
        <w:top w:val="none" w:sz="0" w:space="0" w:color="auto"/>
        <w:left w:val="none" w:sz="0" w:space="0" w:color="auto"/>
        <w:bottom w:val="none" w:sz="0" w:space="0" w:color="auto"/>
        <w:right w:val="none" w:sz="0" w:space="0" w:color="auto"/>
      </w:divBdr>
    </w:div>
    <w:div w:id="1277560154">
      <w:bodyDiv w:val="1"/>
      <w:marLeft w:val="0"/>
      <w:marRight w:val="0"/>
      <w:marTop w:val="0"/>
      <w:marBottom w:val="0"/>
      <w:divBdr>
        <w:top w:val="none" w:sz="0" w:space="0" w:color="auto"/>
        <w:left w:val="none" w:sz="0" w:space="0" w:color="auto"/>
        <w:bottom w:val="none" w:sz="0" w:space="0" w:color="auto"/>
        <w:right w:val="none" w:sz="0" w:space="0" w:color="auto"/>
      </w:divBdr>
    </w:div>
    <w:div w:id="1288199902">
      <w:bodyDiv w:val="1"/>
      <w:marLeft w:val="0"/>
      <w:marRight w:val="0"/>
      <w:marTop w:val="0"/>
      <w:marBottom w:val="0"/>
      <w:divBdr>
        <w:top w:val="none" w:sz="0" w:space="0" w:color="auto"/>
        <w:left w:val="none" w:sz="0" w:space="0" w:color="auto"/>
        <w:bottom w:val="none" w:sz="0" w:space="0" w:color="auto"/>
        <w:right w:val="none" w:sz="0" w:space="0" w:color="auto"/>
      </w:divBdr>
    </w:div>
    <w:div w:id="1294142804">
      <w:bodyDiv w:val="1"/>
      <w:marLeft w:val="0"/>
      <w:marRight w:val="0"/>
      <w:marTop w:val="0"/>
      <w:marBottom w:val="0"/>
      <w:divBdr>
        <w:top w:val="none" w:sz="0" w:space="0" w:color="auto"/>
        <w:left w:val="none" w:sz="0" w:space="0" w:color="auto"/>
        <w:bottom w:val="none" w:sz="0" w:space="0" w:color="auto"/>
        <w:right w:val="none" w:sz="0" w:space="0" w:color="auto"/>
      </w:divBdr>
      <w:divsChild>
        <w:div w:id="417597055">
          <w:marLeft w:val="0"/>
          <w:marRight w:val="0"/>
          <w:marTop w:val="0"/>
          <w:marBottom w:val="0"/>
          <w:divBdr>
            <w:top w:val="none" w:sz="0" w:space="0" w:color="auto"/>
            <w:left w:val="none" w:sz="0" w:space="0" w:color="auto"/>
            <w:bottom w:val="none" w:sz="0" w:space="0" w:color="auto"/>
            <w:right w:val="none" w:sz="0" w:space="0" w:color="auto"/>
          </w:divBdr>
          <w:divsChild>
            <w:div w:id="1260289891">
              <w:marLeft w:val="0"/>
              <w:marRight w:val="0"/>
              <w:marTop w:val="0"/>
              <w:marBottom w:val="0"/>
              <w:divBdr>
                <w:top w:val="none" w:sz="0" w:space="0" w:color="auto"/>
                <w:left w:val="none" w:sz="0" w:space="0" w:color="auto"/>
                <w:bottom w:val="none" w:sz="0" w:space="0" w:color="auto"/>
                <w:right w:val="none" w:sz="0" w:space="0" w:color="auto"/>
              </w:divBdr>
              <w:divsChild>
                <w:div w:id="988367118">
                  <w:marLeft w:val="0"/>
                  <w:marRight w:val="0"/>
                  <w:marTop w:val="0"/>
                  <w:marBottom w:val="0"/>
                  <w:divBdr>
                    <w:top w:val="none" w:sz="0" w:space="0" w:color="auto"/>
                    <w:left w:val="none" w:sz="0" w:space="0" w:color="auto"/>
                    <w:bottom w:val="none" w:sz="0" w:space="0" w:color="auto"/>
                    <w:right w:val="none" w:sz="0" w:space="0" w:color="auto"/>
                  </w:divBdr>
                  <w:divsChild>
                    <w:div w:id="74859796">
                      <w:marLeft w:val="0"/>
                      <w:marRight w:val="0"/>
                      <w:marTop w:val="0"/>
                      <w:marBottom w:val="0"/>
                      <w:divBdr>
                        <w:top w:val="none" w:sz="0" w:space="0" w:color="auto"/>
                        <w:left w:val="none" w:sz="0" w:space="0" w:color="auto"/>
                        <w:bottom w:val="none" w:sz="0" w:space="0" w:color="auto"/>
                        <w:right w:val="none" w:sz="0" w:space="0" w:color="auto"/>
                      </w:divBdr>
                      <w:divsChild>
                        <w:div w:id="1111121980">
                          <w:marLeft w:val="0"/>
                          <w:marRight w:val="0"/>
                          <w:marTop w:val="0"/>
                          <w:marBottom w:val="0"/>
                          <w:divBdr>
                            <w:top w:val="none" w:sz="0" w:space="0" w:color="auto"/>
                            <w:left w:val="none" w:sz="0" w:space="0" w:color="auto"/>
                            <w:bottom w:val="none" w:sz="0" w:space="0" w:color="auto"/>
                            <w:right w:val="none" w:sz="0" w:space="0" w:color="auto"/>
                          </w:divBdr>
                          <w:divsChild>
                            <w:div w:id="1120032319">
                              <w:marLeft w:val="0"/>
                              <w:marRight w:val="0"/>
                              <w:marTop w:val="0"/>
                              <w:marBottom w:val="0"/>
                              <w:divBdr>
                                <w:top w:val="none" w:sz="0" w:space="0" w:color="auto"/>
                                <w:left w:val="none" w:sz="0" w:space="0" w:color="auto"/>
                                <w:bottom w:val="none" w:sz="0" w:space="0" w:color="auto"/>
                                <w:right w:val="none" w:sz="0" w:space="0" w:color="auto"/>
                              </w:divBdr>
                              <w:divsChild>
                                <w:div w:id="1287396486">
                                  <w:marLeft w:val="0"/>
                                  <w:marRight w:val="0"/>
                                  <w:marTop w:val="0"/>
                                  <w:marBottom w:val="0"/>
                                  <w:divBdr>
                                    <w:top w:val="none" w:sz="0" w:space="0" w:color="auto"/>
                                    <w:left w:val="none" w:sz="0" w:space="0" w:color="auto"/>
                                    <w:bottom w:val="none" w:sz="0" w:space="0" w:color="auto"/>
                                    <w:right w:val="none" w:sz="0" w:space="0" w:color="auto"/>
                                  </w:divBdr>
                                  <w:divsChild>
                                    <w:div w:id="18729567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27837">
          <w:marLeft w:val="0"/>
          <w:marRight w:val="0"/>
          <w:marTop w:val="0"/>
          <w:marBottom w:val="0"/>
          <w:divBdr>
            <w:top w:val="none" w:sz="0" w:space="0" w:color="auto"/>
            <w:left w:val="none" w:sz="0" w:space="0" w:color="auto"/>
            <w:bottom w:val="none" w:sz="0" w:space="0" w:color="auto"/>
            <w:right w:val="none" w:sz="0" w:space="0" w:color="auto"/>
          </w:divBdr>
          <w:divsChild>
            <w:div w:id="1951351270">
              <w:marLeft w:val="0"/>
              <w:marRight w:val="0"/>
              <w:marTop w:val="0"/>
              <w:marBottom w:val="0"/>
              <w:divBdr>
                <w:top w:val="none" w:sz="0" w:space="0" w:color="auto"/>
                <w:left w:val="none" w:sz="0" w:space="0" w:color="auto"/>
                <w:bottom w:val="none" w:sz="0" w:space="0" w:color="auto"/>
                <w:right w:val="none" w:sz="0" w:space="0" w:color="auto"/>
              </w:divBdr>
              <w:divsChild>
                <w:div w:id="614403656">
                  <w:marLeft w:val="0"/>
                  <w:marRight w:val="0"/>
                  <w:marTop w:val="0"/>
                  <w:marBottom w:val="0"/>
                  <w:divBdr>
                    <w:top w:val="none" w:sz="0" w:space="0" w:color="auto"/>
                    <w:left w:val="none" w:sz="0" w:space="0" w:color="auto"/>
                    <w:bottom w:val="none" w:sz="0" w:space="0" w:color="auto"/>
                    <w:right w:val="none" w:sz="0" w:space="0" w:color="auto"/>
                  </w:divBdr>
                  <w:divsChild>
                    <w:div w:id="1319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0348">
      <w:bodyDiv w:val="1"/>
      <w:marLeft w:val="0"/>
      <w:marRight w:val="0"/>
      <w:marTop w:val="0"/>
      <w:marBottom w:val="0"/>
      <w:divBdr>
        <w:top w:val="none" w:sz="0" w:space="0" w:color="auto"/>
        <w:left w:val="none" w:sz="0" w:space="0" w:color="auto"/>
        <w:bottom w:val="none" w:sz="0" w:space="0" w:color="auto"/>
        <w:right w:val="none" w:sz="0" w:space="0" w:color="auto"/>
      </w:divBdr>
    </w:div>
    <w:div w:id="1480876292">
      <w:bodyDiv w:val="1"/>
      <w:marLeft w:val="0"/>
      <w:marRight w:val="0"/>
      <w:marTop w:val="0"/>
      <w:marBottom w:val="0"/>
      <w:divBdr>
        <w:top w:val="none" w:sz="0" w:space="0" w:color="auto"/>
        <w:left w:val="none" w:sz="0" w:space="0" w:color="auto"/>
        <w:bottom w:val="none" w:sz="0" w:space="0" w:color="auto"/>
        <w:right w:val="none" w:sz="0" w:space="0" w:color="auto"/>
      </w:divBdr>
    </w:div>
    <w:div w:id="1492600092">
      <w:bodyDiv w:val="1"/>
      <w:marLeft w:val="0"/>
      <w:marRight w:val="0"/>
      <w:marTop w:val="0"/>
      <w:marBottom w:val="0"/>
      <w:divBdr>
        <w:top w:val="none" w:sz="0" w:space="0" w:color="auto"/>
        <w:left w:val="none" w:sz="0" w:space="0" w:color="auto"/>
        <w:bottom w:val="none" w:sz="0" w:space="0" w:color="auto"/>
        <w:right w:val="none" w:sz="0" w:space="0" w:color="auto"/>
      </w:divBdr>
    </w:div>
    <w:div w:id="1512141828">
      <w:bodyDiv w:val="1"/>
      <w:marLeft w:val="0"/>
      <w:marRight w:val="0"/>
      <w:marTop w:val="0"/>
      <w:marBottom w:val="0"/>
      <w:divBdr>
        <w:top w:val="none" w:sz="0" w:space="0" w:color="auto"/>
        <w:left w:val="none" w:sz="0" w:space="0" w:color="auto"/>
        <w:bottom w:val="none" w:sz="0" w:space="0" w:color="auto"/>
        <w:right w:val="none" w:sz="0" w:space="0" w:color="auto"/>
      </w:divBdr>
    </w:div>
    <w:div w:id="1639653600">
      <w:bodyDiv w:val="1"/>
      <w:marLeft w:val="0"/>
      <w:marRight w:val="0"/>
      <w:marTop w:val="0"/>
      <w:marBottom w:val="0"/>
      <w:divBdr>
        <w:top w:val="none" w:sz="0" w:space="0" w:color="auto"/>
        <w:left w:val="none" w:sz="0" w:space="0" w:color="auto"/>
        <w:bottom w:val="none" w:sz="0" w:space="0" w:color="auto"/>
        <w:right w:val="none" w:sz="0" w:space="0" w:color="auto"/>
      </w:divBdr>
    </w:div>
    <w:div w:id="1939636216">
      <w:bodyDiv w:val="1"/>
      <w:marLeft w:val="0"/>
      <w:marRight w:val="0"/>
      <w:marTop w:val="0"/>
      <w:marBottom w:val="0"/>
      <w:divBdr>
        <w:top w:val="none" w:sz="0" w:space="0" w:color="auto"/>
        <w:left w:val="none" w:sz="0" w:space="0" w:color="auto"/>
        <w:bottom w:val="none" w:sz="0" w:space="0" w:color="auto"/>
        <w:right w:val="none" w:sz="0" w:space="0" w:color="auto"/>
      </w:divBdr>
    </w:div>
    <w:div w:id="1968124996">
      <w:bodyDiv w:val="1"/>
      <w:marLeft w:val="0"/>
      <w:marRight w:val="0"/>
      <w:marTop w:val="0"/>
      <w:marBottom w:val="0"/>
      <w:divBdr>
        <w:top w:val="none" w:sz="0" w:space="0" w:color="auto"/>
        <w:left w:val="none" w:sz="0" w:space="0" w:color="auto"/>
        <w:bottom w:val="none" w:sz="0" w:space="0" w:color="auto"/>
        <w:right w:val="none" w:sz="0" w:space="0" w:color="auto"/>
      </w:divBdr>
      <w:divsChild>
        <w:div w:id="1289357397">
          <w:marLeft w:val="0"/>
          <w:marRight w:val="0"/>
          <w:marTop w:val="0"/>
          <w:marBottom w:val="0"/>
          <w:divBdr>
            <w:top w:val="single" w:sz="2" w:space="0" w:color="D9D9E3"/>
            <w:left w:val="single" w:sz="2" w:space="0" w:color="D9D9E3"/>
            <w:bottom w:val="single" w:sz="2" w:space="0" w:color="D9D9E3"/>
            <w:right w:val="single" w:sz="2" w:space="0" w:color="D9D9E3"/>
          </w:divBdr>
          <w:divsChild>
            <w:div w:id="840050492">
              <w:marLeft w:val="0"/>
              <w:marRight w:val="0"/>
              <w:marTop w:val="0"/>
              <w:marBottom w:val="0"/>
              <w:divBdr>
                <w:top w:val="single" w:sz="2" w:space="0" w:color="D9D9E3"/>
                <w:left w:val="single" w:sz="2" w:space="0" w:color="D9D9E3"/>
                <w:bottom w:val="single" w:sz="2" w:space="0" w:color="D9D9E3"/>
                <w:right w:val="single" w:sz="2" w:space="0" w:color="D9D9E3"/>
              </w:divBdr>
              <w:divsChild>
                <w:div w:id="465584604">
                  <w:marLeft w:val="0"/>
                  <w:marRight w:val="0"/>
                  <w:marTop w:val="0"/>
                  <w:marBottom w:val="0"/>
                  <w:divBdr>
                    <w:top w:val="single" w:sz="2" w:space="0" w:color="D9D9E3"/>
                    <w:left w:val="single" w:sz="2" w:space="0" w:color="D9D9E3"/>
                    <w:bottom w:val="single" w:sz="2" w:space="0" w:color="D9D9E3"/>
                    <w:right w:val="single" w:sz="2" w:space="0" w:color="D9D9E3"/>
                  </w:divBdr>
                  <w:divsChild>
                    <w:div w:id="361826846">
                      <w:marLeft w:val="0"/>
                      <w:marRight w:val="0"/>
                      <w:marTop w:val="0"/>
                      <w:marBottom w:val="0"/>
                      <w:divBdr>
                        <w:top w:val="single" w:sz="2" w:space="0" w:color="D9D9E3"/>
                        <w:left w:val="single" w:sz="2" w:space="0" w:color="D9D9E3"/>
                        <w:bottom w:val="single" w:sz="2" w:space="0" w:color="D9D9E3"/>
                        <w:right w:val="single" w:sz="2" w:space="0" w:color="D9D9E3"/>
                      </w:divBdr>
                      <w:divsChild>
                        <w:div w:id="186070170">
                          <w:marLeft w:val="0"/>
                          <w:marRight w:val="0"/>
                          <w:marTop w:val="0"/>
                          <w:marBottom w:val="0"/>
                          <w:divBdr>
                            <w:top w:val="single" w:sz="2" w:space="0" w:color="auto"/>
                            <w:left w:val="single" w:sz="2" w:space="0" w:color="auto"/>
                            <w:bottom w:val="single" w:sz="6" w:space="0" w:color="auto"/>
                            <w:right w:val="single" w:sz="2" w:space="0" w:color="auto"/>
                          </w:divBdr>
                          <w:divsChild>
                            <w:div w:id="6445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724769">
                                  <w:marLeft w:val="0"/>
                                  <w:marRight w:val="0"/>
                                  <w:marTop w:val="0"/>
                                  <w:marBottom w:val="0"/>
                                  <w:divBdr>
                                    <w:top w:val="single" w:sz="2" w:space="0" w:color="D9D9E3"/>
                                    <w:left w:val="single" w:sz="2" w:space="0" w:color="D9D9E3"/>
                                    <w:bottom w:val="single" w:sz="2" w:space="0" w:color="D9D9E3"/>
                                    <w:right w:val="single" w:sz="2" w:space="0" w:color="D9D9E3"/>
                                  </w:divBdr>
                                  <w:divsChild>
                                    <w:div w:id="1386291942">
                                      <w:marLeft w:val="0"/>
                                      <w:marRight w:val="0"/>
                                      <w:marTop w:val="0"/>
                                      <w:marBottom w:val="0"/>
                                      <w:divBdr>
                                        <w:top w:val="single" w:sz="2" w:space="0" w:color="D9D9E3"/>
                                        <w:left w:val="single" w:sz="2" w:space="0" w:color="D9D9E3"/>
                                        <w:bottom w:val="single" w:sz="2" w:space="0" w:color="D9D9E3"/>
                                        <w:right w:val="single" w:sz="2" w:space="0" w:color="D9D9E3"/>
                                      </w:divBdr>
                                      <w:divsChild>
                                        <w:div w:id="389694995">
                                          <w:marLeft w:val="0"/>
                                          <w:marRight w:val="0"/>
                                          <w:marTop w:val="0"/>
                                          <w:marBottom w:val="0"/>
                                          <w:divBdr>
                                            <w:top w:val="single" w:sz="2" w:space="0" w:color="D9D9E3"/>
                                            <w:left w:val="single" w:sz="2" w:space="0" w:color="D9D9E3"/>
                                            <w:bottom w:val="single" w:sz="2" w:space="0" w:color="D9D9E3"/>
                                            <w:right w:val="single" w:sz="2" w:space="0" w:color="D9D9E3"/>
                                          </w:divBdr>
                                          <w:divsChild>
                                            <w:div w:id="1236939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3606818">
          <w:marLeft w:val="0"/>
          <w:marRight w:val="0"/>
          <w:marTop w:val="0"/>
          <w:marBottom w:val="0"/>
          <w:divBdr>
            <w:top w:val="none" w:sz="0" w:space="0" w:color="auto"/>
            <w:left w:val="none" w:sz="0" w:space="0" w:color="auto"/>
            <w:bottom w:val="none" w:sz="0" w:space="0" w:color="auto"/>
            <w:right w:val="none" w:sz="0" w:space="0" w:color="auto"/>
          </w:divBdr>
        </w:div>
      </w:divsChild>
    </w:div>
    <w:div w:id="2006735695">
      <w:bodyDiv w:val="1"/>
      <w:marLeft w:val="0"/>
      <w:marRight w:val="0"/>
      <w:marTop w:val="0"/>
      <w:marBottom w:val="0"/>
      <w:divBdr>
        <w:top w:val="none" w:sz="0" w:space="0" w:color="auto"/>
        <w:left w:val="none" w:sz="0" w:space="0" w:color="auto"/>
        <w:bottom w:val="none" w:sz="0" w:space="0" w:color="auto"/>
        <w:right w:val="none" w:sz="0" w:space="0" w:color="auto"/>
      </w:divBdr>
    </w:div>
    <w:div w:id="2104689016">
      <w:bodyDiv w:val="1"/>
      <w:marLeft w:val="0"/>
      <w:marRight w:val="0"/>
      <w:marTop w:val="0"/>
      <w:marBottom w:val="0"/>
      <w:divBdr>
        <w:top w:val="none" w:sz="0" w:space="0" w:color="auto"/>
        <w:left w:val="none" w:sz="0" w:space="0" w:color="auto"/>
        <w:bottom w:val="none" w:sz="0" w:space="0" w:color="auto"/>
        <w:right w:val="none" w:sz="0" w:space="0" w:color="auto"/>
      </w:divBdr>
      <w:divsChild>
        <w:div w:id="1305702308">
          <w:marLeft w:val="0"/>
          <w:marRight w:val="0"/>
          <w:marTop w:val="0"/>
          <w:marBottom w:val="0"/>
          <w:divBdr>
            <w:top w:val="none" w:sz="0" w:space="0" w:color="auto"/>
            <w:left w:val="none" w:sz="0" w:space="0" w:color="auto"/>
            <w:bottom w:val="none" w:sz="0" w:space="0" w:color="auto"/>
            <w:right w:val="none" w:sz="0" w:space="0" w:color="auto"/>
          </w:divBdr>
        </w:div>
        <w:div w:id="138308560">
          <w:marLeft w:val="0"/>
          <w:marRight w:val="0"/>
          <w:marTop w:val="0"/>
          <w:marBottom w:val="0"/>
          <w:divBdr>
            <w:top w:val="none" w:sz="0" w:space="0" w:color="auto"/>
            <w:left w:val="none" w:sz="0" w:space="0" w:color="auto"/>
            <w:bottom w:val="none" w:sz="0" w:space="0" w:color="auto"/>
            <w:right w:val="none" w:sz="0" w:space="0" w:color="auto"/>
          </w:divBdr>
        </w:div>
        <w:div w:id="1125195556">
          <w:marLeft w:val="0"/>
          <w:marRight w:val="0"/>
          <w:marTop w:val="0"/>
          <w:marBottom w:val="0"/>
          <w:divBdr>
            <w:top w:val="none" w:sz="0" w:space="0" w:color="auto"/>
            <w:left w:val="none" w:sz="0" w:space="0" w:color="auto"/>
            <w:bottom w:val="none" w:sz="0" w:space="0" w:color="auto"/>
            <w:right w:val="none" w:sz="0" w:space="0" w:color="auto"/>
          </w:divBdr>
        </w:div>
        <w:div w:id="847673357">
          <w:marLeft w:val="0"/>
          <w:marRight w:val="0"/>
          <w:marTop w:val="0"/>
          <w:marBottom w:val="0"/>
          <w:divBdr>
            <w:top w:val="none" w:sz="0" w:space="0" w:color="auto"/>
            <w:left w:val="none" w:sz="0" w:space="0" w:color="auto"/>
            <w:bottom w:val="none" w:sz="0" w:space="0" w:color="auto"/>
            <w:right w:val="none" w:sz="0" w:space="0" w:color="auto"/>
          </w:divBdr>
          <w:divsChild>
            <w:div w:id="645473418">
              <w:marLeft w:val="0"/>
              <w:marRight w:val="0"/>
              <w:marTop w:val="0"/>
              <w:marBottom w:val="0"/>
              <w:divBdr>
                <w:top w:val="none" w:sz="0" w:space="0" w:color="auto"/>
                <w:left w:val="none" w:sz="0" w:space="0" w:color="auto"/>
                <w:bottom w:val="none" w:sz="0" w:space="0" w:color="auto"/>
                <w:right w:val="none" w:sz="0" w:space="0" w:color="auto"/>
              </w:divBdr>
            </w:div>
            <w:div w:id="1557429481">
              <w:marLeft w:val="0"/>
              <w:marRight w:val="0"/>
              <w:marTop w:val="0"/>
              <w:marBottom w:val="0"/>
              <w:divBdr>
                <w:top w:val="none" w:sz="0" w:space="0" w:color="auto"/>
                <w:left w:val="none" w:sz="0" w:space="0" w:color="auto"/>
                <w:bottom w:val="none" w:sz="0" w:space="0" w:color="auto"/>
                <w:right w:val="none" w:sz="0" w:space="0" w:color="auto"/>
              </w:divBdr>
            </w:div>
          </w:divsChild>
        </w:div>
        <w:div w:id="704259775">
          <w:marLeft w:val="0"/>
          <w:marRight w:val="0"/>
          <w:marTop w:val="0"/>
          <w:marBottom w:val="0"/>
          <w:divBdr>
            <w:top w:val="none" w:sz="0" w:space="0" w:color="auto"/>
            <w:left w:val="none" w:sz="0" w:space="0" w:color="auto"/>
            <w:bottom w:val="none" w:sz="0" w:space="0" w:color="auto"/>
            <w:right w:val="none" w:sz="0" w:space="0" w:color="auto"/>
          </w:divBdr>
        </w:div>
        <w:div w:id="85926680">
          <w:marLeft w:val="0"/>
          <w:marRight w:val="0"/>
          <w:marTop w:val="0"/>
          <w:marBottom w:val="0"/>
          <w:divBdr>
            <w:top w:val="none" w:sz="0" w:space="0" w:color="auto"/>
            <w:left w:val="none" w:sz="0" w:space="0" w:color="auto"/>
            <w:bottom w:val="none" w:sz="0" w:space="0" w:color="auto"/>
            <w:right w:val="none" w:sz="0" w:space="0" w:color="auto"/>
          </w:divBdr>
        </w:div>
        <w:div w:id="13458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Report</b:SourceType>
    <b:Guid>{118F92C2-0E22-486F-ACF1-915E871FF9E8}</b:Guid>
    <b:RefOrder>3</b:RefOrder>
  </b:Source>
  <b:Source>
    <b:Tag>Ela13</b:Tag>
    <b:SourceType>Report</b:SourceType>
    <b:Guid>{B7ED829D-D34A-49E3-A6E3-6729D948AB1E}</b:Guid>
    <b:Author>
      <b:Author>
        <b:NameList>
          <b:Person>
            <b:Last>Elaine</b:Last>
            <b:First>Kempson</b:First>
          </b:Person>
          <b:Person>
            <b:Last>Parotti</b:Last>
            <b:First>Valeria</b:First>
          </b:Person>
          <b:Person>
            <b:Last>Kinnon</b:Last>
            <b:First>Scott</b:First>
          </b:Person>
        </b:NameList>
      </b:Author>
    </b:Author>
    <b:Title>Measuring Financial Capability: a new instrument and results from low- and middle-income countries</b:Title>
    <b:Year>2013</b:Year>
    <b:Publisher>The World Bank</b:Publisher>
    <b:City>Washington, DC</b:City>
    <b:RefOrder>4</b:RefOrder>
  </b:Source>
  <b:Source>
    <b:Tag>VKP22</b:Tag>
    <b:SourceType>JournalArticle</b:SourceType>
    <b:Guid>{218BD15D-3B15-4869-934A-1762D05451B5}</b:Guid>
    <b:Year>June 2022</b:Year>
    <b:Author>
      <b:Author>
        <b:NameList>
          <b:Person>
            <b:Last>Parvathy</b:Last>
            <b:First>V.K</b:First>
          </b:Person>
          <b:Person>
            <b:Last>Kumar</b:Last>
            <b:First>Jyothi</b:First>
          </b:Person>
        </b:NameList>
      </b:Author>
    </b:Author>
    <b:JournalName>Managerial Finance</b:JournalName>
    <b:Title>Financial capability and financial wellbeing in community based organizations: mediating role of decision making ability</b:Title>
    <b:RefOrder>1</b:RefOrder>
  </b:Source>
  <b:Source>
    <b:Tag>Fin</b:Tag>
    <b:SourceType>JournalArticle</b:SourceType>
    <b:Guid>{08648B49-59AD-4A92-803F-6C6F9B54AC57}</b:Guid>
    <b:Title>Financial capability and households’ financial vulnerability: evidence for the Spanish case</b:Title>
    <b:Author>
      <b:Author>
        <b:NameList>
          <b:Person>
            <b:Last>Fernandez-Lopez</b:Last>
            <b:First>Sara</b:First>
          </b:Person>
          <b:Person>
            <b:Last>Alvarez-Espino</b:Last>
            <b:First>Marcos</b:First>
          </b:Person>
          <b:Person>
            <b:Last>Castro-Gonzalez</b:Last>
            <b:First>Sandra</b:First>
          </b:Person>
          <b:Person>
            <b:Last>Rey-Ares</b:Last>
            <b:First>Lucia</b:First>
          </b:Person>
        </b:NameList>
      </b:Author>
    </b:Author>
    <b:Year>September 2022</b:Year>
    <b:RefOrder>2</b:RefOrder>
  </b:Source>
  <b:Source>
    <b:Tag>Sah</b:Tag>
    <b:SourceType>JournalArticle</b:SourceType>
    <b:Guid>{D2D71E8D-465F-49FC-BA50-2F4B2E3B6375}</b:Guid>
    <b:Author>
      <b:Author>
        <b:NameList>
          <b:Person>
            <b:Last>Sahi</b:Last>
            <b:First>Shalini</b:First>
            <b:Middle>Kalra</b:Middle>
          </b:Person>
          <b:Person>
            <b:Last>Kalra</b:Last>
            <b:First>Prof.</b:First>
            <b:Middle>Satish Kumar</b:Middle>
          </b:Person>
        </b:NameList>
      </b:Author>
    </b:Author>
    <b:Title>Measuring Financial Risk taking using a dual preference approach for determination of Financial Satisfaction </b:Title>
    <b:RefOrder>5</b:RefOrder>
  </b:Source>
</b:Sources>
</file>

<file path=customXml/itemProps1.xml><?xml version="1.0" encoding="utf-8"?>
<ds:datastoreItem xmlns:ds="http://schemas.openxmlformats.org/officeDocument/2006/customXml" ds:itemID="{A0A8048E-AEC8-4DBA-9473-8E083AE0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21</Pages>
  <Words>7315</Words>
  <Characters>44653</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Chamindhri Wimaladharma</dc:creator>
  <cp:keywords/>
  <dc:description/>
  <cp:lastModifiedBy>SDI PC New 16</cp:lastModifiedBy>
  <cp:revision>52</cp:revision>
  <cp:lastPrinted>2023-07-23T14:08:00Z</cp:lastPrinted>
  <dcterms:created xsi:type="dcterms:W3CDTF">2024-10-30T06:57:00Z</dcterms:created>
  <dcterms:modified xsi:type="dcterms:W3CDTF">2024-11-12T11:51:00Z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55c00ce1121033bf4a810a25735f5dd533f188a6c2c998474fa900ee367afa5a</vt:lpwstr>
  </property>
</Properties>
</file>