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37DD" w14:textId="2A5CC8D3" w:rsidR="00284D43" w:rsidRDefault="00D367DF" w:rsidP="00D367DF">
      <w:pPr>
        <w:jc w:val="center"/>
        <w:rPr>
          <w:rFonts w:cs="Times New Roman"/>
          <w:sz w:val="20"/>
          <w:szCs w:val="20"/>
        </w:rPr>
      </w:pPr>
      <w:r w:rsidRPr="00D367DF">
        <w:rPr>
          <w:rFonts w:cs="Times New Roman"/>
          <w:b/>
          <w:color w:val="388600"/>
          <w:sz w:val="28"/>
          <w:szCs w:val="28"/>
          <w:highlight w:val="yellow"/>
        </w:rPr>
        <w:t>Comparative Outcomes in Patients with Heart Failure with Reduced Ejection Fraction Treated with ACEIs/ARBs Versus Sacubitril/Valsartan</w:t>
      </w:r>
    </w:p>
    <w:p w14:paraId="4F413EDB" w14:textId="77777777" w:rsidR="00284D43" w:rsidRDefault="00E45E70">
      <w:pPr>
        <w:spacing w:line="276" w:lineRule="auto"/>
        <w:jc w:val="center"/>
        <w:rPr>
          <w:sz w:val="20"/>
          <w:szCs w:val="20"/>
        </w:rPr>
      </w:pPr>
      <w:r>
        <w:rPr>
          <w:sz w:val="20"/>
          <w:szCs w:val="20"/>
        </w:rPr>
        <w:t xml:space="preserve"> </w:t>
      </w:r>
    </w:p>
    <w:p w14:paraId="32EE90F9" w14:textId="77777777" w:rsidR="00284D43" w:rsidRDefault="00284D43">
      <w:pPr>
        <w:spacing w:line="276" w:lineRule="auto"/>
        <w:rPr>
          <w:rFonts w:cs="Times New Roman"/>
          <w:b/>
          <w:i/>
          <w:iCs/>
          <w:sz w:val="20"/>
          <w:szCs w:val="20"/>
        </w:rPr>
      </w:pPr>
    </w:p>
    <w:p w14:paraId="745CA2EF" w14:textId="77777777" w:rsidR="00284D43" w:rsidRPr="00D367DF" w:rsidRDefault="00E45E70">
      <w:pPr>
        <w:spacing w:line="276" w:lineRule="auto"/>
        <w:jc w:val="center"/>
        <w:rPr>
          <w:rFonts w:cs="Times New Roman"/>
          <w:b/>
          <w:i/>
          <w:iCs/>
          <w:color w:val="388600"/>
          <w:sz w:val="20"/>
          <w:szCs w:val="20"/>
        </w:rPr>
      </w:pPr>
      <w:r w:rsidRPr="00D367DF">
        <w:rPr>
          <w:rFonts w:cs="Times New Roman"/>
          <w:b/>
          <w:i/>
          <w:iCs/>
          <w:color w:val="388600"/>
          <w:sz w:val="20"/>
          <w:szCs w:val="20"/>
        </w:rPr>
        <w:t>ABSTRACT</w:t>
      </w:r>
    </w:p>
    <w:p w14:paraId="20E3AEA0" w14:textId="1EA121BB" w:rsidR="00284D43" w:rsidRDefault="00E45E70">
      <w:pPr>
        <w:jc w:val="both"/>
        <w:rPr>
          <w:rFonts w:cs="Times New Roman"/>
          <w:i/>
          <w:sz w:val="20"/>
          <w:szCs w:val="20"/>
        </w:rPr>
      </w:pPr>
      <w:r>
        <w:rPr>
          <w:rFonts w:cs="Times New Roman"/>
          <w:b/>
          <w:i/>
          <w:sz w:val="20"/>
          <w:szCs w:val="20"/>
        </w:rPr>
        <w:t xml:space="preserve">Background: </w:t>
      </w:r>
      <w:r>
        <w:rPr>
          <w:rFonts w:cs="Times New Roman"/>
          <w:i/>
          <w:sz w:val="20"/>
          <w:szCs w:val="20"/>
        </w:rPr>
        <w:t>Millions of people worldwide are affected by the very serious condition of heart failure with reduced ejection fraction (</w:t>
      </w:r>
      <w:proofErr w:type="spellStart"/>
      <w:r>
        <w:rPr>
          <w:rFonts w:cs="Times New Roman"/>
          <w:i/>
          <w:sz w:val="20"/>
          <w:szCs w:val="20"/>
        </w:rPr>
        <w:t>HFrEF</w:t>
      </w:r>
      <w:proofErr w:type="spellEnd"/>
      <w:r>
        <w:rPr>
          <w:rFonts w:cs="Times New Roman"/>
          <w:i/>
          <w:sz w:val="20"/>
          <w:szCs w:val="20"/>
        </w:rPr>
        <w:t xml:space="preserve">). Both ACEI/ARB and Sacubitril/Valsartan are important treatments, even though we lack many real-world comparisons. </w:t>
      </w:r>
      <w:r>
        <w:rPr>
          <w:rFonts w:cs="Times New Roman"/>
          <w:b/>
          <w:i/>
          <w:sz w:val="20"/>
          <w:szCs w:val="20"/>
        </w:rPr>
        <w:t>Objective:</w:t>
      </w:r>
      <w:r>
        <w:rPr>
          <w:rFonts w:cs="Times New Roman"/>
          <w:i/>
          <w:sz w:val="20"/>
          <w:szCs w:val="20"/>
        </w:rPr>
        <w:t xml:space="preserve"> </w:t>
      </w:r>
      <w:r w:rsidR="00D367DF" w:rsidRPr="00D367DF">
        <w:rPr>
          <w:rFonts w:cs="Times New Roman"/>
          <w:i/>
          <w:sz w:val="20"/>
          <w:szCs w:val="20"/>
          <w:highlight w:val="yellow"/>
        </w:rPr>
        <w:t xml:space="preserve">the aim of the study is to identify the differences in outcomes observed in patients with </w:t>
      </w:r>
      <w:proofErr w:type="spellStart"/>
      <w:r w:rsidR="00D367DF" w:rsidRPr="00D367DF">
        <w:rPr>
          <w:rFonts w:cs="Times New Roman"/>
          <w:i/>
          <w:sz w:val="20"/>
          <w:szCs w:val="20"/>
          <w:highlight w:val="yellow"/>
        </w:rPr>
        <w:t>HFrEF</w:t>
      </w:r>
      <w:proofErr w:type="spellEnd"/>
      <w:r w:rsidR="00D367DF" w:rsidRPr="00D367DF">
        <w:rPr>
          <w:rFonts w:cs="Times New Roman"/>
          <w:i/>
          <w:sz w:val="20"/>
          <w:szCs w:val="20"/>
          <w:highlight w:val="yellow"/>
        </w:rPr>
        <w:t xml:space="preserve"> taking Sacubitril/Valsartan versus ACEI/ARB treatment</w:t>
      </w:r>
      <w:r>
        <w:rPr>
          <w:rFonts w:cs="Times New Roman"/>
          <w:i/>
          <w:sz w:val="20"/>
          <w:szCs w:val="20"/>
        </w:rPr>
        <w:t xml:space="preserve">. </w:t>
      </w:r>
      <w:r>
        <w:rPr>
          <w:rFonts w:cs="Times New Roman"/>
          <w:b/>
          <w:i/>
          <w:sz w:val="20"/>
          <w:szCs w:val="20"/>
        </w:rPr>
        <w:t>Methodology:</w:t>
      </w:r>
      <w:r>
        <w:rPr>
          <w:rFonts w:cs="Times New Roman"/>
          <w:i/>
          <w:sz w:val="20"/>
          <w:szCs w:val="20"/>
        </w:rPr>
        <w:t xml:space="preserve"> </w:t>
      </w:r>
      <w:r w:rsidR="00D367DF" w:rsidRPr="008B7248">
        <w:rPr>
          <w:rFonts w:cs="Times New Roman"/>
          <w:i/>
          <w:sz w:val="20"/>
          <w:szCs w:val="20"/>
          <w:highlight w:val="yellow"/>
        </w:rPr>
        <w:t xml:space="preserve">An observational cohort study was conducted with 114 patients with </w:t>
      </w:r>
      <w:proofErr w:type="spellStart"/>
      <w:r w:rsidR="00D367DF" w:rsidRPr="008B7248">
        <w:rPr>
          <w:rFonts w:cs="Times New Roman"/>
          <w:i/>
          <w:sz w:val="20"/>
          <w:szCs w:val="20"/>
          <w:highlight w:val="yellow"/>
        </w:rPr>
        <w:t>HFrEF</w:t>
      </w:r>
      <w:proofErr w:type="spellEnd"/>
      <w:r w:rsidR="00D367DF" w:rsidRPr="008B7248">
        <w:rPr>
          <w:rFonts w:cs="Times New Roman"/>
          <w:i/>
          <w:sz w:val="20"/>
          <w:szCs w:val="20"/>
          <w:highlight w:val="yellow"/>
        </w:rPr>
        <w:t xml:space="preserve"> (LVEF ≤40%) and categorized into Group A (treated with ACEI/ARB) and Group B (treated with Sacubitril/Valsartan)</w:t>
      </w:r>
      <w:r w:rsidR="00D367DF">
        <w:rPr>
          <w:rFonts w:cs="Times New Roman"/>
          <w:i/>
          <w:sz w:val="20"/>
          <w:szCs w:val="20"/>
        </w:rPr>
        <w:t xml:space="preserve">. </w:t>
      </w:r>
      <w:r w:rsidR="00D367DF">
        <w:rPr>
          <w:rFonts w:cs="Times New Roman"/>
          <w:i/>
          <w:sz w:val="20"/>
          <w:szCs w:val="20"/>
          <w:highlight w:val="yellow"/>
        </w:rPr>
        <w:t xml:space="preserve"> </w:t>
      </w:r>
      <w:r w:rsidR="008B7248">
        <w:rPr>
          <w:rFonts w:cs="Times New Roman"/>
          <w:i/>
          <w:sz w:val="20"/>
          <w:szCs w:val="20"/>
          <w:highlight w:val="yellow"/>
        </w:rPr>
        <w:t>The study timeline was</w:t>
      </w:r>
      <w:r w:rsidRPr="00D367DF">
        <w:rPr>
          <w:rFonts w:cs="Times New Roman"/>
          <w:i/>
          <w:sz w:val="20"/>
          <w:szCs w:val="20"/>
          <w:highlight w:val="yellow"/>
        </w:rPr>
        <w:t xml:space="preserve"> July 2023 and September 2024 at Ibrahim Cardiac Hospital &amp; Research </w:t>
      </w:r>
      <w:r w:rsidR="00D367DF" w:rsidRPr="00D367DF">
        <w:rPr>
          <w:rFonts w:cs="Times New Roman"/>
          <w:i/>
          <w:sz w:val="20"/>
          <w:szCs w:val="20"/>
          <w:highlight w:val="yellow"/>
        </w:rPr>
        <w:t>Institute</w:t>
      </w:r>
      <w:r w:rsidR="00D367DF">
        <w:rPr>
          <w:rFonts w:cs="Times New Roman"/>
          <w:i/>
          <w:sz w:val="20"/>
          <w:szCs w:val="20"/>
        </w:rPr>
        <w:t xml:space="preserve">. </w:t>
      </w:r>
      <w:r>
        <w:rPr>
          <w:rFonts w:cs="Times New Roman"/>
          <w:i/>
          <w:sz w:val="20"/>
          <w:szCs w:val="20"/>
        </w:rPr>
        <w:t>Relevant measurements (EF, SBP, HR, NT-</w:t>
      </w:r>
      <w:proofErr w:type="spellStart"/>
      <w:r>
        <w:rPr>
          <w:rFonts w:cs="Times New Roman"/>
          <w:i/>
          <w:sz w:val="20"/>
          <w:szCs w:val="20"/>
        </w:rPr>
        <w:t>proBNP</w:t>
      </w:r>
      <w:proofErr w:type="spellEnd"/>
      <w:r>
        <w:rPr>
          <w:rFonts w:cs="Times New Roman"/>
          <w:i/>
          <w:sz w:val="20"/>
          <w:szCs w:val="20"/>
        </w:rPr>
        <w:t xml:space="preserve">, eGFR, potassium, NYHA class, symptoms, and adverse events) were recorded both before and after treatment. The statistical analysis employed SPSS for </w:t>
      </w:r>
      <w:r w:rsidRPr="008B7248">
        <w:rPr>
          <w:rFonts w:cs="Times New Roman"/>
          <w:i/>
          <w:sz w:val="20"/>
          <w:szCs w:val="20"/>
          <w:highlight w:val="yellow"/>
        </w:rPr>
        <w:t>t-tests, chi-square tests, and odds ratios (only the results with p&lt;0.05 were considered significant)</w:t>
      </w:r>
      <w:r>
        <w:rPr>
          <w:rFonts w:cs="Times New Roman"/>
          <w:i/>
          <w:sz w:val="20"/>
          <w:szCs w:val="20"/>
        </w:rPr>
        <w:t xml:space="preserve">. </w:t>
      </w:r>
      <w:r>
        <w:rPr>
          <w:rFonts w:cs="Times New Roman"/>
          <w:b/>
          <w:i/>
          <w:sz w:val="20"/>
          <w:szCs w:val="20"/>
        </w:rPr>
        <w:t>Result:</w:t>
      </w:r>
      <w:r>
        <w:rPr>
          <w:rFonts w:cs="Times New Roman"/>
          <w:i/>
          <w:sz w:val="20"/>
          <w:szCs w:val="20"/>
        </w:rPr>
        <w:t xml:space="preserve"> The mean baseline EF was lower for Group B (33.69%) than for Group A (36.67%), and this difference was significant (p=0.017). Following the treatment course, there was no real difference in EF improvement between the groups (Group A: 53.3%, Group B: 58.0%, p=0.473). The SBP was lower in Group B (115.6 mmHg) than in Group A (125.0 mmHg), and this difference was statistically significant (p=0.023). Group A had an 87.5% increase in NYHA Class I, higher than Group B’s 67.8% (p=0.056). Similar adverse effects were noted in patients (hyperkalemia, hypotension, renal impairment). Mortality (4.2% for group A and 2.2% for group B) and rehospitalization (4.2% for group A and 1.1% for group B) were not significantly different (p&gt;0.05). There were no major differences in symptom relief for dyspnea, orthopnea, or PND (p&gt;0.6). </w:t>
      </w:r>
      <w:r>
        <w:rPr>
          <w:rFonts w:cs="Times New Roman"/>
          <w:b/>
          <w:i/>
          <w:sz w:val="20"/>
          <w:szCs w:val="20"/>
        </w:rPr>
        <w:t>Conclusion:</w:t>
      </w:r>
      <w:r>
        <w:rPr>
          <w:rFonts w:cs="Times New Roman"/>
          <w:i/>
          <w:sz w:val="20"/>
          <w:szCs w:val="20"/>
        </w:rPr>
        <w:t xml:space="preserve"> Sacubitril/Valsartan and Enalapril were found to be effective in treating </w:t>
      </w:r>
      <w:proofErr w:type="spellStart"/>
      <w:r>
        <w:rPr>
          <w:rFonts w:cs="Times New Roman"/>
          <w:i/>
          <w:sz w:val="20"/>
          <w:szCs w:val="20"/>
        </w:rPr>
        <w:t>HFrEF</w:t>
      </w:r>
      <w:proofErr w:type="spellEnd"/>
      <w:r>
        <w:rPr>
          <w:rFonts w:cs="Times New Roman"/>
          <w:i/>
          <w:sz w:val="20"/>
          <w:szCs w:val="20"/>
        </w:rPr>
        <w:t xml:space="preserve"> and gave similar safety and outcome results, though Sacubitril/Valsartan did a better job of controlling the heart’s blood flow.</w:t>
      </w:r>
    </w:p>
    <w:p w14:paraId="59AEF715" w14:textId="77777777" w:rsidR="00284D43" w:rsidRDefault="00284D43">
      <w:pPr>
        <w:jc w:val="both"/>
        <w:rPr>
          <w:rFonts w:cs="Times New Roman"/>
          <w:i/>
          <w:sz w:val="20"/>
          <w:szCs w:val="20"/>
        </w:rPr>
      </w:pPr>
    </w:p>
    <w:p w14:paraId="2849BAFF" w14:textId="77777777" w:rsidR="00284D43" w:rsidRDefault="00E45E70">
      <w:pPr>
        <w:jc w:val="both"/>
        <w:rPr>
          <w:rFonts w:cs="Times New Roman"/>
          <w:i/>
          <w:sz w:val="20"/>
          <w:szCs w:val="20"/>
        </w:rPr>
      </w:pPr>
      <w:r>
        <w:rPr>
          <w:rFonts w:cs="Times New Roman"/>
          <w:b/>
          <w:i/>
          <w:sz w:val="20"/>
          <w:szCs w:val="20"/>
        </w:rPr>
        <w:t xml:space="preserve">Keywords: </w:t>
      </w:r>
      <w:r>
        <w:rPr>
          <w:rFonts w:cs="Times New Roman"/>
          <w:i/>
          <w:sz w:val="20"/>
          <w:szCs w:val="20"/>
        </w:rPr>
        <w:t>Heart failure,</w:t>
      </w:r>
      <w:r>
        <w:rPr>
          <w:rFonts w:cs="Times New Roman"/>
          <w:b/>
          <w:i/>
          <w:sz w:val="20"/>
          <w:szCs w:val="20"/>
        </w:rPr>
        <w:t xml:space="preserve"> </w:t>
      </w:r>
      <w:proofErr w:type="spellStart"/>
      <w:r>
        <w:rPr>
          <w:rFonts w:cs="Times New Roman"/>
          <w:i/>
          <w:sz w:val="20"/>
          <w:szCs w:val="20"/>
        </w:rPr>
        <w:t>HFrEF</w:t>
      </w:r>
      <w:proofErr w:type="spellEnd"/>
      <w:r>
        <w:rPr>
          <w:rFonts w:cs="Times New Roman"/>
          <w:i/>
          <w:sz w:val="20"/>
          <w:szCs w:val="20"/>
        </w:rPr>
        <w:t>, Sacubitril/Valsartan, ACEI/ARB, ejection fraction, NYHA class</w:t>
      </w:r>
    </w:p>
    <w:p w14:paraId="5EAD7F45" w14:textId="77777777" w:rsidR="00284D43" w:rsidRDefault="00284D43">
      <w:pPr>
        <w:jc w:val="both"/>
        <w:rPr>
          <w:rFonts w:cs="Times New Roman"/>
          <w:i/>
          <w:sz w:val="20"/>
          <w:szCs w:val="20"/>
        </w:rPr>
      </w:pPr>
    </w:p>
    <w:p w14:paraId="2F977E5D" w14:textId="77777777" w:rsidR="00284D43" w:rsidRDefault="00284D43">
      <w:pPr>
        <w:jc w:val="both"/>
        <w:rPr>
          <w:rFonts w:cs="Times New Roman"/>
          <w:sz w:val="20"/>
          <w:szCs w:val="20"/>
        </w:rPr>
      </w:pPr>
    </w:p>
    <w:p w14:paraId="61D77253" w14:textId="77777777" w:rsidR="00284D43" w:rsidRDefault="00E45E70">
      <w:pPr>
        <w:pStyle w:val="NoSpacing"/>
        <w:rPr>
          <w:lang w:bidi="bn-BD"/>
        </w:rPr>
      </w:pPr>
      <w:r>
        <w:rPr>
          <w:b/>
        </w:rPr>
        <w:t>Abbreviation</w:t>
      </w:r>
      <w:r>
        <w:br/>
      </w:r>
      <w:r>
        <w:rPr>
          <w:b/>
          <w:lang w:bidi="bn-BD"/>
        </w:rPr>
        <w:t>HF =</w:t>
      </w:r>
      <w:r>
        <w:rPr>
          <w:lang w:bidi="bn-BD"/>
        </w:rPr>
        <w:t xml:space="preserve"> Heart Failure </w:t>
      </w:r>
    </w:p>
    <w:p w14:paraId="2149D15E" w14:textId="77777777" w:rsidR="00284D43" w:rsidRDefault="00E45E70">
      <w:pPr>
        <w:pStyle w:val="NoSpacing"/>
        <w:rPr>
          <w:b/>
          <w:lang w:bidi="bn-BD"/>
        </w:rPr>
      </w:pPr>
      <w:r>
        <w:rPr>
          <w:b/>
          <w:lang w:bidi="bn-BD"/>
        </w:rPr>
        <w:t>EF =</w:t>
      </w:r>
      <w:r>
        <w:rPr>
          <w:lang w:bidi="bn-BD"/>
        </w:rPr>
        <w:t xml:space="preserve"> Ejection Fraction</w:t>
      </w:r>
      <w:r>
        <w:rPr>
          <w:b/>
          <w:lang w:bidi="bn-BD"/>
        </w:rPr>
        <w:t xml:space="preserve">                                                                                                                                                                                  </w:t>
      </w:r>
    </w:p>
    <w:p w14:paraId="27F1B640" w14:textId="77777777" w:rsidR="00284D43" w:rsidRDefault="00E45E70">
      <w:pPr>
        <w:pStyle w:val="NoSpacing"/>
        <w:rPr>
          <w:lang w:bidi="bn-BD"/>
        </w:rPr>
      </w:pPr>
      <w:proofErr w:type="spellStart"/>
      <w:r>
        <w:rPr>
          <w:b/>
          <w:lang w:bidi="bn-BD"/>
        </w:rPr>
        <w:t>HFrEF</w:t>
      </w:r>
      <w:proofErr w:type="spellEnd"/>
      <w:r>
        <w:rPr>
          <w:b/>
          <w:lang w:bidi="bn-BD"/>
        </w:rPr>
        <w:t>=</w:t>
      </w:r>
      <w:r>
        <w:rPr>
          <w:lang w:bidi="bn-BD"/>
        </w:rPr>
        <w:t xml:space="preserve"> Heart Failure with Reduced Ejection fraction </w:t>
      </w:r>
      <w:r>
        <w:rPr>
          <w:b/>
          <w:lang w:bidi="bn-BD"/>
        </w:rPr>
        <w:t xml:space="preserve">                                                                                                                                                                                  </w:t>
      </w:r>
    </w:p>
    <w:p w14:paraId="7EE98A71" w14:textId="77777777" w:rsidR="00284D43" w:rsidRDefault="00E45E70">
      <w:pPr>
        <w:pStyle w:val="NoSpacing"/>
        <w:rPr>
          <w:lang w:bidi="bn-BD"/>
        </w:rPr>
      </w:pPr>
      <w:r>
        <w:rPr>
          <w:b/>
          <w:lang w:bidi="bn-BD"/>
        </w:rPr>
        <w:t>ACEI=</w:t>
      </w:r>
      <w:r>
        <w:rPr>
          <w:lang w:bidi="bn-BD"/>
        </w:rPr>
        <w:t xml:space="preserve"> Angiotensin-converting enzyme inhibitor</w:t>
      </w:r>
    </w:p>
    <w:p w14:paraId="6070FF0B" w14:textId="77777777" w:rsidR="00284D43" w:rsidRDefault="00E45E70">
      <w:pPr>
        <w:pStyle w:val="NoSpacing"/>
        <w:rPr>
          <w:lang w:bidi="bn-BD"/>
        </w:rPr>
      </w:pPr>
      <w:r>
        <w:rPr>
          <w:b/>
          <w:lang w:bidi="bn-BD"/>
        </w:rPr>
        <w:t>ARB=</w:t>
      </w:r>
      <w:r>
        <w:rPr>
          <w:lang w:bidi="bn-BD"/>
        </w:rPr>
        <w:t xml:space="preserve"> Angiotensin II receptor blocker</w:t>
      </w:r>
    </w:p>
    <w:p w14:paraId="69F53BB6" w14:textId="77777777" w:rsidR="00284D43" w:rsidRDefault="00E45E70">
      <w:pPr>
        <w:pStyle w:val="NoSpacing"/>
        <w:rPr>
          <w:lang w:bidi="bn-BD"/>
        </w:rPr>
      </w:pPr>
      <w:r>
        <w:rPr>
          <w:b/>
          <w:lang w:bidi="bn-BD"/>
        </w:rPr>
        <w:t>ARNI=</w:t>
      </w:r>
      <w:r>
        <w:rPr>
          <w:lang w:bidi="bn-BD"/>
        </w:rPr>
        <w:t xml:space="preserve"> Angiotensin receptor-neprilysin inhibitor</w:t>
      </w:r>
    </w:p>
    <w:p w14:paraId="0000927B" w14:textId="77777777" w:rsidR="00284D43" w:rsidRDefault="00E45E70">
      <w:pPr>
        <w:pStyle w:val="NoSpacing"/>
        <w:rPr>
          <w:lang w:bidi="bn-BD"/>
        </w:rPr>
      </w:pPr>
      <w:r>
        <w:rPr>
          <w:b/>
          <w:lang w:bidi="bn-BD"/>
        </w:rPr>
        <w:t>GDMT=</w:t>
      </w:r>
      <w:r>
        <w:rPr>
          <w:lang w:bidi="bn-BD"/>
        </w:rPr>
        <w:t xml:space="preserve"> Guideline-directed medical therapy</w:t>
      </w:r>
    </w:p>
    <w:p w14:paraId="31003899" w14:textId="77777777" w:rsidR="00284D43" w:rsidRDefault="00E45E70">
      <w:pPr>
        <w:pStyle w:val="NoSpacing"/>
      </w:pPr>
      <w:r>
        <w:rPr>
          <w:b/>
          <w:lang w:bidi="bn-BD"/>
        </w:rPr>
        <w:t>MRA=</w:t>
      </w:r>
      <w:r>
        <w:rPr>
          <w:lang w:bidi="bn-BD"/>
        </w:rPr>
        <w:tab/>
        <w:t>Mineralocorticoid receptor antagonist</w:t>
      </w:r>
    </w:p>
    <w:p w14:paraId="70881D19" w14:textId="77777777" w:rsidR="00284D43" w:rsidRDefault="00284D43">
      <w:pPr>
        <w:jc w:val="both"/>
        <w:rPr>
          <w:rFonts w:cs="Times New Roman"/>
          <w:sz w:val="20"/>
          <w:szCs w:val="20"/>
        </w:rPr>
      </w:pPr>
    </w:p>
    <w:p w14:paraId="30D135B4" w14:textId="77777777" w:rsidR="00284D43" w:rsidRPr="00D367DF" w:rsidRDefault="00E45E70">
      <w:pPr>
        <w:pStyle w:val="ListParagraph"/>
        <w:numPr>
          <w:ilvl w:val="0"/>
          <w:numId w:val="1"/>
        </w:numPr>
        <w:ind w:left="270" w:hanging="270"/>
        <w:jc w:val="both"/>
        <w:rPr>
          <w:b/>
          <w:color w:val="388600"/>
          <w:sz w:val="20"/>
          <w:szCs w:val="20"/>
        </w:rPr>
      </w:pPr>
      <w:r w:rsidRPr="00D367DF">
        <w:rPr>
          <w:b/>
          <w:color w:val="388600"/>
          <w:sz w:val="20"/>
          <w:szCs w:val="20"/>
        </w:rPr>
        <w:t>INTRODUCTION</w:t>
      </w:r>
      <w:r w:rsidRPr="00D367DF">
        <w:rPr>
          <w:b/>
          <w:color w:val="388600"/>
          <w:sz w:val="20"/>
          <w:szCs w:val="20"/>
        </w:rPr>
        <w:br/>
      </w:r>
    </w:p>
    <w:p w14:paraId="65060A56" w14:textId="1F2B2AB8" w:rsidR="00284D43" w:rsidRPr="00D367DF" w:rsidRDefault="00E45E70" w:rsidP="009030DC">
      <w:pPr>
        <w:jc w:val="both"/>
        <w:rPr>
          <w:rFonts w:cs="Times New Roman"/>
          <w:b/>
          <w:color w:val="388600"/>
          <w:sz w:val="20"/>
          <w:szCs w:val="20"/>
        </w:rPr>
      </w:pPr>
      <w:r>
        <w:rPr>
          <w:rFonts w:cs="Times New Roman"/>
          <w:sz w:val="20"/>
          <w:szCs w:val="20"/>
        </w:rPr>
        <w:t xml:space="preserve">Heart Failure (HF), a complex life-threatening symptom characterized by the heart's inability to pump enough blood to function the body </w:t>
      </w:r>
      <w:sdt>
        <w:sdtPr>
          <w:rPr>
            <w:rFonts w:cs="Times New Roman"/>
            <w:sz w:val="20"/>
            <w:szCs w:val="20"/>
          </w:rPr>
          <w:id w:val="1788700450"/>
        </w:sdtPr>
        <w:sdtContent>
          <w:r>
            <w:rPr>
              <w:rFonts w:cs="Times New Roman"/>
              <w:sz w:val="20"/>
              <w:szCs w:val="20"/>
            </w:rPr>
            <w:fldChar w:fldCharType="begin"/>
          </w:r>
          <w:r>
            <w:rPr>
              <w:rFonts w:cs="Times New Roman"/>
              <w:sz w:val="20"/>
              <w:szCs w:val="20"/>
            </w:rPr>
            <w:instrText xml:space="preserve"> CITATION Pir25 \l 1033 </w:instrText>
          </w:r>
          <w:r>
            <w:rPr>
              <w:rFonts w:cs="Times New Roman"/>
              <w:sz w:val="20"/>
              <w:szCs w:val="20"/>
            </w:rPr>
            <w:fldChar w:fldCharType="separate"/>
          </w:r>
          <w:r>
            <w:rPr>
              <w:rFonts w:cs="Times New Roman"/>
              <w:sz w:val="20"/>
              <w:szCs w:val="20"/>
            </w:rPr>
            <w:t>(Pirbhat Shams, 2025)</w:t>
          </w:r>
          <w:r>
            <w:rPr>
              <w:rFonts w:cs="Times New Roman"/>
              <w:sz w:val="20"/>
              <w:szCs w:val="20"/>
            </w:rPr>
            <w:fldChar w:fldCharType="end"/>
          </w:r>
        </w:sdtContent>
      </w:sdt>
      <w:r>
        <w:rPr>
          <w:rFonts w:cs="Times New Roman"/>
          <w:sz w:val="20"/>
          <w:szCs w:val="20"/>
        </w:rPr>
        <w:t xml:space="preserve">. Globally, 64 million people are affected by Congestive Heart Failure </w:t>
      </w:r>
      <w:sdt>
        <w:sdtPr>
          <w:rPr>
            <w:rFonts w:cs="Times New Roman"/>
            <w:sz w:val="20"/>
            <w:szCs w:val="20"/>
          </w:rPr>
          <w:id w:val="2105374185"/>
        </w:sdtPr>
        <w:sdtContent>
          <w:r>
            <w:rPr>
              <w:rFonts w:cs="Times New Roman"/>
              <w:sz w:val="20"/>
              <w:szCs w:val="20"/>
            </w:rPr>
            <w:fldChar w:fldCharType="begin"/>
          </w:r>
          <w:r>
            <w:rPr>
              <w:rFonts w:cs="Times New Roman"/>
              <w:sz w:val="20"/>
              <w:szCs w:val="20"/>
            </w:rPr>
            <w:instrText xml:space="preserve"> CITATION Gia23 \l 1033 </w:instrText>
          </w:r>
          <w:r>
            <w:rPr>
              <w:rFonts w:cs="Times New Roman"/>
              <w:sz w:val="20"/>
              <w:szCs w:val="20"/>
            </w:rPr>
            <w:fldChar w:fldCharType="separate"/>
          </w:r>
          <w:r>
            <w:rPr>
              <w:rFonts w:cs="Times New Roman"/>
              <w:sz w:val="20"/>
              <w:szCs w:val="20"/>
            </w:rPr>
            <w:t>(Gianluigi Savarese, 2023)</w:t>
          </w:r>
          <w:r>
            <w:rPr>
              <w:rFonts w:cs="Times New Roman"/>
              <w:sz w:val="20"/>
              <w:szCs w:val="20"/>
            </w:rPr>
            <w:fldChar w:fldCharType="end"/>
          </w:r>
        </w:sdtContent>
      </w:sdt>
      <w:r>
        <w:rPr>
          <w:rFonts w:cs="Times New Roman"/>
          <w:sz w:val="20"/>
          <w:szCs w:val="20"/>
        </w:rPr>
        <w:t xml:space="preserve">. Murphy </w:t>
      </w:r>
      <w:r>
        <w:rPr>
          <w:rFonts w:cs="Times New Roman"/>
          <w:i/>
          <w:sz w:val="20"/>
          <w:szCs w:val="20"/>
        </w:rPr>
        <w:t>et al.</w:t>
      </w:r>
      <w:r>
        <w:rPr>
          <w:rFonts w:cs="Times New Roman"/>
          <w:sz w:val="20"/>
          <w:szCs w:val="20"/>
        </w:rPr>
        <w:t xml:space="preserve">, 2020 stated that among Chronic Heart Failure (CHF) patients, about 7.2% die within one year and 31.9% need to be hospitalized, but for acute heart failure patients, these numbers rise to 17.4% for mortality and 43.9% for hospitalizations </w:t>
      </w:r>
      <w:sdt>
        <w:sdtPr>
          <w:rPr>
            <w:rFonts w:cs="Times New Roman"/>
            <w:sz w:val="20"/>
            <w:szCs w:val="20"/>
          </w:rPr>
          <w:id w:val="-128706984"/>
        </w:sdtPr>
        <w:sdtContent>
          <w:r>
            <w:rPr>
              <w:rFonts w:cs="Times New Roman"/>
              <w:sz w:val="20"/>
              <w:szCs w:val="20"/>
            </w:rPr>
            <w:fldChar w:fldCharType="begin"/>
          </w:r>
          <w:r>
            <w:rPr>
              <w:rFonts w:cs="Times New Roman"/>
              <w:sz w:val="20"/>
              <w:szCs w:val="20"/>
            </w:rPr>
            <w:instrText xml:space="preserve"> CITATION Sea20 \l 1033 </w:instrText>
          </w:r>
          <w:r>
            <w:rPr>
              <w:rFonts w:cs="Times New Roman"/>
              <w:sz w:val="20"/>
              <w:szCs w:val="20"/>
            </w:rPr>
            <w:fldChar w:fldCharType="separate"/>
          </w:r>
          <w:r>
            <w:rPr>
              <w:rFonts w:cs="Times New Roman"/>
              <w:sz w:val="20"/>
              <w:szCs w:val="20"/>
            </w:rPr>
            <w:t>(Sean P. Murphy, 2020)</w:t>
          </w:r>
          <w:r>
            <w:rPr>
              <w:rFonts w:cs="Times New Roman"/>
              <w:sz w:val="20"/>
              <w:szCs w:val="20"/>
            </w:rPr>
            <w:fldChar w:fldCharType="end"/>
          </w:r>
        </w:sdtContent>
      </w:sdt>
      <w:r>
        <w:rPr>
          <w:rFonts w:cs="Times New Roman"/>
          <w:sz w:val="20"/>
          <w:szCs w:val="20"/>
        </w:rPr>
        <w:t xml:space="preserve">. Commonly, HF results from ischemic heart disease, but some associated factors, including hypertension, valvular disease, and myocarditis, can worsen the condition </w:t>
      </w:r>
      <w:sdt>
        <w:sdtPr>
          <w:rPr>
            <w:rFonts w:cs="Times New Roman"/>
            <w:sz w:val="20"/>
            <w:szCs w:val="20"/>
          </w:rPr>
          <w:id w:val="-1344774461"/>
        </w:sdtPr>
        <w:sdtContent>
          <w:r>
            <w:rPr>
              <w:rFonts w:cs="Times New Roman"/>
              <w:sz w:val="20"/>
              <w:szCs w:val="20"/>
            </w:rPr>
            <w:fldChar w:fldCharType="begin"/>
          </w:r>
          <w:r>
            <w:rPr>
              <w:rFonts w:cs="Times New Roman"/>
              <w:sz w:val="20"/>
              <w:szCs w:val="20"/>
            </w:rPr>
            <w:instrText xml:space="preserve"> CITATION Pir25 \l 1033 </w:instrText>
          </w:r>
          <w:r>
            <w:rPr>
              <w:rFonts w:cs="Times New Roman"/>
              <w:sz w:val="20"/>
              <w:szCs w:val="20"/>
            </w:rPr>
            <w:fldChar w:fldCharType="separate"/>
          </w:r>
          <w:r>
            <w:rPr>
              <w:rFonts w:cs="Times New Roman"/>
              <w:sz w:val="20"/>
              <w:szCs w:val="20"/>
            </w:rPr>
            <w:t>(Pirbhat Shams, 2025)</w:t>
          </w:r>
          <w:r>
            <w:rPr>
              <w:rFonts w:cs="Times New Roman"/>
              <w:sz w:val="20"/>
              <w:szCs w:val="20"/>
            </w:rPr>
            <w:fldChar w:fldCharType="end"/>
          </w:r>
        </w:sdtContent>
      </w:sdt>
      <w:r>
        <w:rPr>
          <w:rFonts w:cs="Times New Roman"/>
          <w:sz w:val="20"/>
          <w:szCs w:val="20"/>
        </w:rPr>
        <w:t>. Heart failure with reduced ejection fraction (</w:t>
      </w:r>
      <w:proofErr w:type="spellStart"/>
      <w:r>
        <w:rPr>
          <w:rFonts w:cs="Times New Roman"/>
          <w:sz w:val="20"/>
          <w:szCs w:val="20"/>
        </w:rPr>
        <w:t>HFrEF</w:t>
      </w:r>
      <w:proofErr w:type="spellEnd"/>
      <w:r>
        <w:rPr>
          <w:rFonts w:cs="Times New Roman"/>
          <w:sz w:val="20"/>
          <w:szCs w:val="20"/>
        </w:rPr>
        <w:t xml:space="preserve">) is a condition described as the left ventricular ejection fraction falling below 40% and is accompanied by worsening dilation and negative heart changes </w:t>
      </w:r>
      <w:sdt>
        <w:sdtPr>
          <w:rPr>
            <w:rFonts w:cs="Times New Roman"/>
            <w:sz w:val="20"/>
            <w:szCs w:val="20"/>
          </w:rPr>
          <w:id w:val="-699317644"/>
        </w:sdtPr>
        <w:sdtContent>
          <w:r>
            <w:rPr>
              <w:rFonts w:cs="Times New Roman"/>
              <w:sz w:val="20"/>
              <w:szCs w:val="20"/>
            </w:rPr>
            <w:fldChar w:fldCharType="begin"/>
          </w:r>
          <w:r>
            <w:rPr>
              <w:rFonts w:cs="Times New Roman"/>
              <w:sz w:val="20"/>
              <w:szCs w:val="20"/>
            </w:rPr>
            <w:instrText xml:space="preserve"> CITATION Sea20 \l 1033 </w:instrText>
          </w:r>
          <w:r>
            <w:rPr>
              <w:rFonts w:cs="Times New Roman"/>
              <w:sz w:val="20"/>
              <w:szCs w:val="20"/>
            </w:rPr>
            <w:fldChar w:fldCharType="separate"/>
          </w:r>
          <w:r>
            <w:rPr>
              <w:rFonts w:cs="Times New Roman"/>
              <w:sz w:val="20"/>
              <w:szCs w:val="20"/>
            </w:rPr>
            <w:t>(Sean P. Murphy, 2020)</w:t>
          </w:r>
          <w:r>
            <w:rPr>
              <w:rFonts w:cs="Times New Roman"/>
              <w:sz w:val="20"/>
              <w:szCs w:val="20"/>
            </w:rPr>
            <w:fldChar w:fldCharType="end"/>
          </w:r>
        </w:sdtContent>
      </w:sdt>
      <w:r>
        <w:rPr>
          <w:rFonts w:cs="Times New Roman"/>
          <w:sz w:val="20"/>
          <w:szCs w:val="20"/>
        </w:rPr>
        <w:t xml:space="preserve">. For a long time, using ACEIs and ARBs as RAAS inhibitors has led to better results in heart failure </w:t>
      </w:r>
      <w:sdt>
        <w:sdtPr>
          <w:rPr>
            <w:rFonts w:cs="Times New Roman"/>
            <w:sz w:val="20"/>
            <w:szCs w:val="20"/>
          </w:rPr>
          <w:id w:val="-706029492"/>
        </w:sdtPr>
        <w:sdtContent>
          <w:r>
            <w:rPr>
              <w:rFonts w:cs="Times New Roman"/>
              <w:sz w:val="20"/>
              <w:szCs w:val="20"/>
            </w:rPr>
            <w:fldChar w:fldCharType="begin"/>
          </w:r>
          <w:r>
            <w:rPr>
              <w:rFonts w:cs="Times New Roman"/>
              <w:sz w:val="20"/>
              <w:szCs w:val="20"/>
            </w:rPr>
            <w:instrText xml:space="preserve"> CITATION Pet19 \l 1033 </w:instrText>
          </w:r>
          <w:r>
            <w:rPr>
              <w:rFonts w:cs="Times New Roman"/>
              <w:sz w:val="20"/>
              <w:szCs w:val="20"/>
            </w:rPr>
            <w:fldChar w:fldCharType="separate"/>
          </w:r>
          <w:r>
            <w:rPr>
              <w:rFonts w:cs="Times New Roman"/>
              <w:sz w:val="20"/>
              <w:szCs w:val="20"/>
            </w:rPr>
            <w:t>(Petar M Seferovic, 2019)</w:t>
          </w:r>
          <w:r>
            <w:rPr>
              <w:rFonts w:cs="Times New Roman"/>
              <w:sz w:val="20"/>
              <w:szCs w:val="20"/>
            </w:rPr>
            <w:fldChar w:fldCharType="end"/>
          </w:r>
        </w:sdtContent>
      </w:sdt>
      <w:sdt>
        <w:sdtPr>
          <w:rPr>
            <w:rFonts w:cs="Times New Roman"/>
            <w:sz w:val="20"/>
            <w:szCs w:val="20"/>
          </w:rPr>
          <w:id w:val="-1810617173"/>
        </w:sdtPr>
        <w:sdtContent>
          <w:r>
            <w:rPr>
              <w:rFonts w:cs="Times New Roman"/>
              <w:sz w:val="20"/>
              <w:szCs w:val="20"/>
            </w:rPr>
            <w:fldChar w:fldCharType="begin"/>
          </w:r>
          <w:r>
            <w:rPr>
              <w:rFonts w:cs="Times New Roman"/>
              <w:sz w:val="20"/>
              <w:szCs w:val="20"/>
            </w:rPr>
            <w:instrText xml:space="preserve"> CITATION Cly17 \l 1033 </w:instrText>
          </w:r>
          <w:r>
            <w:rPr>
              <w:rFonts w:cs="Times New Roman"/>
              <w:sz w:val="20"/>
              <w:szCs w:val="20"/>
            </w:rPr>
            <w:fldChar w:fldCharType="separate"/>
          </w:r>
          <w:r>
            <w:rPr>
              <w:rFonts w:cs="Times New Roman"/>
              <w:sz w:val="20"/>
              <w:szCs w:val="20"/>
            </w:rPr>
            <w:t xml:space="preserve"> (Clyde W Yancy, 2017)</w:t>
          </w:r>
          <w:r>
            <w:rPr>
              <w:rFonts w:cs="Times New Roman"/>
              <w:sz w:val="20"/>
              <w:szCs w:val="20"/>
            </w:rPr>
            <w:fldChar w:fldCharType="end"/>
          </w:r>
        </w:sdtContent>
      </w:sdt>
      <w:r>
        <w:rPr>
          <w:rFonts w:cs="Times New Roman"/>
          <w:sz w:val="20"/>
          <w:szCs w:val="20"/>
        </w:rPr>
        <w:t xml:space="preserve">. In </w:t>
      </w:r>
      <w:proofErr w:type="spellStart"/>
      <w:r>
        <w:rPr>
          <w:rFonts w:cs="Times New Roman"/>
          <w:sz w:val="20"/>
          <w:szCs w:val="20"/>
        </w:rPr>
        <w:t>HFrEF</w:t>
      </w:r>
      <w:proofErr w:type="spellEnd"/>
      <w:r>
        <w:rPr>
          <w:rFonts w:cs="Times New Roman"/>
          <w:sz w:val="20"/>
          <w:szCs w:val="20"/>
        </w:rPr>
        <w:t xml:space="preserve">, sacubitril/valsartan, which combines an ARB and a neprilysin inhibitor, was shown to reduce mortality and hospitalizations during the PARADIGM-HF trial </w:t>
      </w:r>
      <w:sdt>
        <w:sdtPr>
          <w:rPr>
            <w:rFonts w:cs="Times New Roman"/>
            <w:sz w:val="20"/>
            <w:szCs w:val="20"/>
          </w:rPr>
          <w:id w:val="1948200311"/>
        </w:sdtPr>
        <w:sdtContent>
          <w:r>
            <w:rPr>
              <w:rFonts w:cs="Times New Roman"/>
              <w:sz w:val="20"/>
              <w:szCs w:val="20"/>
            </w:rPr>
            <w:fldChar w:fldCharType="begin"/>
          </w:r>
          <w:r>
            <w:rPr>
              <w:rFonts w:cs="Times New Roman"/>
              <w:sz w:val="20"/>
              <w:szCs w:val="20"/>
            </w:rPr>
            <w:instrText xml:space="preserve"> CITATION Joh14 \l 1033 </w:instrText>
          </w:r>
          <w:r>
            <w:rPr>
              <w:rFonts w:cs="Times New Roman"/>
              <w:sz w:val="20"/>
              <w:szCs w:val="20"/>
            </w:rPr>
            <w:fldChar w:fldCharType="separate"/>
          </w:r>
          <w:r>
            <w:rPr>
              <w:rFonts w:cs="Times New Roman"/>
              <w:sz w:val="20"/>
              <w:szCs w:val="20"/>
            </w:rPr>
            <w:t>(John J V McMurray, 2014)</w:t>
          </w:r>
          <w:r>
            <w:rPr>
              <w:rFonts w:cs="Times New Roman"/>
              <w:sz w:val="20"/>
              <w:szCs w:val="20"/>
            </w:rPr>
            <w:fldChar w:fldCharType="end"/>
          </w:r>
        </w:sdtContent>
      </w:sdt>
      <w:r>
        <w:rPr>
          <w:rFonts w:cs="Times New Roman"/>
          <w:sz w:val="20"/>
          <w:szCs w:val="20"/>
        </w:rPr>
        <w:t xml:space="preserve">. Compared to enalapril, it was shown to be better, but few studies look at its efficacy against other ACEIs or ARBs, especially in a range of diseased or co-diseased groups </w:t>
      </w:r>
      <w:sdt>
        <w:sdtPr>
          <w:rPr>
            <w:rFonts w:cs="Times New Roman"/>
            <w:sz w:val="20"/>
            <w:szCs w:val="20"/>
          </w:rPr>
          <w:id w:val="87813912"/>
        </w:sdtPr>
        <w:sdtContent>
          <w:r>
            <w:rPr>
              <w:rFonts w:cs="Times New Roman"/>
              <w:sz w:val="20"/>
              <w:szCs w:val="20"/>
            </w:rPr>
            <w:fldChar w:fldCharType="begin"/>
          </w:r>
          <w:r>
            <w:rPr>
              <w:rFonts w:cs="Times New Roman"/>
              <w:sz w:val="20"/>
              <w:szCs w:val="20"/>
            </w:rPr>
            <w:instrText xml:space="preserve"> CITATION Lau22 \l 1033 </w:instrText>
          </w:r>
          <w:r>
            <w:rPr>
              <w:rFonts w:cs="Times New Roman"/>
              <w:sz w:val="20"/>
              <w:szCs w:val="20"/>
            </w:rPr>
            <w:fldChar w:fldCharType="separate"/>
          </w:r>
          <w:r>
            <w:rPr>
              <w:rFonts w:cs="Times New Roman"/>
              <w:sz w:val="20"/>
              <w:szCs w:val="20"/>
            </w:rPr>
            <w:t>(Lauren Gilstrap, 2022)</w:t>
          </w:r>
          <w:r>
            <w:rPr>
              <w:rFonts w:cs="Times New Roman"/>
              <w:sz w:val="20"/>
              <w:szCs w:val="20"/>
            </w:rPr>
            <w:fldChar w:fldCharType="end"/>
          </w:r>
        </w:sdtContent>
      </w:sdt>
      <w:r>
        <w:rPr>
          <w:rFonts w:cs="Times New Roman"/>
          <w:sz w:val="20"/>
          <w:szCs w:val="20"/>
        </w:rPr>
        <w:t xml:space="preserve">. Comparative data from real-world situations is not widely available. </w:t>
      </w:r>
      <w:r w:rsidR="009030DC">
        <w:rPr>
          <w:rFonts w:cs="Times New Roman"/>
          <w:sz w:val="20"/>
          <w:szCs w:val="20"/>
          <w:highlight w:val="yellow"/>
        </w:rPr>
        <w:t xml:space="preserve">Heran B. </w:t>
      </w:r>
      <w:proofErr w:type="gramStart"/>
      <w:r w:rsidR="009030DC">
        <w:rPr>
          <w:rFonts w:cs="Times New Roman"/>
          <w:sz w:val="20"/>
          <w:szCs w:val="20"/>
          <w:highlight w:val="yellow"/>
        </w:rPr>
        <w:t>S.</w:t>
      </w:r>
      <w:r w:rsidR="008B7248" w:rsidRPr="005E581C">
        <w:rPr>
          <w:rFonts w:cs="Times New Roman"/>
          <w:sz w:val="20"/>
          <w:szCs w:val="20"/>
          <w:highlight w:val="yellow"/>
        </w:rPr>
        <w:t>.</w:t>
      </w:r>
      <w:proofErr w:type="gramEnd"/>
      <w:r w:rsidR="008B7248" w:rsidRPr="005E581C">
        <w:rPr>
          <w:rFonts w:cs="Times New Roman"/>
          <w:sz w:val="20"/>
          <w:szCs w:val="20"/>
          <w:highlight w:val="yellow"/>
        </w:rPr>
        <w:t xml:space="preserve"> </w:t>
      </w:r>
      <w:r w:rsidR="008B7248" w:rsidRPr="005E581C">
        <w:rPr>
          <w:rFonts w:cs="Times New Roman"/>
          <w:i/>
          <w:sz w:val="20"/>
          <w:szCs w:val="20"/>
          <w:highlight w:val="yellow"/>
        </w:rPr>
        <w:t>et al.</w:t>
      </w:r>
      <w:r w:rsidR="009030DC">
        <w:rPr>
          <w:rFonts w:cs="Times New Roman"/>
          <w:sz w:val="20"/>
          <w:szCs w:val="20"/>
          <w:highlight w:val="yellow"/>
        </w:rPr>
        <w:t>, 2012</w:t>
      </w:r>
      <w:r w:rsidR="008B7248" w:rsidRPr="005E581C">
        <w:rPr>
          <w:rFonts w:cs="Times New Roman"/>
          <w:sz w:val="20"/>
          <w:szCs w:val="20"/>
          <w:highlight w:val="yellow"/>
        </w:rPr>
        <w:t xml:space="preserve"> reported that </w:t>
      </w:r>
      <w:r w:rsidR="00DF1872" w:rsidRPr="005E581C">
        <w:rPr>
          <w:rFonts w:cs="Times New Roman"/>
          <w:sz w:val="20"/>
          <w:szCs w:val="20"/>
          <w:highlight w:val="yellow"/>
        </w:rPr>
        <w:t xml:space="preserve">ARB’s wide blood vessels and decrease BP for hypertension patients </w:t>
      </w:r>
      <w:sdt>
        <w:sdtPr>
          <w:rPr>
            <w:rFonts w:cs="Times New Roman"/>
            <w:sz w:val="20"/>
            <w:szCs w:val="20"/>
            <w:highlight w:val="yellow"/>
          </w:rPr>
          <w:id w:val="224573106"/>
          <w:citation/>
        </w:sdtPr>
        <w:sdtContent>
          <w:r w:rsidR="00DF1872" w:rsidRPr="005E581C">
            <w:rPr>
              <w:rFonts w:cs="Times New Roman"/>
              <w:sz w:val="20"/>
              <w:szCs w:val="20"/>
              <w:highlight w:val="yellow"/>
            </w:rPr>
            <w:fldChar w:fldCharType="begin"/>
          </w:r>
          <w:r w:rsidR="00DF1872" w:rsidRPr="005E581C">
            <w:rPr>
              <w:rFonts w:cs="Times New Roman"/>
              <w:sz w:val="20"/>
              <w:szCs w:val="20"/>
              <w:highlight w:val="yellow"/>
            </w:rPr>
            <w:instrText xml:space="preserve"> CITATION Bal12 \l 1033 </w:instrText>
          </w:r>
          <w:r w:rsidR="00DF1872" w:rsidRPr="005E581C">
            <w:rPr>
              <w:rFonts w:cs="Times New Roman"/>
              <w:sz w:val="20"/>
              <w:szCs w:val="20"/>
              <w:highlight w:val="yellow"/>
            </w:rPr>
            <w:fldChar w:fldCharType="separate"/>
          </w:r>
          <w:r w:rsidR="00DF1872" w:rsidRPr="005E581C">
            <w:rPr>
              <w:rFonts w:cs="Times New Roman"/>
              <w:noProof/>
              <w:sz w:val="20"/>
              <w:szCs w:val="20"/>
              <w:highlight w:val="yellow"/>
            </w:rPr>
            <w:t>(Balraj S Heran, 2012)</w:t>
          </w:r>
          <w:r w:rsidR="00DF1872" w:rsidRPr="005E581C">
            <w:rPr>
              <w:rFonts w:cs="Times New Roman"/>
              <w:sz w:val="20"/>
              <w:szCs w:val="20"/>
              <w:highlight w:val="yellow"/>
            </w:rPr>
            <w:fldChar w:fldCharType="end"/>
          </w:r>
        </w:sdtContent>
      </w:sdt>
      <w:r w:rsidR="00466AE3" w:rsidRPr="005E581C">
        <w:rPr>
          <w:rFonts w:cs="Times New Roman"/>
          <w:sz w:val="20"/>
          <w:szCs w:val="20"/>
          <w:highlight w:val="yellow"/>
        </w:rPr>
        <w:t xml:space="preserve"> and PARADIGM-HF study demonstrated that sacubitril/valsartan reduces 20% risk of cardiovascular death and prolonged hospitalization</w:t>
      </w:r>
      <w:r w:rsidR="009030DC">
        <w:rPr>
          <w:rFonts w:cs="Times New Roman"/>
          <w:sz w:val="20"/>
          <w:szCs w:val="20"/>
        </w:rPr>
        <w:t xml:space="preserve"> </w:t>
      </w:r>
      <w:sdt>
        <w:sdtPr>
          <w:rPr>
            <w:rFonts w:cs="Times New Roman"/>
            <w:sz w:val="20"/>
            <w:szCs w:val="20"/>
            <w:highlight w:val="yellow"/>
          </w:rPr>
          <w:id w:val="1656409027"/>
          <w:citation/>
        </w:sdtPr>
        <w:sdtContent>
          <w:r w:rsidR="009030DC" w:rsidRPr="009030DC">
            <w:rPr>
              <w:rFonts w:cs="Times New Roman"/>
              <w:sz w:val="20"/>
              <w:szCs w:val="20"/>
              <w:highlight w:val="yellow"/>
            </w:rPr>
            <w:fldChar w:fldCharType="begin"/>
          </w:r>
          <w:r w:rsidR="009030DC" w:rsidRPr="009030DC">
            <w:rPr>
              <w:rFonts w:cs="Times New Roman"/>
              <w:sz w:val="20"/>
              <w:szCs w:val="20"/>
              <w:highlight w:val="yellow"/>
            </w:rPr>
            <w:instrText xml:space="preserve"> CITATION Dom21 \l 1033 </w:instrText>
          </w:r>
          <w:r w:rsidR="009030DC" w:rsidRPr="009030DC">
            <w:rPr>
              <w:rFonts w:cs="Times New Roman"/>
              <w:sz w:val="20"/>
              <w:szCs w:val="20"/>
              <w:highlight w:val="yellow"/>
            </w:rPr>
            <w:fldChar w:fldCharType="separate"/>
          </w:r>
          <w:r w:rsidR="009030DC" w:rsidRPr="009030DC">
            <w:rPr>
              <w:rFonts w:cs="Times New Roman"/>
              <w:noProof/>
              <w:sz w:val="20"/>
              <w:szCs w:val="20"/>
              <w:highlight w:val="yellow"/>
            </w:rPr>
            <w:t>(Domingo Pascual-Figal, 2021)</w:t>
          </w:r>
          <w:r w:rsidR="009030DC" w:rsidRPr="009030DC">
            <w:rPr>
              <w:rFonts w:cs="Times New Roman"/>
              <w:sz w:val="20"/>
              <w:szCs w:val="20"/>
              <w:highlight w:val="yellow"/>
            </w:rPr>
            <w:fldChar w:fldCharType="end"/>
          </w:r>
        </w:sdtContent>
      </w:sdt>
      <w:r w:rsidR="009030DC" w:rsidRPr="009030DC">
        <w:rPr>
          <w:rFonts w:cs="Times New Roman"/>
          <w:sz w:val="20"/>
          <w:szCs w:val="20"/>
          <w:highlight w:val="yellow"/>
        </w:rPr>
        <w:t>.</w:t>
      </w:r>
      <w:r w:rsidR="009030DC">
        <w:rPr>
          <w:rFonts w:cs="Times New Roman"/>
          <w:sz w:val="20"/>
          <w:szCs w:val="20"/>
        </w:rPr>
        <w:t xml:space="preserve"> </w:t>
      </w:r>
      <w:r>
        <w:rPr>
          <w:rFonts w:cs="Times New Roman"/>
          <w:sz w:val="20"/>
          <w:szCs w:val="20"/>
        </w:rPr>
        <w:lastRenderedPageBreak/>
        <w:t xml:space="preserve">Despite the availability of medications that extend life, prevent hospital stays, and improve quality of life, these are often withheld or given late for people who fit the requirements </w:t>
      </w:r>
      <w:sdt>
        <w:sdtPr>
          <w:rPr>
            <w:rFonts w:cs="Times New Roman"/>
            <w:sz w:val="20"/>
            <w:szCs w:val="20"/>
          </w:rPr>
          <w:id w:val="-1284027177"/>
        </w:sdtPr>
        <w:sdtContent>
          <w:r>
            <w:rPr>
              <w:rFonts w:cs="Times New Roman"/>
              <w:sz w:val="20"/>
              <w:szCs w:val="20"/>
            </w:rPr>
            <w:fldChar w:fldCharType="begin"/>
          </w:r>
          <w:r>
            <w:rPr>
              <w:rFonts w:cs="Times New Roman"/>
              <w:sz w:val="20"/>
              <w:szCs w:val="20"/>
            </w:rPr>
            <w:instrText xml:space="preserve"> CITATION Vis24 \l 1033 </w:instrText>
          </w:r>
          <w:r>
            <w:rPr>
              <w:rFonts w:cs="Times New Roman"/>
              <w:sz w:val="20"/>
              <w:szCs w:val="20"/>
            </w:rPr>
            <w:fldChar w:fldCharType="separate"/>
          </w:r>
          <w:r>
            <w:rPr>
              <w:rFonts w:cs="Times New Roman"/>
              <w:sz w:val="20"/>
              <w:szCs w:val="20"/>
            </w:rPr>
            <w:t>(Vishal N. Rao, 2024)</w:t>
          </w:r>
          <w:r>
            <w:rPr>
              <w:rFonts w:cs="Times New Roman"/>
              <w:sz w:val="20"/>
              <w:szCs w:val="20"/>
            </w:rPr>
            <w:fldChar w:fldCharType="end"/>
          </w:r>
        </w:sdtContent>
      </w:sdt>
      <w:r>
        <w:rPr>
          <w:rFonts w:cs="Times New Roman"/>
          <w:sz w:val="20"/>
          <w:szCs w:val="20"/>
        </w:rPr>
        <w:t xml:space="preserve">. Although patients with </w:t>
      </w:r>
      <w:proofErr w:type="spellStart"/>
      <w:r>
        <w:rPr>
          <w:rFonts w:cs="Times New Roman"/>
          <w:sz w:val="20"/>
          <w:szCs w:val="20"/>
        </w:rPr>
        <w:t>HFrEF</w:t>
      </w:r>
      <w:proofErr w:type="spellEnd"/>
      <w:r>
        <w:rPr>
          <w:rFonts w:cs="Times New Roman"/>
          <w:sz w:val="20"/>
          <w:szCs w:val="20"/>
        </w:rPr>
        <w:t xml:space="preserve"> receive ACEI/ARB, they face serious risks of suffering from or dying from the condition. PARADIGM-HF indicates that Sacubitril/Valsartan is superior to ACEI, but there is not much available data comparing their use in the real world. The purpose of this study is to assess and differentiate the outcomes in real medicine. The study aims to directly compare the use of Sacubitril/Valsartan with ACEI/ARB in </w:t>
      </w:r>
      <w:proofErr w:type="spellStart"/>
      <w:r>
        <w:rPr>
          <w:rFonts w:cs="Times New Roman"/>
          <w:sz w:val="20"/>
          <w:szCs w:val="20"/>
        </w:rPr>
        <w:t>HFrEF</w:t>
      </w:r>
      <w:proofErr w:type="spellEnd"/>
      <w:r>
        <w:rPr>
          <w:rFonts w:cs="Times New Roman"/>
          <w:sz w:val="20"/>
          <w:szCs w:val="20"/>
        </w:rPr>
        <w:t xml:space="preserve"> patients at a tertiary hospital, evaluating both safety and benefits in real-world use. The outcomes of these studies assist in selecting personalized treatments and better decisions in medical teams.</w:t>
      </w:r>
      <w:r>
        <w:rPr>
          <w:rFonts w:cs="Times New Roman"/>
          <w:sz w:val="20"/>
          <w:szCs w:val="20"/>
        </w:rPr>
        <w:br/>
      </w:r>
      <w:r>
        <w:rPr>
          <w:rFonts w:cs="Times New Roman"/>
          <w:sz w:val="20"/>
          <w:szCs w:val="20"/>
        </w:rPr>
        <w:br/>
      </w:r>
      <w:r>
        <w:rPr>
          <w:rFonts w:cs="Times New Roman"/>
          <w:b/>
          <w:sz w:val="20"/>
          <w:szCs w:val="20"/>
        </w:rPr>
        <w:t>2</w:t>
      </w:r>
      <w:r w:rsidRPr="00D367DF">
        <w:rPr>
          <w:rFonts w:cs="Times New Roman"/>
          <w:b/>
          <w:color w:val="388600"/>
          <w:sz w:val="20"/>
          <w:szCs w:val="20"/>
        </w:rPr>
        <w:t xml:space="preserve">. MATERIALS AND METHODS </w:t>
      </w:r>
    </w:p>
    <w:p w14:paraId="33C77E2D" w14:textId="77777777" w:rsidR="00284D43" w:rsidRDefault="00284D43">
      <w:pPr>
        <w:jc w:val="both"/>
        <w:rPr>
          <w:rFonts w:cs="Times New Roman"/>
          <w:sz w:val="20"/>
          <w:szCs w:val="20"/>
        </w:rPr>
      </w:pPr>
    </w:p>
    <w:p w14:paraId="074064A2" w14:textId="77777777" w:rsidR="00284D43" w:rsidRDefault="00E45E70">
      <w:pPr>
        <w:jc w:val="both"/>
        <w:rPr>
          <w:rFonts w:cs="Times New Roman"/>
          <w:b/>
          <w:sz w:val="20"/>
          <w:szCs w:val="20"/>
        </w:rPr>
      </w:pPr>
      <w:r>
        <w:rPr>
          <w:rFonts w:cs="Times New Roman"/>
          <w:b/>
          <w:sz w:val="20"/>
          <w:szCs w:val="20"/>
        </w:rPr>
        <w:t>2.1 Study Design</w:t>
      </w:r>
    </w:p>
    <w:p w14:paraId="4C615DFD" w14:textId="77777777" w:rsidR="00284D43" w:rsidRDefault="00284D43">
      <w:pPr>
        <w:jc w:val="both"/>
        <w:rPr>
          <w:rFonts w:cs="Times New Roman"/>
          <w:sz w:val="20"/>
          <w:szCs w:val="20"/>
        </w:rPr>
      </w:pPr>
    </w:p>
    <w:p w14:paraId="4E5F8328" w14:textId="77777777" w:rsidR="00284D43" w:rsidRDefault="00E45E70">
      <w:pPr>
        <w:jc w:val="both"/>
        <w:rPr>
          <w:rFonts w:cs="Times New Roman"/>
          <w:sz w:val="20"/>
          <w:szCs w:val="20"/>
        </w:rPr>
      </w:pPr>
      <w:r>
        <w:rPr>
          <w:rFonts w:cs="Times New Roman"/>
          <w:sz w:val="20"/>
          <w:szCs w:val="20"/>
        </w:rPr>
        <w:t xml:space="preserve">The study is a cohort observational study at the Department of Cardiology, Ibrahim Cardiac Hospital &amp; Research Institute, carried out from July 2023 to September 2024. It is designed for people with </w:t>
      </w:r>
      <w:proofErr w:type="spellStart"/>
      <w:r>
        <w:rPr>
          <w:rFonts w:cs="Times New Roman"/>
          <w:sz w:val="20"/>
          <w:szCs w:val="20"/>
        </w:rPr>
        <w:t>HFrEF</w:t>
      </w:r>
      <w:proofErr w:type="spellEnd"/>
      <w:r>
        <w:rPr>
          <w:rFonts w:cs="Times New Roman"/>
          <w:sz w:val="20"/>
          <w:szCs w:val="20"/>
        </w:rPr>
        <w:t xml:space="preserve"> (EF ≤ 40%), randomly separating them into those assigned to ACEI/ARB and those who take Sacubitril/Valsartan. Comparing the outcomes between the two treatments includes mortality, heart muscle effectiveness, and possible negative events such as high potassium, low blood pressure, and kidney problems. </w:t>
      </w:r>
    </w:p>
    <w:p w14:paraId="413783FA" w14:textId="77777777" w:rsidR="00284D43" w:rsidRDefault="00E45E70">
      <w:pPr>
        <w:jc w:val="both"/>
        <w:rPr>
          <w:rFonts w:cs="Times New Roman"/>
          <w:sz w:val="20"/>
          <w:szCs w:val="20"/>
        </w:rPr>
      </w:pPr>
      <w:r>
        <w:rPr>
          <w:rFonts w:cs="Times New Roman"/>
          <w:sz w:val="20"/>
          <w:szCs w:val="20"/>
        </w:rPr>
        <w:t xml:space="preserve">By using the hypothesis-testing formula introduced by Zhang et al., 2024 and data from previous studies, we estimated the ideal sample size to see if there is a difference in rehospitalization </w:t>
      </w:r>
      <w:sdt>
        <w:sdtPr>
          <w:rPr>
            <w:rFonts w:cs="Times New Roman"/>
            <w:sz w:val="20"/>
            <w:szCs w:val="20"/>
          </w:rPr>
          <w:id w:val="1779841471"/>
        </w:sdtPr>
        <w:sdtContent>
          <w:r>
            <w:rPr>
              <w:rFonts w:cs="Times New Roman"/>
              <w:sz w:val="20"/>
              <w:szCs w:val="20"/>
            </w:rPr>
            <w:fldChar w:fldCharType="begin"/>
          </w:r>
          <w:r>
            <w:rPr>
              <w:rFonts w:cs="Times New Roman"/>
              <w:sz w:val="20"/>
              <w:szCs w:val="20"/>
            </w:rPr>
            <w:instrText xml:space="preserve"> CITATION Zha24 \l 1033 </w:instrText>
          </w:r>
          <w:r>
            <w:rPr>
              <w:rFonts w:cs="Times New Roman"/>
              <w:sz w:val="20"/>
              <w:szCs w:val="20"/>
            </w:rPr>
            <w:fldChar w:fldCharType="separate"/>
          </w:r>
          <w:r>
            <w:rPr>
              <w:rFonts w:cs="Times New Roman"/>
              <w:sz w:val="20"/>
              <w:szCs w:val="20"/>
            </w:rPr>
            <w:t>(Zhaowei Zhang, 2024)</w:t>
          </w:r>
          <w:r>
            <w:rPr>
              <w:rFonts w:cs="Times New Roman"/>
              <w:sz w:val="20"/>
              <w:szCs w:val="20"/>
            </w:rPr>
            <w:fldChar w:fldCharType="end"/>
          </w:r>
        </w:sdtContent>
      </w:sdt>
      <w:r>
        <w:rPr>
          <w:rFonts w:cs="Times New Roman"/>
          <w:sz w:val="20"/>
          <w:szCs w:val="20"/>
        </w:rPr>
        <w:t xml:space="preserve">. </w:t>
      </w:r>
    </w:p>
    <w:p w14:paraId="09CEDD9F" w14:textId="77777777" w:rsidR="00284D43" w:rsidRDefault="00284D43">
      <w:pPr>
        <w:jc w:val="both"/>
        <w:rPr>
          <w:rFonts w:cs="Times New Roman"/>
          <w:sz w:val="20"/>
          <w:szCs w:val="20"/>
        </w:rPr>
      </w:pPr>
    </w:p>
    <w:p w14:paraId="6018E165" w14:textId="77777777" w:rsidR="00284D43" w:rsidRDefault="00E45E70">
      <w:pPr>
        <w:jc w:val="both"/>
        <w:rPr>
          <w:rFonts w:cs="Times New Roman"/>
          <w:b/>
          <w:sz w:val="20"/>
          <w:szCs w:val="20"/>
        </w:rPr>
      </w:pPr>
      <w:r>
        <w:rPr>
          <w:rFonts w:cs="Times New Roman"/>
          <w:b/>
          <w:sz w:val="20"/>
          <w:szCs w:val="20"/>
        </w:rPr>
        <w:t>2.2 Study Sampling</w:t>
      </w:r>
    </w:p>
    <w:p w14:paraId="358BC838" w14:textId="77777777" w:rsidR="00284D43" w:rsidRDefault="00284D43">
      <w:pPr>
        <w:jc w:val="both"/>
        <w:rPr>
          <w:rFonts w:cs="Times New Roman"/>
          <w:sz w:val="20"/>
          <w:szCs w:val="20"/>
        </w:rPr>
      </w:pPr>
    </w:p>
    <w:p w14:paraId="4E8CCEBB" w14:textId="2C31F09D" w:rsidR="00284D43" w:rsidRDefault="00E45E70">
      <w:pPr>
        <w:jc w:val="both"/>
        <w:rPr>
          <w:rFonts w:cs="Times New Roman"/>
          <w:sz w:val="20"/>
          <w:szCs w:val="20"/>
        </w:rPr>
      </w:pPr>
      <w:r>
        <w:rPr>
          <w:rFonts w:cs="Times New Roman"/>
          <w:sz w:val="20"/>
          <w:szCs w:val="20"/>
        </w:rPr>
        <w:t xml:space="preserve">The study's goal is to collect evidence from the field and assess each therapy’s effectiveness, safety, and cost when managing </w:t>
      </w:r>
      <w:proofErr w:type="spellStart"/>
      <w:r>
        <w:rPr>
          <w:rFonts w:cs="Times New Roman"/>
          <w:sz w:val="20"/>
          <w:szCs w:val="20"/>
        </w:rPr>
        <w:t>HFrEF</w:t>
      </w:r>
      <w:proofErr w:type="spellEnd"/>
      <w:r>
        <w:rPr>
          <w:rFonts w:cs="Times New Roman"/>
          <w:sz w:val="20"/>
          <w:szCs w:val="20"/>
        </w:rPr>
        <w:t xml:space="preserve">. </w:t>
      </w:r>
      <w:r w:rsidR="005E581C" w:rsidRPr="005E581C">
        <w:rPr>
          <w:rFonts w:cs="Times New Roman"/>
          <w:sz w:val="20"/>
          <w:szCs w:val="20"/>
          <w:highlight w:val="yellow"/>
        </w:rPr>
        <w:t>The study followed purposive sampling process.</w:t>
      </w:r>
      <w:r w:rsidR="005E581C">
        <w:rPr>
          <w:rFonts w:cs="Times New Roman"/>
          <w:sz w:val="20"/>
          <w:szCs w:val="20"/>
        </w:rPr>
        <w:t xml:space="preserve"> </w:t>
      </w:r>
      <w:r>
        <w:rPr>
          <w:rFonts w:cs="Times New Roman"/>
          <w:sz w:val="20"/>
          <w:szCs w:val="20"/>
        </w:rPr>
        <w:t>Based on a proportion of 46.5% (ACEI/ARB) and 30.4% (Sac/Val), the required sample size was set to be at least 114, with some inclusion and exclusion criteria. Group A stands for the ACEI/ARB intervention with 24 patients, and Group B stands for the Sacubitril/valsartan-treated group with 90 patients.</w:t>
      </w:r>
    </w:p>
    <w:p w14:paraId="0AE3B33B" w14:textId="77777777" w:rsidR="00284D43" w:rsidRDefault="00284D43">
      <w:pPr>
        <w:jc w:val="both"/>
        <w:rPr>
          <w:rFonts w:cs="Times New Roman"/>
          <w:sz w:val="20"/>
          <w:szCs w:val="20"/>
        </w:rPr>
      </w:pPr>
    </w:p>
    <w:p w14:paraId="5C5F82FF" w14:textId="77777777" w:rsidR="00284D43" w:rsidRDefault="00E45E70">
      <w:pPr>
        <w:jc w:val="both"/>
        <w:rPr>
          <w:rFonts w:cs="Times New Roman"/>
          <w:b/>
          <w:sz w:val="20"/>
          <w:szCs w:val="20"/>
        </w:rPr>
      </w:pPr>
      <w:r>
        <w:rPr>
          <w:rFonts w:cs="Times New Roman"/>
          <w:b/>
          <w:sz w:val="20"/>
          <w:szCs w:val="20"/>
        </w:rPr>
        <w:t xml:space="preserve">2.2.1 Inclusion criteria </w:t>
      </w:r>
    </w:p>
    <w:p w14:paraId="5731630D" w14:textId="77777777" w:rsidR="00284D43" w:rsidRDefault="00284D43">
      <w:pPr>
        <w:jc w:val="both"/>
        <w:rPr>
          <w:rFonts w:cs="Times New Roman"/>
          <w:sz w:val="20"/>
          <w:szCs w:val="20"/>
        </w:rPr>
      </w:pPr>
    </w:p>
    <w:p w14:paraId="1CB1D193" w14:textId="77777777" w:rsidR="00284D43" w:rsidRDefault="00E45E70">
      <w:pPr>
        <w:pStyle w:val="ListParagraph"/>
        <w:numPr>
          <w:ilvl w:val="0"/>
          <w:numId w:val="2"/>
        </w:numPr>
        <w:jc w:val="both"/>
        <w:rPr>
          <w:sz w:val="20"/>
          <w:szCs w:val="20"/>
        </w:rPr>
      </w:pPr>
      <w:r>
        <w:rPr>
          <w:sz w:val="20"/>
          <w:szCs w:val="20"/>
        </w:rPr>
        <w:t xml:space="preserve">Adults (≥18 years) with a diagnosis of </w:t>
      </w:r>
      <w:proofErr w:type="spellStart"/>
      <w:r>
        <w:rPr>
          <w:sz w:val="20"/>
          <w:szCs w:val="20"/>
        </w:rPr>
        <w:t>HFrEF</w:t>
      </w:r>
      <w:proofErr w:type="spellEnd"/>
      <w:r>
        <w:rPr>
          <w:sz w:val="20"/>
          <w:szCs w:val="20"/>
        </w:rPr>
        <w:t xml:space="preserve"> (LVEF &lt;40%).</w:t>
      </w:r>
    </w:p>
    <w:p w14:paraId="6CC1C4CC" w14:textId="77777777" w:rsidR="00284D43" w:rsidRDefault="00E45E70">
      <w:pPr>
        <w:pStyle w:val="ListParagraph"/>
        <w:numPr>
          <w:ilvl w:val="0"/>
          <w:numId w:val="2"/>
        </w:numPr>
        <w:jc w:val="both"/>
        <w:rPr>
          <w:sz w:val="20"/>
          <w:szCs w:val="20"/>
        </w:rPr>
      </w:pPr>
      <w:r>
        <w:rPr>
          <w:sz w:val="20"/>
          <w:szCs w:val="20"/>
        </w:rPr>
        <w:t>Patients treated with Sacubitril/Valsartan VS ACEI/ARB.</w:t>
      </w:r>
    </w:p>
    <w:p w14:paraId="60A7C27D" w14:textId="77777777" w:rsidR="00284D43" w:rsidRDefault="00284D43">
      <w:pPr>
        <w:jc w:val="both"/>
        <w:rPr>
          <w:rFonts w:cs="Times New Roman"/>
          <w:b/>
          <w:sz w:val="20"/>
          <w:szCs w:val="20"/>
        </w:rPr>
      </w:pPr>
    </w:p>
    <w:p w14:paraId="1EDD2355" w14:textId="77777777" w:rsidR="00284D43" w:rsidRDefault="00E45E70">
      <w:pPr>
        <w:jc w:val="both"/>
        <w:rPr>
          <w:rFonts w:cs="Times New Roman"/>
          <w:b/>
          <w:sz w:val="20"/>
          <w:szCs w:val="20"/>
        </w:rPr>
      </w:pPr>
      <w:r>
        <w:rPr>
          <w:rFonts w:cs="Times New Roman"/>
          <w:b/>
          <w:sz w:val="20"/>
          <w:szCs w:val="20"/>
        </w:rPr>
        <w:t>2.2.2 Exclusion criteria</w:t>
      </w:r>
    </w:p>
    <w:p w14:paraId="24A13944" w14:textId="77777777" w:rsidR="00284D43" w:rsidRDefault="00284D43">
      <w:pPr>
        <w:jc w:val="both"/>
        <w:rPr>
          <w:rFonts w:cs="Times New Roman"/>
          <w:sz w:val="20"/>
          <w:szCs w:val="20"/>
        </w:rPr>
      </w:pPr>
    </w:p>
    <w:p w14:paraId="581EA0D2" w14:textId="77777777" w:rsidR="00284D43" w:rsidRDefault="00E45E70">
      <w:pPr>
        <w:pStyle w:val="ListParagraph"/>
        <w:numPr>
          <w:ilvl w:val="0"/>
          <w:numId w:val="3"/>
        </w:numPr>
        <w:jc w:val="both"/>
        <w:rPr>
          <w:sz w:val="20"/>
          <w:szCs w:val="20"/>
        </w:rPr>
      </w:pPr>
      <w:r>
        <w:rPr>
          <w:sz w:val="20"/>
          <w:szCs w:val="20"/>
        </w:rPr>
        <w:t>Patients with a history of intolerance to either ACEI/ARB or Sacubitril/Valsartan</w:t>
      </w:r>
    </w:p>
    <w:p w14:paraId="2A0C7E31" w14:textId="77777777" w:rsidR="00284D43" w:rsidRDefault="00E45E70">
      <w:pPr>
        <w:pStyle w:val="ListParagraph"/>
        <w:numPr>
          <w:ilvl w:val="0"/>
          <w:numId w:val="3"/>
        </w:numPr>
        <w:jc w:val="both"/>
        <w:rPr>
          <w:sz w:val="20"/>
          <w:szCs w:val="20"/>
        </w:rPr>
      </w:pPr>
      <w:r>
        <w:rPr>
          <w:sz w:val="20"/>
          <w:szCs w:val="20"/>
        </w:rPr>
        <w:t>Patients with recent (&lt;6 months) heart failure diagnosis or those treated with other investigational heart failure therapies</w:t>
      </w:r>
    </w:p>
    <w:p w14:paraId="3C51F8D7" w14:textId="77777777" w:rsidR="00284D43" w:rsidRDefault="00E45E70">
      <w:pPr>
        <w:pStyle w:val="ListParagraph"/>
        <w:numPr>
          <w:ilvl w:val="0"/>
          <w:numId w:val="3"/>
        </w:numPr>
        <w:jc w:val="both"/>
        <w:rPr>
          <w:sz w:val="20"/>
          <w:szCs w:val="20"/>
        </w:rPr>
      </w:pPr>
      <w:r>
        <w:rPr>
          <w:sz w:val="20"/>
          <w:szCs w:val="20"/>
        </w:rPr>
        <w:t>Baseline SBP &lt;110 mmHg,</w:t>
      </w:r>
    </w:p>
    <w:p w14:paraId="2FC41E2F" w14:textId="77777777" w:rsidR="00284D43" w:rsidRDefault="00E45E70">
      <w:pPr>
        <w:pStyle w:val="ListParagraph"/>
        <w:numPr>
          <w:ilvl w:val="0"/>
          <w:numId w:val="3"/>
        </w:numPr>
        <w:jc w:val="both"/>
        <w:rPr>
          <w:sz w:val="20"/>
          <w:szCs w:val="20"/>
        </w:rPr>
      </w:pPr>
      <w:r>
        <w:rPr>
          <w:sz w:val="20"/>
          <w:szCs w:val="20"/>
        </w:rPr>
        <w:t xml:space="preserve">Serum potassium &gt;5.5, </w:t>
      </w:r>
    </w:p>
    <w:p w14:paraId="11C6AEE5" w14:textId="77777777" w:rsidR="00284D43" w:rsidRDefault="00E45E70">
      <w:pPr>
        <w:pStyle w:val="ListParagraph"/>
        <w:numPr>
          <w:ilvl w:val="0"/>
          <w:numId w:val="3"/>
        </w:numPr>
        <w:jc w:val="both"/>
        <w:rPr>
          <w:sz w:val="20"/>
          <w:szCs w:val="20"/>
        </w:rPr>
      </w:pPr>
      <w:r>
        <w:rPr>
          <w:sz w:val="20"/>
          <w:szCs w:val="20"/>
        </w:rPr>
        <w:t>Congenital heart disease</w:t>
      </w:r>
    </w:p>
    <w:p w14:paraId="0E30350D" w14:textId="77777777" w:rsidR="00284D43" w:rsidRDefault="00284D43">
      <w:pPr>
        <w:jc w:val="both"/>
        <w:rPr>
          <w:rFonts w:cs="Times New Roman"/>
          <w:sz w:val="20"/>
          <w:szCs w:val="20"/>
        </w:rPr>
      </w:pPr>
    </w:p>
    <w:p w14:paraId="6A6FED7D" w14:textId="77777777" w:rsidR="00284D43" w:rsidRDefault="00E45E70">
      <w:pPr>
        <w:jc w:val="both"/>
        <w:rPr>
          <w:rFonts w:cs="Times New Roman"/>
          <w:b/>
          <w:sz w:val="20"/>
          <w:szCs w:val="20"/>
        </w:rPr>
      </w:pPr>
      <w:r>
        <w:rPr>
          <w:rFonts w:cs="Times New Roman"/>
          <w:b/>
          <w:sz w:val="20"/>
          <w:szCs w:val="20"/>
        </w:rPr>
        <w:t>2.3 Data Management &amp; Analysis Plan</w:t>
      </w:r>
    </w:p>
    <w:p w14:paraId="62F6D656" w14:textId="77777777" w:rsidR="00284D43" w:rsidRDefault="00284D43">
      <w:pPr>
        <w:jc w:val="both"/>
        <w:rPr>
          <w:rFonts w:cs="Times New Roman"/>
          <w:sz w:val="20"/>
          <w:szCs w:val="20"/>
        </w:rPr>
      </w:pPr>
    </w:p>
    <w:p w14:paraId="328979BC" w14:textId="780FF45C" w:rsidR="00284D43" w:rsidRDefault="00E45E70">
      <w:pPr>
        <w:rPr>
          <w:rFonts w:cs="Times New Roman"/>
          <w:b/>
          <w:sz w:val="20"/>
          <w:szCs w:val="20"/>
        </w:rPr>
      </w:pPr>
      <w:r w:rsidRPr="006360F3">
        <w:rPr>
          <w:rFonts w:cs="Times New Roman"/>
          <w:sz w:val="20"/>
          <w:szCs w:val="20"/>
          <w:highlight w:val="yellow"/>
        </w:rPr>
        <w:t xml:space="preserve">SPSS Statistics </w:t>
      </w:r>
      <w:r w:rsidR="005E581C" w:rsidRPr="006360F3">
        <w:rPr>
          <w:rFonts w:cs="Times New Roman"/>
          <w:sz w:val="20"/>
          <w:szCs w:val="20"/>
          <w:highlight w:val="yellow"/>
        </w:rPr>
        <w:t>was</w:t>
      </w:r>
      <w:r w:rsidRPr="006360F3">
        <w:rPr>
          <w:rFonts w:cs="Times New Roman"/>
          <w:sz w:val="20"/>
          <w:szCs w:val="20"/>
          <w:highlight w:val="yellow"/>
        </w:rPr>
        <w:t xml:space="preserve"> used to examine the </w:t>
      </w:r>
      <w:r w:rsidR="005E581C" w:rsidRPr="006360F3">
        <w:rPr>
          <w:rFonts w:cs="Times New Roman"/>
          <w:sz w:val="20"/>
          <w:szCs w:val="20"/>
          <w:highlight w:val="yellow"/>
        </w:rPr>
        <w:t xml:space="preserve">collected </w:t>
      </w:r>
      <w:r w:rsidRPr="006360F3">
        <w:rPr>
          <w:rFonts w:cs="Times New Roman"/>
          <w:sz w:val="20"/>
          <w:szCs w:val="20"/>
          <w:highlight w:val="yellow"/>
        </w:rPr>
        <w:t xml:space="preserve">data. </w:t>
      </w:r>
      <w:r w:rsidR="005E581C" w:rsidRPr="006360F3">
        <w:rPr>
          <w:rFonts w:cs="Times New Roman"/>
          <w:sz w:val="20"/>
          <w:szCs w:val="20"/>
          <w:highlight w:val="yellow"/>
        </w:rPr>
        <w:t>Statistical analysis has given</w:t>
      </w:r>
      <w:r w:rsidRPr="006360F3">
        <w:rPr>
          <w:rFonts w:cs="Times New Roman"/>
          <w:sz w:val="20"/>
          <w:szCs w:val="20"/>
          <w:highlight w:val="yellow"/>
        </w:rPr>
        <w:t xml:space="preserve"> an overview of basic data, and t-tests and chi-square tests will allow</w:t>
      </w:r>
      <w:r w:rsidR="005E581C" w:rsidRPr="006360F3">
        <w:rPr>
          <w:rFonts w:cs="Times New Roman"/>
          <w:sz w:val="20"/>
          <w:szCs w:val="20"/>
          <w:highlight w:val="yellow"/>
        </w:rPr>
        <w:t>ed</w:t>
      </w:r>
      <w:r w:rsidRPr="006360F3">
        <w:rPr>
          <w:rFonts w:cs="Times New Roman"/>
          <w:sz w:val="20"/>
          <w:szCs w:val="20"/>
          <w:highlight w:val="yellow"/>
        </w:rPr>
        <w:t xml:space="preserve"> us to compare continuous and categorical data. The odds ratios (ORs) demonstrate</w:t>
      </w:r>
      <w:r w:rsidR="006360F3" w:rsidRPr="006360F3">
        <w:rPr>
          <w:rFonts w:cs="Times New Roman"/>
          <w:sz w:val="20"/>
          <w:szCs w:val="20"/>
          <w:highlight w:val="yellow"/>
        </w:rPr>
        <w:t>d</w:t>
      </w:r>
      <w:r w:rsidRPr="006360F3">
        <w:rPr>
          <w:rFonts w:cs="Times New Roman"/>
          <w:sz w:val="20"/>
          <w:szCs w:val="20"/>
          <w:highlight w:val="yellow"/>
        </w:rPr>
        <w:t xml:space="preserve"> if certain risk factors can predict a repeat hospitalization or higher risk of death, while statistical significance will be considered at p &lt; 0.05.    </w:t>
      </w:r>
      <w:r>
        <w:rPr>
          <w:rFonts w:cs="Times New Roman"/>
          <w:sz w:val="20"/>
          <w:szCs w:val="20"/>
        </w:rPr>
        <w:br/>
      </w:r>
      <w:r>
        <w:rPr>
          <w:rFonts w:cs="Times New Roman"/>
          <w:sz w:val="20"/>
          <w:szCs w:val="20"/>
        </w:rPr>
        <w:br/>
      </w:r>
      <w:r>
        <w:rPr>
          <w:rFonts w:cs="Times New Roman"/>
          <w:b/>
          <w:sz w:val="20"/>
          <w:szCs w:val="20"/>
        </w:rPr>
        <w:t xml:space="preserve">3. </w:t>
      </w:r>
      <w:r w:rsidRPr="00D367DF">
        <w:rPr>
          <w:rFonts w:cs="Times New Roman"/>
          <w:b/>
          <w:color w:val="388600"/>
          <w:sz w:val="20"/>
          <w:szCs w:val="20"/>
        </w:rPr>
        <w:t xml:space="preserve">RESULTS    </w:t>
      </w:r>
      <w:r>
        <w:rPr>
          <w:rFonts w:cs="Times New Roman"/>
          <w:b/>
          <w:sz w:val="20"/>
          <w:szCs w:val="20"/>
        </w:rPr>
        <w:t xml:space="preserve">       </w:t>
      </w:r>
      <w:r>
        <w:rPr>
          <w:rFonts w:cs="Times New Roman"/>
          <w:b/>
          <w:sz w:val="20"/>
          <w:szCs w:val="20"/>
        </w:rPr>
        <w:br/>
      </w:r>
    </w:p>
    <w:p w14:paraId="5F0FE8A1" w14:textId="77777777" w:rsidR="00284D43" w:rsidRDefault="00E45E70">
      <w:pPr>
        <w:jc w:val="both"/>
        <w:rPr>
          <w:rFonts w:cs="Times New Roman"/>
          <w:sz w:val="20"/>
          <w:szCs w:val="20"/>
        </w:rPr>
      </w:pPr>
      <w:r>
        <w:rPr>
          <w:rFonts w:cs="Times New Roman"/>
          <w:sz w:val="20"/>
          <w:szCs w:val="20"/>
        </w:rPr>
        <w:t>The baseline traits found that those taking Sacubitril/Valsartan were on average 57 years old (compared to an average of 50 years old, p=0.022) and included more women (16.7% vs 0%, p=0.032), but hypertension, diabetes, and smoking were equally common across groups. The Hemodynamic and Laboratory data found that at the beginning of treatment, Sac/Val patients had a lower average baseline ejection fraction (p=0.017), but their NT-</w:t>
      </w:r>
      <w:proofErr w:type="spellStart"/>
      <w:r>
        <w:rPr>
          <w:rFonts w:cs="Times New Roman"/>
          <w:sz w:val="20"/>
          <w:szCs w:val="20"/>
        </w:rPr>
        <w:t>proBNP</w:t>
      </w:r>
      <w:proofErr w:type="spellEnd"/>
      <w:r>
        <w:rPr>
          <w:rFonts w:cs="Times New Roman"/>
          <w:sz w:val="20"/>
          <w:szCs w:val="20"/>
        </w:rPr>
        <w:t>, SBP, HR, and eGFR did not differ, suggesting they had similar hemodynamic and kidney status. The changes in cognitive performance and NT-</w:t>
      </w:r>
      <w:proofErr w:type="spellStart"/>
      <w:r>
        <w:rPr>
          <w:rFonts w:cs="Times New Roman"/>
          <w:sz w:val="20"/>
          <w:szCs w:val="20"/>
        </w:rPr>
        <w:t>proBNP</w:t>
      </w:r>
      <w:proofErr w:type="spellEnd"/>
      <w:r>
        <w:rPr>
          <w:rFonts w:cs="Times New Roman"/>
          <w:sz w:val="20"/>
          <w:szCs w:val="20"/>
        </w:rPr>
        <w:t xml:space="preserve"> were not significant </w:t>
      </w:r>
      <w:r>
        <w:rPr>
          <w:rFonts w:cs="Times New Roman"/>
          <w:sz w:val="20"/>
          <w:szCs w:val="20"/>
        </w:rPr>
        <w:lastRenderedPageBreak/>
        <w:t>between the groups after treatment, and while SBP increased significantly in the ACEI/ARB group, other measurements like HR and eGFR remained the same for both groups (Table 3). NYHA Class I included a larger percentage of ACEI/ARB patients (87.5%) than Sac/Val patients (67.8%, p=0.056), showing faster improvement in these patients. The few hyperkalemia events, cases of hypotension and effects on the kidneys lasted for a short period in all groups and no serious differences were seen (p &gt; 0.3). The mortality rate and the rate of patients being re-admitted were low and they did not differ significantly (4.2% vs 2.2% and 4.2% vs 1.1%, respectively). Symptom relief was found to be similar in patients with PND and dyspnea (p=0.971 and p=0.604, respectively). Both groups also experienced complete resolution of orthopnea, confirming that both drugs performed similarly well.</w:t>
      </w:r>
    </w:p>
    <w:p w14:paraId="005C3F56" w14:textId="77777777" w:rsidR="00284D43" w:rsidRDefault="00284D43">
      <w:pPr>
        <w:rPr>
          <w:rFonts w:cs="Times New Roman"/>
          <w:sz w:val="20"/>
          <w:szCs w:val="20"/>
        </w:rPr>
      </w:pPr>
    </w:p>
    <w:p w14:paraId="6DF6675C" w14:textId="579C76D7" w:rsidR="00284D43" w:rsidRDefault="007E5354">
      <w:pPr>
        <w:jc w:val="center"/>
        <w:rPr>
          <w:rFonts w:cs="Times New Roman"/>
          <w:b/>
          <w:sz w:val="20"/>
          <w:szCs w:val="20"/>
        </w:rPr>
      </w:pPr>
      <w:r w:rsidRPr="002E029F">
        <w:rPr>
          <w:rFonts w:cs="Times New Roman"/>
          <w:b/>
          <w:bCs/>
          <w:noProof/>
          <w:sz w:val="20"/>
          <w:szCs w:val="20"/>
        </w:rPr>
        <w:drawing>
          <wp:inline distT="0" distB="0" distL="0" distR="0" wp14:anchorId="28880839" wp14:editId="70A85B88">
            <wp:extent cx="4794885" cy="2622430"/>
            <wp:effectExtent l="0" t="0" r="5715" b="6985"/>
            <wp:docPr id="1132503740" name="Chart 11325037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E81934" w14:textId="77777777" w:rsidR="00284D43" w:rsidRDefault="00E45E70">
      <w:pPr>
        <w:jc w:val="center"/>
        <w:rPr>
          <w:rFonts w:cs="Times New Roman"/>
          <w:bCs/>
          <w:i/>
          <w:iCs/>
          <w:color w:val="0070C0"/>
          <w:sz w:val="20"/>
          <w:szCs w:val="20"/>
        </w:rPr>
      </w:pPr>
      <w:r>
        <w:rPr>
          <w:rFonts w:cs="Times New Roman"/>
          <w:bCs/>
          <w:i/>
          <w:iCs/>
          <w:color w:val="0070C0"/>
          <w:sz w:val="20"/>
          <w:szCs w:val="20"/>
        </w:rPr>
        <w:t>Figure 1: Column chart showed demographic distribution of patients, age</w:t>
      </w:r>
    </w:p>
    <w:p w14:paraId="031BAD98" w14:textId="77777777" w:rsidR="00284D43" w:rsidRDefault="00284D43">
      <w:pPr>
        <w:rPr>
          <w:rFonts w:cs="Times New Roman"/>
          <w:b/>
          <w:sz w:val="20"/>
          <w:szCs w:val="20"/>
        </w:rPr>
      </w:pPr>
    </w:p>
    <w:p w14:paraId="2FAE6D6A" w14:textId="77777777" w:rsidR="00284D43" w:rsidRDefault="00E45E70">
      <w:pPr>
        <w:spacing w:line="360" w:lineRule="auto"/>
        <w:rPr>
          <w:rFonts w:cs="Times New Roman"/>
          <w:b/>
          <w:sz w:val="20"/>
          <w:szCs w:val="20"/>
        </w:rPr>
      </w:pPr>
      <w:r>
        <w:rPr>
          <w:rFonts w:cs="Times New Roman"/>
          <w:b/>
          <w:sz w:val="20"/>
          <w:szCs w:val="20"/>
        </w:rPr>
        <w:t>Table 1: Baseline characteristics of patients (N=114)</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1440"/>
        <w:gridCol w:w="3240"/>
      </w:tblGrid>
      <w:tr w:rsidR="00284D43" w14:paraId="660C2C0F" w14:textId="77777777">
        <w:trPr>
          <w:tblHeader/>
          <w:tblCellSpacing w:w="15" w:type="dxa"/>
        </w:trPr>
        <w:tc>
          <w:tcPr>
            <w:tcW w:w="2925" w:type="dxa"/>
            <w:tcBorders>
              <w:top w:val="nil"/>
              <w:bottom w:val="single" w:sz="4" w:space="0" w:color="auto"/>
            </w:tcBorders>
            <w:vAlign w:val="center"/>
          </w:tcPr>
          <w:p w14:paraId="51A84A68" w14:textId="77777777" w:rsidR="00284D43" w:rsidRDefault="00E45E70">
            <w:pPr>
              <w:widowControl/>
              <w:autoSpaceDE/>
              <w:autoSpaceDN/>
              <w:rPr>
                <w:rFonts w:eastAsia="Times New Roman" w:cs="Times New Roman"/>
                <w:b/>
                <w:bCs/>
                <w:sz w:val="20"/>
                <w:szCs w:val="20"/>
              </w:rPr>
            </w:pPr>
            <w:r>
              <w:rPr>
                <w:rFonts w:eastAsia="Times New Roman" w:cs="Times New Roman"/>
                <w:b/>
                <w:bCs/>
                <w:sz w:val="20"/>
                <w:szCs w:val="20"/>
              </w:rPr>
              <w:t>Characteristic</w:t>
            </w:r>
          </w:p>
        </w:tc>
        <w:tc>
          <w:tcPr>
            <w:tcW w:w="1410" w:type="dxa"/>
            <w:tcBorders>
              <w:top w:val="nil"/>
              <w:bottom w:val="single" w:sz="4" w:space="0" w:color="auto"/>
            </w:tcBorders>
            <w:vAlign w:val="center"/>
          </w:tcPr>
          <w:p w14:paraId="403B5BE3"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4040E0B7"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ACEI/ARB (n=24)</w:t>
            </w:r>
          </w:p>
        </w:tc>
        <w:tc>
          <w:tcPr>
            <w:tcW w:w="3195" w:type="dxa"/>
            <w:tcBorders>
              <w:top w:val="nil"/>
              <w:bottom w:val="single" w:sz="4" w:space="0" w:color="auto"/>
            </w:tcBorders>
            <w:vAlign w:val="center"/>
          </w:tcPr>
          <w:p w14:paraId="13F9B0BD"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6CFDF77B"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Sac/Val (n=90)</w:t>
            </w:r>
          </w:p>
        </w:tc>
      </w:tr>
      <w:tr w:rsidR="00284D43" w14:paraId="0B3AFB78" w14:textId="77777777">
        <w:trPr>
          <w:tblCellSpacing w:w="15" w:type="dxa"/>
        </w:trPr>
        <w:tc>
          <w:tcPr>
            <w:tcW w:w="2925" w:type="dxa"/>
            <w:vAlign w:val="center"/>
          </w:tcPr>
          <w:p w14:paraId="7C031762"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Mean Age (years)</w:t>
            </w:r>
          </w:p>
        </w:tc>
        <w:tc>
          <w:tcPr>
            <w:tcW w:w="1410" w:type="dxa"/>
            <w:vAlign w:val="center"/>
          </w:tcPr>
          <w:p w14:paraId="1DA505F0"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55.5 ± 8.85</w:t>
            </w:r>
          </w:p>
        </w:tc>
        <w:tc>
          <w:tcPr>
            <w:tcW w:w="3195" w:type="dxa"/>
            <w:vAlign w:val="center"/>
          </w:tcPr>
          <w:p w14:paraId="5EE17B10"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60.88 ± 10.32</w:t>
            </w:r>
          </w:p>
        </w:tc>
      </w:tr>
      <w:tr w:rsidR="00284D43" w14:paraId="3F463223" w14:textId="77777777">
        <w:trPr>
          <w:tblCellSpacing w:w="15" w:type="dxa"/>
        </w:trPr>
        <w:tc>
          <w:tcPr>
            <w:tcW w:w="2925" w:type="dxa"/>
            <w:vAlign w:val="center"/>
          </w:tcPr>
          <w:p w14:paraId="70CDD839"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Male (%)</w:t>
            </w:r>
          </w:p>
        </w:tc>
        <w:tc>
          <w:tcPr>
            <w:tcW w:w="1410" w:type="dxa"/>
            <w:vAlign w:val="center"/>
          </w:tcPr>
          <w:p w14:paraId="23ECF44D"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100%</w:t>
            </w:r>
          </w:p>
        </w:tc>
        <w:tc>
          <w:tcPr>
            <w:tcW w:w="3195" w:type="dxa"/>
            <w:vAlign w:val="center"/>
          </w:tcPr>
          <w:p w14:paraId="5464EF89"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83.3%</w:t>
            </w:r>
          </w:p>
        </w:tc>
      </w:tr>
      <w:tr w:rsidR="00284D43" w14:paraId="2E9459E2" w14:textId="77777777">
        <w:trPr>
          <w:tblCellSpacing w:w="15" w:type="dxa"/>
        </w:trPr>
        <w:tc>
          <w:tcPr>
            <w:tcW w:w="2925" w:type="dxa"/>
            <w:vAlign w:val="center"/>
          </w:tcPr>
          <w:p w14:paraId="02FE3A9E"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Hypertension (%)</w:t>
            </w:r>
          </w:p>
        </w:tc>
        <w:tc>
          <w:tcPr>
            <w:tcW w:w="1410" w:type="dxa"/>
            <w:vAlign w:val="center"/>
          </w:tcPr>
          <w:p w14:paraId="6E1B60F7"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75.0%</w:t>
            </w:r>
          </w:p>
        </w:tc>
        <w:tc>
          <w:tcPr>
            <w:tcW w:w="3195" w:type="dxa"/>
            <w:vAlign w:val="center"/>
          </w:tcPr>
          <w:p w14:paraId="2B63CBF6"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77.8%</w:t>
            </w:r>
          </w:p>
        </w:tc>
      </w:tr>
      <w:tr w:rsidR="00284D43" w14:paraId="72BA217C" w14:textId="77777777">
        <w:trPr>
          <w:tblCellSpacing w:w="15" w:type="dxa"/>
        </w:trPr>
        <w:tc>
          <w:tcPr>
            <w:tcW w:w="2925" w:type="dxa"/>
            <w:vAlign w:val="center"/>
          </w:tcPr>
          <w:p w14:paraId="0C4911D0"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Diabetes Mellitus (%)</w:t>
            </w:r>
          </w:p>
        </w:tc>
        <w:tc>
          <w:tcPr>
            <w:tcW w:w="1410" w:type="dxa"/>
            <w:vAlign w:val="center"/>
          </w:tcPr>
          <w:p w14:paraId="6A3D22D0"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66.7%</w:t>
            </w:r>
          </w:p>
        </w:tc>
        <w:tc>
          <w:tcPr>
            <w:tcW w:w="3195" w:type="dxa"/>
            <w:vAlign w:val="center"/>
          </w:tcPr>
          <w:p w14:paraId="466D85FD"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71.1%</w:t>
            </w:r>
          </w:p>
        </w:tc>
      </w:tr>
      <w:tr w:rsidR="00284D43" w14:paraId="0767842E" w14:textId="77777777">
        <w:trPr>
          <w:tblCellSpacing w:w="15" w:type="dxa"/>
        </w:trPr>
        <w:tc>
          <w:tcPr>
            <w:tcW w:w="2925" w:type="dxa"/>
            <w:vAlign w:val="center"/>
          </w:tcPr>
          <w:p w14:paraId="69A3856F"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Smoking (%)</w:t>
            </w:r>
          </w:p>
        </w:tc>
        <w:tc>
          <w:tcPr>
            <w:tcW w:w="1410" w:type="dxa"/>
            <w:vAlign w:val="center"/>
          </w:tcPr>
          <w:p w14:paraId="4142E909"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50.0%</w:t>
            </w:r>
          </w:p>
        </w:tc>
        <w:tc>
          <w:tcPr>
            <w:tcW w:w="3195" w:type="dxa"/>
            <w:vAlign w:val="center"/>
          </w:tcPr>
          <w:p w14:paraId="3EF2E5D2"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30.0%</w:t>
            </w:r>
          </w:p>
        </w:tc>
      </w:tr>
    </w:tbl>
    <w:p w14:paraId="294698DA" w14:textId="77777777" w:rsidR="00284D43" w:rsidRDefault="00284D43">
      <w:pPr>
        <w:rPr>
          <w:rFonts w:cs="Times New Roman"/>
          <w:sz w:val="20"/>
          <w:szCs w:val="20"/>
        </w:rPr>
      </w:pPr>
    </w:p>
    <w:p w14:paraId="1462A942" w14:textId="77777777" w:rsidR="00284D43" w:rsidRDefault="00E45E70">
      <w:pPr>
        <w:rPr>
          <w:rFonts w:cs="Times New Roman"/>
          <w:b/>
          <w:sz w:val="20"/>
          <w:szCs w:val="20"/>
        </w:rPr>
      </w:pPr>
      <w:r>
        <w:rPr>
          <w:rFonts w:cs="Times New Roman"/>
          <w:b/>
          <w:sz w:val="20"/>
          <w:szCs w:val="20"/>
        </w:rPr>
        <w:t>Table 2: Baseline Hemodynamic and Laboratory Data</w:t>
      </w:r>
    </w:p>
    <w:p w14:paraId="2803F616" w14:textId="77777777" w:rsidR="00284D43" w:rsidRDefault="00284D43">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520"/>
        <w:gridCol w:w="1890"/>
        <w:gridCol w:w="1890"/>
        <w:gridCol w:w="1350"/>
      </w:tblGrid>
      <w:tr w:rsidR="00284D43" w14:paraId="3EF74475" w14:textId="77777777">
        <w:trPr>
          <w:tblHeader/>
          <w:tblCellSpacing w:w="15" w:type="dxa"/>
        </w:trPr>
        <w:tc>
          <w:tcPr>
            <w:tcW w:w="2475" w:type="dxa"/>
            <w:tcBorders>
              <w:top w:val="nil"/>
              <w:bottom w:val="single" w:sz="4" w:space="0" w:color="auto"/>
            </w:tcBorders>
            <w:vAlign w:val="center"/>
          </w:tcPr>
          <w:p w14:paraId="3B046ACE" w14:textId="77777777" w:rsidR="00284D43" w:rsidRDefault="00E45E70">
            <w:pPr>
              <w:widowControl/>
              <w:autoSpaceDE/>
              <w:autoSpaceDN/>
              <w:rPr>
                <w:rFonts w:eastAsia="Times New Roman" w:cs="Times New Roman"/>
                <w:b/>
                <w:bCs/>
                <w:sz w:val="20"/>
                <w:szCs w:val="20"/>
              </w:rPr>
            </w:pPr>
            <w:r>
              <w:rPr>
                <w:rFonts w:eastAsia="Times New Roman" w:cs="Times New Roman"/>
                <w:b/>
                <w:bCs/>
                <w:sz w:val="20"/>
                <w:szCs w:val="20"/>
              </w:rPr>
              <w:t>Parameter</w:t>
            </w:r>
          </w:p>
        </w:tc>
        <w:tc>
          <w:tcPr>
            <w:tcW w:w="1860" w:type="dxa"/>
            <w:tcBorders>
              <w:top w:val="nil"/>
              <w:bottom w:val="single" w:sz="4" w:space="0" w:color="auto"/>
            </w:tcBorders>
            <w:vAlign w:val="center"/>
          </w:tcPr>
          <w:p w14:paraId="33823F3F"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26C128A2"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ACEI/ARB (n=24)</w:t>
            </w:r>
          </w:p>
        </w:tc>
        <w:tc>
          <w:tcPr>
            <w:tcW w:w="1860" w:type="dxa"/>
            <w:tcBorders>
              <w:top w:val="nil"/>
              <w:bottom w:val="single" w:sz="4" w:space="0" w:color="auto"/>
            </w:tcBorders>
            <w:vAlign w:val="center"/>
          </w:tcPr>
          <w:p w14:paraId="5B409309"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5755A559"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Sac/Val (n=90)</w:t>
            </w:r>
          </w:p>
        </w:tc>
        <w:tc>
          <w:tcPr>
            <w:tcW w:w="1305" w:type="dxa"/>
            <w:tcBorders>
              <w:top w:val="nil"/>
              <w:bottom w:val="single" w:sz="4" w:space="0" w:color="auto"/>
            </w:tcBorders>
            <w:vAlign w:val="center"/>
          </w:tcPr>
          <w:p w14:paraId="0BB52273"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rsidR="00284D43" w14:paraId="73B3C82A" w14:textId="77777777">
        <w:trPr>
          <w:tblCellSpacing w:w="15" w:type="dxa"/>
        </w:trPr>
        <w:tc>
          <w:tcPr>
            <w:tcW w:w="2475" w:type="dxa"/>
            <w:vAlign w:val="center"/>
          </w:tcPr>
          <w:p w14:paraId="2F0A1C90"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EF at Baseline (%)</w:t>
            </w:r>
          </w:p>
        </w:tc>
        <w:tc>
          <w:tcPr>
            <w:tcW w:w="1860" w:type="dxa"/>
            <w:vAlign w:val="center"/>
          </w:tcPr>
          <w:p w14:paraId="31F694E8"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36.67 ± 5.04</w:t>
            </w:r>
          </w:p>
        </w:tc>
        <w:tc>
          <w:tcPr>
            <w:tcW w:w="1860" w:type="dxa"/>
            <w:vAlign w:val="center"/>
          </w:tcPr>
          <w:p w14:paraId="5BBB64E4"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33.69 ± 5.44</w:t>
            </w:r>
          </w:p>
        </w:tc>
        <w:tc>
          <w:tcPr>
            <w:tcW w:w="1305" w:type="dxa"/>
            <w:vAlign w:val="center"/>
          </w:tcPr>
          <w:p w14:paraId="3F1A6C26"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0.017*</w:t>
            </w:r>
          </w:p>
        </w:tc>
      </w:tr>
      <w:tr w:rsidR="00284D43" w14:paraId="16A71962" w14:textId="77777777">
        <w:trPr>
          <w:tblCellSpacing w:w="15" w:type="dxa"/>
        </w:trPr>
        <w:tc>
          <w:tcPr>
            <w:tcW w:w="2475" w:type="dxa"/>
            <w:vAlign w:val="center"/>
          </w:tcPr>
          <w:p w14:paraId="5312F5B5"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NT-</w:t>
            </w:r>
            <w:proofErr w:type="spellStart"/>
            <w:r>
              <w:rPr>
                <w:rFonts w:eastAsia="Times New Roman" w:cs="Times New Roman"/>
                <w:sz w:val="20"/>
                <w:szCs w:val="20"/>
              </w:rPr>
              <w:t>proBNP</w:t>
            </w:r>
            <w:proofErr w:type="spellEnd"/>
            <w:r>
              <w:rPr>
                <w:rFonts w:eastAsia="Times New Roman" w:cs="Times New Roman"/>
                <w:sz w:val="20"/>
                <w:szCs w:val="20"/>
              </w:rPr>
              <w:t xml:space="preserve"> (</w:t>
            </w:r>
            <w:proofErr w:type="spellStart"/>
            <w:r>
              <w:rPr>
                <w:rFonts w:eastAsia="Times New Roman" w:cs="Times New Roman"/>
                <w:sz w:val="20"/>
                <w:szCs w:val="20"/>
              </w:rPr>
              <w:t>pg</w:t>
            </w:r>
            <w:proofErr w:type="spellEnd"/>
            <w:r>
              <w:rPr>
                <w:rFonts w:eastAsia="Times New Roman" w:cs="Times New Roman"/>
                <w:sz w:val="20"/>
                <w:szCs w:val="20"/>
              </w:rPr>
              <w:t>/mL)</w:t>
            </w:r>
          </w:p>
        </w:tc>
        <w:tc>
          <w:tcPr>
            <w:tcW w:w="1860" w:type="dxa"/>
            <w:vAlign w:val="center"/>
          </w:tcPr>
          <w:p w14:paraId="196903BD"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1074.4 ± 2363.1</w:t>
            </w:r>
          </w:p>
        </w:tc>
        <w:tc>
          <w:tcPr>
            <w:tcW w:w="1860" w:type="dxa"/>
            <w:vAlign w:val="center"/>
          </w:tcPr>
          <w:p w14:paraId="6CC11B1C"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1948.6 ± 2282.3</w:t>
            </w:r>
          </w:p>
        </w:tc>
        <w:tc>
          <w:tcPr>
            <w:tcW w:w="1305" w:type="dxa"/>
            <w:vAlign w:val="center"/>
          </w:tcPr>
          <w:p w14:paraId="4739FCE1"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0.101</w:t>
            </w:r>
          </w:p>
        </w:tc>
      </w:tr>
      <w:tr w:rsidR="00284D43" w14:paraId="68046455" w14:textId="77777777">
        <w:trPr>
          <w:tblCellSpacing w:w="15" w:type="dxa"/>
        </w:trPr>
        <w:tc>
          <w:tcPr>
            <w:tcW w:w="2475" w:type="dxa"/>
            <w:vAlign w:val="center"/>
          </w:tcPr>
          <w:p w14:paraId="23858FAF"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SBP (mmHg)</w:t>
            </w:r>
          </w:p>
        </w:tc>
        <w:tc>
          <w:tcPr>
            <w:tcW w:w="1860" w:type="dxa"/>
            <w:vAlign w:val="center"/>
          </w:tcPr>
          <w:p w14:paraId="55E5E033"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124.6 ± 18.4</w:t>
            </w:r>
          </w:p>
        </w:tc>
        <w:tc>
          <w:tcPr>
            <w:tcW w:w="1860" w:type="dxa"/>
            <w:vAlign w:val="center"/>
          </w:tcPr>
          <w:p w14:paraId="6ED6E422"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116.9 ± 17.6</w:t>
            </w:r>
          </w:p>
        </w:tc>
        <w:tc>
          <w:tcPr>
            <w:tcW w:w="1305" w:type="dxa"/>
            <w:vAlign w:val="center"/>
          </w:tcPr>
          <w:p w14:paraId="44FAE3DD"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0.062</w:t>
            </w:r>
          </w:p>
        </w:tc>
      </w:tr>
      <w:tr w:rsidR="00284D43" w14:paraId="594CB31A" w14:textId="77777777">
        <w:trPr>
          <w:tblCellSpacing w:w="15" w:type="dxa"/>
        </w:trPr>
        <w:tc>
          <w:tcPr>
            <w:tcW w:w="2475" w:type="dxa"/>
            <w:vAlign w:val="center"/>
          </w:tcPr>
          <w:p w14:paraId="0B8A02EC"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HR (bpm)</w:t>
            </w:r>
          </w:p>
        </w:tc>
        <w:tc>
          <w:tcPr>
            <w:tcW w:w="1860" w:type="dxa"/>
            <w:vAlign w:val="center"/>
          </w:tcPr>
          <w:p w14:paraId="489EDCBE"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74.0 ± 8.02</w:t>
            </w:r>
          </w:p>
        </w:tc>
        <w:tc>
          <w:tcPr>
            <w:tcW w:w="1860" w:type="dxa"/>
            <w:vAlign w:val="center"/>
          </w:tcPr>
          <w:p w14:paraId="11874A08"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74.4 ± 11.85</w:t>
            </w:r>
          </w:p>
        </w:tc>
        <w:tc>
          <w:tcPr>
            <w:tcW w:w="1305" w:type="dxa"/>
            <w:vAlign w:val="center"/>
          </w:tcPr>
          <w:p w14:paraId="0E2FC2B1"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0.876</w:t>
            </w:r>
          </w:p>
        </w:tc>
      </w:tr>
      <w:tr w:rsidR="00284D43" w14:paraId="0A0E2E15" w14:textId="77777777">
        <w:trPr>
          <w:tblCellSpacing w:w="15" w:type="dxa"/>
        </w:trPr>
        <w:tc>
          <w:tcPr>
            <w:tcW w:w="2475" w:type="dxa"/>
            <w:vAlign w:val="center"/>
          </w:tcPr>
          <w:p w14:paraId="6E7FCC20"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eGFR (mL/min/1.73m²)</w:t>
            </w:r>
          </w:p>
        </w:tc>
        <w:tc>
          <w:tcPr>
            <w:tcW w:w="1860" w:type="dxa"/>
            <w:vAlign w:val="center"/>
          </w:tcPr>
          <w:p w14:paraId="37C6E61B"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57.6 ± 17.9</w:t>
            </w:r>
          </w:p>
        </w:tc>
        <w:tc>
          <w:tcPr>
            <w:tcW w:w="1860" w:type="dxa"/>
            <w:vAlign w:val="center"/>
          </w:tcPr>
          <w:p w14:paraId="647664A9"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53.7 ± 15.6</w:t>
            </w:r>
          </w:p>
        </w:tc>
        <w:tc>
          <w:tcPr>
            <w:tcW w:w="1305" w:type="dxa"/>
            <w:vAlign w:val="center"/>
          </w:tcPr>
          <w:p w14:paraId="2D0092D8"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0.295</w:t>
            </w:r>
          </w:p>
        </w:tc>
      </w:tr>
    </w:tbl>
    <w:p w14:paraId="5D0A854A" w14:textId="77777777" w:rsidR="00284D43" w:rsidRDefault="00284D43">
      <w:pPr>
        <w:rPr>
          <w:rFonts w:cs="Times New Roman"/>
          <w:sz w:val="20"/>
          <w:szCs w:val="20"/>
        </w:rPr>
      </w:pPr>
    </w:p>
    <w:p w14:paraId="77A8416B" w14:textId="77777777" w:rsidR="00284D43" w:rsidRDefault="00E45E70">
      <w:pPr>
        <w:rPr>
          <w:rFonts w:cs="Times New Roman"/>
          <w:b/>
          <w:sz w:val="20"/>
          <w:szCs w:val="20"/>
        </w:rPr>
      </w:pPr>
      <w:r>
        <w:rPr>
          <w:rFonts w:cs="Times New Roman"/>
          <w:b/>
          <w:sz w:val="20"/>
          <w:szCs w:val="20"/>
        </w:rPr>
        <w:t>Table 3: Post-Intervention Outcomes by both groups (N=114)</w:t>
      </w:r>
    </w:p>
    <w:p w14:paraId="0CE2A866" w14:textId="77777777" w:rsidR="00284D43" w:rsidRDefault="00284D43">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40"/>
        <w:gridCol w:w="2250"/>
        <w:gridCol w:w="1800"/>
        <w:gridCol w:w="1710"/>
      </w:tblGrid>
      <w:tr w:rsidR="00284D43" w14:paraId="0898C9A2" w14:textId="77777777">
        <w:trPr>
          <w:tblHeader/>
          <w:tblCellSpacing w:w="15" w:type="dxa"/>
        </w:trPr>
        <w:tc>
          <w:tcPr>
            <w:tcW w:w="2295" w:type="dxa"/>
            <w:tcBorders>
              <w:top w:val="nil"/>
              <w:bottom w:val="single" w:sz="4" w:space="0" w:color="auto"/>
            </w:tcBorders>
            <w:vAlign w:val="center"/>
          </w:tcPr>
          <w:p w14:paraId="6E6314B6"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lastRenderedPageBreak/>
              <w:t>Parameter</w:t>
            </w:r>
          </w:p>
        </w:tc>
        <w:tc>
          <w:tcPr>
            <w:tcW w:w="2220" w:type="dxa"/>
            <w:tcBorders>
              <w:top w:val="nil"/>
              <w:bottom w:val="single" w:sz="4" w:space="0" w:color="auto"/>
            </w:tcBorders>
            <w:vAlign w:val="center"/>
          </w:tcPr>
          <w:p w14:paraId="6A1E8B24"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30CCDC30"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ACEI/ARB (n-24)</w:t>
            </w:r>
          </w:p>
        </w:tc>
        <w:tc>
          <w:tcPr>
            <w:tcW w:w="1770" w:type="dxa"/>
            <w:tcBorders>
              <w:top w:val="nil"/>
              <w:bottom w:val="single" w:sz="4" w:space="0" w:color="auto"/>
            </w:tcBorders>
            <w:vAlign w:val="center"/>
          </w:tcPr>
          <w:p w14:paraId="3E27FDCC"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1F404537"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Sac/Val (n=90)</w:t>
            </w:r>
          </w:p>
        </w:tc>
        <w:tc>
          <w:tcPr>
            <w:tcW w:w="1665" w:type="dxa"/>
            <w:tcBorders>
              <w:top w:val="nil"/>
              <w:bottom w:val="single" w:sz="4" w:space="0" w:color="auto"/>
            </w:tcBorders>
            <w:vAlign w:val="center"/>
          </w:tcPr>
          <w:p w14:paraId="7FAC1B1B"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rsidR="00284D43" w14:paraId="1CB5FFBB" w14:textId="77777777">
        <w:trPr>
          <w:tblCellSpacing w:w="15" w:type="dxa"/>
        </w:trPr>
        <w:tc>
          <w:tcPr>
            <w:tcW w:w="2295" w:type="dxa"/>
            <w:vAlign w:val="center"/>
          </w:tcPr>
          <w:p w14:paraId="687BF1D7"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EF (%)</w:t>
            </w:r>
          </w:p>
        </w:tc>
        <w:tc>
          <w:tcPr>
            <w:tcW w:w="2220" w:type="dxa"/>
            <w:vAlign w:val="center"/>
          </w:tcPr>
          <w:p w14:paraId="75F9A277"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53.3 ± 24.4</w:t>
            </w:r>
          </w:p>
        </w:tc>
        <w:tc>
          <w:tcPr>
            <w:tcW w:w="1770" w:type="dxa"/>
            <w:vAlign w:val="center"/>
          </w:tcPr>
          <w:p w14:paraId="04DA9583"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58.0 ± 29.1</w:t>
            </w:r>
          </w:p>
        </w:tc>
        <w:tc>
          <w:tcPr>
            <w:tcW w:w="1665" w:type="dxa"/>
            <w:vAlign w:val="center"/>
          </w:tcPr>
          <w:p w14:paraId="50A673D1"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0.473</w:t>
            </w:r>
          </w:p>
        </w:tc>
      </w:tr>
      <w:tr w:rsidR="00284D43" w14:paraId="4268DB46" w14:textId="77777777">
        <w:trPr>
          <w:tblCellSpacing w:w="15" w:type="dxa"/>
        </w:trPr>
        <w:tc>
          <w:tcPr>
            <w:tcW w:w="2295" w:type="dxa"/>
            <w:vAlign w:val="center"/>
          </w:tcPr>
          <w:p w14:paraId="0D206481"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NT-</w:t>
            </w:r>
            <w:proofErr w:type="spellStart"/>
            <w:r>
              <w:rPr>
                <w:rFonts w:eastAsia="Times New Roman" w:cs="Times New Roman"/>
                <w:sz w:val="20"/>
                <w:szCs w:val="20"/>
              </w:rPr>
              <w:t>proBNP</w:t>
            </w:r>
            <w:proofErr w:type="spellEnd"/>
            <w:r>
              <w:rPr>
                <w:rFonts w:eastAsia="Times New Roman" w:cs="Times New Roman"/>
                <w:sz w:val="20"/>
                <w:szCs w:val="20"/>
              </w:rPr>
              <w:t xml:space="preserve"> (</w:t>
            </w:r>
            <w:proofErr w:type="spellStart"/>
            <w:r>
              <w:rPr>
                <w:rFonts w:eastAsia="Times New Roman" w:cs="Times New Roman"/>
                <w:sz w:val="20"/>
                <w:szCs w:val="20"/>
              </w:rPr>
              <w:t>pg</w:t>
            </w:r>
            <w:proofErr w:type="spellEnd"/>
            <w:r>
              <w:rPr>
                <w:rFonts w:eastAsia="Times New Roman" w:cs="Times New Roman"/>
                <w:sz w:val="20"/>
                <w:szCs w:val="20"/>
              </w:rPr>
              <w:t>/mL)</w:t>
            </w:r>
          </w:p>
        </w:tc>
        <w:tc>
          <w:tcPr>
            <w:tcW w:w="2220" w:type="dxa"/>
            <w:vAlign w:val="center"/>
          </w:tcPr>
          <w:p w14:paraId="2EBC6BDA"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1026.3 ± 1721.7</w:t>
            </w:r>
          </w:p>
        </w:tc>
        <w:tc>
          <w:tcPr>
            <w:tcW w:w="1770" w:type="dxa"/>
            <w:vAlign w:val="center"/>
          </w:tcPr>
          <w:p w14:paraId="0D824C83"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1086.8 ± 1603.2</w:t>
            </w:r>
          </w:p>
        </w:tc>
        <w:tc>
          <w:tcPr>
            <w:tcW w:w="1665" w:type="dxa"/>
            <w:vAlign w:val="center"/>
          </w:tcPr>
          <w:p w14:paraId="5ABDE78C"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0.872</w:t>
            </w:r>
          </w:p>
        </w:tc>
      </w:tr>
      <w:tr w:rsidR="00284D43" w14:paraId="16C70F4B" w14:textId="77777777">
        <w:trPr>
          <w:tblCellSpacing w:w="15" w:type="dxa"/>
        </w:trPr>
        <w:tc>
          <w:tcPr>
            <w:tcW w:w="2295" w:type="dxa"/>
            <w:vAlign w:val="center"/>
          </w:tcPr>
          <w:p w14:paraId="4BB0D81B"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eGFR (mL/min/1.73m²)</w:t>
            </w:r>
          </w:p>
        </w:tc>
        <w:tc>
          <w:tcPr>
            <w:tcW w:w="2220" w:type="dxa"/>
            <w:vAlign w:val="center"/>
          </w:tcPr>
          <w:p w14:paraId="5A5F6F2E"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58.2 ± 16.6</w:t>
            </w:r>
          </w:p>
        </w:tc>
        <w:tc>
          <w:tcPr>
            <w:tcW w:w="1770" w:type="dxa"/>
            <w:vAlign w:val="center"/>
          </w:tcPr>
          <w:p w14:paraId="1A391CB8"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55.0 ± 18.5</w:t>
            </w:r>
          </w:p>
        </w:tc>
        <w:tc>
          <w:tcPr>
            <w:tcW w:w="1665" w:type="dxa"/>
            <w:vAlign w:val="center"/>
          </w:tcPr>
          <w:p w14:paraId="1C0F6CA1"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0.443</w:t>
            </w:r>
          </w:p>
        </w:tc>
      </w:tr>
      <w:tr w:rsidR="00284D43" w14:paraId="28A8C6AB" w14:textId="77777777">
        <w:trPr>
          <w:tblCellSpacing w:w="15" w:type="dxa"/>
        </w:trPr>
        <w:tc>
          <w:tcPr>
            <w:tcW w:w="2295" w:type="dxa"/>
            <w:vAlign w:val="center"/>
          </w:tcPr>
          <w:p w14:paraId="6DA26990"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SBP (mmHg)</w:t>
            </w:r>
          </w:p>
        </w:tc>
        <w:tc>
          <w:tcPr>
            <w:tcW w:w="2220" w:type="dxa"/>
            <w:vAlign w:val="center"/>
          </w:tcPr>
          <w:p w14:paraId="0AB8B7CC"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125.0 ± 16.2</w:t>
            </w:r>
          </w:p>
        </w:tc>
        <w:tc>
          <w:tcPr>
            <w:tcW w:w="1770" w:type="dxa"/>
            <w:vAlign w:val="center"/>
          </w:tcPr>
          <w:p w14:paraId="6B6FB199"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115.6 ± 18.2</w:t>
            </w:r>
          </w:p>
        </w:tc>
        <w:tc>
          <w:tcPr>
            <w:tcW w:w="1665" w:type="dxa"/>
            <w:vAlign w:val="center"/>
          </w:tcPr>
          <w:p w14:paraId="36FD2608"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0.023*</w:t>
            </w:r>
          </w:p>
        </w:tc>
      </w:tr>
      <w:tr w:rsidR="00284D43" w14:paraId="525D1ACB" w14:textId="77777777">
        <w:trPr>
          <w:tblCellSpacing w:w="15" w:type="dxa"/>
        </w:trPr>
        <w:tc>
          <w:tcPr>
            <w:tcW w:w="2295" w:type="dxa"/>
            <w:vAlign w:val="center"/>
          </w:tcPr>
          <w:p w14:paraId="6DDA45B7"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HR (bpm)</w:t>
            </w:r>
          </w:p>
        </w:tc>
        <w:tc>
          <w:tcPr>
            <w:tcW w:w="2220" w:type="dxa"/>
            <w:vAlign w:val="center"/>
          </w:tcPr>
          <w:p w14:paraId="69B17524"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72.1 ± 10.1</w:t>
            </w:r>
          </w:p>
        </w:tc>
        <w:tc>
          <w:tcPr>
            <w:tcW w:w="1770" w:type="dxa"/>
            <w:vAlign w:val="center"/>
          </w:tcPr>
          <w:p w14:paraId="57E7C310"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72.5 ± 15.4</w:t>
            </w:r>
          </w:p>
        </w:tc>
        <w:tc>
          <w:tcPr>
            <w:tcW w:w="1665" w:type="dxa"/>
            <w:vAlign w:val="center"/>
          </w:tcPr>
          <w:p w14:paraId="7133269C"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0.901</w:t>
            </w:r>
          </w:p>
        </w:tc>
      </w:tr>
    </w:tbl>
    <w:p w14:paraId="58D9BBC8" w14:textId="77777777" w:rsidR="00284D43" w:rsidRDefault="00284D43">
      <w:pPr>
        <w:rPr>
          <w:rFonts w:cs="Times New Roman"/>
          <w:sz w:val="20"/>
          <w:szCs w:val="20"/>
        </w:rPr>
      </w:pPr>
    </w:p>
    <w:p w14:paraId="3405BFEC" w14:textId="77777777" w:rsidR="00284D43" w:rsidRDefault="00E45E70">
      <w:pPr>
        <w:rPr>
          <w:rFonts w:cs="Times New Roman"/>
          <w:b/>
          <w:sz w:val="20"/>
          <w:szCs w:val="20"/>
        </w:rPr>
      </w:pPr>
      <w:r>
        <w:rPr>
          <w:rFonts w:cs="Times New Roman"/>
          <w:b/>
          <w:sz w:val="20"/>
          <w:szCs w:val="20"/>
        </w:rPr>
        <w:t>Table 4: Functional Improvement of patients by NYHA Class (N=114)</w:t>
      </w:r>
    </w:p>
    <w:p w14:paraId="5BA09986" w14:textId="77777777" w:rsidR="00284D43" w:rsidRDefault="00284D43">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150"/>
        <w:gridCol w:w="2610"/>
        <w:gridCol w:w="1620"/>
        <w:gridCol w:w="1440"/>
      </w:tblGrid>
      <w:tr w:rsidR="00284D43" w14:paraId="2774C38B" w14:textId="77777777">
        <w:trPr>
          <w:tblHeader/>
          <w:tblCellSpacing w:w="15" w:type="dxa"/>
        </w:trPr>
        <w:tc>
          <w:tcPr>
            <w:tcW w:w="3105" w:type="dxa"/>
            <w:tcBorders>
              <w:top w:val="nil"/>
              <w:bottom w:val="single" w:sz="4" w:space="0" w:color="auto"/>
            </w:tcBorders>
            <w:vAlign w:val="center"/>
          </w:tcPr>
          <w:p w14:paraId="3B2E8CE3" w14:textId="77777777" w:rsidR="00284D43" w:rsidRDefault="00E45E70">
            <w:pPr>
              <w:widowControl/>
              <w:autoSpaceDE/>
              <w:autoSpaceDN/>
              <w:rPr>
                <w:rFonts w:eastAsia="Times New Roman" w:cs="Times New Roman"/>
                <w:b/>
                <w:bCs/>
                <w:sz w:val="20"/>
                <w:szCs w:val="20"/>
              </w:rPr>
            </w:pPr>
            <w:r>
              <w:rPr>
                <w:rFonts w:eastAsia="Times New Roman" w:cs="Times New Roman"/>
                <w:b/>
                <w:bCs/>
                <w:sz w:val="20"/>
                <w:szCs w:val="20"/>
              </w:rPr>
              <w:t>NYHA Class Post-Treatment</w:t>
            </w:r>
          </w:p>
        </w:tc>
        <w:tc>
          <w:tcPr>
            <w:tcW w:w="2580" w:type="dxa"/>
            <w:tcBorders>
              <w:top w:val="nil"/>
              <w:bottom w:val="single" w:sz="4" w:space="0" w:color="auto"/>
            </w:tcBorders>
            <w:vAlign w:val="center"/>
          </w:tcPr>
          <w:p w14:paraId="03DFA6D4"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360FB5A2"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ACEI/ARB (%)</w:t>
            </w:r>
          </w:p>
        </w:tc>
        <w:tc>
          <w:tcPr>
            <w:tcW w:w="1590" w:type="dxa"/>
            <w:tcBorders>
              <w:top w:val="nil"/>
              <w:bottom w:val="single" w:sz="4" w:space="0" w:color="auto"/>
            </w:tcBorders>
            <w:vAlign w:val="center"/>
          </w:tcPr>
          <w:p w14:paraId="13B7DE8C"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0FE15A68"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Sac/Val (%)</w:t>
            </w:r>
          </w:p>
        </w:tc>
        <w:tc>
          <w:tcPr>
            <w:tcW w:w="1395" w:type="dxa"/>
            <w:tcBorders>
              <w:top w:val="nil"/>
              <w:bottom w:val="single" w:sz="4" w:space="0" w:color="auto"/>
            </w:tcBorders>
            <w:vAlign w:val="center"/>
          </w:tcPr>
          <w:p w14:paraId="53560E70"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rsidR="00284D43" w14:paraId="6168593B" w14:textId="77777777">
        <w:trPr>
          <w:tblCellSpacing w:w="15" w:type="dxa"/>
        </w:trPr>
        <w:tc>
          <w:tcPr>
            <w:tcW w:w="3105" w:type="dxa"/>
            <w:vAlign w:val="center"/>
          </w:tcPr>
          <w:p w14:paraId="457E71B4"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Class I</w:t>
            </w:r>
          </w:p>
        </w:tc>
        <w:tc>
          <w:tcPr>
            <w:tcW w:w="2580" w:type="dxa"/>
            <w:vAlign w:val="center"/>
          </w:tcPr>
          <w:p w14:paraId="1EDCE7CD"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87.5%</w:t>
            </w:r>
          </w:p>
        </w:tc>
        <w:tc>
          <w:tcPr>
            <w:tcW w:w="1590" w:type="dxa"/>
            <w:vAlign w:val="center"/>
          </w:tcPr>
          <w:p w14:paraId="1BB55C0C"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67.8%</w:t>
            </w:r>
          </w:p>
        </w:tc>
        <w:tc>
          <w:tcPr>
            <w:tcW w:w="1395" w:type="dxa"/>
            <w:vMerge w:val="restart"/>
            <w:vAlign w:val="center"/>
          </w:tcPr>
          <w:p w14:paraId="1798F128"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0.056</w:t>
            </w:r>
          </w:p>
        </w:tc>
      </w:tr>
      <w:tr w:rsidR="00284D43" w14:paraId="5895A500" w14:textId="77777777">
        <w:trPr>
          <w:tblCellSpacing w:w="15" w:type="dxa"/>
        </w:trPr>
        <w:tc>
          <w:tcPr>
            <w:tcW w:w="3105" w:type="dxa"/>
            <w:vAlign w:val="center"/>
          </w:tcPr>
          <w:p w14:paraId="7B341422"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Class II</w:t>
            </w:r>
          </w:p>
        </w:tc>
        <w:tc>
          <w:tcPr>
            <w:tcW w:w="2580" w:type="dxa"/>
            <w:vAlign w:val="center"/>
          </w:tcPr>
          <w:p w14:paraId="17F5452E"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12.5%</w:t>
            </w:r>
          </w:p>
        </w:tc>
        <w:tc>
          <w:tcPr>
            <w:tcW w:w="1590" w:type="dxa"/>
            <w:vAlign w:val="center"/>
          </w:tcPr>
          <w:p w14:paraId="376BADAF"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32.2%</w:t>
            </w:r>
          </w:p>
        </w:tc>
        <w:tc>
          <w:tcPr>
            <w:tcW w:w="1395" w:type="dxa"/>
            <w:vMerge/>
            <w:vAlign w:val="center"/>
          </w:tcPr>
          <w:p w14:paraId="38F2E05A" w14:textId="77777777" w:rsidR="00284D43" w:rsidRDefault="00284D43">
            <w:pPr>
              <w:widowControl/>
              <w:autoSpaceDE/>
              <w:autoSpaceDN/>
              <w:jc w:val="center"/>
              <w:rPr>
                <w:rFonts w:eastAsia="Times New Roman" w:cs="Times New Roman"/>
                <w:sz w:val="20"/>
                <w:szCs w:val="20"/>
              </w:rPr>
            </w:pPr>
          </w:p>
        </w:tc>
      </w:tr>
    </w:tbl>
    <w:p w14:paraId="7FE7D5B3" w14:textId="77777777" w:rsidR="00284D43" w:rsidRDefault="00284D43">
      <w:pPr>
        <w:rPr>
          <w:rFonts w:cs="Times New Roman"/>
          <w:sz w:val="20"/>
          <w:szCs w:val="20"/>
        </w:rPr>
      </w:pPr>
    </w:p>
    <w:p w14:paraId="7BFE3906" w14:textId="77777777" w:rsidR="00284D43" w:rsidRDefault="00E45E70">
      <w:pPr>
        <w:rPr>
          <w:rFonts w:cs="Times New Roman"/>
          <w:b/>
          <w:sz w:val="20"/>
          <w:szCs w:val="20"/>
        </w:rPr>
      </w:pPr>
      <w:r>
        <w:rPr>
          <w:rFonts w:cs="Times New Roman"/>
          <w:b/>
          <w:sz w:val="20"/>
          <w:szCs w:val="20"/>
        </w:rPr>
        <w:t>Table 5: Adverse events reported by intervention groups (N=114)</w:t>
      </w:r>
    </w:p>
    <w:p w14:paraId="62DE84E7" w14:textId="77777777" w:rsidR="00284D43" w:rsidRDefault="00284D43">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1890"/>
        <w:gridCol w:w="2160"/>
        <w:gridCol w:w="1800"/>
      </w:tblGrid>
      <w:tr w:rsidR="00284D43" w14:paraId="132895E0" w14:textId="77777777">
        <w:trPr>
          <w:tblHeader/>
          <w:tblCellSpacing w:w="15" w:type="dxa"/>
        </w:trPr>
        <w:tc>
          <w:tcPr>
            <w:tcW w:w="2925" w:type="dxa"/>
            <w:tcBorders>
              <w:top w:val="nil"/>
              <w:bottom w:val="single" w:sz="4" w:space="0" w:color="auto"/>
            </w:tcBorders>
            <w:vAlign w:val="center"/>
          </w:tcPr>
          <w:p w14:paraId="0D9D7726" w14:textId="77777777" w:rsidR="00284D43" w:rsidRDefault="00E45E70">
            <w:pPr>
              <w:widowControl/>
              <w:autoSpaceDE/>
              <w:autoSpaceDN/>
              <w:rPr>
                <w:rFonts w:eastAsia="Times New Roman" w:cs="Times New Roman"/>
                <w:b/>
                <w:bCs/>
                <w:sz w:val="20"/>
                <w:szCs w:val="20"/>
              </w:rPr>
            </w:pPr>
            <w:r>
              <w:rPr>
                <w:rFonts w:eastAsia="Times New Roman" w:cs="Times New Roman"/>
                <w:b/>
                <w:bCs/>
                <w:sz w:val="20"/>
                <w:szCs w:val="20"/>
              </w:rPr>
              <w:t>Adverse Event</w:t>
            </w:r>
          </w:p>
        </w:tc>
        <w:tc>
          <w:tcPr>
            <w:tcW w:w="1860" w:type="dxa"/>
            <w:tcBorders>
              <w:top w:val="nil"/>
              <w:bottom w:val="single" w:sz="4" w:space="0" w:color="auto"/>
            </w:tcBorders>
            <w:vAlign w:val="center"/>
          </w:tcPr>
          <w:p w14:paraId="6CF0AF7D"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68894193"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ACEI/ARB (%)</w:t>
            </w:r>
          </w:p>
        </w:tc>
        <w:tc>
          <w:tcPr>
            <w:tcW w:w="2130" w:type="dxa"/>
            <w:tcBorders>
              <w:top w:val="nil"/>
              <w:bottom w:val="single" w:sz="4" w:space="0" w:color="auto"/>
            </w:tcBorders>
            <w:vAlign w:val="center"/>
          </w:tcPr>
          <w:p w14:paraId="74A58548"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0CF7160B"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Sac/Val (%)</w:t>
            </w:r>
          </w:p>
        </w:tc>
        <w:tc>
          <w:tcPr>
            <w:tcW w:w="1755" w:type="dxa"/>
            <w:tcBorders>
              <w:top w:val="nil"/>
              <w:bottom w:val="single" w:sz="4" w:space="0" w:color="auto"/>
            </w:tcBorders>
            <w:vAlign w:val="center"/>
          </w:tcPr>
          <w:p w14:paraId="7E155346"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rsidR="00284D43" w14:paraId="518F8926" w14:textId="77777777">
        <w:trPr>
          <w:tblCellSpacing w:w="15" w:type="dxa"/>
        </w:trPr>
        <w:tc>
          <w:tcPr>
            <w:tcW w:w="2925" w:type="dxa"/>
            <w:vAlign w:val="center"/>
          </w:tcPr>
          <w:p w14:paraId="170A6627"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Hyperkalemia</w:t>
            </w:r>
          </w:p>
        </w:tc>
        <w:tc>
          <w:tcPr>
            <w:tcW w:w="1860" w:type="dxa"/>
            <w:vAlign w:val="center"/>
          </w:tcPr>
          <w:p w14:paraId="04FDAD5B"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0.0%</w:t>
            </w:r>
          </w:p>
        </w:tc>
        <w:tc>
          <w:tcPr>
            <w:tcW w:w="2130" w:type="dxa"/>
            <w:vAlign w:val="center"/>
          </w:tcPr>
          <w:p w14:paraId="12F01E9B"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1.1%</w:t>
            </w:r>
          </w:p>
        </w:tc>
        <w:tc>
          <w:tcPr>
            <w:tcW w:w="1755" w:type="dxa"/>
            <w:vAlign w:val="center"/>
          </w:tcPr>
          <w:p w14:paraId="20D2C9AC"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0.604</w:t>
            </w:r>
          </w:p>
        </w:tc>
      </w:tr>
      <w:tr w:rsidR="00284D43" w14:paraId="77F8B218" w14:textId="77777777">
        <w:trPr>
          <w:tblCellSpacing w:w="15" w:type="dxa"/>
        </w:trPr>
        <w:tc>
          <w:tcPr>
            <w:tcW w:w="2925" w:type="dxa"/>
            <w:vAlign w:val="center"/>
          </w:tcPr>
          <w:p w14:paraId="0A8D6374"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Hypotension</w:t>
            </w:r>
          </w:p>
        </w:tc>
        <w:tc>
          <w:tcPr>
            <w:tcW w:w="1860" w:type="dxa"/>
            <w:vAlign w:val="center"/>
          </w:tcPr>
          <w:p w14:paraId="6D2D1B26"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4.2%</w:t>
            </w:r>
          </w:p>
        </w:tc>
        <w:tc>
          <w:tcPr>
            <w:tcW w:w="2130" w:type="dxa"/>
            <w:vAlign w:val="center"/>
          </w:tcPr>
          <w:p w14:paraId="767781FA"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5.6%</w:t>
            </w:r>
          </w:p>
        </w:tc>
        <w:tc>
          <w:tcPr>
            <w:tcW w:w="1755" w:type="dxa"/>
            <w:vAlign w:val="center"/>
          </w:tcPr>
          <w:p w14:paraId="61C259B7"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0.787</w:t>
            </w:r>
          </w:p>
        </w:tc>
      </w:tr>
      <w:tr w:rsidR="00284D43" w14:paraId="645822E2" w14:textId="77777777">
        <w:trPr>
          <w:tblCellSpacing w:w="15" w:type="dxa"/>
        </w:trPr>
        <w:tc>
          <w:tcPr>
            <w:tcW w:w="2925" w:type="dxa"/>
            <w:vAlign w:val="center"/>
          </w:tcPr>
          <w:p w14:paraId="1AD54326"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Renal Impairment</w:t>
            </w:r>
          </w:p>
        </w:tc>
        <w:tc>
          <w:tcPr>
            <w:tcW w:w="1860" w:type="dxa"/>
            <w:vAlign w:val="center"/>
          </w:tcPr>
          <w:p w14:paraId="027DC92C"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25.0%</w:t>
            </w:r>
          </w:p>
        </w:tc>
        <w:tc>
          <w:tcPr>
            <w:tcW w:w="2130" w:type="dxa"/>
            <w:vAlign w:val="center"/>
          </w:tcPr>
          <w:p w14:paraId="2E9B5196"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35.6%</w:t>
            </w:r>
          </w:p>
        </w:tc>
        <w:tc>
          <w:tcPr>
            <w:tcW w:w="1755" w:type="dxa"/>
            <w:vAlign w:val="center"/>
          </w:tcPr>
          <w:p w14:paraId="1795AE9B"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0.330</w:t>
            </w:r>
          </w:p>
        </w:tc>
      </w:tr>
      <w:tr w:rsidR="00284D43" w14:paraId="740F8F48" w14:textId="77777777">
        <w:trPr>
          <w:tblCellSpacing w:w="15" w:type="dxa"/>
        </w:trPr>
        <w:tc>
          <w:tcPr>
            <w:tcW w:w="2925" w:type="dxa"/>
            <w:vAlign w:val="center"/>
          </w:tcPr>
          <w:p w14:paraId="243F293F"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Cough</w:t>
            </w:r>
          </w:p>
        </w:tc>
        <w:tc>
          <w:tcPr>
            <w:tcW w:w="1860" w:type="dxa"/>
            <w:vAlign w:val="center"/>
          </w:tcPr>
          <w:p w14:paraId="261E1401"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0.0%</w:t>
            </w:r>
          </w:p>
        </w:tc>
        <w:tc>
          <w:tcPr>
            <w:tcW w:w="2130" w:type="dxa"/>
            <w:vAlign w:val="center"/>
          </w:tcPr>
          <w:p w14:paraId="6AF23417"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4.4%</w:t>
            </w:r>
          </w:p>
        </w:tc>
        <w:tc>
          <w:tcPr>
            <w:tcW w:w="1755" w:type="dxa"/>
            <w:vAlign w:val="center"/>
          </w:tcPr>
          <w:p w14:paraId="68C54C5E"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0.293</w:t>
            </w:r>
          </w:p>
        </w:tc>
      </w:tr>
    </w:tbl>
    <w:p w14:paraId="13F8B4E5" w14:textId="77777777" w:rsidR="00284D43" w:rsidRDefault="00284D43">
      <w:pPr>
        <w:rPr>
          <w:rFonts w:cs="Times New Roman"/>
          <w:sz w:val="20"/>
          <w:szCs w:val="20"/>
        </w:rPr>
      </w:pPr>
    </w:p>
    <w:p w14:paraId="474072DB" w14:textId="77777777" w:rsidR="00284D43" w:rsidRDefault="00E45E70">
      <w:pPr>
        <w:rPr>
          <w:rFonts w:cs="Times New Roman"/>
          <w:b/>
          <w:sz w:val="20"/>
          <w:szCs w:val="20"/>
        </w:rPr>
      </w:pPr>
      <w:r>
        <w:rPr>
          <w:rFonts w:cs="Times New Roman"/>
          <w:b/>
          <w:sz w:val="20"/>
          <w:szCs w:val="20"/>
        </w:rPr>
        <w:t>Table 6: Mortality and Re-hospitalization among groups (N=114)</w:t>
      </w:r>
    </w:p>
    <w:p w14:paraId="0E832835" w14:textId="77777777" w:rsidR="00284D43" w:rsidRDefault="00284D43">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40"/>
        <w:gridCol w:w="1800"/>
        <w:gridCol w:w="1800"/>
        <w:gridCol w:w="1710"/>
      </w:tblGrid>
      <w:tr w:rsidR="00284D43" w14:paraId="1FA9F479" w14:textId="77777777">
        <w:trPr>
          <w:tblHeader/>
          <w:tblCellSpacing w:w="15" w:type="dxa"/>
        </w:trPr>
        <w:tc>
          <w:tcPr>
            <w:tcW w:w="2295" w:type="dxa"/>
            <w:tcBorders>
              <w:top w:val="nil"/>
              <w:bottom w:val="single" w:sz="4" w:space="0" w:color="auto"/>
            </w:tcBorders>
            <w:vAlign w:val="center"/>
          </w:tcPr>
          <w:p w14:paraId="58AA3B44" w14:textId="77777777" w:rsidR="00284D43" w:rsidRDefault="00E45E70">
            <w:pPr>
              <w:widowControl/>
              <w:autoSpaceDE/>
              <w:autoSpaceDN/>
              <w:rPr>
                <w:rFonts w:eastAsia="Times New Roman" w:cs="Times New Roman"/>
                <w:b/>
                <w:bCs/>
                <w:sz w:val="20"/>
                <w:szCs w:val="20"/>
              </w:rPr>
            </w:pPr>
            <w:r>
              <w:rPr>
                <w:rFonts w:eastAsia="Times New Roman" w:cs="Times New Roman"/>
                <w:b/>
                <w:bCs/>
                <w:sz w:val="20"/>
                <w:szCs w:val="20"/>
              </w:rPr>
              <w:t>Outcome</w:t>
            </w:r>
          </w:p>
        </w:tc>
        <w:tc>
          <w:tcPr>
            <w:tcW w:w="1770" w:type="dxa"/>
            <w:tcBorders>
              <w:top w:val="nil"/>
              <w:bottom w:val="single" w:sz="4" w:space="0" w:color="auto"/>
            </w:tcBorders>
            <w:vAlign w:val="center"/>
          </w:tcPr>
          <w:p w14:paraId="15B07A85"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2E58F97D"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ACEI/ARB (%)</w:t>
            </w:r>
          </w:p>
        </w:tc>
        <w:tc>
          <w:tcPr>
            <w:tcW w:w="1770" w:type="dxa"/>
            <w:tcBorders>
              <w:top w:val="nil"/>
              <w:bottom w:val="single" w:sz="4" w:space="0" w:color="auto"/>
            </w:tcBorders>
            <w:vAlign w:val="center"/>
          </w:tcPr>
          <w:p w14:paraId="2667FA97"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7E0545F3"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Sac/Val (%)</w:t>
            </w:r>
          </w:p>
        </w:tc>
        <w:tc>
          <w:tcPr>
            <w:tcW w:w="1665" w:type="dxa"/>
            <w:tcBorders>
              <w:top w:val="nil"/>
              <w:bottom w:val="single" w:sz="4" w:space="0" w:color="auto"/>
            </w:tcBorders>
            <w:vAlign w:val="center"/>
          </w:tcPr>
          <w:p w14:paraId="2B5965FA"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rsidR="00284D43" w14:paraId="4A879AEE" w14:textId="77777777">
        <w:trPr>
          <w:tblCellSpacing w:w="15" w:type="dxa"/>
        </w:trPr>
        <w:tc>
          <w:tcPr>
            <w:tcW w:w="2295" w:type="dxa"/>
            <w:vAlign w:val="center"/>
          </w:tcPr>
          <w:p w14:paraId="561498D4"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Death</w:t>
            </w:r>
          </w:p>
        </w:tc>
        <w:tc>
          <w:tcPr>
            <w:tcW w:w="1770" w:type="dxa"/>
            <w:vAlign w:val="center"/>
          </w:tcPr>
          <w:p w14:paraId="6F37D2CE"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4.2%</w:t>
            </w:r>
          </w:p>
        </w:tc>
        <w:tc>
          <w:tcPr>
            <w:tcW w:w="1770" w:type="dxa"/>
            <w:vAlign w:val="center"/>
          </w:tcPr>
          <w:p w14:paraId="4B9F2837"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2.2%</w:t>
            </w:r>
          </w:p>
        </w:tc>
        <w:tc>
          <w:tcPr>
            <w:tcW w:w="1665" w:type="dxa"/>
            <w:vAlign w:val="center"/>
          </w:tcPr>
          <w:p w14:paraId="33D697BA"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0.604</w:t>
            </w:r>
          </w:p>
        </w:tc>
      </w:tr>
      <w:tr w:rsidR="00284D43" w14:paraId="10FC3313" w14:textId="77777777">
        <w:trPr>
          <w:tblCellSpacing w:w="15" w:type="dxa"/>
        </w:trPr>
        <w:tc>
          <w:tcPr>
            <w:tcW w:w="2295" w:type="dxa"/>
            <w:vAlign w:val="center"/>
          </w:tcPr>
          <w:p w14:paraId="4F4F6690"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Rehospitalization</w:t>
            </w:r>
          </w:p>
        </w:tc>
        <w:tc>
          <w:tcPr>
            <w:tcW w:w="1770" w:type="dxa"/>
            <w:vAlign w:val="center"/>
          </w:tcPr>
          <w:p w14:paraId="341E94CE"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4.2%</w:t>
            </w:r>
          </w:p>
        </w:tc>
        <w:tc>
          <w:tcPr>
            <w:tcW w:w="1770" w:type="dxa"/>
            <w:vAlign w:val="center"/>
          </w:tcPr>
          <w:p w14:paraId="143F6B4B"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1.1%</w:t>
            </w:r>
          </w:p>
        </w:tc>
        <w:tc>
          <w:tcPr>
            <w:tcW w:w="1665" w:type="dxa"/>
            <w:vAlign w:val="center"/>
          </w:tcPr>
          <w:p w14:paraId="6003E885"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0.311</w:t>
            </w:r>
          </w:p>
        </w:tc>
      </w:tr>
    </w:tbl>
    <w:p w14:paraId="364023F0" w14:textId="77777777" w:rsidR="00284D43" w:rsidRDefault="00284D43">
      <w:pPr>
        <w:rPr>
          <w:rFonts w:cs="Times New Roman"/>
          <w:sz w:val="20"/>
          <w:szCs w:val="20"/>
        </w:rPr>
      </w:pPr>
    </w:p>
    <w:p w14:paraId="55AF8554" w14:textId="77777777" w:rsidR="00284D43" w:rsidRDefault="00E45E70">
      <w:pPr>
        <w:rPr>
          <w:rFonts w:cs="Times New Roman"/>
          <w:b/>
          <w:sz w:val="20"/>
          <w:szCs w:val="20"/>
        </w:rPr>
      </w:pPr>
      <w:r>
        <w:rPr>
          <w:rFonts w:cs="Times New Roman"/>
          <w:b/>
          <w:sz w:val="20"/>
          <w:szCs w:val="20"/>
        </w:rPr>
        <w:t>Table 7: Post-treatment systemic relief of patients (N=114)</w:t>
      </w:r>
    </w:p>
    <w:p w14:paraId="499ACADF" w14:textId="77777777" w:rsidR="00284D43" w:rsidRDefault="00284D43">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2160"/>
        <w:gridCol w:w="1890"/>
        <w:gridCol w:w="1530"/>
      </w:tblGrid>
      <w:tr w:rsidR="00284D43" w14:paraId="7F20BBE2" w14:textId="77777777">
        <w:trPr>
          <w:tblHeader/>
          <w:tblCellSpacing w:w="15" w:type="dxa"/>
        </w:trPr>
        <w:tc>
          <w:tcPr>
            <w:tcW w:w="2025" w:type="dxa"/>
            <w:tcBorders>
              <w:top w:val="nil"/>
              <w:bottom w:val="single" w:sz="4" w:space="0" w:color="auto"/>
            </w:tcBorders>
            <w:vAlign w:val="center"/>
          </w:tcPr>
          <w:p w14:paraId="5265A14E" w14:textId="77777777" w:rsidR="00284D43" w:rsidRDefault="00E45E70">
            <w:pPr>
              <w:widowControl/>
              <w:autoSpaceDE/>
              <w:autoSpaceDN/>
              <w:rPr>
                <w:rFonts w:eastAsia="Times New Roman" w:cs="Times New Roman"/>
                <w:b/>
                <w:bCs/>
                <w:sz w:val="20"/>
                <w:szCs w:val="20"/>
              </w:rPr>
            </w:pPr>
            <w:r>
              <w:rPr>
                <w:rFonts w:eastAsia="Times New Roman" w:cs="Times New Roman"/>
                <w:b/>
                <w:bCs/>
                <w:sz w:val="20"/>
                <w:szCs w:val="20"/>
              </w:rPr>
              <w:t>Symptom</w:t>
            </w:r>
          </w:p>
        </w:tc>
        <w:tc>
          <w:tcPr>
            <w:tcW w:w="2130" w:type="dxa"/>
            <w:tcBorders>
              <w:top w:val="nil"/>
              <w:bottom w:val="single" w:sz="4" w:space="0" w:color="auto"/>
            </w:tcBorders>
            <w:vAlign w:val="center"/>
          </w:tcPr>
          <w:p w14:paraId="1FEA1471"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721EE420"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ACEI/ARB (%)</w:t>
            </w:r>
          </w:p>
        </w:tc>
        <w:tc>
          <w:tcPr>
            <w:tcW w:w="1860" w:type="dxa"/>
            <w:tcBorders>
              <w:top w:val="nil"/>
              <w:bottom w:val="single" w:sz="4" w:space="0" w:color="auto"/>
            </w:tcBorders>
            <w:vAlign w:val="center"/>
          </w:tcPr>
          <w:p w14:paraId="26229EDB"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1934FB85"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Sac/Val (%)</w:t>
            </w:r>
          </w:p>
        </w:tc>
        <w:tc>
          <w:tcPr>
            <w:tcW w:w="1485" w:type="dxa"/>
            <w:tcBorders>
              <w:top w:val="nil"/>
              <w:bottom w:val="single" w:sz="4" w:space="0" w:color="auto"/>
            </w:tcBorders>
            <w:vAlign w:val="center"/>
          </w:tcPr>
          <w:p w14:paraId="20A1ED7E" w14:textId="77777777" w:rsidR="00284D43" w:rsidRDefault="00E45E70">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rsidR="00284D43" w14:paraId="36CD96F8" w14:textId="77777777">
        <w:trPr>
          <w:tblCellSpacing w:w="15" w:type="dxa"/>
        </w:trPr>
        <w:tc>
          <w:tcPr>
            <w:tcW w:w="2025" w:type="dxa"/>
            <w:vAlign w:val="center"/>
          </w:tcPr>
          <w:p w14:paraId="25D4C763"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Dyspnea (No)</w:t>
            </w:r>
          </w:p>
        </w:tc>
        <w:tc>
          <w:tcPr>
            <w:tcW w:w="2130" w:type="dxa"/>
            <w:vAlign w:val="center"/>
          </w:tcPr>
          <w:p w14:paraId="6EF1E539"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87.5%</w:t>
            </w:r>
          </w:p>
        </w:tc>
        <w:tc>
          <w:tcPr>
            <w:tcW w:w="1860" w:type="dxa"/>
            <w:vAlign w:val="center"/>
          </w:tcPr>
          <w:p w14:paraId="50F3A7C1"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87.8%</w:t>
            </w:r>
          </w:p>
        </w:tc>
        <w:tc>
          <w:tcPr>
            <w:tcW w:w="1485" w:type="dxa"/>
            <w:vAlign w:val="center"/>
          </w:tcPr>
          <w:p w14:paraId="2E776E42"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0.971</w:t>
            </w:r>
          </w:p>
        </w:tc>
      </w:tr>
      <w:tr w:rsidR="00284D43" w14:paraId="111C4A84" w14:textId="77777777">
        <w:trPr>
          <w:tblCellSpacing w:w="15" w:type="dxa"/>
        </w:trPr>
        <w:tc>
          <w:tcPr>
            <w:tcW w:w="2025" w:type="dxa"/>
            <w:vAlign w:val="center"/>
          </w:tcPr>
          <w:p w14:paraId="08257C64"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Orthopnea (No)</w:t>
            </w:r>
          </w:p>
        </w:tc>
        <w:tc>
          <w:tcPr>
            <w:tcW w:w="2130" w:type="dxa"/>
            <w:vAlign w:val="center"/>
          </w:tcPr>
          <w:p w14:paraId="2121C912"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100%</w:t>
            </w:r>
          </w:p>
        </w:tc>
        <w:tc>
          <w:tcPr>
            <w:tcW w:w="1860" w:type="dxa"/>
            <w:vAlign w:val="center"/>
          </w:tcPr>
          <w:p w14:paraId="282B689E"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100%</w:t>
            </w:r>
          </w:p>
        </w:tc>
        <w:tc>
          <w:tcPr>
            <w:tcW w:w="1485" w:type="dxa"/>
            <w:vAlign w:val="center"/>
          </w:tcPr>
          <w:p w14:paraId="24594E44"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N/A</w:t>
            </w:r>
          </w:p>
        </w:tc>
      </w:tr>
      <w:tr w:rsidR="00284D43" w14:paraId="4F909332" w14:textId="77777777">
        <w:trPr>
          <w:tblCellSpacing w:w="15" w:type="dxa"/>
        </w:trPr>
        <w:tc>
          <w:tcPr>
            <w:tcW w:w="2025" w:type="dxa"/>
            <w:vAlign w:val="center"/>
          </w:tcPr>
          <w:p w14:paraId="05636C32" w14:textId="77777777" w:rsidR="00284D43" w:rsidRDefault="00E45E70">
            <w:pPr>
              <w:widowControl/>
              <w:autoSpaceDE/>
              <w:autoSpaceDN/>
              <w:rPr>
                <w:rFonts w:eastAsia="Times New Roman" w:cs="Times New Roman"/>
                <w:sz w:val="20"/>
                <w:szCs w:val="20"/>
              </w:rPr>
            </w:pPr>
            <w:r>
              <w:rPr>
                <w:rFonts w:eastAsia="Times New Roman" w:cs="Times New Roman"/>
                <w:sz w:val="20"/>
                <w:szCs w:val="20"/>
              </w:rPr>
              <w:t>PND (No)</w:t>
            </w:r>
          </w:p>
        </w:tc>
        <w:tc>
          <w:tcPr>
            <w:tcW w:w="2130" w:type="dxa"/>
            <w:vAlign w:val="center"/>
          </w:tcPr>
          <w:p w14:paraId="523A5D28"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100%</w:t>
            </w:r>
          </w:p>
        </w:tc>
        <w:tc>
          <w:tcPr>
            <w:tcW w:w="1860" w:type="dxa"/>
            <w:vAlign w:val="center"/>
          </w:tcPr>
          <w:p w14:paraId="24149AB4"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98.9%</w:t>
            </w:r>
          </w:p>
        </w:tc>
        <w:tc>
          <w:tcPr>
            <w:tcW w:w="1485" w:type="dxa"/>
            <w:vAlign w:val="center"/>
          </w:tcPr>
          <w:p w14:paraId="457FB6B2" w14:textId="77777777" w:rsidR="00284D43" w:rsidRDefault="00E45E70">
            <w:pPr>
              <w:widowControl/>
              <w:autoSpaceDE/>
              <w:autoSpaceDN/>
              <w:jc w:val="center"/>
              <w:rPr>
                <w:rFonts w:eastAsia="Times New Roman" w:cs="Times New Roman"/>
                <w:sz w:val="20"/>
                <w:szCs w:val="20"/>
              </w:rPr>
            </w:pPr>
            <w:r>
              <w:rPr>
                <w:rFonts w:eastAsia="Times New Roman" w:cs="Times New Roman"/>
                <w:sz w:val="20"/>
                <w:szCs w:val="20"/>
              </w:rPr>
              <w:t>0.604</w:t>
            </w:r>
          </w:p>
        </w:tc>
      </w:tr>
    </w:tbl>
    <w:p w14:paraId="786BB868" w14:textId="77777777" w:rsidR="00284D43" w:rsidRDefault="00284D43">
      <w:pPr>
        <w:rPr>
          <w:rFonts w:cs="Times New Roman"/>
          <w:sz w:val="20"/>
          <w:szCs w:val="20"/>
        </w:rPr>
      </w:pPr>
    </w:p>
    <w:p w14:paraId="76A5099A" w14:textId="77777777" w:rsidR="00284D43" w:rsidRDefault="00284D43">
      <w:pPr>
        <w:rPr>
          <w:rFonts w:cs="Times New Roman"/>
          <w:b/>
          <w:sz w:val="20"/>
          <w:szCs w:val="20"/>
        </w:rPr>
      </w:pPr>
    </w:p>
    <w:p w14:paraId="07FD1CF4" w14:textId="77777777" w:rsidR="00284D43" w:rsidRDefault="00284D43">
      <w:pPr>
        <w:rPr>
          <w:rFonts w:cs="Times New Roman"/>
          <w:b/>
          <w:sz w:val="20"/>
          <w:szCs w:val="20"/>
        </w:rPr>
      </w:pPr>
    </w:p>
    <w:p w14:paraId="578E666A" w14:textId="77777777" w:rsidR="00284D43" w:rsidRDefault="00E45E70">
      <w:pPr>
        <w:rPr>
          <w:rFonts w:cs="Times New Roman"/>
          <w:b/>
          <w:sz w:val="20"/>
          <w:szCs w:val="20"/>
        </w:rPr>
      </w:pPr>
      <w:r>
        <w:rPr>
          <w:rFonts w:cs="Times New Roman"/>
          <w:b/>
          <w:sz w:val="20"/>
          <w:szCs w:val="20"/>
        </w:rPr>
        <w:t xml:space="preserve">4. </w:t>
      </w:r>
      <w:r w:rsidRPr="00D367DF">
        <w:rPr>
          <w:rFonts w:cs="Times New Roman"/>
          <w:b/>
          <w:color w:val="388600"/>
          <w:sz w:val="20"/>
          <w:szCs w:val="20"/>
        </w:rPr>
        <w:t>DISCUSSION</w:t>
      </w:r>
    </w:p>
    <w:p w14:paraId="0CFBDB6F" w14:textId="77777777" w:rsidR="00284D43" w:rsidRDefault="00284D43">
      <w:pPr>
        <w:rPr>
          <w:rFonts w:cs="Times New Roman"/>
          <w:b/>
          <w:sz w:val="20"/>
          <w:szCs w:val="20"/>
        </w:rPr>
      </w:pPr>
    </w:p>
    <w:p w14:paraId="351DEC85" w14:textId="77777777" w:rsidR="00284D43" w:rsidRDefault="00E45E70">
      <w:pPr>
        <w:jc w:val="both"/>
        <w:rPr>
          <w:rFonts w:cs="Times New Roman"/>
          <w:sz w:val="20"/>
          <w:szCs w:val="20"/>
        </w:rPr>
      </w:pPr>
      <w:r>
        <w:rPr>
          <w:rFonts w:cs="Times New Roman"/>
          <w:sz w:val="20"/>
          <w:szCs w:val="20"/>
        </w:rPr>
        <w:t>The study compared the outcome of patients with heart failure with reduced ejection fraction treated with Sacubitril/Valsartan versus ACEI/ARB. Sacubitril/Valsartan is an FDA-approved medication to treat patients with chronic heart failure with reduced ejection fraction (</w:t>
      </w:r>
      <w:proofErr w:type="spellStart"/>
      <w:r>
        <w:rPr>
          <w:rFonts w:cs="Times New Roman"/>
          <w:sz w:val="20"/>
          <w:szCs w:val="20"/>
        </w:rPr>
        <w:t>HFrEF</w:t>
      </w:r>
      <w:proofErr w:type="spellEnd"/>
      <w:r>
        <w:rPr>
          <w:rFonts w:cs="Times New Roman"/>
          <w:sz w:val="20"/>
          <w:szCs w:val="20"/>
        </w:rPr>
        <w:t xml:space="preserve">) in NYHA class II, III, or IV </w:t>
      </w:r>
      <w:sdt>
        <w:sdtPr>
          <w:rPr>
            <w:rFonts w:cs="Times New Roman"/>
            <w:sz w:val="20"/>
            <w:szCs w:val="20"/>
          </w:rPr>
          <w:id w:val="255725957"/>
        </w:sdtPr>
        <w:sdtContent>
          <w:r>
            <w:rPr>
              <w:rFonts w:cs="Times New Roman"/>
              <w:sz w:val="20"/>
              <w:szCs w:val="20"/>
            </w:rPr>
            <w:fldChar w:fldCharType="begin"/>
          </w:r>
          <w:r>
            <w:rPr>
              <w:rFonts w:cs="Times New Roman"/>
              <w:sz w:val="20"/>
              <w:szCs w:val="20"/>
            </w:rPr>
            <w:instrText xml:space="preserve"> CITATION Dia24 \l 1033 </w:instrText>
          </w:r>
          <w:r>
            <w:rPr>
              <w:rFonts w:cs="Times New Roman"/>
              <w:sz w:val="20"/>
              <w:szCs w:val="20"/>
            </w:rPr>
            <w:fldChar w:fldCharType="separate"/>
          </w:r>
          <w:r>
            <w:rPr>
              <w:rFonts w:cs="Times New Roman"/>
              <w:sz w:val="20"/>
              <w:szCs w:val="20"/>
            </w:rPr>
            <w:t>(Diala Nicolas, 2024)</w:t>
          </w:r>
          <w:r>
            <w:rPr>
              <w:rFonts w:cs="Times New Roman"/>
              <w:sz w:val="20"/>
              <w:szCs w:val="20"/>
            </w:rPr>
            <w:fldChar w:fldCharType="end"/>
          </w:r>
        </w:sdtContent>
      </w:sdt>
      <w:r>
        <w:rPr>
          <w:rFonts w:cs="Times New Roman"/>
          <w:sz w:val="20"/>
          <w:szCs w:val="20"/>
        </w:rPr>
        <w:t xml:space="preserve">. Similarly, Angiotensin-Converting Enzyme Inhibitors (ACEI) or Angiotensin II Receptor Blockers (ARB) are often prescribed to manage and treat high blood pressure, which contributes to coronary disease, heart failure, stroke, and a range of other heart and blood vessel issues </w:t>
      </w:r>
      <w:sdt>
        <w:sdtPr>
          <w:rPr>
            <w:rFonts w:cs="Times New Roman"/>
            <w:sz w:val="20"/>
            <w:szCs w:val="20"/>
          </w:rPr>
          <w:id w:val="1055134252"/>
        </w:sdtPr>
        <w:sdtContent>
          <w:r>
            <w:rPr>
              <w:rFonts w:cs="Times New Roman"/>
              <w:sz w:val="20"/>
              <w:szCs w:val="20"/>
            </w:rPr>
            <w:fldChar w:fldCharType="begin"/>
          </w:r>
          <w:r>
            <w:rPr>
              <w:rFonts w:cs="Times New Roman"/>
              <w:sz w:val="20"/>
              <w:szCs w:val="20"/>
            </w:rPr>
            <w:instrText xml:space="preserve"> CITATION Lin23 \l 1033 </w:instrText>
          </w:r>
          <w:r>
            <w:rPr>
              <w:rFonts w:cs="Times New Roman"/>
              <w:sz w:val="20"/>
              <w:szCs w:val="20"/>
            </w:rPr>
            <w:fldChar w:fldCharType="separate"/>
          </w:r>
          <w:r>
            <w:rPr>
              <w:rFonts w:cs="Times New Roman"/>
              <w:sz w:val="20"/>
              <w:szCs w:val="20"/>
            </w:rPr>
            <w:t>(Linda L. Herman, 2023)</w:t>
          </w:r>
          <w:r>
            <w:rPr>
              <w:rFonts w:cs="Times New Roman"/>
              <w:sz w:val="20"/>
              <w:szCs w:val="20"/>
            </w:rPr>
            <w:fldChar w:fldCharType="end"/>
          </w:r>
        </w:sdtContent>
      </w:sdt>
      <w:r>
        <w:rPr>
          <w:rFonts w:cs="Times New Roman"/>
          <w:sz w:val="20"/>
          <w:szCs w:val="20"/>
        </w:rPr>
        <w:t xml:space="preserve">. This study enrolled 24 patients in the ACEI/ARB group or Group A to assess the effectiveness of a licensed medicine, </w:t>
      </w:r>
      <w:r>
        <w:rPr>
          <w:rFonts w:cs="Times New Roman"/>
          <w:sz w:val="20"/>
          <w:szCs w:val="20"/>
        </w:rPr>
        <w:lastRenderedPageBreak/>
        <w:t xml:space="preserve">Sacubitril/Valsartan (Group B), for patients with heart failure with reduced ejection fraction. The baseline data indicated the mean age for patients in Group A is 55.5 ± 8.85 years, and for Group B is 60.88 ± 10.32 years. The maximum study population is male, with a percentage of 100% treated with ACEI/ARB and 83.3% with Sacubitril/Valsartan. The rate of hypertension, DM, and smoking habit in Group A is 75.0%, 66.7%, 50.0%, and in Group B is 77.8%, 71.1%, 30.0%. Watson M </w:t>
      </w:r>
      <w:r>
        <w:rPr>
          <w:rFonts w:cs="Times New Roman"/>
          <w:i/>
          <w:sz w:val="20"/>
          <w:szCs w:val="20"/>
        </w:rPr>
        <w:t>et al.</w:t>
      </w:r>
      <w:r>
        <w:rPr>
          <w:rFonts w:cs="Times New Roman"/>
          <w:sz w:val="20"/>
          <w:szCs w:val="20"/>
        </w:rPr>
        <w:t xml:space="preserve">, 2019 showed in their study that smoking has a significantly higher association with </w:t>
      </w:r>
      <w:proofErr w:type="spellStart"/>
      <w:r>
        <w:rPr>
          <w:rFonts w:cs="Times New Roman"/>
          <w:sz w:val="20"/>
          <w:szCs w:val="20"/>
        </w:rPr>
        <w:t>HFrEF</w:t>
      </w:r>
      <w:proofErr w:type="spellEnd"/>
      <w:r>
        <w:rPr>
          <w:rFonts w:cs="Times New Roman"/>
          <w:sz w:val="20"/>
          <w:szCs w:val="20"/>
        </w:rPr>
        <w:t xml:space="preserve"> </w:t>
      </w:r>
      <w:sdt>
        <w:sdtPr>
          <w:rPr>
            <w:rFonts w:cs="Times New Roman"/>
            <w:sz w:val="20"/>
            <w:szCs w:val="20"/>
          </w:rPr>
          <w:id w:val="-47777457"/>
        </w:sdtPr>
        <w:sdtContent>
          <w:r>
            <w:rPr>
              <w:rFonts w:cs="Times New Roman"/>
              <w:sz w:val="20"/>
              <w:szCs w:val="20"/>
            </w:rPr>
            <w:fldChar w:fldCharType="begin"/>
          </w:r>
          <w:r>
            <w:rPr>
              <w:rFonts w:cs="Times New Roman"/>
              <w:sz w:val="20"/>
              <w:szCs w:val="20"/>
            </w:rPr>
            <w:instrText xml:space="preserve"> CITATION Meg19 \l 1033 </w:instrText>
          </w:r>
          <w:r>
            <w:rPr>
              <w:rFonts w:cs="Times New Roman"/>
              <w:sz w:val="20"/>
              <w:szCs w:val="20"/>
            </w:rPr>
            <w:fldChar w:fldCharType="separate"/>
          </w:r>
          <w:r>
            <w:rPr>
              <w:rFonts w:cs="Times New Roman"/>
              <w:sz w:val="20"/>
              <w:szCs w:val="20"/>
            </w:rPr>
            <w:t>(Megan Watson, 2019)</w:t>
          </w:r>
          <w:r>
            <w:rPr>
              <w:rFonts w:cs="Times New Roman"/>
              <w:sz w:val="20"/>
              <w:szCs w:val="20"/>
            </w:rPr>
            <w:fldChar w:fldCharType="end"/>
          </w:r>
        </w:sdtContent>
      </w:sdt>
      <w:r>
        <w:rPr>
          <w:rFonts w:cs="Times New Roman"/>
          <w:sz w:val="20"/>
          <w:szCs w:val="20"/>
        </w:rPr>
        <w:t xml:space="preserve">. In a similar study, Pre–Diabetes Mellitus and Diabetes Mellitus have also been associated with Heart failure </w:t>
      </w:r>
      <w:sdt>
        <w:sdtPr>
          <w:rPr>
            <w:rFonts w:cs="Times New Roman"/>
            <w:sz w:val="20"/>
            <w:szCs w:val="20"/>
          </w:rPr>
          <w:id w:val="943041167"/>
        </w:sdtPr>
        <w:sdtContent>
          <w:r>
            <w:rPr>
              <w:rFonts w:cs="Times New Roman"/>
              <w:sz w:val="20"/>
              <w:szCs w:val="20"/>
            </w:rPr>
            <w:fldChar w:fldCharType="begin"/>
          </w:r>
          <w:r>
            <w:rPr>
              <w:rFonts w:cs="Times New Roman"/>
              <w:sz w:val="20"/>
              <w:szCs w:val="20"/>
            </w:rPr>
            <w:instrText xml:space="preserve"> CITATION Sør16 \l 1033 </w:instrText>
          </w:r>
          <w:r>
            <w:rPr>
              <w:rFonts w:cs="Times New Roman"/>
              <w:sz w:val="20"/>
              <w:szCs w:val="20"/>
            </w:rPr>
            <w:fldChar w:fldCharType="separate"/>
          </w:r>
          <w:r>
            <w:rPr>
              <w:rFonts w:cs="Times New Roman"/>
              <w:sz w:val="20"/>
              <w:szCs w:val="20"/>
            </w:rPr>
            <w:t>(Søren L. Kristensen, 2016)</w:t>
          </w:r>
          <w:r>
            <w:rPr>
              <w:rFonts w:cs="Times New Roman"/>
              <w:sz w:val="20"/>
              <w:szCs w:val="20"/>
            </w:rPr>
            <w:fldChar w:fldCharType="end"/>
          </w:r>
        </w:sdtContent>
      </w:sdt>
      <w:r>
        <w:rPr>
          <w:rFonts w:cs="Times New Roman"/>
          <w:sz w:val="20"/>
          <w:szCs w:val="20"/>
        </w:rPr>
        <w:t>.</w:t>
      </w:r>
    </w:p>
    <w:p w14:paraId="580770D3" w14:textId="77777777" w:rsidR="00284D43" w:rsidRDefault="00E45E70">
      <w:pPr>
        <w:jc w:val="both"/>
        <w:rPr>
          <w:rFonts w:cs="Times New Roman"/>
          <w:sz w:val="20"/>
          <w:szCs w:val="20"/>
        </w:rPr>
      </w:pPr>
      <w:r>
        <w:rPr>
          <w:rFonts w:cs="Times New Roman"/>
          <w:sz w:val="20"/>
          <w:szCs w:val="20"/>
        </w:rPr>
        <w:t>Sacubitril/Valsartan participants at the outset had a (33.69%) lower ejection fraction—an indication that their heart failure was more advanced than the ACEI/ARB group’s (36.67%). NT-</w:t>
      </w:r>
      <w:proofErr w:type="spellStart"/>
      <w:r>
        <w:rPr>
          <w:rFonts w:cs="Times New Roman"/>
          <w:sz w:val="20"/>
          <w:szCs w:val="20"/>
        </w:rPr>
        <w:t>proBNP</w:t>
      </w:r>
      <w:proofErr w:type="spellEnd"/>
      <w:r>
        <w:rPr>
          <w:rFonts w:cs="Times New Roman"/>
          <w:sz w:val="20"/>
          <w:szCs w:val="20"/>
        </w:rPr>
        <w:t xml:space="preserve"> levels were higher in the Sac/Val group, but not at a significant level, and this is consistent with previous findings from the PARADIGM-HF trial, which also observed more natriuretic peptides in advanced patients</w:t>
      </w:r>
      <w:sdt>
        <w:sdtPr>
          <w:rPr>
            <w:rFonts w:cs="Times New Roman"/>
            <w:sz w:val="20"/>
            <w:szCs w:val="20"/>
          </w:rPr>
          <w:id w:val="1350376537"/>
        </w:sdtPr>
        <w:sdtContent>
          <w:r>
            <w:rPr>
              <w:rFonts w:cs="Times New Roman"/>
              <w:sz w:val="20"/>
              <w:szCs w:val="20"/>
            </w:rPr>
            <w:fldChar w:fldCharType="begin"/>
          </w:r>
          <w:r>
            <w:rPr>
              <w:rFonts w:cs="Times New Roman"/>
              <w:sz w:val="20"/>
              <w:szCs w:val="20"/>
            </w:rPr>
            <w:instrText xml:space="preserve"> CITATION Mic17 \l 1033 </w:instrText>
          </w:r>
          <w:r>
            <w:rPr>
              <w:rFonts w:cs="Times New Roman"/>
              <w:sz w:val="20"/>
              <w:szCs w:val="20"/>
            </w:rPr>
            <w:fldChar w:fldCharType="separate"/>
          </w:r>
          <w:r>
            <w:rPr>
              <w:rFonts w:cs="Times New Roman"/>
              <w:sz w:val="20"/>
              <w:szCs w:val="20"/>
            </w:rPr>
            <w:t xml:space="preserve"> (Michael Böhm, 2017)</w:t>
          </w:r>
          <w:r>
            <w:rPr>
              <w:rFonts w:cs="Times New Roman"/>
              <w:sz w:val="20"/>
              <w:szCs w:val="20"/>
            </w:rPr>
            <w:fldChar w:fldCharType="end"/>
          </w:r>
        </w:sdtContent>
      </w:sdt>
      <w:r>
        <w:rPr>
          <w:rFonts w:cs="Times New Roman"/>
          <w:sz w:val="20"/>
          <w:szCs w:val="20"/>
        </w:rPr>
        <w:t xml:space="preserve"> </w:t>
      </w:r>
      <w:sdt>
        <w:sdtPr>
          <w:rPr>
            <w:rFonts w:cs="Times New Roman"/>
            <w:sz w:val="20"/>
            <w:szCs w:val="20"/>
          </w:rPr>
          <w:id w:val="740674673"/>
        </w:sdtPr>
        <w:sdtContent>
          <w:r>
            <w:rPr>
              <w:rFonts w:cs="Times New Roman"/>
              <w:sz w:val="20"/>
              <w:szCs w:val="20"/>
            </w:rPr>
            <w:fldChar w:fldCharType="begin"/>
          </w:r>
          <w:r>
            <w:rPr>
              <w:rFonts w:cs="Times New Roman"/>
              <w:sz w:val="20"/>
              <w:szCs w:val="20"/>
            </w:rPr>
            <w:instrText xml:space="preserve"> CITATION Chi23 \l 1033 </w:instrText>
          </w:r>
          <w:r>
            <w:rPr>
              <w:rFonts w:cs="Times New Roman"/>
              <w:sz w:val="20"/>
              <w:szCs w:val="20"/>
            </w:rPr>
            <w:fldChar w:fldCharType="separate"/>
          </w:r>
          <w:r>
            <w:rPr>
              <w:rFonts w:cs="Times New Roman"/>
              <w:sz w:val="20"/>
              <w:szCs w:val="20"/>
            </w:rPr>
            <w:t>(Ching-Chang Fang, 2023)</w:t>
          </w:r>
          <w:r>
            <w:rPr>
              <w:rFonts w:cs="Times New Roman"/>
              <w:sz w:val="20"/>
              <w:szCs w:val="20"/>
            </w:rPr>
            <w:fldChar w:fldCharType="end"/>
          </w:r>
        </w:sdtContent>
      </w:sdt>
      <w:r>
        <w:rPr>
          <w:rFonts w:cs="Times New Roman"/>
          <w:sz w:val="20"/>
          <w:szCs w:val="20"/>
        </w:rPr>
        <w:t xml:space="preserve">. Systolic blood pressure was lower in the Sac/Val group, according to its ability to relax blood vessels, but heart rate and eGFR were unchanged (p&gt;0.05). Just like earlier studies, these data suggest that sacubitril/valsartan was usually used in people with advanced </w:t>
      </w:r>
      <w:proofErr w:type="spellStart"/>
      <w:r>
        <w:rPr>
          <w:rFonts w:cs="Times New Roman"/>
          <w:sz w:val="20"/>
          <w:szCs w:val="20"/>
        </w:rPr>
        <w:t>HFrEF</w:t>
      </w:r>
      <w:proofErr w:type="spellEnd"/>
      <w:r>
        <w:rPr>
          <w:rFonts w:cs="Times New Roman"/>
          <w:sz w:val="20"/>
          <w:szCs w:val="20"/>
        </w:rPr>
        <w:t xml:space="preserve"> and noticeable symptoms </w:t>
      </w:r>
      <w:sdt>
        <w:sdtPr>
          <w:rPr>
            <w:rFonts w:cs="Times New Roman"/>
            <w:sz w:val="20"/>
            <w:szCs w:val="20"/>
          </w:rPr>
          <w:id w:val="1829784404"/>
        </w:sdtPr>
        <w:sdtContent>
          <w:r>
            <w:rPr>
              <w:rFonts w:cs="Times New Roman"/>
              <w:sz w:val="20"/>
              <w:szCs w:val="20"/>
            </w:rPr>
            <w:fldChar w:fldCharType="begin"/>
          </w:r>
          <w:r>
            <w:rPr>
              <w:rFonts w:cs="Times New Roman"/>
              <w:sz w:val="20"/>
              <w:szCs w:val="20"/>
            </w:rPr>
            <w:instrText xml:space="preserve"> CITATION Dom21 \l 1033 </w:instrText>
          </w:r>
          <w:r>
            <w:rPr>
              <w:rFonts w:cs="Times New Roman"/>
              <w:sz w:val="20"/>
              <w:szCs w:val="20"/>
            </w:rPr>
            <w:fldChar w:fldCharType="separate"/>
          </w:r>
          <w:r>
            <w:rPr>
              <w:rFonts w:cs="Times New Roman"/>
              <w:sz w:val="20"/>
              <w:szCs w:val="20"/>
            </w:rPr>
            <w:t>(Domingo Pascual-Figal, 2021)</w:t>
          </w:r>
          <w:r>
            <w:rPr>
              <w:rFonts w:cs="Times New Roman"/>
              <w:sz w:val="20"/>
              <w:szCs w:val="20"/>
            </w:rPr>
            <w:fldChar w:fldCharType="end"/>
          </w:r>
        </w:sdtContent>
      </w:sdt>
      <w:r>
        <w:rPr>
          <w:rFonts w:cs="Times New Roman"/>
          <w:sz w:val="20"/>
          <w:szCs w:val="20"/>
        </w:rPr>
        <w:t>.</w:t>
      </w:r>
    </w:p>
    <w:p w14:paraId="30802592" w14:textId="77777777" w:rsidR="00284D43" w:rsidRDefault="00E45E70">
      <w:pPr>
        <w:jc w:val="both"/>
        <w:rPr>
          <w:rFonts w:cs="Times New Roman"/>
          <w:sz w:val="20"/>
          <w:szCs w:val="20"/>
        </w:rPr>
      </w:pPr>
      <w:r>
        <w:rPr>
          <w:rFonts w:cs="Times New Roman"/>
          <w:sz w:val="20"/>
          <w:szCs w:val="20"/>
        </w:rPr>
        <w:t xml:space="preserve">Following treatment, the ejection fraction improved in the two groups, with the Sac/Val group slightly higher (58.0% versus 53.3%), though not significantly different, comparable to results seen in TITRATION and PROVE-HF studies </w:t>
      </w:r>
      <w:sdt>
        <w:sdtPr>
          <w:rPr>
            <w:rFonts w:cs="Times New Roman"/>
            <w:sz w:val="20"/>
            <w:szCs w:val="20"/>
          </w:rPr>
          <w:id w:val="-2086447181"/>
        </w:sdtPr>
        <w:sdtContent>
          <w:r>
            <w:rPr>
              <w:rFonts w:cs="Times New Roman"/>
              <w:sz w:val="20"/>
              <w:szCs w:val="20"/>
            </w:rPr>
            <w:fldChar w:fldCharType="begin"/>
          </w:r>
          <w:r>
            <w:rPr>
              <w:rFonts w:cs="Times New Roman"/>
              <w:sz w:val="20"/>
              <w:szCs w:val="20"/>
            </w:rPr>
            <w:instrText xml:space="preserve"> CITATION Rez23 \l 1033 </w:instrText>
          </w:r>
          <w:r>
            <w:rPr>
              <w:rFonts w:cs="Times New Roman"/>
              <w:sz w:val="20"/>
              <w:szCs w:val="20"/>
            </w:rPr>
            <w:fldChar w:fldCharType="separate"/>
          </w:r>
          <w:r>
            <w:rPr>
              <w:rFonts w:cs="Times New Roman"/>
              <w:sz w:val="20"/>
              <w:szCs w:val="20"/>
            </w:rPr>
            <w:t>(Reza Mohebi, 2023)</w:t>
          </w:r>
          <w:r>
            <w:rPr>
              <w:rFonts w:cs="Times New Roman"/>
              <w:sz w:val="20"/>
              <w:szCs w:val="20"/>
            </w:rPr>
            <w:fldChar w:fldCharType="end"/>
          </w:r>
        </w:sdtContent>
      </w:sdt>
      <w:r>
        <w:rPr>
          <w:rFonts w:cs="Times New Roman"/>
          <w:sz w:val="20"/>
          <w:szCs w:val="20"/>
        </w:rPr>
        <w:t>. Levels of NT-</w:t>
      </w:r>
      <w:proofErr w:type="spellStart"/>
      <w:r>
        <w:rPr>
          <w:rFonts w:cs="Times New Roman"/>
          <w:sz w:val="20"/>
          <w:szCs w:val="20"/>
        </w:rPr>
        <w:t>proBNP</w:t>
      </w:r>
      <w:proofErr w:type="spellEnd"/>
      <w:r>
        <w:rPr>
          <w:rFonts w:cs="Times New Roman"/>
          <w:sz w:val="20"/>
          <w:szCs w:val="20"/>
        </w:rPr>
        <w:t xml:space="preserve"> declined similarly in both groups, consistent with what was reported in PIONEER-HF that Sac/Valsartan caused early improvement in biomarkers at the start of the trial, confirming that both drugs are safe for the kidneys. Significantly lower SBP in the Sac/Val group (p=0.023) showed the strong antihypertensive effect of sacubitril observed in the PARADIGM-HF trial </w:t>
      </w:r>
      <w:sdt>
        <w:sdtPr>
          <w:rPr>
            <w:rFonts w:cs="Times New Roman"/>
            <w:sz w:val="20"/>
            <w:szCs w:val="20"/>
          </w:rPr>
          <w:id w:val="903725299"/>
        </w:sdtPr>
        <w:sdtContent>
          <w:r>
            <w:rPr>
              <w:rFonts w:cs="Times New Roman"/>
              <w:sz w:val="20"/>
              <w:szCs w:val="20"/>
            </w:rPr>
            <w:fldChar w:fldCharType="begin"/>
          </w:r>
          <w:r>
            <w:rPr>
              <w:rFonts w:cs="Times New Roman"/>
              <w:sz w:val="20"/>
              <w:szCs w:val="20"/>
            </w:rPr>
            <w:instrText xml:space="preserve"> CITATION Mic17 \l 1033 </w:instrText>
          </w:r>
          <w:r>
            <w:rPr>
              <w:rFonts w:cs="Times New Roman"/>
              <w:sz w:val="20"/>
              <w:szCs w:val="20"/>
            </w:rPr>
            <w:fldChar w:fldCharType="separate"/>
          </w:r>
          <w:r>
            <w:rPr>
              <w:rFonts w:cs="Times New Roman"/>
              <w:sz w:val="20"/>
              <w:szCs w:val="20"/>
            </w:rPr>
            <w:t>(Michael Böhm, 2017)</w:t>
          </w:r>
          <w:r>
            <w:rPr>
              <w:rFonts w:cs="Times New Roman"/>
              <w:sz w:val="20"/>
              <w:szCs w:val="20"/>
            </w:rPr>
            <w:fldChar w:fldCharType="end"/>
          </w:r>
        </w:sdtContent>
      </w:sdt>
      <w:r>
        <w:rPr>
          <w:rFonts w:cs="Times New Roman"/>
          <w:sz w:val="20"/>
          <w:szCs w:val="20"/>
        </w:rPr>
        <w:t xml:space="preserve">. Heart rates did not change in any group, which is in line with what is expected in beta-blocker–co-managed </w:t>
      </w:r>
      <w:proofErr w:type="spellStart"/>
      <w:r>
        <w:rPr>
          <w:rFonts w:cs="Times New Roman"/>
          <w:sz w:val="20"/>
          <w:szCs w:val="20"/>
        </w:rPr>
        <w:t>HFrEF</w:t>
      </w:r>
      <w:proofErr w:type="spellEnd"/>
      <w:r>
        <w:rPr>
          <w:rFonts w:cs="Times New Roman"/>
          <w:sz w:val="20"/>
          <w:szCs w:val="20"/>
        </w:rPr>
        <w:t xml:space="preserve"> patients.</w:t>
      </w:r>
    </w:p>
    <w:p w14:paraId="3F2E207D" w14:textId="77777777" w:rsidR="00284D43" w:rsidRDefault="00E45E70">
      <w:pPr>
        <w:jc w:val="both"/>
        <w:rPr>
          <w:rFonts w:cs="Times New Roman"/>
          <w:sz w:val="20"/>
          <w:szCs w:val="20"/>
        </w:rPr>
      </w:pPr>
      <w:r>
        <w:rPr>
          <w:rFonts w:cs="Times New Roman"/>
          <w:sz w:val="20"/>
          <w:szCs w:val="20"/>
        </w:rPr>
        <w:t xml:space="preserve">After therapy, more ACEI/ARB patients improved to NYHA Class I (87.5%) than Sac/Val patients (67.8%), but this difference was not enough to be significant. On the other hand, the PROVE-HF trial displayed that patients on Sacubitril/Valsartan improved their NYHA class significantly as time went on </w:t>
      </w:r>
      <w:sdt>
        <w:sdtPr>
          <w:rPr>
            <w:rFonts w:cs="Times New Roman"/>
            <w:sz w:val="20"/>
            <w:szCs w:val="20"/>
          </w:rPr>
          <w:id w:val="-1491247099"/>
        </w:sdtPr>
        <w:sdtContent>
          <w:r>
            <w:rPr>
              <w:rFonts w:cs="Times New Roman"/>
              <w:sz w:val="20"/>
              <w:szCs w:val="20"/>
            </w:rPr>
            <w:fldChar w:fldCharType="begin"/>
          </w:r>
          <w:r>
            <w:rPr>
              <w:rFonts w:cs="Times New Roman"/>
              <w:sz w:val="20"/>
              <w:szCs w:val="20"/>
            </w:rPr>
            <w:instrText xml:space="preserve"> CITATION Jam18 \l 1033 </w:instrText>
          </w:r>
          <w:r>
            <w:rPr>
              <w:rFonts w:cs="Times New Roman"/>
              <w:sz w:val="20"/>
              <w:szCs w:val="20"/>
            </w:rPr>
            <w:fldChar w:fldCharType="separate"/>
          </w:r>
          <w:r>
            <w:rPr>
              <w:rFonts w:cs="Times New Roman"/>
              <w:sz w:val="20"/>
              <w:szCs w:val="20"/>
            </w:rPr>
            <w:t>(James Louis Januzzi, 2018)</w:t>
          </w:r>
          <w:r>
            <w:rPr>
              <w:rFonts w:cs="Times New Roman"/>
              <w:sz w:val="20"/>
              <w:szCs w:val="20"/>
            </w:rPr>
            <w:fldChar w:fldCharType="end"/>
          </w:r>
        </w:sdtContent>
      </w:sdt>
      <w:r>
        <w:rPr>
          <w:rFonts w:cs="Times New Roman"/>
          <w:sz w:val="20"/>
          <w:szCs w:val="20"/>
        </w:rPr>
        <w:t xml:space="preserve">. Nevertheless, the same improvement in both groups agrees with what is observed in the CHAMP-HF registry </w:t>
      </w:r>
      <w:sdt>
        <w:sdtPr>
          <w:rPr>
            <w:rFonts w:cs="Times New Roman"/>
            <w:sz w:val="20"/>
            <w:szCs w:val="20"/>
          </w:rPr>
          <w:id w:val="1772895273"/>
        </w:sdtPr>
        <w:sdtContent>
          <w:r>
            <w:rPr>
              <w:rFonts w:cs="Times New Roman"/>
              <w:sz w:val="20"/>
              <w:szCs w:val="20"/>
            </w:rPr>
            <w:fldChar w:fldCharType="begin"/>
          </w:r>
          <w:r>
            <w:rPr>
              <w:rFonts w:cs="Times New Roman"/>
              <w:sz w:val="20"/>
              <w:szCs w:val="20"/>
            </w:rPr>
            <w:instrText xml:space="preserve"> CITATION Mut20 \l 1033 </w:instrText>
          </w:r>
          <w:r>
            <w:rPr>
              <w:rFonts w:cs="Times New Roman"/>
              <w:sz w:val="20"/>
              <w:szCs w:val="20"/>
            </w:rPr>
            <w:fldChar w:fldCharType="separate"/>
          </w:r>
          <w:r>
            <w:rPr>
              <w:rFonts w:cs="Times New Roman"/>
              <w:sz w:val="20"/>
              <w:szCs w:val="20"/>
            </w:rPr>
            <w:t>(Muthiah Vaduganathan, 2020)</w:t>
          </w:r>
          <w:r>
            <w:rPr>
              <w:rFonts w:cs="Times New Roman"/>
              <w:sz w:val="20"/>
              <w:szCs w:val="20"/>
            </w:rPr>
            <w:fldChar w:fldCharType="end"/>
          </w:r>
        </w:sdtContent>
      </w:sdt>
      <w:r>
        <w:rPr>
          <w:rFonts w:cs="Times New Roman"/>
          <w:sz w:val="20"/>
          <w:szCs w:val="20"/>
        </w:rPr>
        <w:t xml:space="preserve">, supporting that both treatments help improve functional status in </w:t>
      </w:r>
      <w:proofErr w:type="spellStart"/>
      <w:r>
        <w:rPr>
          <w:rFonts w:cs="Times New Roman"/>
          <w:sz w:val="20"/>
          <w:szCs w:val="20"/>
        </w:rPr>
        <w:t>HFrEF</w:t>
      </w:r>
      <w:proofErr w:type="spellEnd"/>
      <w:r>
        <w:rPr>
          <w:rFonts w:cs="Times New Roman"/>
          <w:sz w:val="20"/>
          <w:szCs w:val="20"/>
        </w:rPr>
        <w:t>.</w:t>
      </w:r>
    </w:p>
    <w:p w14:paraId="67A13C11" w14:textId="77777777" w:rsidR="00284D43" w:rsidRDefault="00E45E70">
      <w:pPr>
        <w:jc w:val="both"/>
        <w:rPr>
          <w:rFonts w:cs="Times New Roman"/>
          <w:sz w:val="20"/>
          <w:szCs w:val="20"/>
        </w:rPr>
      </w:pPr>
      <w:r>
        <w:rPr>
          <w:rFonts w:cs="Times New Roman"/>
          <w:sz w:val="20"/>
          <w:szCs w:val="20"/>
        </w:rPr>
        <w:t xml:space="preserve">In both groups, adverse events were low, though those on Sacubitril/Valsartan had more cases of hypotension and renal impairment, even if the results were not statistically significant, aligning with what the PARADIGM-HF trial documented </w:t>
      </w:r>
      <w:sdt>
        <w:sdtPr>
          <w:rPr>
            <w:rFonts w:cs="Times New Roman"/>
            <w:sz w:val="20"/>
            <w:szCs w:val="20"/>
          </w:rPr>
          <w:id w:val="-1001499253"/>
        </w:sdtPr>
        <w:sdtContent>
          <w:r>
            <w:rPr>
              <w:rFonts w:cs="Times New Roman"/>
              <w:sz w:val="20"/>
              <w:szCs w:val="20"/>
            </w:rPr>
            <w:fldChar w:fldCharType="begin"/>
          </w:r>
          <w:r>
            <w:rPr>
              <w:rFonts w:cs="Times New Roman"/>
              <w:sz w:val="20"/>
              <w:szCs w:val="20"/>
            </w:rPr>
            <w:instrText xml:space="preserve"> CITATION Ani201 \l 1033 </w:instrText>
          </w:r>
          <w:r>
            <w:rPr>
              <w:rFonts w:cs="Times New Roman"/>
              <w:sz w:val="20"/>
              <w:szCs w:val="20"/>
            </w:rPr>
            <w:fldChar w:fldCharType="separate"/>
          </w:r>
          <w:r>
            <w:rPr>
              <w:rFonts w:cs="Times New Roman"/>
              <w:sz w:val="20"/>
              <w:szCs w:val="20"/>
            </w:rPr>
            <w:t>(Anil Ranjeetmal Jain, 2020)</w:t>
          </w:r>
          <w:r>
            <w:rPr>
              <w:rFonts w:cs="Times New Roman"/>
              <w:sz w:val="20"/>
              <w:szCs w:val="20"/>
            </w:rPr>
            <w:fldChar w:fldCharType="end"/>
          </w:r>
        </w:sdtContent>
      </w:sdt>
      <w:r>
        <w:rPr>
          <w:rFonts w:cs="Times New Roman"/>
          <w:sz w:val="20"/>
          <w:szCs w:val="20"/>
        </w:rPr>
        <w:t xml:space="preserve">. Previous research indicates ARBs and Sac/Val in particular are less likely to cause a cough than ACEIs, which agrees with the low occurrence of hyperkalemia and cough in this study </w:t>
      </w:r>
      <w:sdt>
        <w:sdtPr>
          <w:rPr>
            <w:rFonts w:cs="Times New Roman"/>
            <w:sz w:val="20"/>
            <w:szCs w:val="20"/>
          </w:rPr>
          <w:id w:val="486758020"/>
        </w:sdtPr>
        <w:sdtContent>
          <w:r>
            <w:rPr>
              <w:rFonts w:cs="Times New Roman"/>
              <w:sz w:val="20"/>
              <w:szCs w:val="20"/>
            </w:rPr>
            <w:fldChar w:fldCharType="begin"/>
          </w:r>
          <w:r>
            <w:rPr>
              <w:rFonts w:cs="Times New Roman"/>
              <w:sz w:val="20"/>
              <w:szCs w:val="20"/>
            </w:rPr>
            <w:instrText xml:space="preserve"> CITATION BAC15 \l 1033 </w:instrText>
          </w:r>
          <w:r>
            <w:rPr>
              <w:rFonts w:cs="Times New Roman"/>
              <w:sz w:val="20"/>
              <w:szCs w:val="20"/>
            </w:rPr>
            <w:fldChar w:fldCharType="separate"/>
          </w:r>
          <w:r>
            <w:rPr>
              <w:rFonts w:cs="Times New Roman"/>
              <w:sz w:val="20"/>
              <w:szCs w:val="20"/>
            </w:rPr>
            <w:t>(BACHIR TAZKARJI, 2015)</w:t>
          </w:r>
          <w:r>
            <w:rPr>
              <w:rFonts w:cs="Times New Roman"/>
              <w:sz w:val="20"/>
              <w:szCs w:val="20"/>
            </w:rPr>
            <w:fldChar w:fldCharType="end"/>
          </w:r>
        </w:sdtContent>
      </w:sdt>
      <w:r>
        <w:rPr>
          <w:rFonts w:cs="Times New Roman"/>
          <w:sz w:val="20"/>
          <w:szCs w:val="20"/>
        </w:rPr>
        <w:t>. Both regimens continue to demonstrate how well they are tolerated and how safe they are, as found in larger studies and real-life situations.</w:t>
      </w:r>
    </w:p>
    <w:p w14:paraId="2F8A3E28" w14:textId="77777777" w:rsidR="00284D43" w:rsidRDefault="00E45E70">
      <w:pPr>
        <w:jc w:val="both"/>
        <w:rPr>
          <w:rFonts w:cs="Times New Roman"/>
          <w:sz w:val="20"/>
          <w:szCs w:val="20"/>
        </w:rPr>
      </w:pPr>
      <w:r>
        <w:rPr>
          <w:rFonts w:cs="Times New Roman"/>
          <w:sz w:val="20"/>
          <w:szCs w:val="20"/>
        </w:rPr>
        <w:t xml:space="preserve">The rates of serious outcomes, death and hospital readmission, did not differ greatly, with 4.2% death in ACEI/ARB vs 2.2% in Sac/Val, and 4.2% rehospitalization in the first group versus 1.1% in the second group. According to the PARADIGM-HF trial, people treated with Sacubitril/Valsartan experienced fewer heart-related deaths and less need for HF hospital care </w:t>
      </w:r>
      <w:sdt>
        <w:sdtPr>
          <w:rPr>
            <w:rFonts w:cs="Times New Roman"/>
            <w:sz w:val="20"/>
            <w:szCs w:val="20"/>
          </w:rPr>
          <w:id w:val="399020051"/>
        </w:sdtPr>
        <w:sdtContent>
          <w:r>
            <w:rPr>
              <w:rFonts w:cs="Times New Roman"/>
              <w:sz w:val="20"/>
              <w:szCs w:val="20"/>
            </w:rPr>
            <w:fldChar w:fldCharType="begin"/>
          </w:r>
          <w:r>
            <w:rPr>
              <w:rFonts w:cs="Times New Roman"/>
              <w:sz w:val="20"/>
              <w:szCs w:val="20"/>
            </w:rPr>
            <w:instrText xml:space="preserve"> CITATION Geo20 \l 1033 </w:instrText>
          </w:r>
          <w:r>
            <w:rPr>
              <w:rFonts w:cs="Times New Roman"/>
              <w:sz w:val="20"/>
              <w:szCs w:val="20"/>
            </w:rPr>
            <w:fldChar w:fldCharType="separate"/>
          </w:r>
          <w:r>
            <w:rPr>
              <w:rFonts w:cs="Times New Roman"/>
              <w:sz w:val="20"/>
              <w:szCs w:val="20"/>
            </w:rPr>
            <w:t>(George G Sokos, 2020)</w:t>
          </w:r>
          <w:r>
            <w:rPr>
              <w:rFonts w:cs="Times New Roman"/>
              <w:sz w:val="20"/>
              <w:szCs w:val="20"/>
            </w:rPr>
            <w:fldChar w:fldCharType="end"/>
          </w:r>
        </w:sdtContent>
      </w:sdt>
      <w:r>
        <w:rPr>
          <w:rFonts w:cs="Times New Roman"/>
          <w:sz w:val="20"/>
          <w:szCs w:val="20"/>
        </w:rPr>
        <w:t xml:space="preserve">, however, these differences might not be as clear in smaller studies. Similarly, real-world investigations like the TRANSITION registry confirm that safety is equal with Sac/Val and outcomes are often better </w:t>
      </w:r>
      <w:sdt>
        <w:sdtPr>
          <w:rPr>
            <w:rFonts w:cs="Times New Roman"/>
            <w:sz w:val="20"/>
            <w:szCs w:val="20"/>
          </w:rPr>
          <w:id w:val="-819346338"/>
        </w:sdtPr>
        <w:sdtContent>
          <w:r>
            <w:rPr>
              <w:rFonts w:cs="Times New Roman"/>
              <w:sz w:val="20"/>
              <w:szCs w:val="20"/>
            </w:rPr>
            <w:fldChar w:fldCharType="begin"/>
          </w:r>
          <w:r>
            <w:rPr>
              <w:rFonts w:cs="Times New Roman"/>
              <w:sz w:val="20"/>
              <w:szCs w:val="20"/>
            </w:rPr>
            <w:instrText xml:space="preserve"> CITATION Xia23 \l 1033 </w:instrText>
          </w:r>
          <w:r>
            <w:rPr>
              <w:rFonts w:cs="Times New Roman"/>
              <w:sz w:val="20"/>
              <w:szCs w:val="20"/>
            </w:rPr>
            <w:fldChar w:fldCharType="separate"/>
          </w:r>
          <w:r>
            <w:rPr>
              <w:rFonts w:cs="Times New Roman"/>
              <w:sz w:val="20"/>
              <w:szCs w:val="20"/>
            </w:rPr>
            <w:t>(Xiaoye Li, 2023)</w:t>
          </w:r>
          <w:r>
            <w:rPr>
              <w:rFonts w:cs="Times New Roman"/>
              <w:sz w:val="20"/>
              <w:szCs w:val="20"/>
            </w:rPr>
            <w:fldChar w:fldCharType="end"/>
          </w:r>
        </w:sdtContent>
      </w:sdt>
      <w:r>
        <w:rPr>
          <w:rFonts w:cs="Times New Roman"/>
          <w:sz w:val="20"/>
          <w:szCs w:val="20"/>
        </w:rPr>
        <w:t>.</w:t>
      </w:r>
    </w:p>
    <w:p w14:paraId="657F402C" w14:textId="77777777" w:rsidR="00284D43" w:rsidRDefault="00E45E70">
      <w:pPr>
        <w:jc w:val="both"/>
        <w:rPr>
          <w:rFonts w:cs="Times New Roman"/>
          <w:sz w:val="20"/>
          <w:szCs w:val="20"/>
        </w:rPr>
      </w:pPr>
      <w:r>
        <w:rPr>
          <w:rFonts w:cs="Times New Roman"/>
          <w:sz w:val="20"/>
          <w:szCs w:val="20"/>
        </w:rPr>
        <w:t xml:space="preserve">Currently, almost all treated patients are free of breathlessness and orthopnea, and PND is nearly eliminated in both groups. According to PROVE-HF and PIONEER-HF, early and lasting relief from symptoms was observed with Sacubitril/Valsartan </w:t>
      </w:r>
      <w:sdt>
        <w:sdtPr>
          <w:rPr>
            <w:rFonts w:cs="Times New Roman"/>
            <w:sz w:val="20"/>
            <w:szCs w:val="20"/>
          </w:rPr>
          <w:id w:val="-1965191982"/>
        </w:sdtPr>
        <w:sdtContent>
          <w:r>
            <w:rPr>
              <w:rFonts w:cs="Times New Roman"/>
              <w:sz w:val="20"/>
              <w:szCs w:val="20"/>
            </w:rPr>
            <w:fldChar w:fldCharType="begin"/>
          </w:r>
          <w:r>
            <w:rPr>
              <w:rFonts w:cs="Times New Roman"/>
              <w:sz w:val="20"/>
              <w:szCs w:val="20"/>
            </w:rPr>
            <w:instrText xml:space="preserve"> CITATION Mis25 \l 1033 </w:instrText>
          </w:r>
          <w:r>
            <w:rPr>
              <w:rFonts w:cs="Times New Roman"/>
              <w:sz w:val="20"/>
              <w:szCs w:val="20"/>
            </w:rPr>
            <w:fldChar w:fldCharType="separate"/>
          </w:r>
          <w:r>
            <w:rPr>
              <w:rFonts w:cs="Times New Roman"/>
              <w:sz w:val="20"/>
              <w:szCs w:val="20"/>
            </w:rPr>
            <w:t>(Misato Chimura, 2025)</w:t>
          </w:r>
          <w:r>
            <w:rPr>
              <w:rFonts w:cs="Times New Roman"/>
              <w:sz w:val="20"/>
              <w:szCs w:val="20"/>
            </w:rPr>
            <w:fldChar w:fldCharType="end"/>
          </w:r>
        </w:sdtContent>
      </w:sdt>
      <w:r>
        <w:rPr>
          <w:rFonts w:cs="Times New Roman"/>
          <w:sz w:val="20"/>
          <w:szCs w:val="20"/>
        </w:rPr>
        <w:t xml:space="preserve">. Findings from this study are supported by real-world research that both ACEI/ARB and Sac/Val can importantly ease congestion symptoms in </w:t>
      </w:r>
      <w:proofErr w:type="spellStart"/>
      <w:r>
        <w:rPr>
          <w:rFonts w:cs="Times New Roman"/>
          <w:sz w:val="20"/>
          <w:szCs w:val="20"/>
        </w:rPr>
        <w:t>HFrEF</w:t>
      </w:r>
      <w:proofErr w:type="spellEnd"/>
      <w:r>
        <w:rPr>
          <w:rFonts w:cs="Times New Roman"/>
          <w:sz w:val="20"/>
          <w:szCs w:val="20"/>
        </w:rPr>
        <w:t xml:space="preserve"> </w:t>
      </w:r>
      <w:sdt>
        <w:sdtPr>
          <w:rPr>
            <w:rFonts w:cs="Times New Roman"/>
            <w:sz w:val="20"/>
            <w:szCs w:val="20"/>
          </w:rPr>
          <w:id w:val="46891085"/>
        </w:sdtPr>
        <w:sdtContent>
          <w:r>
            <w:rPr>
              <w:rFonts w:cs="Times New Roman"/>
              <w:sz w:val="20"/>
              <w:szCs w:val="20"/>
            </w:rPr>
            <w:fldChar w:fldCharType="begin"/>
          </w:r>
          <w:r>
            <w:rPr>
              <w:rFonts w:cs="Times New Roman"/>
              <w:sz w:val="20"/>
              <w:szCs w:val="20"/>
            </w:rPr>
            <w:instrText xml:space="preserve"> CITATION Ank25 \l 1033 </w:instrText>
          </w:r>
          <w:r>
            <w:rPr>
              <w:rFonts w:cs="Times New Roman"/>
              <w:sz w:val="20"/>
              <w:szCs w:val="20"/>
            </w:rPr>
            <w:fldChar w:fldCharType="separate"/>
          </w:r>
          <w:r>
            <w:rPr>
              <w:rFonts w:cs="Times New Roman"/>
              <w:sz w:val="20"/>
              <w:szCs w:val="20"/>
            </w:rPr>
            <w:t>(Ankeet S Bhatt, 2025)</w:t>
          </w:r>
          <w:r>
            <w:rPr>
              <w:rFonts w:cs="Times New Roman"/>
              <w:sz w:val="20"/>
              <w:szCs w:val="20"/>
            </w:rPr>
            <w:fldChar w:fldCharType="end"/>
          </w:r>
        </w:sdtContent>
      </w:sdt>
      <w:r>
        <w:rPr>
          <w:rFonts w:cs="Times New Roman"/>
          <w:sz w:val="20"/>
          <w:szCs w:val="20"/>
        </w:rPr>
        <w:t>.</w:t>
      </w:r>
    </w:p>
    <w:p w14:paraId="5DCDC84D" w14:textId="77777777" w:rsidR="00284D43" w:rsidRDefault="00284D43">
      <w:pPr>
        <w:jc w:val="both"/>
        <w:rPr>
          <w:rFonts w:cs="Times New Roman"/>
          <w:sz w:val="20"/>
          <w:szCs w:val="20"/>
        </w:rPr>
      </w:pPr>
    </w:p>
    <w:p w14:paraId="3A8A1687" w14:textId="77777777" w:rsidR="00284D43" w:rsidRPr="00D367DF" w:rsidRDefault="00E45E70">
      <w:pPr>
        <w:jc w:val="both"/>
        <w:rPr>
          <w:rFonts w:cs="Times New Roman"/>
          <w:b/>
          <w:color w:val="388600"/>
          <w:sz w:val="20"/>
          <w:szCs w:val="20"/>
        </w:rPr>
      </w:pPr>
      <w:r>
        <w:rPr>
          <w:rFonts w:cs="Times New Roman"/>
          <w:b/>
          <w:sz w:val="20"/>
          <w:szCs w:val="20"/>
        </w:rPr>
        <w:t xml:space="preserve">5. </w:t>
      </w:r>
      <w:r w:rsidRPr="00D367DF">
        <w:rPr>
          <w:rFonts w:cs="Times New Roman"/>
          <w:b/>
          <w:color w:val="388600"/>
          <w:sz w:val="20"/>
          <w:szCs w:val="20"/>
        </w:rPr>
        <w:t xml:space="preserve">LIMITATION  </w:t>
      </w:r>
    </w:p>
    <w:p w14:paraId="5E8F09BD" w14:textId="77777777" w:rsidR="00284D43" w:rsidRDefault="00284D43">
      <w:pPr>
        <w:jc w:val="both"/>
        <w:rPr>
          <w:rFonts w:cs="Times New Roman"/>
          <w:b/>
          <w:sz w:val="20"/>
          <w:szCs w:val="20"/>
        </w:rPr>
      </w:pPr>
    </w:p>
    <w:p w14:paraId="3075898D" w14:textId="77777777" w:rsidR="00284D43" w:rsidRDefault="00E45E70">
      <w:pPr>
        <w:jc w:val="both"/>
        <w:rPr>
          <w:rFonts w:cs="Times New Roman"/>
          <w:sz w:val="20"/>
          <w:szCs w:val="20"/>
        </w:rPr>
      </w:pPr>
      <w:r>
        <w:rPr>
          <w:rFonts w:cs="Times New Roman"/>
          <w:sz w:val="20"/>
          <w:szCs w:val="20"/>
        </w:rPr>
        <w:t>The study used a small group of participants, and all observations were made at one center, which probably limits how well the conclusions fit with other settings. Moreover, observational studies could still bring about some biases since it is not always possible to correctly randomize participants.</w:t>
      </w:r>
    </w:p>
    <w:p w14:paraId="282AC3A9" w14:textId="77777777" w:rsidR="00284D43" w:rsidRDefault="00284D43">
      <w:pPr>
        <w:jc w:val="both"/>
        <w:rPr>
          <w:rFonts w:cs="Times New Roman"/>
          <w:sz w:val="20"/>
          <w:szCs w:val="20"/>
        </w:rPr>
      </w:pPr>
    </w:p>
    <w:p w14:paraId="0BA0F148" w14:textId="77777777" w:rsidR="00284D43" w:rsidRPr="00D367DF" w:rsidRDefault="00E45E70">
      <w:pPr>
        <w:jc w:val="both"/>
        <w:rPr>
          <w:rFonts w:cs="Times New Roman"/>
          <w:b/>
          <w:color w:val="388600"/>
          <w:sz w:val="20"/>
          <w:szCs w:val="20"/>
        </w:rPr>
      </w:pPr>
      <w:r>
        <w:rPr>
          <w:rFonts w:cs="Times New Roman"/>
          <w:b/>
          <w:sz w:val="20"/>
          <w:szCs w:val="20"/>
        </w:rPr>
        <w:t xml:space="preserve">6. </w:t>
      </w:r>
      <w:r w:rsidRPr="00D367DF">
        <w:rPr>
          <w:rFonts w:cs="Times New Roman"/>
          <w:b/>
          <w:color w:val="388600"/>
          <w:sz w:val="20"/>
          <w:szCs w:val="20"/>
        </w:rPr>
        <w:t>CONCLUSION</w:t>
      </w:r>
    </w:p>
    <w:p w14:paraId="38550430" w14:textId="77777777" w:rsidR="00284D43" w:rsidRDefault="00284D43">
      <w:pPr>
        <w:jc w:val="both"/>
        <w:rPr>
          <w:rFonts w:cs="Times New Roman"/>
          <w:sz w:val="20"/>
          <w:szCs w:val="20"/>
        </w:rPr>
      </w:pPr>
    </w:p>
    <w:p w14:paraId="308E85A6" w14:textId="77777777" w:rsidR="00284D43" w:rsidRDefault="00E45E70">
      <w:pPr>
        <w:jc w:val="both"/>
        <w:rPr>
          <w:rFonts w:cs="Times New Roman"/>
          <w:sz w:val="20"/>
          <w:szCs w:val="20"/>
        </w:rPr>
      </w:pPr>
      <w:r>
        <w:rPr>
          <w:rFonts w:cs="Times New Roman"/>
          <w:sz w:val="20"/>
          <w:szCs w:val="20"/>
        </w:rPr>
        <w:t xml:space="preserve">After studying </w:t>
      </w:r>
      <w:proofErr w:type="spellStart"/>
      <w:r>
        <w:rPr>
          <w:rFonts w:cs="Times New Roman"/>
          <w:sz w:val="20"/>
          <w:szCs w:val="20"/>
        </w:rPr>
        <w:t>HFrEF</w:t>
      </w:r>
      <w:proofErr w:type="spellEnd"/>
      <w:r>
        <w:rPr>
          <w:rFonts w:cs="Times New Roman"/>
          <w:sz w:val="20"/>
          <w:szCs w:val="20"/>
        </w:rPr>
        <w:t xml:space="preserve"> patients, the researchers found that Sacubitril/Valsartan and ACEI/ARB were effective in improving their outcomes, but the results did not differ a lot in mortality, re-hospitalization rates or alleviating symptoms. Although sacubitril/valsartan showed better results at lowering blood pressure, it was linked to more side effects without being statistically significant. Based on the findings, physicians may choose either medication depending on how a patient responds and the side effects they can endure.</w:t>
      </w:r>
    </w:p>
    <w:p w14:paraId="2A423D68" w14:textId="77777777" w:rsidR="00247B3D" w:rsidRPr="00247B3D" w:rsidRDefault="00247B3D" w:rsidP="00247B3D">
      <w:pPr>
        <w:jc w:val="both"/>
        <w:rPr>
          <w:rFonts w:cs="Times New Roman"/>
          <w:sz w:val="20"/>
          <w:szCs w:val="20"/>
        </w:rPr>
      </w:pPr>
      <w:r w:rsidRPr="00247B3D">
        <w:rPr>
          <w:rFonts w:cs="Times New Roman"/>
          <w:sz w:val="20"/>
          <w:szCs w:val="20"/>
        </w:rPr>
        <w:t xml:space="preserve">Consent </w:t>
      </w:r>
    </w:p>
    <w:p w14:paraId="5402DD4A" w14:textId="4A3A84B0" w:rsidR="00247B3D" w:rsidRDefault="00247B3D" w:rsidP="00247B3D">
      <w:pPr>
        <w:jc w:val="both"/>
        <w:rPr>
          <w:rFonts w:cs="Times New Roman"/>
          <w:sz w:val="20"/>
          <w:szCs w:val="20"/>
        </w:rPr>
      </w:pPr>
      <w:r w:rsidRPr="00247B3D">
        <w:rPr>
          <w:rFonts w:cs="Times New Roman"/>
          <w:sz w:val="20"/>
          <w:szCs w:val="20"/>
        </w:rPr>
        <w:t>As per international standards or university standards, patient(s) written consent has been collected and preserved by the author(s).</w:t>
      </w:r>
    </w:p>
    <w:p w14:paraId="66A9ED78" w14:textId="77777777" w:rsidR="00284D43" w:rsidRDefault="00284D43">
      <w:pPr>
        <w:jc w:val="both"/>
        <w:rPr>
          <w:rFonts w:cs="Times New Roman"/>
          <w:sz w:val="20"/>
          <w:szCs w:val="20"/>
        </w:rPr>
      </w:pPr>
    </w:p>
    <w:p w14:paraId="20080F54" w14:textId="77777777" w:rsidR="00284D43" w:rsidRPr="00D367DF" w:rsidRDefault="00E45E70">
      <w:pPr>
        <w:jc w:val="both"/>
        <w:rPr>
          <w:rFonts w:cs="Times New Roman"/>
          <w:b/>
          <w:color w:val="388600"/>
          <w:sz w:val="20"/>
          <w:szCs w:val="20"/>
        </w:rPr>
      </w:pPr>
      <w:r w:rsidRPr="00D367DF">
        <w:rPr>
          <w:rFonts w:cs="Times New Roman"/>
          <w:b/>
          <w:color w:val="388600"/>
          <w:sz w:val="20"/>
          <w:szCs w:val="20"/>
        </w:rPr>
        <w:t>Conflicts of Interest</w:t>
      </w:r>
    </w:p>
    <w:p w14:paraId="7040D138" w14:textId="77777777" w:rsidR="00284D43" w:rsidRDefault="00284D43">
      <w:pPr>
        <w:jc w:val="both"/>
        <w:rPr>
          <w:rFonts w:cs="Times New Roman"/>
          <w:sz w:val="20"/>
          <w:szCs w:val="20"/>
        </w:rPr>
      </w:pPr>
    </w:p>
    <w:p w14:paraId="01A74B08" w14:textId="77777777" w:rsidR="00284D43" w:rsidRDefault="00E45E70">
      <w:pPr>
        <w:jc w:val="both"/>
        <w:rPr>
          <w:rFonts w:cs="Times New Roman"/>
          <w:sz w:val="20"/>
          <w:szCs w:val="20"/>
        </w:rPr>
      </w:pPr>
      <w:r>
        <w:rPr>
          <w:rFonts w:cs="Times New Roman"/>
          <w:sz w:val="20"/>
          <w:szCs w:val="20"/>
        </w:rPr>
        <w:t>The authors declare no conflicts of interest.</w:t>
      </w:r>
    </w:p>
    <w:p w14:paraId="6151A5C3" w14:textId="77777777" w:rsidR="00284D43" w:rsidRDefault="00284D43">
      <w:pPr>
        <w:jc w:val="both"/>
        <w:rPr>
          <w:rFonts w:cs="Times New Roman"/>
          <w:sz w:val="20"/>
          <w:szCs w:val="20"/>
        </w:rPr>
      </w:pPr>
    </w:p>
    <w:p w14:paraId="25D461D8" w14:textId="77777777" w:rsidR="001F2B5F" w:rsidRPr="001F2B5F" w:rsidRDefault="001F2B5F" w:rsidP="001F2B5F">
      <w:pPr>
        <w:rPr>
          <w:highlight w:val="yellow"/>
        </w:rPr>
      </w:pPr>
      <w:r w:rsidRPr="001F2B5F">
        <w:rPr>
          <w:highlight w:val="yellow"/>
        </w:rPr>
        <w:t>Disclaimer (Artificial intelligence)</w:t>
      </w:r>
    </w:p>
    <w:p w14:paraId="5FBA6FFC" w14:textId="77777777" w:rsidR="001F2B5F" w:rsidRPr="001F2B5F" w:rsidRDefault="001F2B5F" w:rsidP="001F2B5F">
      <w:pPr>
        <w:rPr>
          <w:highlight w:val="yellow"/>
        </w:rPr>
      </w:pPr>
      <w:r w:rsidRPr="001F2B5F">
        <w:rPr>
          <w:highlight w:val="yellow"/>
        </w:rPr>
        <w:t xml:space="preserve">Option 1: </w:t>
      </w:r>
    </w:p>
    <w:p w14:paraId="0E67128E" w14:textId="77777777" w:rsidR="001F2B5F" w:rsidRPr="001F2B5F" w:rsidRDefault="001F2B5F" w:rsidP="001F2B5F">
      <w:pPr>
        <w:rPr>
          <w:highlight w:val="yellow"/>
        </w:rPr>
      </w:pPr>
      <w:r w:rsidRPr="001F2B5F">
        <w:rPr>
          <w:highlight w:val="yellow"/>
        </w:rPr>
        <w:t xml:space="preserve">Author(s) hereby </w:t>
      </w:r>
      <w:proofErr w:type="gramStart"/>
      <w:r w:rsidRPr="001F2B5F">
        <w:rPr>
          <w:highlight w:val="yellow"/>
        </w:rPr>
        <w:t>declare</w:t>
      </w:r>
      <w:proofErr w:type="gramEnd"/>
      <w:r w:rsidRPr="001F2B5F">
        <w:rPr>
          <w:highlight w:val="yellow"/>
        </w:rPr>
        <w:t xml:space="preserve"> that NO generative AI technologies such as Large Language Models (ChatGPT, COPILOT, etc.) and text-to-image generators have been used during the writing or editing of this manuscript. </w:t>
      </w:r>
    </w:p>
    <w:p w14:paraId="233F9CAB" w14:textId="77777777" w:rsidR="001F2B5F" w:rsidRPr="001F2B5F" w:rsidRDefault="001F2B5F" w:rsidP="001F2B5F">
      <w:pPr>
        <w:rPr>
          <w:highlight w:val="yellow"/>
        </w:rPr>
      </w:pPr>
      <w:r w:rsidRPr="001F2B5F">
        <w:rPr>
          <w:highlight w:val="yellow"/>
        </w:rPr>
        <w:t xml:space="preserve">Option 2: </w:t>
      </w:r>
    </w:p>
    <w:p w14:paraId="5A69FFBF" w14:textId="77777777" w:rsidR="001F2B5F" w:rsidRPr="001F2B5F" w:rsidRDefault="001F2B5F" w:rsidP="001F2B5F">
      <w:pPr>
        <w:rPr>
          <w:highlight w:val="yellow"/>
        </w:rPr>
      </w:pPr>
      <w:r w:rsidRPr="001F2B5F">
        <w:rPr>
          <w:highlight w:val="yellow"/>
        </w:rPr>
        <w:t xml:space="preserve">Author(s) hereby </w:t>
      </w:r>
      <w:proofErr w:type="gramStart"/>
      <w:r w:rsidRPr="001F2B5F">
        <w:rPr>
          <w:highlight w:val="yellow"/>
        </w:rPr>
        <w:t>declare</w:t>
      </w:r>
      <w:proofErr w:type="gramEnd"/>
      <w:r w:rsidRPr="001F2B5F">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8521FF" w14:textId="77777777" w:rsidR="001F2B5F" w:rsidRPr="001F2B5F" w:rsidRDefault="001F2B5F" w:rsidP="001F2B5F">
      <w:pPr>
        <w:rPr>
          <w:highlight w:val="yellow"/>
        </w:rPr>
      </w:pPr>
      <w:r w:rsidRPr="001F2B5F">
        <w:rPr>
          <w:highlight w:val="yellow"/>
        </w:rPr>
        <w:t>Details of the AI usage are given below:</w:t>
      </w:r>
    </w:p>
    <w:p w14:paraId="217604C9" w14:textId="77777777" w:rsidR="001F2B5F" w:rsidRPr="001F2B5F" w:rsidRDefault="001F2B5F" w:rsidP="001F2B5F">
      <w:pPr>
        <w:rPr>
          <w:highlight w:val="yellow"/>
        </w:rPr>
      </w:pPr>
      <w:r w:rsidRPr="001F2B5F">
        <w:rPr>
          <w:highlight w:val="yellow"/>
        </w:rPr>
        <w:t>1.</w:t>
      </w:r>
    </w:p>
    <w:p w14:paraId="47A261FE" w14:textId="77777777" w:rsidR="001F2B5F" w:rsidRPr="001F2B5F" w:rsidRDefault="001F2B5F" w:rsidP="001F2B5F">
      <w:pPr>
        <w:rPr>
          <w:highlight w:val="yellow"/>
        </w:rPr>
      </w:pPr>
      <w:r w:rsidRPr="001F2B5F">
        <w:rPr>
          <w:highlight w:val="yellow"/>
        </w:rPr>
        <w:t>2.</w:t>
      </w:r>
    </w:p>
    <w:p w14:paraId="3B963859" w14:textId="77777777" w:rsidR="001F2B5F" w:rsidRPr="0053103C" w:rsidRDefault="001F2B5F" w:rsidP="001F2B5F">
      <w:r w:rsidRPr="001F2B5F">
        <w:rPr>
          <w:highlight w:val="yellow"/>
        </w:rPr>
        <w:t>3.</w:t>
      </w:r>
    </w:p>
    <w:p w14:paraId="09F624C9" w14:textId="77777777" w:rsidR="00284D43" w:rsidRDefault="00284D43">
      <w:pPr>
        <w:rPr>
          <w:rFonts w:cs="Times New Roman"/>
          <w:sz w:val="20"/>
          <w:szCs w:val="20"/>
        </w:rPr>
      </w:pPr>
    </w:p>
    <w:p w14:paraId="42EDF34F" w14:textId="77777777" w:rsidR="00284D43" w:rsidRPr="00D367DF" w:rsidRDefault="00E45E70">
      <w:pPr>
        <w:rPr>
          <w:rFonts w:cs="Times New Roman"/>
          <w:b/>
          <w:color w:val="388600"/>
          <w:sz w:val="20"/>
          <w:szCs w:val="20"/>
        </w:rPr>
      </w:pPr>
      <w:r w:rsidRPr="00D367DF">
        <w:rPr>
          <w:rFonts w:cs="Times New Roman"/>
          <w:b/>
          <w:color w:val="388600"/>
          <w:sz w:val="20"/>
          <w:szCs w:val="20"/>
        </w:rPr>
        <w:t>REFERENCES</w:t>
      </w:r>
    </w:p>
    <w:p w14:paraId="3D9BFD32" w14:textId="77777777" w:rsidR="00284D43" w:rsidRDefault="00284D43">
      <w:pPr>
        <w:rPr>
          <w:rFonts w:cs="Times New Roman"/>
          <w:sz w:val="20"/>
          <w:szCs w:val="20"/>
        </w:rPr>
      </w:pPr>
    </w:p>
    <w:p w14:paraId="244D4114" w14:textId="77777777" w:rsidR="00284D43" w:rsidRDefault="00E45E70">
      <w:pPr>
        <w:pStyle w:val="ListParagraph"/>
        <w:numPr>
          <w:ilvl w:val="0"/>
          <w:numId w:val="4"/>
        </w:numPr>
        <w:ind w:left="540" w:hanging="540"/>
        <w:jc w:val="both"/>
        <w:rPr>
          <w:sz w:val="20"/>
          <w:szCs w:val="20"/>
        </w:rPr>
      </w:pPr>
      <w:proofErr w:type="spellStart"/>
      <w:r>
        <w:rPr>
          <w:sz w:val="20"/>
          <w:szCs w:val="20"/>
        </w:rPr>
        <w:t>Pirbhat</w:t>
      </w:r>
      <w:proofErr w:type="spellEnd"/>
      <w:r>
        <w:rPr>
          <w:sz w:val="20"/>
          <w:szCs w:val="20"/>
        </w:rPr>
        <w:t xml:space="preserve"> Shams, A. M. (2025). Heart Failure (Congestive Heart Failure). In Treasure Island (FL). </w:t>
      </w:r>
      <w:proofErr w:type="spellStart"/>
      <w:r>
        <w:rPr>
          <w:sz w:val="20"/>
          <w:szCs w:val="20"/>
        </w:rPr>
        <w:t>StatPearls</w:t>
      </w:r>
      <w:proofErr w:type="spellEnd"/>
      <w:r>
        <w:rPr>
          <w:sz w:val="20"/>
          <w:szCs w:val="20"/>
        </w:rPr>
        <w:t xml:space="preserve"> Publishing. Retrieved from </w:t>
      </w:r>
      <w:hyperlink r:id="rId10" w:history="1">
        <w:r>
          <w:rPr>
            <w:rStyle w:val="Hyperlink"/>
            <w:sz w:val="20"/>
            <w:szCs w:val="20"/>
          </w:rPr>
          <w:t>https://www.ncbi.nlm.nih.gov/books/NBK430873/</w:t>
        </w:r>
      </w:hyperlink>
    </w:p>
    <w:p w14:paraId="42C674E8" w14:textId="77777777" w:rsidR="00284D43" w:rsidRDefault="00E45E70">
      <w:pPr>
        <w:pStyle w:val="ListParagraph"/>
        <w:numPr>
          <w:ilvl w:val="0"/>
          <w:numId w:val="4"/>
        </w:numPr>
        <w:ind w:left="540" w:hanging="540"/>
        <w:jc w:val="both"/>
        <w:rPr>
          <w:sz w:val="20"/>
          <w:szCs w:val="20"/>
        </w:rPr>
      </w:pPr>
      <w:r>
        <w:rPr>
          <w:sz w:val="20"/>
          <w:szCs w:val="20"/>
        </w:rPr>
        <w:t>Gianluigi Savarese, P. M. (2023). Global burden of heart failure: a comprehensive and updated review of epidemiology. Cardiovasc Res., 118(17), 3272-3287. doi:10.1093/</w:t>
      </w:r>
      <w:proofErr w:type="spellStart"/>
      <w:r>
        <w:rPr>
          <w:sz w:val="20"/>
          <w:szCs w:val="20"/>
        </w:rPr>
        <w:t>cvr</w:t>
      </w:r>
      <w:proofErr w:type="spellEnd"/>
      <w:r>
        <w:rPr>
          <w:sz w:val="20"/>
          <w:szCs w:val="20"/>
        </w:rPr>
        <w:t>/cvac013</w:t>
      </w:r>
    </w:p>
    <w:p w14:paraId="527FBD8D" w14:textId="77777777" w:rsidR="00284D43" w:rsidRDefault="00E45E70">
      <w:pPr>
        <w:pStyle w:val="ListParagraph"/>
        <w:numPr>
          <w:ilvl w:val="0"/>
          <w:numId w:val="4"/>
        </w:numPr>
        <w:ind w:left="540" w:hanging="540"/>
        <w:jc w:val="both"/>
        <w:rPr>
          <w:sz w:val="20"/>
          <w:szCs w:val="20"/>
        </w:rPr>
      </w:pPr>
      <w:r>
        <w:rPr>
          <w:sz w:val="20"/>
          <w:szCs w:val="20"/>
        </w:rPr>
        <w:t xml:space="preserve">Sean P. Murphy, N. E. (2020). Heart Failure </w:t>
      </w:r>
      <w:proofErr w:type="gramStart"/>
      <w:r>
        <w:rPr>
          <w:sz w:val="20"/>
          <w:szCs w:val="20"/>
        </w:rPr>
        <w:t>With</w:t>
      </w:r>
      <w:proofErr w:type="gramEnd"/>
      <w:r>
        <w:rPr>
          <w:sz w:val="20"/>
          <w:szCs w:val="20"/>
        </w:rPr>
        <w:t xml:space="preserve"> Reduced Ejection Fraction: A Review. JAMA, 324(4), 488-504. doi:10.1001/jama.2020.10262</w:t>
      </w:r>
    </w:p>
    <w:p w14:paraId="099798D3" w14:textId="77777777" w:rsidR="00284D43" w:rsidRDefault="00E45E70">
      <w:pPr>
        <w:pStyle w:val="ListParagraph"/>
        <w:numPr>
          <w:ilvl w:val="0"/>
          <w:numId w:val="4"/>
        </w:numPr>
        <w:ind w:left="540" w:hanging="540"/>
        <w:jc w:val="both"/>
        <w:rPr>
          <w:sz w:val="20"/>
          <w:szCs w:val="20"/>
        </w:rPr>
      </w:pPr>
      <w:r>
        <w:rPr>
          <w:sz w:val="20"/>
          <w:szCs w:val="20"/>
        </w:rPr>
        <w:t xml:space="preserve">Petar M Seferovic, P. P. (2019). Clinical practice update on heart failure 2019: pharmacotherapy, procedures, devices and patient management. An expert consensus meeting report of the Heart Failure Association of the European Society of Cardiology. </w:t>
      </w:r>
      <w:proofErr w:type="spellStart"/>
      <w:r>
        <w:rPr>
          <w:sz w:val="20"/>
          <w:szCs w:val="20"/>
        </w:rPr>
        <w:t>Eur</w:t>
      </w:r>
      <w:proofErr w:type="spellEnd"/>
      <w:r>
        <w:rPr>
          <w:sz w:val="20"/>
          <w:szCs w:val="20"/>
        </w:rPr>
        <w:t xml:space="preserve"> J Heart Fail., 21(10), 1169-1186. doi:10.1002/ejhf.1531</w:t>
      </w:r>
    </w:p>
    <w:p w14:paraId="17CE9EE3" w14:textId="77777777" w:rsidR="00284D43" w:rsidRDefault="00E45E70">
      <w:pPr>
        <w:pStyle w:val="ListParagraph"/>
        <w:numPr>
          <w:ilvl w:val="0"/>
          <w:numId w:val="4"/>
        </w:numPr>
        <w:ind w:left="540" w:hanging="540"/>
        <w:jc w:val="both"/>
        <w:rPr>
          <w:sz w:val="20"/>
          <w:szCs w:val="20"/>
        </w:rPr>
      </w:pPr>
      <w:r>
        <w:rPr>
          <w:sz w:val="20"/>
          <w:szCs w:val="20"/>
        </w:rPr>
        <w:t>Clyde W Yancy, M. J. (2017). 2017 ACC/AHA/HFSA Focused Update of the 2013 ACCF/AHA Guideline for the Management of Heart Failure: A Report of the American College of Cardiology/American Heart Association Task Force on Clinical Practice Guidelines and the Heart Failure Society of Amer. Circulation., 136(6), e137-e161. doi:10.1161/CIR.0000000000000509</w:t>
      </w:r>
    </w:p>
    <w:p w14:paraId="6CB221D6" w14:textId="77777777" w:rsidR="00284D43" w:rsidRDefault="00E45E70">
      <w:pPr>
        <w:pStyle w:val="ListParagraph"/>
        <w:numPr>
          <w:ilvl w:val="0"/>
          <w:numId w:val="4"/>
        </w:numPr>
        <w:ind w:left="540" w:hanging="540"/>
        <w:jc w:val="both"/>
        <w:rPr>
          <w:sz w:val="20"/>
          <w:szCs w:val="20"/>
        </w:rPr>
      </w:pPr>
      <w:r>
        <w:rPr>
          <w:sz w:val="20"/>
          <w:szCs w:val="20"/>
        </w:rPr>
        <w:t>John J V McMurray, M. P.-H. (2014). Angiotensin-neprilysin inhibition versus enalapril in heart failure. N Engl J Med., 371(11), 993-1004. doi:10.1056/NEJMoa1409077</w:t>
      </w:r>
    </w:p>
    <w:p w14:paraId="08C8F180" w14:textId="77777777" w:rsidR="00284D43" w:rsidRDefault="00E45E70">
      <w:pPr>
        <w:pStyle w:val="ListParagraph"/>
        <w:numPr>
          <w:ilvl w:val="0"/>
          <w:numId w:val="4"/>
        </w:numPr>
        <w:ind w:left="540" w:hanging="540"/>
        <w:jc w:val="both"/>
        <w:rPr>
          <w:sz w:val="20"/>
          <w:szCs w:val="20"/>
        </w:rPr>
      </w:pPr>
      <w:r>
        <w:rPr>
          <w:sz w:val="20"/>
          <w:szCs w:val="20"/>
        </w:rPr>
        <w:t xml:space="preserve">Lauren Gilstrap, R. J. (2022). Sacubitril/valsartan vs </w:t>
      </w:r>
      <w:proofErr w:type="spellStart"/>
      <w:r>
        <w:rPr>
          <w:sz w:val="20"/>
          <w:szCs w:val="20"/>
        </w:rPr>
        <w:t>ACEi</w:t>
      </w:r>
      <w:proofErr w:type="spellEnd"/>
      <w:r>
        <w:rPr>
          <w:sz w:val="20"/>
          <w:szCs w:val="20"/>
        </w:rPr>
        <w:t>/ARB at hospital discharge and 5-year survival in older patients with heart failure with reduced ejection fraction: A decision analysis approach. Am Heart J., 250, 23-28. doi:10.1016/j.ahj.2022.04.007</w:t>
      </w:r>
    </w:p>
    <w:p w14:paraId="6471AA3D" w14:textId="586F6DB0" w:rsidR="009030DC" w:rsidRPr="004227FD" w:rsidRDefault="009030DC" w:rsidP="009030DC">
      <w:pPr>
        <w:pStyle w:val="ListParagraph"/>
        <w:numPr>
          <w:ilvl w:val="0"/>
          <w:numId w:val="4"/>
        </w:numPr>
        <w:ind w:left="540" w:hanging="540"/>
        <w:jc w:val="both"/>
        <w:rPr>
          <w:sz w:val="20"/>
          <w:szCs w:val="20"/>
          <w:highlight w:val="yellow"/>
        </w:rPr>
      </w:pPr>
      <w:r w:rsidRPr="004227FD">
        <w:rPr>
          <w:sz w:val="20"/>
          <w:szCs w:val="20"/>
          <w:highlight w:val="yellow"/>
        </w:rPr>
        <w:t>Balraj S Heran, V. M. (2012). Angiotensin receptor blockers for heart failure. Cochrane Database Syst Rev., 4, CD003040. doi:10.1002/14651858.CD003040.pub2</w:t>
      </w:r>
    </w:p>
    <w:p w14:paraId="319F4B1D" w14:textId="6C5C629D" w:rsidR="009030DC" w:rsidRPr="004227FD" w:rsidRDefault="009030DC" w:rsidP="004227FD">
      <w:pPr>
        <w:pStyle w:val="ListParagraph"/>
        <w:numPr>
          <w:ilvl w:val="0"/>
          <w:numId w:val="4"/>
        </w:numPr>
        <w:ind w:left="540" w:hanging="540"/>
        <w:rPr>
          <w:sz w:val="20"/>
          <w:szCs w:val="20"/>
          <w:highlight w:val="yellow"/>
        </w:rPr>
      </w:pPr>
      <w:r w:rsidRPr="004227FD">
        <w:rPr>
          <w:sz w:val="20"/>
          <w:szCs w:val="20"/>
          <w:highlight w:val="yellow"/>
        </w:rPr>
        <w:t>Domingo Pascual-</w:t>
      </w:r>
      <w:proofErr w:type="spellStart"/>
      <w:r w:rsidRPr="004227FD">
        <w:rPr>
          <w:sz w:val="20"/>
          <w:szCs w:val="20"/>
          <w:highlight w:val="yellow"/>
        </w:rPr>
        <w:t>Figal</w:t>
      </w:r>
      <w:proofErr w:type="spellEnd"/>
      <w:r w:rsidRPr="004227FD">
        <w:rPr>
          <w:sz w:val="20"/>
          <w:szCs w:val="20"/>
          <w:highlight w:val="yellow"/>
        </w:rPr>
        <w:t xml:space="preserve">, A. B.-G.-T.-P.-M.-L. (2021). Sacubitril-Valsartan, Clinical Benefits and Related Mechanisms of Action in Heart Failure </w:t>
      </w:r>
      <w:proofErr w:type="gramStart"/>
      <w:r w:rsidRPr="004227FD">
        <w:rPr>
          <w:sz w:val="20"/>
          <w:szCs w:val="20"/>
          <w:highlight w:val="yellow"/>
        </w:rPr>
        <w:t>With</w:t>
      </w:r>
      <w:proofErr w:type="gramEnd"/>
      <w:r w:rsidRPr="004227FD">
        <w:rPr>
          <w:sz w:val="20"/>
          <w:szCs w:val="20"/>
          <w:highlight w:val="yellow"/>
        </w:rPr>
        <w:t xml:space="preserve"> Reduced Ejection Fraction. A Review. Front Cardiovasc Med., 8, 754499. doi:10.3389/fcvm.2021.754499</w:t>
      </w:r>
    </w:p>
    <w:p w14:paraId="1FE57E90" w14:textId="77777777" w:rsidR="00284D43" w:rsidRDefault="00E45E70">
      <w:pPr>
        <w:pStyle w:val="ListParagraph"/>
        <w:numPr>
          <w:ilvl w:val="0"/>
          <w:numId w:val="4"/>
        </w:numPr>
        <w:ind w:left="540" w:hanging="540"/>
        <w:jc w:val="both"/>
        <w:rPr>
          <w:sz w:val="20"/>
          <w:szCs w:val="20"/>
        </w:rPr>
      </w:pPr>
      <w:r>
        <w:rPr>
          <w:sz w:val="20"/>
          <w:szCs w:val="20"/>
        </w:rPr>
        <w:t xml:space="preserve">Vishal N. Rao, A. S. (2024). Optimal Medical Therapy and Outcomes Among Patients </w:t>
      </w:r>
      <w:proofErr w:type="gramStart"/>
      <w:r>
        <w:rPr>
          <w:sz w:val="20"/>
          <w:szCs w:val="20"/>
        </w:rPr>
        <w:t>With</w:t>
      </w:r>
      <w:proofErr w:type="gramEnd"/>
      <w:r>
        <w:rPr>
          <w:sz w:val="20"/>
          <w:szCs w:val="20"/>
        </w:rPr>
        <w:t xml:space="preserve"> Chronic Heart Failure </w:t>
      </w:r>
      <w:proofErr w:type="gramStart"/>
      <w:r>
        <w:rPr>
          <w:sz w:val="20"/>
          <w:szCs w:val="20"/>
        </w:rPr>
        <w:t>With</w:t>
      </w:r>
      <w:proofErr w:type="gramEnd"/>
      <w:r>
        <w:rPr>
          <w:sz w:val="20"/>
          <w:szCs w:val="20"/>
        </w:rPr>
        <w:t xml:space="preserve"> Reduced Ejection Fraction. J Am Coll </w:t>
      </w:r>
      <w:proofErr w:type="spellStart"/>
      <w:r>
        <w:rPr>
          <w:sz w:val="20"/>
          <w:szCs w:val="20"/>
        </w:rPr>
        <w:t>Cardiol</w:t>
      </w:r>
      <w:proofErr w:type="spellEnd"/>
      <w:r>
        <w:rPr>
          <w:sz w:val="20"/>
          <w:szCs w:val="20"/>
        </w:rPr>
        <w:t xml:space="preserve"> HF., 12(11), 1862–1875. </w:t>
      </w:r>
      <w:proofErr w:type="spellStart"/>
      <w:r>
        <w:rPr>
          <w:sz w:val="20"/>
          <w:szCs w:val="20"/>
        </w:rPr>
        <w:t>doi:https</w:t>
      </w:r>
      <w:proofErr w:type="spellEnd"/>
      <w:r>
        <w:rPr>
          <w:sz w:val="20"/>
          <w:szCs w:val="20"/>
        </w:rPr>
        <w:t>://www.jacc.org/doi/10.1016/j.jchf.2024.05.026</w:t>
      </w:r>
    </w:p>
    <w:p w14:paraId="42352398" w14:textId="77777777" w:rsidR="00284D43" w:rsidRDefault="00E45E70">
      <w:pPr>
        <w:pStyle w:val="ListParagraph"/>
        <w:numPr>
          <w:ilvl w:val="0"/>
          <w:numId w:val="4"/>
        </w:numPr>
        <w:ind w:left="540" w:hanging="540"/>
        <w:jc w:val="both"/>
        <w:rPr>
          <w:sz w:val="20"/>
          <w:szCs w:val="20"/>
        </w:rPr>
      </w:pPr>
      <w:proofErr w:type="spellStart"/>
      <w:r>
        <w:rPr>
          <w:sz w:val="20"/>
          <w:szCs w:val="20"/>
        </w:rPr>
        <w:t>Zhaowei</w:t>
      </w:r>
      <w:proofErr w:type="spellEnd"/>
      <w:r>
        <w:rPr>
          <w:sz w:val="20"/>
          <w:szCs w:val="20"/>
        </w:rPr>
        <w:t xml:space="preserve"> Zhang, S. C. (2024). Comparison of the Efficacy and Safety of Sacubitril/Valsartan and Angiotensin-Converting Enzyme Inhibitors/Angiotensin Receptor Blockers in Patients </w:t>
      </w:r>
      <w:proofErr w:type="gramStart"/>
      <w:r>
        <w:rPr>
          <w:sz w:val="20"/>
          <w:szCs w:val="20"/>
        </w:rPr>
        <w:t>With</w:t>
      </w:r>
      <w:proofErr w:type="gramEnd"/>
      <w:r>
        <w:rPr>
          <w:sz w:val="20"/>
          <w:szCs w:val="20"/>
        </w:rPr>
        <w:t xml:space="preserve"> Reduced Ejection Fraction Combined </w:t>
      </w:r>
      <w:proofErr w:type="gramStart"/>
      <w:r>
        <w:rPr>
          <w:sz w:val="20"/>
          <w:szCs w:val="20"/>
        </w:rPr>
        <w:t>With</w:t>
      </w:r>
      <w:proofErr w:type="gramEnd"/>
      <w:r>
        <w:rPr>
          <w:sz w:val="20"/>
          <w:szCs w:val="20"/>
        </w:rPr>
        <w:t xml:space="preserve"> Moderate-to-Severe Chronic Kidney Disease. J Cardiovasc </w:t>
      </w:r>
      <w:proofErr w:type="spellStart"/>
      <w:r>
        <w:rPr>
          <w:sz w:val="20"/>
          <w:szCs w:val="20"/>
        </w:rPr>
        <w:t>Pharmacol</w:t>
      </w:r>
      <w:proofErr w:type="spellEnd"/>
      <w:r>
        <w:rPr>
          <w:sz w:val="20"/>
          <w:szCs w:val="20"/>
        </w:rPr>
        <w:t xml:space="preserve"> Ther., 29. doi:10.1177/10742484241265337</w:t>
      </w:r>
    </w:p>
    <w:p w14:paraId="0BA34A6D" w14:textId="77777777" w:rsidR="00284D43" w:rsidRDefault="00E45E70">
      <w:pPr>
        <w:pStyle w:val="ListParagraph"/>
        <w:numPr>
          <w:ilvl w:val="0"/>
          <w:numId w:val="4"/>
        </w:numPr>
        <w:ind w:left="540" w:hanging="540"/>
        <w:jc w:val="both"/>
        <w:rPr>
          <w:sz w:val="20"/>
          <w:szCs w:val="20"/>
        </w:rPr>
      </w:pPr>
      <w:r>
        <w:rPr>
          <w:sz w:val="20"/>
          <w:szCs w:val="20"/>
        </w:rPr>
        <w:t xml:space="preserve">Diala Nicolas, C. C. (2024). Sacubitril-Valsartan. In Treasure Island (FL). </w:t>
      </w:r>
      <w:proofErr w:type="spellStart"/>
      <w:r>
        <w:rPr>
          <w:sz w:val="20"/>
          <w:szCs w:val="20"/>
        </w:rPr>
        <w:t>StatPearls</w:t>
      </w:r>
      <w:proofErr w:type="spellEnd"/>
      <w:r>
        <w:rPr>
          <w:sz w:val="20"/>
          <w:szCs w:val="20"/>
        </w:rPr>
        <w:t xml:space="preserve"> Publishing. Retrieved from </w:t>
      </w:r>
      <w:hyperlink r:id="rId11" w:history="1">
        <w:r>
          <w:rPr>
            <w:rStyle w:val="Hyperlink"/>
            <w:sz w:val="20"/>
            <w:szCs w:val="20"/>
          </w:rPr>
          <w:t>https://www.ncbi.nlm.nih.gov/books/NBK507904/</w:t>
        </w:r>
      </w:hyperlink>
    </w:p>
    <w:p w14:paraId="126AE0A9" w14:textId="77777777" w:rsidR="00284D43" w:rsidRDefault="00E45E70">
      <w:pPr>
        <w:pStyle w:val="ListParagraph"/>
        <w:numPr>
          <w:ilvl w:val="0"/>
          <w:numId w:val="4"/>
        </w:numPr>
        <w:ind w:left="540" w:hanging="540"/>
        <w:jc w:val="both"/>
        <w:rPr>
          <w:sz w:val="20"/>
          <w:szCs w:val="20"/>
        </w:rPr>
      </w:pPr>
      <w:r w:rsidRPr="002D00D5">
        <w:rPr>
          <w:sz w:val="20"/>
          <w:szCs w:val="20"/>
          <w:lang w:val="nl-BE"/>
        </w:rPr>
        <w:t xml:space="preserve">Linda L. Herman, S. A. (2023). </w:t>
      </w:r>
      <w:r>
        <w:rPr>
          <w:sz w:val="20"/>
          <w:szCs w:val="20"/>
        </w:rPr>
        <w:t xml:space="preserve">Angiotensin-Converting Enzyme Inhibitors (ACEI). In Treasure Island (FL). </w:t>
      </w:r>
      <w:proofErr w:type="spellStart"/>
      <w:r>
        <w:rPr>
          <w:sz w:val="20"/>
          <w:szCs w:val="20"/>
        </w:rPr>
        <w:t>StatPearls</w:t>
      </w:r>
      <w:proofErr w:type="spellEnd"/>
      <w:r>
        <w:rPr>
          <w:sz w:val="20"/>
          <w:szCs w:val="20"/>
        </w:rPr>
        <w:t xml:space="preserve"> Publishing. Retrieved from </w:t>
      </w:r>
      <w:hyperlink r:id="rId12" w:history="1">
        <w:r>
          <w:rPr>
            <w:rStyle w:val="Hyperlink"/>
            <w:sz w:val="20"/>
            <w:szCs w:val="20"/>
          </w:rPr>
          <w:t>https://www.ncbi.nlm.nih.gov/books/NBK431051/</w:t>
        </w:r>
      </w:hyperlink>
    </w:p>
    <w:p w14:paraId="29397B8D" w14:textId="77777777" w:rsidR="00284D43" w:rsidRDefault="00E45E70">
      <w:pPr>
        <w:pStyle w:val="ListParagraph"/>
        <w:numPr>
          <w:ilvl w:val="0"/>
          <w:numId w:val="4"/>
        </w:numPr>
        <w:ind w:left="540" w:hanging="540"/>
        <w:jc w:val="both"/>
        <w:rPr>
          <w:sz w:val="20"/>
          <w:szCs w:val="20"/>
        </w:rPr>
      </w:pPr>
      <w:r>
        <w:rPr>
          <w:sz w:val="20"/>
          <w:szCs w:val="20"/>
        </w:rPr>
        <w:t xml:space="preserve">Megan Watson, Z. D. (2019). Relation Between Cigarette Smoking and Heart Failure (From the Multi-Ethnic Study of </w:t>
      </w:r>
      <w:r>
        <w:rPr>
          <w:sz w:val="20"/>
          <w:szCs w:val="20"/>
        </w:rPr>
        <w:lastRenderedPageBreak/>
        <w:t xml:space="preserve">Atherosclerosis). Am J </w:t>
      </w:r>
      <w:proofErr w:type="spellStart"/>
      <w:r>
        <w:rPr>
          <w:sz w:val="20"/>
          <w:szCs w:val="20"/>
        </w:rPr>
        <w:t>Cardiol</w:t>
      </w:r>
      <w:proofErr w:type="spellEnd"/>
      <w:r>
        <w:rPr>
          <w:sz w:val="20"/>
          <w:szCs w:val="20"/>
        </w:rPr>
        <w:t>., 123(12), 1972–1977. doi:10.1016/j.amjcard.2019.03.015</w:t>
      </w:r>
    </w:p>
    <w:p w14:paraId="1D45A6FE" w14:textId="77777777" w:rsidR="00284D43" w:rsidRDefault="00E45E70">
      <w:pPr>
        <w:pStyle w:val="ListParagraph"/>
        <w:numPr>
          <w:ilvl w:val="0"/>
          <w:numId w:val="4"/>
        </w:numPr>
        <w:ind w:left="540" w:hanging="540"/>
        <w:jc w:val="both"/>
        <w:rPr>
          <w:sz w:val="20"/>
          <w:szCs w:val="20"/>
        </w:rPr>
      </w:pPr>
      <w:r w:rsidRPr="002D00D5">
        <w:rPr>
          <w:sz w:val="20"/>
          <w:szCs w:val="20"/>
          <w:lang w:val="nl-BE"/>
        </w:rPr>
        <w:t xml:space="preserve">Søren L. Kristensen, D. P. (2016). </w:t>
      </w:r>
      <w:r>
        <w:rPr>
          <w:sz w:val="20"/>
          <w:szCs w:val="20"/>
        </w:rPr>
        <w:t xml:space="preserve">Risk Related to Pre–Diabetes Mellitus and Diabetes Mellitus in Heart Failure With Reduced Ejection Fraction: Insights From Prospective Comparison of ARNI With ACEI to Determine Impact on Global Mortality and Morbidity in Heart Failure Trial. American Heart Association, 9(1). </w:t>
      </w:r>
      <w:proofErr w:type="spellStart"/>
      <w:r>
        <w:rPr>
          <w:sz w:val="20"/>
          <w:szCs w:val="20"/>
        </w:rPr>
        <w:t>doi:https</w:t>
      </w:r>
      <w:proofErr w:type="spellEnd"/>
      <w:r>
        <w:rPr>
          <w:sz w:val="20"/>
          <w:szCs w:val="20"/>
        </w:rPr>
        <w:t>://doi.org/10.1161/CIRCHEARTFAILURE.115.002560</w:t>
      </w:r>
    </w:p>
    <w:p w14:paraId="14241ECA" w14:textId="77777777" w:rsidR="00284D43" w:rsidRDefault="00E45E70">
      <w:pPr>
        <w:pStyle w:val="ListParagraph"/>
        <w:numPr>
          <w:ilvl w:val="0"/>
          <w:numId w:val="4"/>
        </w:numPr>
        <w:ind w:left="540" w:hanging="540"/>
        <w:jc w:val="both"/>
        <w:rPr>
          <w:sz w:val="20"/>
          <w:szCs w:val="20"/>
        </w:rPr>
      </w:pPr>
      <w:r>
        <w:rPr>
          <w:sz w:val="20"/>
          <w:szCs w:val="20"/>
        </w:rPr>
        <w:t xml:space="preserve">Michael Böhm, R. Y. (2017). Systolic blood pressure, cardiovascular outcomes and efficacy and safety of sacubitril/valsartan (LCZ696) in patients with chronic heart failure and reduced ejection fraction: results from PARADIGM-HF. </w:t>
      </w:r>
      <w:proofErr w:type="spellStart"/>
      <w:r>
        <w:rPr>
          <w:sz w:val="20"/>
          <w:szCs w:val="20"/>
        </w:rPr>
        <w:t>Eur</w:t>
      </w:r>
      <w:proofErr w:type="spellEnd"/>
      <w:r>
        <w:rPr>
          <w:sz w:val="20"/>
          <w:szCs w:val="20"/>
        </w:rPr>
        <w:t xml:space="preserve"> Heart J., 38(15), 1132–1143. doi:10.1093/</w:t>
      </w:r>
      <w:proofErr w:type="spellStart"/>
      <w:r>
        <w:rPr>
          <w:sz w:val="20"/>
          <w:szCs w:val="20"/>
        </w:rPr>
        <w:t>eurheartj</w:t>
      </w:r>
      <w:proofErr w:type="spellEnd"/>
      <w:r>
        <w:rPr>
          <w:sz w:val="20"/>
          <w:szCs w:val="20"/>
        </w:rPr>
        <w:t>/ehw570</w:t>
      </w:r>
    </w:p>
    <w:p w14:paraId="48BDEDEB" w14:textId="77777777" w:rsidR="00284D43" w:rsidRDefault="00E45E70">
      <w:pPr>
        <w:pStyle w:val="ListParagraph"/>
        <w:numPr>
          <w:ilvl w:val="0"/>
          <w:numId w:val="4"/>
        </w:numPr>
        <w:ind w:left="540" w:hanging="540"/>
        <w:jc w:val="both"/>
        <w:rPr>
          <w:sz w:val="20"/>
          <w:szCs w:val="20"/>
        </w:rPr>
      </w:pPr>
      <w:r>
        <w:rPr>
          <w:sz w:val="20"/>
          <w:szCs w:val="20"/>
        </w:rPr>
        <w:t xml:space="preserve">Ching-Chang Fang, Y. T. (2023). Combined Left Ventricular Ejection Fraction and N-Terminal pro-B-type Natriuretic Peptide after Sacubitril/Valsartan for Predicting Outcomes in Patients with Heart Failure with Reduced Ejection Fraction. Acta </w:t>
      </w:r>
      <w:proofErr w:type="spellStart"/>
      <w:r>
        <w:rPr>
          <w:sz w:val="20"/>
          <w:szCs w:val="20"/>
        </w:rPr>
        <w:t>Cardiol</w:t>
      </w:r>
      <w:proofErr w:type="spellEnd"/>
      <w:r>
        <w:rPr>
          <w:sz w:val="20"/>
          <w:szCs w:val="20"/>
        </w:rPr>
        <w:t xml:space="preserve"> Sin., 39(2), 297–308. doi:10.6515/ACS.202303_39(2).20220926A</w:t>
      </w:r>
    </w:p>
    <w:p w14:paraId="47DE17A2" w14:textId="77777777" w:rsidR="00284D43" w:rsidRDefault="00E45E70">
      <w:pPr>
        <w:pStyle w:val="ListParagraph"/>
        <w:numPr>
          <w:ilvl w:val="0"/>
          <w:numId w:val="4"/>
        </w:numPr>
        <w:ind w:left="540" w:hanging="540"/>
        <w:jc w:val="both"/>
        <w:rPr>
          <w:sz w:val="20"/>
          <w:szCs w:val="20"/>
        </w:rPr>
      </w:pPr>
      <w:r>
        <w:rPr>
          <w:sz w:val="20"/>
          <w:szCs w:val="20"/>
        </w:rPr>
        <w:t xml:space="preserve">Reza Mohebi, Y. L. (2023). Prediction of Left Ventricular Ejection Fraction Change Following Treatment </w:t>
      </w:r>
      <w:proofErr w:type="gramStart"/>
      <w:r>
        <w:rPr>
          <w:sz w:val="20"/>
          <w:szCs w:val="20"/>
        </w:rPr>
        <w:t>With</w:t>
      </w:r>
      <w:proofErr w:type="gramEnd"/>
      <w:r>
        <w:rPr>
          <w:sz w:val="20"/>
          <w:szCs w:val="20"/>
        </w:rPr>
        <w:t xml:space="preserve"> Sacubitril/Valsartan. JACC: Heart Failure, 11(1), 44-45. </w:t>
      </w:r>
      <w:proofErr w:type="spellStart"/>
      <w:r>
        <w:rPr>
          <w:sz w:val="20"/>
          <w:szCs w:val="20"/>
        </w:rPr>
        <w:t>doi:https</w:t>
      </w:r>
      <w:proofErr w:type="spellEnd"/>
      <w:r>
        <w:rPr>
          <w:sz w:val="20"/>
          <w:szCs w:val="20"/>
        </w:rPr>
        <w:t>://doi.org/10.1016/j.jchf.2022.09.009</w:t>
      </w:r>
    </w:p>
    <w:p w14:paraId="2E3D6EA8" w14:textId="77777777" w:rsidR="00284D43" w:rsidRDefault="00E45E70">
      <w:pPr>
        <w:pStyle w:val="ListParagraph"/>
        <w:numPr>
          <w:ilvl w:val="0"/>
          <w:numId w:val="4"/>
        </w:numPr>
        <w:ind w:left="540" w:hanging="540"/>
        <w:jc w:val="both"/>
        <w:rPr>
          <w:sz w:val="20"/>
          <w:szCs w:val="20"/>
        </w:rPr>
      </w:pPr>
      <w:r>
        <w:rPr>
          <w:sz w:val="20"/>
          <w:szCs w:val="20"/>
        </w:rPr>
        <w:t xml:space="preserve">James Louis Januzzi, J. B. (2018). Rationale and methods of the Prospective Study of Biomarkers, Symptom Improvement, and Ventricular Remodeling During Sacubitril/Valsartan Therapy for Heart Failure (PROVE-HF). American Heart Journal, 199, 130-136. </w:t>
      </w:r>
      <w:proofErr w:type="spellStart"/>
      <w:r>
        <w:rPr>
          <w:sz w:val="20"/>
          <w:szCs w:val="20"/>
        </w:rPr>
        <w:t>doi:https</w:t>
      </w:r>
      <w:proofErr w:type="spellEnd"/>
      <w:r>
        <w:rPr>
          <w:sz w:val="20"/>
          <w:szCs w:val="20"/>
        </w:rPr>
        <w:t>://doi.org/10.1016/j.ahj.2017.12.021</w:t>
      </w:r>
    </w:p>
    <w:p w14:paraId="05CADD7B" w14:textId="77777777" w:rsidR="00284D43" w:rsidRDefault="00E45E70">
      <w:pPr>
        <w:pStyle w:val="ListParagraph"/>
        <w:numPr>
          <w:ilvl w:val="0"/>
          <w:numId w:val="4"/>
        </w:numPr>
        <w:ind w:left="540" w:hanging="540"/>
        <w:jc w:val="both"/>
        <w:rPr>
          <w:sz w:val="20"/>
          <w:szCs w:val="20"/>
        </w:rPr>
      </w:pPr>
      <w:r>
        <w:rPr>
          <w:sz w:val="20"/>
          <w:szCs w:val="20"/>
        </w:rPr>
        <w:t xml:space="preserve">Muthiah Vaduganathan, G. C. (2020). Contemporary Treatment Patterns and Clinical Outcomes of Comorbid Diabetes Mellitus and </w:t>
      </w:r>
      <w:proofErr w:type="spellStart"/>
      <w:r>
        <w:rPr>
          <w:sz w:val="20"/>
          <w:szCs w:val="20"/>
        </w:rPr>
        <w:t>HFrEF</w:t>
      </w:r>
      <w:proofErr w:type="spellEnd"/>
      <w:r>
        <w:rPr>
          <w:sz w:val="20"/>
          <w:szCs w:val="20"/>
        </w:rPr>
        <w:t>: The CHAMP-HF Registry. JACC Heart Fail, 8(6), 469-480. doi:10.1016/j.jchf.2019.12.015</w:t>
      </w:r>
    </w:p>
    <w:p w14:paraId="529F5EDF" w14:textId="77777777" w:rsidR="00284D43" w:rsidRDefault="00E45E70">
      <w:pPr>
        <w:pStyle w:val="ListParagraph"/>
        <w:numPr>
          <w:ilvl w:val="0"/>
          <w:numId w:val="4"/>
        </w:numPr>
        <w:ind w:left="540" w:hanging="540"/>
        <w:jc w:val="both"/>
        <w:rPr>
          <w:sz w:val="20"/>
          <w:szCs w:val="20"/>
        </w:rPr>
      </w:pPr>
      <w:r>
        <w:rPr>
          <w:sz w:val="20"/>
          <w:szCs w:val="20"/>
        </w:rPr>
        <w:t>Anil Ranjeetmal Jain, R. K. (2020). Efficacy and safety of sacubitril/valsartan compared with enalapril in patients with chronic heart failure and reduced ejection fraction: Results from PARADIGM-HF India sub-study. Indian Heart J., 72(6), 535–540. doi:10.1016/j.ihj.2020.09.016</w:t>
      </w:r>
    </w:p>
    <w:p w14:paraId="47076AC7" w14:textId="77777777" w:rsidR="00284D43" w:rsidRDefault="00E45E70">
      <w:pPr>
        <w:pStyle w:val="ListParagraph"/>
        <w:numPr>
          <w:ilvl w:val="0"/>
          <w:numId w:val="4"/>
        </w:numPr>
        <w:ind w:left="540" w:hanging="540"/>
        <w:jc w:val="both"/>
        <w:rPr>
          <w:sz w:val="20"/>
          <w:szCs w:val="20"/>
        </w:rPr>
      </w:pPr>
      <w:r>
        <w:rPr>
          <w:sz w:val="20"/>
          <w:szCs w:val="20"/>
        </w:rPr>
        <w:t xml:space="preserve">BACHIR TAZKARJI, A. G. (2015). Angiotensin-Converting Enzyme Inhibitors vs. Angiotensin Receptor Blockers. American Family Physician, 91(3). Retrieved from </w:t>
      </w:r>
      <w:hyperlink r:id="rId13" w:history="1">
        <w:r>
          <w:rPr>
            <w:rStyle w:val="Hyperlink"/>
            <w:sz w:val="20"/>
            <w:szCs w:val="20"/>
          </w:rPr>
          <w:t>https://www.aafp.org/pubs/afp/issues/2015/0201/p193.pdf#</w:t>
        </w:r>
      </w:hyperlink>
    </w:p>
    <w:p w14:paraId="02981F00" w14:textId="77777777" w:rsidR="00284D43" w:rsidRDefault="00E45E70">
      <w:pPr>
        <w:pStyle w:val="ListParagraph"/>
        <w:numPr>
          <w:ilvl w:val="0"/>
          <w:numId w:val="4"/>
        </w:numPr>
        <w:ind w:left="540" w:hanging="540"/>
        <w:jc w:val="both"/>
        <w:rPr>
          <w:sz w:val="20"/>
          <w:szCs w:val="20"/>
        </w:rPr>
      </w:pPr>
      <w:r>
        <w:rPr>
          <w:sz w:val="20"/>
          <w:szCs w:val="20"/>
        </w:rPr>
        <w:t xml:space="preserve">George G </w:t>
      </w:r>
      <w:proofErr w:type="spellStart"/>
      <w:r>
        <w:rPr>
          <w:sz w:val="20"/>
          <w:szCs w:val="20"/>
        </w:rPr>
        <w:t>Sokos</w:t>
      </w:r>
      <w:proofErr w:type="spellEnd"/>
      <w:r>
        <w:rPr>
          <w:sz w:val="20"/>
          <w:szCs w:val="20"/>
        </w:rPr>
        <w:t xml:space="preserve">, A. R. (2020). Understanding the early mortality benefit observed in the PARADIGM-HF trial: considerations for the management of heart failure with sacubitril/valsartan. Vascular Health and Risk Management, 16, 41—51. </w:t>
      </w:r>
      <w:proofErr w:type="spellStart"/>
      <w:r>
        <w:rPr>
          <w:sz w:val="20"/>
          <w:szCs w:val="20"/>
        </w:rPr>
        <w:t>doi:https</w:t>
      </w:r>
      <w:proofErr w:type="spellEnd"/>
      <w:r>
        <w:rPr>
          <w:sz w:val="20"/>
          <w:szCs w:val="20"/>
        </w:rPr>
        <w:t>://doi.org/10.2147/VHRM.S197291</w:t>
      </w:r>
    </w:p>
    <w:p w14:paraId="20E9FA26" w14:textId="77777777" w:rsidR="00284D43" w:rsidRDefault="00E45E70">
      <w:pPr>
        <w:pStyle w:val="ListParagraph"/>
        <w:numPr>
          <w:ilvl w:val="0"/>
          <w:numId w:val="4"/>
        </w:numPr>
        <w:ind w:left="540" w:hanging="540"/>
        <w:jc w:val="both"/>
        <w:rPr>
          <w:sz w:val="20"/>
          <w:szCs w:val="20"/>
        </w:rPr>
      </w:pPr>
      <w:r>
        <w:rPr>
          <w:sz w:val="20"/>
          <w:szCs w:val="20"/>
        </w:rPr>
        <w:t xml:space="preserve">Xiaoye Li, C. Z. (2023). Effectiveness and safety evaluation of sacubitril/valsartan in blood pressure control and clinical outcomes for elderly patients with heart failure and hypertension: A prospective cohort study. International Journal of Cardiology, 371, 244-251. </w:t>
      </w:r>
      <w:proofErr w:type="spellStart"/>
      <w:r>
        <w:rPr>
          <w:sz w:val="20"/>
          <w:szCs w:val="20"/>
        </w:rPr>
        <w:t>doi:https</w:t>
      </w:r>
      <w:proofErr w:type="spellEnd"/>
      <w:r>
        <w:rPr>
          <w:sz w:val="20"/>
          <w:szCs w:val="20"/>
        </w:rPr>
        <w:t>://doi.org/10.1016/j.ijcard.2022.09.050</w:t>
      </w:r>
    </w:p>
    <w:p w14:paraId="4B2E51A8" w14:textId="77777777" w:rsidR="00284D43" w:rsidRDefault="00E45E70">
      <w:pPr>
        <w:pStyle w:val="ListParagraph"/>
        <w:numPr>
          <w:ilvl w:val="0"/>
          <w:numId w:val="4"/>
        </w:numPr>
        <w:ind w:left="540" w:hanging="540"/>
        <w:jc w:val="both"/>
        <w:rPr>
          <w:sz w:val="20"/>
          <w:szCs w:val="20"/>
        </w:rPr>
      </w:pPr>
      <w:r>
        <w:rPr>
          <w:sz w:val="20"/>
          <w:szCs w:val="20"/>
        </w:rPr>
        <w:t xml:space="preserve">Misato Chimura, J. H. (2025). Comprehensive Analysis of the Effects of Sacubitril/Valsartan According to Sex Among Patients </w:t>
      </w:r>
      <w:proofErr w:type="gramStart"/>
      <w:r>
        <w:rPr>
          <w:sz w:val="20"/>
          <w:szCs w:val="20"/>
        </w:rPr>
        <w:t>With</w:t>
      </w:r>
      <w:proofErr w:type="gramEnd"/>
      <w:r>
        <w:rPr>
          <w:sz w:val="20"/>
          <w:szCs w:val="20"/>
        </w:rPr>
        <w:t xml:space="preserve"> Heart Failure and Reduced Ejection Fraction in PARADIGM‐HF. Journal of the American Heart Association, 14(9). </w:t>
      </w:r>
      <w:proofErr w:type="spellStart"/>
      <w:r>
        <w:rPr>
          <w:sz w:val="20"/>
          <w:szCs w:val="20"/>
        </w:rPr>
        <w:t>doi:https</w:t>
      </w:r>
      <w:proofErr w:type="spellEnd"/>
      <w:r>
        <w:rPr>
          <w:sz w:val="20"/>
          <w:szCs w:val="20"/>
        </w:rPr>
        <w:t>://doi.org/10.1161/JAHA.124.038249</w:t>
      </w:r>
    </w:p>
    <w:p w14:paraId="3718B6A3" w14:textId="3B19E79A" w:rsidR="009030DC" w:rsidRPr="000843EC" w:rsidRDefault="00E45E70" w:rsidP="009030DC">
      <w:pPr>
        <w:pStyle w:val="ListParagraph"/>
        <w:numPr>
          <w:ilvl w:val="0"/>
          <w:numId w:val="4"/>
        </w:numPr>
        <w:ind w:left="540" w:hanging="540"/>
        <w:jc w:val="both"/>
        <w:rPr>
          <w:sz w:val="20"/>
          <w:szCs w:val="20"/>
        </w:rPr>
      </w:pPr>
      <w:r>
        <w:rPr>
          <w:sz w:val="20"/>
          <w:szCs w:val="20"/>
        </w:rPr>
        <w:t>Ankeet S Bhatt, M. V. (2025). Real‐world comparative effectiveness of sacubitril/valsartan versus RAS inhibition alone in patients with de novo heart failure. ESC Heart Fail., 12(3), 1682–1692. doi:10.1002/ehf2.15183</w:t>
      </w:r>
    </w:p>
    <w:sectPr w:rsidR="009030DC" w:rsidRPr="000843EC">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B6544" w14:textId="77777777" w:rsidR="00F841BC" w:rsidRDefault="00F841BC">
      <w:r>
        <w:separator/>
      </w:r>
    </w:p>
  </w:endnote>
  <w:endnote w:type="continuationSeparator" w:id="0">
    <w:p w14:paraId="30CD5D30" w14:textId="77777777" w:rsidR="00F841BC" w:rsidRDefault="00F8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1F2B" w14:textId="77777777" w:rsidR="00284D43" w:rsidRDefault="00284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CE01" w14:textId="77777777" w:rsidR="00284D43" w:rsidRDefault="00284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C013" w14:textId="77777777" w:rsidR="00284D43" w:rsidRDefault="0028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D65A3" w14:textId="77777777" w:rsidR="00F841BC" w:rsidRDefault="00F841BC">
      <w:r>
        <w:separator/>
      </w:r>
    </w:p>
  </w:footnote>
  <w:footnote w:type="continuationSeparator" w:id="0">
    <w:p w14:paraId="3BBADB38" w14:textId="77777777" w:rsidR="00F841BC" w:rsidRDefault="00F8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FF46" w14:textId="77777777" w:rsidR="00284D43" w:rsidRDefault="00000000">
    <w:pPr>
      <w:pStyle w:val="Header"/>
    </w:pPr>
    <w:r>
      <w:pict w14:anchorId="1FA2B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65141" o:spid="_x0000_s1026" type="#_x0000_t136" style="position:absolute;margin-left:0;margin-top:0;width:639.45pt;height:71.0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6885" w14:textId="77777777" w:rsidR="00284D43" w:rsidRDefault="00000000">
    <w:pPr>
      <w:pStyle w:val="Header"/>
    </w:pPr>
    <w:r>
      <w:pict w14:anchorId="46E58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65142" o:spid="_x0000_s1027" type="#_x0000_t136" style="position:absolute;margin-left:0;margin-top:0;width:639.45pt;height:71.0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E14A" w14:textId="77777777" w:rsidR="00284D43" w:rsidRDefault="00000000">
    <w:pPr>
      <w:pStyle w:val="Header"/>
    </w:pPr>
    <w:r>
      <w:pict w14:anchorId="6A33F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65140" o:spid="_x0000_s1025" type="#_x0000_t136" style="position:absolute;margin-left:0;margin-top:0;width:639.45pt;height:71.0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15C08"/>
    <w:multiLevelType w:val="multilevel"/>
    <w:tmpl w:val="20115C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9E028E"/>
    <w:multiLevelType w:val="multilevel"/>
    <w:tmpl w:val="249E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FA5857"/>
    <w:multiLevelType w:val="multilevel"/>
    <w:tmpl w:val="32FA58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353F5D"/>
    <w:multiLevelType w:val="multilevel"/>
    <w:tmpl w:val="66353F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9679020">
    <w:abstractNumId w:val="3"/>
  </w:num>
  <w:num w:numId="2" w16cid:durableId="89401403">
    <w:abstractNumId w:val="1"/>
  </w:num>
  <w:num w:numId="3" w16cid:durableId="372198163">
    <w:abstractNumId w:val="2"/>
  </w:num>
  <w:num w:numId="4" w16cid:durableId="210352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rawingGridVerticalSpacing w:val="299"/>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D1"/>
    <w:rsid w:val="0007269F"/>
    <w:rsid w:val="00075E2B"/>
    <w:rsid w:val="000843EC"/>
    <w:rsid w:val="000C055D"/>
    <w:rsid w:val="000C5F95"/>
    <w:rsid w:val="000D6B09"/>
    <w:rsid w:val="000D73DD"/>
    <w:rsid w:val="001546DB"/>
    <w:rsid w:val="001625FC"/>
    <w:rsid w:val="00171954"/>
    <w:rsid w:val="00196DAD"/>
    <w:rsid w:val="001A3015"/>
    <w:rsid w:val="001B364F"/>
    <w:rsid w:val="001F2B5F"/>
    <w:rsid w:val="001F68B6"/>
    <w:rsid w:val="00225C95"/>
    <w:rsid w:val="00247B3D"/>
    <w:rsid w:val="00284D43"/>
    <w:rsid w:val="002856CA"/>
    <w:rsid w:val="002B794B"/>
    <w:rsid w:val="002D00D5"/>
    <w:rsid w:val="002D72CF"/>
    <w:rsid w:val="002E029F"/>
    <w:rsid w:val="002E1B03"/>
    <w:rsid w:val="00307B49"/>
    <w:rsid w:val="00317668"/>
    <w:rsid w:val="003213CA"/>
    <w:rsid w:val="00356089"/>
    <w:rsid w:val="00363255"/>
    <w:rsid w:val="003839D3"/>
    <w:rsid w:val="00384B17"/>
    <w:rsid w:val="003901B4"/>
    <w:rsid w:val="003D791F"/>
    <w:rsid w:val="004070ED"/>
    <w:rsid w:val="004227FD"/>
    <w:rsid w:val="00432154"/>
    <w:rsid w:val="00465289"/>
    <w:rsid w:val="00466AE3"/>
    <w:rsid w:val="00497DDF"/>
    <w:rsid w:val="004B2715"/>
    <w:rsid w:val="004D12FF"/>
    <w:rsid w:val="004E6805"/>
    <w:rsid w:val="00514ECD"/>
    <w:rsid w:val="005155E0"/>
    <w:rsid w:val="005520ED"/>
    <w:rsid w:val="005B4A9C"/>
    <w:rsid w:val="005E581C"/>
    <w:rsid w:val="00632D7D"/>
    <w:rsid w:val="006360F3"/>
    <w:rsid w:val="006654A4"/>
    <w:rsid w:val="006761DD"/>
    <w:rsid w:val="006776D6"/>
    <w:rsid w:val="0069327B"/>
    <w:rsid w:val="006C6756"/>
    <w:rsid w:val="006F5D39"/>
    <w:rsid w:val="0072640D"/>
    <w:rsid w:val="00772DFC"/>
    <w:rsid w:val="007A7DB5"/>
    <w:rsid w:val="007D006E"/>
    <w:rsid w:val="007E4A4B"/>
    <w:rsid w:val="007E5354"/>
    <w:rsid w:val="007E6617"/>
    <w:rsid w:val="0080504E"/>
    <w:rsid w:val="008127D1"/>
    <w:rsid w:val="008154F6"/>
    <w:rsid w:val="00831306"/>
    <w:rsid w:val="00852221"/>
    <w:rsid w:val="00853BB7"/>
    <w:rsid w:val="008B7248"/>
    <w:rsid w:val="008E5E42"/>
    <w:rsid w:val="009030DC"/>
    <w:rsid w:val="0092032B"/>
    <w:rsid w:val="0093043F"/>
    <w:rsid w:val="009B23BA"/>
    <w:rsid w:val="009D5D0E"/>
    <w:rsid w:val="009E3A5C"/>
    <w:rsid w:val="00A036AC"/>
    <w:rsid w:val="00A26F08"/>
    <w:rsid w:val="00A554A1"/>
    <w:rsid w:val="00A83564"/>
    <w:rsid w:val="00AC01ED"/>
    <w:rsid w:val="00B05BB6"/>
    <w:rsid w:val="00B54C18"/>
    <w:rsid w:val="00B93011"/>
    <w:rsid w:val="00BE115F"/>
    <w:rsid w:val="00BF1F8B"/>
    <w:rsid w:val="00C14D4D"/>
    <w:rsid w:val="00C55741"/>
    <w:rsid w:val="00C574FB"/>
    <w:rsid w:val="00C963F5"/>
    <w:rsid w:val="00CB2341"/>
    <w:rsid w:val="00CC1982"/>
    <w:rsid w:val="00CC74A1"/>
    <w:rsid w:val="00CD3371"/>
    <w:rsid w:val="00CE7AAE"/>
    <w:rsid w:val="00D148F5"/>
    <w:rsid w:val="00D367DF"/>
    <w:rsid w:val="00D50A56"/>
    <w:rsid w:val="00D6031C"/>
    <w:rsid w:val="00DF1872"/>
    <w:rsid w:val="00DF55CF"/>
    <w:rsid w:val="00E04D45"/>
    <w:rsid w:val="00E24E5F"/>
    <w:rsid w:val="00E358F5"/>
    <w:rsid w:val="00E3688C"/>
    <w:rsid w:val="00E45E70"/>
    <w:rsid w:val="00E73899"/>
    <w:rsid w:val="00E80865"/>
    <w:rsid w:val="00E8288F"/>
    <w:rsid w:val="00EF033B"/>
    <w:rsid w:val="00F03793"/>
    <w:rsid w:val="00F11F05"/>
    <w:rsid w:val="00F207F2"/>
    <w:rsid w:val="00F230BD"/>
    <w:rsid w:val="00F317B0"/>
    <w:rsid w:val="00F65572"/>
    <w:rsid w:val="00F82C92"/>
    <w:rsid w:val="00F841BC"/>
    <w:rsid w:val="00FA1B9E"/>
    <w:rsid w:val="00FF0672"/>
    <w:rsid w:val="00FF6C76"/>
    <w:rsid w:val="4CF510F5"/>
    <w:rsid w:val="4DD81CDB"/>
    <w:rsid w:val="7203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2208"/>
  <w15:docId w15:val="{6D386473-F589-4FA3-8566-FE1EFC7D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heme="minorHAnsi" w:hAnsi="Times New Roman" w:cstheme="minorBidi"/>
      <w:sz w:val="22"/>
      <w:szCs w:val="22"/>
    </w:rPr>
  </w:style>
  <w:style w:type="paragraph" w:styleId="Heading1">
    <w:name w:val="heading 1"/>
    <w:basedOn w:val="Normal"/>
    <w:link w:val="Heading1Char"/>
    <w:uiPriority w:val="9"/>
    <w:qFormat/>
    <w:pPr>
      <w:ind w:left="20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eastAsia="Times New Roman" w:cs="Times New Roman"/>
    </w:rPr>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paragraph" w:styleId="Title">
    <w:name w:val="Title"/>
    <w:basedOn w:val="Normal"/>
    <w:link w:val="TitleChar"/>
    <w:uiPriority w:val="10"/>
    <w:qFormat/>
    <w:pPr>
      <w:spacing w:before="62"/>
      <w:ind w:left="1901"/>
    </w:pPr>
    <w:rPr>
      <w:rFonts w:eastAsia="Times New Roman" w:cs="Times New Roman"/>
      <w:b/>
      <w:bCs/>
      <w:sz w:val="32"/>
      <w:szCs w:val="32"/>
      <w:u w:val="single" w:color="000000"/>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rPr>
  </w:style>
  <w:style w:type="paragraph" w:customStyle="1" w:styleId="TableParagraph">
    <w:name w:val="Table Paragraph"/>
    <w:basedOn w:val="Normal"/>
    <w:uiPriority w:val="1"/>
    <w:qFormat/>
    <w:rPr>
      <w:rFonts w:eastAsia="Times New Roman" w:cs="Times New Roman"/>
    </w:rPr>
  </w:style>
  <w:style w:type="character" w:customStyle="1" w:styleId="TitleChar">
    <w:name w:val="Title Char"/>
    <w:basedOn w:val="DefaultParagraphFont"/>
    <w:link w:val="Title"/>
    <w:uiPriority w:val="10"/>
    <w:qFormat/>
    <w:rPr>
      <w:rFonts w:ascii="Times New Roman" w:eastAsia="Times New Roman" w:hAnsi="Times New Roman" w:cs="Times New Roman"/>
      <w:b/>
      <w:bCs/>
      <w:sz w:val="32"/>
      <w:szCs w:val="32"/>
      <w:u w:val="single" w:color="000000"/>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paragraph" w:styleId="NoSpacing">
    <w:name w:val="No Spacing"/>
    <w:uiPriority w:val="1"/>
    <w:qFormat/>
    <w:pPr>
      <w:widowControl w:val="0"/>
      <w:autoSpaceDE w:val="0"/>
      <w:autoSpaceDN w:val="0"/>
    </w:pPr>
    <w:rPr>
      <w:rFonts w:ascii="Times New Roman" w:eastAsia="Times New Roman" w:hAnsi="Times New Roman"/>
      <w:sz w:val="22"/>
      <w:szCs w:val="22"/>
    </w:rPr>
  </w:style>
  <w:style w:type="paragraph" w:styleId="ListParagraph">
    <w:name w:val="List Paragraph"/>
    <w:basedOn w:val="Normal"/>
    <w:uiPriority w:val="1"/>
    <w:qFormat/>
    <w:pPr>
      <w:ind w:left="921" w:hanging="361"/>
    </w:pPr>
    <w:rPr>
      <w:rFonts w:eastAsia="Times New Roman" w:cs="Times New Roman"/>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hAnsi="Times New Roman"/>
    </w:rPr>
  </w:style>
  <w:style w:type="character" w:customStyle="1" w:styleId="FooterChar">
    <w:name w:val="Footer Char"/>
    <w:basedOn w:val="DefaultParagraphFont"/>
    <w:link w:val="Footer"/>
    <w:uiPriority w:val="99"/>
    <w:qFormat/>
    <w:rPr>
      <w:rFonts w:ascii="Times New Roman" w:hAnsi="Times New Roma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6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7DF"/>
    <w:rPr>
      <w:rFonts w:ascii="Segoe UI" w:eastAsiaTheme="minorHAnsi" w:hAnsi="Segoe UI" w:cs="Segoe UI"/>
      <w:sz w:val="18"/>
      <w:szCs w:val="18"/>
    </w:rPr>
  </w:style>
  <w:style w:type="paragraph" w:styleId="CommentSubject">
    <w:name w:val="annotation subject"/>
    <w:basedOn w:val="CommentText"/>
    <w:next w:val="CommentText"/>
    <w:link w:val="CommentSubjectChar"/>
    <w:uiPriority w:val="99"/>
    <w:semiHidden/>
    <w:unhideWhenUsed/>
    <w:rsid w:val="006360F3"/>
    <w:rPr>
      <w:b/>
      <w:bCs/>
      <w:sz w:val="20"/>
      <w:szCs w:val="20"/>
    </w:rPr>
  </w:style>
  <w:style w:type="character" w:customStyle="1" w:styleId="CommentTextChar">
    <w:name w:val="Comment Text Char"/>
    <w:basedOn w:val="DefaultParagraphFont"/>
    <w:link w:val="CommentText"/>
    <w:uiPriority w:val="99"/>
    <w:semiHidden/>
    <w:rsid w:val="006360F3"/>
    <w:rPr>
      <w:rFonts w:ascii="Times New Roman" w:eastAsiaTheme="minorHAnsi" w:hAnsi="Times New Roman" w:cstheme="minorBidi"/>
      <w:sz w:val="22"/>
      <w:szCs w:val="22"/>
    </w:rPr>
  </w:style>
  <w:style w:type="character" w:customStyle="1" w:styleId="CommentSubjectChar">
    <w:name w:val="Comment Subject Char"/>
    <w:basedOn w:val="CommentTextChar"/>
    <w:link w:val="CommentSubject"/>
    <w:uiPriority w:val="99"/>
    <w:semiHidden/>
    <w:rsid w:val="006360F3"/>
    <w:rPr>
      <w:rFonts w:ascii="Times New Roman" w:eastAsiaTheme="minorHAnsi" w:hAnsi="Times New Roman" w:cstheme="minorBidi"/>
      <w:b/>
      <w:bCs/>
      <w:sz w:val="22"/>
      <w:szCs w:val="22"/>
    </w:rPr>
  </w:style>
  <w:style w:type="paragraph" w:styleId="Bibliography">
    <w:name w:val="Bibliography"/>
    <w:basedOn w:val="Normal"/>
    <w:next w:val="Normal"/>
    <w:uiPriority w:val="37"/>
    <w:unhideWhenUsed/>
    <w:rsid w:val="009030DC"/>
  </w:style>
  <w:style w:type="paragraph" w:styleId="Revision">
    <w:name w:val="Revision"/>
    <w:hidden/>
    <w:uiPriority w:val="99"/>
    <w:semiHidden/>
    <w:rsid w:val="0092032B"/>
    <w:rPr>
      <w:rFonts w:ascii="Times New Roman" w:eastAsiaTheme="minorHAnsi" w:hAnsi="Times New Roman"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482">
      <w:bodyDiv w:val="1"/>
      <w:marLeft w:val="0"/>
      <w:marRight w:val="0"/>
      <w:marTop w:val="0"/>
      <w:marBottom w:val="0"/>
      <w:divBdr>
        <w:top w:val="none" w:sz="0" w:space="0" w:color="auto"/>
        <w:left w:val="none" w:sz="0" w:space="0" w:color="auto"/>
        <w:bottom w:val="none" w:sz="0" w:space="0" w:color="auto"/>
        <w:right w:val="none" w:sz="0" w:space="0" w:color="auto"/>
      </w:divBdr>
    </w:div>
    <w:div w:id="157766572">
      <w:bodyDiv w:val="1"/>
      <w:marLeft w:val="0"/>
      <w:marRight w:val="0"/>
      <w:marTop w:val="0"/>
      <w:marBottom w:val="0"/>
      <w:divBdr>
        <w:top w:val="none" w:sz="0" w:space="0" w:color="auto"/>
        <w:left w:val="none" w:sz="0" w:space="0" w:color="auto"/>
        <w:bottom w:val="none" w:sz="0" w:space="0" w:color="auto"/>
        <w:right w:val="none" w:sz="0" w:space="0" w:color="auto"/>
      </w:divBdr>
    </w:div>
    <w:div w:id="297299038">
      <w:bodyDiv w:val="1"/>
      <w:marLeft w:val="0"/>
      <w:marRight w:val="0"/>
      <w:marTop w:val="0"/>
      <w:marBottom w:val="0"/>
      <w:divBdr>
        <w:top w:val="none" w:sz="0" w:space="0" w:color="auto"/>
        <w:left w:val="none" w:sz="0" w:space="0" w:color="auto"/>
        <w:bottom w:val="none" w:sz="0" w:space="0" w:color="auto"/>
        <w:right w:val="none" w:sz="0" w:space="0" w:color="auto"/>
      </w:divBdr>
    </w:div>
    <w:div w:id="520359672">
      <w:bodyDiv w:val="1"/>
      <w:marLeft w:val="0"/>
      <w:marRight w:val="0"/>
      <w:marTop w:val="0"/>
      <w:marBottom w:val="0"/>
      <w:divBdr>
        <w:top w:val="none" w:sz="0" w:space="0" w:color="auto"/>
        <w:left w:val="none" w:sz="0" w:space="0" w:color="auto"/>
        <w:bottom w:val="none" w:sz="0" w:space="0" w:color="auto"/>
        <w:right w:val="none" w:sz="0" w:space="0" w:color="auto"/>
      </w:divBdr>
    </w:div>
    <w:div w:id="662779570">
      <w:bodyDiv w:val="1"/>
      <w:marLeft w:val="0"/>
      <w:marRight w:val="0"/>
      <w:marTop w:val="0"/>
      <w:marBottom w:val="0"/>
      <w:divBdr>
        <w:top w:val="none" w:sz="0" w:space="0" w:color="auto"/>
        <w:left w:val="none" w:sz="0" w:space="0" w:color="auto"/>
        <w:bottom w:val="none" w:sz="0" w:space="0" w:color="auto"/>
        <w:right w:val="none" w:sz="0" w:space="0" w:color="auto"/>
      </w:divBdr>
    </w:div>
    <w:div w:id="854226439">
      <w:bodyDiv w:val="1"/>
      <w:marLeft w:val="0"/>
      <w:marRight w:val="0"/>
      <w:marTop w:val="0"/>
      <w:marBottom w:val="0"/>
      <w:divBdr>
        <w:top w:val="none" w:sz="0" w:space="0" w:color="auto"/>
        <w:left w:val="none" w:sz="0" w:space="0" w:color="auto"/>
        <w:bottom w:val="none" w:sz="0" w:space="0" w:color="auto"/>
        <w:right w:val="none" w:sz="0" w:space="0" w:color="auto"/>
      </w:divBdr>
    </w:div>
    <w:div w:id="860703085">
      <w:bodyDiv w:val="1"/>
      <w:marLeft w:val="0"/>
      <w:marRight w:val="0"/>
      <w:marTop w:val="0"/>
      <w:marBottom w:val="0"/>
      <w:divBdr>
        <w:top w:val="none" w:sz="0" w:space="0" w:color="auto"/>
        <w:left w:val="none" w:sz="0" w:space="0" w:color="auto"/>
        <w:bottom w:val="none" w:sz="0" w:space="0" w:color="auto"/>
        <w:right w:val="none" w:sz="0" w:space="0" w:color="auto"/>
      </w:divBdr>
    </w:div>
    <w:div w:id="1224951644">
      <w:bodyDiv w:val="1"/>
      <w:marLeft w:val="0"/>
      <w:marRight w:val="0"/>
      <w:marTop w:val="0"/>
      <w:marBottom w:val="0"/>
      <w:divBdr>
        <w:top w:val="none" w:sz="0" w:space="0" w:color="auto"/>
        <w:left w:val="none" w:sz="0" w:space="0" w:color="auto"/>
        <w:bottom w:val="none" w:sz="0" w:space="0" w:color="auto"/>
        <w:right w:val="none" w:sz="0" w:space="0" w:color="auto"/>
      </w:divBdr>
    </w:div>
    <w:div w:id="1426612864">
      <w:bodyDiv w:val="1"/>
      <w:marLeft w:val="0"/>
      <w:marRight w:val="0"/>
      <w:marTop w:val="0"/>
      <w:marBottom w:val="0"/>
      <w:divBdr>
        <w:top w:val="none" w:sz="0" w:space="0" w:color="auto"/>
        <w:left w:val="none" w:sz="0" w:space="0" w:color="auto"/>
        <w:bottom w:val="none" w:sz="0" w:space="0" w:color="auto"/>
        <w:right w:val="none" w:sz="0" w:space="0" w:color="auto"/>
      </w:divBdr>
    </w:div>
    <w:div w:id="144396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afp.org/pubs/afp/issues/2015/0201/p193.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cbi.nlm.nih.gov/books/NBK43105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books/NBK50790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ncbi.nlm.nih.gov/books/NBK430873/"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latin typeface="Times New Roman" panose="02020603050405020304" pitchFamily="18" charset="0"/>
                <a:cs typeface="Times New Roman" panose="02020603050405020304" pitchFamily="18" charset="0"/>
              </a:rPr>
              <a:t>Age distribution of the participants</a:t>
            </a:r>
          </a:p>
        </c:rich>
      </c:tx>
      <c:layout>
        <c:manualLayout>
          <c:xMode val="edge"/>
          <c:yMode val="edge"/>
          <c:x val="0.28012517505633605"/>
          <c:y val="3.4778220290031317E-2"/>
        </c:manualLayout>
      </c:layout>
      <c:overlay val="0"/>
      <c:spPr>
        <a:noFill/>
        <a:ln>
          <a:noFill/>
        </a:ln>
        <a:effectLst/>
      </c:spPr>
      <c:txPr>
        <a:bodyPr rot="0" spcFirstLastPara="1" vertOverflow="ellipsis" vert="horz" wrap="square" anchor="ctr" anchorCtr="1"/>
        <a:lstStyle/>
        <a:p>
          <a:pPr>
            <a:defRPr sz="1000" b="0"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41174293022669"/>
          <c:y val="0.17195446839428433"/>
          <c:w val="0.63669618770836001"/>
          <c:h val="0.74999647204428821"/>
        </c:manualLayout>
      </c:layout>
      <c:bar3DChart>
        <c:barDir val="col"/>
        <c:grouping val="clustered"/>
        <c:varyColors val="0"/>
        <c:ser>
          <c:idx val="0"/>
          <c:order val="0"/>
          <c:tx>
            <c:strRef>
              <c:f>Sheet1!$B$1</c:f>
              <c:strCache>
                <c:ptCount val="1"/>
                <c:pt idx="0">
                  <c:v>ACEI/ARB</c:v>
                </c:pt>
              </c:strCache>
            </c:strRef>
          </c:tx>
          <c:spPr>
            <a:solidFill>
              <a:srgbClr val="00B0F0"/>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1.532567049808429E-2"/>
                  <c:y val="-1.0296010296010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44-46FA-A2C9-C5F6D1754130}"/>
                </c:ext>
              </c:extLst>
            </c:dLbl>
            <c:dLbl>
              <c:idx val="1"/>
              <c:layout>
                <c:manualLayout>
                  <c:x val="1.8936846243444837E-3"/>
                  <c:y val="-2.0592020592020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44-46FA-A2C9-C5F6D175413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41-60</c:v>
                </c:pt>
                <c:pt idx="1">
                  <c:v>61-0</c:v>
                </c:pt>
                <c:pt idx="2">
                  <c:v>&gt;80</c:v>
                </c:pt>
              </c:strCache>
            </c:strRef>
          </c:cat>
          <c:val>
            <c:numRef>
              <c:f>Sheet1!$B$2:$B$4</c:f>
              <c:numCache>
                <c:formatCode>0.0%</c:formatCode>
                <c:ptCount val="3"/>
                <c:pt idx="0">
                  <c:v>0.75</c:v>
                </c:pt>
                <c:pt idx="1">
                  <c:v>0.25</c:v>
                </c:pt>
                <c:pt idx="2">
                  <c:v>0</c:v>
                </c:pt>
              </c:numCache>
            </c:numRef>
          </c:val>
          <c:extLst>
            <c:ext xmlns:c16="http://schemas.microsoft.com/office/drawing/2014/chart" uri="{C3380CC4-5D6E-409C-BE32-E72D297353CC}">
              <c16:uniqueId val="{00000002-2744-46FA-A2C9-C5F6D1754130}"/>
            </c:ext>
          </c:extLst>
        </c:ser>
        <c:ser>
          <c:idx val="1"/>
          <c:order val="1"/>
          <c:tx>
            <c:strRef>
              <c:f>Sheet1!$C$1</c:f>
              <c:strCache>
                <c:ptCount val="1"/>
                <c:pt idx="0">
                  <c:v>Scubitril/Valsartan</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dLbl>
              <c:idx val="0"/>
              <c:layout>
                <c:manualLayout>
                  <c:x val="4.3702925096222325E-2"/>
                  <c:y val="-2.5739823062657756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5074824526552767E-2"/>
                      <c:h val="7.1995054672220019E-2"/>
                    </c:manualLayout>
                  </c15:layout>
                </c:ext>
                <c:ext xmlns:c16="http://schemas.microsoft.com/office/drawing/2014/chart" uri="{C3380CC4-5D6E-409C-BE32-E72D297353CC}">
                  <c16:uniqueId val="{00000003-2744-46FA-A2C9-C5F6D1754130}"/>
                </c:ext>
              </c:extLst>
            </c:dLbl>
            <c:dLbl>
              <c:idx val="1"/>
              <c:layout>
                <c:manualLayout>
                  <c:x val="4.2378492914845717E-2"/>
                  <c:y val="-2.0592020592020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44-46FA-A2C9-C5F6D175413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41-60</c:v>
                </c:pt>
                <c:pt idx="1">
                  <c:v>61-0</c:v>
                </c:pt>
                <c:pt idx="2">
                  <c:v>&gt;80</c:v>
                </c:pt>
              </c:strCache>
            </c:strRef>
          </c:cat>
          <c:val>
            <c:numRef>
              <c:f>Sheet1!$C$2:$C$4</c:f>
              <c:numCache>
                <c:formatCode>0.0%</c:formatCode>
                <c:ptCount val="3"/>
                <c:pt idx="0">
                  <c:v>0.48899999999999999</c:v>
                </c:pt>
                <c:pt idx="1">
                  <c:v>0.5</c:v>
                </c:pt>
                <c:pt idx="2">
                  <c:v>1.0999999999999999E-2</c:v>
                </c:pt>
              </c:numCache>
            </c:numRef>
          </c:val>
          <c:extLst>
            <c:ext xmlns:c16="http://schemas.microsoft.com/office/drawing/2014/chart" uri="{C3380CC4-5D6E-409C-BE32-E72D297353CC}">
              <c16:uniqueId val="{00000005-2744-46FA-A2C9-C5F6D1754130}"/>
            </c:ext>
          </c:extLst>
        </c:ser>
        <c:dLbls>
          <c:showLegendKey val="0"/>
          <c:showVal val="0"/>
          <c:showCatName val="0"/>
          <c:showSerName val="0"/>
          <c:showPercent val="0"/>
          <c:showBubbleSize val="0"/>
        </c:dLbls>
        <c:gapWidth val="150"/>
        <c:shape val="box"/>
        <c:axId val="327207872"/>
        <c:axId val="327208656"/>
        <c:axId val="0"/>
      </c:bar3DChart>
      <c:catAx>
        <c:axId val="327207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7208656"/>
        <c:crosses val="autoZero"/>
        <c:auto val="1"/>
        <c:lblAlgn val="ctr"/>
        <c:lblOffset val="100"/>
        <c:noMultiLvlLbl val="0"/>
      </c:catAx>
      <c:valAx>
        <c:axId val="327208656"/>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crossAx val="327207872"/>
        <c:crosses val="autoZero"/>
        <c:crossBetween val="between"/>
      </c:valAx>
      <c:spPr>
        <a:noFill/>
        <a:ln>
          <a:noFill/>
        </a:ln>
        <a:effectLst/>
      </c:spPr>
    </c:plotArea>
    <c:legend>
      <c:legendPos val="r"/>
      <c:layout>
        <c:manualLayout>
          <c:xMode val="edge"/>
          <c:yMode val="edge"/>
          <c:x val="0.71672209031082079"/>
          <c:y val="0.32174956091253909"/>
          <c:w val="0.28063467632696093"/>
          <c:h val="0.1890898772788536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Pir25</b:Tag>
    <b:SourceType>BookSection</b:SourceType>
    <b:Guid>{3AD85973-BA92-41CB-BF23-EBA5F9089229}</b:Guid>
    <b:Author>
      <b:Author>
        <b:NameList>
          <b:Person>
            <b:Last>Pirbhat Shams</b:Last>
            <b:First>Ahmad</b:First>
            <b:Middle>Malik, Lovely Chhabra</b:Middle>
          </b:Person>
        </b:NameList>
      </b:Author>
    </b:Author>
    <b:Title>Heart Failure (Congestive Heart Failure)</b:Title>
    <b:Year>2025</b:Year>
    <b:BookTitle>Treasure Island (FL)</b:BookTitle>
    <b:Publisher>StatPearls Publishing</b:Publisher>
    <b:URL>https://www.ncbi.nlm.nih.gov/books/NBK430873/</b:URL>
    <b:RefOrder>1</b:RefOrder>
  </b:Source>
  <b:Source>
    <b:Tag>Gia23</b:Tag>
    <b:SourceType>JournalArticle</b:SourceType>
    <b:Guid>{688E97E6-FFFB-4304-8092-1DEE1D934138}</b:Guid>
    <b:Title>Global burden of heart failure: a comprehensive and updated review of epidemiology</b:Title>
    <b:Year>2023</b:Year>
    <b:Pages>3272-3287</b:Pages>
    <b:Author>
      <b:Author>
        <b:NameList>
          <b:Person>
            <b:Last>Gianluigi Savarese</b:Last>
            <b:First>Peter</b:First>
            <b:Middle>Moritz Becher, Lars H Lund, Petar Seferovic, Giuseppe M C Rosano, Andrew J S Coats</b:Middle>
          </b:Person>
        </b:NameList>
      </b:Author>
    </b:Author>
    <b:JournalName>Cardiovasc Res.</b:JournalName>
    <b:Volume>118</b:Volume>
    <b:Issue>17</b:Issue>
    <b:DOI>10.1093/cvr/cvac013</b:DOI>
    <b:RefOrder>2</b:RefOrder>
  </b:Source>
  <b:Source>
    <b:Tag>Sea20</b:Tag>
    <b:SourceType>JournalArticle</b:SourceType>
    <b:Guid>{8315947E-C285-4D62-B8F0-C786A6129024}</b:Guid>
    <b:Author>
      <b:Author>
        <b:NameList>
          <b:Person>
            <b:Last>Sean P. Murphy</b:Last>
            <b:First>Nasrien</b:First>
            <b:Middle>E. Ibrahim, James L. Januzzi Jr</b:Middle>
          </b:Person>
        </b:NameList>
      </b:Author>
    </b:Author>
    <b:Title>Heart Failure With Reduced Ejection Fraction: A Review</b:Title>
    <b:JournalName>JAMA</b:JournalName>
    <b:Year>2020</b:Year>
    <b:Pages>488-504</b:Pages>
    <b:Volume>324</b:Volume>
    <b:Issue>4</b:Issue>
    <b:DOI>10.1001/jama.2020.10262</b:DOI>
    <b:RefOrder>3</b:RefOrder>
  </b:Source>
  <b:Source>
    <b:Tag>Pet19</b:Tag>
    <b:SourceType>JournalArticle</b:SourceType>
    <b:Guid>{0CF3D089-69A4-4743-A439-F2738A32C802}</b:Guid>
    <b:Author>
      <b:Author>
        <b:NameList>
          <b:Person>
            <b:Last>Petar M Seferovic</b:Last>
            <b:First>Piotr</b:First>
            <b:Middle>Ponikowski, Stefan D Anker, Johann Bauersachs, Ovidiu Chioncel, John G F Cleland, Rudolf A de Boer, Heinz Drexel, Tuvia Ben Gal, Loreena Hill, Tiny Jaarsma, Ewa A Jankowska, Markus S Anker, , Mitja Lainscak, Basil S Lewis</b:Middle>
          </b:Person>
        </b:NameList>
      </b:Author>
    </b:Author>
    <b:Title>Clinical practice update on heart failure 2019: pharmacotherapy, procedures, devices and patient management. An expert consensus meeting report of the Heart Failure Association of the European Society of Cardiology</b:Title>
    <b:JournalName>Eur J Heart Fail.</b:JournalName>
    <b:Year>2019</b:Year>
    <b:Pages>1169-1186</b:Pages>
    <b:Volume>21</b:Volume>
    <b:Issue>10</b:Issue>
    <b:DOI>10.1002/ejhf.1531</b:DOI>
    <b:RefOrder>4</b:RefOrder>
  </b:Source>
  <b:Source>
    <b:Tag>Cly17</b:Tag>
    <b:SourceType>JournalArticle</b:SourceType>
    <b:Guid>{62C4969D-2CBC-4DD3-B300-E452C76BBE2A}</b:Guid>
    <b:Author>
      <b:Author>
        <b:NameList>
          <b:Person>
            <b:Last>Clyde W Yancy</b:Last>
            <b:First>Mariell</b:First>
            <b:Middle>Jessup, Biykem Bozkurt, Javed Butler, Donald E Casey Jr, Monica M Colvin 1, Mark H Drazner 1, Gerasimos S Filippatos 1, Gregg C Fonarow 1, Michael M Givertz, Steven M Hollenberg, JoAnn Lindenfeld, Frederick A Masoudi, Patrick E McBr</b:Middle>
          </b:Person>
        </b:NameList>
      </b:Author>
    </b:Author>
    <b:Title>2017 ACC/AHA/HFSA Focused Update of the 2013 ACCF/AHA Guideline for the Management of Heart Failure: A Report of the American College of Cardiology/American Heart Association Task Force on Clinical Practice Guidelines and the Heart Failure Society of Amer</b:Title>
    <b:JournalName>Circulation.</b:JournalName>
    <b:Year>2017</b:Year>
    <b:Pages>e137-e161</b:Pages>
    <b:Volume>136</b:Volume>
    <b:Issue>6</b:Issue>
    <b:DOI>10.1161/CIR.0000000000000509</b:DOI>
    <b:RefOrder>5</b:RefOrder>
  </b:Source>
  <b:Source>
    <b:Tag>Joh14</b:Tag>
    <b:SourceType>JournalArticle</b:SourceType>
    <b:Guid>{220FC039-3839-43DA-9706-55A76B1665D5}</b:Guid>
    <b:Author>
      <b:Author>
        <b:NameList>
          <b:Person>
            <b:Last>John J V McMurray</b:Last>
            <b:First>Milton</b:First>
            <b:Middle>Packer, Akshay S Desai, Jianjian Gong, Martin P Lefkowitz, Adel R Rizkala, Jean L Rouleau, Victor C Shi, Scott D Solomon, Karl Swedberg, Michael R Zile, PARADIGM-HF Investigators and Committees</b:Middle>
          </b:Person>
        </b:NameList>
      </b:Author>
    </b:Author>
    <b:Title>Angiotensin-neprilysin inhibition versus enalapril in heart failure</b:Title>
    <b:JournalName>N Engl J Med.</b:JournalName>
    <b:Year>2014</b:Year>
    <b:Pages>993-1004</b:Pages>
    <b:Volume>371</b:Volume>
    <b:Issue>11</b:Issue>
    <b:DOI>10.1056/NEJMoa1409077</b:DOI>
    <b:RefOrder>6</b:RefOrder>
  </b:Source>
  <b:Source>
    <b:Tag>Lau22</b:Tag>
    <b:SourceType>JournalArticle</b:SourceType>
    <b:Guid>{789E5E95-985E-4E07-830A-F87AC3C6E6F9}</b:Guid>
    <b:Author>
      <b:Author>
        <b:NameList>
          <b:Person>
            <b:Last>Lauren Gilstrap</b:Last>
            <b:First>Ronnie</b:First>
            <b:Middle>J Zipkin, Jonathan Aaron Barnes, Ashleigh King, Alistair James O'Malley, Thomas A Gaziano, Anna N A Tosteson</b:Middle>
          </b:Person>
        </b:NameList>
      </b:Author>
    </b:Author>
    <b:Title>Sacubitril/valsartan vs ACEi/ARB at hospital discharge and 5-year survival in older patients with heart failure with reduced ejection fraction: A decision analysis approach</b:Title>
    <b:JournalName>Am Heart J.</b:JournalName>
    <b:Year>2022</b:Year>
    <b:Pages>23-28</b:Pages>
    <b:Volume>250</b:Volume>
    <b:DOI>10.1016/j.ahj.2022.04.007</b:DOI>
    <b:RefOrder>7</b:RefOrder>
  </b:Source>
  <b:Source>
    <b:Tag>Vis24</b:Tag>
    <b:SourceType>JournalArticle</b:SourceType>
    <b:Guid>{3023C86D-51E0-4C9C-9B03-A38277E955D0}</b:Guid>
    <b:Author>
      <b:Author>
        <b:NameList>
          <b:Person>
            <b:Last>Vishal N. Rao</b:Last>
            <b:First>Anne</b:First>
            <b:Middle>S. Hellkamp, Laine E. Thomas, Gregg C. Fonarow, Mona Fiuzat, Christopher M. O’Connor, John A. Spertus, Akshay S. Desai, Nancy M. Albert, Javed Butler, Adrian F. Hernandez, Adam D. DeVore</b:Middle>
          </b:Person>
        </b:NameList>
      </b:Author>
    </b:Author>
    <b:Title>Optimal Medical Therapy and Outcomes Among Patients With Chronic Heart Failure With Reduced Ejection Fraction</b:Title>
    <b:JournalName>J Am Coll Cardiol HF.</b:JournalName>
    <b:Year>2024</b:Year>
    <b:Pages>1862–1875</b:Pages>
    <b:Volume>12</b:Volume>
    <b:Issue>11</b:Issue>
    <b:DOI>https://www.jacc.org/doi/10.1016/j.jchf.2024.05.026</b:DOI>
    <b:RefOrder>10</b:RefOrder>
  </b:Source>
  <b:Source>
    <b:Tag>Zha24</b:Tag>
    <b:SourceType>JournalArticle</b:SourceType>
    <b:Guid>{77391578-800F-43D4-A20B-A9265FAEF5D9}</b:Guid>
    <b:Author>
      <b:Author>
        <b:NameList>
          <b:Person>
            <b:Last>Zhaowei Zhang</b:Last>
            <b:First>Shenjue</b:First>
            <b:Middle>Chen, Xuchun Xu, Guangwen Luo, Jian Huang</b:Middle>
          </b:Person>
        </b:NameList>
      </b:Author>
    </b:Author>
    <b:Title>Comparison of the Efficacy and Safety of Sacubitril/Valsartan and Angiotensin-Converting Enzyme Inhibitors/Angiotensin Receptor Blockers in Patients With Reduced Ejection Fraction Combined With Moderate-to-Severe Chronic Kidney Disease</b:Title>
    <b:JournalName>J Cardiovasc Pharmacol Ther.</b:JournalName>
    <b:Year>2024</b:Year>
    <b:Volume>29</b:Volume>
    <b:DOI>10.1177/10742484241265337</b:DOI>
    <b:RefOrder>11</b:RefOrder>
  </b:Source>
  <b:Source>
    <b:Tag>Dia24</b:Tag>
    <b:SourceType>BookSection</b:SourceType>
    <b:Guid>{EBCAEC81-814D-4BEC-B7BD-D1DF24E5EDBF}</b:Guid>
    <b:Title>Sacubitril-Valsartan</b:Title>
    <b:Year>2024</b:Year>
    <b:Author>
      <b:Author>
        <b:NameList>
          <b:Person>
            <b:Last>Diala Nicolas</b:Last>
            <b:First>Connor</b:First>
            <b:Middle>C. Kerndt, Preeti Patel, Mirembe Reed</b:Middle>
          </b:Person>
        </b:NameList>
      </b:Author>
    </b:Author>
    <b:BookTitle>Treasure Island (FL)</b:BookTitle>
    <b:Publisher>StatPearls Publishing</b:Publisher>
    <b:URL>https://www.ncbi.nlm.nih.gov/books/NBK507904/</b:URL>
    <b:RefOrder>12</b:RefOrder>
  </b:Source>
  <b:Source>
    <b:Tag>Lin23</b:Tag>
    <b:SourceType>BookSection</b:SourceType>
    <b:Guid>{755A2290-25FF-4F64-B948-BDBAFD0AF7C7}</b:Guid>
    <b:Author>
      <b:Author>
        <b:NameList>
          <b:Person>
            <b:Last>Linda L. Herman</b:Last>
            <b:First>Sandeep</b:First>
            <b:Middle>A. Padala, Intisar Ahmed, Khalid Bashir</b:Middle>
          </b:Person>
        </b:NameList>
      </b:Author>
    </b:Author>
    <b:Title>Angiotensin-Converting Enzyme Inhibitors (ACEI)</b:Title>
    <b:BookTitle>Treasure Island (FL)</b:BookTitle>
    <b:Year>2023</b:Year>
    <b:Publisher>StatPearls Publishing</b:Publisher>
    <b:URL>https://www.ncbi.nlm.nih.gov/books/NBK431051/</b:URL>
    <b:RefOrder>13</b:RefOrder>
  </b:Source>
  <b:Source>
    <b:Tag>Meg19</b:Tag>
    <b:SourceType>JournalArticle</b:SourceType>
    <b:Guid>{BCB25D65-44F0-41D2-A297-A2F815C55DF0}</b:Guid>
    <b:Title>Relation Between Cigarette Smoking and Heart Failure (From the Multi-Ethnic Study of Atherosclerosis)</b:Title>
    <b:Year>2019</b:Year>
    <b:Pages>1972–1977</b:Pages>
    <b:Author>
      <b:Author>
        <b:NameList>
          <b:Person>
            <b:Last>Megan Watson</b:Last>
            <b:First>Zeina</b:First>
            <b:Middle>Dardari, Sina Kianoush, Michael E Hall, Andrew P DeFilippis, Rachel J Keith, Emelia J Benjamin, Carlos J Rodriguez, Aruni Bhatnagar, Joao A Lima, Javed Butler, J Blaha, Mahmoud Al Rifai</b:Middle>
          </b:Person>
        </b:NameList>
      </b:Author>
    </b:Author>
    <b:JournalName>Am J Cardiol.</b:JournalName>
    <b:Volume>123</b:Volume>
    <b:Issue>12</b:Issue>
    <b:DOI>10.1016/j.amjcard.2019.03.015</b:DOI>
    <b:RefOrder>14</b:RefOrder>
  </b:Source>
  <b:Source>
    <b:Tag>Sør16</b:Tag>
    <b:SourceType>JournalArticle</b:SourceType>
    <b:Guid>{9E54F821-EDAB-4300-A679-8B1021D21E9D}</b:Guid>
    <b:Author>
      <b:Author>
        <b:NameList>
          <b:Person>
            <b:Last>Søren L. Kristensen</b:Last>
            <b:First>David</b:First>
            <b:Middle>Preiss, Pardeep S. Jhund, Iain Squire, José Silva Cardoso, Bela Merkely, Felipe Martinez, Randall C. Starling, Akshay S. Desai, Martin P. Lefkowitz, Adel R. Rizkala, Jean L. Rouleau, Victor C. Shi, Scott D. Solomon, Karl Swedber</b:Middle>
          </b:Person>
        </b:NameList>
      </b:Author>
    </b:Author>
    <b:Title>Risk Related to Pre–Diabetes Mellitus and Diabetes Mellitus in Heart Failure With Reduced Ejection Fraction: Insights From Prospective Comparison of ARNI With ACEI to Determine Impact on Global Mortality and Morbidity in Heart Failure Trial</b:Title>
    <b:JournalName>American Heart Association</b:JournalName>
    <b:Year>2016</b:Year>
    <b:Volume>9</b:Volume>
    <b:Issue>1</b:Issue>
    <b:DOI>https://doi.org/10.1161/CIRCHEARTFAILURE.115.002560</b:DOI>
    <b:RefOrder>15</b:RefOrder>
  </b:Source>
  <b:Source>
    <b:Tag>Chi23</b:Tag>
    <b:SourceType>JournalArticle</b:SourceType>
    <b:Guid>{3DC437FC-D8DD-4388-A59C-48F0F634D11B}</b:Guid>
    <b:Author>
      <b:Author>
        <b:NameList>
          <b:Person>
            <b:Last>Ching-Chang Fang</b:Last>
            <b:First>Yeun</b:First>
            <b:Middle>Tarl Fresner Ng Jao</b:Middle>
          </b:Person>
        </b:NameList>
      </b:Author>
    </b:Author>
    <b:Title>Combined Left Ventricular Ejection Fraction and N-Terminal pro-B-type Natriuretic Peptide after Sacubitril/Valsartan for Predicting Outcomes in Patients with Heart Failure with Reduced Ejection Fraction</b:Title>
    <b:JournalName>Acta Cardiol Sin.</b:JournalName>
    <b:Year>2023</b:Year>
    <b:Pages>297–308</b:Pages>
    <b:Volume>39</b:Volume>
    <b:Issue>2</b:Issue>
    <b:DOI>10.6515/ACS.202303_39(2).20220926A</b:DOI>
    <b:RefOrder>17</b:RefOrder>
  </b:Source>
  <b:Source>
    <b:Tag>Mic17</b:Tag>
    <b:SourceType>JournalArticle</b:SourceType>
    <b:Guid>{E70F9AF3-B49B-4F7C-9BA9-AF67A5ABED1E}</b:Guid>
    <b:Author>
      <b:Author>
        <b:NameList>
          <b:Person>
            <b:Last>Michael Böhm</b:Last>
            <b:First>Robin</b:First>
            <b:Middle>Young, Pardeep S Jhund, Scott D Solomon, Jianjian Gong, Martin P Lefkowitz, Adel R Rizkala 5, Jean L Rouleau 6, Victor C Shi, Karl Swedberg, Michael R Zile, Milton Packer, John JV McMurray</b:Middle>
          </b:Person>
        </b:NameList>
      </b:Author>
    </b:Author>
    <b:Title>Systolic blood pressure, cardiovascular outcomes and efficacy and safety of sacubitril/valsartan (LCZ696) in patients with chronic heart failure and reduced ejection fraction: results from PARADIGM-HF</b:Title>
    <b:JournalName>Eur Heart J.</b:JournalName>
    <b:Year>2017</b:Year>
    <b:Pages>1132–1143</b:Pages>
    <b:Volume>38</b:Volume>
    <b:Issue>15</b:Issue>
    <b:DOI>10.1093/eurheartj/ehw570</b:DOI>
    <b:RefOrder>16</b:RefOrder>
  </b:Source>
  <b:Source>
    <b:Tag>Dom21</b:Tag>
    <b:SourceType>JournalArticle</b:SourceType>
    <b:Guid>{A18F5627-4AFF-4EFE-9B4F-B013A2616D87}</b:Guid>
    <b:Author>
      <b:Author>
        <b:NameList>
          <b:Person>
            <b:Last>Domingo Pascual-Figal</b:Last>
            <b:First>Antoni</b:First>
            <b:Middle>Bayés-Genis, Paola Beltrán-Troncoso, Pedro Caravaca-Pérez 5,7,8,†, Alicia Conde-Martel 9,†, Maria G Crespo-Leiro 10,11,†, Juan F Delgado, Javier Díez, Francesc Formiga, Nicolás Manito</b:Middle>
          </b:Person>
        </b:NameList>
      </b:Author>
    </b:Author>
    <b:Title>Sacubitril-Valsartan, Clinical Benefits and Related Mechanisms of Action in Heart Failure With Reduced Ejection Fraction. A Review</b:Title>
    <b:JournalName>Front Cardiovasc Med.</b:JournalName>
    <b:Year>2021</b:Year>
    <b:Pages>754499</b:Pages>
    <b:Volume>8</b:Volume>
    <b:DOI>10.3389/fcvm.2021.754499</b:DOI>
    <b:RefOrder>9</b:RefOrder>
  </b:Source>
  <b:Source>
    <b:Tag>Rez23</b:Tag>
    <b:SourceType>JournalArticle</b:SourceType>
    <b:Guid>{BDB693AC-2E83-4549-AF3C-1E6608B14E92}</b:Guid>
    <b:Author>
      <b:Author>
        <b:NameList>
          <b:Person>
            <b:Last>Reza Mohebi</b:Last>
            <b:First>Yuxi</b:First>
            <b:Middle>Liu, G. Michael Felker, Margaret F. Prescott, Ileana L. Piña, Javed J. Butler, Jonathan H. Ward, Scott D. Solomon, James L. Januzzi</b:Middle>
          </b:Person>
        </b:NameList>
      </b:Author>
    </b:Author>
    <b:Title>Prediction of Left Ventricular Ejection Fraction Change Following Treatment With Sacubitril/Valsartan</b:Title>
    <b:JournalName>JACC: Heart Failure</b:JournalName>
    <b:Year>2023</b:Year>
    <b:Pages>44-45</b:Pages>
    <b:Volume>11</b:Volume>
    <b:Issue>1</b:Issue>
    <b:DOI>https://doi.org/10.1016/j.jchf.2022.09.009</b:DOI>
    <b:RefOrder>18</b:RefOrder>
  </b:Source>
  <b:Source>
    <b:Tag>Jam18</b:Tag>
    <b:SourceType>JournalArticle</b:SourceType>
    <b:Guid>{ACB819F6-5649-4514-9D29-0BF4084D10C6}</b:Guid>
    <b:Author>
      <b:Author>
        <b:NameList>
          <b:Person>
            <b:Last>James Louis Januzzi</b:Last>
            <b:First>Javed</b:First>
            <b:Middle>Butler, Emmanuel Fombu, Alan Maisel, Kevin McCague, Ileana L. Piña, Margaret F. Prescott, Jerome B. Riebman, Scott Solomon</b:Middle>
          </b:Person>
        </b:NameList>
      </b:Author>
    </b:Author>
    <b:Title>Rationale and methods of the Prospective Study of Biomarkers, Symptom Improvement, and Ventricular Remodeling During Sacubitril/Valsartan Therapy for Heart Failure (PROVE-HF)</b:Title>
    <b:JournalName>American Heart Journal</b:JournalName>
    <b:Year>2018</b:Year>
    <b:Pages>130-136</b:Pages>
    <b:Volume>199</b:Volume>
    <b:DOI>https://doi.org/10.1016/j.ahj.2017.12.021</b:DOI>
    <b:RefOrder>19</b:RefOrder>
  </b:Source>
  <b:Source>
    <b:Tag>Mut20</b:Tag>
    <b:SourceType>JournalArticle</b:SourceType>
    <b:Guid>{F3BD6B35-5B75-42E1-92B8-C9CA6C50208F}</b:Guid>
    <b:Author>
      <b:Author>
        <b:NameList>
          <b:Person>
            <b:Last>Muthiah Vaduganathan</b:Last>
            <b:First>Gregg</b:First>
            <b:Middle>C Fonarow, Stephen J Greene, Adam D DeVore, Abhishek Kavati 5, Slaven Sikirica, Nancy M Albert, Carol I Duffy, C Larry Hill, J Herbert Patterson, John A Spertus, Laine E Thomas, Fredonia B Williams, Adrian F Hernandez</b:Middle>
          </b:Person>
        </b:NameList>
      </b:Author>
    </b:Author>
    <b:Title>Contemporary Treatment Patterns and Clinical Outcomes of Comorbid Diabetes Mellitus and HFrEF: The CHAMP-HF Registry</b:Title>
    <b:JournalName>JACC Heart Fail</b:JournalName>
    <b:Year>2020</b:Year>
    <b:Pages>469-480</b:Pages>
    <b:Volume>8</b:Volume>
    <b:Issue>6</b:Issue>
    <b:DOI>10.1016/j.jchf.2019.12.015</b:DOI>
    <b:RefOrder>20</b:RefOrder>
  </b:Source>
  <b:Source>
    <b:Tag>Ani201</b:Tag>
    <b:SourceType>JournalArticle</b:SourceType>
    <b:Guid>{3EEBAEBF-98ED-4422-AD89-8ED1E14BFFBC}</b:Guid>
    <b:Author>
      <b:Author>
        <b:NameList>
          <b:Person>
            <b:Last>Anil Ranjeetmal Jain</b:Last>
            <b:First>Rakesh</b:First>
            <b:Middle>Kumar Aggarwal, Nanyam Srinivas Rao, Gauri Billa, Shankar Kumar</b:Middle>
          </b:Person>
        </b:NameList>
      </b:Author>
    </b:Author>
    <b:Title>Efficacy and safety of sacubitril/valsartan compared with enalapril in patients with chronic heart failure and reduced ejection fraction: Results from PARADIGM-HF India sub-study</b:Title>
    <b:JournalName>Indian Heart J.</b:JournalName>
    <b:Year>2020</b:Year>
    <b:Pages>535–540</b:Pages>
    <b:Volume>72</b:Volume>
    <b:Issue>6</b:Issue>
    <b:DOI>10.1016/j.ihj.2020.09.016</b:DOI>
    <b:RefOrder>21</b:RefOrder>
  </b:Source>
  <b:Source>
    <b:Tag>BAC15</b:Tag>
    <b:SourceType>JournalArticle</b:SourceType>
    <b:Guid>{301EE43E-C40B-4C8A-BA4F-304C1F81E235}</b:Guid>
    <b:Author>
      <b:Author>
        <b:NameList>
          <b:Person>
            <b:Last>BACHIR TAZKARJI</b:Last>
            <b:First>AMBIKA</b:First>
            <b:Middle>GANESHAMOORTHY</b:Middle>
          </b:Person>
        </b:NameList>
      </b:Author>
    </b:Author>
    <b:Title>Angiotensin-Converting Enzyme Inhibitors vs. Angiotensin Receptor Blockers</b:Title>
    <b:JournalName>American Family Physician</b:JournalName>
    <b:Year>2015</b:Year>
    <b:Volume>91</b:Volume>
    <b:Issue>3</b:Issue>
    <b:URL>https://www.aafp.org/pubs/afp/issues/2015/0201/p193.pdf#</b:URL>
    <b:RefOrder>22</b:RefOrder>
  </b:Source>
  <b:Source>
    <b:Tag>Geo20</b:Tag>
    <b:SourceType>JournalArticle</b:SourceType>
    <b:Guid>{7234BE3B-C506-453D-A73B-1362362318CF}</b:Guid>
    <b:Author>
      <b:Author>
        <b:NameList>
          <b:Person>
            <b:Last>George G Sokos</b:Last>
            <b:First>Amresh</b:First>
            <b:Middle>Raina</b:Middle>
          </b:Person>
        </b:NameList>
      </b:Author>
    </b:Author>
    <b:Title>Understanding the early mortality benefit observed in the PARADIGM-HF trial: considerations for the management of heart failure with sacubitril/valsartan</b:Title>
    <b:JournalName>Vascular Health and Risk Management</b:JournalName>
    <b:Year>2020</b:Year>
    <b:Pages>41—51</b:Pages>
    <b:Volume>16</b:Volume>
    <b:DOI>https://doi.org/10.2147/VHRM.S197291</b:DOI>
    <b:RefOrder>23</b:RefOrder>
  </b:Source>
  <b:Source>
    <b:Tag>Xia23</b:Tag>
    <b:SourceType>JournalArticle</b:SourceType>
    <b:Guid>{464FA3BF-DB7D-418D-A356-703E365A8F16}</b:Guid>
    <b:Author>
      <b:Author>
        <b:NameList>
          <b:Person>
            <b:Last>Xiaoye Li</b:Last>
            <b:First>Chengchun</b:First>
            <b:Middle>Zuo, Can Chen, Dan Tian, Jing Li, Linlin Fan, Xiaoyu Li, Qianzhou Lv</b:Middle>
          </b:Person>
        </b:NameList>
      </b:Author>
    </b:Author>
    <b:Title>Effectiveness and safety evaluation of sacubitril/valsartan in blood pressure control and clinical outcomes for elderly patients with heart failure and hypertension: A prospective cohort study</b:Title>
    <b:JournalName>International Journal of Cardiology</b:JournalName>
    <b:Year>2023</b:Year>
    <b:Pages>244-251</b:Pages>
    <b:Volume>371</b:Volume>
    <b:DOI>https://doi.org/10.1016/j.ijcard.2022.09.050</b:DOI>
    <b:RefOrder>24</b:RefOrder>
  </b:Source>
  <b:Source>
    <b:Tag>Mis25</b:Tag>
    <b:SourceType>JournalArticle</b:SourceType>
    <b:Guid>{8CC030A6-D281-4046-AD9F-05CDABC61A99}</b:Guid>
    <b:Author>
      <b:Author>
        <b:NameList>
          <b:Person>
            <b:Last>Misato Chimura</b:Last>
            <b:First>Jawad</b:First>
            <b:Middle>H. Butt, Shingo Matsumoto, Eoghan G. M. McMurray, Alasdair D. Henderson, Atefeh Talebi, Akshay S. Desai,</b:Middle>
          </b:Person>
        </b:NameList>
      </b:Author>
    </b:Author>
    <b:Title>Comprehensive Analysis of the Effects of Sacubitril/Valsartan According to Sex Among Patients With Heart Failure and Reduced Ejection Fraction in PARADIGM‐HF</b:Title>
    <b:JournalName>Journal of the American Heart Association</b:JournalName>
    <b:Year>2025</b:Year>
    <b:Volume>14</b:Volume>
    <b:Issue>9</b:Issue>
    <b:DOI>https://doi.org/10.1161/JAHA.124.038249</b:DOI>
    <b:RefOrder>25</b:RefOrder>
  </b:Source>
  <b:Source>
    <b:Tag>Ank25</b:Tag>
    <b:SourceType>JournalArticle</b:SourceType>
    <b:Guid>{3525338D-9962-4094-89AB-EE6A9943E095}</b:Guid>
    <b:Author>
      <b:Author>
        <b:NameList>
          <b:Person>
            <b:Last>Ankeet S Bhatt</b:Last>
            <b:First>Muthiah</b:First>
            <b:Middle>Vaduganathan, Barada P Jena, Sylwia Suminska, Carlos Eid, Heike Schwende, Michele Senni</b:Middle>
          </b:Person>
        </b:NameList>
      </b:Author>
    </b:Author>
    <b:Title>Real‐world comparative effectiveness of sacubitril/valsartan versus RAS inhibition alone in patients with de novo heart failure</b:Title>
    <b:JournalName>ESC Heart Fail.</b:JournalName>
    <b:Year>2025</b:Year>
    <b:Pages>1682–1692</b:Pages>
    <b:Volume>12</b:Volume>
    <b:Issue>3</b:Issue>
    <b:DOI>10.1002/ehf2.15183</b:DOI>
    <b:RefOrder>26</b:RefOrder>
  </b:Source>
  <b:Source>
    <b:Tag>Bal12</b:Tag>
    <b:SourceType>JournalArticle</b:SourceType>
    <b:Guid>{0AD6FE83-0977-427C-A865-405F9770D6B2}</b:Guid>
    <b:Author>
      <b:Author>
        <b:NameList>
          <b:Person>
            <b:Last>Balraj S Heran</b:Last>
            <b:First>Vijaya</b:First>
            <b:Middle>M Musini, Ken Bassett, Rod S Taylor, James M Wright</b:Middle>
          </b:Person>
        </b:NameList>
      </b:Author>
    </b:Author>
    <b:Title>Angiotensin receptor blockers for heart failure</b:Title>
    <b:JournalName>Cochrane Database Syst Rev.</b:JournalName>
    <b:Year>2012</b:Year>
    <b:Pages>CD003040</b:Pages>
    <b:Volume>4</b:Volume>
    <b:DOI>10.1002/14651858.CD003040.pub2</b:DOI>
    <b:RefOrder>8</b:RefOrder>
  </b:Source>
</b:Sources>
</file>

<file path=customXml/item2.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E3D5E036-0217-4E7B-B2DC-A1FE8287AD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88</cp:revision>
  <dcterms:created xsi:type="dcterms:W3CDTF">2025-06-01T03:46:00Z</dcterms:created>
  <dcterms:modified xsi:type="dcterms:W3CDTF">2025-06-25T06:56:00Z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0c2ce7b8-aa9e-4562-a702-e7cc6ccbf513</vt:lpwstr>
  </property>
  <property fmtid="{D5CDD505-2E9C-101B-9397-08002B2CF9AE}" pid="3" name="KSOProductBuildVer">
    <vt:lpwstr>1033-12.2.0.21546</vt:lpwstr>
  </property>
  <property fmtid="{D5CDD505-2E9C-101B-9397-08002B2CF9AE}" pid="4" name="ICV">
    <vt:lpwstr>531A3939C45449FE83C4BA137989BC45_13</vt:lpwstr>
  </property>
</Properties>
</file>