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821B2" w14:textId="77777777" w:rsidR="007D1FB4" w:rsidRPr="007D1FB4" w:rsidRDefault="007D1FB4" w:rsidP="007D1FB4">
      <w:pPr>
        <w:pStyle w:val="Author"/>
        <w:rPr>
          <w:rFonts w:ascii="Arial" w:hAnsi="Arial" w:cs="Arial"/>
          <w:bCs/>
          <w:i/>
          <w:iCs/>
          <w:kern w:val="28"/>
          <w:sz w:val="32"/>
          <w:szCs w:val="18"/>
          <w:u w:val="single"/>
        </w:rPr>
      </w:pPr>
      <w:r w:rsidRPr="007D1FB4">
        <w:rPr>
          <w:rFonts w:ascii="Arial" w:hAnsi="Arial" w:cs="Arial"/>
          <w:bCs/>
          <w:i/>
          <w:iCs/>
          <w:kern w:val="28"/>
          <w:sz w:val="32"/>
          <w:szCs w:val="18"/>
          <w:u w:val="single"/>
        </w:rPr>
        <w:t xml:space="preserve">Case report </w:t>
      </w:r>
    </w:p>
    <w:p w14:paraId="0F0223D2" w14:textId="77777777" w:rsidR="007D1FB4" w:rsidRDefault="007D1FB4" w:rsidP="007B3929">
      <w:pPr>
        <w:pStyle w:val="Author"/>
        <w:spacing w:line="240" w:lineRule="auto"/>
        <w:rPr>
          <w:rFonts w:ascii="Arial" w:hAnsi="Arial" w:cs="Arial"/>
          <w:bCs/>
          <w:iCs/>
          <w:kern w:val="28"/>
          <w:sz w:val="36"/>
        </w:rPr>
      </w:pPr>
    </w:p>
    <w:p w14:paraId="018F947A" w14:textId="730BA55F" w:rsidR="008C7EE8" w:rsidRDefault="006A1BF4" w:rsidP="006A1BF4">
      <w:pPr>
        <w:ind w:left="720"/>
        <w:jc w:val="right"/>
        <w:rPr>
          <w:b/>
          <w:bCs/>
        </w:rPr>
      </w:pPr>
      <w:r w:rsidRPr="006A1BF4">
        <w:rPr>
          <w:rFonts w:ascii="Arial" w:eastAsia="Times New Roman" w:hAnsi="Arial" w:cs="Arial"/>
          <w:b/>
          <w:bCs/>
          <w:iCs/>
          <w:kern w:val="28"/>
          <w:sz w:val="36"/>
          <w:szCs w:val="20"/>
        </w:rPr>
        <w:t xml:space="preserve">Unmasking Paradoxical Embolism: Cerebellar Stroke Linked to Coexisting Arteria Lusoria and Patent Foramen </w:t>
      </w:r>
      <w:proofErr w:type="spellStart"/>
      <w:r w:rsidRPr="006A1BF4">
        <w:rPr>
          <w:rFonts w:ascii="Arial" w:eastAsia="Times New Roman" w:hAnsi="Arial" w:cs="Arial"/>
          <w:b/>
          <w:bCs/>
          <w:iCs/>
          <w:kern w:val="28"/>
          <w:sz w:val="36"/>
          <w:szCs w:val="20"/>
        </w:rPr>
        <w:t>Ovale</w:t>
      </w:r>
      <w:proofErr w:type="spellEnd"/>
    </w:p>
    <w:p w14:paraId="2618EC39" w14:textId="77777777" w:rsidR="008A6B22" w:rsidRDefault="008A6B22" w:rsidP="008C7EE8">
      <w:pPr>
        <w:rPr>
          <w:b/>
          <w:bCs/>
        </w:rPr>
      </w:pPr>
    </w:p>
    <w:p w14:paraId="16B684BE" w14:textId="77777777" w:rsidR="008A6B22" w:rsidRDefault="008A6B22" w:rsidP="008C7EE8">
      <w:pPr>
        <w:rPr>
          <w:b/>
          <w:bCs/>
        </w:rPr>
      </w:pPr>
    </w:p>
    <w:p w14:paraId="6528006B" w14:textId="09ACE9F4" w:rsidR="007B3929" w:rsidRPr="00CE7FCD" w:rsidRDefault="008C7EE8" w:rsidP="00CE7FCD">
      <w:pPr>
        <w:pStyle w:val="AbstHead"/>
        <w:spacing w:after="0"/>
        <w:jc w:val="both"/>
        <w:rPr>
          <w:rFonts w:ascii="Arial" w:hAnsi="Arial" w:cs="Arial"/>
        </w:rPr>
      </w:pPr>
      <w:r w:rsidRPr="007B3929">
        <w:rPr>
          <w:rFonts w:ascii="Arial" w:hAnsi="Arial" w:cs="Arial"/>
        </w:rPr>
        <w:t>Abstract:</w:t>
      </w:r>
    </w:p>
    <w:p w14:paraId="4AA500FB" w14:textId="0AB22581" w:rsidR="008C7EE8" w:rsidRPr="007B3929" w:rsidRDefault="008C7EE8" w:rsidP="007B3929">
      <w:pPr>
        <w:pStyle w:val="Body"/>
        <w:pBdr>
          <w:top w:val="single" w:sz="4" w:space="1" w:color="auto"/>
          <w:left w:val="single" w:sz="4" w:space="4" w:color="auto"/>
          <w:bottom w:val="single" w:sz="4" w:space="1" w:color="auto"/>
          <w:right w:val="single" w:sz="4" w:space="4" w:color="auto"/>
        </w:pBdr>
        <w:spacing w:after="0"/>
        <w:rPr>
          <w:rFonts w:ascii="Arial" w:eastAsia="Calibri" w:hAnsi="Arial" w:cs="Arial"/>
          <w:szCs w:val="22"/>
        </w:rPr>
      </w:pPr>
      <w:r w:rsidRPr="007B3929">
        <w:rPr>
          <w:rFonts w:ascii="Arial" w:eastAsia="Calibri" w:hAnsi="Arial" w:cs="Arial"/>
          <w:b/>
          <w:bCs/>
          <w:szCs w:val="22"/>
        </w:rPr>
        <w:t>Background</w:t>
      </w:r>
      <w:r w:rsidRPr="007B3929">
        <w:rPr>
          <w:rFonts w:ascii="Arial" w:eastAsia="Calibri" w:hAnsi="Arial" w:cs="Arial"/>
          <w:szCs w:val="22"/>
        </w:rPr>
        <w:t xml:space="preserve">: </w:t>
      </w:r>
      <w:r w:rsidR="00CE7FCD">
        <w:t>The aberrant right subclavian artery (ARSA), or Arteria Lusoria, is a rare congenital anomaly of the aortic arch,</w:t>
      </w:r>
      <w:r w:rsidR="00D65973">
        <w:t xml:space="preserve"> </w:t>
      </w:r>
      <w:r w:rsidR="00CE7FCD">
        <w:t xml:space="preserve">often asymptomatic but capable of diverse presentations. Similarly, a patent foramen </w:t>
      </w:r>
      <w:proofErr w:type="spellStart"/>
      <w:r w:rsidR="00CE7FCD">
        <w:t>ovale</w:t>
      </w:r>
      <w:proofErr w:type="spellEnd"/>
      <w:r w:rsidR="00CE7FCD">
        <w:t xml:space="preserve"> (PFO) is a common cardiac anomaly, but its association with atrial septal aneurysm (ASA) significantly increases the risk of paradoxical embolism and stroke. The co-occurrence of ARSA with PFO and ASA, particularly with ARSA plaque formation, represents a uniquely complex and under-recognized risk profile for cerebrovascular events.</w:t>
      </w:r>
    </w:p>
    <w:p w14:paraId="37237D8B" w14:textId="77777777" w:rsidR="008C7EE8" w:rsidRPr="007B3929" w:rsidRDefault="008C7EE8" w:rsidP="007B3929">
      <w:pPr>
        <w:pStyle w:val="Body"/>
        <w:pBdr>
          <w:top w:val="single" w:sz="4" w:space="1" w:color="auto"/>
          <w:left w:val="single" w:sz="4" w:space="4" w:color="auto"/>
          <w:bottom w:val="single" w:sz="4" w:space="1" w:color="auto"/>
          <w:right w:val="single" w:sz="4" w:space="4" w:color="auto"/>
        </w:pBdr>
        <w:spacing w:after="0"/>
        <w:rPr>
          <w:rFonts w:ascii="Arial" w:eastAsia="Calibri" w:hAnsi="Arial" w:cs="Arial"/>
          <w:szCs w:val="22"/>
        </w:rPr>
      </w:pPr>
      <w:r w:rsidRPr="007B3929">
        <w:rPr>
          <w:rFonts w:ascii="Arial" w:eastAsia="Calibri" w:hAnsi="Arial" w:cs="Arial"/>
          <w:b/>
          <w:bCs/>
          <w:szCs w:val="22"/>
        </w:rPr>
        <w:t>Case Presentation</w:t>
      </w:r>
      <w:r w:rsidRPr="007B3929">
        <w:rPr>
          <w:rFonts w:ascii="Arial" w:eastAsia="Calibri" w:hAnsi="Arial" w:cs="Arial"/>
          <w:szCs w:val="22"/>
        </w:rPr>
        <w:t>: We present a 64-year-old male with a history of hypertension, hyperlipidemia, and cholelithiasis who presented with acute cerebellar stroke. Investigations revealed ARSA and a patent foramen oval (PFO) with atrial septal aneurysm (ASA).</w:t>
      </w:r>
    </w:p>
    <w:p w14:paraId="67940799" w14:textId="782F5EDA" w:rsidR="008C7EE8" w:rsidRPr="007B3929" w:rsidRDefault="008C7EE8" w:rsidP="007B3929">
      <w:pPr>
        <w:pStyle w:val="Body"/>
        <w:pBdr>
          <w:top w:val="single" w:sz="4" w:space="1" w:color="auto"/>
          <w:left w:val="single" w:sz="4" w:space="4" w:color="auto"/>
          <w:bottom w:val="single" w:sz="4" w:space="1" w:color="auto"/>
          <w:right w:val="single" w:sz="4" w:space="4" w:color="auto"/>
        </w:pBdr>
        <w:spacing w:after="0"/>
        <w:rPr>
          <w:rFonts w:ascii="Arial" w:eastAsia="Calibri" w:hAnsi="Arial" w:cs="Arial"/>
          <w:szCs w:val="22"/>
        </w:rPr>
      </w:pPr>
      <w:r w:rsidRPr="007B3929">
        <w:rPr>
          <w:rFonts w:ascii="Arial" w:eastAsia="Calibri" w:hAnsi="Arial" w:cs="Arial"/>
          <w:b/>
          <w:bCs/>
          <w:szCs w:val="22"/>
        </w:rPr>
        <w:t>Discussion:</w:t>
      </w:r>
      <w:r w:rsidRPr="007B3929">
        <w:rPr>
          <w:rFonts w:ascii="Arial" w:eastAsia="Calibri" w:hAnsi="Arial" w:cs="Arial"/>
          <w:szCs w:val="22"/>
        </w:rPr>
        <w:t xml:space="preserve"> </w:t>
      </w:r>
      <w:r w:rsidR="00CE7FCD">
        <w:t>This case strikingly illustrates a rare triad of anatomical variants (ARSA with plaque, PFO, and ASA) that together likely contributed to a paradoxical embolism leading to cerebellar stroke. It highlights the critical interplay between congenital anomalies and acquired risk factors, emphasizing how such a combination can create a prothrombotic environment and facilitate embolic transit. The diagnostic utility of multimodal imaging was paramount in uncovering these concurrent findings, guiding subsequent management.</w:t>
      </w:r>
    </w:p>
    <w:p w14:paraId="34F46B13" w14:textId="77777777" w:rsidR="008C7EE8" w:rsidRPr="000F0B1C" w:rsidRDefault="008C7EE8" w:rsidP="007B3929">
      <w:pPr>
        <w:pStyle w:val="Body"/>
        <w:pBdr>
          <w:top w:val="single" w:sz="4" w:space="1" w:color="auto"/>
          <w:left w:val="single" w:sz="4" w:space="4" w:color="auto"/>
          <w:bottom w:val="single" w:sz="4" w:space="1" w:color="auto"/>
          <w:right w:val="single" w:sz="4" w:space="4" w:color="auto"/>
        </w:pBdr>
        <w:spacing w:after="0"/>
      </w:pPr>
      <w:r w:rsidRPr="007B3929">
        <w:rPr>
          <w:rFonts w:ascii="Arial" w:eastAsia="Calibri" w:hAnsi="Arial" w:cs="Arial"/>
          <w:b/>
          <w:bCs/>
          <w:szCs w:val="22"/>
        </w:rPr>
        <w:t>Conclusions:</w:t>
      </w:r>
      <w:r w:rsidRPr="007B3929">
        <w:rPr>
          <w:rFonts w:ascii="Arial" w:eastAsia="Calibri" w:hAnsi="Arial" w:cs="Arial"/>
          <w:szCs w:val="22"/>
        </w:rPr>
        <w:t xml:space="preserve"> This case underscores the importance of considering uncommon anatomical variations during stroke workup, especially when dealing with atypical presentations or increased risk factors. This approach can improve diagnostic accuracy and contribute to optimal patient care</w:t>
      </w:r>
      <w:r w:rsidRPr="000F0B1C">
        <w:t>.</w:t>
      </w:r>
    </w:p>
    <w:p w14:paraId="1FBC805C" w14:textId="77777777" w:rsidR="008C7EE8" w:rsidRDefault="007B3929" w:rsidP="007B3929">
      <w:r w:rsidRPr="007B3929">
        <w:rPr>
          <w:i/>
        </w:rPr>
        <w:t>Keywords:</w:t>
      </w:r>
      <w:r>
        <w:rPr>
          <w:i/>
        </w:rPr>
        <w:t xml:space="preserve"> Arteria Lusoria, Cerebellar stroke, Atrial septal aneurysm, Persistent foramen oval</w:t>
      </w:r>
    </w:p>
    <w:p w14:paraId="1D9515B4" w14:textId="77777777" w:rsidR="008C7EE8" w:rsidRPr="00391FA8" w:rsidRDefault="008C7EE8" w:rsidP="00391FA8">
      <w:pPr>
        <w:pStyle w:val="ListParagraph"/>
        <w:numPr>
          <w:ilvl w:val="0"/>
          <w:numId w:val="1"/>
        </w:numPr>
        <w:ind w:left="270" w:hanging="270"/>
        <w:rPr>
          <w:rFonts w:ascii="Arial" w:eastAsia="Times New Roman" w:hAnsi="Arial" w:cs="Arial"/>
          <w:b/>
          <w:caps/>
          <w:szCs w:val="20"/>
        </w:rPr>
      </w:pPr>
      <w:bookmarkStart w:id="0" w:name="_Hlk200623569"/>
      <w:r w:rsidRPr="00391FA8">
        <w:rPr>
          <w:rFonts w:ascii="Arial" w:eastAsia="Times New Roman" w:hAnsi="Arial" w:cs="Arial"/>
          <w:b/>
          <w:caps/>
          <w:szCs w:val="20"/>
        </w:rPr>
        <w:t>Introduction</w:t>
      </w:r>
      <w:bookmarkEnd w:id="0"/>
      <w:r w:rsidRPr="00391FA8">
        <w:rPr>
          <w:rFonts w:ascii="Arial" w:eastAsia="Times New Roman" w:hAnsi="Arial" w:cs="Arial"/>
          <w:b/>
          <w:caps/>
          <w:szCs w:val="20"/>
        </w:rPr>
        <w:t xml:space="preserve">: </w:t>
      </w:r>
    </w:p>
    <w:p w14:paraId="7B6E4A6B" w14:textId="4D78122B" w:rsidR="008C7EE8" w:rsidRPr="00391FA8" w:rsidRDefault="008C7EE8" w:rsidP="00793D58">
      <w:pPr>
        <w:pStyle w:val="Body"/>
        <w:spacing w:after="0"/>
        <w:rPr>
          <w:rFonts w:ascii="Arial" w:hAnsi="Arial" w:cs="Arial"/>
        </w:rPr>
      </w:pPr>
      <w:r w:rsidRPr="00391FA8">
        <w:rPr>
          <w:rFonts w:ascii="Arial" w:hAnsi="Arial" w:cs="Arial"/>
        </w:rPr>
        <w:t xml:space="preserve">Arteria </w:t>
      </w:r>
      <w:proofErr w:type="spellStart"/>
      <w:r w:rsidRPr="00391FA8">
        <w:rPr>
          <w:rFonts w:ascii="Arial" w:hAnsi="Arial" w:cs="Arial"/>
        </w:rPr>
        <w:t>lusoria</w:t>
      </w:r>
      <w:proofErr w:type="spellEnd"/>
      <w:r w:rsidRPr="00391FA8">
        <w:rPr>
          <w:rFonts w:ascii="Arial" w:hAnsi="Arial" w:cs="Arial"/>
        </w:rPr>
        <w:t xml:space="preserve">, also known as aberrant right subclavian artery, is a rare congenital anomaly affecting approximately 0.5% to 2% of the population </w:t>
      </w:r>
      <w:r w:rsidRPr="00391FA8">
        <w:rPr>
          <w:rFonts w:ascii="Arial" w:hAnsi="Arial" w:cs="Arial"/>
        </w:rPr>
        <w:fldChar w:fldCharType="begin"/>
      </w:r>
      <w:r w:rsidR="00BD4C4B">
        <w:rPr>
          <w:rFonts w:ascii="Arial" w:hAnsi="Arial" w:cs="Arial"/>
        </w:rPr>
        <w:instrText xml:space="preserve"> ADDIN ZOTERO_ITEM CSL_CITATION {"citationID":"hjZnAt2O","properties":{"formattedCitation":"[1]","plainCitation":"[1]","noteIndex":0},"citationItems":[{"id":137,"uris":["http://zotero.org/users/local/ykrBxlF1/items/V67GI7ZJ","http://zotero.org/users/17374735/items/V67GI7ZJ"],"itemData":{"id":137,"type":"article-journal","container-title":"RadioGraphics","DOI":"10.1148/rg.2017160033","ISSN":"0271-5333, 1527-1323","issue":"1","journalAbbreviation":"RadioGraphics","language":"en","page":"32-51","source":"DOI.org (Crossref)","title":"Congenital Variants and Anomalies of the Aortic Arch","volume":"37","author":[{"family":"Hanneman","given":"Kate"},{"family":"Newman","given":"Beverley"},{"family":"Chan","given":"Frandics"}],"issued":{"date-parts":[["2017",1]]}}}],"schema":"https://github.com/citation-style-language/schema/raw/master/csl-citation.json"} </w:instrText>
      </w:r>
      <w:r w:rsidRPr="00391FA8">
        <w:rPr>
          <w:rFonts w:ascii="Arial" w:hAnsi="Arial" w:cs="Arial"/>
        </w:rPr>
        <w:fldChar w:fldCharType="separate"/>
      </w:r>
      <w:r w:rsidR="00BD4C4B" w:rsidRPr="00BD4C4B">
        <w:rPr>
          <w:rFonts w:ascii="Arial" w:hAnsi="Arial" w:cs="Arial"/>
        </w:rPr>
        <w:t>[1]</w:t>
      </w:r>
      <w:r w:rsidRPr="00391FA8">
        <w:rPr>
          <w:rFonts w:ascii="Arial" w:hAnsi="Arial" w:cs="Arial"/>
        </w:rPr>
        <w:fldChar w:fldCharType="end"/>
      </w:r>
      <w:r w:rsidRPr="00391FA8">
        <w:rPr>
          <w:rFonts w:ascii="Arial" w:hAnsi="Arial" w:cs="Arial"/>
        </w:rPr>
        <w:t>. This anomaly involves the abnormal origin of the right subclavian artery, arising from the descending aorta instead of the usual brachiocephalic trunk.</w:t>
      </w:r>
      <w:r w:rsidRPr="00391FA8">
        <w:rPr>
          <w:rFonts w:ascii="Arial" w:hAnsi="Arial" w:cs="Arial"/>
        </w:rPr>
        <w:fldChar w:fldCharType="begin"/>
      </w:r>
      <w:r w:rsidR="00BD4C4B">
        <w:rPr>
          <w:rFonts w:ascii="Arial" w:hAnsi="Arial" w:cs="Arial"/>
        </w:rPr>
        <w:instrText xml:space="preserve"> ADDIN ZOTERO_ITEM CSL_CITATION {"citationID":"apqEJng8","properties":{"formattedCitation":"[2]","plainCitation":"[2]","noteIndex":0},"citationItems":[{"id":136,"uris":["http://zotero.org/users/local/ykrBxlF1/items/XREJY6L3","http://zotero.org/users/17374735/items/XREJY6L3"],"itemData":{"id":136,"type":"article-journal","abstract":"The most important abnormality of the aortic arch is arguably the presence of an aberrant right subclavian artery (arteria lusoria). If this vessel compresses the adjacent structures, several symptoms may be produced. The aim of the study is to present the morphological and clinical aspects of the aberrant right subclavian artery. Three different databases searched for a review of pertinent literature using strictly predetermined criteria. Of 141 cases, 15 were cadaveric and 126 were clinically documented. The gender distribution of the subjects was 55.3% female and 44.7% male. The mean age of the patients at symptoms onset was\n              \n                49.9\n                ±\n                19.4\n              \n              years for all patients but\n              \n                54.0\n                ±\n                19.6\n              \n              years and\n              \n                44.9\n                ±\n                18.1\n              \n              years for female and male subjects, respectively (\n              \n                P\n                =\n                0.0061\n              \n              ). The most common symptoms in this group were dysphagia (71.2%), dyspnea (18.7%), retrosternal pain (17.0%), cough (7.6%), and weight loss (5.9%). The vascular anomalies coexisting with an arteria lusoria were truncus bicaroticus (19.2%), Kommerell’s diverticulum (14.9%), aneurysm of the artery itself (12.8%), and a right sided aortic arch (9.2%). In conclusion, compression of adjacent structures by an aberrant right subclavian artery needs to be differentiated from other conditions presenting dysphagia, dyspnea, retrosternal pain, cough, and weight loss.","container-title":"The Scientific World Journal","DOI":"10.1155/2014/292734","ISSN":"2356-6140, 1537-744X","journalAbbreviation":"The Scientific World Journal","language":"en","page":"1-6","source":"DOI.org (Crossref)","title":"The Aberrant Right Subclavian Artery (Arteria Lusoria): The Morphological and Clinical Aspects of One of the Most Important Variations—A Systematic Study of 141 Reports","title-short":"The Aberrant Right Subclavian Artery (Arteria Lusoria)","volume":"2014","author":[{"family":"Polguj","given":"Michał"},{"family":"Chrzanowski","given":"Łukasz"},{"family":"Kasprzak","given":"Jarosław D."},{"family":"Stefańczyk","given":"Ludomir"},{"family":"Topol","given":"Mirosław"},{"family":"Majos","given":"Agata"}],"issued":{"date-parts":[["2014"]]}}}],"schema":"https://github.com/citation-style-language/schema/raw/master/csl-citation.json"} </w:instrText>
      </w:r>
      <w:r w:rsidRPr="00391FA8">
        <w:rPr>
          <w:rFonts w:ascii="Arial" w:hAnsi="Arial" w:cs="Arial"/>
        </w:rPr>
        <w:fldChar w:fldCharType="separate"/>
      </w:r>
      <w:r w:rsidR="00BD4C4B" w:rsidRPr="00BD4C4B">
        <w:rPr>
          <w:rFonts w:ascii="Arial" w:hAnsi="Arial" w:cs="Arial"/>
        </w:rPr>
        <w:t>[2]</w:t>
      </w:r>
      <w:r w:rsidRPr="00391FA8">
        <w:rPr>
          <w:rFonts w:ascii="Arial" w:hAnsi="Arial" w:cs="Arial"/>
        </w:rPr>
        <w:fldChar w:fldCharType="end"/>
      </w:r>
      <w:r w:rsidRPr="00391FA8">
        <w:rPr>
          <w:rFonts w:ascii="Arial" w:hAnsi="Arial" w:cs="Arial"/>
        </w:rPr>
        <w:t xml:space="preserve"> While typically asymptomatic, ARSA can occasionally present with complications like dysphagia (swallowing difficulty) due to esophageal compression</w:t>
      </w:r>
      <w:r w:rsidRPr="00391FA8">
        <w:rPr>
          <w:rFonts w:ascii="Arial" w:hAnsi="Arial" w:cs="Arial"/>
        </w:rPr>
        <w:fldChar w:fldCharType="begin"/>
      </w:r>
      <w:r w:rsidR="00BD4C4B">
        <w:rPr>
          <w:rFonts w:ascii="Arial" w:hAnsi="Arial" w:cs="Arial"/>
        </w:rPr>
        <w:instrText xml:space="preserve"> ADDIN ZOTERO_ITEM CSL_CITATION {"citationID":"esBfOtgY","properties":{"formattedCitation":"[3], [4]","plainCitation":"[3], [4]","noteIndex":0},"citationItems":[{"id":145,"uris":["http://zotero.org/users/local/ykrBxlF1/items/JCYHAVFL","http://zotero.org/users/17374735/items/JCYHAVFL"],"itemData":{"id":145,"type":"article-journal","abstract":"In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id":143,"uris":["http://zotero.org/users/local/ykrBxlF1/items/55R8DLPI","http://zotero.org/users/17374735/items/55R8DLPI"],"itemData":{"id":143,"type":"article-journal","abstract":"Purpose: Because ofthe scarcity oflarge series in the literature, our experience with surgery for aberrant subclavian arteries (aSA) in adults was reviewed.\nMethods: During the last 16 years we have surgically treated 33 adult patients with aSA. Twenty-eight patients had a left-sided aortic arch with a right aSA whereas five had a right-sided aortic arch with a left aSA. Eleven patients (group 1) had dysphagia caused by esophageal compression by a nonaneurysmal aSA; five patients (group 2) had ischemic symptoms caused by occlusive disease of a nonaneurysmal aSA; 10 patients (group 3) had aneurysms of the aSA with or without symptoms caused by esophageal compression or arterial thromboembolism; and seven patients (group 4) had an aSA arising from a diseased (usually aneurysmal) thoracic aorta. In all cases the divided aSA was revascularized, most often by direct transposition into the ipsilateral common carotid artery. Nine ofthe 16 patients in groups 1 and 2 underwent operation with a cervical approach alone. In the remaining seven, the cervical approach was combined with a median sternotomy (six cases) or a left thoracotomy (one case). In the 17 patients in groups 3 and 4, either a cervical approach (two cases), a median sternotomy (four cases), or a two-staged approach combining a supraclavicular incision on the side of the aSA with a posterolateral thoracotomy on the side ofthe aortic arch (11 cases) was used. Aortic cross-clamping was required in 12 ofthese patients to perform the transaortic closure ofthe origin ofthe aSA with patch angioplasty (three cases), or prosthetic replacement of the descending thoracic aorta (nine cases). Cardiopulmonary bypass was used in six patients (including three with hypothermic circulatory arrest).\nResults: Four patients, all in groups 3 and 4, died after operation: two of multiorgan failure, one of heart failure, and one of esophageal rupture. Satisfactory clinical and anatomic results were obtained in the remaining 29 patients.\nConclusions: The surgical approach to aSA must be flexible and adapted to the anatomic conditions found. We recommend routine reconstruction of the aSA to avoid ischemic complications in the vertebrobasilar territory or upper extremity. Provision should be a made for cardiopulmonary bypass in patients with aneurysm of aSA or associated aortic aneurysm. VASe SURG 1994;19:100-11.)","container-title":"Journal of Vascular Surgery","DOI":"10.1016/S0741-5214(94)70125-3","ISSN":"07415214","issue":"1","journalAbbreviation":"Journal of Vascular Surgery","language":"en","page":"100-111","source":"DOI.org (Crossref)","title":"Aberrant subclavian artery: Surgical treatment in thirty-three adult patients","title-short":"Aberrant subclavian artery","volume":"19","author":[{"family":"Kieffer","given":"Edouard"},{"family":"Bahnini","given":"Amine"},{"family":"Koskas","given":"Fabien"}],"issued":{"date-parts":[["1994",1]]}}}],"schema":"https://github.com/citation-style-language/schema/raw/master/csl-citation.json"} </w:instrText>
      </w:r>
      <w:r w:rsidRPr="00391FA8">
        <w:rPr>
          <w:rFonts w:ascii="Arial" w:hAnsi="Arial" w:cs="Arial"/>
        </w:rPr>
        <w:fldChar w:fldCharType="separate"/>
      </w:r>
      <w:r w:rsidR="00BD4C4B" w:rsidRPr="00BD4C4B">
        <w:rPr>
          <w:rFonts w:ascii="Arial" w:hAnsi="Arial" w:cs="Arial"/>
        </w:rPr>
        <w:t>[3], [4]</w:t>
      </w:r>
      <w:r w:rsidRPr="00391FA8">
        <w:rPr>
          <w:rFonts w:ascii="Arial" w:hAnsi="Arial" w:cs="Arial"/>
        </w:rPr>
        <w:fldChar w:fldCharType="end"/>
      </w:r>
      <w:r w:rsidRPr="00391FA8">
        <w:rPr>
          <w:rFonts w:ascii="Arial" w:hAnsi="Arial" w:cs="Arial"/>
        </w:rPr>
        <w:t>. However, its potential association with stroke remains an evolving area of research.</w:t>
      </w:r>
      <w:r w:rsidR="00793D58">
        <w:rPr>
          <w:rFonts w:ascii="Arial" w:hAnsi="Arial" w:cs="Arial"/>
        </w:rPr>
        <w:t xml:space="preserve"> </w:t>
      </w:r>
      <w:r w:rsidR="00793D58">
        <w:t>Similarly,</w:t>
      </w:r>
      <w:r w:rsidR="00793D58" w:rsidRPr="00793D58">
        <w:t xml:space="preserve"> </w:t>
      </w:r>
      <w:r w:rsidR="00793D58">
        <w:t>a</w:t>
      </w:r>
      <w:r w:rsidR="00793D58">
        <w:t xml:space="preserve"> patent foramen </w:t>
      </w:r>
      <w:proofErr w:type="spellStart"/>
      <w:r w:rsidR="00793D58">
        <w:t>ovale</w:t>
      </w:r>
      <w:proofErr w:type="spellEnd"/>
      <w:r w:rsidR="00793D58">
        <w:t xml:space="preserve"> (PFO), the most frequent cause of interatrial shunting, is usually clinically silent but can be a pathway for paradoxical embolism or a site for </w:t>
      </w:r>
      <w:r w:rsidR="00793D58">
        <w:rPr>
          <w:rStyle w:val="Emphasis"/>
        </w:rPr>
        <w:t>in situ</w:t>
      </w:r>
      <w:r w:rsidR="00793D58">
        <w:t xml:space="preserve"> thrombus development, contributing to cryptogenic stroke.</w:t>
      </w:r>
      <w:r w:rsidR="00793D58">
        <w:fldChar w:fldCharType="begin"/>
      </w:r>
      <w:r w:rsidR="00793D58">
        <w:instrText xml:space="preserve"> ADDIN ZOTERO_ITEM CSL_CITATION {"citationID":"mNXl5gPj","properties":{"formattedCitation":"[5]","plainCitation":"[5]","noteIndex":0},"citationItems":[{"id":801,"uris":["http://zotero.org/users/17374735/items/PDIDVHRF"],"itemData":{"id":801,"type":"article-journal","abstract":"Patent foram ovale (PFO) is the most common anatomical cause of an interarterial shunt. It is usually asymptomatic but may cause paradoxical embolism and is a risk factor for non-lacunar cryptogenic cerebral ischemia in young adults. Although the first clinical trials did not show a significant superiority of PFO closure in the secondary prevention of cerebral ischemia as compared with standard antithrombotic treatment, six subsequent randomized clinical trials (CLOSURE I, PC Trial, RESPECT, CLOSE, REDUCE, and DEFENSE-PFO) performed in a sample of cryptogenic stroke in patients aged 60 years or younger provided evidence of a significant reduction of recurrent cerebral ischemia after percutaneous PFO closure. However, the use of percutaneous PFO closure cannot be generalized to the entire population of patients with cerebral ischemia and PFO, but it is indicated in highly selected patients with non-lacunar cryptogenic cerebral infarction with a large right-to-left shunt, an atrial septal aneurysm and no evidence of atrial fibrillation, as well as in association with antithrombotic treatment for an optimal secondary prevention of cerebral ischemia.","container-title":"Journal of Geriatric Cardiology : JGC","DOI":"10.11909/j.issn.1671-5411.2021.01.009","ISSN":"1671-5411","issue":"1","journalAbbreviation":"J Geriatr Cardiol","note":"PMID: 33613660\nPMCID: PMC7868908","page":"67-74","source":"PubMed Central","title":"Patent foramen ovale closure in non-lacunar cryptogenic ischemic stroke: where are we now?","title-short":"Patent foramen ovale closure in non-lacunar cryptogenic ischemic stroke","volume":"18","author":[{"family":"ARBOIX","given":"Adrià"},{"family":"PARRA","given":"Olga"},{"family":"ALIÓ","given":"Josefina"}],"issued":{"date-parts":[["2021",1,28]]}}}],"schema":"https://github.com/citation-style-language/schema/raw/master/csl-citation.json"} </w:instrText>
      </w:r>
      <w:r w:rsidR="00793D58">
        <w:fldChar w:fldCharType="separate"/>
      </w:r>
      <w:r w:rsidR="00793D58" w:rsidRPr="00793D58">
        <w:rPr>
          <w:rFonts w:cs="Helvetica"/>
        </w:rPr>
        <w:t>[5]</w:t>
      </w:r>
      <w:r w:rsidR="00793D58">
        <w:fldChar w:fldCharType="end"/>
      </w:r>
    </w:p>
    <w:p w14:paraId="5129D545" w14:textId="77777777" w:rsidR="008C7EE8" w:rsidRPr="00391FA8" w:rsidRDefault="008C7EE8" w:rsidP="00391FA8">
      <w:pPr>
        <w:pStyle w:val="Body"/>
        <w:spacing w:after="0"/>
        <w:rPr>
          <w:rFonts w:ascii="Arial" w:hAnsi="Arial" w:cs="Arial"/>
        </w:rPr>
      </w:pPr>
      <w:r w:rsidRPr="00391FA8">
        <w:rPr>
          <w:rFonts w:ascii="Arial" w:hAnsi="Arial" w:cs="Arial"/>
        </w:rPr>
        <w:t xml:space="preserve">This case report delves into the intriguing presentation of a 64-year-old male with a history of hypertension, hyperlipidemia, and cholelithiasis who experienced an acute cerebellar stroke. Interestingly, investigations revealed the presence of both ARSA and a patent foramen </w:t>
      </w:r>
      <w:proofErr w:type="spellStart"/>
      <w:r w:rsidRPr="00391FA8">
        <w:rPr>
          <w:rFonts w:ascii="Arial" w:hAnsi="Arial" w:cs="Arial"/>
        </w:rPr>
        <w:t>ovale</w:t>
      </w:r>
      <w:proofErr w:type="spellEnd"/>
      <w:r w:rsidRPr="00391FA8">
        <w:rPr>
          <w:rFonts w:ascii="Arial" w:hAnsi="Arial" w:cs="Arial"/>
        </w:rPr>
        <w:t xml:space="preserve"> (PFO) with atrial septal aneurysm (ASA).</w:t>
      </w:r>
    </w:p>
    <w:p w14:paraId="4CE78F35" w14:textId="77777777" w:rsidR="008C7EE8" w:rsidRPr="004A763C" w:rsidRDefault="008C7EE8" w:rsidP="008C7EE8">
      <w:pPr>
        <w:rPr>
          <w:b/>
        </w:rPr>
      </w:pPr>
    </w:p>
    <w:p w14:paraId="3C6723C6" w14:textId="77777777" w:rsidR="00263554" w:rsidRDefault="008420EF" w:rsidP="008420EF">
      <w:pPr>
        <w:pStyle w:val="ListParagraph"/>
        <w:numPr>
          <w:ilvl w:val="0"/>
          <w:numId w:val="1"/>
        </w:numPr>
        <w:tabs>
          <w:tab w:val="left" w:pos="360"/>
        </w:tabs>
        <w:ind w:left="0" w:firstLine="90"/>
        <w:rPr>
          <w:rFonts w:ascii="Arial" w:eastAsia="Times New Roman" w:hAnsi="Arial" w:cs="Arial"/>
          <w:b/>
          <w:caps/>
          <w:szCs w:val="20"/>
        </w:rPr>
      </w:pPr>
      <w:r w:rsidRPr="00391FA8">
        <w:rPr>
          <w:rFonts w:ascii="Arial" w:eastAsia="Times New Roman" w:hAnsi="Arial" w:cs="Arial"/>
          <w:b/>
          <w:caps/>
          <w:szCs w:val="20"/>
        </w:rPr>
        <w:t>Case presentation:</w:t>
      </w:r>
    </w:p>
    <w:p w14:paraId="6A6DC79B" w14:textId="0E1EE4DA" w:rsidR="008C7EE8" w:rsidRPr="00263554" w:rsidRDefault="008C7EE8" w:rsidP="004B047E">
      <w:pPr>
        <w:pStyle w:val="ListParagraph"/>
        <w:tabs>
          <w:tab w:val="left" w:pos="360"/>
        </w:tabs>
        <w:ind w:left="90"/>
        <w:rPr>
          <w:rFonts w:ascii="Arial" w:eastAsia="Times New Roman" w:hAnsi="Arial" w:cs="Arial"/>
          <w:b/>
          <w:caps/>
          <w:szCs w:val="20"/>
        </w:rPr>
      </w:pPr>
      <w:r w:rsidRPr="007000B7">
        <w:br/>
      </w:r>
      <w:r w:rsidRPr="00263554">
        <w:rPr>
          <w:rFonts w:ascii="Arial" w:eastAsia="Times New Roman" w:hAnsi="Arial" w:cs="Arial"/>
          <w:sz w:val="20"/>
          <w:szCs w:val="20"/>
        </w:rPr>
        <w:t xml:space="preserve">A 64-year-old male with a history of hypertension, hyperlipidemia, and cholelithiasis presented to the emergency department with a sudden onset of severe vertigo, frontal headaches, and vomiting. On examination, he was conscious, alert, and oriented but exhibited rotatory vertigo, left upper limb dysmetria, multidirectional nystagmus, and an inability to stand without assistance. </w:t>
      </w:r>
      <w:r w:rsidR="004B047E" w:rsidRPr="004B047E">
        <w:rPr>
          <w:rFonts w:ascii="Arial" w:eastAsia="Times New Roman" w:hAnsi="Arial" w:cs="Arial"/>
          <w:sz w:val="20"/>
          <w:szCs w:val="20"/>
        </w:rPr>
        <w:t xml:space="preserve">His NIHSS score was </w:t>
      </w:r>
      <w:r w:rsidR="004B047E" w:rsidRPr="004B047E">
        <w:rPr>
          <w:rFonts w:ascii="Arial" w:eastAsia="Times New Roman" w:hAnsi="Arial" w:cs="Arial"/>
          <w:sz w:val="20"/>
          <w:szCs w:val="20"/>
        </w:rPr>
        <w:lastRenderedPageBreak/>
        <w:t>4, reflecting mild deficits attributable to cerebellar dysfunction. </w:t>
      </w:r>
      <w:r w:rsidRPr="00263554">
        <w:rPr>
          <w:rFonts w:ascii="Arial" w:eastAsia="Times New Roman" w:hAnsi="Arial" w:cs="Arial"/>
          <w:sz w:val="20"/>
          <w:szCs w:val="20"/>
        </w:rPr>
        <w:t xml:space="preserve">No cranial nerve abnormalities were found, and deep tendon reflexes were normal. While an initial head CT scan was unremarkable, subsequent MRI confirmed a left cerebellar stroke (Figure 1). </w:t>
      </w:r>
    </w:p>
    <w:p w14:paraId="108F7FF8" w14:textId="564C547A" w:rsidR="008C7EE8" w:rsidRPr="00391FA8" w:rsidRDefault="00450728" w:rsidP="008C7EE8">
      <w:pPr>
        <w:keepNext/>
        <w:jc w:val="center"/>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59264" behindDoc="0" locked="0" layoutInCell="1" allowOverlap="1" wp14:anchorId="4951C029" wp14:editId="7C4B2D16">
                <wp:simplePos x="0" y="0"/>
                <wp:positionH relativeFrom="column">
                  <wp:posOffset>3009265</wp:posOffset>
                </wp:positionH>
                <wp:positionV relativeFrom="paragraph">
                  <wp:posOffset>2567305</wp:posOffset>
                </wp:positionV>
                <wp:extent cx="274320" cy="327660"/>
                <wp:effectExtent l="0" t="38100" r="49530" b="34290"/>
                <wp:wrapNone/>
                <wp:docPr id="2" name="Straight Arrow Connector 2"/>
                <wp:cNvGraphicFramePr/>
                <a:graphic xmlns:a="http://schemas.openxmlformats.org/drawingml/2006/main">
                  <a:graphicData uri="http://schemas.microsoft.com/office/word/2010/wordprocessingShape">
                    <wps:wsp>
                      <wps:cNvCnPr/>
                      <wps:spPr>
                        <a:xfrm flipV="1">
                          <a:off x="0" y="0"/>
                          <a:ext cx="274320" cy="3276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F645FF" id="_x0000_t32" coordsize="21600,21600" o:spt="32" o:oned="t" path="m,l21600,21600e" filled="f">
                <v:path arrowok="t" fillok="f" o:connecttype="none"/>
                <o:lock v:ext="edit" shapetype="t"/>
              </v:shapetype>
              <v:shape id="Straight Arrow Connector 2" o:spid="_x0000_s1026" type="#_x0000_t32" style="position:absolute;margin-left:236.95pt;margin-top:202.15pt;width:21.6pt;height:25.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" strokecolor="red" strokeweight="1.5pt">
                <v:stroke endarrow="block" joinstyle="miter"/>
              </v:shape>
            </w:pict>
          </mc:Fallback>
        </mc:AlternateContent>
      </w:r>
      <w:r w:rsidR="008C7EE8" w:rsidRPr="00391FA8">
        <w:rPr>
          <w:rFonts w:ascii="Arial" w:eastAsia="Times New Roman" w:hAnsi="Arial" w:cs="Arial"/>
          <w:noProof/>
          <w:sz w:val="20"/>
          <w:szCs w:val="20"/>
        </w:rPr>
        <w:drawing>
          <wp:inline distT="0" distB="0" distL="0" distR="0" wp14:anchorId="2A14F144" wp14:editId="007874B4">
            <wp:extent cx="3313163" cy="3372327"/>
            <wp:effectExtent l="0" t="0" r="1905" b="0"/>
            <wp:docPr id="9" name="Picture 8">
              <a:extLst xmlns:a="http://schemas.openxmlformats.org/drawingml/2006/main">
                <a:ext uri="{FF2B5EF4-FFF2-40B4-BE49-F238E27FC236}">
                  <a16:creationId xmlns:a16="http://schemas.microsoft.com/office/drawing/2014/main" id="{BDECE824-DE54-4763-81D8-E1DD4AC44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DECE824-DE54-4763-81D8-E1DD4AC44FF2}"/>
                        </a:ext>
                      </a:extLst>
                    </pic:cNvPr>
                    <pic:cNvPicPr>
                      <a:picLocks noChangeAspect="1"/>
                    </pic:cNvPicPr>
                  </pic:nvPicPr>
                  <pic:blipFill>
                    <a:blip r:embed="rId8"/>
                    <a:stretch>
                      <a:fillRect/>
                    </a:stretch>
                  </pic:blipFill>
                  <pic:spPr>
                    <a:xfrm>
                      <a:off x="0" y="0"/>
                      <a:ext cx="3321113" cy="3380419"/>
                    </a:xfrm>
                    <a:prstGeom prst="rect">
                      <a:avLst/>
                    </a:prstGeom>
                  </pic:spPr>
                </pic:pic>
              </a:graphicData>
            </a:graphic>
          </wp:inline>
        </w:drawing>
      </w:r>
    </w:p>
    <w:p w14:paraId="6C2D0DD4" w14:textId="77777777" w:rsidR="008C7EE8" w:rsidRPr="00FB433D" w:rsidRDefault="008C7EE8" w:rsidP="008C7EE8">
      <w:pPr>
        <w:pStyle w:val="Caption"/>
        <w:jc w:val="center"/>
        <w:rPr>
          <w:rFonts w:ascii="Arial" w:eastAsia="Times New Roman" w:hAnsi="Arial" w:cs="Arial"/>
          <w:b/>
          <w:bCs/>
          <w:i w:val="0"/>
          <w:iCs w:val="0"/>
          <w:color w:val="auto"/>
          <w:sz w:val="20"/>
          <w:szCs w:val="22"/>
        </w:rPr>
      </w:pPr>
      <w:r w:rsidRPr="00FB433D">
        <w:rPr>
          <w:rFonts w:ascii="Arial" w:eastAsia="Times New Roman" w:hAnsi="Arial" w:cs="Arial"/>
          <w:b/>
          <w:bCs/>
          <w:i w:val="0"/>
          <w:iCs w:val="0"/>
          <w:color w:val="auto"/>
          <w:sz w:val="20"/>
          <w:szCs w:val="22"/>
        </w:rPr>
        <w:t xml:space="preserve">Figure </w:t>
      </w:r>
      <w:r w:rsidRPr="00FB433D">
        <w:rPr>
          <w:rFonts w:ascii="Arial" w:eastAsia="Times New Roman" w:hAnsi="Arial" w:cs="Arial"/>
          <w:b/>
          <w:bCs/>
          <w:i w:val="0"/>
          <w:iCs w:val="0"/>
          <w:color w:val="auto"/>
          <w:sz w:val="20"/>
          <w:szCs w:val="22"/>
        </w:rPr>
        <w:fldChar w:fldCharType="begin"/>
      </w:r>
      <w:r w:rsidRPr="00FB433D">
        <w:rPr>
          <w:rFonts w:ascii="Arial" w:eastAsia="Times New Roman" w:hAnsi="Arial" w:cs="Arial"/>
          <w:b/>
          <w:bCs/>
          <w:i w:val="0"/>
          <w:iCs w:val="0"/>
          <w:color w:val="auto"/>
          <w:sz w:val="20"/>
          <w:szCs w:val="22"/>
        </w:rPr>
        <w:instrText xml:space="preserve"> SEQ Figure \* ARABIC </w:instrText>
      </w:r>
      <w:r w:rsidRPr="00FB433D">
        <w:rPr>
          <w:rFonts w:ascii="Arial" w:eastAsia="Times New Roman" w:hAnsi="Arial" w:cs="Arial"/>
          <w:b/>
          <w:bCs/>
          <w:i w:val="0"/>
          <w:iCs w:val="0"/>
          <w:color w:val="auto"/>
          <w:sz w:val="20"/>
          <w:szCs w:val="22"/>
        </w:rPr>
        <w:fldChar w:fldCharType="separate"/>
      </w:r>
      <w:r w:rsidRPr="00FB433D">
        <w:rPr>
          <w:rFonts w:ascii="Arial" w:eastAsia="Times New Roman" w:hAnsi="Arial" w:cs="Arial"/>
          <w:b/>
          <w:bCs/>
          <w:i w:val="0"/>
          <w:iCs w:val="0"/>
          <w:color w:val="auto"/>
          <w:sz w:val="20"/>
          <w:szCs w:val="22"/>
        </w:rPr>
        <w:t>1</w:t>
      </w:r>
      <w:r w:rsidRPr="00FB433D">
        <w:rPr>
          <w:rFonts w:ascii="Arial" w:eastAsia="Times New Roman" w:hAnsi="Arial" w:cs="Arial"/>
          <w:b/>
          <w:bCs/>
          <w:i w:val="0"/>
          <w:iCs w:val="0"/>
          <w:color w:val="auto"/>
          <w:sz w:val="20"/>
          <w:szCs w:val="22"/>
        </w:rPr>
        <w:fldChar w:fldCharType="end"/>
      </w:r>
      <w:r w:rsidRPr="00FB433D">
        <w:rPr>
          <w:rFonts w:ascii="Arial" w:eastAsia="Times New Roman" w:hAnsi="Arial" w:cs="Arial"/>
          <w:b/>
          <w:bCs/>
          <w:i w:val="0"/>
          <w:iCs w:val="0"/>
          <w:color w:val="auto"/>
          <w:sz w:val="20"/>
          <w:szCs w:val="22"/>
        </w:rPr>
        <w:t>: MRI showing a left cerebellar stroke.</w:t>
      </w:r>
    </w:p>
    <w:p w14:paraId="17787BD3"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 xml:space="preserve">Transthoracic echocardiography revealed a normal left ventricle and atrium, no significant valvular abnormality, and a normal ascending aorta. EKG indicated normal sinus rhythm, and laboratory tests, including a hypercoagulability panel, were unremarkable. </w:t>
      </w:r>
    </w:p>
    <w:p w14:paraId="0433003C"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 xml:space="preserve">A 72-hour Holter ECG showed no rhythm disturbances, and a negative neoplastic workup ruled out malignancy. </w:t>
      </w:r>
    </w:p>
    <w:p w14:paraId="339CA237"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 xml:space="preserve">Transesophageal echocardiography identified a PFO with ASA and a positive bubble test, demonstrating the potential for paradoxical embolism. Additionally, it revealed a normal left ventricular ejection fraction, a discrete mitral and aortic regurgitation, a free auricle, and a non-atheromatous appearance of the ascending aorta and aortic arch. </w:t>
      </w:r>
    </w:p>
    <w:p w14:paraId="1B07D619"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 xml:space="preserve">Finally, the supra-aortic trunks CT showed the presence of an aberrant right subclavian artery (ARSA), or arteria </w:t>
      </w:r>
      <w:proofErr w:type="spellStart"/>
      <w:r w:rsidRPr="00391FA8">
        <w:rPr>
          <w:rFonts w:ascii="Arial" w:eastAsia="Times New Roman" w:hAnsi="Arial" w:cs="Arial"/>
          <w:sz w:val="20"/>
          <w:szCs w:val="20"/>
        </w:rPr>
        <w:t>lusoria</w:t>
      </w:r>
      <w:proofErr w:type="spellEnd"/>
      <w:r w:rsidRPr="00391FA8">
        <w:rPr>
          <w:rFonts w:ascii="Arial" w:eastAsia="Times New Roman" w:hAnsi="Arial" w:cs="Arial"/>
          <w:sz w:val="20"/>
          <w:szCs w:val="20"/>
        </w:rPr>
        <w:t xml:space="preserve"> with a plaque formation (Figures 2,3).</w:t>
      </w:r>
    </w:p>
    <w:p w14:paraId="16AD46D0" w14:textId="369F492F" w:rsidR="008C7EE8" w:rsidRPr="00391FA8" w:rsidRDefault="00FC53D4" w:rsidP="008C7EE8">
      <w:pPr>
        <w:keepNext/>
        <w:jc w:val="center"/>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anchor distT="0" distB="0" distL="114300" distR="114300" simplePos="0" relativeHeight="251661312" behindDoc="0" locked="0" layoutInCell="1" allowOverlap="1" wp14:anchorId="17C76918" wp14:editId="1C9AABA8">
                <wp:simplePos x="0" y="0"/>
                <wp:positionH relativeFrom="column">
                  <wp:posOffset>2399665</wp:posOffset>
                </wp:positionH>
                <wp:positionV relativeFrom="paragraph">
                  <wp:posOffset>2132965</wp:posOffset>
                </wp:positionV>
                <wp:extent cx="274320" cy="327660"/>
                <wp:effectExtent l="0" t="38100" r="49530" b="34290"/>
                <wp:wrapNone/>
                <wp:docPr id="3" name="Straight Arrow Connector 3"/>
                <wp:cNvGraphicFramePr/>
                <a:graphic xmlns:a="http://schemas.openxmlformats.org/drawingml/2006/main">
                  <a:graphicData uri="http://schemas.microsoft.com/office/word/2010/wordprocessingShape">
                    <wps:wsp>
                      <wps:cNvCnPr/>
                      <wps:spPr>
                        <a:xfrm flipV="1">
                          <a:off x="0" y="0"/>
                          <a:ext cx="274320" cy="3276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2F44F" id="Straight Arrow Connector 3" o:spid="_x0000_s1026" type="#_x0000_t32" style="position:absolute;margin-left:188.95pt;margin-top:167.95pt;width:21.6pt;height:25.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" strokecolor="red" strokeweight="1.5pt">
                <v:stroke endarrow="block" joinstyle="miter"/>
              </v:shape>
            </w:pict>
          </mc:Fallback>
        </mc:AlternateContent>
      </w:r>
      <w:r w:rsidR="008C7EE8" w:rsidRPr="00391FA8">
        <w:rPr>
          <w:rFonts w:ascii="Arial" w:eastAsia="Times New Roman" w:hAnsi="Arial" w:cs="Arial"/>
          <w:noProof/>
          <w:sz w:val="20"/>
          <w:szCs w:val="20"/>
        </w:rPr>
        <w:drawing>
          <wp:inline distT="0" distB="0" distL="0" distR="0" wp14:anchorId="2821DD4E" wp14:editId="3633D0DB">
            <wp:extent cx="3710940" cy="2813711"/>
            <wp:effectExtent l="0" t="0" r="3810" b="5715"/>
            <wp:docPr id="15" name="Picture 14">
              <a:extLst xmlns:a="http://schemas.openxmlformats.org/drawingml/2006/main">
                <a:ext uri="{FF2B5EF4-FFF2-40B4-BE49-F238E27FC236}">
                  <a16:creationId xmlns:a16="http://schemas.microsoft.com/office/drawing/2014/main" id="{9772F64A-7E10-49A2-A8BD-9C98BE37A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772F64A-7E10-49A2-A8BD-9C98BE37A060}"/>
                        </a:ext>
                      </a:extLst>
                    </pic:cNvPr>
                    <pic:cNvPicPr>
                      <a:picLocks noChangeAspect="1"/>
                    </pic:cNvPicPr>
                  </pic:nvPicPr>
                  <pic:blipFill>
                    <a:blip r:embed="rId9"/>
                    <a:stretch>
                      <a:fillRect/>
                    </a:stretch>
                  </pic:blipFill>
                  <pic:spPr>
                    <a:xfrm>
                      <a:off x="0" y="0"/>
                      <a:ext cx="3726608" cy="2825591"/>
                    </a:xfrm>
                    <a:prstGeom prst="rect">
                      <a:avLst/>
                    </a:prstGeom>
                  </pic:spPr>
                </pic:pic>
              </a:graphicData>
            </a:graphic>
          </wp:inline>
        </w:drawing>
      </w:r>
    </w:p>
    <w:p w14:paraId="10826937" w14:textId="77777777" w:rsidR="008C7EE8" w:rsidRPr="00FB433D" w:rsidRDefault="008C7EE8" w:rsidP="008C7EE8">
      <w:pPr>
        <w:pStyle w:val="Caption"/>
        <w:jc w:val="center"/>
        <w:rPr>
          <w:rFonts w:ascii="Arial" w:eastAsia="Times New Roman" w:hAnsi="Arial" w:cs="Arial"/>
          <w:b/>
          <w:bCs/>
          <w:i w:val="0"/>
          <w:iCs w:val="0"/>
          <w:color w:val="auto"/>
          <w:sz w:val="20"/>
          <w:szCs w:val="22"/>
        </w:rPr>
      </w:pPr>
      <w:r w:rsidRPr="00FB433D">
        <w:rPr>
          <w:rFonts w:ascii="Arial" w:eastAsia="Times New Roman" w:hAnsi="Arial" w:cs="Arial"/>
          <w:b/>
          <w:bCs/>
          <w:i w:val="0"/>
          <w:iCs w:val="0"/>
          <w:color w:val="auto"/>
          <w:sz w:val="20"/>
          <w:szCs w:val="22"/>
        </w:rPr>
        <w:t xml:space="preserve">Figure </w:t>
      </w:r>
      <w:r w:rsidRPr="00FB433D">
        <w:rPr>
          <w:rFonts w:ascii="Arial" w:eastAsia="Times New Roman" w:hAnsi="Arial" w:cs="Arial"/>
          <w:b/>
          <w:bCs/>
          <w:i w:val="0"/>
          <w:iCs w:val="0"/>
          <w:color w:val="auto"/>
          <w:sz w:val="20"/>
          <w:szCs w:val="22"/>
        </w:rPr>
        <w:fldChar w:fldCharType="begin"/>
      </w:r>
      <w:r w:rsidRPr="00FB433D">
        <w:rPr>
          <w:rFonts w:ascii="Arial" w:eastAsia="Times New Roman" w:hAnsi="Arial" w:cs="Arial"/>
          <w:b/>
          <w:bCs/>
          <w:i w:val="0"/>
          <w:iCs w:val="0"/>
          <w:color w:val="auto"/>
          <w:sz w:val="20"/>
          <w:szCs w:val="22"/>
        </w:rPr>
        <w:instrText xml:space="preserve"> SEQ Figure \* ARABIC </w:instrText>
      </w:r>
      <w:r w:rsidRPr="00FB433D">
        <w:rPr>
          <w:rFonts w:ascii="Arial" w:eastAsia="Times New Roman" w:hAnsi="Arial" w:cs="Arial"/>
          <w:b/>
          <w:bCs/>
          <w:i w:val="0"/>
          <w:iCs w:val="0"/>
          <w:color w:val="auto"/>
          <w:sz w:val="20"/>
          <w:szCs w:val="22"/>
        </w:rPr>
        <w:fldChar w:fldCharType="separate"/>
      </w:r>
      <w:r w:rsidRPr="00FB433D">
        <w:rPr>
          <w:rFonts w:ascii="Arial" w:eastAsia="Times New Roman" w:hAnsi="Arial" w:cs="Arial"/>
          <w:b/>
          <w:bCs/>
          <w:i w:val="0"/>
          <w:iCs w:val="0"/>
          <w:color w:val="auto"/>
          <w:sz w:val="20"/>
          <w:szCs w:val="22"/>
        </w:rPr>
        <w:t>2</w:t>
      </w:r>
      <w:r w:rsidRPr="00FB433D">
        <w:rPr>
          <w:rFonts w:ascii="Arial" w:eastAsia="Times New Roman" w:hAnsi="Arial" w:cs="Arial"/>
          <w:b/>
          <w:bCs/>
          <w:i w:val="0"/>
          <w:iCs w:val="0"/>
          <w:color w:val="auto"/>
          <w:sz w:val="20"/>
          <w:szCs w:val="22"/>
        </w:rPr>
        <w:fldChar w:fldCharType="end"/>
      </w:r>
      <w:r w:rsidRPr="00FB433D">
        <w:rPr>
          <w:rFonts w:ascii="Arial" w:eastAsia="Times New Roman" w:hAnsi="Arial" w:cs="Arial"/>
          <w:b/>
          <w:bCs/>
          <w:i w:val="0"/>
          <w:iCs w:val="0"/>
          <w:color w:val="auto"/>
          <w:sz w:val="20"/>
          <w:szCs w:val="22"/>
        </w:rPr>
        <w:t>: CT showing an arteria Lusoria with a plaque formation</w:t>
      </w:r>
    </w:p>
    <w:p w14:paraId="760B19AD" w14:textId="74B80AF8" w:rsidR="008C7EE8" w:rsidRPr="00391FA8" w:rsidRDefault="00FC53D4" w:rsidP="008C7EE8">
      <w:pPr>
        <w:keepNext/>
        <w:jc w:val="center"/>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3360" behindDoc="0" locked="0" layoutInCell="1" allowOverlap="1" wp14:anchorId="5389BC1C" wp14:editId="1C8DC1A0">
                <wp:simplePos x="0" y="0"/>
                <wp:positionH relativeFrom="column">
                  <wp:posOffset>3024505</wp:posOffset>
                </wp:positionH>
                <wp:positionV relativeFrom="paragraph">
                  <wp:posOffset>3499485</wp:posOffset>
                </wp:positionV>
                <wp:extent cx="274320" cy="327660"/>
                <wp:effectExtent l="0" t="38100" r="49530" b="34290"/>
                <wp:wrapNone/>
                <wp:docPr id="4" name="Straight Arrow Connector 4"/>
                <wp:cNvGraphicFramePr/>
                <a:graphic xmlns:a="http://schemas.openxmlformats.org/drawingml/2006/main">
                  <a:graphicData uri="http://schemas.microsoft.com/office/word/2010/wordprocessingShape">
                    <wps:wsp>
                      <wps:cNvCnPr/>
                      <wps:spPr>
                        <a:xfrm flipV="1">
                          <a:off x="0" y="0"/>
                          <a:ext cx="274320" cy="3276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9C7BF" id="Straight Arrow Connector 4" o:spid="_x0000_s1026" type="#_x0000_t32" style="position:absolute;margin-left:238.15pt;margin-top:275.55pt;width:21.6pt;height:25.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" strokecolor="red" strokeweight="1.5pt">
                <v:stroke endarrow="block" joinstyle="miter"/>
              </v:shape>
            </w:pict>
          </mc:Fallback>
        </mc:AlternateContent>
      </w:r>
      <w:r w:rsidR="008C7EE8" w:rsidRPr="00391FA8">
        <w:rPr>
          <w:rFonts w:ascii="Arial" w:eastAsia="Times New Roman" w:hAnsi="Arial" w:cs="Arial"/>
          <w:noProof/>
          <w:sz w:val="20"/>
          <w:szCs w:val="20"/>
        </w:rPr>
        <w:drawing>
          <wp:inline distT="0" distB="0" distL="0" distR="0" wp14:anchorId="7CE02687" wp14:editId="3E32FDC8">
            <wp:extent cx="3718560" cy="3886021"/>
            <wp:effectExtent l="0" t="0" r="0" b="635"/>
            <wp:docPr id="17" name="Picture 16">
              <a:extLst xmlns:a="http://schemas.openxmlformats.org/drawingml/2006/main">
                <a:ext uri="{FF2B5EF4-FFF2-40B4-BE49-F238E27FC236}">
                  <a16:creationId xmlns:a16="http://schemas.microsoft.com/office/drawing/2014/main" id="{E11F9931-F4D4-41B9-A816-95F6F1A21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E11F9931-F4D4-41B9-A816-95F6F1A21B22}"/>
                        </a:ext>
                      </a:extLst>
                    </pic:cNvPr>
                    <pic:cNvPicPr>
                      <a:picLocks noChangeAspect="1"/>
                    </pic:cNvPicPr>
                  </pic:nvPicPr>
                  <pic:blipFill>
                    <a:blip r:embed="rId10"/>
                    <a:stretch>
                      <a:fillRect/>
                    </a:stretch>
                  </pic:blipFill>
                  <pic:spPr>
                    <a:xfrm>
                      <a:off x="0" y="0"/>
                      <a:ext cx="3741475" cy="3909968"/>
                    </a:xfrm>
                    <a:prstGeom prst="rect">
                      <a:avLst/>
                    </a:prstGeom>
                  </pic:spPr>
                </pic:pic>
              </a:graphicData>
            </a:graphic>
          </wp:inline>
        </w:drawing>
      </w:r>
    </w:p>
    <w:p w14:paraId="22E4F29E" w14:textId="77777777" w:rsidR="008C7EE8" w:rsidRPr="00FB433D" w:rsidRDefault="008C7EE8" w:rsidP="008C7EE8">
      <w:pPr>
        <w:pStyle w:val="Caption"/>
        <w:jc w:val="center"/>
        <w:rPr>
          <w:rFonts w:ascii="Arial" w:eastAsia="Times New Roman" w:hAnsi="Arial" w:cs="Arial"/>
          <w:b/>
          <w:bCs/>
          <w:i w:val="0"/>
          <w:iCs w:val="0"/>
          <w:color w:val="auto"/>
          <w:sz w:val="20"/>
          <w:szCs w:val="22"/>
        </w:rPr>
      </w:pPr>
      <w:r w:rsidRPr="00FB433D">
        <w:rPr>
          <w:rFonts w:ascii="Arial" w:eastAsia="Times New Roman" w:hAnsi="Arial" w:cs="Arial"/>
          <w:b/>
          <w:bCs/>
          <w:i w:val="0"/>
          <w:iCs w:val="0"/>
          <w:color w:val="auto"/>
          <w:sz w:val="20"/>
          <w:szCs w:val="22"/>
        </w:rPr>
        <w:t xml:space="preserve">Figure </w:t>
      </w:r>
      <w:r w:rsidRPr="00FB433D">
        <w:rPr>
          <w:rFonts w:ascii="Arial" w:eastAsia="Times New Roman" w:hAnsi="Arial" w:cs="Arial"/>
          <w:b/>
          <w:bCs/>
          <w:i w:val="0"/>
          <w:iCs w:val="0"/>
          <w:color w:val="auto"/>
          <w:sz w:val="20"/>
          <w:szCs w:val="22"/>
        </w:rPr>
        <w:fldChar w:fldCharType="begin"/>
      </w:r>
      <w:r w:rsidRPr="00FB433D">
        <w:rPr>
          <w:rFonts w:ascii="Arial" w:eastAsia="Times New Roman" w:hAnsi="Arial" w:cs="Arial"/>
          <w:b/>
          <w:bCs/>
          <w:i w:val="0"/>
          <w:iCs w:val="0"/>
          <w:color w:val="auto"/>
          <w:sz w:val="20"/>
          <w:szCs w:val="22"/>
        </w:rPr>
        <w:instrText xml:space="preserve"> SEQ Figure \* ARABIC </w:instrText>
      </w:r>
      <w:r w:rsidRPr="00FB433D">
        <w:rPr>
          <w:rFonts w:ascii="Arial" w:eastAsia="Times New Roman" w:hAnsi="Arial" w:cs="Arial"/>
          <w:b/>
          <w:bCs/>
          <w:i w:val="0"/>
          <w:iCs w:val="0"/>
          <w:color w:val="auto"/>
          <w:sz w:val="20"/>
          <w:szCs w:val="22"/>
        </w:rPr>
        <w:fldChar w:fldCharType="separate"/>
      </w:r>
      <w:r w:rsidRPr="00FB433D">
        <w:rPr>
          <w:rFonts w:ascii="Arial" w:eastAsia="Times New Roman" w:hAnsi="Arial" w:cs="Arial"/>
          <w:b/>
          <w:bCs/>
          <w:i w:val="0"/>
          <w:iCs w:val="0"/>
          <w:color w:val="auto"/>
          <w:sz w:val="20"/>
          <w:szCs w:val="22"/>
        </w:rPr>
        <w:t>3</w:t>
      </w:r>
      <w:r w:rsidRPr="00FB433D">
        <w:rPr>
          <w:rFonts w:ascii="Arial" w:eastAsia="Times New Roman" w:hAnsi="Arial" w:cs="Arial"/>
          <w:b/>
          <w:bCs/>
          <w:i w:val="0"/>
          <w:iCs w:val="0"/>
          <w:color w:val="auto"/>
          <w:sz w:val="20"/>
          <w:szCs w:val="22"/>
        </w:rPr>
        <w:fldChar w:fldCharType="end"/>
      </w:r>
      <w:r w:rsidRPr="00FB433D">
        <w:rPr>
          <w:rFonts w:ascii="Arial" w:eastAsia="Times New Roman" w:hAnsi="Arial" w:cs="Arial"/>
          <w:b/>
          <w:bCs/>
          <w:i w:val="0"/>
          <w:iCs w:val="0"/>
          <w:color w:val="auto"/>
          <w:sz w:val="20"/>
          <w:szCs w:val="22"/>
        </w:rPr>
        <w:t>: Reconstruction of the aortic arch with the arteria Lusoria</w:t>
      </w:r>
    </w:p>
    <w:p w14:paraId="443C591C"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Based on these findings, the patient received a diagnosis of cerebellar stroke, PFO with ASA, and arteria Lusoria with plaque. He was initiated on antiplatelet therapy with aspirin 160mg daily to prevent future thromboembolic events and underwent physical therapy to regain mobility. This comprehensive approach resulted in significant improvement, with symptom resolution and regained ability to walk with assistance, highlighting the potential for recovery with proper management.</w:t>
      </w:r>
    </w:p>
    <w:p w14:paraId="5A336C79" w14:textId="77777777" w:rsidR="008C7EE8" w:rsidRPr="008420EF" w:rsidRDefault="008C7EE8" w:rsidP="008420EF">
      <w:pPr>
        <w:pStyle w:val="Head1"/>
        <w:numPr>
          <w:ilvl w:val="0"/>
          <w:numId w:val="1"/>
        </w:numPr>
        <w:spacing w:after="0"/>
        <w:ind w:left="270"/>
        <w:jc w:val="both"/>
        <w:rPr>
          <w:rFonts w:ascii="Arial" w:hAnsi="Arial" w:cs="Arial"/>
        </w:rPr>
      </w:pPr>
      <w:r w:rsidRPr="008420EF">
        <w:rPr>
          <w:rFonts w:ascii="Arial" w:hAnsi="Arial" w:cs="Arial"/>
        </w:rPr>
        <w:lastRenderedPageBreak/>
        <w:t xml:space="preserve">Discussion: </w:t>
      </w:r>
    </w:p>
    <w:p w14:paraId="01D54DFB" w14:textId="43137A6C" w:rsidR="001B5F6C" w:rsidRPr="008420EF" w:rsidRDefault="001B5F6C" w:rsidP="00BD4C4B">
      <w:pPr>
        <w:pStyle w:val="NormalWeb"/>
        <w:rPr>
          <w:rFonts w:ascii="Arial" w:hAnsi="Arial" w:cs="Arial"/>
          <w:sz w:val="20"/>
          <w:szCs w:val="20"/>
        </w:rPr>
      </w:pPr>
      <w:r w:rsidRPr="008420EF">
        <w:rPr>
          <w:rFonts w:ascii="Arial" w:hAnsi="Arial" w:cs="Arial"/>
          <w:sz w:val="20"/>
          <w:szCs w:val="20"/>
        </w:rPr>
        <w:t xml:space="preserve">Left aortic arch with aberrant right subclavian artery (ARSA), also known as arteria </w:t>
      </w:r>
      <w:proofErr w:type="spellStart"/>
      <w:r w:rsidRPr="008420EF">
        <w:rPr>
          <w:rFonts w:ascii="Arial" w:hAnsi="Arial" w:cs="Arial"/>
          <w:sz w:val="20"/>
          <w:szCs w:val="20"/>
        </w:rPr>
        <w:t>lusoria</w:t>
      </w:r>
      <w:proofErr w:type="spellEnd"/>
      <w:r w:rsidRPr="008420EF">
        <w:rPr>
          <w:rFonts w:ascii="Arial" w:hAnsi="Arial" w:cs="Arial"/>
          <w:sz w:val="20"/>
          <w:szCs w:val="20"/>
        </w:rPr>
        <w:t xml:space="preserve">, is a congenital anomaly occurring in approximately 0.5% to 2% of the population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BfFpMaJ2","properties":{"formattedCitation":"[1]","plainCitation":"[1]","noteIndex":0},"citationItems":[{"id":137,"uris":["http://zotero.org/users/local/ykrBxlF1/items/V67GI7ZJ","http://zotero.org/users/17374735/items/V67GI7ZJ"],"itemData":{"id":137,"type":"article-journal","container-title":"RadioGraphics","DOI":"10.1148/rg.2017160033","ISSN":"0271-5333, 1527-1323","issue":"1","journalAbbreviation":"RadioGraphics","language":"en","page":"32-51","source":"DOI.org (Crossref)","title":"Congenital Variants and Anomalies of the Aortic Arch","volume":"37","author":[{"family":"Hanneman","given":"Kate"},{"family":"Newman","given":"Beverley"},{"family":"Chan","given":"Frandics"}],"issued":{"date-parts":[["2017",1]]}}}],"schema":"https://github.com/citation-style-language/schema/raw/master/csl-citation.json"}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[1]</w:t>
      </w:r>
      <w:r w:rsidRPr="008420EF">
        <w:rPr>
          <w:rFonts w:ascii="Arial" w:hAnsi="Arial" w:cs="Arial"/>
          <w:sz w:val="20"/>
          <w:szCs w:val="20"/>
        </w:rPr>
        <w:fldChar w:fldCharType="end"/>
      </w:r>
      <w:r w:rsidRPr="008420EF">
        <w:rPr>
          <w:rFonts w:ascii="Arial" w:hAnsi="Arial" w:cs="Arial"/>
          <w:sz w:val="20"/>
          <w:szCs w:val="20"/>
        </w:rPr>
        <w:t xml:space="preserve">, with a higher prevalence among females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oyCEky5Y","properties":{"formattedCitation":"[2]","plainCitation":"[2]","noteIndex":0},"citationItems":[{"id":136,"uris":["http://zotero.org/users/local/ykrBxlF1/items/XREJY6L3","http://zotero.org/users/17374735/items/XREJY6L3"],"itemData":{"id":136,"type":"article-journal","abstract":"The most important abnormality of the aortic arch is arguably the presence of an aberrant right subclavian artery (arteria lusoria). If this vessel compresses the adjacent structures, several symptoms may be produced. The aim of the study is to present the morphological and clinical aspects of the aberrant right subclavian artery. Three different databases searched for a review of pertinent literature using strictly predetermined criteria. Of 141 cases, 15 were cadaveric and 126 were clinically documented. The gender distribution of the subjects was 55.3% female and 44.7% male. The mean age of the patients at symptoms onset was\n              \n                49.9\n                ±\n                19.4\n              \n              years for all patients but\n              \n                54.0\n                ±\n                19.6\n              \n              years and\n              \n                44.9\n                ±\n                18.1\n              \n              years for female and male subjects, respectively (\n              \n                P\n                =\n                0.0061\n              \n              ). The most common symptoms in this group were dysphagia (71.2%), dyspnea (18.7%), retrosternal pain (17.0%), cough (7.6%), and weight loss (5.9%). The vascular anomalies coexisting with an arteria lusoria were truncus bicaroticus (19.2%), Kommerell’s diverticulum (14.9%), aneurysm of the artery itself (12.8%), and a right sided aortic arch (9.2%). In conclusion, compression of adjacent structures by an aberrant right subclavian artery needs to be differentiated from other conditions presenting dysphagia, dyspnea, retrosternal pain, cough, and weight loss.","container-title":"The Scientific World Journal","DOI":"10.1155/2014/292734","ISSN":"2356-6140, 1537-744X","journalAbbreviation":"The Scientific World Journal","language":"en","page":"1-6","source":"DOI.org (Crossref)","title":"The Aberrant Right Subclavian Artery (Arteria Lusoria): The Morphological and Clinical Aspects of One of the Most Important Variations—A Systematic Study of 141 Reports","title-short":"The Aberrant Right Subclavian Artery (Arteria Lusoria)","volume":"2014","author":[{"family":"Polguj","given":"Michał"},{"family":"Chrzanowski","given":"Łukasz"},{"family":"Kasprzak","given":"Jarosław D."},{"family":"Stefańczyk","given":"Ludomir"},{"family":"Topol","given":"Mirosław"},{"family":"Majos","given":"Agata"}],"issued":{"date-parts":[["2014"]]}}}],"schema":"https://github.com/citation-style-language/schema/raw/master/csl-citation.json"}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[2]</w:t>
      </w:r>
      <w:r w:rsidRPr="008420EF">
        <w:rPr>
          <w:rFonts w:ascii="Arial" w:hAnsi="Arial" w:cs="Arial"/>
          <w:sz w:val="20"/>
          <w:szCs w:val="20"/>
        </w:rPr>
        <w:fldChar w:fldCharType="end"/>
      </w:r>
      <w:r w:rsidRPr="008420EF">
        <w:rPr>
          <w:rFonts w:ascii="Arial" w:hAnsi="Arial" w:cs="Arial"/>
          <w:sz w:val="20"/>
          <w:szCs w:val="20"/>
        </w:rPr>
        <w:t xml:space="preserve">. This anomaly arises due to regression of the right arch, including the right ductus arteriosus, leading to the proximal right subclavian artery originating from the distal right dorsal aorta instead of the usual fourth arch. Consequently, the aberrant right subclavian artery typically courses obliquely behind the esophagus, from the left caudal to the right cranial direction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asJQTWXY","properties":{"formattedCitation":"[1]","plainCitation":"[1]","noteIndex":0},"citationItems":[{"id":137,"uris":["http://zotero.org/users/local/ykrBxlF1/items/V67GI7ZJ","http://zotero.org/users/17374735/items/V67GI7ZJ"],"itemData":{"id":137,"type":"article-journal","container-title":"RadioGraphics","DOI":"10.1148/rg.2017160033","ISSN":"0271-5333, 1527-1323","issue":"1","journalAbbreviation":"RadioGraphics","language":"en","page":"32-51","source":"DOI.org (Crossref)","title":"Congenital Variants and Anomalies of the Aortic Arch","volume":"37","author":[{"family":"Hanneman","given":"Kate"},{"family":"Newman","given":"Beverley"},{"family":"Chan","given":"Frandics"}],"issued":{"date-parts":[["2017",1]]}}}],"schema":"https://github.com/citation-style-language/schema/raw/master/csl-citation.json"}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[1]</w:t>
      </w:r>
      <w:r w:rsidRPr="008420EF">
        <w:rPr>
          <w:rFonts w:ascii="Arial" w:hAnsi="Arial" w:cs="Arial"/>
          <w:sz w:val="20"/>
          <w:szCs w:val="20"/>
        </w:rPr>
        <w:fldChar w:fldCharType="end"/>
      </w:r>
      <w:r w:rsidRPr="008420EF">
        <w:rPr>
          <w:rFonts w:ascii="Arial" w:hAnsi="Arial" w:cs="Arial"/>
          <w:sz w:val="20"/>
          <w:szCs w:val="20"/>
        </w:rPr>
        <w:t>. In such cases, the brachiocephalic trunk is absent, and the aortic arch gives rise directly to four arteries: the right common carotid, left common carotid, left subclavian, and the ARSA (Figure 4).</w:t>
      </w:r>
    </w:p>
    <w:p w14:paraId="6F1D3880" w14:textId="77777777" w:rsidR="008C7EE8" w:rsidRPr="008420EF" w:rsidRDefault="001B5F6C" w:rsidP="008C7EE8">
      <w:pPr>
        <w:pStyle w:val="NormalWeb"/>
        <w:keepNext/>
        <w:jc w:val="center"/>
        <w:rPr>
          <w:rFonts w:ascii="Arial" w:hAnsi="Arial" w:cs="Arial"/>
          <w:sz w:val="20"/>
          <w:szCs w:val="20"/>
        </w:rPr>
      </w:pPr>
      <w:r w:rsidRPr="008420EF">
        <w:rPr>
          <w:rFonts w:ascii="Arial" w:hAnsi="Arial" w:cs="Arial"/>
          <w:noProof/>
          <w:sz w:val="20"/>
          <w:szCs w:val="20"/>
        </w:rPr>
        <w:drawing>
          <wp:inline distT="0" distB="0" distL="0" distR="0" wp14:anchorId="453EBB7F" wp14:editId="12ABC8D0">
            <wp:extent cx="3949700" cy="304126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ria Lusoria.jpg"/>
                    <pic:cNvPicPr/>
                  </pic:nvPicPr>
                  <pic:blipFill>
                    <a:blip r:embed="rId11">
                      <a:extLst>
                        <a:ext uri="{28A0092B-C50C-407E-A947-70E740481C1C}">
                          <a14:useLocalDpi xmlns:a14="http://schemas.microsoft.com/office/drawing/2010/main" val="0"/>
                        </a:ext>
                      </a:extLst>
                    </a:blip>
                    <a:stretch>
                      <a:fillRect/>
                    </a:stretch>
                  </pic:blipFill>
                  <pic:spPr>
                    <a:xfrm>
                      <a:off x="0" y="0"/>
                      <a:ext cx="3962776" cy="3051338"/>
                    </a:xfrm>
                    <a:prstGeom prst="rect">
                      <a:avLst/>
                    </a:prstGeom>
                  </pic:spPr>
                </pic:pic>
              </a:graphicData>
            </a:graphic>
          </wp:inline>
        </w:drawing>
      </w:r>
    </w:p>
    <w:p w14:paraId="4F0D67AF" w14:textId="77777777" w:rsidR="001B5F6C" w:rsidRPr="00FB433D" w:rsidRDefault="008C7EE8" w:rsidP="008C7EE8">
      <w:pPr>
        <w:pStyle w:val="Caption"/>
        <w:jc w:val="center"/>
        <w:rPr>
          <w:rFonts w:ascii="Arial" w:eastAsia="Times New Roman" w:hAnsi="Arial" w:cs="Arial"/>
          <w:b/>
          <w:bCs/>
          <w:i w:val="0"/>
          <w:iCs w:val="0"/>
          <w:color w:val="auto"/>
          <w:sz w:val="20"/>
          <w:szCs w:val="22"/>
        </w:rPr>
      </w:pPr>
      <w:r w:rsidRPr="00FB433D">
        <w:rPr>
          <w:rFonts w:ascii="Arial" w:eastAsia="Times New Roman" w:hAnsi="Arial" w:cs="Arial"/>
          <w:b/>
          <w:bCs/>
          <w:i w:val="0"/>
          <w:iCs w:val="0"/>
          <w:color w:val="auto"/>
          <w:sz w:val="20"/>
          <w:szCs w:val="22"/>
        </w:rPr>
        <w:t xml:space="preserve">Figure </w:t>
      </w:r>
      <w:r w:rsidRPr="00FB433D">
        <w:rPr>
          <w:rFonts w:ascii="Arial" w:eastAsia="Times New Roman" w:hAnsi="Arial" w:cs="Arial"/>
          <w:b/>
          <w:bCs/>
          <w:i w:val="0"/>
          <w:iCs w:val="0"/>
          <w:color w:val="auto"/>
          <w:sz w:val="20"/>
          <w:szCs w:val="22"/>
        </w:rPr>
        <w:fldChar w:fldCharType="begin"/>
      </w:r>
      <w:r w:rsidRPr="00FB433D">
        <w:rPr>
          <w:rFonts w:ascii="Arial" w:eastAsia="Times New Roman" w:hAnsi="Arial" w:cs="Arial"/>
          <w:b/>
          <w:bCs/>
          <w:i w:val="0"/>
          <w:iCs w:val="0"/>
          <w:color w:val="auto"/>
          <w:sz w:val="20"/>
          <w:szCs w:val="22"/>
        </w:rPr>
        <w:instrText xml:space="preserve"> SEQ Figure \* ARABIC </w:instrText>
      </w:r>
      <w:r w:rsidRPr="00FB433D">
        <w:rPr>
          <w:rFonts w:ascii="Arial" w:eastAsia="Times New Roman" w:hAnsi="Arial" w:cs="Arial"/>
          <w:b/>
          <w:bCs/>
          <w:i w:val="0"/>
          <w:iCs w:val="0"/>
          <w:color w:val="auto"/>
          <w:sz w:val="20"/>
          <w:szCs w:val="22"/>
        </w:rPr>
        <w:fldChar w:fldCharType="separate"/>
      </w:r>
      <w:r w:rsidRPr="00FB433D">
        <w:rPr>
          <w:rFonts w:ascii="Arial" w:eastAsia="Times New Roman" w:hAnsi="Arial" w:cs="Arial"/>
          <w:b/>
          <w:bCs/>
          <w:i w:val="0"/>
          <w:iCs w:val="0"/>
          <w:color w:val="auto"/>
          <w:sz w:val="20"/>
          <w:szCs w:val="22"/>
        </w:rPr>
        <w:t>4</w:t>
      </w:r>
      <w:r w:rsidRPr="00FB433D">
        <w:rPr>
          <w:rFonts w:ascii="Arial" w:eastAsia="Times New Roman" w:hAnsi="Arial" w:cs="Arial"/>
          <w:b/>
          <w:bCs/>
          <w:i w:val="0"/>
          <w:iCs w:val="0"/>
          <w:color w:val="auto"/>
          <w:sz w:val="20"/>
          <w:szCs w:val="22"/>
        </w:rPr>
        <w:fldChar w:fldCharType="end"/>
      </w:r>
      <w:r w:rsidRPr="00FB433D">
        <w:rPr>
          <w:rFonts w:ascii="Arial" w:eastAsia="Times New Roman" w:hAnsi="Arial" w:cs="Arial"/>
          <w:b/>
          <w:bCs/>
          <w:i w:val="0"/>
          <w:iCs w:val="0"/>
          <w:color w:val="auto"/>
          <w:sz w:val="20"/>
          <w:szCs w:val="22"/>
        </w:rPr>
        <w:t>:  Schematic arrangements of the presence of an aberrant right subclavian artery.</w:t>
      </w:r>
    </w:p>
    <w:p w14:paraId="504F859B" w14:textId="51FB4284" w:rsidR="001B5F6C" w:rsidRPr="008420EF" w:rsidRDefault="001B5F6C" w:rsidP="00793D58">
      <w:pPr>
        <w:pStyle w:val="NormalWeb"/>
        <w:rPr>
          <w:rFonts w:ascii="Arial" w:hAnsi="Arial" w:cs="Arial"/>
          <w:sz w:val="20"/>
          <w:szCs w:val="20"/>
        </w:rPr>
      </w:pPr>
      <w:r w:rsidRPr="008420EF">
        <w:rPr>
          <w:rFonts w:ascii="Arial" w:hAnsi="Arial" w:cs="Arial"/>
          <w:sz w:val="20"/>
          <w:szCs w:val="20"/>
        </w:rPr>
        <w:t xml:space="preserve">While typically isolated, ARSA can coexist with other congenital anomalies such as aortic coarctation, patent ductus arteriosus (PDA), ventricular septal defect (VSD), or carotid and vertebral artery anomalies </w:t>
      </w:r>
      <w:r w:rsidRPr="008420EF">
        <w:rPr>
          <w:rFonts w:ascii="Arial" w:hAnsi="Arial" w:cs="Arial"/>
          <w:sz w:val="20"/>
          <w:szCs w:val="20"/>
        </w:rPr>
        <w:fldChar w:fldCharType="begin"/>
      </w:r>
      <w:r w:rsidR="00793D58">
        <w:rPr>
          <w:rFonts w:ascii="Arial" w:hAnsi="Arial" w:cs="Arial"/>
          <w:sz w:val="20"/>
          <w:szCs w:val="20"/>
        </w:rPr>
        <w:instrText xml:space="preserve"> ADDIN ZOTERO_ITEM CSL_CITATION {"citationID":"UyRs5eM5","properties":{"formattedCitation":"[1], [6]","plainCitation":"[1], [6]","noteIndex":0},"citationItems":[{"id":137,"uris":["http://zotero.org/users/local/ykrBxlF1/items/V67GI7ZJ","http://zotero.org/users/17374735/items/V67GI7ZJ"],"itemData":{"id":137,"type":"article-journal","container-title":"RadioGraphics","DOI":"10.1148/rg.2017160033","ISSN":"0271-5333, 1527-1323","issue":"1","journalAbbreviation":"RadioGraphics","language":"en","page":"32-51","source":"DOI.org (Crossref)","title":"Congenital Variants and Anomalies of the Aortic Arch","volume":"37","author":[{"family":"Hanneman","given":"Kate"},{"family":"Newman","given":"Beverley"},{"family":"Chan","given":"Frandics"}],"issued":{"date-parts":[["2017",1]]}}},{"id":706,"uris":["http://zotero.org/users/local/ykrBxlF1/items/4KNN99J3","http://zotero.org/users/17374735/items/4KNN99J3"],"itemData":{"id":706,"type":"article-journal","abstract":"While most patients with arteria lusoria and common carotid trunk conditions are asymptomatic, discovery of such anomalies periprocedurally may affect the cardiac catheterization access site, catheter selection, and additional imaging.","container-title":"Federal Practitioner","DOI":"10.12788/fp.0089","ISSN":"1078-4497","issue":"2","journalAbbreviation":"Fed Pract","note":"PMID: 33716485\nPMCID: PMC7953854","page":"84-88","source":"PubMed Central","title":"Truncus Bicaroticus With Arteria Lusoria: A Rare Combination of Aortic Root Anatomy Complicating Cardiac Catheterization","title-short":"Truncus Bicaroticus With Arteria Lusoria","volume":"38","author":[{"family":"Norris","given":"Capt Roy"},{"family":"Wilson","given":"CPT Andrew"},{"family":"Lin","given":"MAJ Charles"}],"issued":{"date-parts":[["2021",2]]}}}],"schema":"https://github.com/citation-style-language/schema/raw/master/csl-citation.json"} </w:instrText>
      </w:r>
      <w:r w:rsidRPr="008420EF">
        <w:rPr>
          <w:rFonts w:ascii="Arial" w:hAnsi="Arial" w:cs="Arial"/>
          <w:sz w:val="20"/>
          <w:szCs w:val="20"/>
        </w:rPr>
        <w:fldChar w:fldCharType="separate"/>
      </w:r>
      <w:r w:rsidR="00793D58" w:rsidRPr="00793D58">
        <w:rPr>
          <w:rFonts w:ascii="Arial" w:hAnsi="Arial" w:cs="Arial"/>
          <w:sz w:val="20"/>
        </w:rPr>
        <w:t>[1], [6]</w:t>
      </w:r>
      <w:r w:rsidRPr="008420EF">
        <w:rPr>
          <w:rFonts w:ascii="Arial" w:hAnsi="Arial" w:cs="Arial"/>
          <w:sz w:val="20"/>
          <w:szCs w:val="20"/>
        </w:rPr>
        <w:fldChar w:fldCharType="end"/>
      </w:r>
      <w:r w:rsidRPr="008420EF">
        <w:rPr>
          <w:rFonts w:ascii="Arial" w:hAnsi="Arial" w:cs="Arial"/>
          <w:sz w:val="20"/>
          <w:szCs w:val="20"/>
        </w:rPr>
        <w:t xml:space="preserve">. In a study analyzing over 11,000 pathologic specimens, Hugo Zapata reported septal defects in 28% of arteria </w:t>
      </w:r>
      <w:proofErr w:type="spellStart"/>
      <w:r w:rsidRPr="008420EF">
        <w:rPr>
          <w:rFonts w:ascii="Arial" w:hAnsi="Arial" w:cs="Arial"/>
          <w:sz w:val="20"/>
          <w:szCs w:val="20"/>
        </w:rPr>
        <w:t>lusoria</w:t>
      </w:r>
      <w:proofErr w:type="spellEnd"/>
      <w:r w:rsidRPr="008420EF">
        <w:rPr>
          <w:rFonts w:ascii="Arial" w:hAnsi="Arial" w:cs="Arial"/>
          <w:sz w:val="20"/>
          <w:szCs w:val="20"/>
        </w:rPr>
        <w:t xml:space="preserve"> cases, including a small proportion with atrial origin</w:t>
      </w:r>
      <w:r w:rsidRPr="008420EF">
        <w:rPr>
          <w:rFonts w:ascii="Arial" w:hAnsi="Arial" w:cs="Arial"/>
          <w:sz w:val="20"/>
          <w:szCs w:val="20"/>
        </w:rPr>
        <w:fldChar w:fldCharType="begin"/>
      </w:r>
      <w:r w:rsidR="00793D58">
        <w:rPr>
          <w:rFonts w:ascii="Arial" w:hAnsi="Arial" w:cs="Arial"/>
          <w:sz w:val="20"/>
          <w:szCs w:val="20"/>
        </w:rPr>
        <w:instrText xml:space="preserve"> ADDIN ZOTERO_ITEM CSL_CITATION {"citationID":"qbUgUuNf","properties":{"formattedCitation":"[7]","plainCitation":"[7]","noteIndex":0},"citationItems":[{"id":140,"uris":["http://zotero.org/users/local/ykrBxlF1/items/L6PNQL9C","http://zotero.org/users/17374735/items/L6PNQL9C"],"itemData":{"id":140,"type":"article-journal","abstract":"Anomalous origin of the right subclavian artery (ARSA) from the aorta distal to the normally positioned left subclavian artery is a relatively frequent congenital anomaly in subjects with left aortic arch. The purpose of this study was to determine the relative frequency of associated cardiovascular anomalies in individuals with this anomaly. From the records of approximately 11,000 pathologic specimens in the Registry of Cardiovascular Disease of United Hospital (St. Paul, MN, USA), we found 128 (1.2%) with ARSA.","container-title":"Pediatric Cardiology","DOI":"10.1007/BF00795645","ISSN":"0172-0643, 1432-1971","issue":"3","journalAbbreviation":"Pediatr Cardiol","language":"en","page":"159-161","source":"DOI.org (Crossref)","title":"Aberrant right subclavian artery with left aortic arch: Associated cardiac anomalies","title-short":"Aberrant right subclavian artery with left aortic arch","volume":"14","author":[{"family":"Zapata","given":"Hugo"},{"family":"Edwards","given":"Jesse E."},{"family":"Titus","given":"Jack L."}],"issued":{"date-parts":[["1993",7]]}}}],"schema":"https://github.com/citation-style-language/schema/raw/master/csl-citation.json"} </w:instrText>
      </w:r>
      <w:r w:rsidRPr="008420EF">
        <w:rPr>
          <w:rFonts w:ascii="Arial" w:hAnsi="Arial" w:cs="Arial"/>
          <w:sz w:val="20"/>
          <w:szCs w:val="20"/>
        </w:rPr>
        <w:fldChar w:fldCharType="separate"/>
      </w:r>
      <w:r w:rsidR="00793D58" w:rsidRPr="00793D58">
        <w:rPr>
          <w:rFonts w:ascii="Arial" w:hAnsi="Arial" w:cs="Arial"/>
          <w:sz w:val="20"/>
        </w:rPr>
        <w:t>[7]</w:t>
      </w:r>
      <w:r w:rsidRPr="008420EF">
        <w:rPr>
          <w:rFonts w:ascii="Arial" w:hAnsi="Arial" w:cs="Arial"/>
          <w:sz w:val="20"/>
          <w:szCs w:val="20"/>
        </w:rPr>
        <w:fldChar w:fldCharType="end"/>
      </w:r>
      <w:r w:rsidRPr="008420EF">
        <w:rPr>
          <w:rFonts w:ascii="Arial" w:hAnsi="Arial" w:cs="Arial"/>
          <w:sz w:val="20"/>
          <w:szCs w:val="20"/>
        </w:rPr>
        <w:t xml:space="preserve"> .</w:t>
      </w:r>
    </w:p>
    <w:p w14:paraId="15C56DC4" w14:textId="4AF4382C" w:rsidR="001B5F6C" w:rsidRDefault="001B5F6C" w:rsidP="00793D58">
      <w:pPr>
        <w:pStyle w:val="NormalWeb"/>
        <w:rPr>
          <w:rFonts w:ascii="Arial" w:hAnsi="Arial" w:cs="Arial"/>
          <w:sz w:val="20"/>
          <w:szCs w:val="20"/>
        </w:rPr>
      </w:pPr>
      <w:r w:rsidRPr="008420EF">
        <w:rPr>
          <w:rFonts w:ascii="Arial" w:hAnsi="Arial" w:cs="Arial"/>
          <w:sz w:val="20"/>
          <w:szCs w:val="20"/>
        </w:rPr>
        <w:t xml:space="preserve">Most individuals with ARSA remain asymptomatic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HVROLvyu","properties":{"formattedCitation":"[3]","plainCitation":"[3]","noteIndex":0},"citationItems":[{"id":145,"uris":["http://zotero.org/users/local/ykrBxlF1/items/JCYHAVFL","http://zotero.org/users/17374735/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[3]</w:t>
      </w:r>
      <w:r w:rsidRPr="008420EF">
        <w:rPr>
          <w:rFonts w:ascii="Arial" w:hAnsi="Arial" w:cs="Arial"/>
          <w:sz w:val="20"/>
          <w:szCs w:val="20"/>
        </w:rPr>
        <w:fldChar w:fldCharType="end"/>
      </w:r>
      <w:r w:rsidRPr="008420EF">
        <w:rPr>
          <w:rFonts w:ascii="Arial" w:hAnsi="Arial" w:cs="Arial"/>
          <w:sz w:val="20"/>
          <w:szCs w:val="20"/>
        </w:rPr>
        <w:t xml:space="preserve">. However, esophageal or tracheal compression may lead to dysphagia or dyspnea, respectively—though tracheal compression is rare in adults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ap5mgtJa","properties":{"formattedCitation":"[4]","plainCitation":"[4]","noteIndex":0},"citationItems":[{"id":143,"uris":["http://zotero.org/users/local/ykrBxlF1/items/55R8DLPI","http://zotero.org/users/17374735/items/55R8DLPI"],"itemData":{"id":143,"type":"article-journal","abstract":"Purpose: Because ofthe scarcity oflarge series in the literature, our experience with surgery for aberrant subclavian arteries (aSA) in adults was reviewed.\nMethods: During the last 16 years we have surgically treated 33 adult patients with aSA. Twenty-eight patients had a left-sided aortic arch with a right aSA whereas five had a right-sided aortic arch with a left aSA. Eleven patients (group 1) had dysphagia caused by esophageal compression by a nonaneurysmal aSA; five patients (group 2) had ischemic symptoms caused by occlusive disease of a nonaneurysmal aSA; 10 patients (group 3) had aneurysms of the aSA with or without symptoms caused by esophageal compression or arterial thromboembolism; and seven patients (group 4) had an aSA arising from a diseased (usually aneurysmal) thoracic aorta. In all cases the divided aSA was revascularized, most often by direct transposition into the ipsilateral common carotid artery. Nine ofthe 16 patients in groups 1 and 2 underwent operation with a cervical approach alone. In the remaining seven, the cervical approach was combined with a median sternotomy (six cases) or a left thoracotomy (one case). In the 17 patients in groups 3 and 4, either a cervical approach (two cases), a median sternotomy (four cases), or a two-staged approach combining a supraclavicular incision on the side of the aSA with a posterolateral thoracotomy on the side ofthe aortic arch (11 cases) was used. Aortic cross-clamping was required in 12 ofthese patients to perform the transaortic closure ofthe origin ofthe aSA with patch angioplasty (three cases), or prosthetic replacement of the descending thoracic aorta (nine cases). Cardiopulmonary bypass was used in six patients (including three with hypothermic circulatory arrest).\nResults: Four patients, all in groups 3 and 4, died after operation: two of multiorgan failure, one of heart failure, and one of esophageal rupture. Satisfactory clinical and anatomic results were obtained in the remaining 29 patients.\nConclusions: The surgical approach to aSA must be flexible and adapted to the anatomic conditions found. We recommend routine reconstruction of the aSA to avoid ischemic complications in the vertebrobasilar territory or upper extremity. Provision should be a made for cardiopulmonary bypass in patients with aneurysm of aSA or associated aortic aneurysm. VASe SURG 1994;19:100-11.)","container-title":"Journal of Vascular Surgery","DOI":"10.1016/S0741-5214(94)70125-3","ISSN":"07415214","issue":"1","journalAbbreviation":"Journal of Vascular Surgery","language":"en","page":"100-111","source":"DOI.org (Crossref)","title":"Aberrant subclavian artery: Surgical treatment in thirty-three adult patients","title-short":"Aberrant subclavian artery","volume":"19","author":[{"family":"Kieffer","given":"Edouard"},{"family":"Bahnini","given":"Amine"},{"family":"Koskas","given":"Fabien"}],"issued":{"date-parts":[["1994",1]]}}}],"schema":"https://github.com/citation-style-language/schema/raw/master/csl-citation.json"}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[4]</w:t>
      </w:r>
      <w:r w:rsidRPr="008420EF">
        <w:rPr>
          <w:rFonts w:ascii="Arial" w:hAnsi="Arial" w:cs="Arial"/>
          <w:sz w:val="20"/>
          <w:szCs w:val="20"/>
        </w:rPr>
        <w:fldChar w:fldCharType="end"/>
      </w:r>
      <w:r w:rsidRPr="008420EF">
        <w:rPr>
          <w:rFonts w:ascii="Arial" w:hAnsi="Arial" w:cs="Arial"/>
          <w:sz w:val="20"/>
          <w:szCs w:val="20"/>
        </w:rPr>
        <w:t xml:space="preserve">. A classical presentation is dysphagia </w:t>
      </w:r>
      <w:proofErr w:type="spellStart"/>
      <w:r w:rsidRPr="008420EF">
        <w:rPr>
          <w:rFonts w:ascii="Arial" w:hAnsi="Arial" w:cs="Arial"/>
          <w:sz w:val="20"/>
          <w:szCs w:val="20"/>
        </w:rPr>
        <w:t>lusoria</w:t>
      </w:r>
      <w:proofErr w:type="spellEnd"/>
      <w:r w:rsidRPr="008420EF">
        <w:rPr>
          <w:rFonts w:ascii="Arial" w:hAnsi="Arial" w:cs="Arial"/>
          <w:sz w:val="20"/>
          <w:szCs w:val="20"/>
        </w:rPr>
        <w:t xml:space="preserve">, caused by esophageal compression from the retroesophageal artery </w:t>
      </w:r>
      <w:r w:rsidRPr="008420EF">
        <w:rPr>
          <w:rFonts w:ascii="Arial" w:hAnsi="Arial" w:cs="Arial"/>
          <w:sz w:val="20"/>
          <w:szCs w:val="20"/>
        </w:rPr>
        <w:fldChar w:fldCharType="begin"/>
      </w:r>
      <w:r w:rsidR="00793D58">
        <w:rPr>
          <w:rFonts w:ascii="Arial" w:hAnsi="Arial" w:cs="Arial"/>
          <w:sz w:val="20"/>
          <w:szCs w:val="20"/>
        </w:rPr>
        <w:instrText xml:space="preserve"> ADDIN ZOTERO_ITEM CSL_CITATION {"citationID":"4fJVTpI5","properties":{"formattedCitation":"[6], [8], [9]","plainCitation":"[6], [8], [9]","noteIndex":0},"citationItems":[{"id":706,"uris":["http://zotero.org/users/local/ykrBxlF1/items/4KNN99J3","http://zotero.org/users/17374735/items/4KNN99J3"],"itemData":{"id":706,"type":"article-journal","abstract":"While most patients with arteria lusoria and common carotid trunk conditions are asymptomatic, discovery of such anomalies periprocedurally may affect the cardiac catheterization access site, catheter selection, and additional imaging.","container-title":"Federal Practitioner","DOI":"10.12788/fp.0089","ISSN":"1078-4497","issue":"2","journalAbbreviation":"Fed Pract","note":"PMID: 33716485\nPMCID: PMC7953854","page":"84-88","source":"PubMed Central","title":"Truncus Bicaroticus With Arteria Lusoria: A Rare Combination of Aortic Root Anatomy Complicating Cardiac Catheterization","title-short":"Truncus Bicaroticus With Arteria Lusoria","volume":"38","author":[{"family":"Norris","given":"Capt Roy"},{"family":"Wilson","given":"CPT Andrew"},{"family":"Lin","given":"MAJ Charles"}],"issued":{"date-parts":[["2021",2]]}}},{"id":714,"uris":["http://zotero.org/users/local/ykrBxlF1/items/EI8GR3WJ","http://zotero.org/users/17374735/items/EI8GR3WJ"],"itemData":{"id":714,"type":"webpage","language":"en","note":"DOI: 10.2214/ajr.97.2.438","title":"ABERRANT RIGHT SUBCLAVIAN ARTERY","URL":"https://www.ajronline.org/doi/epdf/10.2214/ajr.97.2.438","accessed":{"date-parts":[["2025",6,11]]}}},{"id":716,"uris":["http://zotero.org/users/local/ykrBxlF1/items/IM4Z5DBY","http://zotero.org/users/17374735/items/IM4Z5DBY"],"itemData":{"id":716,"type":"article-journal","abstract":"There is little published evidence regarding the patterns and prevalence of vertebral artery (VA) and common carotid artery (CCA) anomalies in patients with an aberrant right subclavian artery (ARSCA).","container-title":"Pediatric Radiology","DOI":"10.1007/s00247-007-0574-2","ISSN":"1432-1998","issue":"10","journalAbbreviation":"Pediatr Radiol","language":"en","page":"1007-1012","source":"Springer Link","title":"Vertebral and carotid artery anomalies in patients with aberrant right subclavian arteries","volume":"37","author":[{"family":"Tsai","given":"I-Chen"},{"family":"Tzeng","given":"Wen-Sheng"},{"family":"Lee","given":"Tain"},{"family":"Jan","given":"Sheng-Lin"},{"family":"Fu","given":"Yun-Ching"},{"family":"Chen","given":"Min-Chi"},{"family":"Lin","given":"Pao-Chun"},{"family":"Liao","given":"Wan-Chun"},{"family":"Chen","given":"Clayton Chi-Chang"}],"issued":{"date-parts":[["2007",10,1]]}}}],"schema":"https://github.com/citation-style-language/schema/raw/master/csl-citation.json"} </w:instrText>
      </w:r>
      <w:r w:rsidRPr="008420EF">
        <w:rPr>
          <w:rFonts w:ascii="Arial" w:hAnsi="Arial" w:cs="Arial"/>
          <w:sz w:val="20"/>
          <w:szCs w:val="20"/>
        </w:rPr>
        <w:fldChar w:fldCharType="separate"/>
      </w:r>
      <w:r w:rsidR="00793D58" w:rsidRPr="00793D58">
        <w:rPr>
          <w:rFonts w:ascii="Arial" w:hAnsi="Arial" w:cs="Arial"/>
          <w:sz w:val="20"/>
        </w:rPr>
        <w:t>[6], [8], [9]</w:t>
      </w:r>
      <w:r w:rsidRPr="008420EF">
        <w:rPr>
          <w:rFonts w:ascii="Arial" w:hAnsi="Arial" w:cs="Arial"/>
          <w:sz w:val="20"/>
          <w:szCs w:val="20"/>
        </w:rPr>
        <w:fldChar w:fldCharType="end"/>
      </w:r>
      <w:r w:rsidRPr="008420EF">
        <w:rPr>
          <w:rFonts w:ascii="Arial" w:hAnsi="Arial" w:cs="Arial"/>
          <w:sz w:val="20"/>
          <w:szCs w:val="20"/>
        </w:rPr>
        <w:t xml:space="preserve">. Another rare but important manifestation is Ortner syndrome, where recurrent laryngeal nerve palsy results from vascular compression </w:t>
      </w:r>
      <w:r w:rsidRPr="008420EF">
        <w:rPr>
          <w:rFonts w:ascii="Arial" w:hAnsi="Arial" w:cs="Arial"/>
          <w:sz w:val="20"/>
          <w:szCs w:val="20"/>
        </w:rPr>
        <w:fldChar w:fldCharType="begin"/>
      </w:r>
      <w:r w:rsidR="00793D58">
        <w:rPr>
          <w:rFonts w:ascii="Arial" w:hAnsi="Arial" w:cs="Arial"/>
          <w:sz w:val="20"/>
          <w:szCs w:val="20"/>
        </w:rPr>
        <w:instrText xml:space="preserve"> ADDIN ZOTERO_ITEM CSL_CITATION {"citationID":"FN0I5aqG","properties":{"formattedCitation":"[10]","plainCitation":"[10]","noteIndex":0},"citationItems":[{"id":710,"uris":["http://zotero.org/users/local/ykrBxlF1/items/9KC2DESA","http://zotero.org/users/17374735/items/9KC2DESA"],"itemData":{"id":710,"type":"article-journal","abstract":"Arteria lusoria is the most common anomaly of the aortic arch with an incidence of 0.5%–2.5%. It is mostly diagnosed incidentally while performing imaging for evaluation of other unrelated medical conditions. The aberrant right subclavian artery arises beyond the origin of the left subclavian artery from the aortic arch. This results in a complex right-subclavian-aortic anatomy which leads to difficulty in transradial coronary angiography. This can lead to prolonged procedure time and increased use of catheters by unaware interventionists. This is even more important if this is encountered in the setting of an acute myocardial infarction. Our review takes into account clinical significance of this uncommon anomaly in the field of interventional cardiology.","container-title":"Catheterization and Cardiovascular Interventions","DOI":"10.1002/ccd.27439","ISSN":"1522-726X","issue":"7","language":"en","license":"© 2017 Wiley Periodicals, Inc.","note":"_eprint: https://onlinelibrary.wiley.com/doi/pdf/10.1002/ccd.27439","page":"1283-1286","source":"Wiley Online Library","title":"Incidental finding of arteria lusoria during transradial coronary catheterization: Significance in interventional cardiology","title-short":"Incidental finding of arteria lusoria during transradial coronary catheterization","volume":"91","author":[{"family":"Rafiq","given":"Arsalan"},{"family":"Chutani","given":"Surendra"},{"family":"Krim","given":"Nassim R."}],"issued":{"date-parts":[["2018"]]}}}],"schema":"https://github.com/citation-style-language/schema/raw/master/csl-citation.json"} </w:instrText>
      </w:r>
      <w:r w:rsidRPr="008420EF">
        <w:rPr>
          <w:rFonts w:ascii="Arial" w:hAnsi="Arial" w:cs="Arial"/>
          <w:sz w:val="20"/>
          <w:szCs w:val="20"/>
        </w:rPr>
        <w:fldChar w:fldCharType="separate"/>
      </w:r>
      <w:r w:rsidR="00793D58" w:rsidRPr="00793D58">
        <w:rPr>
          <w:rFonts w:ascii="Arial" w:hAnsi="Arial" w:cs="Arial"/>
          <w:sz w:val="20"/>
        </w:rPr>
        <w:t>[10]</w:t>
      </w:r>
      <w:r w:rsidRPr="008420EF">
        <w:rPr>
          <w:rFonts w:ascii="Arial" w:hAnsi="Arial" w:cs="Arial"/>
          <w:sz w:val="20"/>
          <w:szCs w:val="20"/>
        </w:rPr>
        <w:fldChar w:fldCharType="end"/>
      </w:r>
      <w:r w:rsidRPr="008420EF">
        <w:rPr>
          <w:rFonts w:ascii="Arial" w:hAnsi="Arial" w:cs="Arial"/>
          <w:sz w:val="20"/>
          <w:szCs w:val="20"/>
        </w:rPr>
        <w:t xml:space="preserve">. </w:t>
      </w:r>
      <w:proofErr w:type="spellStart"/>
      <w:r w:rsidRPr="008420EF">
        <w:rPr>
          <w:rFonts w:ascii="Arial" w:hAnsi="Arial" w:cs="Arial"/>
          <w:sz w:val="20"/>
          <w:szCs w:val="20"/>
        </w:rPr>
        <w:t>Kommerell's</w:t>
      </w:r>
      <w:proofErr w:type="spellEnd"/>
      <w:r w:rsidRPr="008420EF">
        <w:rPr>
          <w:rFonts w:ascii="Arial" w:hAnsi="Arial" w:cs="Arial"/>
          <w:sz w:val="20"/>
          <w:szCs w:val="20"/>
        </w:rPr>
        <w:t xml:space="preserve"> diverticulum—dilatation at the ARSA origin—also poses clinical and surgical challenges due to its association with aneurysmal transformation and risk of rupture </w:t>
      </w:r>
      <w:r w:rsidRPr="008420EF">
        <w:rPr>
          <w:rFonts w:ascii="Arial" w:hAnsi="Arial" w:cs="Arial"/>
          <w:sz w:val="20"/>
          <w:szCs w:val="20"/>
        </w:rPr>
        <w:fldChar w:fldCharType="begin"/>
      </w:r>
      <w:r w:rsidR="00793D58">
        <w:rPr>
          <w:rFonts w:ascii="Arial" w:hAnsi="Arial" w:cs="Arial"/>
          <w:sz w:val="20"/>
          <w:szCs w:val="20"/>
        </w:rPr>
        <w:instrText xml:space="preserve"> ADDIN ZOTERO_ITEM CSL_CITATION {"citationID":"W0YUY49R","properties":{"formattedCitation":"[11]","plainCitation":"[11]","noteIndex":0},"citationItems":[{"id":712,"uris":["http://zotero.org/users/local/ykrBxlF1/items/SDFT4FL9","http://zotero.org/users/17374735/items/SDFT4FL9"],"itemData":{"id":712,"type":"article-journal","abstract":"Congenital anomalies of the aortic arch","container-title":"Cardiovascular Diagnosis and Therapy","DOI":"10.21037/cdt.2017.10.15","ISSN":"2223-3660, 2223-3652","issue":"Suppl 1","language":"en","note":"number: Suppl 1\npublisher: AME publishing company","page":"S26-S2S44","source":"cdt.amegroups.org","title":"Congenital anomalies of the aortic arch","volume":"8","author":[{"family":"Priya","given":"Sarv"},{"family":"Thomas","given":"Richard"},{"family":"Nagpal","given":"Prashant"},{"family":"Sharma","given":"Arun"},{"family":"Steigner","given":"Michael"}],"issued":{"date-parts":[["2018",4]]}}}],"schema":"https://github.com/citation-style-language/schema/raw/master/csl-citation.json"} </w:instrText>
      </w:r>
      <w:r w:rsidRPr="008420EF">
        <w:rPr>
          <w:rFonts w:ascii="Arial" w:hAnsi="Arial" w:cs="Arial"/>
          <w:sz w:val="20"/>
          <w:szCs w:val="20"/>
        </w:rPr>
        <w:fldChar w:fldCharType="separate"/>
      </w:r>
      <w:r w:rsidR="00793D58" w:rsidRPr="00793D58">
        <w:rPr>
          <w:rFonts w:ascii="Arial" w:hAnsi="Arial" w:cs="Arial"/>
          <w:sz w:val="20"/>
        </w:rPr>
        <w:t>[11]</w:t>
      </w:r>
      <w:r w:rsidRPr="008420EF">
        <w:rPr>
          <w:rFonts w:ascii="Arial" w:hAnsi="Arial" w:cs="Arial"/>
          <w:sz w:val="20"/>
          <w:szCs w:val="20"/>
        </w:rPr>
        <w:fldChar w:fldCharType="end"/>
      </w:r>
      <w:r w:rsidRPr="008420EF">
        <w:rPr>
          <w:rFonts w:ascii="Arial" w:hAnsi="Arial" w:cs="Arial"/>
          <w:sz w:val="20"/>
          <w:szCs w:val="20"/>
        </w:rPr>
        <w:t>. ARSA’s aberrant course may also increase the risk of vascular injury during head and neck surgeries such as thyroidectomy, tracheotomy, and mediastinal lymph node dissection.</w:t>
      </w:r>
    </w:p>
    <w:p w14:paraId="5210C59A" w14:textId="3636D2B3" w:rsidR="001B5F6C" w:rsidRPr="008420EF" w:rsidRDefault="001B5F6C" w:rsidP="00BD4C4B">
      <w:pPr>
        <w:pStyle w:val="NormalWeb"/>
        <w:rPr>
          <w:rFonts w:ascii="Arial" w:hAnsi="Arial" w:cs="Arial"/>
          <w:sz w:val="20"/>
          <w:szCs w:val="20"/>
        </w:rPr>
      </w:pPr>
      <w:r w:rsidRPr="008420EF">
        <w:rPr>
          <w:rFonts w:ascii="Arial" w:hAnsi="Arial" w:cs="Arial"/>
          <w:sz w:val="20"/>
          <w:szCs w:val="20"/>
        </w:rPr>
        <w:t xml:space="preserve">Although ARSA is often regarded as a benign anatomical variant, recent literature has underscored its clinical relevance, particularly when it coexists with anomalies like atrial septal defects (ASD), patent foramen </w:t>
      </w:r>
      <w:proofErr w:type="spellStart"/>
      <w:r w:rsidRPr="008420EF">
        <w:rPr>
          <w:rFonts w:ascii="Arial" w:hAnsi="Arial" w:cs="Arial"/>
          <w:sz w:val="20"/>
          <w:szCs w:val="20"/>
        </w:rPr>
        <w:t>ovale</w:t>
      </w:r>
      <w:proofErr w:type="spellEnd"/>
      <w:r w:rsidRPr="008420EF">
        <w:rPr>
          <w:rFonts w:ascii="Arial" w:hAnsi="Arial" w:cs="Arial"/>
          <w:sz w:val="20"/>
          <w:szCs w:val="20"/>
        </w:rPr>
        <w:t xml:space="preserve"> (PFO), or atherosclerotic plaques</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8Hicqx6d","properties":{"formattedCitation":"[3]","plainCitation":"[3]","noteIndex":0},"citationItems":[{"id":145,"uris":["http://zotero.org/users/local/ykrBxlF1/items/JCYHAVFL","http://zotero.org/users/17374735/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[3]</w:t>
      </w:r>
      <w:r w:rsidRPr="008420EF">
        <w:rPr>
          <w:rFonts w:ascii="Arial" w:hAnsi="Arial" w:cs="Arial"/>
          <w:sz w:val="20"/>
          <w:szCs w:val="20"/>
        </w:rPr>
        <w:fldChar w:fldCharType="end"/>
      </w:r>
      <w:r w:rsidRPr="008420EF">
        <w:rPr>
          <w:rFonts w:ascii="Arial" w:hAnsi="Arial" w:cs="Arial"/>
          <w:sz w:val="20"/>
          <w:szCs w:val="20"/>
        </w:rPr>
        <w:t>. In our case, the patient presented with a cerebellar stroke and was found to have a rare triad: PFO with atrial septal aneurysm (ASA), and ARSA containing atherosclerotic plaque. This combination creates a prothrombotic environment and increases the potential for paradoxical embolism.</w:t>
      </w:r>
    </w:p>
    <w:p w14:paraId="68799722" w14:textId="77C4CA1C" w:rsidR="001B5F6C" w:rsidRPr="008420EF" w:rsidRDefault="001B5F6C" w:rsidP="00BD4C4B">
      <w:pPr>
        <w:pStyle w:val="NormalWeb"/>
        <w:rPr>
          <w:rFonts w:ascii="Arial" w:hAnsi="Arial" w:cs="Arial"/>
          <w:sz w:val="20"/>
          <w:szCs w:val="20"/>
        </w:rPr>
      </w:pPr>
      <w:r w:rsidRPr="008420EF">
        <w:rPr>
          <w:rFonts w:ascii="Arial" w:hAnsi="Arial" w:cs="Arial"/>
          <w:sz w:val="20"/>
          <w:szCs w:val="20"/>
        </w:rPr>
        <w:lastRenderedPageBreak/>
        <w:t xml:space="preserve">This association is significant, facilitating embolic transit through transient right-to-left shunting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ZmAdSpFF","properties":{"formattedCitation":"[3]","plainCitation":"[3]","noteIndex":0},"citationItems":[{"id":145,"uris":["http://zotero.org/users/local/ykrBxlF1/items/JCYHAVFL","http://zotero.org/users/17374735/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[3]</w:t>
      </w:r>
      <w:r w:rsidRPr="008420EF">
        <w:rPr>
          <w:rFonts w:ascii="Arial" w:hAnsi="Arial" w:cs="Arial"/>
          <w:sz w:val="20"/>
          <w:szCs w:val="20"/>
        </w:rPr>
        <w:fldChar w:fldCharType="end"/>
      </w:r>
      <w:r w:rsidRPr="008420EF">
        <w:rPr>
          <w:rFonts w:ascii="Arial" w:hAnsi="Arial" w:cs="Arial"/>
          <w:sz w:val="20"/>
          <w:szCs w:val="20"/>
        </w:rPr>
        <w:t>. In their case, the combination of ARSA and ASD led to paradoxical embolism and cerebral infarction. These findings support the use of vascular imaging in young patients with cryptogenic stroke.</w:t>
      </w:r>
    </w:p>
    <w:p w14:paraId="1BA7ECAA" w14:textId="74897F35" w:rsidR="001B5F6C" w:rsidRPr="008420EF" w:rsidRDefault="001B5F6C" w:rsidP="00BD4C4B">
      <w:pPr>
        <w:pStyle w:val="NormalWeb"/>
        <w:rPr>
          <w:rFonts w:ascii="Arial" w:hAnsi="Arial" w:cs="Arial"/>
          <w:sz w:val="20"/>
          <w:szCs w:val="20"/>
        </w:rPr>
      </w:pPr>
      <w:r w:rsidRPr="008420EF">
        <w:rPr>
          <w:rFonts w:ascii="Arial" w:hAnsi="Arial" w:cs="Arial"/>
          <w:sz w:val="20"/>
          <w:szCs w:val="20"/>
        </w:rPr>
        <w:t xml:space="preserve">Our case also supports this diagnostic strategy. CT angiography revealed the ARSA and its plaque burden, while transesophageal echocardiography (TEE) confirmed the PFO and ASA. These tools were essential for diagnosis, and align with the growing body of evidence recommending multimodal imaging for comprehensive stroke evaluation, especially in younger patients without traditional vascular risk factors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OX1cSvXE","properties":{"formattedCitation":"[3]","plainCitation":"[3]","noteIndex":0},"citationItems":[{"id":145,"uris":["http://zotero.org/users/local/ykrBxlF1/items/JCYHAVFL","http://zotero.org/users/17374735/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[3]</w:t>
      </w:r>
      <w:r w:rsidRPr="008420EF">
        <w:rPr>
          <w:rFonts w:ascii="Arial" w:hAnsi="Arial" w:cs="Arial"/>
          <w:sz w:val="20"/>
          <w:szCs w:val="20"/>
        </w:rPr>
        <w:fldChar w:fldCharType="end"/>
      </w:r>
      <w:r w:rsidRPr="008420EF">
        <w:rPr>
          <w:rFonts w:ascii="Arial" w:hAnsi="Arial" w:cs="Arial"/>
          <w:sz w:val="20"/>
          <w:szCs w:val="20"/>
        </w:rPr>
        <w:t>.</w:t>
      </w:r>
    </w:p>
    <w:p w14:paraId="142EEC29" w14:textId="77777777" w:rsidR="001B5F6C" w:rsidRPr="008420EF" w:rsidRDefault="001B5F6C" w:rsidP="001B5F6C">
      <w:pPr>
        <w:pStyle w:val="NormalWeb"/>
        <w:rPr>
          <w:rFonts w:ascii="Arial" w:hAnsi="Arial" w:cs="Arial"/>
          <w:sz w:val="20"/>
          <w:szCs w:val="20"/>
        </w:rPr>
      </w:pPr>
      <w:r w:rsidRPr="008420EF">
        <w:rPr>
          <w:rFonts w:ascii="Arial" w:hAnsi="Arial" w:cs="Arial"/>
          <w:sz w:val="20"/>
          <w:szCs w:val="20"/>
        </w:rPr>
        <w:t>Furthermore, the patient's history of hypertension, hyperlipidemia, and cholelithiasis increased his baseline cardiovascular risk. However, the coexisting PFO and ASA offered a likely anatomical conduit for paradoxical embolism. Simultaneously, the ARSA may have contributed via local turbulence and plaque formation—factors recognized for embolic potential.</w:t>
      </w:r>
    </w:p>
    <w:p w14:paraId="67268F6C" w14:textId="4205C61E" w:rsidR="001B5F6C" w:rsidRPr="008420EF" w:rsidRDefault="001B5F6C" w:rsidP="00793D58">
      <w:pPr>
        <w:pStyle w:val="NormalWeb"/>
        <w:rPr>
          <w:rFonts w:ascii="Arial" w:hAnsi="Arial" w:cs="Arial"/>
          <w:sz w:val="20"/>
          <w:szCs w:val="20"/>
        </w:rPr>
      </w:pPr>
      <w:r w:rsidRPr="008420EF">
        <w:rPr>
          <w:rFonts w:ascii="Arial" w:hAnsi="Arial" w:cs="Arial"/>
          <w:sz w:val="20"/>
          <w:szCs w:val="20"/>
        </w:rPr>
        <w:t xml:space="preserve">Management strategies for symptomatic ARSA are evolving. Historically, left thoracotomy was the standard surgical approach, but it presented technical difficulties, especially for anterior repositioning of the subclavian artery </w:t>
      </w:r>
      <w:r w:rsidRPr="008420EF">
        <w:rPr>
          <w:rFonts w:ascii="Arial" w:hAnsi="Arial" w:cs="Arial"/>
          <w:sz w:val="20"/>
          <w:szCs w:val="20"/>
        </w:rPr>
        <w:fldChar w:fldCharType="begin"/>
      </w:r>
      <w:r w:rsidR="00793D58">
        <w:rPr>
          <w:rFonts w:ascii="Arial" w:hAnsi="Arial" w:cs="Arial"/>
          <w:sz w:val="20"/>
          <w:szCs w:val="20"/>
        </w:rPr>
        <w:instrText xml:space="preserve"> ADDIN ZOTERO_ITEM CSL_CITATION {"citationID":"bRzdSfFr","properties":{"formattedCitation":"[12]","plainCitation":"[12]","noteIndex":0},"citationItems":[{"id":149,"uris":["http://zotero.org/users/local/ykrBxlF1/items/AWXIRJN4","http://zotero.org/users/17374735/items/AWXIRJN4"],"itemData":{"id":149,"type":"article-journal","language":"en","source":"Zotero","title":"RETROESOPHAGEAL SUBCLAVIAN ARTERIES: SURGICAL MANAGEMENT OF SYMPTOMATIC CHILDREN","author":[{"family":"Smith","given":"J Marvin"},{"family":"Wukasch","given":"Don C"}]}}],"schema":"https://github.com/citation-style-language/schema/raw/master/csl-citation.json"} </w:instrText>
      </w:r>
      <w:r w:rsidRPr="008420EF">
        <w:rPr>
          <w:rFonts w:ascii="Arial" w:hAnsi="Arial" w:cs="Arial"/>
          <w:sz w:val="20"/>
          <w:szCs w:val="20"/>
        </w:rPr>
        <w:fldChar w:fldCharType="separate"/>
      </w:r>
      <w:r w:rsidR="00793D58" w:rsidRPr="00793D58">
        <w:rPr>
          <w:rFonts w:ascii="Arial" w:hAnsi="Arial" w:cs="Arial"/>
          <w:sz w:val="20"/>
        </w:rPr>
        <w:t>[12]</w:t>
      </w:r>
      <w:r w:rsidRPr="008420EF">
        <w:rPr>
          <w:rFonts w:ascii="Arial" w:hAnsi="Arial" w:cs="Arial"/>
          <w:sz w:val="20"/>
          <w:szCs w:val="20"/>
        </w:rPr>
        <w:fldChar w:fldCharType="end"/>
      </w:r>
      <w:r w:rsidRPr="008420EF">
        <w:rPr>
          <w:rFonts w:ascii="Arial" w:hAnsi="Arial" w:cs="Arial"/>
          <w:sz w:val="20"/>
          <w:szCs w:val="20"/>
        </w:rPr>
        <w:t xml:space="preserve">. Similarly, right posterolateral thoracotomy carries the risk of incomplete relief if the ARSA is not adequately divided near its origin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JJKmGytx","properties":{"formattedCitation":"[3]","plainCitation":"[3]","noteIndex":0},"citationItems":[{"id":145,"uris":["http://zotero.org/users/local/ykrBxlF1/items/JCYHAVFL","http://zotero.org/users/17374735/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[3]</w:t>
      </w:r>
      <w:r w:rsidRPr="008420EF">
        <w:rPr>
          <w:rFonts w:ascii="Arial" w:hAnsi="Arial" w:cs="Arial"/>
          <w:sz w:val="20"/>
          <w:szCs w:val="20"/>
        </w:rPr>
        <w:fldChar w:fldCharType="end"/>
      </w:r>
      <w:r w:rsidRPr="008420EF">
        <w:rPr>
          <w:rFonts w:ascii="Arial" w:hAnsi="Arial" w:cs="Arial"/>
          <w:sz w:val="20"/>
          <w:szCs w:val="20"/>
        </w:rPr>
        <w:t xml:space="preserve">. More recent literature supports the use of median sternotomy or hybrid/endovascular approaches as safer, more adaptable options with favorable outcomes </w:t>
      </w:r>
      <w:r w:rsidRPr="008420EF">
        <w:rPr>
          <w:rFonts w:ascii="Arial" w:hAnsi="Arial" w:cs="Arial"/>
          <w:sz w:val="20"/>
          <w:szCs w:val="20"/>
        </w:rPr>
        <w:fldChar w:fldCharType="begin"/>
      </w:r>
      <w:r w:rsidR="00BD4C4B">
        <w:rPr>
          <w:rFonts w:ascii="Arial" w:hAnsi="Arial" w:cs="Arial"/>
          <w:sz w:val="20"/>
          <w:szCs w:val="20"/>
        </w:rPr>
        <w:instrText xml:space="preserve"> ADDIN ZOTERO_ITEM CSL_CITATION {"citationID":"5g0jBxB6","properties":{"formattedCitation":"[4]","plainCitation":"[4]","noteIndex":0},"citationItems":[{"id":143,"uris":["http://zotero.org/users/local/ykrBxlF1/items/55R8DLPI","http://zotero.org/users/17374735/items/55R8DLPI"],"itemData":{"id":143,"type":"article-journal","abstract":"Purpose: Because ofthe scarcity oflarge series in the literature, our experience with surgery for aberrant subclavian arteries (aSA) in adults was reviewed.\nMethods: During the last 16 years we have surgically treated 33 adult patients with aSA. Twenty-eight patients had a left-sided aortic arch with a right aSA whereas five had a right-sided aortic arch with a left aSA. Eleven patients (group 1) had dysphagia caused by esophageal compression by a nonaneurysmal aSA; five patients (group 2) had ischemic symptoms caused by occlusive disease of a nonaneurysmal aSA; 10 patients (group 3) had aneurysms of the aSA with or without symptoms caused by esophageal compression or arterial thromboembolism; and seven patients (group 4) had an aSA arising from a diseased (usually aneurysmal) thoracic aorta. In all cases the divided aSA was revascularized, most often by direct transposition into the ipsilateral common carotid artery. Nine ofthe 16 patients in groups 1 and 2 underwent operation with a cervical approach alone. In the remaining seven, the cervical approach was combined with a median sternotomy (six cases) or a left thoracotomy (one case). In the 17 patients in groups 3 and 4, either a cervical approach (two cases), a median sternotomy (four cases), or a two-staged approach combining a supraclavicular incision on the side of the aSA with a posterolateral thoracotomy on the side ofthe aortic arch (11 cases) was used. Aortic cross-clamping was required in 12 ofthese patients to perform the transaortic closure ofthe origin ofthe aSA with patch angioplasty (three cases), or prosthetic replacement of the descending thoracic aorta (nine cases). Cardiopulmonary bypass was used in six patients (including three with hypothermic circulatory arrest).\nResults: Four patients, all in groups 3 and 4, died after operation: two of multiorgan failure, one of heart failure, and one of esophageal rupture. Satisfactory clinical and anatomic results were obtained in the remaining 29 patients.\nConclusions: The surgical approach to aSA must be flexible and adapted to the anatomic conditions found. We recommend routine reconstruction of the aSA to avoid ischemic complications in the vertebrobasilar territory or upper extremity. Provision should be a made for cardiopulmonary bypass in patients with aneurysm of aSA or associated aortic aneurysm. VASe SURG 1994;19:100-11.)","container-title":"Journal of Vascular Surgery","DOI":"10.1016/S0741-5214(94)70125-3","ISSN":"07415214","issue":"1","journalAbbreviation":"Journal of Vascular Surgery","language":"en","page":"100-111","source":"DOI.org (Crossref)","title":"Aberrant subclavian artery: Surgical treatment in thirty-three adult patients","title-short":"Aberrant subclavian artery","volume":"19","author":[{"family":"Kieffer","given":"Edouard"},{"family":"Bahnini","given":"Amine"},{"family":"Koskas","given":"Fabien"}],"issued":{"date-parts":[["1994",1]]}}}],"schema":"https://github.com/citation-style-language/schema/raw/master/csl-citation.json"} </w:instrText>
      </w:r>
      <w:r w:rsidRPr="008420EF">
        <w:rPr>
          <w:rFonts w:ascii="Arial" w:hAnsi="Arial" w:cs="Arial"/>
          <w:sz w:val="20"/>
          <w:szCs w:val="20"/>
        </w:rPr>
        <w:fldChar w:fldCharType="separate"/>
      </w:r>
      <w:r w:rsidR="00BD4C4B" w:rsidRPr="00BD4C4B">
        <w:rPr>
          <w:rFonts w:ascii="Arial" w:hAnsi="Arial" w:cs="Arial"/>
          <w:sz w:val="20"/>
        </w:rPr>
        <w:t>[4]</w:t>
      </w:r>
      <w:r w:rsidRPr="008420EF">
        <w:rPr>
          <w:rFonts w:ascii="Arial" w:hAnsi="Arial" w:cs="Arial"/>
          <w:sz w:val="20"/>
          <w:szCs w:val="20"/>
        </w:rPr>
        <w:fldChar w:fldCharType="end"/>
      </w:r>
      <w:r w:rsidRPr="008420EF">
        <w:rPr>
          <w:rFonts w:ascii="Arial" w:hAnsi="Arial" w:cs="Arial"/>
          <w:sz w:val="20"/>
          <w:szCs w:val="20"/>
        </w:rPr>
        <w:t xml:space="preserve">. </w:t>
      </w:r>
      <w:proofErr w:type="spellStart"/>
      <w:r w:rsidRPr="008420EF">
        <w:rPr>
          <w:rFonts w:ascii="Arial" w:hAnsi="Arial" w:cs="Arial"/>
          <w:sz w:val="20"/>
          <w:szCs w:val="20"/>
        </w:rPr>
        <w:t>Dueppers</w:t>
      </w:r>
      <w:proofErr w:type="spellEnd"/>
      <w:r w:rsidRPr="008420EF">
        <w:rPr>
          <w:rFonts w:ascii="Arial" w:hAnsi="Arial" w:cs="Arial"/>
          <w:sz w:val="20"/>
          <w:szCs w:val="20"/>
        </w:rPr>
        <w:t xml:space="preserve"> et al. demonstrated high technical success using individualized multimodal techniques, including subclavian-carotid transpositions and stent grafting </w:t>
      </w:r>
      <w:r w:rsidRPr="008420EF">
        <w:rPr>
          <w:rFonts w:ascii="Arial" w:hAnsi="Arial" w:cs="Arial"/>
          <w:sz w:val="20"/>
          <w:szCs w:val="20"/>
        </w:rPr>
        <w:fldChar w:fldCharType="begin"/>
      </w:r>
      <w:r w:rsidR="00793D58">
        <w:rPr>
          <w:rFonts w:ascii="Arial" w:hAnsi="Arial" w:cs="Arial"/>
          <w:sz w:val="20"/>
          <w:szCs w:val="20"/>
        </w:rPr>
        <w:instrText xml:space="preserve"> ADDIN ZOTERO_ITEM CSL_CITATION {"citationID":"sLx0uFpr","properties":{"formattedCitation":"[13]","plainCitation":"[13]","noteIndex":0},"citationItems":[{"id":718,"uris":["http://zotero.org/users/local/ykrBxlF1/items/VDKVWXCX","http://zotero.org/users/17374735/items/VDKVWXCX"],"itemData":{"id":718,"type":"article-journal","abstract":"Background:: An aberrant right subclavian artery (ARSA) is in most cases an asymptomatic aortic arch anomaly. However, dysphagia, aneurysm formation (ARSAA), associated Kommerell diverticulum, or cerebellar/arm malperfusion may require invasive therapy. Large-scale clinical trials do not exist in current literature. We report our patient’s outcome of a single-center experience and delineate indications for treatment and surgical techniques.\nMethods:: A single-center retrospective study was conducted between January 1, 2012 through March 1, 2018. Symptomatic or asymptomatic patients with ARSAA who received invasive treatment at the Department for Vascular and Endovascular Surgery, University Hospital Dusseldorf, Germany were included.\nResults: Eight patients (4 men, 63 ± 14 (39e78) years) were treated with single-stage (n ¼ 4) or multistage (n ¼ 4) procedures. Treatment for ARSAA (n ¼ 4) included ARSA revascularization (subclavian-carotid transposition (SCT) ¼ 3; carotid-subclavian bypass (CSB) ¼ 1), aortic arch debranching (left SCT ¼ 2, bilateral aorto-carotid bypass + left CSB ¼ 1, right-to-left CSB + left-carotid-to-bypass transposition ¼ 1), and thoracic endovascular aortic repair (TEVAR; n ¼ 4). Other strategies included SCT for dysphagia (n ¼ 2) or subclavian steal syndrome (n ¼ 1) and balloon angioplasty for arm claudication (n ¼ 1). Complications involved vascular access (n ¼ 2) and each one partial common carotid artery overstenting without stroke during TEVAR and Horner syndrome after SCT. Mean follow-up was 23 ± 26 (9e67) months. After 7 months, 1 patient required vertebral artery coiling due to type II endoleak with ARSAA progression. Overall mortality was 0%. Technical and clinical success rates were 100%.\nConclusions:: Surgical concepts for ARSA aim on preventing aneurysm rupture and alleviate dysphagia or ischemic symptoms. To generate satisfying patient outcomes, individualized therapy planning in specialized centers is vital.","container-title":"Annals of Vascular Surgery","DOI":"10.1016/j.avsg.2020.08.151","ISSN":"08905096","journalAbbreviation":"Annals of Vascular Surgery","language":"en","page":"356-364","source":"DOI.org (Crossref)","title":"Contemporary Surgical Management of Aberrant Right Subclavian Arteries (Arteria Lusoria)","volume":"72","author":[{"family":"Dueppers","given":"Philip"},{"family":"Floros","given":"Nikolaos"},{"family":"Schelzig","given":"Hubert"},{"family":"Wagenhäuser","given":"Markus"},{"family":"Duran","given":"Mansur"}],"issued":{"date-parts":[["2021",4]]}}}],"schema":"https://github.com/citation-style-language/schema/raw/master/csl-citation.json"} </w:instrText>
      </w:r>
      <w:r w:rsidRPr="008420EF">
        <w:rPr>
          <w:rFonts w:ascii="Arial" w:hAnsi="Arial" w:cs="Arial"/>
          <w:sz w:val="20"/>
          <w:szCs w:val="20"/>
        </w:rPr>
        <w:fldChar w:fldCharType="separate"/>
      </w:r>
      <w:r w:rsidR="00793D58" w:rsidRPr="00793D58">
        <w:rPr>
          <w:rFonts w:ascii="Arial" w:hAnsi="Arial" w:cs="Arial"/>
          <w:sz w:val="20"/>
        </w:rPr>
        <w:t>[13]</w:t>
      </w:r>
      <w:r w:rsidRPr="008420EF">
        <w:rPr>
          <w:rFonts w:ascii="Arial" w:hAnsi="Arial" w:cs="Arial"/>
          <w:sz w:val="20"/>
          <w:szCs w:val="20"/>
        </w:rPr>
        <w:fldChar w:fldCharType="end"/>
      </w:r>
      <w:r w:rsidRPr="008420EF">
        <w:rPr>
          <w:rFonts w:ascii="Arial" w:hAnsi="Arial" w:cs="Arial"/>
          <w:sz w:val="20"/>
          <w:szCs w:val="20"/>
        </w:rPr>
        <w:t>.</w:t>
      </w:r>
    </w:p>
    <w:p w14:paraId="4D591AB8" w14:textId="77777777" w:rsidR="001B5F6C" w:rsidRPr="008420EF" w:rsidRDefault="001B5F6C" w:rsidP="001B5F6C">
      <w:pPr>
        <w:pStyle w:val="NormalWeb"/>
        <w:rPr>
          <w:rFonts w:ascii="Arial" w:hAnsi="Arial" w:cs="Arial"/>
          <w:sz w:val="20"/>
          <w:szCs w:val="20"/>
        </w:rPr>
      </w:pPr>
      <w:r w:rsidRPr="008420EF">
        <w:rPr>
          <w:rFonts w:ascii="Arial" w:hAnsi="Arial" w:cs="Arial"/>
          <w:sz w:val="20"/>
          <w:szCs w:val="20"/>
        </w:rPr>
        <w:t>In our case, the absence of recurrent embolic events and compressive symptoms supported a conservative, medical approach. Nevertheless, the possibility of future events necessitates careful follow-up. This case emphasizes the importance of considering less common anatomical variants in stroke etiology and highlights how early diagnosis using appropriate imaging can guide optimal treatment.</w:t>
      </w:r>
    </w:p>
    <w:p w14:paraId="6E62E1AD" w14:textId="13567E60" w:rsidR="001B5F6C" w:rsidRDefault="001B5F6C" w:rsidP="001B5F6C">
      <w:pPr>
        <w:pStyle w:val="NormalWeb"/>
        <w:rPr>
          <w:rFonts w:ascii="Arial" w:hAnsi="Arial" w:cs="Arial"/>
          <w:sz w:val="20"/>
          <w:szCs w:val="20"/>
        </w:rPr>
      </w:pPr>
      <w:r w:rsidRPr="008420EF">
        <w:rPr>
          <w:rFonts w:ascii="Arial" w:hAnsi="Arial" w:cs="Arial"/>
          <w:sz w:val="20"/>
          <w:szCs w:val="20"/>
        </w:rPr>
        <w:t>Ultimately, ARSA—particularly when atherosclerotic or coexisting with PFO—should not be dismissed as an incidental finding. It warrants thorough evaluation and long-term monitoring. In select cases, early antithrombotic management or surgical referral may be indicated to prevent further embolic complications.</w:t>
      </w:r>
    </w:p>
    <w:p w14:paraId="303B8100" w14:textId="77777777" w:rsidR="000B0C6E" w:rsidRPr="000B0C6E" w:rsidRDefault="000B0C6E" w:rsidP="000B0C6E">
      <w:pPr>
        <w:rPr>
          <w:rFonts w:ascii="Arial" w:eastAsia="Times New Roman" w:hAnsi="Arial" w:cs="Arial"/>
          <w:sz w:val="20"/>
          <w:szCs w:val="20"/>
        </w:rPr>
      </w:pPr>
      <w:r w:rsidRPr="000B0C6E">
        <w:rPr>
          <w:rFonts w:ascii="Arial" w:eastAsia="Times New Roman" w:hAnsi="Arial" w:cs="Arial"/>
          <w:b/>
          <w:bCs/>
          <w:sz w:val="20"/>
          <w:szCs w:val="20"/>
        </w:rPr>
        <w:t>Limitations of the Case Report</w:t>
      </w:r>
      <w:r w:rsidRPr="000B0C6E">
        <w:rPr>
          <w:rFonts w:ascii="Arial" w:eastAsia="Times New Roman" w:hAnsi="Arial" w:cs="Arial"/>
          <w:sz w:val="20"/>
          <w:szCs w:val="20"/>
        </w:rPr>
        <w:br/>
        <w:t xml:space="preserve">This case report has several limitations. First, it describes a single patient, which precludes generalization of findings. Second, while multimodal imaging strongly suggested paradoxical embolism as the stroke mechanism, direct evidence of thrombus transit through the PFO was not captured. Third, the rarity of ARSA in stroke populations is supported by a clinical series of </w:t>
      </w:r>
      <w:r w:rsidRPr="000B0C6E">
        <w:rPr>
          <w:rFonts w:ascii="Arial" w:eastAsia="Times New Roman" w:hAnsi="Arial" w:cs="Arial"/>
          <w:sz w:val="20"/>
          <w:szCs w:val="20"/>
        </w:rPr>
        <w:t>1,000 consecutive patients with acute cerebrovascular disease</w:t>
      </w:r>
      <w:r w:rsidRPr="000B0C6E">
        <w:rPr>
          <w:rFonts w:ascii="Arial" w:eastAsia="Times New Roman" w:hAnsi="Arial" w:cs="Arial"/>
          <w:sz w:val="20"/>
          <w:szCs w:val="20"/>
        </w:rPr>
        <w:t xml:space="preserve">, in which </w:t>
      </w:r>
      <w:r w:rsidRPr="000B0C6E">
        <w:rPr>
          <w:rFonts w:ascii="Arial" w:eastAsia="Times New Roman" w:hAnsi="Arial" w:cs="Arial"/>
          <w:sz w:val="20"/>
          <w:szCs w:val="20"/>
        </w:rPr>
        <w:t xml:space="preserve">arteria </w:t>
      </w:r>
      <w:proofErr w:type="spellStart"/>
      <w:r w:rsidRPr="000B0C6E">
        <w:rPr>
          <w:rFonts w:ascii="Arial" w:eastAsia="Times New Roman" w:hAnsi="Arial" w:cs="Arial"/>
          <w:sz w:val="20"/>
          <w:szCs w:val="20"/>
        </w:rPr>
        <w:t>lusoria</w:t>
      </w:r>
      <w:proofErr w:type="spellEnd"/>
      <w:r w:rsidRPr="000B0C6E">
        <w:rPr>
          <w:rFonts w:ascii="Arial" w:eastAsia="Times New Roman" w:hAnsi="Arial" w:cs="Arial"/>
          <w:sz w:val="20"/>
          <w:szCs w:val="20"/>
        </w:rPr>
        <w:t xml:space="preserve"> was not identified in any case</w:t>
      </w:r>
      <w:r w:rsidRPr="000B0C6E">
        <w:rPr>
          <w:rFonts w:ascii="Arial" w:eastAsia="Times New Roman" w:hAnsi="Arial" w:cs="Arial"/>
          <w:sz w:val="20"/>
          <w:szCs w:val="20"/>
        </w:rPr>
        <w:t xml:space="preserve"> (Med Clin (</w:t>
      </w:r>
      <w:proofErr w:type="spellStart"/>
      <w:r w:rsidRPr="000B0C6E">
        <w:rPr>
          <w:rFonts w:ascii="Arial" w:eastAsia="Times New Roman" w:hAnsi="Arial" w:cs="Arial"/>
          <w:sz w:val="20"/>
          <w:szCs w:val="20"/>
        </w:rPr>
        <w:t>Barc</w:t>
      </w:r>
      <w:proofErr w:type="spellEnd"/>
      <w:r w:rsidRPr="000B0C6E">
        <w:rPr>
          <w:rFonts w:ascii="Arial" w:eastAsia="Times New Roman" w:hAnsi="Arial" w:cs="Arial"/>
          <w:sz w:val="20"/>
          <w:szCs w:val="20"/>
        </w:rPr>
        <w:t xml:space="preserve">). 1993;101(8):281–5) [14]. This suggests that </w:t>
      </w:r>
      <w:r w:rsidRPr="000B0C6E">
        <w:rPr>
          <w:rFonts w:ascii="Arial" w:eastAsia="Times New Roman" w:hAnsi="Arial" w:cs="Arial"/>
          <w:sz w:val="20"/>
          <w:szCs w:val="20"/>
        </w:rPr>
        <w:t>ARSA is likely an incidental finding in most stroke patients</w:t>
      </w:r>
      <w:r w:rsidRPr="000B0C6E">
        <w:rPr>
          <w:rFonts w:ascii="Arial" w:eastAsia="Times New Roman" w:hAnsi="Arial" w:cs="Arial"/>
          <w:sz w:val="20"/>
          <w:szCs w:val="20"/>
        </w:rPr>
        <w:t xml:space="preserve"> and underscores that our observation may represent an exceptional rather than representative scenario. Nevertheless, the </w:t>
      </w:r>
      <w:r w:rsidRPr="000B0C6E">
        <w:rPr>
          <w:rFonts w:ascii="Arial" w:eastAsia="Times New Roman" w:hAnsi="Arial" w:cs="Arial"/>
          <w:sz w:val="20"/>
          <w:szCs w:val="20"/>
        </w:rPr>
        <w:t>coexistence of ARSA with PFO and ASA in our case may represent a rare but clinically significant combination</w:t>
      </w:r>
      <w:r w:rsidRPr="000B0C6E">
        <w:rPr>
          <w:rFonts w:ascii="Arial" w:eastAsia="Times New Roman" w:hAnsi="Arial" w:cs="Arial"/>
          <w:sz w:val="20"/>
          <w:szCs w:val="20"/>
        </w:rPr>
        <w:t>. Finally, long-term follow-up data are needed to assess the efficacy of antiplatelet therapy in preventing recurrent events in such complex anatomies.</w:t>
      </w:r>
    </w:p>
    <w:p w14:paraId="619BD7F1" w14:textId="77777777" w:rsidR="000B0C6E" w:rsidRDefault="000B0C6E" w:rsidP="000B0C6E">
      <w:pPr>
        <w:rPr>
          <w:rFonts w:ascii="Arial" w:eastAsia="Times New Roman" w:hAnsi="Arial" w:cs="Arial"/>
          <w:b/>
          <w:caps/>
          <w:szCs w:val="20"/>
        </w:rPr>
      </w:pPr>
    </w:p>
    <w:p w14:paraId="6278AC12" w14:textId="75D0AD78" w:rsidR="001B5F6C" w:rsidRPr="000B0C6E" w:rsidRDefault="001B5F6C" w:rsidP="000B0C6E">
      <w:pPr>
        <w:rPr>
          <w:rFonts w:ascii="Arial" w:eastAsia="Times New Roman" w:hAnsi="Arial" w:cs="Arial"/>
          <w:b/>
          <w:caps/>
          <w:szCs w:val="20"/>
        </w:rPr>
      </w:pPr>
      <w:r w:rsidRPr="000B0C6E">
        <w:rPr>
          <w:rFonts w:ascii="Arial" w:eastAsia="Times New Roman" w:hAnsi="Arial" w:cs="Arial"/>
          <w:b/>
          <w:caps/>
          <w:szCs w:val="20"/>
        </w:rPr>
        <w:t xml:space="preserve">Conclusion: </w:t>
      </w:r>
    </w:p>
    <w:p w14:paraId="4A6E230D" w14:textId="77777777" w:rsidR="001B5F6C" w:rsidRPr="008420EF" w:rsidRDefault="001B5F6C" w:rsidP="001B5F6C">
      <w:pPr>
        <w:spacing w:after="0"/>
        <w:rPr>
          <w:rFonts w:ascii="Arial" w:eastAsia="Times New Roman" w:hAnsi="Arial" w:cs="Arial"/>
          <w:sz w:val="20"/>
          <w:szCs w:val="20"/>
        </w:rPr>
      </w:pPr>
      <w:r w:rsidRPr="008420EF">
        <w:rPr>
          <w:rFonts w:ascii="Arial" w:eastAsia="Times New Roman" w:hAnsi="Arial" w:cs="Arial"/>
          <w:sz w:val="20"/>
          <w:szCs w:val="20"/>
        </w:rPr>
        <w:t>This case presentation highlights the possible connection between uncommon anatomical variations, like ARSA, and other established stroke risk factors in atypical presentations. While the definitive role of ARSA in stroke pathogenesis is still under investigation, this case adds to the growing body of literature exploring this potential association.</w:t>
      </w:r>
    </w:p>
    <w:p w14:paraId="7E4394DE" w14:textId="1F815C98" w:rsidR="001B5F6C" w:rsidRDefault="001B5F6C" w:rsidP="001B5F6C">
      <w:pPr>
        <w:spacing w:after="0"/>
        <w:rPr>
          <w:rFonts w:ascii="Arial" w:eastAsia="Times New Roman" w:hAnsi="Arial" w:cs="Arial"/>
          <w:sz w:val="20"/>
          <w:szCs w:val="20"/>
        </w:rPr>
      </w:pPr>
      <w:r w:rsidRPr="008420EF">
        <w:rPr>
          <w:rFonts w:ascii="Arial" w:eastAsia="Times New Roman" w:hAnsi="Arial" w:cs="Arial"/>
          <w:sz w:val="20"/>
          <w:szCs w:val="20"/>
        </w:rPr>
        <w:lastRenderedPageBreak/>
        <w:t>It emphasizes the necessity for clinicians to consider less common anatomical variations and associated anomalies in stroke evaluation, ensuring early diagnosis and appropriate treatment to optimize patient outcomes.</w:t>
      </w:r>
    </w:p>
    <w:p w14:paraId="40C9FA7A" w14:textId="6444B408" w:rsidR="00E978E8" w:rsidRPr="008420EF" w:rsidRDefault="00E978E8" w:rsidP="00E978E8">
      <w:pPr>
        <w:spacing w:after="0"/>
        <w:rPr>
          <w:rFonts w:ascii="Arial" w:eastAsia="Times New Roman" w:hAnsi="Arial" w:cs="Arial"/>
          <w:sz w:val="20"/>
          <w:szCs w:val="20"/>
        </w:rPr>
      </w:pPr>
      <w:r w:rsidRPr="00E978E8">
        <w:rPr>
          <w:rFonts w:ascii="Arial" w:eastAsia="Times New Roman" w:hAnsi="Arial" w:cs="Arial"/>
          <w:sz w:val="20"/>
          <w:szCs w:val="20"/>
        </w:rPr>
        <w:t>Future studies should explore the prevalence of ARSA in cryptogenic stroke cohorts using systematic vascular imaging, as its role in embolic pathogenesis remains speculative. Prospective registries could clarify whether ARSA with concomitant PFO/ASA warrants aggressive intervention (e.g., PFO closure or anticoagulation). Additionally, hemodynamic studies investigating plaque vulnerability in ARSA’s aberrant course may elucidate its thrombogenic potential.</w:t>
      </w:r>
    </w:p>
    <w:p w14:paraId="01B2FF1D" w14:textId="77777777" w:rsidR="001B5F6C" w:rsidRDefault="001B5F6C" w:rsidP="001B5F6C"/>
    <w:p w14:paraId="4A60199A" w14:textId="77777777" w:rsidR="00D84836" w:rsidRDefault="00D84836" w:rsidP="005B1668">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63C306D4" w14:textId="6DE2BB56" w:rsidR="00D84836" w:rsidRDefault="00D84836" w:rsidP="00D84836">
      <w:pPr>
        <w:pStyle w:val="ReferHead"/>
        <w:spacing w:after="0"/>
        <w:jc w:val="both"/>
        <w:rPr>
          <w:rFonts w:ascii="Arial" w:hAnsi="Arial" w:cs="Arial"/>
          <w:b w:val="0"/>
          <w:caps w:val="0"/>
          <w:sz w:val="20"/>
        </w:rPr>
      </w:pPr>
      <w:r w:rsidRPr="00D84836">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2E39B393" w14:textId="76AAE671" w:rsidR="00387999" w:rsidRDefault="00387999" w:rsidP="00D84836">
      <w:pPr>
        <w:pStyle w:val="ReferHead"/>
        <w:spacing w:after="0"/>
        <w:jc w:val="both"/>
        <w:rPr>
          <w:rFonts w:ascii="Arial" w:hAnsi="Arial" w:cs="Arial"/>
          <w:b w:val="0"/>
          <w:caps w:val="0"/>
          <w:sz w:val="20"/>
        </w:rPr>
      </w:pPr>
    </w:p>
    <w:p w14:paraId="1557674D" w14:textId="5522BE54" w:rsidR="00387999" w:rsidRDefault="00387999" w:rsidP="00D84836">
      <w:pPr>
        <w:pStyle w:val="ReferHead"/>
        <w:spacing w:after="0"/>
        <w:jc w:val="both"/>
        <w:rPr>
          <w:rFonts w:ascii="Arial" w:hAnsi="Arial" w:cs="Arial"/>
          <w:b w:val="0"/>
          <w:caps w:val="0"/>
          <w:sz w:val="20"/>
        </w:rPr>
      </w:pPr>
    </w:p>
    <w:p w14:paraId="30EC6FB0" w14:textId="79857E3D" w:rsidR="00387999" w:rsidRDefault="00387999" w:rsidP="00D84836">
      <w:pPr>
        <w:pStyle w:val="ReferHead"/>
        <w:spacing w:after="0"/>
        <w:jc w:val="both"/>
        <w:rPr>
          <w:rFonts w:ascii="Arial" w:hAnsi="Arial" w:cs="Arial"/>
          <w:b w:val="0"/>
          <w:caps w:val="0"/>
          <w:sz w:val="20"/>
        </w:rPr>
      </w:pPr>
    </w:p>
    <w:p w14:paraId="1148D90F" w14:textId="32BBC155" w:rsidR="00387999" w:rsidRDefault="00387999" w:rsidP="00D84836">
      <w:pPr>
        <w:pStyle w:val="ReferHead"/>
        <w:spacing w:after="0"/>
        <w:jc w:val="both"/>
        <w:rPr>
          <w:rFonts w:ascii="Arial" w:hAnsi="Arial" w:cs="Arial"/>
          <w:b w:val="0"/>
          <w:caps w:val="0"/>
          <w:sz w:val="20"/>
        </w:rPr>
      </w:pPr>
    </w:p>
    <w:p w14:paraId="307D1894" w14:textId="77777777" w:rsidR="00387999" w:rsidRPr="009C5487" w:rsidRDefault="00387999" w:rsidP="00387999">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t>Disclaimer (Artificial intelligence)</w:t>
      </w:r>
    </w:p>
    <w:p w14:paraId="4A24B963" w14:textId="77777777" w:rsidR="00387999" w:rsidRPr="009C5487" w:rsidRDefault="00387999" w:rsidP="0038799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DE8D9B6" w14:textId="77777777" w:rsidR="00387999" w:rsidRPr="009C5487" w:rsidRDefault="00387999" w:rsidP="0038799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bookmarkEnd w:id="1"/>
    <w:bookmarkEnd w:id="2"/>
    <w:bookmarkEnd w:id="3"/>
    <w:p w14:paraId="4BE9E3B5" w14:textId="77777777" w:rsidR="00D84836" w:rsidRDefault="00D84836" w:rsidP="00D84836">
      <w:pPr>
        <w:pStyle w:val="ReferHead"/>
        <w:spacing w:after="0"/>
        <w:jc w:val="both"/>
        <w:rPr>
          <w:rFonts w:ascii="Arial" w:hAnsi="Arial" w:cs="Arial"/>
          <w:b w:val="0"/>
          <w:caps w:val="0"/>
          <w:sz w:val="20"/>
        </w:rPr>
      </w:pPr>
    </w:p>
    <w:p w14:paraId="66D177C9" w14:textId="77777777" w:rsidR="00D84836" w:rsidRDefault="00D84836" w:rsidP="005B1668">
      <w:pPr>
        <w:pStyle w:val="ReferHead"/>
        <w:spacing w:after="0"/>
        <w:jc w:val="both"/>
        <w:rPr>
          <w:rFonts w:ascii="Arial" w:hAnsi="Arial" w:cs="Arial"/>
        </w:rPr>
      </w:pPr>
    </w:p>
    <w:p w14:paraId="0CED3C7B" w14:textId="77777777" w:rsidR="001B5F6C" w:rsidRPr="005B1668" w:rsidRDefault="005B1668" w:rsidP="005B1668">
      <w:pPr>
        <w:pStyle w:val="ReferHead"/>
        <w:spacing w:after="0"/>
        <w:jc w:val="both"/>
        <w:rPr>
          <w:rFonts w:ascii="Arial" w:hAnsi="Arial" w:cs="Arial"/>
        </w:rPr>
      </w:pPr>
      <w:r w:rsidRPr="00FB3A86">
        <w:rPr>
          <w:rFonts w:ascii="Arial" w:hAnsi="Arial" w:cs="Arial"/>
        </w:rPr>
        <w:t>References</w:t>
      </w:r>
    </w:p>
    <w:p w14:paraId="3E079C76" w14:textId="77777777" w:rsidR="000B0C6E" w:rsidRPr="000B0C6E" w:rsidRDefault="001B5F6C" w:rsidP="000B0C6E">
      <w:pPr>
        <w:pStyle w:val="Bibliography"/>
        <w:rPr>
          <w:rFonts w:ascii="Calibri" w:hAnsi="Calibri"/>
        </w:rPr>
      </w:pPr>
      <w:r>
        <w:rPr>
          <w:b/>
        </w:rPr>
        <w:fldChar w:fldCharType="begin"/>
      </w:r>
      <w:r w:rsidR="000B0C6E">
        <w:rPr>
          <w:b/>
        </w:rPr>
        <w:instrText xml:space="preserve"> ADDIN ZOTERO_BIBL {"uncited":[],"omitted":[],"custom":[]} CSL_BIBLIOGRAPHY </w:instrText>
      </w:r>
      <w:r>
        <w:rPr>
          <w:b/>
        </w:rPr>
        <w:fldChar w:fldCharType="separate"/>
      </w:r>
      <w:r w:rsidR="000B0C6E" w:rsidRPr="000B0C6E">
        <w:rPr>
          <w:rFonts w:ascii="Calibri" w:hAnsi="Calibri"/>
        </w:rPr>
        <w:t>[1]</w:t>
      </w:r>
      <w:r w:rsidR="000B0C6E" w:rsidRPr="000B0C6E">
        <w:rPr>
          <w:rFonts w:ascii="Calibri" w:hAnsi="Calibri"/>
        </w:rPr>
        <w:tab/>
        <w:t xml:space="preserve">K. </w:t>
      </w:r>
      <w:proofErr w:type="spellStart"/>
      <w:r w:rsidR="000B0C6E" w:rsidRPr="000B0C6E">
        <w:rPr>
          <w:rFonts w:ascii="Calibri" w:hAnsi="Calibri"/>
        </w:rPr>
        <w:t>Hanneman</w:t>
      </w:r>
      <w:proofErr w:type="spellEnd"/>
      <w:r w:rsidR="000B0C6E" w:rsidRPr="000B0C6E">
        <w:rPr>
          <w:rFonts w:ascii="Calibri" w:hAnsi="Calibri"/>
        </w:rPr>
        <w:t xml:space="preserve">, B. Newman, and F. Chan, “Congenital Variants and Anomalies of the Aortic Arch,” </w:t>
      </w:r>
      <w:proofErr w:type="spellStart"/>
      <w:r w:rsidR="000B0C6E" w:rsidRPr="000B0C6E">
        <w:rPr>
          <w:rFonts w:ascii="Calibri" w:hAnsi="Calibri"/>
          <w:i/>
          <w:iCs/>
        </w:rPr>
        <w:t>RadioGraphics</w:t>
      </w:r>
      <w:proofErr w:type="spellEnd"/>
      <w:r w:rsidR="000B0C6E" w:rsidRPr="000B0C6E">
        <w:rPr>
          <w:rFonts w:ascii="Calibri" w:hAnsi="Calibri"/>
        </w:rPr>
        <w:t xml:space="preserve">, vol. 37, no. 1, pp. 32–51, Jan. 2017, </w:t>
      </w:r>
      <w:proofErr w:type="spellStart"/>
      <w:r w:rsidR="000B0C6E" w:rsidRPr="000B0C6E">
        <w:rPr>
          <w:rFonts w:ascii="Calibri" w:hAnsi="Calibri"/>
        </w:rPr>
        <w:t>doi</w:t>
      </w:r>
      <w:proofErr w:type="spellEnd"/>
      <w:r w:rsidR="000B0C6E" w:rsidRPr="000B0C6E">
        <w:rPr>
          <w:rFonts w:ascii="Calibri" w:hAnsi="Calibri"/>
        </w:rPr>
        <w:t>: 10.1148/rg.2017160033.</w:t>
      </w:r>
    </w:p>
    <w:p w14:paraId="450A3DB3" w14:textId="77777777" w:rsidR="000B0C6E" w:rsidRPr="000B0C6E" w:rsidRDefault="000B0C6E" w:rsidP="000B0C6E">
      <w:pPr>
        <w:pStyle w:val="Bibliography"/>
        <w:rPr>
          <w:rFonts w:ascii="Calibri" w:hAnsi="Calibri"/>
        </w:rPr>
      </w:pPr>
      <w:r w:rsidRPr="000B0C6E">
        <w:rPr>
          <w:rFonts w:ascii="Calibri" w:hAnsi="Calibri"/>
        </w:rPr>
        <w:t>[2]</w:t>
      </w:r>
      <w:r w:rsidRPr="000B0C6E">
        <w:rPr>
          <w:rFonts w:ascii="Calibri" w:hAnsi="Calibri"/>
        </w:rPr>
        <w:tab/>
        <w:t xml:space="preserve">M. </w:t>
      </w:r>
      <w:proofErr w:type="spellStart"/>
      <w:r w:rsidRPr="000B0C6E">
        <w:rPr>
          <w:rFonts w:ascii="Calibri" w:hAnsi="Calibri"/>
        </w:rPr>
        <w:t>Polguj</w:t>
      </w:r>
      <w:proofErr w:type="spellEnd"/>
      <w:r w:rsidRPr="000B0C6E">
        <w:rPr>
          <w:rFonts w:ascii="Calibri" w:hAnsi="Calibri"/>
        </w:rPr>
        <w:t xml:space="preserve">, Ł. </w:t>
      </w:r>
      <w:proofErr w:type="spellStart"/>
      <w:r w:rsidRPr="000B0C6E">
        <w:rPr>
          <w:rFonts w:ascii="Calibri" w:hAnsi="Calibri"/>
        </w:rPr>
        <w:t>Chrzanowski</w:t>
      </w:r>
      <w:proofErr w:type="spellEnd"/>
      <w:r w:rsidRPr="000B0C6E">
        <w:rPr>
          <w:rFonts w:ascii="Calibri" w:hAnsi="Calibri"/>
        </w:rPr>
        <w:t xml:space="preserve">, J. D. </w:t>
      </w:r>
      <w:proofErr w:type="spellStart"/>
      <w:r w:rsidRPr="000B0C6E">
        <w:rPr>
          <w:rFonts w:ascii="Calibri" w:hAnsi="Calibri"/>
        </w:rPr>
        <w:t>Kasprzak</w:t>
      </w:r>
      <w:proofErr w:type="spellEnd"/>
      <w:r w:rsidRPr="000B0C6E">
        <w:rPr>
          <w:rFonts w:ascii="Calibri" w:hAnsi="Calibri"/>
        </w:rPr>
        <w:t xml:space="preserve">, L. </w:t>
      </w:r>
      <w:proofErr w:type="spellStart"/>
      <w:r w:rsidRPr="000B0C6E">
        <w:rPr>
          <w:rFonts w:ascii="Calibri" w:hAnsi="Calibri"/>
        </w:rPr>
        <w:t>Stefańczyk</w:t>
      </w:r>
      <w:proofErr w:type="spellEnd"/>
      <w:r w:rsidRPr="000B0C6E">
        <w:rPr>
          <w:rFonts w:ascii="Calibri" w:hAnsi="Calibri"/>
        </w:rPr>
        <w:t xml:space="preserve">, M. </w:t>
      </w:r>
      <w:proofErr w:type="spellStart"/>
      <w:r w:rsidRPr="000B0C6E">
        <w:rPr>
          <w:rFonts w:ascii="Calibri" w:hAnsi="Calibri"/>
        </w:rPr>
        <w:t>Topol</w:t>
      </w:r>
      <w:proofErr w:type="spellEnd"/>
      <w:r w:rsidRPr="000B0C6E">
        <w:rPr>
          <w:rFonts w:ascii="Calibri" w:hAnsi="Calibri"/>
        </w:rPr>
        <w:t xml:space="preserve">, and A. </w:t>
      </w:r>
      <w:proofErr w:type="spellStart"/>
      <w:r w:rsidRPr="000B0C6E">
        <w:rPr>
          <w:rFonts w:ascii="Calibri" w:hAnsi="Calibri"/>
        </w:rPr>
        <w:t>Majos</w:t>
      </w:r>
      <w:proofErr w:type="spellEnd"/>
      <w:r w:rsidRPr="000B0C6E">
        <w:rPr>
          <w:rFonts w:ascii="Calibri" w:hAnsi="Calibri"/>
        </w:rPr>
        <w:t xml:space="preserve">, “The Aberrant Right Subclavian Artery (Arteria Lusoria): The Morphological and Clinical Aspects of One of the Most Important Variations—A Systematic Study of 141 Reports,” </w:t>
      </w:r>
      <w:r w:rsidRPr="000B0C6E">
        <w:rPr>
          <w:rFonts w:ascii="Calibri" w:hAnsi="Calibri"/>
          <w:i/>
          <w:iCs/>
        </w:rPr>
        <w:t>Sci. World J.</w:t>
      </w:r>
      <w:r w:rsidRPr="000B0C6E">
        <w:rPr>
          <w:rFonts w:ascii="Calibri" w:hAnsi="Calibri"/>
        </w:rPr>
        <w:t xml:space="preserve">, vol. 2014, pp. 1–6, 2014, </w:t>
      </w:r>
      <w:proofErr w:type="spellStart"/>
      <w:r w:rsidRPr="000B0C6E">
        <w:rPr>
          <w:rFonts w:ascii="Calibri" w:hAnsi="Calibri"/>
        </w:rPr>
        <w:t>doi</w:t>
      </w:r>
      <w:proofErr w:type="spellEnd"/>
      <w:r w:rsidRPr="000B0C6E">
        <w:rPr>
          <w:rFonts w:ascii="Calibri" w:hAnsi="Calibri"/>
        </w:rPr>
        <w:t>: 10.1155/2014/292734.</w:t>
      </w:r>
    </w:p>
    <w:p w14:paraId="34EDDCE9" w14:textId="77777777" w:rsidR="000B0C6E" w:rsidRPr="000B0C6E" w:rsidRDefault="000B0C6E" w:rsidP="000B0C6E">
      <w:pPr>
        <w:pStyle w:val="Bibliography"/>
        <w:rPr>
          <w:rFonts w:ascii="Calibri" w:hAnsi="Calibri"/>
        </w:rPr>
      </w:pPr>
      <w:r w:rsidRPr="000B0C6E">
        <w:rPr>
          <w:rFonts w:ascii="Calibri" w:hAnsi="Calibri"/>
        </w:rPr>
        <w:t>[3]</w:t>
      </w:r>
      <w:r w:rsidRPr="000B0C6E">
        <w:rPr>
          <w:rFonts w:ascii="Calibri" w:hAnsi="Calibri"/>
        </w:rPr>
        <w:tab/>
        <w:t xml:space="preserve">T. Gupta, N. </w:t>
      </w:r>
      <w:proofErr w:type="spellStart"/>
      <w:r w:rsidRPr="000B0C6E">
        <w:rPr>
          <w:rFonts w:ascii="Calibri" w:hAnsi="Calibri"/>
        </w:rPr>
        <w:t>Jamaleddine</w:t>
      </w:r>
      <w:proofErr w:type="spellEnd"/>
      <w:r w:rsidRPr="000B0C6E">
        <w:rPr>
          <w:rFonts w:ascii="Calibri" w:hAnsi="Calibri"/>
        </w:rPr>
        <w:t xml:space="preserve">, and S. I. McFarlane, “Arteria Lusoria With Right-Sided Aortic Arch and Atrial Septal Defect Associated </w:t>
      </w:r>
      <w:proofErr w:type="gramStart"/>
      <w:r w:rsidRPr="000B0C6E">
        <w:rPr>
          <w:rFonts w:ascii="Calibri" w:hAnsi="Calibri"/>
        </w:rPr>
        <w:t>With</w:t>
      </w:r>
      <w:proofErr w:type="gramEnd"/>
      <w:r w:rsidRPr="000B0C6E">
        <w:rPr>
          <w:rFonts w:ascii="Calibri" w:hAnsi="Calibri"/>
        </w:rPr>
        <w:t xml:space="preserve"> Extensive Thrombosis and Paradoxical Embolism: A Case Report,” </w:t>
      </w:r>
      <w:proofErr w:type="spellStart"/>
      <w:r w:rsidRPr="000B0C6E">
        <w:rPr>
          <w:rFonts w:ascii="Calibri" w:hAnsi="Calibri"/>
          <w:i/>
          <w:iCs/>
        </w:rPr>
        <w:t>Cureus</w:t>
      </w:r>
      <w:proofErr w:type="spellEnd"/>
      <w:r w:rsidRPr="000B0C6E">
        <w:rPr>
          <w:rFonts w:ascii="Calibri" w:hAnsi="Calibri"/>
        </w:rPr>
        <w:t xml:space="preserve">, Jun. 2022, </w:t>
      </w:r>
      <w:proofErr w:type="spellStart"/>
      <w:r w:rsidRPr="000B0C6E">
        <w:rPr>
          <w:rFonts w:ascii="Calibri" w:hAnsi="Calibri"/>
        </w:rPr>
        <w:t>doi</w:t>
      </w:r>
      <w:proofErr w:type="spellEnd"/>
      <w:r w:rsidRPr="000B0C6E">
        <w:rPr>
          <w:rFonts w:ascii="Calibri" w:hAnsi="Calibri"/>
        </w:rPr>
        <w:t>: 10.7759/cureus.26173.</w:t>
      </w:r>
    </w:p>
    <w:p w14:paraId="2440AB2A" w14:textId="77777777" w:rsidR="000B0C6E" w:rsidRPr="000B0C6E" w:rsidRDefault="000B0C6E" w:rsidP="000B0C6E">
      <w:pPr>
        <w:pStyle w:val="Bibliography"/>
        <w:rPr>
          <w:rFonts w:ascii="Calibri" w:hAnsi="Calibri"/>
        </w:rPr>
      </w:pPr>
      <w:r w:rsidRPr="000B0C6E">
        <w:rPr>
          <w:rFonts w:ascii="Calibri" w:hAnsi="Calibri"/>
        </w:rPr>
        <w:t>[4]</w:t>
      </w:r>
      <w:r w:rsidRPr="000B0C6E">
        <w:rPr>
          <w:rFonts w:ascii="Calibri" w:hAnsi="Calibri"/>
        </w:rPr>
        <w:tab/>
        <w:t xml:space="preserve">E. Kieffer, A. </w:t>
      </w:r>
      <w:proofErr w:type="spellStart"/>
      <w:r w:rsidRPr="000B0C6E">
        <w:rPr>
          <w:rFonts w:ascii="Calibri" w:hAnsi="Calibri"/>
        </w:rPr>
        <w:t>Bahnini</w:t>
      </w:r>
      <w:proofErr w:type="spellEnd"/>
      <w:r w:rsidRPr="000B0C6E">
        <w:rPr>
          <w:rFonts w:ascii="Calibri" w:hAnsi="Calibri"/>
        </w:rPr>
        <w:t xml:space="preserve">, and F. </w:t>
      </w:r>
      <w:proofErr w:type="spellStart"/>
      <w:r w:rsidRPr="000B0C6E">
        <w:rPr>
          <w:rFonts w:ascii="Calibri" w:hAnsi="Calibri"/>
        </w:rPr>
        <w:t>Koskas</w:t>
      </w:r>
      <w:proofErr w:type="spellEnd"/>
      <w:r w:rsidRPr="000B0C6E">
        <w:rPr>
          <w:rFonts w:ascii="Calibri" w:hAnsi="Calibri"/>
        </w:rPr>
        <w:t xml:space="preserve">, “Aberrant subclavian artery: Surgical treatment in thirty-three adult patients,” </w:t>
      </w:r>
      <w:r w:rsidRPr="000B0C6E">
        <w:rPr>
          <w:rFonts w:ascii="Calibri" w:hAnsi="Calibri"/>
          <w:i/>
          <w:iCs/>
        </w:rPr>
        <w:t xml:space="preserve">J. </w:t>
      </w:r>
      <w:proofErr w:type="spellStart"/>
      <w:r w:rsidRPr="000B0C6E">
        <w:rPr>
          <w:rFonts w:ascii="Calibri" w:hAnsi="Calibri"/>
          <w:i/>
          <w:iCs/>
        </w:rPr>
        <w:t>Vasc</w:t>
      </w:r>
      <w:proofErr w:type="spellEnd"/>
      <w:r w:rsidRPr="000B0C6E">
        <w:rPr>
          <w:rFonts w:ascii="Calibri" w:hAnsi="Calibri"/>
          <w:i/>
          <w:iCs/>
        </w:rPr>
        <w:t>. Surg.</w:t>
      </w:r>
      <w:r w:rsidRPr="000B0C6E">
        <w:rPr>
          <w:rFonts w:ascii="Calibri" w:hAnsi="Calibri"/>
        </w:rPr>
        <w:t xml:space="preserve">, vol. 19, no. 1, pp. 100–111, Jan. 1994, </w:t>
      </w:r>
      <w:proofErr w:type="spellStart"/>
      <w:r w:rsidRPr="000B0C6E">
        <w:rPr>
          <w:rFonts w:ascii="Calibri" w:hAnsi="Calibri"/>
        </w:rPr>
        <w:t>doi</w:t>
      </w:r>
      <w:proofErr w:type="spellEnd"/>
      <w:r w:rsidRPr="000B0C6E">
        <w:rPr>
          <w:rFonts w:ascii="Calibri" w:hAnsi="Calibri"/>
        </w:rPr>
        <w:t>: 10.1016/S0741-5214(94)70125-3.</w:t>
      </w:r>
    </w:p>
    <w:p w14:paraId="5FF33FE6" w14:textId="77777777" w:rsidR="000B0C6E" w:rsidRPr="000B0C6E" w:rsidRDefault="000B0C6E" w:rsidP="000B0C6E">
      <w:pPr>
        <w:pStyle w:val="Bibliography"/>
        <w:rPr>
          <w:rFonts w:ascii="Calibri" w:hAnsi="Calibri"/>
        </w:rPr>
      </w:pPr>
      <w:r w:rsidRPr="000B0C6E">
        <w:rPr>
          <w:rFonts w:ascii="Calibri" w:hAnsi="Calibri"/>
        </w:rPr>
        <w:t>[5]</w:t>
      </w:r>
      <w:r w:rsidRPr="000B0C6E">
        <w:rPr>
          <w:rFonts w:ascii="Calibri" w:hAnsi="Calibri"/>
        </w:rPr>
        <w:tab/>
        <w:t xml:space="preserve">A. ARBOIX, O. PARRA, and J. ALIÓ, “Patent foramen </w:t>
      </w:r>
      <w:proofErr w:type="spellStart"/>
      <w:r w:rsidRPr="000B0C6E">
        <w:rPr>
          <w:rFonts w:ascii="Calibri" w:hAnsi="Calibri"/>
        </w:rPr>
        <w:t>ovale</w:t>
      </w:r>
      <w:proofErr w:type="spellEnd"/>
      <w:r w:rsidRPr="000B0C6E">
        <w:rPr>
          <w:rFonts w:ascii="Calibri" w:hAnsi="Calibri"/>
        </w:rPr>
        <w:t xml:space="preserve"> closure in non-lacunar cryptogenic ischemic stroke: where are we </w:t>
      </w:r>
      <w:proofErr w:type="gramStart"/>
      <w:r w:rsidRPr="000B0C6E">
        <w:rPr>
          <w:rFonts w:ascii="Calibri" w:hAnsi="Calibri"/>
        </w:rPr>
        <w:t>now?,</w:t>
      </w:r>
      <w:proofErr w:type="gramEnd"/>
      <w:r w:rsidRPr="000B0C6E">
        <w:rPr>
          <w:rFonts w:ascii="Calibri" w:hAnsi="Calibri"/>
        </w:rPr>
        <w:t xml:space="preserve">” </w:t>
      </w:r>
      <w:r w:rsidRPr="000B0C6E">
        <w:rPr>
          <w:rFonts w:ascii="Calibri" w:hAnsi="Calibri"/>
          <w:i/>
          <w:iCs/>
        </w:rPr>
        <w:t xml:space="preserve">J. </w:t>
      </w:r>
      <w:proofErr w:type="spellStart"/>
      <w:r w:rsidRPr="000B0C6E">
        <w:rPr>
          <w:rFonts w:ascii="Calibri" w:hAnsi="Calibri"/>
          <w:i/>
          <w:iCs/>
        </w:rPr>
        <w:t>Geriatr</w:t>
      </w:r>
      <w:proofErr w:type="spellEnd"/>
      <w:r w:rsidRPr="000B0C6E">
        <w:rPr>
          <w:rFonts w:ascii="Calibri" w:hAnsi="Calibri"/>
          <w:i/>
          <w:iCs/>
        </w:rPr>
        <w:t xml:space="preserve">. </w:t>
      </w:r>
      <w:proofErr w:type="spellStart"/>
      <w:r w:rsidRPr="000B0C6E">
        <w:rPr>
          <w:rFonts w:ascii="Calibri" w:hAnsi="Calibri"/>
          <w:i/>
          <w:iCs/>
        </w:rPr>
        <w:t>Cardiol</w:t>
      </w:r>
      <w:proofErr w:type="spellEnd"/>
      <w:r w:rsidRPr="000B0C6E">
        <w:rPr>
          <w:rFonts w:ascii="Calibri" w:hAnsi="Calibri"/>
          <w:i/>
          <w:iCs/>
        </w:rPr>
        <w:t>. JGC</w:t>
      </w:r>
      <w:r w:rsidRPr="000B0C6E">
        <w:rPr>
          <w:rFonts w:ascii="Calibri" w:hAnsi="Calibri"/>
        </w:rPr>
        <w:t xml:space="preserve">, vol. 18, no. 1, pp. 67–74, Jan. 2021, </w:t>
      </w:r>
      <w:proofErr w:type="spellStart"/>
      <w:r w:rsidRPr="000B0C6E">
        <w:rPr>
          <w:rFonts w:ascii="Calibri" w:hAnsi="Calibri"/>
        </w:rPr>
        <w:t>doi</w:t>
      </w:r>
      <w:proofErr w:type="spellEnd"/>
      <w:r w:rsidRPr="000B0C6E">
        <w:rPr>
          <w:rFonts w:ascii="Calibri" w:hAnsi="Calibri"/>
        </w:rPr>
        <w:t>: 10.11909/j.issn.1671-5411.2021.01.009.</w:t>
      </w:r>
    </w:p>
    <w:p w14:paraId="11E74C00" w14:textId="77777777" w:rsidR="000B0C6E" w:rsidRPr="000B0C6E" w:rsidRDefault="000B0C6E" w:rsidP="000B0C6E">
      <w:pPr>
        <w:pStyle w:val="Bibliography"/>
        <w:rPr>
          <w:rFonts w:ascii="Calibri" w:hAnsi="Calibri"/>
        </w:rPr>
      </w:pPr>
      <w:r w:rsidRPr="000B0C6E">
        <w:rPr>
          <w:rFonts w:ascii="Calibri" w:hAnsi="Calibri"/>
        </w:rPr>
        <w:t>[6]</w:t>
      </w:r>
      <w:r w:rsidRPr="000B0C6E">
        <w:rPr>
          <w:rFonts w:ascii="Calibri" w:hAnsi="Calibri"/>
        </w:rPr>
        <w:tab/>
        <w:t xml:space="preserve">C. R. Norris, C. A. Wilson, and M. C. Lin, “Truncus </w:t>
      </w:r>
      <w:proofErr w:type="spellStart"/>
      <w:r w:rsidRPr="000B0C6E">
        <w:rPr>
          <w:rFonts w:ascii="Calibri" w:hAnsi="Calibri"/>
        </w:rPr>
        <w:t>Bicaroticus</w:t>
      </w:r>
      <w:proofErr w:type="spellEnd"/>
      <w:r w:rsidRPr="000B0C6E">
        <w:rPr>
          <w:rFonts w:ascii="Calibri" w:hAnsi="Calibri"/>
        </w:rPr>
        <w:t xml:space="preserve"> With Arteria Lusoria: A Rare Combination of Aortic Root Anatomy Complicating Cardiac Catheterization,” </w:t>
      </w:r>
      <w:r w:rsidRPr="000B0C6E">
        <w:rPr>
          <w:rFonts w:ascii="Calibri" w:hAnsi="Calibri"/>
          <w:i/>
          <w:iCs/>
        </w:rPr>
        <w:t xml:space="preserve">Fed. </w:t>
      </w:r>
      <w:proofErr w:type="spellStart"/>
      <w:r w:rsidRPr="000B0C6E">
        <w:rPr>
          <w:rFonts w:ascii="Calibri" w:hAnsi="Calibri"/>
          <w:i/>
          <w:iCs/>
        </w:rPr>
        <w:t>Pract</w:t>
      </w:r>
      <w:proofErr w:type="spellEnd"/>
      <w:r w:rsidRPr="000B0C6E">
        <w:rPr>
          <w:rFonts w:ascii="Calibri" w:hAnsi="Calibri"/>
          <w:i/>
          <w:iCs/>
        </w:rPr>
        <w:t>.</w:t>
      </w:r>
      <w:r w:rsidRPr="000B0C6E">
        <w:rPr>
          <w:rFonts w:ascii="Calibri" w:hAnsi="Calibri"/>
        </w:rPr>
        <w:t xml:space="preserve">, vol. 38, no. 2, pp. 84–88, Feb. 2021, </w:t>
      </w:r>
      <w:proofErr w:type="spellStart"/>
      <w:r w:rsidRPr="000B0C6E">
        <w:rPr>
          <w:rFonts w:ascii="Calibri" w:hAnsi="Calibri"/>
        </w:rPr>
        <w:t>doi</w:t>
      </w:r>
      <w:proofErr w:type="spellEnd"/>
      <w:r w:rsidRPr="000B0C6E">
        <w:rPr>
          <w:rFonts w:ascii="Calibri" w:hAnsi="Calibri"/>
        </w:rPr>
        <w:t>: 10.12788/fp.0089.</w:t>
      </w:r>
    </w:p>
    <w:p w14:paraId="715B4F9F" w14:textId="77777777" w:rsidR="000B0C6E" w:rsidRPr="000B0C6E" w:rsidRDefault="000B0C6E" w:rsidP="000B0C6E">
      <w:pPr>
        <w:pStyle w:val="Bibliography"/>
        <w:rPr>
          <w:rFonts w:ascii="Calibri" w:hAnsi="Calibri"/>
        </w:rPr>
      </w:pPr>
      <w:r w:rsidRPr="000B0C6E">
        <w:rPr>
          <w:rFonts w:ascii="Calibri" w:hAnsi="Calibri"/>
        </w:rPr>
        <w:t>[7]</w:t>
      </w:r>
      <w:r w:rsidRPr="000B0C6E">
        <w:rPr>
          <w:rFonts w:ascii="Calibri" w:hAnsi="Calibri"/>
        </w:rPr>
        <w:tab/>
        <w:t xml:space="preserve">H. Zapata, J. E. Edwards, and J. L. Titus, “Aberrant right subclavian artery with left aortic arch: Associated cardiac anomalies,” </w:t>
      </w:r>
      <w:proofErr w:type="spellStart"/>
      <w:r w:rsidRPr="000B0C6E">
        <w:rPr>
          <w:rFonts w:ascii="Calibri" w:hAnsi="Calibri"/>
          <w:i/>
          <w:iCs/>
        </w:rPr>
        <w:t>Pediatr</w:t>
      </w:r>
      <w:proofErr w:type="spellEnd"/>
      <w:r w:rsidRPr="000B0C6E">
        <w:rPr>
          <w:rFonts w:ascii="Calibri" w:hAnsi="Calibri"/>
          <w:i/>
          <w:iCs/>
        </w:rPr>
        <w:t xml:space="preserve">. </w:t>
      </w:r>
      <w:proofErr w:type="spellStart"/>
      <w:r w:rsidRPr="000B0C6E">
        <w:rPr>
          <w:rFonts w:ascii="Calibri" w:hAnsi="Calibri"/>
          <w:i/>
          <w:iCs/>
        </w:rPr>
        <w:t>Cardiol</w:t>
      </w:r>
      <w:proofErr w:type="spellEnd"/>
      <w:r w:rsidRPr="000B0C6E">
        <w:rPr>
          <w:rFonts w:ascii="Calibri" w:hAnsi="Calibri"/>
          <w:i/>
          <w:iCs/>
        </w:rPr>
        <w:t>.</w:t>
      </w:r>
      <w:r w:rsidRPr="000B0C6E">
        <w:rPr>
          <w:rFonts w:ascii="Calibri" w:hAnsi="Calibri"/>
        </w:rPr>
        <w:t xml:space="preserve">, vol. 14, no. 3, pp. 159–161, Jul. 1993, </w:t>
      </w:r>
      <w:proofErr w:type="spellStart"/>
      <w:r w:rsidRPr="000B0C6E">
        <w:rPr>
          <w:rFonts w:ascii="Calibri" w:hAnsi="Calibri"/>
        </w:rPr>
        <w:t>doi</w:t>
      </w:r>
      <w:proofErr w:type="spellEnd"/>
      <w:r w:rsidRPr="000B0C6E">
        <w:rPr>
          <w:rFonts w:ascii="Calibri" w:hAnsi="Calibri"/>
        </w:rPr>
        <w:t>: 10.1007/BF00795645.</w:t>
      </w:r>
    </w:p>
    <w:p w14:paraId="570A8CBB" w14:textId="77777777" w:rsidR="000B0C6E" w:rsidRPr="000B0C6E" w:rsidRDefault="000B0C6E" w:rsidP="000B0C6E">
      <w:pPr>
        <w:pStyle w:val="Bibliography"/>
        <w:rPr>
          <w:rFonts w:ascii="Calibri" w:hAnsi="Calibri"/>
        </w:rPr>
      </w:pPr>
      <w:r w:rsidRPr="000B0C6E">
        <w:rPr>
          <w:rFonts w:ascii="Calibri" w:hAnsi="Calibri"/>
        </w:rPr>
        <w:lastRenderedPageBreak/>
        <w:t>[8]</w:t>
      </w:r>
      <w:r w:rsidRPr="000B0C6E">
        <w:rPr>
          <w:rFonts w:ascii="Calibri" w:hAnsi="Calibri"/>
        </w:rPr>
        <w:tab/>
        <w:t>“ABERRANT RIGHT SUBCLAVIAN ARTERY.” Accessed: Jun. 11, 2025. [Online]. Available: https://www.ajronline.org/doi/epdf/10.2214/ajr.97.2.438</w:t>
      </w:r>
    </w:p>
    <w:p w14:paraId="4AC5D972" w14:textId="77777777" w:rsidR="000B0C6E" w:rsidRPr="000B0C6E" w:rsidRDefault="000B0C6E" w:rsidP="000B0C6E">
      <w:pPr>
        <w:pStyle w:val="Bibliography"/>
        <w:rPr>
          <w:rFonts w:ascii="Calibri" w:hAnsi="Calibri"/>
        </w:rPr>
      </w:pPr>
      <w:r w:rsidRPr="000B0C6E">
        <w:rPr>
          <w:rFonts w:ascii="Calibri" w:hAnsi="Calibri"/>
        </w:rPr>
        <w:t>[9]</w:t>
      </w:r>
      <w:r w:rsidRPr="000B0C6E">
        <w:rPr>
          <w:rFonts w:ascii="Calibri" w:hAnsi="Calibri"/>
        </w:rPr>
        <w:tab/>
        <w:t xml:space="preserve">I.-C. Tsai </w:t>
      </w:r>
      <w:r w:rsidRPr="000B0C6E">
        <w:rPr>
          <w:rFonts w:ascii="Calibri" w:hAnsi="Calibri"/>
          <w:i/>
          <w:iCs/>
        </w:rPr>
        <w:t>et al.</w:t>
      </w:r>
      <w:r w:rsidRPr="000B0C6E">
        <w:rPr>
          <w:rFonts w:ascii="Calibri" w:hAnsi="Calibri"/>
        </w:rPr>
        <w:t xml:space="preserve">, “Vertebral and carotid artery anomalies in patients with aberrant right subclavian arteries,” </w:t>
      </w:r>
      <w:proofErr w:type="spellStart"/>
      <w:r w:rsidRPr="000B0C6E">
        <w:rPr>
          <w:rFonts w:ascii="Calibri" w:hAnsi="Calibri"/>
          <w:i/>
          <w:iCs/>
        </w:rPr>
        <w:t>Pediatr</w:t>
      </w:r>
      <w:proofErr w:type="spellEnd"/>
      <w:r w:rsidRPr="000B0C6E">
        <w:rPr>
          <w:rFonts w:ascii="Calibri" w:hAnsi="Calibri"/>
          <w:i/>
          <w:iCs/>
        </w:rPr>
        <w:t xml:space="preserve">. </w:t>
      </w:r>
      <w:proofErr w:type="spellStart"/>
      <w:r w:rsidRPr="000B0C6E">
        <w:rPr>
          <w:rFonts w:ascii="Calibri" w:hAnsi="Calibri"/>
          <w:i/>
          <w:iCs/>
        </w:rPr>
        <w:t>Radiol</w:t>
      </w:r>
      <w:proofErr w:type="spellEnd"/>
      <w:r w:rsidRPr="000B0C6E">
        <w:rPr>
          <w:rFonts w:ascii="Calibri" w:hAnsi="Calibri"/>
          <w:i/>
          <w:iCs/>
        </w:rPr>
        <w:t>.</w:t>
      </w:r>
      <w:r w:rsidRPr="000B0C6E">
        <w:rPr>
          <w:rFonts w:ascii="Calibri" w:hAnsi="Calibri"/>
        </w:rPr>
        <w:t xml:space="preserve">, vol. 37, no. 10, pp. 1007–1012, Oct. 2007, </w:t>
      </w:r>
      <w:proofErr w:type="spellStart"/>
      <w:r w:rsidRPr="000B0C6E">
        <w:rPr>
          <w:rFonts w:ascii="Calibri" w:hAnsi="Calibri"/>
        </w:rPr>
        <w:t>doi</w:t>
      </w:r>
      <w:proofErr w:type="spellEnd"/>
      <w:r w:rsidRPr="000B0C6E">
        <w:rPr>
          <w:rFonts w:ascii="Calibri" w:hAnsi="Calibri"/>
        </w:rPr>
        <w:t>: 10.1007/s00247-007-0574-2.</w:t>
      </w:r>
    </w:p>
    <w:p w14:paraId="2333B964" w14:textId="77777777" w:rsidR="000B0C6E" w:rsidRPr="000B0C6E" w:rsidRDefault="000B0C6E" w:rsidP="000B0C6E">
      <w:pPr>
        <w:pStyle w:val="Bibliography"/>
        <w:rPr>
          <w:rFonts w:ascii="Calibri" w:hAnsi="Calibri"/>
        </w:rPr>
      </w:pPr>
      <w:r w:rsidRPr="000B0C6E">
        <w:rPr>
          <w:rFonts w:ascii="Calibri" w:hAnsi="Calibri"/>
        </w:rPr>
        <w:t>[10]</w:t>
      </w:r>
      <w:r w:rsidRPr="000B0C6E">
        <w:rPr>
          <w:rFonts w:ascii="Calibri" w:hAnsi="Calibri"/>
        </w:rPr>
        <w:tab/>
        <w:t xml:space="preserve">A. Rafiq, S. </w:t>
      </w:r>
      <w:proofErr w:type="spellStart"/>
      <w:r w:rsidRPr="000B0C6E">
        <w:rPr>
          <w:rFonts w:ascii="Calibri" w:hAnsi="Calibri"/>
        </w:rPr>
        <w:t>Chutani</w:t>
      </w:r>
      <w:proofErr w:type="spellEnd"/>
      <w:r w:rsidRPr="000B0C6E">
        <w:rPr>
          <w:rFonts w:ascii="Calibri" w:hAnsi="Calibri"/>
        </w:rPr>
        <w:t xml:space="preserve">, and N. R. </w:t>
      </w:r>
      <w:proofErr w:type="spellStart"/>
      <w:r w:rsidRPr="000B0C6E">
        <w:rPr>
          <w:rFonts w:ascii="Calibri" w:hAnsi="Calibri"/>
        </w:rPr>
        <w:t>Krim</w:t>
      </w:r>
      <w:proofErr w:type="spellEnd"/>
      <w:r w:rsidRPr="000B0C6E">
        <w:rPr>
          <w:rFonts w:ascii="Calibri" w:hAnsi="Calibri"/>
        </w:rPr>
        <w:t xml:space="preserve">, “Incidental finding of arteria </w:t>
      </w:r>
      <w:proofErr w:type="spellStart"/>
      <w:r w:rsidRPr="000B0C6E">
        <w:rPr>
          <w:rFonts w:ascii="Calibri" w:hAnsi="Calibri"/>
        </w:rPr>
        <w:t>lusoria</w:t>
      </w:r>
      <w:proofErr w:type="spellEnd"/>
      <w:r w:rsidRPr="000B0C6E">
        <w:rPr>
          <w:rFonts w:ascii="Calibri" w:hAnsi="Calibri"/>
        </w:rPr>
        <w:t xml:space="preserve"> during </w:t>
      </w:r>
      <w:proofErr w:type="spellStart"/>
      <w:r w:rsidRPr="000B0C6E">
        <w:rPr>
          <w:rFonts w:ascii="Calibri" w:hAnsi="Calibri"/>
        </w:rPr>
        <w:t>transradial</w:t>
      </w:r>
      <w:proofErr w:type="spellEnd"/>
      <w:r w:rsidRPr="000B0C6E">
        <w:rPr>
          <w:rFonts w:ascii="Calibri" w:hAnsi="Calibri"/>
        </w:rPr>
        <w:t xml:space="preserve"> coronary catheterization: Significance in interventional cardiology,” </w:t>
      </w:r>
      <w:r w:rsidRPr="000B0C6E">
        <w:rPr>
          <w:rFonts w:ascii="Calibri" w:hAnsi="Calibri"/>
          <w:i/>
          <w:iCs/>
        </w:rPr>
        <w:t xml:space="preserve">Catheter. Cardiovasc. </w:t>
      </w:r>
      <w:proofErr w:type="spellStart"/>
      <w:r w:rsidRPr="000B0C6E">
        <w:rPr>
          <w:rFonts w:ascii="Calibri" w:hAnsi="Calibri"/>
          <w:i/>
          <w:iCs/>
        </w:rPr>
        <w:t>Interv</w:t>
      </w:r>
      <w:proofErr w:type="spellEnd"/>
      <w:r w:rsidRPr="000B0C6E">
        <w:rPr>
          <w:rFonts w:ascii="Calibri" w:hAnsi="Calibri"/>
          <w:i/>
          <w:iCs/>
        </w:rPr>
        <w:t>.</w:t>
      </w:r>
      <w:r w:rsidRPr="000B0C6E">
        <w:rPr>
          <w:rFonts w:ascii="Calibri" w:hAnsi="Calibri"/>
        </w:rPr>
        <w:t xml:space="preserve">, vol. 91, no. 7, pp. 1283–1286, 2018, </w:t>
      </w:r>
      <w:proofErr w:type="spellStart"/>
      <w:r w:rsidRPr="000B0C6E">
        <w:rPr>
          <w:rFonts w:ascii="Calibri" w:hAnsi="Calibri"/>
        </w:rPr>
        <w:t>doi</w:t>
      </w:r>
      <w:proofErr w:type="spellEnd"/>
      <w:r w:rsidRPr="000B0C6E">
        <w:rPr>
          <w:rFonts w:ascii="Calibri" w:hAnsi="Calibri"/>
        </w:rPr>
        <w:t>: 10.1002/ccd.27439.</w:t>
      </w:r>
    </w:p>
    <w:p w14:paraId="125BF60A" w14:textId="77777777" w:rsidR="000B0C6E" w:rsidRPr="000B0C6E" w:rsidRDefault="000B0C6E" w:rsidP="000B0C6E">
      <w:pPr>
        <w:pStyle w:val="Bibliography"/>
        <w:rPr>
          <w:rFonts w:ascii="Calibri" w:hAnsi="Calibri"/>
        </w:rPr>
      </w:pPr>
      <w:r w:rsidRPr="000B0C6E">
        <w:rPr>
          <w:rFonts w:ascii="Calibri" w:hAnsi="Calibri"/>
        </w:rPr>
        <w:t>[11]</w:t>
      </w:r>
      <w:r w:rsidRPr="000B0C6E">
        <w:rPr>
          <w:rFonts w:ascii="Calibri" w:hAnsi="Calibri"/>
        </w:rPr>
        <w:tab/>
        <w:t xml:space="preserve">S. Priya, R. Thomas, P. Nagpal, A. Sharma, and M. </w:t>
      </w:r>
      <w:proofErr w:type="spellStart"/>
      <w:r w:rsidRPr="000B0C6E">
        <w:rPr>
          <w:rFonts w:ascii="Calibri" w:hAnsi="Calibri"/>
        </w:rPr>
        <w:t>Steigner</w:t>
      </w:r>
      <w:proofErr w:type="spellEnd"/>
      <w:r w:rsidRPr="000B0C6E">
        <w:rPr>
          <w:rFonts w:ascii="Calibri" w:hAnsi="Calibri"/>
        </w:rPr>
        <w:t xml:space="preserve">, “Congenital anomalies of the aortic arch,” </w:t>
      </w:r>
      <w:r w:rsidRPr="000B0C6E">
        <w:rPr>
          <w:rFonts w:ascii="Calibri" w:hAnsi="Calibri"/>
          <w:i/>
          <w:iCs/>
        </w:rPr>
        <w:t xml:space="preserve">Cardiovasc. Diagn. </w:t>
      </w:r>
      <w:proofErr w:type="spellStart"/>
      <w:r w:rsidRPr="000B0C6E">
        <w:rPr>
          <w:rFonts w:ascii="Calibri" w:hAnsi="Calibri"/>
          <w:i/>
          <w:iCs/>
        </w:rPr>
        <w:t>Ther</w:t>
      </w:r>
      <w:proofErr w:type="spellEnd"/>
      <w:r w:rsidRPr="000B0C6E">
        <w:rPr>
          <w:rFonts w:ascii="Calibri" w:hAnsi="Calibri"/>
          <w:i/>
          <w:iCs/>
        </w:rPr>
        <w:t>.</w:t>
      </w:r>
      <w:r w:rsidRPr="000B0C6E">
        <w:rPr>
          <w:rFonts w:ascii="Calibri" w:hAnsi="Calibri"/>
        </w:rPr>
        <w:t xml:space="preserve">, vol. 8, no. Suppl 1, Art. no. Suppl 1, Apr. 2018, </w:t>
      </w:r>
      <w:proofErr w:type="spellStart"/>
      <w:r w:rsidRPr="000B0C6E">
        <w:rPr>
          <w:rFonts w:ascii="Calibri" w:hAnsi="Calibri"/>
        </w:rPr>
        <w:t>doi</w:t>
      </w:r>
      <w:proofErr w:type="spellEnd"/>
      <w:r w:rsidRPr="000B0C6E">
        <w:rPr>
          <w:rFonts w:ascii="Calibri" w:hAnsi="Calibri"/>
        </w:rPr>
        <w:t>: 10.21037/cdt.2017.10.15.</w:t>
      </w:r>
    </w:p>
    <w:p w14:paraId="6CFAA6C3" w14:textId="77777777" w:rsidR="000B0C6E" w:rsidRPr="000B0C6E" w:rsidRDefault="000B0C6E" w:rsidP="000B0C6E">
      <w:pPr>
        <w:pStyle w:val="Bibliography"/>
        <w:rPr>
          <w:rFonts w:ascii="Calibri" w:hAnsi="Calibri"/>
        </w:rPr>
      </w:pPr>
      <w:r w:rsidRPr="000B0C6E">
        <w:rPr>
          <w:rFonts w:ascii="Calibri" w:hAnsi="Calibri"/>
        </w:rPr>
        <w:t>[12]</w:t>
      </w:r>
      <w:r w:rsidRPr="000B0C6E">
        <w:rPr>
          <w:rFonts w:ascii="Calibri" w:hAnsi="Calibri"/>
        </w:rPr>
        <w:tab/>
        <w:t xml:space="preserve">J. M. Smith and D. C. </w:t>
      </w:r>
      <w:proofErr w:type="spellStart"/>
      <w:r w:rsidRPr="000B0C6E">
        <w:rPr>
          <w:rFonts w:ascii="Calibri" w:hAnsi="Calibri"/>
        </w:rPr>
        <w:t>Wukasch</w:t>
      </w:r>
      <w:proofErr w:type="spellEnd"/>
      <w:r w:rsidRPr="000B0C6E">
        <w:rPr>
          <w:rFonts w:ascii="Calibri" w:hAnsi="Calibri"/>
        </w:rPr>
        <w:t>, “RETROESOPHAGEAL SUBCLAVIAN ARTERIES: SURGICAL MANAGEMENT OF SYMPTOMATIC CHILDREN”.</w:t>
      </w:r>
    </w:p>
    <w:p w14:paraId="66DC6B77" w14:textId="696755FD" w:rsidR="000B0C6E" w:rsidRDefault="000B0C6E" w:rsidP="000B0C6E">
      <w:pPr>
        <w:pStyle w:val="Bibliography"/>
        <w:rPr>
          <w:rFonts w:ascii="Calibri" w:hAnsi="Calibri"/>
        </w:rPr>
      </w:pPr>
      <w:r w:rsidRPr="000B0C6E">
        <w:rPr>
          <w:rFonts w:ascii="Calibri" w:hAnsi="Calibri"/>
        </w:rPr>
        <w:t>[13]</w:t>
      </w:r>
      <w:r w:rsidRPr="000B0C6E">
        <w:rPr>
          <w:rFonts w:ascii="Calibri" w:hAnsi="Calibri"/>
        </w:rPr>
        <w:tab/>
        <w:t xml:space="preserve">P. </w:t>
      </w:r>
      <w:proofErr w:type="spellStart"/>
      <w:r w:rsidRPr="000B0C6E">
        <w:rPr>
          <w:rFonts w:ascii="Calibri" w:hAnsi="Calibri"/>
        </w:rPr>
        <w:t>Dueppers</w:t>
      </w:r>
      <w:proofErr w:type="spellEnd"/>
      <w:r w:rsidRPr="000B0C6E">
        <w:rPr>
          <w:rFonts w:ascii="Calibri" w:hAnsi="Calibri"/>
        </w:rPr>
        <w:t xml:space="preserve">, N. </w:t>
      </w:r>
      <w:proofErr w:type="spellStart"/>
      <w:r w:rsidRPr="000B0C6E">
        <w:rPr>
          <w:rFonts w:ascii="Calibri" w:hAnsi="Calibri"/>
        </w:rPr>
        <w:t>Floros</w:t>
      </w:r>
      <w:proofErr w:type="spellEnd"/>
      <w:r w:rsidRPr="000B0C6E">
        <w:rPr>
          <w:rFonts w:ascii="Calibri" w:hAnsi="Calibri"/>
        </w:rPr>
        <w:t xml:space="preserve">, H. </w:t>
      </w:r>
      <w:proofErr w:type="spellStart"/>
      <w:r w:rsidRPr="000B0C6E">
        <w:rPr>
          <w:rFonts w:ascii="Calibri" w:hAnsi="Calibri"/>
        </w:rPr>
        <w:t>Schelzig</w:t>
      </w:r>
      <w:proofErr w:type="spellEnd"/>
      <w:r w:rsidRPr="000B0C6E">
        <w:rPr>
          <w:rFonts w:ascii="Calibri" w:hAnsi="Calibri"/>
        </w:rPr>
        <w:t xml:space="preserve">, M. </w:t>
      </w:r>
      <w:proofErr w:type="spellStart"/>
      <w:r w:rsidRPr="000B0C6E">
        <w:rPr>
          <w:rFonts w:ascii="Calibri" w:hAnsi="Calibri"/>
        </w:rPr>
        <w:t>Wagenhäuser</w:t>
      </w:r>
      <w:proofErr w:type="spellEnd"/>
      <w:r w:rsidRPr="000B0C6E">
        <w:rPr>
          <w:rFonts w:ascii="Calibri" w:hAnsi="Calibri"/>
        </w:rPr>
        <w:t xml:space="preserve">, and M. Duran, “Contemporary Surgical Management of Aberrant Right Subclavian Arteries (Arteria Lusoria),” </w:t>
      </w:r>
      <w:r w:rsidRPr="000B0C6E">
        <w:rPr>
          <w:rFonts w:ascii="Calibri" w:hAnsi="Calibri"/>
          <w:i/>
          <w:iCs/>
        </w:rPr>
        <w:t xml:space="preserve">Ann. </w:t>
      </w:r>
      <w:proofErr w:type="spellStart"/>
      <w:r w:rsidRPr="000B0C6E">
        <w:rPr>
          <w:rFonts w:ascii="Calibri" w:hAnsi="Calibri"/>
          <w:i/>
          <w:iCs/>
        </w:rPr>
        <w:t>Vasc</w:t>
      </w:r>
      <w:proofErr w:type="spellEnd"/>
      <w:r w:rsidRPr="000B0C6E">
        <w:rPr>
          <w:rFonts w:ascii="Calibri" w:hAnsi="Calibri"/>
          <w:i/>
          <w:iCs/>
        </w:rPr>
        <w:t>. Surg.</w:t>
      </w:r>
      <w:r w:rsidRPr="000B0C6E">
        <w:rPr>
          <w:rFonts w:ascii="Calibri" w:hAnsi="Calibri"/>
        </w:rPr>
        <w:t xml:space="preserve">, vol. 72, pp. 356–364, Apr. 2021, </w:t>
      </w:r>
      <w:proofErr w:type="spellStart"/>
      <w:r w:rsidRPr="000B0C6E">
        <w:rPr>
          <w:rFonts w:ascii="Calibri" w:hAnsi="Calibri"/>
        </w:rPr>
        <w:t>doi</w:t>
      </w:r>
      <w:proofErr w:type="spellEnd"/>
      <w:r w:rsidRPr="000B0C6E">
        <w:rPr>
          <w:rFonts w:ascii="Calibri" w:hAnsi="Calibri"/>
        </w:rPr>
        <w:t>: 10.1016/j.avsg.2020.08.151.</w:t>
      </w:r>
    </w:p>
    <w:p w14:paraId="3C5AC2F2" w14:textId="08801832" w:rsidR="000B0C6E" w:rsidRPr="000B0C6E" w:rsidRDefault="000B0C6E" w:rsidP="000B0C6E">
      <w:bookmarkStart w:id="4" w:name="_GoBack"/>
      <w:r w:rsidRPr="000B0C6E">
        <w:rPr>
          <w:rStyle w:val="Strong"/>
          <w:b w:val="0"/>
          <w:bCs w:val="0"/>
          <w:lang w:val="fr-FR"/>
        </w:rPr>
        <w:t>[14]</w:t>
      </w:r>
      <w:r w:rsidRPr="000B0C6E">
        <w:rPr>
          <w:b/>
          <w:bCs/>
          <w:lang w:val="fr-FR"/>
        </w:rPr>
        <w:t xml:space="preserve"> </w:t>
      </w:r>
      <w:r w:rsidRPr="000B0C6E">
        <w:rPr>
          <w:lang w:val="fr-FR"/>
        </w:rPr>
        <w:t xml:space="preserve">Sánchez O, De Lucas EM, Ríos A, et al. </w:t>
      </w:r>
      <w:r>
        <w:t xml:space="preserve">[Aberrant right subclavian artery (arteria </w:t>
      </w:r>
      <w:proofErr w:type="spellStart"/>
      <w:r>
        <w:t>lusoria</w:t>
      </w:r>
      <w:proofErr w:type="spellEnd"/>
      <w:r>
        <w:t xml:space="preserve">) in </w:t>
      </w:r>
      <w:bookmarkEnd w:id="4"/>
      <w:r>
        <w:t xml:space="preserve">cerebrovascular pathology]. </w:t>
      </w:r>
      <w:r>
        <w:rPr>
          <w:rStyle w:val="Emphasis"/>
        </w:rPr>
        <w:t>Med Clin (</w:t>
      </w:r>
      <w:proofErr w:type="spellStart"/>
      <w:r>
        <w:rPr>
          <w:rStyle w:val="Emphasis"/>
        </w:rPr>
        <w:t>Barc</w:t>
      </w:r>
      <w:proofErr w:type="spellEnd"/>
      <w:r>
        <w:rPr>
          <w:rStyle w:val="Emphasis"/>
        </w:rPr>
        <w:t>).</w:t>
      </w:r>
      <w:r>
        <w:t xml:space="preserve"> 1993 Sep 18;101(8):281–5. PMID: 8377532.</w:t>
      </w:r>
    </w:p>
    <w:p w14:paraId="1D742E5B" w14:textId="3113B256" w:rsidR="001B5F6C" w:rsidRDefault="001B5F6C" w:rsidP="001B5F6C">
      <w:r>
        <w:rPr>
          <w:b/>
        </w:rPr>
        <w:fldChar w:fldCharType="end"/>
      </w:r>
    </w:p>
    <w:p w14:paraId="0D230C2A" w14:textId="77777777" w:rsidR="001B5F6C" w:rsidRDefault="001B5F6C"/>
    <w:sectPr w:rsidR="001B5F6C" w:rsidSect="009912F8">
      <w:headerReference w:type="even" r:id="rId12"/>
      <w:headerReference w:type="default" r:id="rId13"/>
      <w:footerReference w:type="even" r:id="rId14"/>
      <w:footerReference w:type="default" r:id="rId15"/>
      <w:headerReference w:type="first" r:id="rId16"/>
      <w:footerReference w:type="first" r:id="rId17"/>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54DC1" w14:textId="77777777" w:rsidR="00464D1A" w:rsidRDefault="00464D1A" w:rsidP="003B0F5D">
      <w:pPr>
        <w:spacing w:after="0" w:line="240" w:lineRule="auto"/>
      </w:pPr>
      <w:r>
        <w:separator/>
      </w:r>
    </w:p>
  </w:endnote>
  <w:endnote w:type="continuationSeparator" w:id="0">
    <w:p w14:paraId="50E179D8" w14:textId="77777777" w:rsidR="00464D1A" w:rsidRDefault="00464D1A" w:rsidP="003B0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0E6B5" w14:textId="77777777" w:rsidR="009912F8" w:rsidRDefault="00991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81EFA" w14:textId="77777777" w:rsidR="003B0F5D" w:rsidRDefault="003B0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AF61" w14:textId="77777777" w:rsidR="009912F8" w:rsidRDefault="00991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9F748" w14:textId="77777777" w:rsidR="00464D1A" w:rsidRDefault="00464D1A" w:rsidP="003B0F5D">
      <w:pPr>
        <w:spacing w:after="0" w:line="240" w:lineRule="auto"/>
      </w:pPr>
      <w:r>
        <w:separator/>
      </w:r>
    </w:p>
  </w:footnote>
  <w:footnote w:type="continuationSeparator" w:id="0">
    <w:p w14:paraId="6A9A990A" w14:textId="77777777" w:rsidR="00464D1A" w:rsidRDefault="00464D1A" w:rsidP="003B0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E107" w14:textId="1422354F" w:rsidR="009912F8" w:rsidRDefault="00464D1A">
    <w:pPr>
      <w:pStyle w:val="Header"/>
    </w:pPr>
    <w:r>
      <w:rPr>
        <w:noProof/>
      </w:rPr>
      <w:pict w14:anchorId="600AA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157344"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9B327" w14:textId="746D2888" w:rsidR="009912F8" w:rsidRDefault="00464D1A">
    <w:pPr>
      <w:pStyle w:val="Header"/>
    </w:pPr>
    <w:r>
      <w:rPr>
        <w:noProof/>
      </w:rPr>
      <w:pict w14:anchorId="3EB9A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157345"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30E1" w14:textId="32B3F40D" w:rsidR="009912F8" w:rsidRDefault="00464D1A">
    <w:pPr>
      <w:pStyle w:val="Header"/>
    </w:pPr>
    <w:r>
      <w:rPr>
        <w:noProof/>
      </w:rPr>
      <w:pict w14:anchorId="066D8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157343"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D5522"/>
    <w:multiLevelType w:val="hybridMultilevel"/>
    <w:tmpl w:val="58960BD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6C"/>
    <w:rsid w:val="000B0C6E"/>
    <w:rsid w:val="000E019E"/>
    <w:rsid w:val="00183952"/>
    <w:rsid w:val="001B5F6C"/>
    <w:rsid w:val="00263554"/>
    <w:rsid w:val="002A5662"/>
    <w:rsid w:val="00387999"/>
    <w:rsid w:val="00391FA8"/>
    <w:rsid w:val="003B0F5D"/>
    <w:rsid w:val="003C511C"/>
    <w:rsid w:val="00450728"/>
    <w:rsid w:val="00464D1A"/>
    <w:rsid w:val="004758BC"/>
    <w:rsid w:val="004B047E"/>
    <w:rsid w:val="005173E7"/>
    <w:rsid w:val="005912E1"/>
    <w:rsid w:val="005B1668"/>
    <w:rsid w:val="006A1BF4"/>
    <w:rsid w:val="00712CBA"/>
    <w:rsid w:val="00743A6F"/>
    <w:rsid w:val="00793D58"/>
    <w:rsid w:val="007B3929"/>
    <w:rsid w:val="007D1FB4"/>
    <w:rsid w:val="008420EF"/>
    <w:rsid w:val="00861311"/>
    <w:rsid w:val="008A6B22"/>
    <w:rsid w:val="008C7EE8"/>
    <w:rsid w:val="009912F8"/>
    <w:rsid w:val="009C31BB"/>
    <w:rsid w:val="00B51A8B"/>
    <w:rsid w:val="00BD4C4B"/>
    <w:rsid w:val="00CE7FCD"/>
    <w:rsid w:val="00D65973"/>
    <w:rsid w:val="00D84836"/>
    <w:rsid w:val="00D92C02"/>
    <w:rsid w:val="00E371E8"/>
    <w:rsid w:val="00E978E8"/>
    <w:rsid w:val="00FB433D"/>
    <w:rsid w:val="00FC53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DEE4BCE"/>
  <w15:chartTrackingRefBased/>
  <w15:docId w15:val="{EC3EFF04-3BFB-441D-B85F-B2F9CF72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5F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5F6C"/>
    <w:rPr>
      <w:b/>
      <w:bCs/>
    </w:rPr>
  </w:style>
  <w:style w:type="paragraph" w:styleId="Bibliography">
    <w:name w:val="Bibliography"/>
    <w:basedOn w:val="Normal"/>
    <w:next w:val="Normal"/>
    <w:uiPriority w:val="37"/>
    <w:unhideWhenUsed/>
    <w:rsid w:val="001B5F6C"/>
    <w:pPr>
      <w:tabs>
        <w:tab w:val="left" w:pos="384"/>
      </w:tabs>
      <w:spacing w:after="0" w:line="240" w:lineRule="auto"/>
      <w:ind w:left="384" w:hanging="384"/>
    </w:pPr>
  </w:style>
  <w:style w:type="paragraph" w:styleId="Caption">
    <w:name w:val="caption"/>
    <w:basedOn w:val="Normal"/>
    <w:next w:val="Normal"/>
    <w:uiPriority w:val="35"/>
    <w:unhideWhenUsed/>
    <w:qFormat/>
    <w:rsid w:val="008C7EE8"/>
    <w:pPr>
      <w:spacing w:after="200" w:line="240" w:lineRule="auto"/>
    </w:pPr>
    <w:rPr>
      <w:i/>
      <w:iCs/>
      <w:color w:val="44546A" w:themeColor="text2"/>
      <w:sz w:val="18"/>
      <w:szCs w:val="18"/>
    </w:rPr>
  </w:style>
  <w:style w:type="paragraph" w:customStyle="1" w:styleId="Author">
    <w:name w:val="Author"/>
    <w:basedOn w:val="Normal"/>
    <w:rsid w:val="007B3929"/>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7B3929"/>
    <w:pPr>
      <w:spacing w:after="240" w:line="240" w:lineRule="exact"/>
      <w:jc w:val="right"/>
    </w:pPr>
    <w:rPr>
      <w:rFonts w:ascii="Helvetica" w:eastAsia="Times New Roman" w:hAnsi="Helvetica" w:cs="Times New Roman"/>
      <w:sz w:val="20"/>
      <w:szCs w:val="20"/>
    </w:rPr>
  </w:style>
  <w:style w:type="paragraph" w:customStyle="1" w:styleId="AbstHead">
    <w:name w:val="Abst Head"/>
    <w:basedOn w:val="Normal"/>
    <w:rsid w:val="007B3929"/>
    <w:pPr>
      <w:keepNext/>
      <w:spacing w:after="240" w:line="240" w:lineRule="auto"/>
    </w:pPr>
    <w:rPr>
      <w:rFonts w:ascii="Helvetica" w:eastAsia="Times New Roman" w:hAnsi="Helvetica" w:cs="Times New Roman"/>
      <w:b/>
      <w:caps/>
      <w:szCs w:val="20"/>
    </w:rPr>
  </w:style>
  <w:style w:type="paragraph" w:customStyle="1" w:styleId="Body">
    <w:name w:val="Body"/>
    <w:basedOn w:val="Normal"/>
    <w:rsid w:val="007B3929"/>
    <w:pPr>
      <w:spacing w:after="240" w:line="240" w:lineRule="auto"/>
      <w:jc w:val="both"/>
    </w:pPr>
    <w:rPr>
      <w:rFonts w:ascii="Helvetica" w:eastAsia="Times New Roman" w:hAnsi="Helvetica" w:cs="Times New Roman"/>
      <w:sz w:val="20"/>
      <w:szCs w:val="20"/>
    </w:rPr>
  </w:style>
  <w:style w:type="paragraph" w:styleId="ListParagraph">
    <w:name w:val="List Paragraph"/>
    <w:basedOn w:val="Normal"/>
    <w:uiPriority w:val="34"/>
    <w:qFormat/>
    <w:rsid w:val="00391FA8"/>
    <w:pPr>
      <w:ind w:left="720"/>
      <w:contextualSpacing/>
    </w:pPr>
  </w:style>
  <w:style w:type="paragraph" w:customStyle="1" w:styleId="Head1">
    <w:name w:val="Head1"/>
    <w:basedOn w:val="Normal"/>
    <w:rsid w:val="008420E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B1668"/>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D84836"/>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3B0F5D"/>
    <w:pPr>
      <w:tabs>
        <w:tab w:val="center" w:pos="4703"/>
        <w:tab w:val="right" w:pos="9406"/>
      </w:tabs>
      <w:spacing w:after="0" w:line="240" w:lineRule="auto"/>
    </w:pPr>
  </w:style>
  <w:style w:type="character" w:customStyle="1" w:styleId="HeaderChar">
    <w:name w:val="Header Char"/>
    <w:basedOn w:val="DefaultParagraphFont"/>
    <w:link w:val="Header"/>
    <w:uiPriority w:val="99"/>
    <w:rsid w:val="003B0F5D"/>
  </w:style>
  <w:style w:type="paragraph" w:styleId="Footer">
    <w:name w:val="footer"/>
    <w:basedOn w:val="Normal"/>
    <w:link w:val="FooterChar"/>
    <w:unhideWhenUsed/>
    <w:rsid w:val="003B0F5D"/>
    <w:pPr>
      <w:tabs>
        <w:tab w:val="center" w:pos="4703"/>
        <w:tab w:val="right" w:pos="9406"/>
      </w:tabs>
      <w:spacing w:after="0" w:line="240" w:lineRule="auto"/>
    </w:pPr>
  </w:style>
  <w:style w:type="character" w:customStyle="1" w:styleId="FooterChar">
    <w:name w:val="Footer Char"/>
    <w:basedOn w:val="DefaultParagraphFont"/>
    <w:link w:val="Footer"/>
    <w:uiPriority w:val="99"/>
    <w:rsid w:val="003B0F5D"/>
  </w:style>
  <w:style w:type="character" w:styleId="LineNumber">
    <w:name w:val="line number"/>
    <w:basedOn w:val="DefaultParagraphFont"/>
    <w:uiPriority w:val="99"/>
    <w:semiHidden/>
    <w:unhideWhenUsed/>
    <w:rsid w:val="003B0F5D"/>
  </w:style>
  <w:style w:type="character" w:styleId="Hyperlink">
    <w:name w:val="Hyperlink"/>
    <w:basedOn w:val="DefaultParagraphFont"/>
    <w:uiPriority w:val="99"/>
    <w:unhideWhenUsed/>
    <w:rsid w:val="007D1FB4"/>
    <w:rPr>
      <w:color w:val="0563C1" w:themeColor="hyperlink"/>
      <w:u w:val="single"/>
    </w:rPr>
  </w:style>
  <w:style w:type="character" w:styleId="UnresolvedMention">
    <w:name w:val="Unresolved Mention"/>
    <w:basedOn w:val="DefaultParagraphFont"/>
    <w:uiPriority w:val="99"/>
    <w:semiHidden/>
    <w:unhideWhenUsed/>
    <w:rsid w:val="007D1FB4"/>
    <w:rPr>
      <w:color w:val="605E5C"/>
      <w:shd w:val="clear" w:color="auto" w:fill="E1DFDD"/>
    </w:rPr>
  </w:style>
  <w:style w:type="character" w:styleId="Emphasis">
    <w:name w:val="Emphasis"/>
    <w:basedOn w:val="DefaultParagraphFont"/>
    <w:uiPriority w:val="20"/>
    <w:qFormat/>
    <w:rsid w:val="00793D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66987">
      <w:bodyDiv w:val="1"/>
      <w:marLeft w:val="0"/>
      <w:marRight w:val="0"/>
      <w:marTop w:val="0"/>
      <w:marBottom w:val="0"/>
      <w:divBdr>
        <w:top w:val="none" w:sz="0" w:space="0" w:color="auto"/>
        <w:left w:val="none" w:sz="0" w:space="0" w:color="auto"/>
        <w:bottom w:val="none" w:sz="0" w:space="0" w:color="auto"/>
        <w:right w:val="none" w:sz="0" w:space="0" w:color="auto"/>
      </w:divBdr>
    </w:div>
    <w:div w:id="1039092380">
      <w:bodyDiv w:val="1"/>
      <w:marLeft w:val="0"/>
      <w:marRight w:val="0"/>
      <w:marTop w:val="0"/>
      <w:marBottom w:val="0"/>
      <w:divBdr>
        <w:top w:val="none" w:sz="0" w:space="0" w:color="auto"/>
        <w:left w:val="none" w:sz="0" w:space="0" w:color="auto"/>
        <w:bottom w:val="none" w:sz="0" w:space="0" w:color="auto"/>
        <w:right w:val="none" w:sz="0" w:space="0" w:color="auto"/>
      </w:divBdr>
    </w:div>
    <w:div w:id="1224411305">
      <w:bodyDiv w:val="1"/>
      <w:marLeft w:val="0"/>
      <w:marRight w:val="0"/>
      <w:marTop w:val="0"/>
      <w:marBottom w:val="0"/>
      <w:divBdr>
        <w:top w:val="none" w:sz="0" w:space="0" w:color="auto"/>
        <w:left w:val="none" w:sz="0" w:space="0" w:color="auto"/>
        <w:bottom w:val="none" w:sz="0" w:space="0" w:color="auto"/>
        <w:right w:val="none" w:sz="0" w:space="0" w:color="auto"/>
      </w:divBdr>
    </w:div>
    <w:div w:id="133249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607CE-5ACA-4364-86D3-9670E259A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Pages>
  <Words>8462</Words>
  <Characters>52380</Characters>
  <Application>Microsoft Office Word</Application>
  <DocSecurity>0</DocSecurity>
  <Lines>793</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zenbook</dc:creator>
  <cp:keywords/>
  <dc:description/>
  <cp:lastModifiedBy>asus zenbook</cp:lastModifiedBy>
  <cp:revision>21</cp:revision>
  <dcterms:created xsi:type="dcterms:W3CDTF">2025-06-11T22:13:00Z</dcterms:created>
  <dcterms:modified xsi:type="dcterms:W3CDTF">2025-06-20T09:37:00Z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b15914ad-90bd-4072-9dcd-b2d91591c29d</vt:lpwstr>
  </property>
  <property fmtid="{D5CDD505-2E9C-101B-9397-08002B2CF9AE}" pid="3" name="ZOTERO_PREF_1">
    <vt:lpwstr>&lt;data data-version="3" zotero-version="7.0.15"&gt;&lt;session id="Gm150U20"/&gt;&lt;style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