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5B55" w14:textId="77777777" w:rsidR="00583A55" w:rsidRPr="00583A55" w:rsidRDefault="00583A55" w:rsidP="00583A55">
      <w:pPr>
        <w:pStyle w:val="NoSpacing"/>
        <w:spacing w:line="180" w:lineRule="atLeast"/>
        <w:jc w:val="center"/>
        <w:rPr>
          <w:b/>
          <w:bCs/>
          <w:i/>
          <w:iCs/>
          <w:sz w:val="28"/>
          <w:szCs w:val="28"/>
          <w:u w:val="single"/>
        </w:rPr>
      </w:pPr>
      <w:r w:rsidRPr="00583A55">
        <w:rPr>
          <w:b/>
          <w:bCs/>
          <w:i/>
          <w:iCs/>
          <w:sz w:val="28"/>
          <w:szCs w:val="28"/>
          <w:u w:val="single"/>
        </w:rPr>
        <w:t>Original Research Article</w:t>
      </w:r>
    </w:p>
    <w:p w14:paraId="6E8CF29D" w14:textId="77777777" w:rsidR="00D2269F" w:rsidRDefault="00D2269F">
      <w:pPr>
        <w:pStyle w:val="NoSpacing"/>
        <w:spacing w:line="180" w:lineRule="atLeast"/>
        <w:jc w:val="center"/>
        <w:rPr>
          <w:rFonts w:ascii="Times New Roman" w:hAnsi="Times New Roman"/>
          <w:b/>
          <w:sz w:val="28"/>
          <w:szCs w:val="28"/>
        </w:rPr>
      </w:pPr>
    </w:p>
    <w:p w14:paraId="47CDFB8D" w14:textId="0FA57C0D" w:rsidR="00D2269F" w:rsidRDefault="00D2269F">
      <w:pPr>
        <w:pStyle w:val="NoSpacing"/>
        <w:spacing w:line="180" w:lineRule="atLeast"/>
        <w:jc w:val="center"/>
        <w:rPr>
          <w:rFonts w:ascii="Times New Roman" w:hAnsi="Times New Roman"/>
          <w:b/>
          <w:sz w:val="28"/>
          <w:szCs w:val="28"/>
        </w:rPr>
      </w:pPr>
      <w:r w:rsidRPr="007A729D">
        <w:rPr>
          <w:rFonts w:ascii="Times New Roman" w:hAnsi="Times New Roman"/>
          <w:b/>
          <w:sz w:val="28"/>
          <w:szCs w:val="28"/>
          <w:highlight w:val="green"/>
        </w:rPr>
        <w:t xml:space="preserve">Clinical </w:t>
      </w:r>
      <w:r w:rsidR="007A729D" w:rsidRPr="007A729D">
        <w:rPr>
          <w:rFonts w:ascii="Times New Roman" w:hAnsi="Times New Roman"/>
          <w:b/>
          <w:sz w:val="28"/>
          <w:szCs w:val="28"/>
          <w:highlight w:val="green"/>
        </w:rPr>
        <w:t>Characteristics</w:t>
      </w:r>
      <w:r w:rsidRPr="007A729D">
        <w:rPr>
          <w:rFonts w:ascii="Times New Roman" w:hAnsi="Times New Roman"/>
          <w:b/>
          <w:sz w:val="28"/>
          <w:szCs w:val="28"/>
          <w:highlight w:val="green"/>
        </w:rPr>
        <w:t xml:space="preserve"> o</w:t>
      </w:r>
      <w:bookmarkStart w:id="0" w:name="_GoBack"/>
      <w:bookmarkEnd w:id="0"/>
      <w:r w:rsidRPr="007A729D">
        <w:rPr>
          <w:rFonts w:ascii="Times New Roman" w:hAnsi="Times New Roman"/>
          <w:b/>
          <w:sz w:val="28"/>
          <w:szCs w:val="28"/>
          <w:highlight w:val="green"/>
        </w:rPr>
        <w:t>f Acute Heart Failure Patients Admitted to Community-Based Medical College Hospital, Bangladesh</w:t>
      </w:r>
    </w:p>
    <w:p w14:paraId="7A885B70" w14:textId="77777777" w:rsidR="00693086" w:rsidRDefault="00693086" w:rsidP="000F4F13">
      <w:pPr>
        <w:pStyle w:val="NoSpacing"/>
        <w:spacing w:line="180" w:lineRule="atLeast"/>
        <w:rPr>
          <w:rFonts w:ascii="Times New Roman" w:hAnsi="Times New Roman" w:cs="Times New Roman"/>
          <w:sz w:val="24"/>
          <w:szCs w:val="24"/>
        </w:rPr>
      </w:pPr>
    </w:p>
    <w:p w14:paraId="556476B1" w14:textId="77777777" w:rsidR="00D94B5B" w:rsidRDefault="0001054F" w:rsidP="000F4F13">
      <w:pPr>
        <w:pStyle w:val="NoSpacing"/>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674A8068" w14:textId="6E9D3DD3" w:rsidR="0009007B" w:rsidRPr="000F4F13" w:rsidRDefault="0009007B" w:rsidP="000F4F13">
      <w:pPr>
        <w:jc w:val="both"/>
        <w:rPr>
          <w:rStyle w:val="Strong"/>
          <w:rFonts w:eastAsia="SimSun"/>
          <w:b w:val="0"/>
          <w:bCs w:val="0"/>
          <w:i/>
          <w:iCs/>
          <w:sz w:val="20"/>
          <w:szCs w:val="20"/>
          <w:lang w:eastAsia="zh-CN"/>
        </w:rPr>
      </w:pPr>
      <w:r w:rsidRPr="000F4F13">
        <w:rPr>
          <w:rStyle w:val="Strong"/>
          <w:rFonts w:eastAsia="SimSun"/>
          <w:i/>
          <w:iCs/>
          <w:sz w:val="20"/>
          <w:szCs w:val="20"/>
          <w:lang w:eastAsia="zh-CN"/>
        </w:rPr>
        <w:t>Background:</w:t>
      </w:r>
      <w:r w:rsidR="004E7F1C" w:rsidRPr="000F4F13">
        <w:rPr>
          <w:rStyle w:val="Strong"/>
          <w:rFonts w:eastAsia="SimSun"/>
          <w:i/>
          <w:iCs/>
          <w:sz w:val="20"/>
          <w:szCs w:val="20"/>
          <w:lang w:eastAsia="zh-CN"/>
        </w:rPr>
        <w:t xml:space="preserve"> </w:t>
      </w:r>
      <w:r w:rsidRPr="000F4F13">
        <w:rPr>
          <w:rStyle w:val="Strong"/>
          <w:rFonts w:eastAsia="SimSun"/>
          <w:b w:val="0"/>
          <w:bCs w:val="0"/>
          <w:i/>
          <w:iCs/>
          <w:sz w:val="20"/>
          <w:szCs w:val="20"/>
          <w:lang w:eastAsia="zh-CN"/>
        </w:rPr>
        <w:t>Heart failure remains a growing public health challenge in Bangladesh, yet comprehensive data from community-based hospitals are lacking. Understanding local clinical patterns is crucial for improving management strategies.</w:t>
      </w:r>
      <w:r w:rsidR="004E7F1C" w:rsidRPr="000F4F13">
        <w:rPr>
          <w:rStyle w:val="Strong"/>
          <w:rFonts w:eastAsia="SimSun"/>
          <w:b w:val="0"/>
          <w:bCs w:val="0"/>
          <w:i/>
          <w:iCs/>
          <w:sz w:val="20"/>
          <w:szCs w:val="20"/>
          <w:lang w:eastAsia="zh-CN"/>
        </w:rPr>
        <w:t xml:space="preserve"> </w:t>
      </w:r>
      <w:r w:rsidRPr="000F4F13">
        <w:rPr>
          <w:rStyle w:val="Strong"/>
          <w:rFonts w:eastAsia="SimSun"/>
          <w:i/>
          <w:iCs/>
          <w:sz w:val="20"/>
          <w:szCs w:val="20"/>
          <w:lang w:eastAsia="zh-CN"/>
        </w:rPr>
        <w:t>Objective:</w:t>
      </w:r>
      <w:r w:rsidR="004E7F1C" w:rsidRPr="000F4F13">
        <w:rPr>
          <w:rStyle w:val="Strong"/>
          <w:rFonts w:eastAsia="SimSun"/>
          <w:i/>
          <w:iCs/>
          <w:sz w:val="20"/>
          <w:szCs w:val="20"/>
          <w:lang w:eastAsia="zh-CN"/>
        </w:rPr>
        <w:t xml:space="preserve"> </w:t>
      </w:r>
      <w:r w:rsidRPr="000F4F13">
        <w:rPr>
          <w:rStyle w:val="Strong"/>
          <w:rFonts w:eastAsia="SimSun"/>
          <w:b w:val="0"/>
          <w:bCs w:val="0"/>
          <w:i/>
          <w:iCs/>
          <w:sz w:val="20"/>
          <w:szCs w:val="20"/>
          <w:lang w:eastAsia="zh-CN"/>
        </w:rPr>
        <w:t>This study aimed to characterize the clinical presentation of heart failure patients admitted to a tertiary care hospital in Mymensingh, Bangladesh.</w:t>
      </w:r>
      <w:r w:rsidR="004E7F1C" w:rsidRPr="000F4F13">
        <w:rPr>
          <w:rStyle w:val="Strong"/>
          <w:rFonts w:eastAsia="SimSun"/>
          <w:b w:val="0"/>
          <w:bCs w:val="0"/>
          <w:i/>
          <w:iCs/>
          <w:sz w:val="20"/>
          <w:szCs w:val="20"/>
          <w:lang w:eastAsia="zh-CN"/>
        </w:rPr>
        <w:t xml:space="preserve"> </w:t>
      </w:r>
      <w:r w:rsidRPr="000F4F13">
        <w:rPr>
          <w:rStyle w:val="Strong"/>
          <w:rFonts w:eastAsia="SimSun"/>
          <w:i/>
          <w:iCs/>
          <w:sz w:val="20"/>
          <w:szCs w:val="20"/>
          <w:lang w:eastAsia="zh-CN"/>
        </w:rPr>
        <w:t>Methods:</w:t>
      </w:r>
      <w:r w:rsidR="004E7F1C" w:rsidRPr="000F4F13">
        <w:rPr>
          <w:rStyle w:val="Strong"/>
          <w:rFonts w:eastAsia="SimSun"/>
          <w:i/>
          <w:iCs/>
          <w:sz w:val="20"/>
          <w:szCs w:val="20"/>
          <w:lang w:eastAsia="zh-CN"/>
        </w:rPr>
        <w:t xml:space="preserve"> </w:t>
      </w:r>
      <w:r w:rsidRPr="000F4F13">
        <w:rPr>
          <w:rStyle w:val="Strong"/>
          <w:rFonts w:eastAsia="SimSun"/>
          <w:b w:val="0"/>
          <w:bCs w:val="0"/>
          <w:i/>
          <w:iCs/>
          <w:sz w:val="20"/>
          <w:szCs w:val="20"/>
          <w:lang w:eastAsia="zh-CN"/>
        </w:rPr>
        <w:t xml:space="preserve">A prospective cross-sectional study was conducted at </w:t>
      </w:r>
      <w:r w:rsidR="00E11218" w:rsidRPr="000F4F13">
        <w:rPr>
          <w:rStyle w:val="Strong"/>
          <w:rFonts w:eastAsia="SimSun"/>
          <w:b w:val="0"/>
          <w:bCs w:val="0"/>
          <w:i/>
          <w:iCs/>
          <w:sz w:val="20"/>
          <w:szCs w:val="20"/>
          <w:lang w:eastAsia="zh-CN"/>
        </w:rPr>
        <w:t xml:space="preserve">the </w:t>
      </w:r>
      <w:r w:rsidRPr="000F4F13">
        <w:rPr>
          <w:rStyle w:val="Strong"/>
          <w:rFonts w:eastAsia="SimSun"/>
          <w:b w:val="0"/>
          <w:bCs w:val="0"/>
          <w:i/>
          <w:iCs/>
          <w:sz w:val="20"/>
          <w:szCs w:val="20"/>
          <w:lang w:eastAsia="zh-CN"/>
        </w:rPr>
        <w:t>Community-Based Medical College Hospital from January 202</w:t>
      </w:r>
      <w:r w:rsidR="00BC4A33" w:rsidRPr="000F4F13">
        <w:rPr>
          <w:rStyle w:val="Strong"/>
          <w:rFonts w:eastAsia="SimSun"/>
          <w:b w:val="0"/>
          <w:bCs w:val="0"/>
          <w:i/>
          <w:iCs/>
          <w:sz w:val="20"/>
          <w:szCs w:val="20"/>
          <w:lang w:eastAsia="zh-CN"/>
        </w:rPr>
        <w:t>3</w:t>
      </w:r>
      <w:r w:rsidRPr="000F4F13">
        <w:rPr>
          <w:rStyle w:val="Strong"/>
          <w:rFonts w:eastAsia="SimSun"/>
          <w:b w:val="0"/>
          <w:bCs w:val="0"/>
          <w:i/>
          <w:iCs/>
          <w:sz w:val="20"/>
          <w:szCs w:val="20"/>
          <w:lang w:eastAsia="zh-CN"/>
        </w:rPr>
        <w:t xml:space="preserve"> to December 202</w:t>
      </w:r>
      <w:r w:rsidR="00BC4A33" w:rsidRPr="000F4F13">
        <w:rPr>
          <w:rStyle w:val="Strong"/>
          <w:rFonts w:eastAsia="SimSun"/>
          <w:b w:val="0"/>
          <w:bCs w:val="0"/>
          <w:i/>
          <w:iCs/>
          <w:sz w:val="20"/>
          <w:szCs w:val="20"/>
          <w:lang w:eastAsia="zh-CN"/>
        </w:rPr>
        <w:t>4</w:t>
      </w:r>
      <w:r w:rsidRPr="000F4F13">
        <w:rPr>
          <w:rStyle w:val="Strong"/>
          <w:rFonts w:eastAsia="SimSun"/>
          <w:b w:val="0"/>
          <w:bCs w:val="0"/>
          <w:i/>
          <w:iCs/>
          <w:sz w:val="20"/>
          <w:szCs w:val="20"/>
          <w:lang w:eastAsia="zh-CN"/>
        </w:rPr>
        <w:t>. We enrolled 113 consecutive heart failure patients through purposive sampling. Data collection included detailed history, physical examination, and echocardiographic evaluation. Analysis was performed using MS Office tools.</w:t>
      </w:r>
      <w:r w:rsidR="004E7F1C" w:rsidRPr="000F4F13">
        <w:rPr>
          <w:rStyle w:val="Strong"/>
          <w:rFonts w:eastAsia="SimSun"/>
          <w:i/>
          <w:iCs/>
          <w:sz w:val="20"/>
          <w:szCs w:val="20"/>
          <w:lang w:eastAsia="zh-CN"/>
        </w:rPr>
        <w:t xml:space="preserve"> </w:t>
      </w:r>
      <w:r w:rsidRPr="000F4F13">
        <w:rPr>
          <w:rStyle w:val="Strong"/>
          <w:rFonts w:eastAsia="SimSun"/>
          <w:i/>
          <w:iCs/>
          <w:sz w:val="20"/>
          <w:szCs w:val="20"/>
          <w:lang w:eastAsia="zh-CN"/>
        </w:rPr>
        <w:t>Results:</w:t>
      </w:r>
      <w:r w:rsidR="004E7F1C" w:rsidRPr="000F4F13">
        <w:rPr>
          <w:rStyle w:val="Strong"/>
          <w:rFonts w:eastAsia="SimSun"/>
          <w:i/>
          <w:iCs/>
          <w:sz w:val="20"/>
          <w:szCs w:val="20"/>
          <w:lang w:eastAsia="zh-CN"/>
        </w:rPr>
        <w:t xml:space="preserve"> </w:t>
      </w:r>
      <w:r w:rsidRPr="000F4F13">
        <w:rPr>
          <w:rStyle w:val="Strong"/>
          <w:rFonts w:eastAsia="SimSun"/>
          <w:b w:val="0"/>
          <w:bCs w:val="0"/>
          <w:i/>
          <w:iCs/>
          <w:sz w:val="20"/>
          <w:szCs w:val="20"/>
          <w:lang w:eastAsia="zh-CN"/>
        </w:rPr>
        <w:t xml:space="preserve">The cohort had </w:t>
      </w:r>
      <w:r w:rsidR="00E11218" w:rsidRPr="000F4F13">
        <w:rPr>
          <w:rStyle w:val="Strong"/>
          <w:rFonts w:eastAsia="SimSun"/>
          <w:b w:val="0"/>
          <w:bCs w:val="0"/>
          <w:i/>
          <w:iCs/>
          <w:sz w:val="20"/>
          <w:szCs w:val="20"/>
          <w:lang w:eastAsia="zh-CN"/>
        </w:rPr>
        <w:t xml:space="preserve">a </w:t>
      </w:r>
      <w:r w:rsidRPr="000F4F13">
        <w:rPr>
          <w:rStyle w:val="Strong"/>
          <w:rFonts w:eastAsia="SimSun"/>
          <w:b w:val="0"/>
          <w:bCs w:val="0"/>
          <w:i/>
          <w:iCs/>
          <w:sz w:val="20"/>
          <w:szCs w:val="20"/>
          <w:lang w:eastAsia="zh-CN"/>
        </w:rPr>
        <w:t xml:space="preserve">mean age </w:t>
      </w:r>
      <w:r w:rsidR="00E11218" w:rsidRPr="000F4F13">
        <w:rPr>
          <w:rStyle w:val="Strong"/>
          <w:rFonts w:eastAsia="SimSun"/>
          <w:b w:val="0"/>
          <w:bCs w:val="0"/>
          <w:i/>
          <w:iCs/>
          <w:sz w:val="20"/>
          <w:szCs w:val="20"/>
          <w:lang w:eastAsia="zh-CN"/>
        </w:rPr>
        <w:t xml:space="preserve">of </w:t>
      </w:r>
      <w:r w:rsidRPr="000F4F13">
        <w:rPr>
          <w:rStyle w:val="Strong"/>
          <w:rFonts w:eastAsia="SimSun"/>
          <w:b w:val="0"/>
          <w:bCs w:val="0"/>
          <w:i/>
          <w:iCs/>
          <w:sz w:val="20"/>
          <w:szCs w:val="20"/>
          <w:lang w:eastAsia="zh-CN"/>
        </w:rPr>
        <w:t xml:space="preserve">62.4±11.3 years with male predominance (75.2%). Most patients (81.4%) had reduced ejection fraction (≤40%). Common presentations included dyspnea (96.5%), orthopnea (86.7%), and basal crepitations (92.9%). Frequent comorbidities were diabetes (72.6%), hypertension (60.2%), and dyslipidemia (66.4%). Ischemic cardiomyopathy (51.3%) and hypertensive heart disease (60.2%) were </w:t>
      </w:r>
      <w:r w:rsidR="00705926" w:rsidRPr="000F4F13">
        <w:rPr>
          <w:rStyle w:val="Strong"/>
          <w:rFonts w:eastAsia="SimSun"/>
          <w:b w:val="0"/>
          <w:bCs w:val="0"/>
          <w:i/>
          <w:iCs/>
          <w:sz w:val="20"/>
          <w:szCs w:val="20"/>
          <w:lang w:eastAsia="zh-CN"/>
        </w:rPr>
        <w:t xml:space="preserve">the </w:t>
      </w:r>
      <w:r w:rsidRPr="000F4F13">
        <w:rPr>
          <w:rStyle w:val="Strong"/>
          <w:rFonts w:eastAsia="SimSun"/>
          <w:b w:val="0"/>
          <w:bCs w:val="0"/>
          <w:i/>
          <w:iCs/>
          <w:sz w:val="20"/>
          <w:szCs w:val="20"/>
          <w:lang w:eastAsia="zh-CN"/>
        </w:rPr>
        <w:t xml:space="preserve">leading etiologies. Physical signs included leg edema (83.2%) and elevated JVP (59.3%). Thyroid dysfunction was present in 20.4% </w:t>
      </w:r>
      <w:r w:rsidR="00705926" w:rsidRPr="000F4F13">
        <w:rPr>
          <w:rStyle w:val="Strong"/>
          <w:rFonts w:eastAsia="SimSun"/>
          <w:b w:val="0"/>
          <w:bCs w:val="0"/>
          <w:i/>
          <w:iCs/>
          <w:sz w:val="20"/>
          <w:szCs w:val="20"/>
          <w:lang w:eastAsia="zh-CN"/>
        </w:rPr>
        <w:t xml:space="preserve">of </w:t>
      </w:r>
      <w:r w:rsidRPr="000F4F13">
        <w:rPr>
          <w:rStyle w:val="Strong"/>
          <w:rFonts w:eastAsia="SimSun"/>
          <w:b w:val="0"/>
          <w:bCs w:val="0"/>
          <w:i/>
          <w:iCs/>
          <w:sz w:val="20"/>
          <w:szCs w:val="20"/>
          <w:lang w:eastAsia="zh-CN"/>
        </w:rPr>
        <w:t>cases.</w:t>
      </w:r>
      <w:r w:rsidR="004E7F1C" w:rsidRPr="000F4F13">
        <w:rPr>
          <w:rStyle w:val="Strong"/>
          <w:rFonts w:eastAsia="SimSun"/>
          <w:b w:val="0"/>
          <w:bCs w:val="0"/>
          <w:i/>
          <w:iCs/>
          <w:sz w:val="20"/>
          <w:szCs w:val="20"/>
          <w:lang w:eastAsia="zh-CN"/>
        </w:rPr>
        <w:t xml:space="preserve"> </w:t>
      </w:r>
      <w:r w:rsidRPr="000F4F13">
        <w:rPr>
          <w:rStyle w:val="Strong"/>
          <w:rFonts w:eastAsia="SimSun"/>
          <w:i/>
          <w:iCs/>
          <w:sz w:val="20"/>
          <w:szCs w:val="20"/>
          <w:lang w:eastAsia="zh-CN"/>
        </w:rPr>
        <w:t>Conclusion:</w:t>
      </w:r>
      <w:r w:rsidR="004E7F1C" w:rsidRPr="000F4F13">
        <w:rPr>
          <w:rStyle w:val="Strong"/>
          <w:rFonts w:eastAsia="SimSun"/>
          <w:i/>
          <w:iCs/>
          <w:sz w:val="20"/>
          <w:szCs w:val="20"/>
          <w:lang w:eastAsia="zh-CN"/>
        </w:rPr>
        <w:t xml:space="preserve"> </w:t>
      </w:r>
      <w:r w:rsidRPr="000F4F13">
        <w:rPr>
          <w:rStyle w:val="Strong"/>
          <w:rFonts w:eastAsia="SimSun"/>
          <w:b w:val="0"/>
          <w:bCs w:val="0"/>
          <w:i/>
          <w:iCs/>
          <w:sz w:val="20"/>
          <w:szCs w:val="20"/>
          <w:lang w:eastAsia="zh-CN"/>
        </w:rPr>
        <w:t xml:space="preserve">This Bangladeshi heart failure cohort predominantly showed reduced ejection fraction with significant cardiometabolic comorbidities. The findings emphasize the need for focused prevention and management of ischemic and hypertensive heart disease in similar settings.  </w:t>
      </w:r>
    </w:p>
    <w:p w14:paraId="302CF71D" w14:textId="77777777" w:rsidR="0009007B" w:rsidRPr="000F4F13" w:rsidRDefault="0009007B" w:rsidP="000F4F13">
      <w:pPr>
        <w:jc w:val="both"/>
        <w:rPr>
          <w:rStyle w:val="Strong"/>
          <w:rFonts w:eastAsia="SimSun"/>
          <w:i/>
          <w:iCs/>
          <w:sz w:val="20"/>
          <w:szCs w:val="20"/>
          <w:lang w:eastAsia="zh-CN"/>
        </w:rPr>
      </w:pPr>
    </w:p>
    <w:p w14:paraId="4810EB80" w14:textId="7786C9C7" w:rsidR="0009007B" w:rsidRPr="00BC4A33" w:rsidRDefault="0009007B" w:rsidP="000F4F13">
      <w:pPr>
        <w:jc w:val="both"/>
        <w:rPr>
          <w:rStyle w:val="Strong"/>
          <w:rFonts w:eastAsia="SimSun"/>
          <w:b w:val="0"/>
          <w:bCs w:val="0"/>
          <w:sz w:val="20"/>
          <w:szCs w:val="20"/>
          <w:lang w:eastAsia="zh-CN"/>
        </w:rPr>
      </w:pPr>
      <w:r w:rsidRPr="000F4F13">
        <w:rPr>
          <w:rStyle w:val="Strong"/>
          <w:rFonts w:eastAsia="SimSun"/>
          <w:i/>
          <w:iCs/>
          <w:sz w:val="20"/>
          <w:szCs w:val="20"/>
          <w:lang w:eastAsia="zh-CN"/>
        </w:rPr>
        <w:t>Keywords:</w:t>
      </w:r>
      <w:r w:rsidR="004E7F1C" w:rsidRPr="000F4F13">
        <w:rPr>
          <w:rStyle w:val="Strong"/>
          <w:rFonts w:eastAsia="SimSun"/>
          <w:i/>
          <w:iCs/>
          <w:sz w:val="20"/>
          <w:szCs w:val="20"/>
          <w:lang w:eastAsia="zh-CN"/>
        </w:rPr>
        <w:t xml:space="preserve"> </w:t>
      </w:r>
      <w:r w:rsidR="004E7F1C" w:rsidRPr="000F4F13">
        <w:rPr>
          <w:rStyle w:val="Strong"/>
          <w:rFonts w:eastAsia="SimSun"/>
          <w:b w:val="0"/>
          <w:bCs w:val="0"/>
          <w:i/>
          <w:iCs/>
          <w:sz w:val="20"/>
          <w:szCs w:val="20"/>
          <w:lang w:eastAsia="zh-CN"/>
        </w:rPr>
        <w:t>Bangladesh, C</w:t>
      </w:r>
      <w:r w:rsidRPr="000F4F13">
        <w:rPr>
          <w:rStyle w:val="Strong"/>
          <w:rFonts w:eastAsia="SimSun"/>
          <w:b w:val="0"/>
          <w:bCs w:val="0"/>
          <w:i/>
          <w:iCs/>
          <w:sz w:val="20"/>
          <w:szCs w:val="20"/>
          <w:lang w:eastAsia="zh-CN"/>
        </w:rPr>
        <w:t xml:space="preserve">linical profile, </w:t>
      </w:r>
      <w:r w:rsidR="004E7F1C" w:rsidRPr="000F4F13">
        <w:rPr>
          <w:rStyle w:val="Strong"/>
          <w:rFonts w:eastAsia="SimSun"/>
          <w:b w:val="0"/>
          <w:bCs w:val="0"/>
          <w:i/>
          <w:iCs/>
          <w:sz w:val="20"/>
          <w:szCs w:val="20"/>
          <w:lang w:eastAsia="zh-CN"/>
        </w:rPr>
        <w:t>C</w:t>
      </w:r>
      <w:r w:rsidRPr="000F4F13">
        <w:rPr>
          <w:rStyle w:val="Strong"/>
          <w:rFonts w:eastAsia="SimSun"/>
          <w:b w:val="0"/>
          <w:bCs w:val="0"/>
          <w:i/>
          <w:iCs/>
          <w:sz w:val="20"/>
          <w:szCs w:val="20"/>
          <w:lang w:eastAsia="zh-CN"/>
        </w:rPr>
        <w:t xml:space="preserve">ommunity hospital, </w:t>
      </w:r>
      <w:r w:rsidR="004E7F1C" w:rsidRPr="000F4F13">
        <w:rPr>
          <w:rStyle w:val="Strong"/>
          <w:rFonts w:eastAsia="SimSun"/>
          <w:b w:val="0"/>
          <w:bCs w:val="0"/>
          <w:i/>
          <w:iCs/>
          <w:sz w:val="20"/>
          <w:szCs w:val="20"/>
          <w:lang w:eastAsia="zh-CN"/>
        </w:rPr>
        <w:t>Heart failure, P</w:t>
      </w:r>
      <w:r w:rsidRPr="000F4F13">
        <w:rPr>
          <w:rStyle w:val="Strong"/>
          <w:rFonts w:eastAsia="SimSun"/>
          <w:b w:val="0"/>
          <w:bCs w:val="0"/>
          <w:i/>
          <w:iCs/>
          <w:sz w:val="20"/>
          <w:szCs w:val="20"/>
          <w:lang w:eastAsia="zh-CN"/>
        </w:rPr>
        <w:t>rospective study</w:t>
      </w:r>
      <w:r w:rsidRPr="00BC4A33">
        <w:rPr>
          <w:rStyle w:val="Strong"/>
          <w:rFonts w:eastAsia="SimSun"/>
          <w:b w:val="0"/>
          <w:bCs w:val="0"/>
          <w:sz w:val="20"/>
          <w:szCs w:val="20"/>
          <w:lang w:eastAsia="zh-CN"/>
        </w:rPr>
        <w:t xml:space="preserve">  </w:t>
      </w:r>
    </w:p>
    <w:p w14:paraId="4C2770C8" w14:textId="77777777" w:rsidR="0009007B" w:rsidRPr="00BC4A33" w:rsidRDefault="0009007B" w:rsidP="00BC4A33">
      <w:pPr>
        <w:spacing w:line="276" w:lineRule="auto"/>
        <w:jc w:val="both"/>
        <w:rPr>
          <w:rStyle w:val="Strong"/>
          <w:rFonts w:eastAsia="SimSun"/>
          <w:sz w:val="20"/>
          <w:szCs w:val="20"/>
          <w:lang w:eastAsia="zh-CN"/>
        </w:rPr>
      </w:pPr>
    </w:p>
    <w:p w14:paraId="71C84B77" w14:textId="77777777" w:rsidR="00D94B5B" w:rsidRPr="00BC4A33" w:rsidRDefault="00D94B5B" w:rsidP="00BC4A33">
      <w:pPr>
        <w:pStyle w:val="NoSpacing"/>
        <w:spacing w:line="276" w:lineRule="auto"/>
        <w:jc w:val="both"/>
        <w:rPr>
          <w:rFonts w:ascii="Times New Roman" w:hAnsi="Times New Roman" w:cs="Times New Roman"/>
          <w:iCs/>
          <w:sz w:val="20"/>
          <w:szCs w:val="20"/>
        </w:rPr>
      </w:pPr>
    </w:p>
    <w:p w14:paraId="327D827E" w14:textId="77777777" w:rsidR="00F60535" w:rsidRPr="00BC4A33" w:rsidRDefault="0001054F"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INTRODUCTION</w:t>
      </w:r>
    </w:p>
    <w:p w14:paraId="5A896872" w14:textId="63603BDD" w:rsidR="007E4B87" w:rsidRPr="00BC4A33" w:rsidRDefault="0009007B" w:rsidP="00BC4A33">
      <w:pPr>
        <w:pStyle w:val="NoSpacing"/>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Heart failure (HF) represents a major global health burden, affecting approximately 64 million people worldwide, with a particularly high prevalence in low- and middle-income countries (LMICs) like Bangladesh [1]. The condition is characterized by high morbidity, mortality, and healthcare costs, making it a critical public health challenge [2,3]. In Bangladesh, the rising prevalence of cardiovascular risk factors, including hypertension, diabetes, and ischemic heart disease, has contributed to an increasing incidence of HF, yet data on its clinical presentation in community-based hospital settings remain limited [4,5].</w:t>
      </w:r>
      <w:r w:rsidR="00F60535" w:rsidRPr="00BC4A33">
        <w:rPr>
          <w:rFonts w:ascii="Times New Roman" w:hAnsi="Times New Roman" w:cs="Times New Roman"/>
          <w:sz w:val="20"/>
          <w:szCs w:val="20"/>
        </w:rPr>
        <w:t xml:space="preserve"> </w:t>
      </w:r>
      <w:r w:rsidRPr="00BC4A33">
        <w:rPr>
          <w:rFonts w:ascii="Times New Roman" w:hAnsi="Times New Roman" w:cs="Times New Roman"/>
          <w:sz w:val="20"/>
          <w:szCs w:val="20"/>
        </w:rPr>
        <w:t>The clinical presentation of HF varies significantly across different populations and healthcare settings. While international guidelines provide standardized diagnostic and management approaches, regional variations in etiology, comorbidities, and healthcare access necessitate localized data for optimal patient care [6,7]. For instance, studies from South Asia have highlighted a higher burden of hypertensive and ischemic heart disease as underlying causes of HF compared to Western populations, where non-ischemic cardiomyopathies are more prevalent [8,9]. Additionally, socioeconomic factors, late presentation, and limited access to advanced therapies further complicate HF management in resource-limited settings like Bangladesh [10]. Community-based hospitals in Bangladesh serve as primary referral centers for HF patients, yet there is a paucity of prospective studies describing their clinical profiles. Most existing data come from tertiary care centers in urban areas, which may not reflect the realities of smaller hospitals serving rural populations [11,12]. Understanding the demographic characteristics, symptom patterns, and etiological spectrum of HF in these settings is crucial for developing tailored prevention and treatment strategies [13].</w:t>
      </w:r>
      <w:r w:rsidR="00F60535" w:rsidRPr="00BC4A33">
        <w:rPr>
          <w:rFonts w:ascii="Times New Roman" w:hAnsi="Times New Roman" w:cs="Times New Roman"/>
          <w:sz w:val="20"/>
          <w:szCs w:val="20"/>
        </w:rPr>
        <w:t xml:space="preserve"> </w:t>
      </w:r>
      <w:r w:rsidRPr="00BC4A33">
        <w:rPr>
          <w:rFonts w:ascii="Times New Roman" w:hAnsi="Times New Roman" w:cs="Times New Roman"/>
          <w:sz w:val="20"/>
          <w:szCs w:val="20"/>
        </w:rPr>
        <w:t xml:space="preserve">This study aimed to prospectively evaluate the clinical presentation of HF patients admitted to Community-Based Medical College Hospital, a tertiary care facility in Mymensingh, Bangladesh. </w:t>
      </w:r>
      <w:r w:rsidR="00833166" w:rsidRPr="00BC4A33">
        <w:rPr>
          <w:rFonts w:ascii="Times New Roman" w:hAnsi="Times New Roman" w:cs="Times New Roman"/>
          <w:sz w:val="20"/>
          <w:szCs w:val="20"/>
        </w:rPr>
        <w:t>Specifically, this study aimed to describe the demographic and clinical characteristics of heart failure patients, identify common comorbidities and underlying etiological factors, and document the prevalence of key symptoms and signs at presentation among patients admitted to the study facility.</w:t>
      </w:r>
      <w:r w:rsidR="00F60535" w:rsidRPr="00BC4A33">
        <w:rPr>
          <w:rFonts w:ascii="Times New Roman" w:hAnsi="Times New Roman" w:cs="Times New Roman"/>
          <w:sz w:val="20"/>
          <w:szCs w:val="20"/>
        </w:rPr>
        <w:t xml:space="preserve"> </w:t>
      </w:r>
      <w:r w:rsidRPr="00BC4A33">
        <w:rPr>
          <w:rFonts w:ascii="Times New Roman" w:hAnsi="Times New Roman" w:cs="Times New Roman"/>
          <w:sz w:val="20"/>
          <w:szCs w:val="20"/>
        </w:rPr>
        <w:t xml:space="preserve">By addressing these objectives, our findings will contribute to the limited body of literature on HF in Bangladeshi community hospitals and inform local healthcare policies. Furthermore, the results may help clinicians in similar settings recognize typical HF presentations early, initiate appropriate management, and reduce preventable complications [14,15].  </w:t>
      </w:r>
    </w:p>
    <w:p w14:paraId="688BFBF0" w14:textId="77777777" w:rsidR="00F17703" w:rsidRPr="00BC4A33" w:rsidRDefault="00F17703" w:rsidP="00BC4A33">
      <w:pPr>
        <w:pStyle w:val="NoSpacing"/>
        <w:spacing w:line="276" w:lineRule="auto"/>
        <w:jc w:val="both"/>
        <w:rPr>
          <w:rFonts w:ascii="Times New Roman" w:hAnsi="Times New Roman" w:cs="Times New Roman"/>
          <w:b/>
          <w:bCs/>
          <w:sz w:val="20"/>
          <w:szCs w:val="20"/>
        </w:rPr>
      </w:pPr>
    </w:p>
    <w:p w14:paraId="5F9829CB" w14:textId="77777777" w:rsidR="00F17703" w:rsidRPr="00BC4A33" w:rsidRDefault="00723F69"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METHODOLOGY</w:t>
      </w:r>
    </w:p>
    <w:p w14:paraId="62BF63B0" w14:textId="15E485F5" w:rsidR="00F17703" w:rsidRPr="00BC4A33" w:rsidRDefault="00833166" w:rsidP="00BC4A33">
      <w:pPr>
        <w:pStyle w:val="NoSpacing"/>
        <w:spacing w:line="276" w:lineRule="auto"/>
        <w:jc w:val="both"/>
        <w:rPr>
          <w:rStyle w:val="Strong"/>
          <w:rFonts w:ascii="Times New Roman" w:hAnsi="Times New Roman" w:cs="Times New Roman"/>
          <w:b w:val="0"/>
          <w:bCs w:val="0"/>
          <w:sz w:val="20"/>
          <w:szCs w:val="20"/>
        </w:rPr>
      </w:pPr>
      <w:r w:rsidRPr="00BC4A33">
        <w:rPr>
          <w:rStyle w:val="Strong"/>
          <w:rFonts w:ascii="Times New Roman" w:hAnsi="Times New Roman" w:cs="Times New Roman"/>
          <w:b w:val="0"/>
          <w:bCs w:val="0"/>
          <w:sz w:val="20"/>
          <w:szCs w:val="20"/>
        </w:rPr>
        <w:lastRenderedPageBreak/>
        <w:t xml:space="preserve">This prospective cross-sectional study was conducted at Community-Based Medical College Hospital, Mymensingh, Bangladesh, from January 2022 to December 2023. We purposively recruited 113 consecutive adult patients (age ≥18 years) admitted with a primary diagnosis of heart failure, as defined by the 2021 ESC Guidelines [16]. Data were collected through face-to-face interviews using a structured questionnaire, comprehensive physical examinations, and review of medical records. Trained cardiologists performed echocardiographic assessment to determine ejection fraction and cardiac structural abnormalities. Demographic variables (age, sex), clinical parameters (vital signs, NYHA functional class), comorbidities (hypertension, diabetes), and physical findings (edema, jugular venous distension) were systematically recorded. Laboratory investigations included complete blood count, renal function tests, and thyroid profile. Data analysis was performed using Microsoft Excel 2019, with categorical variables presented as frequencies/percentages and continuous variables as </w:t>
      </w:r>
      <w:proofErr w:type="spellStart"/>
      <w:r w:rsidRPr="00BC4A33">
        <w:rPr>
          <w:rStyle w:val="Strong"/>
          <w:rFonts w:ascii="Times New Roman" w:hAnsi="Times New Roman" w:cs="Times New Roman"/>
          <w:b w:val="0"/>
          <w:bCs w:val="0"/>
          <w:sz w:val="20"/>
          <w:szCs w:val="20"/>
        </w:rPr>
        <w:t>mean±SD</w:t>
      </w:r>
      <w:proofErr w:type="spellEnd"/>
      <w:r w:rsidRPr="00BC4A33">
        <w:rPr>
          <w:rStyle w:val="Strong"/>
          <w:rFonts w:ascii="Times New Roman" w:hAnsi="Times New Roman" w:cs="Times New Roman"/>
          <w:b w:val="0"/>
          <w:bCs w:val="0"/>
          <w:sz w:val="20"/>
          <w:szCs w:val="20"/>
        </w:rPr>
        <w:t xml:space="preserve">. </w:t>
      </w:r>
    </w:p>
    <w:p w14:paraId="72441CAC" w14:textId="77777777" w:rsidR="00CE6E53" w:rsidRPr="00BC4A33" w:rsidRDefault="00CE6E53" w:rsidP="00BC4A33">
      <w:pPr>
        <w:pStyle w:val="NoSpacing"/>
        <w:spacing w:line="276" w:lineRule="auto"/>
        <w:jc w:val="both"/>
        <w:rPr>
          <w:rFonts w:ascii="Times New Roman" w:hAnsi="Times New Roman" w:cs="Times New Roman"/>
          <w:b/>
          <w:bCs/>
          <w:sz w:val="20"/>
          <w:szCs w:val="20"/>
        </w:rPr>
      </w:pPr>
    </w:p>
    <w:p w14:paraId="444A0EBA" w14:textId="6B8830A7" w:rsidR="00D94B5B" w:rsidRPr="00BC4A33" w:rsidRDefault="0001054F"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RESULT</w:t>
      </w:r>
    </w:p>
    <w:p w14:paraId="621F716E" w14:textId="7DBDFA0F" w:rsidR="00833166" w:rsidRPr="00BC4A33" w:rsidRDefault="00833166" w:rsidP="00BC4A33">
      <w:pPr>
        <w:pStyle w:val="NoSpacing"/>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The study included 113 heart failure patients with a mean age of 62.4 ± 11.3 years, showing a male predominance (75.2%). The majority of patients (81.4%) presented with reduced ejection fraction (≤40%), while 18.6% had preserved ejection fraction (&gt;40%).</w:t>
      </w:r>
      <w:r w:rsidR="00F60535" w:rsidRPr="00BC4A33">
        <w:rPr>
          <w:rFonts w:ascii="Times New Roman" w:hAnsi="Times New Roman" w:cs="Times New Roman"/>
          <w:sz w:val="20"/>
          <w:szCs w:val="20"/>
        </w:rPr>
        <w:t xml:space="preserve"> </w:t>
      </w:r>
      <w:r w:rsidRPr="00BC4A33">
        <w:rPr>
          <w:rFonts w:ascii="Times New Roman" w:hAnsi="Times New Roman" w:cs="Times New Roman"/>
          <w:sz w:val="20"/>
          <w:szCs w:val="20"/>
        </w:rPr>
        <w:t>Cardiovascular symptoms were nearly universal, with shortness of breath reported by 96.5% of participants. Orthopnea affected 86.7% of cases, while paroxysmal nocturnal dyspnea was present in 77.0%. Physical examination revealed bilateral basal crepitations in 92.9% of patients, with peripheral edema observed in 83.2% and elevated jugular venous pressure in 59.3%.</w:t>
      </w:r>
      <w:r w:rsidR="00F60535" w:rsidRPr="00BC4A33">
        <w:rPr>
          <w:rFonts w:ascii="Times New Roman" w:hAnsi="Times New Roman" w:cs="Times New Roman"/>
          <w:sz w:val="20"/>
          <w:szCs w:val="20"/>
        </w:rPr>
        <w:t xml:space="preserve"> </w:t>
      </w:r>
      <w:r w:rsidRPr="00BC4A33">
        <w:rPr>
          <w:rFonts w:ascii="Times New Roman" w:hAnsi="Times New Roman" w:cs="Times New Roman"/>
          <w:sz w:val="20"/>
          <w:szCs w:val="20"/>
        </w:rPr>
        <w:t>Comorbidities were highly prevalent, including diabetes mellitus (72.6%), hypertension (60.2%), and dyslipidemia (66.4%). Atrial fibrillation was documented in 43.4% of cases. The primary etiologies were ischemic cardiomyopathy (51.3%) and hypertensive heart disease (60.2%). Thyroid dysfunction was present in 20.4% of patients, with hypothyroidism (12.4%) being more common than hyperthyroidism (8.0%).</w:t>
      </w:r>
      <w:r w:rsidR="00F17703" w:rsidRPr="00BC4A33">
        <w:rPr>
          <w:rFonts w:ascii="Times New Roman" w:hAnsi="Times New Roman" w:cs="Times New Roman"/>
          <w:sz w:val="20"/>
          <w:szCs w:val="20"/>
        </w:rPr>
        <w:t xml:space="preserve"> </w:t>
      </w:r>
      <w:r w:rsidRPr="00BC4A33">
        <w:rPr>
          <w:rFonts w:ascii="Times New Roman" w:hAnsi="Times New Roman" w:cs="Times New Roman"/>
          <w:sz w:val="20"/>
          <w:szCs w:val="20"/>
        </w:rPr>
        <w:t xml:space="preserve">Hemodynamic parameters showed that 78.8% of patients had systolic blood pressure below 116 mmHg, while 84.1% had diastolic blood pressure under 75.77 mmHg. Tachycardia (heart rate ≥85 bpm) was observed in 69.9% of the cohort. These findings demonstrate a characteristic pattern of congestive heart failure with significant metabolic comorbidities in this Bangladeshi population.  </w:t>
      </w:r>
    </w:p>
    <w:p w14:paraId="63D6386B" w14:textId="77777777" w:rsidR="00912275" w:rsidRPr="00BC4A33" w:rsidRDefault="00912275" w:rsidP="00BC4A33">
      <w:pPr>
        <w:pStyle w:val="NoSpacing"/>
        <w:spacing w:line="276" w:lineRule="auto"/>
        <w:jc w:val="both"/>
        <w:rPr>
          <w:rFonts w:ascii="Times New Roman" w:hAnsi="Times New Roman" w:cs="Times New Roman"/>
          <w:sz w:val="20"/>
          <w:szCs w:val="20"/>
        </w:rPr>
      </w:pPr>
    </w:p>
    <w:p w14:paraId="766D3C1B" w14:textId="687D2C3D" w:rsidR="00833166" w:rsidRPr="00BC4A33" w:rsidRDefault="004E7F1C" w:rsidP="00BC4A33">
      <w:pPr>
        <w:pStyle w:val="NoSpacing"/>
        <w:spacing w:line="276" w:lineRule="auto"/>
        <w:jc w:val="center"/>
        <w:rPr>
          <w:rFonts w:ascii="Times New Roman" w:hAnsi="Times New Roman" w:cs="Times New Roman"/>
          <w:b/>
          <w:bCs/>
          <w:sz w:val="20"/>
          <w:szCs w:val="20"/>
        </w:rPr>
      </w:pPr>
      <w:r w:rsidRPr="00BC4A33">
        <w:rPr>
          <w:rFonts w:ascii="Times New Roman" w:hAnsi="Times New Roman" w:cs="Times New Roman"/>
          <w:noProof/>
          <w:sz w:val="20"/>
          <w:szCs w:val="20"/>
        </w:rPr>
        <w:drawing>
          <wp:inline distT="0" distB="0" distL="0" distR="0" wp14:anchorId="25171C65" wp14:editId="22396721">
            <wp:extent cx="2596662" cy="2039620"/>
            <wp:effectExtent l="0" t="0" r="13335" b="17780"/>
            <wp:docPr id="542714301" name="Chart 1">
              <a:extLst xmlns:a="http://schemas.openxmlformats.org/drawingml/2006/main">
                <a:ext uri="{FF2B5EF4-FFF2-40B4-BE49-F238E27FC236}">
                  <a16:creationId xmlns:a16="http://schemas.microsoft.com/office/drawing/2014/main" id="{3AE7CE94-5ACB-9571-0907-10CF8F0F16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0B8E7B" w14:textId="0F362586" w:rsidR="00AC2880" w:rsidRPr="00BC4A33" w:rsidRDefault="00AC2880" w:rsidP="00BC4A33">
      <w:pPr>
        <w:pStyle w:val="NoSpacing"/>
        <w:spacing w:line="276" w:lineRule="auto"/>
        <w:jc w:val="center"/>
        <w:rPr>
          <w:rFonts w:ascii="Times New Roman" w:hAnsi="Times New Roman" w:cs="Times New Roman"/>
          <w:i/>
          <w:iCs/>
          <w:color w:val="4472C4" w:themeColor="accent1"/>
          <w:sz w:val="20"/>
          <w:szCs w:val="20"/>
        </w:rPr>
      </w:pPr>
      <w:bookmarkStart w:id="1" w:name="_Hlk198007406"/>
      <w:r w:rsidRPr="00BC4A33">
        <w:rPr>
          <w:rFonts w:ascii="Times New Roman" w:hAnsi="Times New Roman" w:cs="Times New Roman"/>
          <w:b/>
          <w:bCs/>
          <w:i/>
          <w:iCs/>
          <w:color w:val="4472C4" w:themeColor="accent1"/>
          <w:sz w:val="20"/>
          <w:szCs w:val="20"/>
        </w:rPr>
        <w:t xml:space="preserve">Figure 1: </w:t>
      </w:r>
      <w:r w:rsidRPr="00BC4A33">
        <w:rPr>
          <w:rFonts w:ascii="Times New Roman" w:hAnsi="Times New Roman" w:cs="Times New Roman"/>
          <w:i/>
          <w:iCs/>
          <w:color w:val="4472C4" w:themeColor="accent1"/>
          <w:sz w:val="20"/>
          <w:szCs w:val="20"/>
        </w:rPr>
        <w:t>Distribution of age (N=113)</w:t>
      </w:r>
      <w:bookmarkEnd w:id="1"/>
    </w:p>
    <w:p w14:paraId="78789D36" w14:textId="77777777" w:rsidR="00AC2880" w:rsidRPr="00BC4A33" w:rsidRDefault="00AC2880" w:rsidP="00BC4A33">
      <w:pPr>
        <w:pStyle w:val="NoSpacing"/>
        <w:spacing w:line="276" w:lineRule="auto"/>
        <w:jc w:val="both"/>
        <w:rPr>
          <w:rFonts w:ascii="Times New Roman" w:hAnsi="Times New Roman" w:cs="Times New Roman"/>
          <w:b/>
          <w:bCs/>
          <w:sz w:val="20"/>
          <w:szCs w:val="20"/>
        </w:rPr>
      </w:pPr>
    </w:p>
    <w:p w14:paraId="17ADA738" w14:textId="414095CD" w:rsidR="00833166" w:rsidRPr="00BC4A33" w:rsidRDefault="00941484" w:rsidP="00BC4A33">
      <w:pPr>
        <w:pStyle w:val="NoSpacing"/>
        <w:spacing w:line="276" w:lineRule="auto"/>
        <w:jc w:val="center"/>
        <w:rPr>
          <w:rFonts w:ascii="Times New Roman" w:hAnsi="Times New Roman" w:cs="Times New Roman"/>
          <w:b/>
          <w:bCs/>
          <w:sz w:val="20"/>
          <w:szCs w:val="20"/>
        </w:rPr>
      </w:pPr>
      <w:r w:rsidRPr="00BC4A33">
        <w:rPr>
          <w:rFonts w:ascii="Times New Roman" w:hAnsi="Times New Roman" w:cs="Times New Roman"/>
          <w:noProof/>
          <w:sz w:val="20"/>
          <w:szCs w:val="20"/>
        </w:rPr>
        <w:drawing>
          <wp:inline distT="0" distB="0" distL="0" distR="0" wp14:anchorId="65BFA6CC" wp14:editId="7AEECCAD">
            <wp:extent cx="2567305" cy="1623646"/>
            <wp:effectExtent l="0" t="0" r="4445" b="15240"/>
            <wp:docPr id="1537192156" name="Chart 1">
              <a:extLst xmlns:a="http://schemas.openxmlformats.org/drawingml/2006/main">
                <a:ext uri="{FF2B5EF4-FFF2-40B4-BE49-F238E27FC236}">
                  <a16:creationId xmlns:a16="http://schemas.microsoft.com/office/drawing/2014/main" id="{5A4E4F87-0BEA-A380-2701-8792B64B7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B619B3" w14:textId="06A207E3" w:rsidR="00AC2880" w:rsidRPr="00BC4A33" w:rsidRDefault="00AC2880" w:rsidP="00BC4A33">
      <w:pPr>
        <w:pStyle w:val="NoSpacing"/>
        <w:spacing w:line="276" w:lineRule="auto"/>
        <w:jc w:val="center"/>
        <w:rPr>
          <w:rFonts w:ascii="Times New Roman" w:hAnsi="Times New Roman" w:cs="Times New Roman"/>
          <w:i/>
          <w:iCs/>
          <w:color w:val="4472C4" w:themeColor="accent1"/>
          <w:sz w:val="20"/>
          <w:szCs w:val="20"/>
        </w:rPr>
      </w:pPr>
      <w:r w:rsidRPr="00BC4A33">
        <w:rPr>
          <w:rFonts w:ascii="Times New Roman" w:hAnsi="Times New Roman" w:cs="Times New Roman"/>
          <w:b/>
          <w:bCs/>
          <w:i/>
          <w:iCs/>
          <w:color w:val="4472C4" w:themeColor="accent1"/>
          <w:sz w:val="20"/>
          <w:szCs w:val="20"/>
        </w:rPr>
        <w:t xml:space="preserve">Figure </w:t>
      </w:r>
      <w:r w:rsidR="00CB688D" w:rsidRPr="00BC4A33">
        <w:rPr>
          <w:rFonts w:ascii="Times New Roman" w:hAnsi="Times New Roman" w:cs="Times New Roman"/>
          <w:b/>
          <w:bCs/>
          <w:i/>
          <w:iCs/>
          <w:color w:val="4472C4" w:themeColor="accent1"/>
          <w:sz w:val="20"/>
          <w:szCs w:val="20"/>
        </w:rPr>
        <w:t>2</w:t>
      </w:r>
      <w:r w:rsidRPr="00BC4A33">
        <w:rPr>
          <w:rFonts w:ascii="Times New Roman" w:hAnsi="Times New Roman" w:cs="Times New Roman"/>
          <w:b/>
          <w:bCs/>
          <w:i/>
          <w:iCs/>
          <w:color w:val="4472C4" w:themeColor="accent1"/>
          <w:sz w:val="20"/>
          <w:szCs w:val="20"/>
        </w:rPr>
        <w:t xml:space="preserve">: </w:t>
      </w:r>
      <w:r w:rsidRPr="00BC4A33">
        <w:rPr>
          <w:rFonts w:ascii="Times New Roman" w:hAnsi="Times New Roman" w:cs="Times New Roman"/>
          <w:i/>
          <w:iCs/>
          <w:color w:val="4472C4" w:themeColor="accent1"/>
          <w:sz w:val="20"/>
          <w:szCs w:val="20"/>
        </w:rPr>
        <w:t>Distribution of gender</w:t>
      </w:r>
    </w:p>
    <w:p w14:paraId="29CD9907" w14:textId="77777777" w:rsidR="00941484" w:rsidRPr="00BC4A33" w:rsidRDefault="00941484" w:rsidP="00BC4A33">
      <w:pPr>
        <w:pStyle w:val="NoSpacing"/>
        <w:spacing w:line="276" w:lineRule="auto"/>
        <w:jc w:val="both"/>
        <w:rPr>
          <w:rFonts w:ascii="Times New Roman" w:hAnsi="Times New Roman" w:cs="Times New Roman"/>
          <w:b/>
          <w:bCs/>
          <w:sz w:val="20"/>
          <w:szCs w:val="20"/>
        </w:rPr>
      </w:pPr>
    </w:p>
    <w:p w14:paraId="7E980991" w14:textId="39FF17C4" w:rsidR="00833166" w:rsidRPr="00BC4A33" w:rsidRDefault="00833166" w:rsidP="00BC4A33">
      <w:pPr>
        <w:pStyle w:val="NoSpacing"/>
        <w:spacing w:line="276" w:lineRule="auto"/>
        <w:jc w:val="both"/>
        <w:rPr>
          <w:rFonts w:ascii="Times New Roman" w:hAnsi="Times New Roman" w:cs="Times New Roman"/>
          <w:sz w:val="20"/>
          <w:szCs w:val="20"/>
        </w:rPr>
      </w:pPr>
      <w:r w:rsidRPr="00BC4A33">
        <w:rPr>
          <w:rFonts w:ascii="Times New Roman" w:hAnsi="Times New Roman" w:cs="Times New Roman"/>
          <w:b/>
          <w:bCs/>
          <w:sz w:val="20"/>
          <w:szCs w:val="20"/>
        </w:rPr>
        <w:lastRenderedPageBreak/>
        <w:t xml:space="preserve">Table </w:t>
      </w:r>
      <w:r w:rsidR="00CB688D" w:rsidRPr="00BC4A33">
        <w:rPr>
          <w:rFonts w:ascii="Times New Roman" w:hAnsi="Times New Roman" w:cs="Times New Roman"/>
          <w:b/>
          <w:bCs/>
          <w:sz w:val="20"/>
          <w:szCs w:val="20"/>
        </w:rPr>
        <w:t>1</w:t>
      </w:r>
      <w:r w:rsidRPr="00BC4A33">
        <w:rPr>
          <w:rFonts w:ascii="Times New Roman" w:hAnsi="Times New Roman" w:cs="Times New Roman"/>
          <w:b/>
          <w:bCs/>
          <w:sz w:val="20"/>
          <w:szCs w:val="20"/>
        </w:rPr>
        <w:t xml:space="preserve">: </w:t>
      </w:r>
      <w:r w:rsidRPr="00BC4A33">
        <w:rPr>
          <w:rFonts w:ascii="Times New Roman" w:hAnsi="Times New Roman" w:cs="Times New Roman"/>
          <w:sz w:val="20"/>
          <w:szCs w:val="20"/>
        </w:rPr>
        <w:t xml:space="preserve">Clinical and </w:t>
      </w:r>
      <w:r w:rsidR="00AC2880" w:rsidRPr="00BC4A33">
        <w:rPr>
          <w:rFonts w:ascii="Times New Roman" w:hAnsi="Times New Roman" w:cs="Times New Roman"/>
          <w:sz w:val="20"/>
          <w:szCs w:val="20"/>
        </w:rPr>
        <w:t>h</w:t>
      </w:r>
      <w:r w:rsidRPr="00BC4A33">
        <w:rPr>
          <w:rFonts w:ascii="Times New Roman" w:hAnsi="Times New Roman" w:cs="Times New Roman"/>
          <w:sz w:val="20"/>
          <w:szCs w:val="20"/>
        </w:rPr>
        <w:t xml:space="preserve">emodynamic </w:t>
      </w:r>
      <w:r w:rsidR="00AC2880" w:rsidRPr="00BC4A33">
        <w:rPr>
          <w:rFonts w:ascii="Times New Roman" w:hAnsi="Times New Roman" w:cs="Times New Roman"/>
          <w:sz w:val="20"/>
          <w:szCs w:val="20"/>
        </w:rPr>
        <w:t>p</w:t>
      </w:r>
      <w:r w:rsidRPr="00BC4A33">
        <w:rPr>
          <w:rFonts w:ascii="Times New Roman" w:hAnsi="Times New Roman" w:cs="Times New Roman"/>
          <w:sz w:val="20"/>
          <w:szCs w:val="20"/>
        </w:rPr>
        <w:t xml:space="preserve">arameters </w:t>
      </w:r>
    </w:p>
    <w:tbl>
      <w:tblPr>
        <w:tblStyle w:val="GridTable1Light-Accent6"/>
        <w:tblW w:w="5000" w:type="pct"/>
        <w:tblLook w:val="04A0" w:firstRow="1" w:lastRow="0" w:firstColumn="1" w:lastColumn="0" w:noHBand="0" w:noVBand="1"/>
      </w:tblPr>
      <w:tblGrid>
        <w:gridCol w:w="2642"/>
        <w:gridCol w:w="2775"/>
        <w:gridCol w:w="1708"/>
        <w:gridCol w:w="1894"/>
      </w:tblGrid>
      <w:tr w:rsidR="00833166" w:rsidRPr="00BC4A33" w14:paraId="76CB706D" w14:textId="77777777" w:rsidTr="00E1121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64" w:type="pct"/>
            <w:noWrap/>
            <w:vAlign w:val="center"/>
            <w:hideMark/>
          </w:tcPr>
          <w:p w14:paraId="3915FF69" w14:textId="77777777" w:rsidR="00833166" w:rsidRPr="00BC4A33" w:rsidRDefault="00833166" w:rsidP="00BC4A33">
            <w:pPr>
              <w:spacing w:line="276" w:lineRule="auto"/>
              <w:jc w:val="both"/>
              <w:rPr>
                <w:b w:val="0"/>
                <w:bCs w:val="0"/>
                <w:color w:val="000000"/>
                <w:sz w:val="20"/>
                <w:szCs w:val="20"/>
              </w:rPr>
            </w:pPr>
            <w:r w:rsidRPr="00BC4A33">
              <w:rPr>
                <w:b w:val="0"/>
                <w:bCs w:val="0"/>
                <w:color w:val="000000"/>
                <w:sz w:val="20"/>
                <w:szCs w:val="20"/>
              </w:rPr>
              <w:t>Parameter</w:t>
            </w:r>
          </w:p>
        </w:tc>
        <w:tc>
          <w:tcPr>
            <w:tcW w:w="1538" w:type="pct"/>
            <w:noWrap/>
            <w:vAlign w:val="center"/>
            <w:hideMark/>
          </w:tcPr>
          <w:p w14:paraId="1BF43BE9" w14:textId="77777777" w:rsidR="00833166" w:rsidRPr="00BC4A33" w:rsidRDefault="00833166"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Category</w:t>
            </w:r>
          </w:p>
        </w:tc>
        <w:tc>
          <w:tcPr>
            <w:tcW w:w="947" w:type="pct"/>
            <w:noWrap/>
            <w:vAlign w:val="center"/>
            <w:hideMark/>
          </w:tcPr>
          <w:p w14:paraId="03AB082E" w14:textId="19D57709" w:rsidR="00833166" w:rsidRPr="00BC4A33" w:rsidRDefault="00833166"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n</w:t>
            </w:r>
          </w:p>
        </w:tc>
        <w:tc>
          <w:tcPr>
            <w:tcW w:w="1050" w:type="pct"/>
            <w:noWrap/>
            <w:vAlign w:val="center"/>
            <w:hideMark/>
          </w:tcPr>
          <w:p w14:paraId="53657878" w14:textId="6D59D41E" w:rsidR="00833166" w:rsidRPr="00BC4A33" w:rsidRDefault="00833166"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w:t>
            </w:r>
          </w:p>
        </w:tc>
      </w:tr>
      <w:tr w:rsidR="00833166" w:rsidRPr="00BC4A33" w14:paraId="11594753"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restart"/>
            <w:noWrap/>
            <w:vAlign w:val="center"/>
            <w:hideMark/>
          </w:tcPr>
          <w:p w14:paraId="75A507D2" w14:textId="77777777" w:rsidR="00833166" w:rsidRPr="00BC4A33" w:rsidRDefault="00833166" w:rsidP="00BC4A33">
            <w:pPr>
              <w:spacing w:line="276" w:lineRule="auto"/>
              <w:jc w:val="both"/>
              <w:rPr>
                <w:b w:val="0"/>
                <w:bCs w:val="0"/>
                <w:color w:val="000000"/>
                <w:sz w:val="20"/>
                <w:szCs w:val="20"/>
              </w:rPr>
            </w:pPr>
            <w:r w:rsidRPr="00BC4A33">
              <w:rPr>
                <w:b w:val="0"/>
                <w:bCs w:val="0"/>
                <w:color w:val="000000"/>
                <w:sz w:val="20"/>
                <w:szCs w:val="20"/>
              </w:rPr>
              <w:t>Ejection Fraction (EF)</w:t>
            </w:r>
          </w:p>
        </w:tc>
        <w:tc>
          <w:tcPr>
            <w:tcW w:w="1538" w:type="pct"/>
            <w:noWrap/>
            <w:vAlign w:val="center"/>
            <w:hideMark/>
          </w:tcPr>
          <w:p w14:paraId="5729F7CD"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≤40% (</w:t>
            </w:r>
            <w:proofErr w:type="spellStart"/>
            <w:r w:rsidRPr="00BC4A33">
              <w:rPr>
                <w:color w:val="000000"/>
                <w:sz w:val="20"/>
                <w:szCs w:val="20"/>
              </w:rPr>
              <w:t>HFrEF</w:t>
            </w:r>
            <w:proofErr w:type="spellEnd"/>
            <w:r w:rsidRPr="00BC4A33">
              <w:rPr>
                <w:color w:val="000000"/>
                <w:sz w:val="20"/>
                <w:szCs w:val="20"/>
              </w:rPr>
              <w:t>)</w:t>
            </w:r>
          </w:p>
        </w:tc>
        <w:tc>
          <w:tcPr>
            <w:tcW w:w="947" w:type="pct"/>
            <w:noWrap/>
            <w:vAlign w:val="center"/>
            <w:hideMark/>
          </w:tcPr>
          <w:p w14:paraId="00145EB3"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92</w:t>
            </w:r>
          </w:p>
        </w:tc>
        <w:tc>
          <w:tcPr>
            <w:tcW w:w="1050" w:type="pct"/>
            <w:noWrap/>
            <w:vAlign w:val="center"/>
            <w:hideMark/>
          </w:tcPr>
          <w:p w14:paraId="2881A9BC"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81.4%</w:t>
            </w:r>
          </w:p>
        </w:tc>
      </w:tr>
      <w:tr w:rsidR="00833166" w:rsidRPr="00BC4A33" w14:paraId="54040849"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ign w:val="center"/>
            <w:hideMark/>
          </w:tcPr>
          <w:p w14:paraId="2911FAD8" w14:textId="77777777" w:rsidR="00833166" w:rsidRPr="00BC4A33" w:rsidRDefault="00833166" w:rsidP="00BC4A33">
            <w:pPr>
              <w:spacing w:line="276" w:lineRule="auto"/>
              <w:jc w:val="both"/>
              <w:rPr>
                <w:b w:val="0"/>
                <w:bCs w:val="0"/>
                <w:color w:val="000000"/>
                <w:sz w:val="20"/>
                <w:szCs w:val="20"/>
              </w:rPr>
            </w:pPr>
          </w:p>
        </w:tc>
        <w:tc>
          <w:tcPr>
            <w:tcW w:w="1538" w:type="pct"/>
            <w:noWrap/>
            <w:vAlign w:val="center"/>
            <w:hideMark/>
          </w:tcPr>
          <w:p w14:paraId="31D0F315"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&gt;40% (</w:t>
            </w:r>
            <w:proofErr w:type="spellStart"/>
            <w:r w:rsidRPr="00BC4A33">
              <w:rPr>
                <w:color w:val="000000"/>
                <w:sz w:val="20"/>
                <w:szCs w:val="20"/>
              </w:rPr>
              <w:t>HFpEF</w:t>
            </w:r>
            <w:proofErr w:type="spellEnd"/>
            <w:r w:rsidRPr="00BC4A33">
              <w:rPr>
                <w:color w:val="000000"/>
                <w:sz w:val="20"/>
                <w:szCs w:val="20"/>
              </w:rPr>
              <w:t>/</w:t>
            </w:r>
            <w:proofErr w:type="spellStart"/>
            <w:r w:rsidRPr="00BC4A33">
              <w:rPr>
                <w:color w:val="000000"/>
                <w:sz w:val="20"/>
                <w:szCs w:val="20"/>
              </w:rPr>
              <w:t>HFmrEF</w:t>
            </w:r>
            <w:proofErr w:type="spellEnd"/>
            <w:r w:rsidRPr="00BC4A33">
              <w:rPr>
                <w:color w:val="000000"/>
                <w:sz w:val="20"/>
                <w:szCs w:val="20"/>
              </w:rPr>
              <w:t>)</w:t>
            </w:r>
          </w:p>
        </w:tc>
        <w:tc>
          <w:tcPr>
            <w:tcW w:w="947" w:type="pct"/>
            <w:noWrap/>
            <w:vAlign w:val="center"/>
            <w:hideMark/>
          </w:tcPr>
          <w:p w14:paraId="380A3276"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21</w:t>
            </w:r>
          </w:p>
        </w:tc>
        <w:tc>
          <w:tcPr>
            <w:tcW w:w="1050" w:type="pct"/>
            <w:noWrap/>
            <w:vAlign w:val="center"/>
            <w:hideMark/>
          </w:tcPr>
          <w:p w14:paraId="7A3EBDCB"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18.6%</w:t>
            </w:r>
          </w:p>
        </w:tc>
      </w:tr>
      <w:tr w:rsidR="00833166" w:rsidRPr="00BC4A33" w14:paraId="566F5185"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restart"/>
            <w:noWrap/>
            <w:vAlign w:val="center"/>
            <w:hideMark/>
          </w:tcPr>
          <w:p w14:paraId="39BEB5F5" w14:textId="77777777" w:rsidR="00833166" w:rsidRPr="00BC4A33" w:rsidRDefault="00833166" w:rsidP="00BC4A33">
            <w:pPr>
              <w:spacing w:line="276" w:lineRule="auto"/>
              <w:jc w:val="both"/>
              <w:rPr>
                <w:b w:val="0"/>
                <w:bCs w:val="0"/>
                <w:color w:val="000000"/>
                <w:sz w:val="20"/>
                <w:szCs w:val="20"/>
              </w:rPr>
            </w:pPr>
            <w:r w:rsidRPr="00BC4A33">
              <w:rPr>
                <w:b w:val="0"/>
                <w:bCs w:val="0"/>
                <w:color w:val="000000"/>
                <w:sz w:val="20"/>
                <w:szCs w:val="20"/>
              </w:rPr>
              <w:t>Systolic BP</w:t>
            </w:r>
          </w:p>
        </w:tc>
        <w:tc>
          <w:tcPr>
            <w:tcW w:w="1538" w:type="pct"/>
            <w:noWrap/>
            <w:vAlign w:val="center"/>
            <w:hideMark/>
          </w:tcPr>
          <w:p w14:paraId="64573EE2"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&lt;116 mmHg</w:t>
            </w:r>
          </w:p>
        </w:tc>
        <w:tc>
          <w:tcPr>
            <w:tcW w:w="947" w:type="pct"/>
            <w:noWrap/>
            <w:vAlign w:val="center"/>
            <w:hideMark/>
          </w:tcPr>
          <w:p w14:paraId="02145DDD"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89</w:t>
            </w:r>
          </w:p>
        </w:tc>
        <w:tc>
          <w:tcPr>
            <w:tcW w:w="1050" w:type="pct"/>
            <w:noWrap/>
            <w:vAlign w:val="center"/>
            <w:hideMark/>
          </w:tcPr>
          <w:p w14:paraId="6261A121"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78.8%</w:t>
            </w:r>
          </w:p>
        </w:tc>
      </w:tr>
      <w:tr w:rsidR="00833166" w:rsidRPr="00BC4A33" w14:paraId="312EA8B3"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ign w:val="center"/>
            <w:hideMark/>
          </w:tcPr>
          <w:p w14:paraId="079746B1" w14:textId="77777777" w:rsidR="00833166" w:rsidRPr="00BC4A33" w:rsidRDefault="00833166" w:rsidP="00BC4A33">
            <w:pPr>
              <w:spacing w:line="276" w:lineRule="auto"/>
              <w:jc w:val="both"/>
              <w:rPr>
                <w:b w:val="0"/>
                <w:bCs w:val="0"/>
                <w:color w:val="000000"/>
                <w:sz w:val="20"/>
                <w:szCs w:val="20"/>
              </w:rPr>
            </w:pPr>
          </w:p>
        </w:tc>
        <w:tc>
          <w:tcPr>
            <w:tcW w:w="1538" w:type="pct"/>
            <w:noWrap/>
            <w:vAlign w:val="center"/>
            <w:hideMark/>
          </w:tcPr>
          <w:p w14:paraId="517FB2F1"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≥116 mmHg</w:t>
            </w:r>
          </w:p>
        </w:tc>
        <w:tc>
          <w:tcPr>
            <w:tcW w:w="947" w:type="pct"/>
            <w:noWrap/>
            <w:vAlign w:val="center"/>
            <w:hideMark/>
          </w:tcPr>
          <w:p w14:paraId="2B009BB2"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24</w:t>
            </w:r>
          </w:p>
        </w:tc>
        <w:tc>
          <w:tcPr>
            <w:tcW w:w="1050" w:type="pct"/>
            <w:noWrap/>
            <w:vAlign w:val="center"/>
            <w:hideMark/>
          </w:tcPr>
          <w:p w14:paraId="5161D4D4"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21.2%</w:t>
            </w:r>
          </w:p>
        </w:tc>
      </w:tr>
      <w:tr w:rsidR="00833166" w:rsidRPr="00BC4A33" w14:paraId="0023F075"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restart"/>
            <w:noWrap/>
            <w:vAlign w:val="center"/>
            <w:hideMark/>
          </w:tcPr>
          <w:p w14:paraId="660AB324" w14:textId="77777777" w:rsidR="00833166" w:rsidRPr="00BC4A33" w:rsidRDefault="00833166" w:rsidP="00BC4A33">
            <w:pPr>
              <w:spacing w:line="276" w:lineRule="auto"/>
              <w:jc w:val="both"/>
              <w:rPr>
                <w:b w:val="0"/>
                <w:bCs w:val="0"/>
                <w:color w:val="000000"/>
                <w:sz w:val="20"/>
                <w:szCs w:val="20"/>
              </w:rPr>
            </w:pPr>
            <w:r w:rsidRPr="00BC4A33">
              <w:rPr>
                <w:b w:val="0"/>
                <w:bCs w:val="0"/>
                <w:color w:val="000000"/>
                <w:sz w:val="20"/>
                <w:szCs w:val="20"/>
              </w:rPr>
              <w:t>Diastolic BP</w:t>
            </w:r>
          </w:p>
        </w:tc>
        <w:tc>
          <w:tcPr>
            <w:tcW w:w="1538" w:type="pct"/>
            <w:noWrap/>
            <w:vAlign w:val="center"/>
            <w:hideMark/>
          </w:tcPr>
          <w:p w14:paraId="43875D4B"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&lt;75.77 mmHg</w:t>
            </w:r>
          </w:p>
        </w:tc>
        <w:tc>
          <w:tcPr>
            <w:tcW w:w="947" w:type="pct"/>
            <w:noWrap/>
            <w:vAlign w:val="center"/>
            <w:hideMark/>
          </w:tcPr>
          <w:p w14:paraId="3B12F1B2"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95</w:t>
            </w:r>
          </w:p>
        </w:tc>
        <w:tc>
          <w:tcPr>
            <w:tcW w:w="1050" w:type="pct"/>
            <w:noWrap/>
            <w:vAlign w:val="center"/>
            <w:hideMark/>
          </w:tcPr>
          <w:p w14:paraId="60CEFF45"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84.1%</w:t>
            </w:r>
          </w:p>
        </w:tc>
      </w:tr>
      <w:tr w:rsidR="00833166" w:rsidRPr="00BC4A33" w14:paraId="32D68126"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ign w:val="center"/>
            <w:hideMark/>
          </w:tcPr>
          <w:p w14:paraId="7DCC6BAD" w14:textId="77777777" w:rsidR="00833166" w:rsidRPr="00BC4A33" w:rsidRDefault="00833166" w:rsidP="00BC4A33">
            <w:pPr>
              <w:spacing w:line="276" w:lineRule="auto"/>
              <w:jc w:val="both"/>
              <w:rPr>
                <w:b w:val="0"/>
                <w:bCs w:val="0"/>
                <w:color w:val="000000"/>
                <w:sz w:val="20"/>
                <w:szCs w:val="20"/>
              </w:rPr>
            </w:pPr>
          </w:p>
        </w:tc>
        <w:tc>
          <w:tcPr>
            <w:tcW w:w="1538" w:type="pct"/>
            <w:noWrap/>
            <w:vAlign w:val="center"/>
            <w:hideMark/>
          </w:tcPr>
          <w:p w14:paraId="264BCE60"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≥75.77 mmHg</w:t>
            </w:r>
          </w:p>
        </w:tc>
        <w:tc>
          <w:tcPr>
            <w:tcW w:w="947" w:type="pct"/>
            <w:noWrap/>
            <w:vAlign w:val="center"/>
            <w:hideMark/>
          </w:tcPr>
          <w:p w14:paraId="45390AC6"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18</w:t>
            </w:r>
          </w:p>
        </w:tc>
        <w:tc>
          <w:tcPr>
            <w:tcW w:w="1050" w:type="pct"/>
            <w:noWrap/>
            <w:vAlign w:val="center"/>
            <w:hideMark/>
          </w:tcPr>
          <w:p w14:paraId="385F15DD"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15.9%</w:t>
            </w:r>
          </w:p>
        </w:tc>
      </w:tr>
      <w:tr w:rsidR="00833166" w:rsidRPr="00BC4A33" w14:paraId="3A679592"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restart"/>
            <w:noWrap/>
            <w:vAlign w:val="center"/>
            <w:hideMark/>
          </w:tcPr>
          <w:p w14:paraId="6A255BAE" w14:textId="77777777" w:rsidR="00833166" w:rsidRPr="00BC4A33" w:rsidRDefault="00833166" w:rsidP="00BC4A33">
            <w:pPr>
              <w:spacing w:line="276" w:lineRule="auto"/>
              <w:jc w:val="both"/>
              <w:rPr>
                <w:b w:val="0"/>
                <w:bCs w:val="0"/>
                <w:color w:val="000000"/>
                <w:sz w:val="20"/>
                <w:szCs w:val="20"/>
              </w:rPr>
            </w:pPr>
            <w:r w:rsidRPr="00BC4A33">
              <w:rPr>
                <w:b w:val="0"/>
                <w:bCs w:val="0"/>
                <w:color w:val="000000"/>
                <w:sz w:val="20"/>
                <w:szCs w:val="20"/>
              </w:rPr>
              <w:t>Pulse Rate</w:t>
            </w:r>
          </w:p>
        </w:tc>
        <w:tc>
          <w:tcPr>
            <w:tcW w:w="1538" w:type="pct"/>
            <w:noWrap/>
            <w:vAlign w:val="center"/>
            <w:hideMark/>
          </w:tcPr>
          <w:p w14:paraId="363B09FD"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&lt;85 bpm</w:t>
            </w:r>
          </w:p>
        </w:tc>
        <w:tc>
          <w:tcPr>
            <w:tcW w:w="947" w:type="pct"/>
            <w:noWrap/>
            <w:vAlign w:val="center"/>
            <w:hideMark/>
          </w:tcPr>
          <w:p w14:paraId="11FAF858"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34</w:t>
            </w:r>
          </w:p>
        </w:tc>
        <w:tc>
          <w:tcPr>
            <w:tcW w:w="1050" w:type="pct"/>
            <w:noWrap/>
            <w:vAlign w:val="center"/>
            <w:hideMark/>
          </w:tcPr>
          <w:p w14:paraId="6415FBBE"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30.1%</w:t>
            </w:r>
          </w:p>
        </w:tc>
      </w:tr>
      <w:tr w:rsidR="00833166" w:rsidRPr="00BC4A33" w14:paraId="34D236FF" w14:textId="77777777" w:rsidTr="00E11218">
        <w:trPr>
          <w:trHeight w:val="288"/>
        </w:trPr>
        <w:tc>
          <w:tcPr>
            <w:cnfStyle w:val="001000000000" w:firstRow="0" w:lastRow="0" w:firstColumn="1" w:lastColumn="0" w:oddVBand="0" w:evenVBand="0" w:oddHBand="0" w:evenHBand="0" w:firstRowFirstColumn="0" w:firstRowLastColumn="0" w:lastRowFirstColumn="0" w:lastRowLastColumn="0"/>
            <w:tcW w:w="1464" w:type="pct"/>
            <w:vMerge/>
            <w:vAlign w:val="center"/>
            <w:hideMark/>
          </w:tcPr>
          <w:p w14:paraId="32E1CAF2" w14:textId="77777777" w:rsidR="00833166" w:rsidRPr="00BC4A33" w:rsidRDefault="00833166" w:rsidP="00BC4A33">
            <w:pPr>
              <w:spacing w:line="276" w:lineRule="auto"/>
              <w:jc w:val="both"/>
              <w:rPr>
                <w:b w:val="0"/>
                <w:bCs w:val="0"/>
                <w:color w:val="000000"/>
                <w:sz w:val="20"/>
                <w:szCs w:val="20"/>
              </w:rPr>
            </w:pPr>
          </w:p>
        </w:tc>
        <w:tc>
          <w:tcPr>
            <w:tcW w:w="1538" w:type="pct"/>
            <w:noWrap/>
            <w:vAlign w:val="center"/>
            <w:hideMark/>
          </w:tcPr>
          <w:p w14:paraId="1B3375A4"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≥85 bpm</w:t>
            </w:r>
          </w:p>
        </w:tc>
        <w:tc>
          <w:tcPr>
            <w:tcW w:w="947" w:type="pct"/>
            <w:noWrap/>
            <w:vAlign w:val="center"/>
            <w:hideMark/>
          </w:tcPr>
          <w:p w14:paraId="2034D23F"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79</w:t>
            </w:r>
          </w:p>
        </w:tc>
        <w:tc>
          <w:tcPr>
            <w:tcW w:w="1050" w:type="pct"/>
            <w:noWrap/>
            <w:vAlign w:val="center"/>
            <w:hideMark/>
          </w:tcPr>
          <w:p w14:paraId="2572812C" w14:textId="77777777" w:rsidR="00833166" w:rsidRPr="00BC4A33" w:rsidRDefault="00833166"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69.9%</w:t>
            </w:r>
          </w:p>
        </w:tc>
      </w:tr>
    </w:tbl>
    <w:p w14:paraId="7AE79B69" w14:textId="77777777" w:rsidR="00833166" w:rsidRPr="00BC4A33" w:rsidRDefault="00833166" w:rsidP="00BC4A33">
      <w:pPr>
        <w:pStyle w:val="NoSpacing"/>
        <w:spacing w:line="276" w:lineRule="auto"/>
        <w:jc w:val="both"/>
        <w:rPr>
          <w:rFonts w:ascii="Times New Roman" w:hAnsi="Times New Roman" w:cs="Times New Roman"/>
          <w:b/>
          <w:bCs/>
          <w:sz w:val="20"/>
          <w:szCs w:val="20"/>
        </w:rPr>
      </w:pPr>
    </w:p>
    <w:p w14:paraId="1AFDB399" w14:textId="437E42E9" w:rsidR="00833166" w:rsidRPr="00BC4A33" w:rsidRDefault="00833166" w:rsidP="00BC4A33">
      <w:pPr>
        <w:pStyle w:val="NoSpacing"/>
        <w:spacing w:line="276" w:lineRule="auto"/>
        <w:jc w:val="both"/>
        <w:rPr>
          <w:rFonts w:ascii="Times New Roman" w:hAnsi="Times New Roman" w:cs="Times New Roman"/>
          <w:sz w:val="20"/>
          <w:szCs w:val="20"/>
        </w:rPr>
      </w:pPr>
      <w:r w:rsidRPr="00BC4A33">
        <w:rPr>
          <w:rFonts w:ascii="Times New Roman" w:hAnsi="Times New Roman" w:cs="Times New Roman"/>
          <w:b/>
          <w:bCs/>
          <w:sz w:val="20"/>
          <w:szCs w:val="20"/>
        </w:rPr>
        <w:t xml:space="preserve">Table </w:t>
      </w:r>
      <w:r w:rsidR="00CB688D" w:rsidRPr="00BC4A33">
        <w:rPr>
          <w:rFonts w:ascii="Times New Roman" w:hAnsi="Times New Roman" w:cs="Times New Roman"/>
          <w:b/>
          <w:bCs/>
          <w:sz w:val="20"/>
          <w:szCs w:val="20"/>
        </w:rPr>
        <w:t>2</w:t>
      </w:r>
      <w:r w:rsidRPr="00BC4A33">
        <w:rPr>
          <w:rFonts w:ascii="Times New Roman" w:hAnsi="Times New Roman" w:cs="Times New Roman"/>
          <w:b/>
          <w:bCs/>
          <w:sz w:val="20"/>
          <w:szCs w:val="20"/>
        </w:rPr>
        <w:t xml:space="preserve">: </w:t>
      </w:r>
      <w:r w:rsidRPr="00BC4A33">
        <w:rPr>
          <w:rFonts w:ascii="Times New Roman" w:hAnsi="Times New Roman" w:cs="Times New Roman"/>
          <w:sz w:val="20"/>
          <w:szCs w:val="20"/>
        </w:rPr>
        <w:t xml:space="preserve">Comorbidities </w:t>
      </w:r>
      <w:r w:rsidR="00CB688D" w:rsidRPr="00BC4A33">
        <w:rPr>
          <w:rFonts w:ascii="Times New Roman" w:hAnsi="Times New Roman" w:cs="Times New Roman"/>
          <w:sz w:val="20"/>
          <w:szCs w:val="20"/>
        </w:rPr>
        <w:t>a</w:t>
      </w:r>
      <w:r w:rsidRPr="00BC4A33">
        <w:rPr>
          <w:rFonts w:ascii="Times New Roman" w:hAnsi="Times New Roman" w:cs="Times New Roman"/>
          <w:sz w:val="20"/>
          <w:szCs w:val="20"/>
        </w:rPr>
        <w:t xml:space="preserve">mong </w:t>
      </w:r>
      <w:r w:rsidR="00CB688D" w:rsidRPr="00BC4A33">
        <w:rPr>
          <w:rFonts w:ascii="Times New Roman" w:hAnsi="Times New Roman" w:cs="Times New Roman"/>
          <w:sz w:val="20"/>
          <w:szCs w:val="20"/>
        </w:rPr>
        <w:t>p</w:t>
      </w:r>
      <w:r w:rsidRPr="00BC4A33">
        <w:rPr>
          <w:rFonts w:ascii="Times New Roman" w:hAnsi="Times New Roman" w:cs="Times New Roman"/>
          <w:sz w:val="20"/>
          <w:szCs w:val="20"/>
        </w:rPr>
        <w:t>atients (N=113)</w:t>
      </w:r>
    </w:p>
    <w:tbl>
      <w:tblPr>
        <w:tblStyle w:val="GridTable1Light-Accent6"/>
        <w:tblW w:w="4005" w:type="dxa"/>
        <w:tblLook w:val="04A0" w:firstRow="1" w:lastRow="0" w:firstColumn="1" w:lastColumn="0" w:noHBand="0" w:noVBand="1"/>
      </w:tblPr>
      <w:tblGrid>
        <w:gridCol w:w="2580"/>
        <w:gridCol w:w="516"/>
        <w:gridCol w:w="909"/>
      </w:tblGrid>
      <w:tr w:rsidR="00EB6045" w:rsidRPr="00BC4A33" w14:paraId="6C9EDA5E" w14:textId="77777777" w:rsidTr="00E11218">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09AA92F"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Comorbidity</w:t>
            </w:r>
          </w:p>
        </w:tc>
        <w:tc>
          <w:tcPr>
            <w:tcW w:w="0" w:type="auto"/>
            <w:noWrap/>
            <w:vAlign w:val="center"/>
            <w:hideMark/>
          </w:tcPr>
          <w:p w14:paraId="78596363" w14:textId="65AE92B2" w:rsidR="00EB6045" w:rsidRPr="00BC4A33" w:rsidRDefault="00CB688D"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n</w:t>
            </w:r>
          </w:p>
        </w:tc>
        <w:tc>
          <w:tcPr>
            <w:tcW w:w="0" w:type="auto"/>
            <w:noWrap/>
            <w:vAlign w:val="center"/>
            <w:hideMark/>
          </w:tcPr>
          <w:p w14:paraId="1846BBC9" w14:textId="3B67B769" w:rsidR="00EB6045" w:rsidRPr="00BC4A33" w:rsidRDefault="00EB6045"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w:t>
            </w:r>
          </w:p>
        </w:tc>
      </w:tr>
      <w:tr w:rsidR="00EB6045" w:rsidRPr="00BC4A33" w14:paraId="7A4E82AB"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52C4BE0"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Hypertension</w:t>
            </w:r>
          </w:p>
        </w:tc>
        <w:tc>
          <w:tcPr>
            <w:tcW w:w="0" w:type="auto"/>
            <w:noWrap/>
            <w:vAlign w:val="center"/>
            <w:hideMark/>
          </w:tcPr>
          <w:p w14:paraId="2F679071"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68</w:t>
            </w:r>
          </w:p>
        </w:tc>
        <w:tc>
          <w:tcPr>
            <w:tcW w:w="0" w:type="auto"/>
            <w:noWrap/>
            <w:vAlign w:val="center"/>
            <w:hideMark/>
          </w:tcPr>
          <w:p w14:paraId="331CFE24"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60.2%</w:t>
            </w:r>
          </w:p>
        </w:tc>
      </w:tr>
      <w:tr w:rsidR="00EB6045" w:rsidRPr="00BC4A33" w14:paraId="65F0227B"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0F7C0ED"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Diabetes Mellitus</w:t>
            </w:r>
          </w:p>
        </w:tc>
        <w:tc>
          <w:tcPr>
            <w:tcW w:w="0" w:type="auto"/>
            <w:noWrap/>
            <w:vAlign w:val="center"/>
            <w:hideMark/>
          </w:tcPr>
          <w:p w14:paraId="2BB0FFAB"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82</w:t>
            </w:r>
          </w:p>
        </w:tc>
        <w:tc>
          <w:tcPr>
            <w:tcW w:w="0" w:type="auto"/>
            <w:noWrap/>
            <w:vAlign w:val="center"/>
            <w:hideMark/>
          </w:tcPr>
          <w:p w14:paraId="404D061B"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72.6%</w:t>
            </w:r>
          </w:p>
        </w:tc>
      </w:tr>
      <w:tr w:rsidR="00EB6045" w:rsidRPr="00BC4A33" w14:paraId="6962B648"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867BF5F"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Dyslipidemia</w:t>
            </w:r>
          </w:p>
        </w:tc>
        <w:tc>
          <w:tcPr>
            <w:tcW w:w="0" w:type="auto"/>
            <w:noWrap/>
            <w:vAlign w:val="center"/>
            <w:hideMark/>
          </w:tcPr>
          <w:p w14:paraId="4F256E8F"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75</w:t>
            </w:r>
          </w:p>
        </w:tc>
        <w:tc>
          <w:tcPr>
            <w:tcW w:w="0" w:type="auto"/>
            <w:noWrap/>
            <w:vAlign w:val="center"/>
            <w:hideMark/>
          </w:tcPr>
          <w:p w14:paraId="6A0F55FD"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66.4%</w:t>
            </w:r>
          </w:p>
        </w:tc>
      </w:tr>
      <w:tr w:rsidR="00EB6045" w:rsidRPr="00BC4A33" w14:paraId="612AEBCB"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AF7CD2A"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Atrial Fibrillation</w:t>
            </w:r>
          </w:p>
        </w:tc>
        <w:tc>
          <w:tcPr>
            <w:tcW w:w="0" w:type="auto"/>
            <w:noWrap/>
            <w:vAlign w:val="center"/>
            <w:hideMark/>
          </w:tcPr>
          <w:p w14:paraId="5F86720A"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49</w:t>
            </w:r>
          </w:p>
        </w:tc>
        <w:tc>
          <w:tcPr>
            <w:tcW w:w="0" w:type="auto"/>
            <w:noWrap/>
            <w:vAlign w:val="center"/>
            <w:hideMark/>
          </w:tcPr>
          <w:p w14:paraId="43D1C2CC"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43.4%</w:t>
            </w:r>
          </w:p>
        </w:tc>
      </w:tr>
      <w:tr w:rsidR="00EB6045" w:rsidRPr="00BC4A33" w14:paraId="3BC06DDE"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6A4A2DD"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Chronic Ischemic HD</w:t>
            </w:r>
          </w:p>
        </w:tc>
        <w:tc>
          <w:tcPr>
            <w:tcW w:w="0" w:type="auto"/>
            <w:noWrap/>
            <w:vAlign w:val="center"/>
            <w:hideMark/>
          </w:tcPr>
          <w:p w14:paraId="3508C324"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52</w:t>
            </w:r>
          </w:p>
        </w:tc>
        <w:tc>
          <w:tcPr>
            <w:tcW w:w="0" w:type="auto"/>
            <w:noWrap/>
            <w:vAlign w:val="center"/>
            <w:hideMark/>
          </w:tcPr>
          <w:p w14:paraId="2C33012A"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46.0%</w:t>
            </w:r>
          </w:p>
        </w:tc>
      </w:tr>
      <w:tr w:rsidR="00EB6045" w:rsidRPr="00BC4A33" w14:paraId="06D36E7C" w14:textId="77777777" w:rsidTr="00E11218">
        <w:trPr>
          <w:trHeight w:val="30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043ADAC"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Valvular Heart Disease</w:t>
            </w:r>
          </w:p>
        </w:tc>
        <w:tc>
          <w:tcPr>
            <w:tcW w:w="0" w:type="auto"/>
            <w:noWrap/>
            <w:vAlign w:val="center"/>
            <w:hideMark/>
          </w:tcPr>
          <w:p w14:paraId="1F6A7907"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15</w:t>
            </w:r>
          </w:p>
        </w:tc>
        <w:tc>
          <w:tcPr>
            <w:tcW w:w="0" w:type="auto"/>
            <w:noWrap/>
            <w:vAlign w:val="center"/>
            <w:hideMark/>
          </w:tcPr>
          <w:p w14:paraId="52B1B757"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13.3%</w:t>
            </w:r>
          </w:p>
        </w:tc>
      </w:tr>
    </w:tbl>
    <w:p w14:paraId="061AF948" w14:textId="77777777" w:rsidR="00E11218" w:rsidRPr="00BC4A33" w:rsidRDefault="00E11218" w:rsidP="00BC4A33">
      <w:pPr>
        <w:pStyle w:val="NoSpacing"/>
        <w:spacing w:line="276" w:lineRule="auto"/>
        <w:jc w:val="both"/>
        <w:rPr>
          <w:rFonts w:ascii="Times New Roman" w:hAnsi="Times New Roman" w:cs="Times New Roman"/>
          <w:b/>
          <w:bCs/>
          <w:sz w:val="20"/>
          <w:szCs w:val="20"/>
        </w:rPr>
      </w:pPr>
    </w:p>
    <w:p w14:paraId="06BAD8D2" w14:textId="48D8A101" w:rsidR="00EB6045" w:rsidRPr="00BC4A33" w:rsidRDefault="00AC2880" w:rsidP="00BC4A33">
      <w:pPr>
        <w:pStyle w:val="NoSpacing"/>
        <w:spacing w:line="276" w:lineRule="auto"/>
        <w:jc w:val="center"/>
        <w:rPr>
          <w:rFonts w:ascii="Times New Roman" w:hAnsi="Times New Roman" w:cs="Times New Roman"/>
          <w:b/>
          <w:bCs/>
          <w:sz w:val="20"/>
          <w:szCs w:val="20"/>
        </w:rPr>
      </w:pPr>
      <w:r w:rsidRPr="00BC4A33">
        <w:rPr>
          <w:rFonts w:ascii="Times New Roman" w:hAnsi="Times New Roman" w:cs="Times New Roman"/>
          <w:noProof/>
          <w:sz w:val="20"/>
          <w:szCs w:val="20"/>
        </w:rPr>
        <w:drawing>
          <wp:inline distT="0" distB="0" distL="0" distR="0" wp14:anchorId="39A57E07" wp14:editId="77290F8E">
            <wp:extent cx="2561492" cy="1775460"/>
            <wp:effectExtent l="0" t="0" r="10795" b="15240"/>
            <wp:docPr id="1640655720" name="Chart 1">
              <a:extLst xmlns:a="http://schemas.openxmlformats.org/drawingml/2006/main">
                <a:ext uri="{FF2B5EF4-FFF2-40B4-BE49-F238E27FC236}">
                  <a16:creationId xmlns:a16="http://schemas.microsoft.com/office/drawing/2014/main" id="{D50C1AB5-7B42-96F3-C502-28245DB33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726A4B" w14:textId="7D46C473" w:rsidR="00EB6045" w:rsidRPr="00BC4A33" w:rsidRDefault="00CB688D" w:rsidP="00BC4A33">
      <w:pPr>
        <w:pStyle w:val="NoSpacing"/>
        <w:spacing w:line="276" w:lineRule="auto"/>
        <w:jc w:val="center"/>
        <w:rPr>
          <w:rFonts w:ascii="Times New Roman" w:hAnsi="Times New Roman" w:cs="Times New Roman"/>
          <w:i/>
          <w:iCs/>
          <w:color w:val="4472C4" w:themeColor="accent1"/>
          <w:sz w:val="20"/>
          <w:szCs w:val="20"/>
        </w:rPr>
      </w:pPr>
      <w:r w:rsidRPr="00BC4A33">
        <w:rPr>
          <w:rFonts w:ascii="Times New Roman" w:hAnsi="Times New Roman" w:cs="Times New Roman"/>
          <w:b/>
          <w:bCs/>
          <w:i/>
          <w:iCs/>
          <w:color w:val="4472C4" w:themeColor="accent1"/>
          <w:sz w:val="20"/>
          <w:szCs w:val="20"/>
        </w:rPr>
        <w:t>Figure 3</w:t>
      </w:r>
      <w:r w:rsidR="00AC2880" w:rsidRPr="00BC4A33">
        <w:rPr>
          <w:rFonts w:ascii="Times New Roman" w:hAnsi="Times New Roman" w:cs="Times New Roman"/>
          <w:b/>
          <w:bCs/>
          <w:i/>
          <w:iCs/>
          <w:color w:val="4472C4" w:themeColor="accent1"/>
          <w:sz w:val="20"/>
          <w:szCs w:val="20"/>
        </w:rPr>
        <w:t xml:space="preserve">: </w:t>
      </w:r>
      <w:r w:rsidR="00AC2880" w:rsidRPr="00BC4A33">
        <w:rPr>
          <w:rFonts w:ascii="Times New Roman" w:hAnsi="Times New Roman" w:cs="Times New Roman"/>
          <w:i/>
          <w:iCs/>
          <w:color w:val="4472C4" w:themeColor="accent1"/>
          <w:sz w:val="20"/>
          <w:szCs w:val="20"/>
        </w:rPr>
        <w:t xml:space="preserve">Symptom </w:t>
      </w:r>
      <w:r w:rsidRPr="00BC4A33">
        <w:rPr>
          <w:rFonts w:ascii="Times New Roman" w:hAnsi="Times New Roman" w:cs="Times New Roman"/>
          <w:i/>
          <w:iCs/>
          <w:color w:val="4472C4" w:themeColor="accent1"/>
          <w:sz w:val="20"/>
          <w:szCs w:val="20"/>
        </w:rPr>
        <w:t>p</w:t>
      </w:r>
      <w:r w:rsidR="00AC2880" w:rsidRPr="00BC4A33">
        <w:rPr>
          <w:rFonts w:ascii="Times New Roman" w:hAnsi="Times New Roman" w:cs="Times New Roman"/>
          <w:i/>
          <w:iCs/>
          <w:color w:val="4472C4" w:themeColor="accent1"/>
          <w:sz w:val="20"/>
          <w:szCs w:val="20"/>
        </w:rPr>
        <w:t>revalence</w:t>
      </w:r>
    </w:p>
    <w:p w14:paraId="0C8EBE0F" w14:textId="77777777" w:rsidR="00CB688D" w:rsidRPr="00BC4A33" w:rsidRDefault="00CB688D" w:rsidP="00BC4A33">
      <w:pPr>
        <w:pStyle w:val="NoSpacing"/>
        <w:spacing w:line="276" w:lineRule="auto"/>
        <w:jc w:val="both"/>
        <w:rPr>
          <w:rFonts w:ascii="Times New Roman" w:hAnsi="Times New Roman" w:cs="Times New Roman"/>
          <w:b/>
          <w:bCs/>
          <w:sz w:val="20"/>
          <w:szCs w:val="20"/>
        </w:rPr>
      </w:pPr>
    </w:p>
    <w:p w14:paraId="1A5104A0" w14:textId="31F0924D" w:rsidR="00EB6045" w:rsidRPr="00BC4A33" w:rsidRDefault="00EB6045"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 xml:space="preserve">Table </w:t>
      </w:r>
      <w:r w:rsidR="00CB688D" w:rsidRPr="00BC4A33">
        <w:rPr>
          <w:rFonts w:ascii="Times New Roman" w:hAnsi="Times New Roman" w:cs="Times New Roman"/>
          <w:b/>
          <w:bCs/>
          <w:sz w:val="20"/>
          <w:szCs w:val="20"/>
        </w:rPr>
        <w:t>3</w:t>
      </w:r>
      <w:r w:rsidRPr="00BC4A33">
        <w:rPr>
          <w:rFonts w:ascii="Times New Roman" w:hAnsi="Times New Roman" w:cs="Times New Roman"/>
          <w:b/>
          <w:bCs/>
          <w:sz w:val="20"/>
          <w:szCs w:val="20"/>
        </w:rPr>
        <w:t xml:space="preserve">: </w:t>
      </w:r>
      <w:r w:rsidRPr="00BC4A33">
        <w:rPr>
          <w:rFonts w:ascii="Times New Roman" w:hAnsi="Times New Roman" w:cs="Times New Roman"/>
          <w:sz w:val="20"/>
          <w:szCs w:val="20"/>
        </w:rPr>
        <w:t xml:space="preserve">Etiology of </w:t>
      </w:r>
      <w:r w:rsidR="00CB688D" w:rsidRPr="00BC4A33">
        <w:rPr>
          <w:rFonts w:ascii="Times New Roman" w:hAnsi="Times New Roman" w:cs="Times New Roman"/>
          <w:sz w:val="20"/>
          <w:szCs w:val="20"/>
        </w:rPr>
        <w:t>h</w:t>
      </w:r>
      <w:r w:rsidRPr="00BC4A33">
        <w:rPr>
          <w:rFonts w:ascii="Times New Roman" w:hAnsi="Times New Roman" w:cs="Times New Roman"/>
          <w:sz w:val="20"/>
          <w:szCs w:val="20"/>
        </w:rPr>
        <w:t xml:space="preserve">eart </w:t>
      </w:r>
      <w:r w:rsidR="00CB688D" w:rsidRPr="00BC4A33">
        <w:rPr>
          <w:rFonts w:ascii="Times New Roman" w:hAnsi="Times New Roman" w:cs="Times New Roman"/>
          <w:sz w:val="20"/>
          <w:szCs w:val="20"/>
        </w:rPr>
        <w:t>f</w:t>
      </w:r>
      <w:r w:rsidRPr="00BC4A33">
        <w:rPr>
          <w:rFonts w:ascii="Times New Roman" w:hAnsi="Times New Roman" w:cs="Times New Roman"/>
          <w:sz w:val="20"/>
          <w:szCs w:val="20"/>
        </w:rPr>
        <w:t>ailure</w:t>
      </w:r>
    </w:p>
    <w:tbl>
      <w:tblPr>
        <w:tblStyle w:val="GridTable1Light-Accent6"/>
        <w:tblW w:w="3992" w:type="dxa"/>
        <w:tblLook w:val="04A0" w:firstRow="1" w:lastRow="0" w:firstColumn="1" w:lastColumn="0" w:noHBand="0" w:noVBand="1"/>
      </w:tblPr>
      <w:tblGrid>
        <w:gridCol w:w="2743"/>
        <w:gridCol w:w="452"/>
        <w:gridCol w:w="797"/>
      </w:tblGrid>
      <w:tr w:rsidR="00EB6045" w:rsidRPr="00BC4A33" w14:paraId="74CD0E8F" w14:textId="77777777" w:rsidTr="00E11218">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ABF3BBB"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Etiology</w:t>
            </w:r>
          </w:p>
        </w:tc>
        <w:tc>
          <w:tcPr>
            <w:tcW w:w="0" w:type="auto"/>
            <w:noWrap/>
            <w:vAlign w:val="center"/>
            <w:hideMark/>
          </w:tcPr>
          <w:p w14:paraId="256340EA" w14:textId="6BD53690" w:rsidR="00EB6045" w:rsidRPr="00BC4A33" w:rsidRDefault="00CB688D"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n</w:t>
            </w:r>
          </w:p>
        </w:tc>
        <w:tc>
          <w:tcPr>
            <w:tcW w:w="0" w:type="auto"/>
            <w:noWrap/>
            <w:vAlign w:val="center"/>
            <w:hideMark/>
          </w:tcPr>
          <w:p w14:paraId="6BBE0B86" w14:textId="5D266422" w:rsidR="00EB6045" w:rsidRPr="00BC4A33" w:rsidRDefault="00CB688D" w:rsidP="00BC4A33">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BC4A33">
              <w:rPr>
                <w:b w:val="0"/>
                <w:bCs w:val="0"/>
                <w:color w:val="000000"/>
                <w:sz w:val="20"/>
                <w:szCs w:val="20"/>
              </w:rPr>
              <w:t>%</w:t>
            </w:r>
          </w:p>
        </w:tc>
      </w:tr>
      <w:tr w:rsidR="00EB6045" w:rsidRPr="00BC4A33" w14:paraId="33AF06C5" w14:textId="77777777" w:rsidTr="00E11218">
        <w:trPr>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9B47FF4"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Ischemic Cardiomyopathy</w:t>
            </w:r>
          </w:p>
        </w:tc>
        <w:tc>
          <w:tcPr>
            <w:tcW w:w="0" w:type="auto"/>
            <w:noWrap/>
            <w:vAlign w:val="center"/>
            <w:hideMark/>
          </w:tcPr>
          <w:p w14:paraId="1C9DA529"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58</w:t>
            </w:r>
          </w:p>
        </w:tc>
        <w:tc>
          <w:tcPr>
            <w:tcW w:w="0" w:type="auto"/>
            <w:noWrap/>
            <w:vAlign w:val="center"/>
            <w:hideMark/>
          </w:tcPr>
          <w:p w14:paraId="66D5D090"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51.3%</w:t>
            </w:r>
          </w:p>
        </w:tc>
      </w:tr>
      <w:tr w:rsidR="00EB6045" w:rsidRPr="00BC4A33" w14:paraId="35143CF9" w14:textId="77777777" w:rsidTr="00E11218">
        <w:trPr>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CA380F7"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Dilated Cardiomyopathy</w:t>
            </w:r>
          </w:p>
        </w:tc>
        <w:tc>
          <w:tcPr>
            <w:tcW w:w="0" w:type="auto"/>
            <w:noWrap/>
            <w:vAlign w:val="center"/>
            <w:hideMark/>
          </w:tcPr>
          <w:p w14:paraId="079775ED"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22</w:t>
            </w:r>
          </w:p>
        </w:tc>
        <w:tc>
          <w:tcPr>
            <w:tcW w:w="0" w:type="auto"/>
            <w:noWrap/>
            <w:vAlign w:val="center"/>
            <w:hideMark/>
          </w:tcPr>
          <w:p w14:paraId="5893B1AE"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19.5%</w:t>
            </w:r>
          </w:p>
        </w:tc>
      </w:tr>
      <w:tr w:rsidR="00EB6045" w:rsidRPr="00BC4A33" w14:paraId="1BD3BDB4" w14:textId="77777777" w:rsidTr="00E11218">
        <w:trPr>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473F159"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Hypertensive Heart Disease</w:t>
            </w:r>
          </w:p>
        </w:tc>
        <w:tc>
          <w:tcPr>
            <w:tcW w:w="0" w:type="auto"/>
            <w:noWrap/>
            <w:vAlign w:val="center"/>
            <w:hideMark/>
          </w:tcPr>
          <w:p w14:paraId="4EFEDBD1"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68</w:t>
            </w:r>
          </w:p>
        </w:tc>
        <w:tc>
          <w:tcPr>
            <w:tcW w:w="0" w:type="auto"/>
            <w:noWrap/>
            <w:vAlign w:val="center"/>
            <w:hideMark/>
          </w:tcPr>
          <w:p w14:paraId="2243BDC4"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60.2%</w:t>
            </w:r>
          </w:p>
        </w:tc>
      </w:tr>
      <w:tr w:rsidR="00EB6045" w:rsidRPr="00BC4A33" w14:paraId="586A40B7" w14:textId="77777777" w:rsidTr="00E11218">
        <w:trPr>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5217065"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Valvular Heart Disease</w:t>
            </w:r>
          </w:p>
        </w:tc>
        <w:tc>
          <w:tcPr>
            <w:tcW w:w="0" w:type="auto"/>
            <w:noWrap/>
            <w:vAlign w:val="center"/>
            <w:hideMark/>
          </w:tcPr>
          <w:p w14:paraId="0EE1898B"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15</w:t>
            </w:r>
          </w:p>
        </w:tc>
        <w:tc>
          <w:tcPr>
            <w:tcW w:w="0" w:type="auto"/>
            <w:noWrap/>
            <w:vAlign w:val="center"/>
            <w:hideMark/>
          </w:tcPr>
          <w:p w14:paraId="7D664B78"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13.3%</w:t>
            </w:r>
          </w:p>
        </w:tc>
      </w:tr>
      <w:tr w:rsidR="00EB6045" w:rsidRPr="00BC4A33" w14:paraId="7E77398A" w14:textId="77777777" w:rsidTr="00E11218">
        <w:trPr>
          <w:trHeight w:val="2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F418BB6" w14:textId="77777777" w:rsidR="00EB6045" w:rsidRPr="00BC4A33" w:rsidRDefault="00EB6045" w:rsidP="00BC4A33">
            <w:pPr>
              <w:spacing w:line="276" w:lineRule="auto"/>
              <w:jc w:val="both"/>
              <w:rPr>
                <w:b w:val="0"/>
                <w:bCs w:val="0"/>
                <w:color w:val="000000"/>
                <w:sz w:val="20"/>
                <w:szCs w:val="20"/>
              </w:rPr>
            </w:pPr>
            <w:r w:rsidRPr="00BC4A33">
              <w:rPr>
                <w:b w:val="0"/>
                <w:bCs w:val="0"/>
                <w:color w:val="000000"/>
                <w:sz w:val="20"/>
                <w:szCs w:val="20"/>
              </w:rPr>
              <w:t>Postpartum Cardiomyopathy</w:t>
            </w:r>
          </w:p>
        </w:tc>
        <w:tc>
          <w:tcPr>
            <w:tcW w:w="0" w:type="auto"/>
            <w:noWrap/>
            <w:vAlign w:val="center"/>
            <w:hideMark/>
          </w:tcPr>
          <w:p w14:paraId="1099C027"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5</w:t>
            </w:r>
          </w:p>
        </w:tc>
        <w:tc>
          <w:tcPr>
            <w:tcW w:w="0" w:type="auto"/>
            <w:noWrap/>
            <w:vAlign w:val="center"/>
            <w:hideMark/>
          </w:tcPr>
          <w:p w14:paraId="756D5588" w14:textId="77777777" w:rsidR="00EB6045" w:rsidRPr="00BC4A33" w:rsidRDefault="00EB6045" w:rsidP="00BC4A33">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BC4A33">
              <w:rPr>
                <w:color w:val="000000"/>
                <w:sz w:val="20"/>
                <w:szCs w:val="20"/>
              </w:rPr>
              <w:t>4.4%</w:t>
            </w:r>
          </w:p>
        </w:tc>
      </w:tr>
    </w:tbl>
    <w:p w14:paraId="3B0DE881" w14:textId="77777777" w:rsidR="00EB6045" w:rsidRPr="00BC4A33" w:rsidRDefault="00EB6045" w:rsidP="00BC4A33">
      <w:pPr>
        <w:pStyle w:val="NoSpacing"/>
        <w:spacing w:line="276" w:lineRule="auto"/>
        <w:jc w:val="both"/>
        <w:rPr>
          <w:rFonts w:ascii="Times New Roman" w:hAnsi="Times New Roman" w:cs="Times New Roman"/>
          <w:b/>
          <w:bCs/>
          <w:sz w:val="20"/>
          <w:szCs w:val="20"/>
        </w:rPr>
      </w:pPr>
    </w:p>
    <w:p w14:paraId="40999D02" w14:textId="2B081BE7" w:rsidR="00EB6045" w:rsidRPr="00BC4A33" w:rsidRDefault="005C1007" w:rsidP="00BC4A33">
      <w:pPr>
        <w:pStyle w:val="NoSpacing"/>
        <w:spacing w:line="276" w:lineRule="auto"/>
        <w:jc w:val="center"/>
        <w:rPr>
          <w:rFonts w:ascii="Times New Roman" w:hAnsi="Times New Roman" w:cs="Times New Roman"/>
          <w:b/>
          <w:bCs/>
          <w:sz w:val="20"/>
          <w:szCs w:val="20"/>
        </w:rPr>
      </w:pPr>
      <w:r w:rsidRPr="00BC4A33">
        <w:rPr>
          <w:rFonts w:ascii="Times New Roman" w:hAnsi="Times New Roman" w:cs="Times New Roman"/>
          <w:noProof/>
          <w:sz w:val="20"/>
          <w:szCs w:val="20"/>
        </w:rPr>
        <w:lastRenderedPageBreak/>
        <w:drawing>
          <wp:inline distT="0" distB="0" distL="0" distR="0" wp14:anchorId="71233080" wp14:editId="4A75B372">
            <wp:extent cx="2560955" cy="2174630"/>
            <wp:effectExtent l="0" t="0" r="10795" b="16510"/>
            <wp:docPr id="717126302" name="Chart 1">
              <a:extLst xmlns:a="http://schemas.openxmlformats.org/drawingml/2006/main">
                <a:ext uri="{FF2B5EF4-FFF2-40B4-BE49-F238E27FC236}">
                  <a16:creationId xmlns:a16="http://schemas.microsoft.com/office/drawing/2014/main" id="{EF79AC9D-E56E-089E-5739-A4731E248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AF98CD" w14:textId="6D43EA0F" w:rsidR="00EB6045" w:rsidRPr="00BC4A33" w:rsidRDefault="00EB6045" w:rsidP="00BC4A33">
      <w:pPr>
        <w:pStyle w:val="NoSpacing"/>
        <w:spacing w:line="276" w:lineRule="auto"/>
        <w:jc w:val="center"/>
        <w:rPr>
          <w:rFonts w:ascii="Times New Roman" w:hAnsi="Times New Roman" w:cs="Times New Roman"/>
          <w:i/>
          <w:iCs/>
          <w:color w:val="4472C4" w:themeColor="accent1"/>
          <w:sz w:val="20"/>
          <w:szCs w:val="20"/>
        </w:rPr>
      </w:pPr>
      <w:r w:rsidRPr="00BC4A33">
        <w:rPr>
          <w:rFonts w:ascii="Times New Roman" w:hAnsi="Times New Roman" w:cs="Times New Roman"/>
          <w:b/>
          <w:bCs/>
          <w:i/>
          <w:iCs/>
          <w:color w:val="4472C4" w:themeColor="accent1"/>
          <w:sz w:val="20"/>
          <w:szCs w:val="20"/>
        </w:rPr>
        <w:t xml:space="preserve">Figure 4: </w:t>
      </w:r>
      <w:r w:rsidRPr="00BC4A33">
        <w:rPr>
          <w:rFonts w:ascii="Times New Roman" w:hAnsi="Times New Roman" w:cs="Times New Roman"/>
          <w:i/>
          <w:iCs/>
          <w:color w:val="4472C4" w:themeColor="accent1"/>
          <w:sz w:val="20"/>
          <w:szCs w:val="20"/>
        </w:rPr>
        <w:t xml:space="preserve">Thyroid </w:t>
      </w:r>
      <w:r w:rsidR="005C1007" w:rsidRPr="00BC4A33">
        <w:rPr>
          <w:rFonts w:ascii="Times New Roman" w:hAnsi="Times New Roman" w:cs="Times New Roman"/>
          <w:i/>
          <w:iCs/>
          <w:color w:val="4472C4" w:themeColor="accent1"/>
          <w:sz w:val="20"/>
          <w:szCs w:val="20"/>
        </w:rPr>
        <w:t>d</w:t>
      </w:r>
      <w:r w:rsidRPr="00BC4A33">
        <w:rPr>
          <w:rFonts w:ascii="Times New Roman" w:hAnsi="Times New Roman" w:cs="Times New Roman"/>
          <w:i/>
          <w:iCs/>
          <w:color w:val="4472C4" w:themeColor="accent1"/>
          <w:sz w:val="20"/>
          <w:szCs w:val="20"/>
        </w:rPr>
        <w:t xml:space="preserve">ysfunction in </w:t>
      </w:r>
      <w:r w:rsidR="005C1007" w:rsidRPr="00BC4A33">
        <w:rPr>
          <w:rFonts w:ascii="Times New Roman" w:hAnsi="Times New Roman" w:cs="Times New Roman"/>
          <w:i/>
          <w:iCs/>
          <w:color w:val="4472C4" w:themeColor="accent1"/>
          <w:sz w:val="20"/>
          <w:szCs w:val="20"/>
        </w:rPr>
        <w:t>p</w:t>
      </w:r>
      <w:r w:rsidRPr="00BC4A33">
        <w:rPr>
          <w:rFonts w:ascii="Times New Roman" w:hAnsi="Times New Roman" w:cs="Times New Roman"/>
          <w:i/>
          <w:iCs/>
          <w:color w:val="4472C4" w:themeColor="accent1"/>
          <w:sz w:val="20"/>
          <w:szCs w:val="20"/>
        </w:rPr>
        <w:t>atients</w:t>
      </w:r>
    </w:p>
    <w:p w14:paraId="2F87FCDF" w14:textId="77777777" w:rsidR="00EB6045" w:rsidRPr="00BC4A33" w:rsidRDefault="00EB6045" w:rsidP="00BC4A33">
      <w:pPr>
        <w:pStyle w:val="NoSpacing"/>
        <w:spacing w:line="276" w:lineRule="auto"/>
        <w:jc w:val="both"/>
        <w:rPr>
          <w:rFonts w:ascii="Times New Roman" w:hAnsi="Times New Roman" w:cs="Times New Roman"/>
          <w:b/>
          <w:bCs/>
          <w:sz w:val="20"/>
          <w:szCs w:val="20"/>
        </w:rPr>
      </w:pPr>
    </w:p>
    <w:p w14:paraId="6355ADE8" w14:textId="77777777" w:rsidR="00D94B5B" w:rsidRPr="00BC4A33" w:rsidRDefault="0001054F"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DISCUSSION</w:t>
      </w:r>
    </w:p>
    <w:p w14:paraId="230BA2C0" w14:textId="231193F4" w:rsidR="004913DA" w:rsidRPr="00BC4A33" w:rsidRDefault="004913DA" w:rsidP="00BC4A33">
      <w:pPr>
        <w:pStyle w:val="NoSpacing"/>
        <w:spacing w:line="276" w:lineRule="auto"/>
        <w:jc w:val="both"/>
        <w:rPr>
          <w:rFonts w:ascii="Times New Roman" w:hAnsi="Times New Roman" w:cs="Times New Roman"/>
          <w:color w:val="000000"/>
          <w:sz w:val="20"/>
          <w:szCs w:val="20"/>
        </w:rPr>
      </w:pPr>
      <w:r w:rsidRPr="00BC4A33">
        <w:rPr>
          <w:rFonts w:ascii="Times New Roman" w:hAnsi="Times New Roman" w:cs="Times New Roman"/>
          <w:color w:val="000000"/>
          <w:sz w:val="20"/>
          <w:szCs w:val="20"/>
        </w:rPr>
        <w:t>This prospective study provides important insights into the clinical presentation of heart failure patients in a Bangladeshi community hospital setting. Our findings reveal several key patterns that warrant discussion in the context of both regional and global heart failure epidemiology.</w:t>
      </w:r>
      <w:r w:rsidR="00F17703" w:rsidRPr="00BC4A33">
        <w:rPr>
          <w:rFonts w:ascii="Times New Roman" w:hAnsi="Times New Roman" w:cs="Times New Roman"/>
          <w:color w:val="000000"/>
          <w:sz w:val="20"/>
          <w:szCs w:val="20"/>
        </w:rPr>
        <w:t xml:space="preserve"> </w:t>
      </w:r>
      <w:r w:rsidRPr="00BC4A33">
        <w:rPr>
          <w:rFonts w:ascii="Times New Roman" w:hAnsi="Times New Roman" w:cs="Times New Roman"/>
          <w:color w:val="000000"/>
          <w:sz w:val="20"/>
          <w:szCs w:val="20"/>
        </w:rPr>
        <w:t>The demographic profile of our cohort, with a mean age of 62.4 years and male predominance (75.2%), aligns with previous reports from South Asia [1</w:t>
      </w:r>
      <w:r w:rsidR="00496538" w:rsidRPr="00BC4A33">
        <w:rPr>
          <w:rFonts w:ascii="Times New Roman" w:hAnsi="Times New Roman" w:cs="Times New Roman"/>
          <w:color w:val="000000"/>
          <w:sz w:val="20"/>
          <w:szCs w:val="20"/>
        </w:rPr>
        <w:t>2</w:t>
      </w:r>
      <w:r w:rsidRPr="00BC4A33">
        <w:rPr>
          <w:rFonts w:ascii="Times New Roman" w:hAnsi="Times New Roman" w:cs="Times New Roman"/>
          <w:color w:val="000000"/>
          <w:sz w:val="20"/>
          <w:szCs w:val="20"/>
        </w:rPr>
        <w:t>,1</w:t>
      </w:r>
      <w:r w:rsidR="00496538" w:rsidRPr="00BC4A33">
        <w:rPr>
          <w:rFonts w:ascii="Times New Roman" w:hAnsi="Times New Roman" w:cs="Times New Roman"/>
          <w:color w:val="000000"/>
          <w:sz w:val="20"/>
          <w:szCs w:val="20"/>
        </w:rPr>
        <w:t>7</w:t>
      </w:r>
      <w:r w:rsidRPr="00BC4A33">
        <w:rPr>
          <w:rFonts w:ascii="Times New Roman" w:hAnsi="Times New Roman" w:cs="Times New Roman"/>
          <w:color w:val="000000"/>
          <w:sz w:val="20"/>
          <w:szCs w:val="20"/>
        </w:rPr>
        <w:t>] but contrasts with Western populations where heart failure typically presents at older ages [1</w:t>
      </w:r>
      <w:r w:rsidR="00496538" w:rsidRPr="00BC4A33">
        <w:rPr>
          <w:rFonts w:ascii="Times New Roman" w:hAnsi="Times New Roman" w:cs="Times New Roman"/>
          <w:color w:val="000000"/>
          <w:sz w:val="20"/>
          <w:szCs w:val="20"/>
        </w:rPr>
        <w:t>8</w:t>
      </w:r>
      <w:r w:rsidRPr="00BC4A33">
        <w:rPr>
          <w:rFonts w:ascii="Times New Roman" w:hAnsi="Times New Roman" w:cs="Times New Roman"/>
          <w:color w:val="000000"/>
          <w:sz w:val="20"/>
          <w:szCs w:val="20"/>
        </w:rPr>
        <w:t>]. This difference may reflect regional variations in cardiovascular risk factor distribution and life expectancy. The high prevalence of reduced ejection fraction (81.4%) in our study is particularly notable, exceeding rates reported in many international registries [</w:t>
      </w:r>
      <w:r w:rsidR="00496538" w:rsidRPr="00BC4A33">
        <w:rPr>
          <w:rFonts w:ascii="Times New Roman" w:hAnsi="Times New Roman" w:cs="Times New Roman"/>
          <w:color w:val="000000"/>
          <w:sz w:val="20"/>
          <w:szCs w:val="20"/>
        </w:rPr>
        <w:t>19</w:t>
      </w:r>
      <w:r w:rsidRPr="00BC4A33">
        <w:rPr>
          <w:rFonts w:ascii="Times New Roman" w:hAnsi="Times New Roman" w:cs="Times New Roman"/>
          <w:color w:val="000000"/>
          <w:sz w:val="20"/>
          <w:szCs w:val="20"/>
        </w:rPr>
        <w:t>]. This finding suggests that patients in our setting may present at more advanced disease stages, possibly due to delayed healthcare access or differences in underlying etiologies.</w:t>
      </w:r>
      <w:r w:rsidR="00F17703" w:rsidRPr="00BC4A33">
        <w:rPr>
          <w:rFonts w:ascii="Times New Roman" w:hAnsi="Times New Roman" w:cs="Times New Roman"/>
          <w:color w:val="000000"/>
          <w:sz w:val="20"/>
          <w:szCs w:val="20"/>
        </w:rPr>
        <w:t xml:space="preserve"> </w:t>
      </w:r>
      <w:r w:rsidRPr="00BC4A33">
        <w:rPr>
          <w:rFonts w:ascii="Times New Roman" w:hAnsi="Times New Roman" w:cs="Times New Roman"/>
          <w:color w:val="000000"/>
          <w:sz w:val="20"/>
          <w:szCs w:val="20"/>
        </w:rPr>
        <w:t>The symptom profile observed - with dyspnea (96.5%), orthopnea (86.7%), and crepitations (92.9%) being nearly universal - demonstrates the classic congestive picture of heart failure in this population. These rates are substantially higher than those reported in some international studies [2</w:t>
      </w:r>
      <w:r w:rsidR="00496538" w:rsidRPr="00BC4A33">
        <w:rPr>
          <w:rFonts w:ascii="Times New Roman" w:hAnsi="Times New Roman" w:cs="Times New Roman"/>
          <w:color w:val="000000"/>
          <w:sz w:val="20"/>
          <w:szCs w:val="20"/>
        </w:rPr>
        <w:t>0</w:t>
      </w:r>
      <w:r w:rsidRPr="00BC4A33">
        <w:rPr>
          <w:rFonts w:ascii="Times New Roman" w:hAnsi="Times New Roman" w:cs="Times New Roman"/>
          <w:color w:val="000000"/>
          <w:sz w:val="20"/>
          <w:szCs w:val="20"/>
        </w:rPr>
        <w:t>], potentially indicating more severe clinical presentations at the time of hospitalization. The frequent physical findings of edema (83.2%) and elevated JVP (59.3%) further support this interpretation and emphasize the fluid overload state characteristic of decompensated heart failure in our cohort.</w:t>
      </w:r>
      <w:r w:rsidR="00F17703" w:rsidRPr="00BC4A33">
        <w:rPr>
          <w:rFonts w:ascii="Times New Roman" w:hAnsi="Times New Roman" w:cs="Times New Roman"/>
          <w:color w:val="000000"/>
          <w:sz w:val="20"/>
          <w:szCs w:val="20"/>
        </w:rPr>
        <w:t xml:space="preserve"> </w:t>
      </w:r>
      <w:r w:rsidRPr="00BC4A33">
        <w:rPr>
          <w:rFonts w:ascii="Times New Roman" w:hAnsi="Times New Roman" w:cs="Times New Roman"/>
          <w:color w:val="000000"/>
          <w:sz w:val="20"/>
          <w:szCs w:val="20"/>
        </w:rPr>
        <w:t>The comorbidity burden we documented, particularly the high rates of diabetes (72.6%) and hypertension (60.2%), exceeds global averages [2</w:t>
      </w:r>
      <w:r w:rsidR="00F0538A" w:rsidRPr="00BC4A33">
        <w:rPr>
          <w:rFonts w:ascii="Times New Roman" w:hAnsi="Times New Roman" w:cs="Times New Roman"/>
          <w:color w:val="000000"/>
          <w:sz w:val="20"/>
          <w:szCs w:val="20"/>
        </w:rPr>
        <w:t>1</w:t>
      </w:r>
      <w:r w:rsidRPr="00BC4A33">
        <w:rPr>
          <w:rFonts w:ascii="Times New Roman" w:hAnsi="Times New Roman" w:cs="Times New Roman"/>
          <w:color w:val="000000"/>
          <w:sz w:val="20"/>
          <w:szCs w:val="20"/>
        </w:rPr>
        <w:t>] and mirrors patterns seen in other Bangladeshi studies [</w:t>
      </w:r>
      <w:r w:rsidR="00F0538A" w:rsidRPr="00BC4A33">
        <w:rPr>
          <w:rFonts w:ascii="Times New Roman" w:hAnsi="Times New Roman" w:cs="Times New Roman"/>
          <w:color w:val="000000"/>
          <w:sz w:val="20"/>
          <w:szCs w:val="20"/>
        </w:rPr>
        <w:t>15</w:t>
      </w:r>
      <w:r w:rsidRPr="00BC4A33">
        <w:rPr>
          <w:rFonts w:ascii="Times New Roman" w:hAnsi="Times New Roman" w:cs="Times New Roman"/>
          <w:color w:val="000000"/>
          <w:sz w:val="20"/>
          <w:szCs w:val="20"/>
        </w:rPr>
        <w:t>]. This metabolic risk factor clustering likely contributes significantly to both the development and progression of heart failure in this population. The predominance of ischemic cardiomyopathy (51.3%) and hypertensive heart disease (60.2%) as etiologies contrasts with data from high-income countries, where non-ischemic causes are more common [2</w:t>
      </w:r>
      <w:r w:rsidR="006737FF" w:rsidRPr="00BC4A33">
        <w:rPr>
          <w:rFonts w:ascii="Times New Roman" w:hAnsi="Times New Roman" w:cs="Times New Roman"/>
          <w:color w:val="000000"/>
          <w:sz w:val="20"/>
          <w:szCs w:val="20"/>
        </w:rPr>
        <w:t>2</w:t>
      </w:r>
      <w:r w:rsidRPr="00BC4A33">
        <w:rPr>
          <w:rFonts w:ascii="Times New Roman" w:hAnsi="Times New Roman" w:cs="Times New Roman"/>
          <w:color w:val="000000"/>
          <w:sz w:val="20"/>
          <w:szCs w:val="20"/>
        </w:rPr>
        <w:t>], highlighting important regional differences in disease pathophysiology.</w:t>
      </w:r>
      <w:r w:rsidR="00F17703" w:rsidRPr="00BC4A33">
        <w:rPr>
          <w:rFonts w:ascii="Times New Roman" w:hAnsi="Times New Roman" w:cs="Times New Roman"/>
          <w:color w:val="000000"/>
          <w:sz w:val="20"/>
          <w:szCs w:val="20"/>
        </w:rPr>
        <w:t xml:space="preserve"> </w:t>
      </w:r>
      <w:r w:rsidRPr="00BC4A33">
        <w:rPr>
          <w:rFonts w:ascii="Times New Roman" w:hAnsi="Times New Roman" w:cs="Times New Roman"/>
          <w:color w:val="000000"/>
          <w:sz w:val="20"/>
          <w:szCs w:val="20"/>
        </w:rPr>
        <w:t xml:space="preserve">Several findings from our study have important clinical implications. First, the high prevalence of uncontrolled metabolic comorbidities suggests opportunities for improved primary and secondary prevention strategies. Second, the predominance of volume overload signs indicates potential benefits from more aggressive diuretic protocols and patient education about fluid management. Third, the frequent coexistence of atrial fibrillation (43.4%) underscores </w:t>
      </w:r>
      <w:r w:rsidR="00E11218" w:rsidRPr="00BC4A33">
        <w:rPr>
          <w:rFonts w:ascii="Times New Roman" w:hAnsi="Times New Roman" w:cs="Times New Roman"/>
          <w:color w:val="000000"/>
          <w:sz w:val="20"/>
          <w:szCs w:val="20"/>
        </w:rPr>
        <w:t>this population's need for better anticoagulation practices</w:t>
      </w:r>
      <w:r w:rsidRPr="00BC4A33">
        <w:rPr>
          <w:rFonts w:ascii="Times New Roman" w:hAnsi="Times New Roman" w:cs="Times New Roman"/>
          <w:color w:val="000000"/>
          <w:sz w:val="20"/>
          <w:szCs w:val="20"/>
        </w:rPr>
        <w:t>.</w:t>
      </w:r>
      <w:r w:rsidR="00F17703" w:rsidRPr="00BC4A33">
        <w:rPr>
          <w:rFonts w:ascii="Times New Roman" w:hAnsi="Times New Roman" w:cs="Times New Roman"/>
          <w:color w:val="000000"/>
          <w:sz w:val="20"/>
          <w:szCs w:val="20"/>
        </w:rPr>
        <w:t xml:space="preserve"> </w:t>
      </w:r>
      <w:r w:rsidRPr="00BC4A33">
        <w:rPr>
          <w:rFonts w:ascii="Times New Roman" w:hAnsi="Times New Roman" w:cs="Times New Roman"/>
          <w:color w:val="000000"/>
          <w:sz w:val="20"/>
          <w:szCs w:val="20"/>
        </w:rPr>
        <w:t>The hemodynamic parameters we observed, particularly the predominance of lower blood pressures (systolic BP &lt;116 mmHg in 78.8%) and tachycardia (69.9%), may reflect both the severity of presentations and the high proportion of reduced ejection fraction cases. These findings have therapeutic implications, as they suggest many patients might tolerate and benefit from guideline-directed medical therapy, including beta-blockers and ACE inhibitors [2</w:t>
      </w:r>
      <w:r w:rsidR="006737FF" w:rsidRPr="00BC4A33">
        <w:rPr>
          <w:rFonts w:ascii="Times New Roman" w:hAnsi="Times New Roman" w:cs="Times New Roman"/>
          <w:color w:val="000000"/>
          <w:sz w:val="20"/>
          <w:szCs w:val="20"/>
        </w:rPr>
        <w:t>3</w:t>
      </w:r>
      <w:r w:rsidRPr="00BC4A33">
        <w:rPr>
          <w:rFonts w:ascii="Times New Roman" w:hAnsi="Times New Roman" w:cs="Times New Roman"/>
          <w:color w:val="000000"/>
          <w:sz w:val="20"/>
          <w:szCs w:val="20"/>
        </w:rPr>
        <w:t xml:space="preserve">].  </w:t>
      </w:r>
    </w:p>
    <w:p w14:paraId="50E6BE5D" w14:textId="77777777" w:rsidR="00912275" w:rsidRPr="00BC4A33" w:rsidRDefault="00912275" w:rsidP="00BC4A33">
      <w:pPr>
        <w:pStyle w:val="NoSpacing"/>
        <w:spacing w:line="276" w:lineRule="auto"/>
        <w:jc w:val="both"/>
        <w:rPr>
          <w:rFonts w:ascii="Times New Roman" w:hAnsi="Times New Roman" w:cs="Times New Roman"/>
          <w:b/>
          <w:bCs/>
          <w:sz w:val="20"/>
          <w:szCs w:val="20"/>
        </w:rPr>
      </w:pPr>
    </w:p>
    <w:p w14:paraId="1FF95441" w14:textId="77777777" w:rsidR="00BC4A33" w:rsidRDefault="00BC4A33" w:rsidP="00BC4A33">
      <w:pPr>
        <w:pStyle w:val="NoSpacing"/>
        <w:spacing w:line="276" w:lineRule="auto"/>
        <w:jc w:val="both"/>
        <w:rPr>
          <w:rFonts w:ascii="Times New Roman" w:hAnsi="Times New Roman" w:cs="Times New Roman"/>
          <w:b/>
          <w:bCs/>
          <w:sz w:val="20"/>
          <w:szCs w:val="20"/>
        </w:rPr>
      </w:pPr>
    </w:p>
    <w:p w14:paraId="22765180" w14:textId="77777777" w:rsidR="00BC4A33" w:rsidRDefault="00BC4A33" w:rsidP="00BC4A33">
      <w:pPr>
        <w:pStyle w:val="NoSpacing"/>
        <w:spacing w:line="276" w:lineRule="auto"/>
        <w:jc w:val="both"/>
        <w:rPr>
          <w:rFonts w:ascii="Times New Roman" w:hAnsi="Times New Roman" w:cs="Times New Roman"/>
          <w:b/>
          <w:bCs/>
          <w:sz w:val="20"/>
          <w:szCs w:val="20"/>
        </w:rPr>
      </w:pPr>
    </w:p>
    <w:p w14:paraId="3CDCF194" w14:textId="3B220067" w:rsidR="00D94B5B" w:rsidRPr="00BC4A33" w:rsidRDefault="0001054F"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Limitations:</w:t>
      </w:r>
    </w:p>
    <w:p w14:paraId="6A9D7C65" w14:textId="1E2D34E2" w:rsidR="00A92591" w:rsidRPr="00BC4A33" w:rsidRDefault="00705926"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sz w:val="20"/>
          <w:szCs w:val="20"/>
        </w:rPr>
        <w:t xml:space="preserve">This study has several limitations, including its single-center design, which may affect generalizability, and the use of purposive sampling, which could introduce selection bias. Additionally, the lack of long-term follow-up </w:t>
      </w:r>
      <w:r w:rsidRPr="00BC4A33">
        <w:rPr>
          <w:rFonts w:ascii="Times New Roman" w:hAnsi="Times New Roman" w:cs="Times New Roman"/>
          <w:sz w:val="20"/>
          <w:szCs w:val="20"/>
        </w:rPr>
        <w:lastRenderedPageBreak/>
        <w:t>data and advanced biomarkers limits our ability to assess prognostic outcomes and more nuanced pathophysiological insights.</w:t>
      </w:r>
    </w:p>
    <w:p w14:paraId="1E164AD8" w14:textId="77777777" w:rsidR="00A92591" w:rsidRPr="00BC4A33" w:rsidRDefault="00A92591" w:rsidP="00BC4A33">
      <w:pPr>
        <w:pStyle w:val="NoSpacing"/>
        <w:spacing w:line="276" w:lineRule="auto"/>
        <w:jc w:val="both"/>
        <w:rPr>
          <w:rFonts w:ascii="Times New Roman" w:hAnsi="Times New Roman" w:cs="Times New Roman"/>
          <w:b/>
          <w:bCs/>
          <w:sz w:val="20"/>
          <w:szCs w:val="20"/>
        </w:rPr>
      </w:pPr>
    </w:p>
    <w:p w14:paraId="0D9C22D5" w14:textId="39F0F842" w:rsidR="00E11218" w:rsidRPr="00BC4A33" w:rsidRDefault="0001054F"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b/>
          <w:bCs/>
          <w:sz w:val="20"/>
          <w:szCs w:val="20"/>
        </w:rPr>
        <w:t>CONCLUSION</w:t>
      </w:r>
    </w:p>
    <w:p w14:paraId="77493703" w14:textId="620C5169" w:rsidR="00A92591" w:rsidRPr="00BC4A33" w:rsidRDefault="00705926" w:rsidP="00BC4A33">
      <w:pPr>
        <w:pStyle w:val="NoSpacing"/>
        <w:spacing w:line="276" w:lineRule="auto"/>
        <w:jc w:val="both"/>
        <w:rPr>
          <w:rFonts w:ascii="Times New Roman" w:hAnsi="Times New Roman" w:cs="Times New Roman"/>
          <w:b/>
          <w:bCs/>
          <w:sz w:val="20"/>
          <w:szCs w:val="20"/>
        </w:rPr>
      </w:pPr>
      <w:r w:rsidRPr="00BC4A33">
        <w:rPr>
          <w:rFonts w:ascii="Times New Roman" w:hAnsi="Times New Roman" w:cs="Times New Roman"/>
          <w:sz w:val="20"/>
          <w:szCs w:val="20"/>
        </w:rPr>
        <w:t>This study reveals that heart failure patients in a Bangladeshi community hospital predominantly present with reduced ejection fraction, severe congestive symptoms, and high cardiometabolic comorbidities. The findings underscore the urgent need for improved prevention and management strategies targeting ischemic and hypertensive heart disease in resource-limited settings, where late presentations and complex risk factor burdens challenge optimal care delivery.</w:t>
      </w:r>
    </w:p>
    <w:p w14:paraId="52A7CF22" w14:textId="77777777" w:rsidR="00F17703" w:rsidRPr="00BC4A33" w:rsidRDefault="00F17703" w:rsidP="00BC4A33">
      <w:pPr>
        <w:pStyle w:val="Default"/>
        <w:spacing w:line="276" w:lineRule="auto"/>
        <w:jc w:val="both"/>
        <w:rPr>
          <w:b/>
          <w:bCs/>
          <w:sz w:val="20"/>
          <w:szCs w:val="20"/>
        </w:rPr>
      </w:pPr>
    </w:p>
    <w:p w14:paraId="3A853238" w14:textId="7B1E40C5" w:rsidR="00D94B5B" w:rsidRPr="00BC4A33" w:rsidRDefault="0001054F" w:rsidP="00BC4A33">
      <w:pPr>
        <w:pStyle w:val="Default"/>
        <w:spacing w:line="276" w:lineRule="auto"/>
        <w:jc w:val="both"/>
        <w:rPr>
          <w:b/>
          <w:bCs/>
          <w:sz w:val="20"/>
          <w:szCs w:val="20"/>
        </w:rPr>
      </w:pPr>
      <w:r w:rsidRPr="00BC4A33">
        <w:rPr>
          <w:b/>
          <w:bCs/>
          <w:sz w:val="20"/>
          <w:szCs w:val="20"/>
        </w:rPr>
        <w:t>Recommendation:</w:t>
      </w:r>
    </w:p>
    <w:p w14:paraId="03AB0032" w14:textId="11248881" w:rsidR="00A92591" w:rsidRDefault="00705926" w:rsidP="00BC4A33">
      <w:pPr>
        <w:pStyle w:val="Default"/>
        <w:spacing w:line="276" w:lineRule="auto"/>
        <w:jc w:val="both"/>
        <w:rPr>
          <w:sz w:val="20"/>
          <w:szCs w:val="20"/>
        </w:rPr>
      </w:pPr>
      <w:r w:rsidRPr="00BC4A33">
        <w:rPr>
          <w:sz w:val="20"/>
          <w:szCs w:val="20"/>
        </w:rPr>
        <w:t>To address these findings, we recommend implementing community-based screening programs for early heart failure detection, strengthening primary prevention of metabolic risk factors, and developing tailored management protocols for resource-limited settings. Additionally, enhancing patient education on symptom recognition and prioritizing research on context-specific treatment strategies could significantly improve outcomes in similar populations.</w:t>
      </w:r>
    </w:p>
    <w:p w14:paraId="41957489" w14:textId="69A1DBF4" w:rsidR="004829EF" w:rsidRDefault="004829EF" w:rsidP="00BC4A33">
      <w:pPr>
        <w:pStyle w:val="Default"/>
        <w:spacing w:line="276" w:lineRule="auto"/>
        <w:jc w:val="both"/>
        <w:rPr>
          <w:sz w:val="20"/>
          <w:szCs w:val="20"/>
        </w:rPr>
      </w:pPr>
    </w:p>
    <w:p w14:paraId="4F45A4A0" w14:textId="77777777" w:rsidR="004829EF" w:rsidRPr="00331112" w:rsidRDefault="004829EF" w:rsidP="004829EF">
      <w:pPr>
        <w:spacing w:after="200" w:line="276" w:lineRule="auto"/>
        <w:rPr>
          <w:rFonts w:eastAsia="Calibri"/>
          <w:kern w:val="2"/>
          <w:sz w:val="22"/>
          <w:szCs w:val="22"/>
          <w:highlight w:val="yellow"/>
          <w14:ligatures w14:val="standardContextual"/>
        </w:rPr>
      </w:pPr>
      <w:r w:rsidRPr="00331112">
        <w:rPr>
          <w:rFonts w:eastAsia="Calibri"/>
          <w:kern w:val="2"/>
          <w:sz w:val="22"/>
          <w:szCs w:val="22"/>
          <w:highlight w:val="yellow"/>
          <w14:ligatures w14:val="standardContextual"/>
        </w:rPr>
        <w:t>Disclaimer (Artificial intelligence)</w:t>
      </w:r>
    </w:p>
    <w:p w14:paraId="66EA0258" w14:textId="7BDEF02F" w:rsidR="00D94B5B" w:rsidRPr="00331112" w:rsidRDefault="00331112" w:rsidP="00BC4A33">
      <w:pPr>
        <w:pStyle w:val="Default"/>
        <w:spacing w:line="276" w:lineRule="auto"/>
        <w:jc w:val="both"/>
        <w:rPr>
          <w:rFonts w:eastAsia="Calibri"/>
          <w:color w:val="auto"/>
          <w:kern w:val="2"/>
          <w:sz w:val="22"/>
          <w:szCs w:val="22"/>
          <w14:ligatures w14:val="standardContextual"/>
        </w:rPr>
      </w:pPr>
      <w:r w:rsidRPr="00331112">
        <w:rPr>
          <w:rFonts w:eastAsia="Calibri"/>
          <w:color w:val="auto"/>
          <w:kern w:val="2"/>
          <w:sz w:val="22"/>
          <w:szCs w:val="22"/>
          <w:highlight w:val="green"/>
          <w14:ligatures w14:val="standardContextual"/>
        </w:rPr>
        <w:t xml:space="preserve">Author(s) hereby declare that NO generative AI technologies such as Large Language Models (ChatGPT, COPILOT, </w:t>
      </w:r>
      <w:r w:rsidRPr="00331112">
        <w:rPr>
          <w:rFonts w:eastAsia="Calibri"/>
          <w:color w:val="auto"/>
          <w:kern w:val="2"/>
          <w:sz w:val="22"/>
          <w:szCs w:val="22"/>
          <w:highlight w:val="green"/>
          <w14:ligatures w14:val="standardContextual"/>
        </w:rPr>
        <w:t>etc)</w:t>
      </w:r>
      <w:r w:rsidRPr="00331112">
        <w:rPr>
          <w:rFonts w:eastAsia="Calibri"/>
          <w:color w:val="auto"/>
          <w:kern w:val="2"/>
          <w:sz w:val="22"/>
          <w:szCs w:val="22"/>
          <w:highlight w:val="green"/>
          <w14:ligatures w14:val="standardContextual"/>
        </w:rPr>
        <w:t xml:space="preserve"> and text to image generators have been used during writing or editing of this manuscript.</w:t>
      </w:r>
    </w:p>
    <w:p w14:paraId="03709685" w14:textId="77777777" w:rsidR="00331112" w:rsidRPr="00BC4A33" w:rsidRDefault="00331112" w:rsidP="00BC4A33">
      <w:pPr>
        <w:pStyle w:val="Default"/>
        <w:spacing w:line="276" w:lineRule="auto"/>
        <w:jc w:val="both"/>
        <w:rPr>
          <w:sz w:val="20"/>
          <w:szCs w:val="20"/>
        </w:rPr>
      </w:pPr>
    </w:p>
    <w:p w14:paraId="3A68E839" w14:textId="77777777" w:rsidR="00D94B5B" w:rsidRPr="00BC4A33" w:rsidRDefault="0001054F" w:rsidP="00BC4A33">
      <w:pPr>
        <w:pStyle w:val="NoSpacing"/>
        <w:spacing w:line="276" w:lineRule="auto"/>
        <w:jc w:val="both"/>
        <w:rPr>
          <w:rFonts w:ascii="Times New Roman" w:hAnsi="Times New Roman" w:cs="Times New Roman"/>
          <w:b/>
          <w:bCs/>
          <w:sz w:val="20"/>
          <w:szCs w:val="20"/>
        </w:rPr>
      </w:pPr>
      <w:bookmarkStart w:id="2" w:name="_Hlk69502383"/>
      <w:r w:rsidRPr="00BC4A33">
        <w:rPr>
          <w:rFonts w:ascii="Times New Roman" w:hAnsi="Times New Roman" w:cs="Times New Roman"/>
          <w:b/>
          <w:bCs/>
          <w:sz w:val="20"/>
          <w:szCs w:val="20"/>
        </w:rPr>
        <w:t>REFERENCES</w:t>
      </w:r>
    </w:p>
    <w:bookmarkEnd w:id="2"/>
    <w:p w14:paraId="07376718" w14:textId="4A9DB829" w:rsidR="00D94B5B" w:rsidRPr="00BC4A33" w:rsidRDefault="005A3900"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Collaborators, G. B. D. "Global, regional, and national incidence, prevalence, and years lived with disability for 354 diseases and injuries for 195 countries and territories, 1990-2017: a systematic analysis for the Global Burden of Disease Study 2017." (2018).</w:t>
      </w:r>
    </w:p>
    <w:p w14:paraId="4A02F52A" w14:textId="1732B5D5" w:rsidR="005A3900" w:rsidRPr="00BC4A33" w:rsidRDefault="005A3900" w:rsidP="00BC4A33">
      <w:pPr>
        <w:pStyle w:val="ListParagraph"/>
        <w:numPr>
          <w:ilvl w:val="0"/>
          <w:numId w:val="1"/>
        </w:numPr>
        <w:spacing w:line="276" w:lineRule="auto"/>
        <w:jc w:val="both"/>
        <w:rPr>
          <w:rFonts w:ascii="Times New Roman" w:hAnsi="Times New Roman" w:cs="Times New Roman"/>
          <w:sz w:val="20"/>
          <w:szCs w:val="20"/>
        </w:rPr>
      </w:pPr>
      <w:proofErr w:type="spellStart"/>
      <w:r w:rsidRPr="00BC4A33">
        <w:rPr>
          <w:rFonts w:ascii="Times New Roman" w:hAnsi="Times New Roman" w:cs="Times New Roman"/>
          <w:sz w:val="20"/>
          <w:szCs w:val="20"/>
        </w:rPr>
        <w:t>Ponikowski</w:t>
      </w:r>
      <w:proofErr w:type="spellEnd"/>
      <w:r w:rsidRPr="00BC4A33">
        <w:rPr>
          <w:rFonts w:ascii="Times New Roman" w:hAnsi="Times New Roman" w:cs="Times New Roman"/>
          <w:sz w:val="20"/>
          <w:szCs w:val="20"/>
        </w:rPr>
        <w:t>, Piotr, et al. "Heart failure: preventing disease and death worldwide." ESC heart failure 1.1 (2014): 4-25.</w:t>
      </w:r>
    </w:p>
    <w:p w14:paraId="2F850DE9" w14:textId="561AFB6B" w:rsidR="005A3900" w:rsidRPr="00BC4A33" w:rsidRDefault="005A3900"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Savarese, Gianluigi, and Lars H. Lund. "Global public health burden of heart failure." Cardiac failure review 3.1 (2017): 7.</w:t>
      </w:r>
    </w:p>
    <w:p w14:paraId="1849684D" w14:textId="7905ABD5" w:rsidR="00D903DF" w:rsidRPr="00BC4A33" w:rsidRDefault="00D903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 xml:space="preserve">Rahman, Md </w:t>
      </w:r>
      <w:proofErr w:type="spellStart"/>
      <w:r w:rsidRPr="00BC4A33">
        <w:rPr>
          <w:rFonts w:ascii="Times New Roman" w:hAnsi="Times New Roman" w:cs="Times New Roman"/>
          <w:sz w:val="20"/>
          <w:szCs w:val="20"/>
        </w:rPr>
        <w:t>Toufiqur</w:t>
      </w:r>
      <w:proofErr w:type="spellEnd"/>
      <w:r w:rsidRPr="00BC4A33">
        <w:rPr>
          <w:rFonts w:ascii="Times New Roman" w:hAnsi="Times New Roman" w:cs="Times New Roman"/>
          <w:sz w:val="20"/>
          <w:szCs w:val="20"/>
        </w:rPr>
        <w:t>, et al. "Assessment of Heart Failure Patients in a Tertiary Care Hospital: A Retrospective Study." Bangladesh Heart Journal 38.1 (2023): 63-69.</w:t>
      </w:r>
    </w:p>
    <w:p w14:paraId="64268FC7" w14:textId="6DF1FE9B" w:rsidR="00D903DF" w:rsidRPr="00BC4A33" w:rsidRDefault="00D903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 xml:space="preserve">Irfan, SM Rezaul, et al. "Pattern of Cardiovascular Diseases in Diabetic population-a </w:t>
      </w:r>
      <w:r w:rsidR="00266391" w:rsidRPr="00BC4A33">
        <w:rPr>
          <w:rFonts w:ascii="Times New Roman" w:hAnsi="Times New Roman" w:cs="Times New Roman"/>
          <w:sz w:val="20"/>
          <w:szCs w:val="20"/>
        </w:rPr>
        <w:t>seven-year</w:t>
      </w:r>
      <w:r w:rsidRPr="00BC4A33">
        <w:rPr>
          <w:rFonts w:ascii="Times New Roman" w:hAnsi="Times New Roman" w:cs="Times New Roman"/>
          <w:sz w:val="20"/>
          <w:szCs w:val="20"/>
        </w:rPr>
        <w:t xml:space="preserve"> study in a tertiary care hospital of Bangladesh." Bangladesh Critical Care Journal 8.2 (2020): 96-101.</w:t>
      </w:r>
    </w:p>
    <w:p w14:paraId="6FCDD10F" w14:textId="7F4EAAB9" w:rsidR="00D903DF" w:rsidRPr="00BC4A33" w:rsidRDefault="00D903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Yancy, Clyde W., et al. "2017 ACC/AHA/HFSA focused update of the 2013 ACCF/AHA guideline for the management of heart failure: a report of the American College of Cardiology/American Heart Association Task Force on Clinical Practice Guidelines and the Heart Failure Society of America." Journal of the American college of cardiology 70.6 (2017): 776-803.</w:t>
      </w:r>
    </w:p>
    <w:p w14:paraId="7A23FA17" w14:textId="2C4226D5" w:rsidR="00D903DF" w:rsidRPr="00BC4A33" w:rsidRDefault="00D903DF" w:rsidP="00BC4A33">
      <w:pPr>
        <w:pStyle w:val="ListParagraph"/>
        <w:numPr>
          <w:ilvl w:val="0"/>
          <w:numId w:val="1"/>
        </w:numPr>
        <w:spacing w:line="276" w:lineRule="auto"/>
        <w:jc w:val="both"/>
        <w:rPr>
          <w:rFonts w:ascii="Times New Roman" w:hAnsi="Times New Roman" w:cs="Times New Roman"/>
          <w:sz w:val="20"/>
          <w:szCs w:val="20"/>
        </w:rPr>
      </w:pPr>
      <w:proofErr w:type="spellStart"/>
      <w:r w:rsidRPr="00BC4A33">
        <w:rPr>
          <w:rFonts w:ascii="Times New Roman" w:hAnsi="Times New Roman" w:cs="Times New Roman"/>
          <w:sz w:val="20"/>
          <w:szCs w:val="20"/>
        </w:rPr>
        <w:t>Dokainish</w:t>
      </w:r>
      <w:proofErr w:type="spellEnd"/>
      <w:r w:rsidRPr="00BC4A33">
        <w:rPr>
          <w:rFonts w:ascii="Times New Roman" w:hAnsi="Times New Roman" w:cs="Times New Roman"/>
          <w:sz w:val="20"/>
          <w:szCs w:val="20"/>
        </w:rPr>
        <w:t>, Hisham, et al. "Global mortality variations in patients with heart failure: results from the International Congestive Heart Failure (INTER-CHF) prospective cohort study." The Lancet Global Health 5.7 (2017): e665-e672.</w:t>
      </w:r>
    </w:p>
    <w:p w14:paraId="4BDC08B2" w14:textId="45C7CFFB" w:rsidR="00D903DF" w:rsidRPr="00BC4A33" w:rsidRDefault="00D903DF" w:rsidP="00BC4A33">
      <w:pPr>
        <w:pStyle w:val="ListParagraph"/>
        <w:numPr>
          <w:ilvl w:val="0"/>
          <w:numId w:val="1"/>
        </w:numPr>
        <w:spacing w:line="276" w:lineRule="auto"/>
        <w:jc w:val="both"/>
        <w:rPr>
          <w:rFonts w:ascii="Times New Roman" w:hAnsi="Times New Roman" w:cs="Times New Roman"/>
          <w:sz w:val="20"/>
          <w:szCs w:val="20"/>
        </w:rPr>
      </w:pPr>
      <w:proofErr w:type="spellStart"/>
      <w:r w:rsidRPr="00BC4A33">
        <w:rPr>
          <w:rFonts w:ascii="Times New Roman" w:hAnsi="Times New Roman" w:cs="Times New Roman"/>
          <w:sz w:val="20"/>
          <w:szCs w:val="20"/>
        </w:rPr>
        <w:t>Dokainish</w:t>
      </w:r>
      <w:proofErr w:type="spellEnd"/>
      <w:r w:rsidRPr="00BC4A33">
        <w:rPr>
          <w:rFonts w:ascii="Times New Roman" w:hAnsi="Times New Roman" w:cs="Times New Roman"/>
          <w:sz w:val="20"/>
          <w:szCs w:val="20"/>
        </w:rPr>
        <w:t>, Hisham, et al. "Global mortality variations in patients with heart failure: results from the International Congestive Heart Failure (INTER-CHF) prospective cohort study." The Lancet Global Health 5.7 (2017): e665-e672.</w:t>
      </w:r>
    </w:p>
    <w:p w14:paraId="5066AE41" w14:textId="79EDD3B3" w:rsidR="005D1022" w:rsidRPr="00BC4A33" w:rsidRDefault="005D1022"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 xml:space="preserve">Prabhakaran, </w:t>
      </w:r>
      <w:proofErr w:type="spellStart"/>
      <w:r w:rsidRPr="00BC4A33">
        <w:rPr>
          <w:rFonts w:ascii="Times New Roman" w:hAnsi="Times New Roman" w:cs="Times New Roman"/>
          <w:sz w:val="20"/>
          <w:szCs w:val="20"/>
        </w:rPr>
        <w:t>Dorairaj</w:t>
      </w:r>
      <w:proofErr w:type="spellEnd"/>
      <w:r w:rsidRPr="00BC4A33">
        <w:rPr>
          <w:rFonts w:ascii="Times New Roman" w:hAnsi="Times New Roman" w:cs="Times New Roman"/>
          <w:sz w:val="20"/>
          <w:szCs w:val="20"/>
        </w:rPr>
        <w:t xml:space="preserve">, et al. "The changing patterns of cardiovascular diseases and their risk factors in the states of India: </w:t>
      </w:r>
      <w:r w:rsidR="00BC4A33" w:rsidRPr="00BC4A33">
        <w:rPr>
          <w:rFonts w:ascii="Times New Roman" w:hAnsi="Times New Roman" w:cs="Times New Roman"/>
          <w:sz w:val="20"/>
          <w:szCs w:val="20"/>
        </w:rPr>
        <w:t>The</w:t>
      </w:r>
      <w:r w:rsidRPr="00BC4A33">
        <w:rPr>
          <w:rFonts w:ascii="Times New Roman" w:hAnsi="Times New Roman" w:cs="Times New Roman"/>
          <w:sz w:val="20"/>
          <w:szCs w:val="20"/>
        </w:rPr>
        <w:t xml:space="preserve"> Global Burden of Disease Study 1990–2016." The Lancet Global Health 6.12 (2018): e1339-e1351.</w:t>
      </w:r>
    </w:p>
    <w:p w14:paraId="04CF2632" w14:textId="3ECE47C2" w:rsidR="006C3CDF" w:rsidRPr="00BC4A33" w:rsidRDefault="006C3CDF" w:rsidP="00BC4A33">
      <w:pPr>
        <w:pStyle w:val="ListParagraph"/>
        <w:numPr>
          <w:ilvl w:val="0"/>
          <w:numId w:val="1"/>
        </w:numPr>
        <w:spacing w:line="276" w:lineRule="auto"/>
        <w:jc w:val="both"/>
        <w:rPr>
          <w:rFonts w:ascii="Times New Roman" w:hAnsi="Times New Roman" w:cs="Times New Roman"/>
          <w:sz w:val="20"/>
          <w:szCs w:val="20"/>
        </w:rPr>
      </w:pPr>
      <w:proofErr w:type="spellStart"/>
      <w:r w:rsidRPr="00BC4A33">
        <w:rPr>
          <w:rFonts w:ascii="Times New Roman" w:hAnsi="Times New Roman" w:cs="Times New Roman"/>
          <w:sz w:val="20"/>
          <w:szCs w:val="20"/>
        </w:rPr>
        <w:t>Khatibzadeh</w:t>
      </w:r>
      <w:proofErr w:type="spellEnd"/>
      <w:r w:rsidRPr="00BC4A33">
        <w:rPr>
          <w:rFonts w:ascii="Times New Roman" w:hAnsi="Times New Roman" w:cs="Times New Roman"/>
          <w:sz w:val="20"/>
          <w:szCs w:val="20"/>
        </w:rPr>
        <w:t>, Shahab, et al. "Worldwide risk factors for heart failure: a systematic review and pooled analysis." International journal of cardiology 168.2 (2013): 1186-1194.</w:t>
      </w:r>
    </w:p>
    <w:p w14:paraId="02F6E345" w14:textId="70E57576" w:rsidR="006C3CDF" w:rsidRPr="00BC4A33" w:rsidRDefault="006C3C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 xml:space="preserve">Islam, Sami Nazrul, et al. "Established and Emerging </w:t>
      </w:r>
      <w:r w:rsidR="00E11218" w:rsidRPr="00BC4A33">
        <w:rPr>
          <w:rFonts w:ascii="Times New Roman" w:hAnsi="Times New Roman" w:cs="Times New Roman"/>
          <w:sz w:val="20"/>
          <w:szCs w:val="20"/>
        </w:rPr>
        <w:t>Biomarkers</w:t>
      </w:r>
      <w:r w:rsidRPr="00BC4A33">
        <w:rPr>
          <w:rFonts w:ascii="Times New Roman" w:hAnsi="Times New Roman" w:cs="Times New Roman"/>
          <w:sz w:val="20"/>
          <w:szCs w:val="20"/>
        </w:rPr>
        <w:t xml:space="preserve"> in Chronic Heart Failure." Bangladesh Heart Journal 38.2 (2023): 135-142.</w:t>
      </w:r>
    </w:p>
    <w:p w14:paraId="04917DCC" w14:textId="4716D9B7" w:rsidR="006C3CDF" w:rsidRPr="00BC4A33" w:rsidRDefault="006C3CDF"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lastRenderedPageBreak/>
        <w:t>Martinez-Amezcua, Pablo, et al. "The upcoming epidemic of heart failure in South Asia." Circulation: Heart Failure 13.10 (2020): e007218.</w:t>
      </w:r>
    </w:p>
    <w:p w14:paraId="728FD1FB" w14:textId="44F7E7E5" w:rsidR="00C8794A" w:rsidRPr="00BC4A33" w:rsidRDefault="00C8794A" w:rsidP="00BC4A33">
      <w:pPr>
        <w:pStyle w:val="ListParagraph"/>
        <w:numPr>
          <w:ilvl w:val="0"/>
          <w:numId w:val="1"/>
        </w:numPr>
        <w:spacing w:line="276" w:lineRule="auto"/>
        <w:jc w:val="both"/>
        <w:rPr>
          <w:rFonts w:ascii="Times New Roman" w:hAnsi="Times New Roman" w:cs="Times New Roman"/>
          <w:sz w:val="20"/>
          <w:szCs w:val="20"/>
        </w:rPr>
      </w:pPr>
      <w:proofErr w:type="spellStart"/>
      <w:r w:rsidRPr="00BC4A33">
        <w:rPr>
          <w:rFonts w:ascii="Times New Roman" w:hAnsi="Times New Roman" w:cs="Times New Roman"/>
          <w:sz w:val="20"/>
          <w:szCs w:val="20"/>
        </w:rPr>
        <w:t>Okwuosa</w:t>
      </w:r>
      <w:proofErr w:type="spellEnd"/>
      <w:r w:rsidRPr="00BC4A33">
        <w:rPr>
          <w:rFonts w:ascii="Times New Roman" w:hAnsi="Times New Roman" w:cs="Times New Roman"/>
          <w:sz w:val="20"/>
          <w:szCs w:val="20"/>
        </w:rPr>
        <w:t>, Ike S., et al. "Worldwide disparities in cardiovascular disease: challenges and solutions." International journal of cardiology 202 (2016): 433-440.</w:t>
      </w:r>
    </w:p>
    <w:p w14:paraId="2DE9C14E" w14:textId="0B272DA7" w:rsidR="00C8794A" w:rsidRPr="00BC4A33" w:rsidRDefault="00C8794A"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 xml:space="preserve">Siddique, Abubakar, </w:t>
      </w:r>
      <w:proofErr w:type="spellStart"/>
      <w:r w:rsidRPr="00BC4A33">
        <w:rPr>
          <w:rFonts w:ascii="Times New Roman" w:hAnsi="Times New Roman" w:cs="Times New Roman"/>
          <w:sz w:val="20"/>
          <w:szCs w:val="20"/>
        </w:rPr>
        <w:t>Fatoon</w:t>
      </w:r>
      <w:proofErr w:type="spellEnd"/>
      <w:r w:rsidRPr="00BC4A33">
        <w:rPr>
          <w:rFonts w:ascii="Times New Roman" w:hAnsi="Times New Roman" w:cs="Times New Roman"/>
          <w:sz w:val="20"/>
          <w:szCs w:val="20"/>
        </w:rPr>
        <w:t xml:space="preserve"> Mohammed </w:t>
      </w:r>
      <w:proofErr w:type="spellStart"/>
      <w:r w:rsidRPr="00BC4A33">
        <w:rPr>
          <w:rFonts w:ascii="Times New Roman" w:hAnsi="Times New Roman" w:cs="Times New Roman"/>
          <w:sz w:val="20"/>
          <w:szCs w:val="20"/>
        </w:rPr>
        <w:t>Otaibi</w:t>
      </w:r>
      <w:proofErr w:type="spellEnd"/>
      <w:r w:rsidRPr="00BC4A33">
        <w:rPr>
          <w:rFonts w:ascii="Times New Roman" w:hAnsi="Times New Roman" w:cs="Times New Roman"/>
          <w:sz w:val="20"/>
          <w:szCs w:val="20"/>
        </w:rPr>
        <w:t>, and Safiya Fatima Khan. "Heart Failure Management in Developing Countries." Handbook of Medical and Health Sciences in Developing Countries: Education, Practice, and Research. Cham: Springer International Publishing, 2023. 1-28.</w:t>
      </w:r>
    </w:p>
    <w:p w14:paraId="400B1A4E" w14:textId="2DA8BE8C" w:rsidR="00C8794A" w:rsidRPr="00BC4A33" w:rsidRDefault="00C8794A"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Khanam, Masuma Akter, et al. "Hypertension: adherence to treatment in rural Bangladesh–findings from a population-based study." Global health action 7.1 (2014): 25028.</w:t>
      </w:r>
    </w:p>
    <w:p w14:paraId="4FC9E5B9" w14:textId="626D6570" w:rsidR="00DE4B1B" w:rsidRPr="00BC4A33" w:rsidRDefault="00DE4B1B"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McDonagh, Theresa A., et al. "2021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 European heart journal 42.36 (2021): 3599-3726.</w:t>
      </w:r>
    </w:p>
    <w:p w14:paraId="224367C6" w14:textId="252F1F33" w:rsidR="00496538" w:rsidRPr="00BC4A33" w:rsidRDefault="00496538"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Kaul, U., et al. "Consensus and development of document for management of stabilized acute decompensated heart failure with reduced ejection fraction in India." Indian Heart Journal 72.6 (2020): 477-481.</w:t>
      </w:r>
    </w:p>
    <w:p w14:paraId="626AC372" w14:textId="4CC65A3E" w:rsidR="00496538" w:rsidRPr="00BC4A33" w:rsidRDefault="00496538"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Groenewegen, Amy, et al. "Epidemiology of heart failure." European journal of heart failure 22.8 (2020): 1342-1356.</w:t>
      </w:r>
    </w:p>
    <w:p w14:paraId="7B572917" w14:textId="73F0A0A5" w:rsidR="00496538" w:rsidRPr="00BC4A33" w:rsidRDefault="00496538"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Joseph, Philip, et al. "Global variations in heart failure etiology, management, and outcomes." Jama 329.19 (2023): 1650.</w:t>
      </w:r>
    </w:p>
    <w:p w14:paraId="21081120" w14:textId="34B249E4" w:rsidR="00496538" w:rsidRPr="00BC4A33" w:rsidRDefault="00496538"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Ambrosy, Andrew P., et al. "The global health and economic burden of hospitalizations for heart failure: lessons learned from hospitalized heart failure registries." Journal of the American College of Cardiology 63.12 (2014): 1123-1133.</w:t>
      </w:r>
    </w:p>
    <w:p w14:paraId="56D20C11" w14:textId="66D99352" w:rsidR="00F0538A" w:rsidRPr="00BC4A33" w:rsidRDefault="00F0538A"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Joseph, Philip, et al. "A multinational registry to study the characteristics and outcomes of heart failure patients: The global congestive heart failure (G-CHF) registry." American Heart Journal 227 (2020): 56-63.</w:t>
      </w:r>
    </w:p>
    <w:p w14:paraId="1F344073" w14:textId="0162A467" w:rsidR="00F0538A" w:rsidRPr="00BC4A33" w:rsidRDefault="00F0538A"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Tromp, Jasper, et al. "Global differences in burden and treatment of ischemic heart disease in acute heart failure: REPORT-HF." Heart Failure 9.5 (2021): 349-359.</w:t>
      </w:r>
    </w:p>
    <w:p w14:paraId="0E1CFE80" w14:textId="597A0913" w:rsidR="00F0538A" w:rsidRPr="00BC4A33" w:rsidRDefault="00F0538A" w:rsidP="00BC4A33">
      <w:pPr>
        <w:pStyle w:val="ListParagraph"/>
        <w:numPr>
          <w:ilvl w:val="0"/>
          <w:numId w:val="1"/>
        </w:numPr>
        <w:spacing w:line="276" w:lineRule="auto"/>
        <w:jc w:val="both"/>
        <w:rPr>
          <w:rFonts w:ascii="Times New Roman" w:hAnsi="Times New Roman" w:cs="Times New Roman"/>
          <w:sz w:val="20"/>
          <w:szCs w:val="20"/>
        </w:rPr>
      </w:pPr>
      <w:r w:rsidRPr="00BC4A33">
        <w:rPr>
          <w:rFonts w:ascii="Times New Roman" w:hAnsi="Times New Roman" w:cs="Times New Roman"/>
          <w:sz w:val="20"/>
          <w:szCs w:val="20"/>
        </w:rPr>
        <w:t>Heidenreich, Paul A., et al. "2022 AHA/ACC/HFSA guideline for the management of heart failure: a report of the American College of Cardiology/American Heart Association Joint Committee on Clinical Practice Guidelines." Journal of the American College of Cardiology 79.17 (2022): e263-e421.</w:t>
      </w:r>
    </w:p>
    <w:sectPr w:rsidR="00F0538A" w:rsidRPr="00BC4A33">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8A5D" w14:textId="77777777" w:rsidR="00CF5EB1" w:rsidRDefault="00CF5EB1">
      <w:r>
        <w:separator/>
      </w:r>
    </w:p>
  </w:endnote>
  <w:endnote w:type="continuationSeparator" w:id="0">
    <w:p w14:paraId="19E460C5" w14:textId="77777777" w:rsidR="00CF5EB1" w:rsidRDefault="00CF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483D0" w14:textId="77777777" w:rsidR="00693086" w:rsidRDefault="00693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825009"/>
    </w:sdtPr>
    <w:sdtEndPr/>
    <w:sdtContent>
      <w:sdt>
        <w:sdtPr>
          <w:id w:val="-1769616900"/>
        </w:sdtPr>
        <w:sdtEndPr/>
        <w:sdtContent>
          <w:p w14:paraId="4D55ECDF" w14:textId="5EE00D38" w:rsidR="00D94B5B" w:rsidRDefault="0001054F">
            <w:pPr>
              <w:pStyle w:val="Footer"/>
              <w:jc w:val="right"/>
            </w:pPr>
            <w:r>
              <w:t xml:space="preserve">Page </w:t>
            </w:r>
            <w:r>
              <w:rPr>
                <w:b/>
                <w:bCs/>
              </w:rPr>
              <w:fldChar w:fldCharType="begin"/>
            </w:r>
            <w:r>
              <w:rPr>
                <w:b/>
                <w:bCs/>
              </w:rPr>
              <w:instrText xml:space="preserve"> PAGE </w:instrText>
            </w:r>
            <w:r>
              <w:rPr>
                <w:b/>
                <w:bCs/>
              </w:rPr>
              <w:fldChar w:fldCharType="separate"/>
            </w:r>
            <w:r w:rsidR="000A338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A3385">
              <w:rPr>
                <w:b/>
                <w:bCs/>
                <w:noProof/>
              </w:rPr>
              <w:t>1</w:t>
            </w:r>
            <w:r>
              <w:rPr>
                <w:b/>
                <w:bCs/>
              </w:rPr>
              <w:fldChar w:fldCharType="end"/>
            </w:r>
          </w:p>
        </w:sdtContent>
      </w:sdt>
    </w:sdtContent>
  </w:sdt>
  <w:p w14:paraId="746D1168" w14:textId="77777777" w:rsidR="00D94B5B" w:rsidRDefault="00D94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7569" w14:textId="77777777" w:rsidR="00693086" w:rsidRDefault="00693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FDEA0" w14:textId="77777777" w:rsidR="00CF5EB1" w:rsidRDefault="00CF5EB1">
      <w:r>
        <w:separator/>
      </w:r>
    </w:p>
  </w:footnote>
  <w:footnote w:type="continuationSeparator" w:id="0">
    <w:p w14:paraId="11EF49C7" w14:textId="77777777" w:rsidR="00CF5EB1" w:rsidRDefault="00CF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2757" w14:textId="38060768" w:rsidR="00693086" w:rsidRDefault="00CF5EB1">
    <w:pPr>
      <w:pStyle w:val="Header"/>
    </w:pPr>
    <w:r>
      <w:rPr>
        <w:noProof/>
      </w:rPr>
      <w:pict w14:anchorId="0B0AC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04907"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3931" w14:textId="29FCFFE0" w:rsidR="00D94B5B" w:rsidRDefault="00CF5EB1">
    <w:pPr>
      <w:pStyle w:val="Header"/>
    </w:pPr>
    <w:r>
      <w:rPr>
        <w:noProof/>
      </w:rPr>
      <w:pict w14:anchorId="254D8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04908"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01054F">
      <w:tab/>
    </w:r>
    <w:r w:rsidR="0001054F">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74948" w14:textId="2963454D" w:rsidR="00693086" w:rsidRDefault="00CF5EB1">
    <w:pPr>
      <w:pStyle w:val="Header"/>
    </w:pPr>
    <w:r>
      <w:rPr>
        <w:noProof/>
      </w:rPr>
      <w:pict w14:anchorId="4A5B3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04906"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2766"/>
    <w:multiLevelType w:val="hybridMultilevel"/>
    <w:tmpl w:val="787C8A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A211E"/>
    <w:multiLevelType w:val="multilevel"/>
    <w:tmpl w:val="470A211E"/>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967819"/>
    <w:multiLevelType w:val="hybridMultilevel"/>
    <w:tmpl w:val="6648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tjA1NDYyMze1tDRU0lEKTi0uzszPAykwrgUAX9kKgiwAAAA="/>
  </w:docVars>
  <w:rsids>
    <w:rsidRoot w:val="00AF39FF"/>
    <w:rsid w:val="000028E4"/>
    <w:rsid w:val="0001054F"/>
    <w:rsid w:val="000118AA"/>
    <w:rsid w:val="00015A0F"/>
    <w:rsid w:val="00017769"/>
    <w:rsid w:val="00021D54"/>
    <w:rsid w:val="0002304A"/>
    <w:rsid w:val="000357A6"/>
    <w:rsid w:val="0003651C"/>
    <w:rsid w:val="000422C0"/>
    <w:rsid w:val="00050574"/>
    <w:rsid w:val="00056F56"/>
    <w:rsid w:val="000632A7"/>
    <w:rsid w:val="00063AA9"/>
    <w:rsid w:val="0006758A"/>
    <w:rsid w:val="00076D6B"/>
    <w:rsid w:val="00081B25"/>
    <w:rsid w:val="000877B2"/>
    <w:rsid w:val="0009007B"/>
    <w:rsid w:val="00094761"/>
    <w:rsid w:val="000A09BD"/>
    <w:rsid w:val="000A164C"/>
    <w:rsid w:val="000A3385"/>
    <w:rsid w:val="000A6AA8"/>
    <w:rsid w:val="000B2F80"/>
    <w:rsid w:val="000B3FCE"/>
    <w:rsid w:val="000B4851"/>
    <w:rsid w:val="000B5C12"/>
    <w:rsid w:val="000B5E0D"/>
    <w:rsid w:val="000B6689"/>
    <w:rsid w:val="000B66EA"/>
    <w:rsid w:val="000C0551"/>
    <w:rsid w:val="000C27DE"/>
    <w:rsid w:val="000C3779"/>
    <w:rsid w:val="000C3F69"/>
    <w:rsid w:val="000C48B9"/>
    <w:rsid w:val="000C70EA"/>
    <w:rsid w:val="000D0C98"/>
    <w:rsid w:val="000D0F88"/>
    <w:rsid w:val="000E7696"/>
    <w:rsid w:val="000F021B"/>
    <w:rsid w:val="000F0B86"/>
    <w:rsid w:val="000F16A3"/>
    <w:rsid w:val="000F1BC0"/>
    <w:rsid w:val="000F4F13"/>
    <w:rsid w:val="001009BF"/>
    <w:rsid w:val="001012C6"/>
    <w:rsid w:val="00102748"/>
    <w:rsid w:val="00102EC6"/>
    <w:rsid w:val="00106A85"/>
    <w:rsid w:val="00106D0B"/>
    <w:rsid w:val="00107C05"/>
    <w:rsid w:val="001108B9"/>
    <w:rsid w:val="00115174"/>
    <w:rsid w:val="0011635A"/>
    <w:rsid w:val="0011663B"/>
    <w:rsid w:val="001278BE"/>
    <w:rsid w:val="00131E7A"/>
    <w:rsid w:val="00133FDD"/>
    <w:rsid w:val="00135E1C"/>
    <w:rsid w:val="00144ADE"/>
    <w:rsid w:val="00150A2D"/>
    <w:rsid w:val="00160273"/>
    <w:rsid w:val="0016167B"/>
    <w:rsid w:val="0016524A"/>
    <w:rsid w:val="00166F83"/>
    <w:rsid w:val="0018043B"/>
    <w:rsid w:val="00190C10"/>
    <w:rsid w:val="001972FE"/>
    <w:rsid w:val="001B158A"/>
    <w:rsid w:val="001B3A02"/>
    <w:rsid w:val="001B720B"/>
    <w:rsid w:val="001C2394"/>
    <w:rsid w:val="001C33C1"/>
    <w:rsid w:val="001D2C1E"/>
    <w:rsid w:val="001D335A"/>
    <w:rsid w:val="001D5CEC"/>
    <w:rsid w:val="001E5958"/>
    <w:rsid w:val="001E5DF4"/>
    <w:rsid w:val="001F0AB1"/>
    <w:rsid w:val="001F0F02"/>
    <w:rsid w:val="001F4AC3"/>
    <w:rsid w:val="001F53ED"/>
    <w:rsid w:val="002028DC"/>
    <w:rsid w:val="0022581F"/>
    <w:rsid w:val="00225BC9"/>
    <w:rsid w:val="0022781E"/>
    <w:rsid w:val="0023237D"/>
    <w:rsid w:val="002352C1"/>
    <w:rsid w:val="00236259"/>
    <w:rsid w:val="00242285"/>
    <w:rsid w:val="00250F69"/>
    <w:rsid w:val="00253D93"/>
    <w:rsid w:val="00254A67"/>
    <w:rsid w:val="00260061"/>
    <w:rsid w:val="0026497A"/>
    <w:rsid w:val="00266391"/>
    <w:rsid w:val="00266DE7"/>
    <w:rsid w:val="002732A3"/>
    <w:rsid w:val="00276C3B"/>
    <w:rsid w:val="002877DB"/>
    <w:rsid w:val="00296C17"/>
    <w:rsid w:val="002B1F68"/>
    <w:rsid w:val="002B5A76"/>
    <w:rsid w:val="002C00AE"/>
    <w:rsid w:val="002C09C7"/>
    <w:rsid w:val="002C244B"/>
    <w:rsid w:val="002C2C28"/>
    <w:rsid w:val="002D395B"/>
    <w:rsid w:val="002D5F66"/>
    <w:rsid w:val="002E1470"/>
    <w:rsid w:val="002F054C"/>
    <w:rsid w:val="002F1293"/>
    <w:rsid w:val="002F41A5"/>
    <w:rsid w:val="002F4417"/>
    <w:rsid w:val="0030178D"/>
    <w:rsid w:val="00302359"/>
    <w:rsid w:val="00320096"/>
    <w:rsid w:val="00322A8D"/>
    <w:rsid w:val="003242E5"/>
    <w:rsid w:val="00331112"/>
    <w:rsid w:val="003409A6"/>
    <w:rsid w:val="003434C4"/>
    <w:rsid w:val="00357EF6"/>
    <w:rsid w:val="00360D27"/>
    <w:rsid w:val="00373FAA"/>
    <w:rsid w:val="00375CD8"/>
    <w:rsid w:val="003803C3"/>
    <w:rsid w:val="00383AB6"/>
    <w:rsid w:val="00383B8F"/>
    <w:rsid w:val="00391698"/>
    <w:rsid w:val="00394175"/>
    <w:rsid w:val="003941F4"/>
    <w:rsid w:val="0039641E"/>
    <w:rsid w:val="0039654C"/>
    <w:rsid w:val="00397113"/>
    <w:rsid w:val="00397DE9"/>
    <w:rsid w:val="003A2CC2"/>
    <w:rsid w:val="003A3D2C"/>
    <w:rsid w:val="003A4913"/>
    <w:rsid w:val="003B344E"/>
    <w:rsid w:val="003B3689"/>
    <w:rsid w:val="003B39FD"/>
    <w:rsid w:val="003C48B1"/>
    <w:rsid w:val="003C4C57"/>
    <w:rsid w:val="003C6CA5"/>
    <w:rsid w:val="003D16CA"/>
    <w:rsid w:val="003D69D6"/>
    <w:rsid w:val="003E1528"/>
    <w:rsid w:val="003E49C8"/>
    <w:rsid w:val="003F32FE"/>
    <w:rsid w:val="0040491E"/>
    <w:rsid w:val="004073A2"/>
    <w:rsid w:val="00420187"/>
    <w:rsid w:val="004264DC"/>
    <w:rsid w:val="004512C0"/>
    <w:rsid w:val="004672B3"/>
    <w:rsid w:val="00467786"/>
    <w:rsid w:val="00471320"/>
    <w:rsid w:val="00476C50"/>
    <w:rsid w:val="0047712C"/>
    <w:rsid w:val="00477C89"/>
    <w:rsid w:val="004829EF"/>
    <w:rsid w:val="0048485E"/>
    <w:rsid w:val="00484D6B"/>
    <w:rsid w:val="004913DA"/>
    <w:rsid w:val="00496538"/>
    <w:rsid w:val="004A1EF1"/>
    <w:rsid w:val="004A391A"/>
    <w:rsid w:val="004B0BE3"/>
    <w:rsid w:val="004B1B9F"/>
    <w:rsid w:val="004C7ADB"/>
    <w:rsid w:val="004D29C9"/>
    <w:rsid w:val="004D38D4"/>
    <w:rsid w:val="004D5501"/>
    <w:rsid w:val="004D6C8D"/>
    <w:rsid w:val="004E105B"/>
    <w:rsid w:val="004E18FF"/>
    <w:rsid w:val="004E3DFA"/>
    <w:rsid w:val="004E63A0"/>
    <w:rsid w:val="004E6A74"/>
    <w:rsid w:val="004E76C7"/>
    <w:rsid w:val="004E7F1C"/>
    <w:rsid w:val="004F15C8"/>
    <w:rsid w:val="004F54C2"/>
    <w:rsid w:val="004F5E6F"/>
    <w:rsid w:val="00504B50"/>
    <w:rsid w:val="0051658F"/>
    <w:rsid w:val="0051796E"/>
    <w:rsid w:val="00521966"/>
    <w:rsid w:val="0053315B"/>
    <w:rsid w:val="0053375A"/>
    <w:rsid w:val="00534105"/>
    <w:rsid w:val="00534C08"/>
    <w:rsid w:val="005408C6"/>
    <w:rsid w:val="0054460A"/>
    <w:rsid w:val="0054796C"/>
    <w:rsid w:val="00553254"/>
    <w:rsid w:val="00553C11"/>
    <w:rsid w:val="0055500D"/>
    <w:rsid w:val="00557E9B"/>
    <w:rsid w:val="0056140A"/>
    <w:rsid w:val="0056509B"/>
    <w:rsid w:val="00570C8C"/>
    <w:rsid w:val="005711F0"/>
    <w:rsid w:val="005716EE"/>
    <w:rsid w:val="00572FB2"/>
    <w:rsid w:val="00574950"/>
    <w:rsid w:val="005761E7"/>
    <w:rsid w:val="0057698B"/>
    <w:rsid w:val="00583A55"/>
    <w:rsid w:val="00585434"/>
    <w:rsid w:val="005870D0"/>
    <w:rsid w:val="0059090D"/>
    <w:rsid w:val="005A3900"/>
    <w:rsid w:val="005B2BAD"/>
    <w:rsid w:val="005B4EF3"/>
    <w:rsid w:val="005B5234"/>
    <w:rsid w:val="005C1007"/>
    <w:rsid w:val="005D1022"/>
    <w:rsid w:val="005D3137"/>
    <w:rsid w:val="005D575D"/>
    <w:rsid w:val="005E0F9A"/>
    <w:rsid w:val="005F0E6D"/>
    <w:rsid w:val="005F7730"/>
    <w:rsid w:val="00602F51"/>
    <w:rsid w:val="00605422"/>
    <w:rsid w:val="00610A1D"/>
    <w:rsid w:val="00612474"/>
    <w:rsid w:val="006250CD"/>
    <w:rsid w:val="00626D73"/>
    <w:rsid w:val="00630B1B"/>
    <w:rsid w:val="0063444D"/>
    <w:rsid w:val="006348A6"/>
    <w:rsid w:val="006353AC"/>
    <w:rsid w:val="00635C63"/>
    <w:rsid w:val="00644AA1"/>
    <w:rsid w:val="006456BD"/>
    <w:rsid w:val="0066434E"/>
    <w:rsid w:val="0066468A"/>
    <w:rsid w:val="006737FF"/>
    <w:rsid w:val="00675DB2"/>
    <w:rsid w:val="006804BA"/>
    <w:rsid w:val="006844B3"/>
    <w:rsid w:val="00686B8F"/>
    <w:rsid w:val="00690321"/>
    <w:rsid w:val="00693086"/>
    <w:rsid w:val="00696EF5"/>
    <w:rsid w:val="006A3A47"/>
    <w:rsid w:val="006A4FF4"/>
    <w:rsid w:val="006B6255"/>
    <w:rsid w:val="006B7918"/>
    <w:rsid w:val="006C063D"/>
    <w:rsid w:val="006C3CDF"/>
    <w:rsid w:val="006D3AA4"/>
    <w:rsid w:val="006E12E4"/>
    <w:rsid w:val="006E560B"/>
    <w:rsid w:val="006F103F"/>
    <w:rsid w:val="006F15E3"/>
    <w:rsid w:val="006F7883"/>
    <w:rsid w:val="0070281B"/>
    <w:rsid w:val="007054CE"/>
    <w:rsid w:val="007056DA"/>
    <w:rsid w:val="00705926"/>
    <w:rsid w:val="007071A4"/>
    <w:rsid w:val="00710C8A"/>
    <w:rsid w:val="00712502"/>
    <w:rsid w:val="00717092"/>
    <w:rsid w:val="00723F69"/>
    <w:rsid w:val="0073575D"/>
    <w:rsid w:val="007447F7"/>
    <w:rsid w:val="00745FB3"/>
    <w:rsid w:val="00753D20"/>
    <w:rsid w:val="00761146"/>
    <w:rsid w:val="007627FD"/>
    <w:rsid w:val="00765C67"/>
    <w:rsid w:val="00767374"/>
    <w:rsid w:val="007A33E5"/>
    <w:rsid w:val="007A4177"/>
    <w:rsid w:val="007A4C43"/>
    <w:rsid w:val="007A6AD9"/>
    <w:rsid w:val="007A729D"/>
    <w:rsid w:val="007B741C"/>
    <w:rsid w:val="007B7FE4"/>
    <w:rsid w:val="007D6732"/>
    <w:rsid w:val="007E133F"/>
    <w:rsid w:val="007E4B87"/>
    <w:rsid w:val="007E7682"/>
    <w:rsid w:val="007F188C"/>
    <w:rsid w:val="007F4D97"/>
    <w:rsid w:val="007F6F02"/>
    <w:rsid w:val="00802A40"/>
    <w:rsid w:val="00804F53"/>
    <w:rsid w:val="00805233"/>
    <w:rsid w:val="00807AA6"/>
    <w:rsid w:val="008116E5"/>
    <w:rsid w:val="008147F5"/>
    <w:rsid w:val="008157A4"/>
    <w:rsid w:val="008209EE"/>
    <w:rsid w:val="00820C25"/>
    <w:rsid w:val="00825346"/>
    <w:rsid w:val="00826AB5"/>
    <w:rsid w:val="00833166"/>
    <w:rsid w:val="00836CCD"/>
    <w:rsid w:val="00844888"/>
    <w:rsid w:val="00845577"/>
    <w:rsid w:val="00851982"/>
    <w:rsid w:val="008603FE"/>
    <w:rsid w:val="00867952"/>
    <w:rsid w:val="00870511"/>
    <w:rsid w:val="00876827"/>
    <w:rsid w:val="00876880"/>
    <w:rsid w:val="00876FB3"/>
    <w:rsid w:val="00884308"/>
    <w:rsid w:val="00884B73"/>
    <w:rsid w:val="008852E1"/>
    <w:rsid w:val="00885351"/>
    <w:rsid w:val="00897D51"/>
    <w:rsid w:val="008A11FF"/>
    <w:rsid w:val="008A71E2"/>
    <w:rsid w:val="008A79AA"/>
    <w:rsid w:val="008A7BD0"/>
    <w:rsid w:val="008B6ACF"/>
    <w:rsid w:val="008D2A33"/>
    <w:rsid w:val="008D301C"/>
    <w:rsid w:val="008D39F2"/>
    <w:rsid w:val="008D4BBD"/>
    <w:rsid w:val="008D4E7C"/>
    <w:rsid w:val="008D5180"/>
    <w:rsid w:val="008D623F"/>
    <w:rsid w:val="008E0FFB"/>
    <w:rsid w:val="008F35E7"/>
    <w:rsid w:val="008F3B4D"/>
    <w:rsid w:val="008F42A6"/>
    <w:rsid w:val="008F46AA"/>
    <w:rsid w:val="008F4DEC"/>
    <w:rsid w:val="008F4E99"/>
    <w:rsid w:val="00904428"/>
    <w:rsid w:val="00905B70"/>
    <w:rsid w:val="00911588"/>
    <w:rsid w:val="00912275"/>
    <w:rsid w:val="00913D72"/>
    <w:rsid w:val="009151F3"/>
    <w:rsid w:val="00926393"/>
    <w:rsid w:val="0092713C"/>
    <w:rsid w:val="00930052"/>
    <w:rsid w:val="009302A5"/>
    <w:rsid w:val="009303DD"/>
    <w:rsid w:val="00933614"/>
    <w:rsid w:val="00933A43"/>
    <w:rsid w:val="00935F89"/>
    <w:rsid w:val="00941484"/>
    <w:rsid w:val="00943B73"/>
    <w:rsid w:val="00954E4D"/>
    <w:rsid w:val="009565CF"/>
    <w:rsid w:val="00957E0B"/>
    <w:rsid w:val="0096447A"/>
    <w:rsid w:val="00970C0A"/>
    <w:rsid w:val="009720E8"/>
    <w:rsid w:val="009846A7"/>
    <w:rsid w:val="00986C34"/>
    <w:rsid w:val="009919B4"/>
    <w:rsid w:val="009A3008"/>
    <w:rsid w:val="009C0772"/>
    <w:rsid w:val="009C2D47"/>
    <w:rsid w:val="009C47E6"/>
    <w:rsid w:val="009C6911"/>
    <w:rsid w:val="009C6974"/>
    <w:rsid w:val="009D5CFA"/>
    <w:rsid w:val="009E0604"/>
    <w:rsid w:val="009E45FB"/>
    <w:rsid w:val="009E6A83"/>
    <w:rsid w:val="009F1819"/>
    <w:rsid w:val="009F600F"/>
    <w:rsid w:val="00A031A9"/>
    <w:rsid w:val="00A040FF"/>
    <w:rsid w:val="00A156B2"/>
    <w:rsid w:val="00A15C58"/>
    <w:rsid w:val="00A20A65"/>
    <w:rsid w:val="00A31F58"/>
    <w:rsid w:val="00A33865"/>
    <w:rsid w:val="00A33EE5"/>
    <w:rsid w:val="00A34593"/>
    <w:rsid w:val="00A35231"/>
    <w:rsid w:val="00A36BFB"/>
    <w:rsid w:val="00A403E2"/>
    <w:rsid w:val="00A50B01"/>
    <w:rsid w:val="00A653B8"/>
    <w:rsid w:val="00A65BF8"/>
    <w:rsid w:val="00A732F5"/>
    <w:rsid w:val="00A7725A"/>
    <w:rsid w:val="00A77DD4"/>
    <w:rsid w:val="00A77F44"/>
    <w:rsid w:val="00A80AB4"/>
    <w:rsid w:val="00A8277C"/>
    <w:rsid w:val="00A849AE"/>
    <w:rsid w:val="00A90963"/>
    <w:rsid w:val="00A92591"/>
    <w:rsid w:val="00AA0F2F"/>
    <w:rsid w:val="00AA5096"/>
    <w:rsid w:val="00AA62DC"/>
    <w:rsid w:val="00AB2429"/>
    <w:rsid w:val="00AB6A5C"/>
    <w:rsid w:val="00AC2880"/>
    <w:rsid w:val="00AD63B6"/>
    <w:rsid w:val="00AE15C5"/>
    <w:rsid w:val="00AE5839"/>
    <w:rsid w:val="00AF1202"/>
    <w:rsid w:val="00AF39FF"/>
    <w:rsid w:val="00AF5D1F"/>
    <w:rsid w:val="00AF7D34"/>
    <w:rsid w:val="00B0043F"/>
    <w:rsid w:val="00B004A8"/>
    <w:rsid w:val="00B02C78"/>
    <w:rsid w:val="00B03A7F"/>
    <w:rsid w:val="00B04BEF"/>
    <w:rsid w:val="00B055D7"/>
    <w:rsid w:val="00B100A7"/>
    <w:rsid w:val="00B120AB"/>
    <w:rsid w:val="00B1440C"/>
    <w:rsid w:val="00B17F92"/>
    <w:rsid w:val="00B26292"/>
    <w:rsid w:val="00B31724"/>
    <w:rsid w:val="00B44EB1"/>
    <w:rsid w:val="00B46899"/>
    <w:rsid w:val="00B469C5"/>
    <w:rsid w:val="00B52431"/>
    <w:rsid w:val="00B55E07"/>
    <w:rsid w:val="00B563FE"/>
    <w:rsid w:val="00B5688F"/>
    <w:rsid w:val="00B57D18"/>
    <w:rsid w:val="00B6349C"/>
    <w:rsid w:val="00B669C2"/>
    <w:rsid w:val="00B744FE"/>
    <w:rsid w:val="00B773E8"/>
    <w:rsid w:val="00B77425"/>
    <w:rsid w:val="00B83ACE"/>
    <w:rsid w:val="00B854AC"/>
    <w:rsid w:val="00BB20BE"/>
    <w:rsid w:val="00BC145E"/>
    <w:rsid w:val="00BC408E"/>
    <w:rsid w:val="00BC4A33"/>
    <w:rsid w:val="00BC621C"/>
    <w:rsid w:val="00BC72DB"/>
    <w:rsid w:val="00BD03EC"/>
    <w:rsid w:val="00BE4A22"/>
    <w:rsid w:val="00BF2908"/>
    <w:rsid w:val="00BF5E19"/>
    <w:rsid w:val="00BF7228"/>
    <w:rsid w:val="00C1229D"/>
    <w:rsid w:val="00C145C2"/>
    <w:rsid w:val="00C1503F"/>
    <w:rsid w:val="00C227EA"/>
    <w:rsid w:val="00C2659F"/>
    <w:rsid w:val="00C3233D"/>
    <w:rsid w:val="00C32EB9"/>
    <w:rsid w:val="00C37ACB"/>
    <w:rsid w:val="00C41F1A"/>
    <w:rsid w:val="00C433A9"/>
    <w:rsid w:val="00C562EE"/>
    <w:rsid w:val="00C62341"/>
    <w:rsid w:val="00C70D40"/>
    <w:rsid w:val="00C73A5A"/>
    <w:rsid w:val="00C77E7F"/>
    <w:rsid w:val="00C8794A"/>
    <w:rsid w:val="00C90BEC"/>
    <w:rsid w:val="00C92B6C"/>
    <w:rsid w:val="00C95EAE"/>
    <w:rsid w:val="00CA2F65"/>
    <w:rsid w:val="00CA39CE"/>
    <w:rsid w:val="00CA5F65"/>
    <w:rsid w:val="00CA73CE"/>
    <w:rsid w:val="00CB1F01"/>
    <w:rsid w:val="00CB688D"/>
    <w:rsid w:val="00CC0346"/>
    <w:rsid w:val="00CC4F7D"/>
    <w:rsid w:val="00CD2568"/>
    <w:rsid w:val="00CD4F25"/>
    <w:rsid w:val="00CE6E53"/>
    <w:rsid w:val="00CF2942"/>
    <w:rsid w:val="00CF5023"/>
    <w:rsid w:val="00CF57CB"/>
    <w:rsid w:val="00CF5EB1"/>
    <w:rsid w:val="00D0328F"/>
    <w:rsid w:val="00D03409"/>
    <w:rsid w:val="00D06CFC"/>
    <w:rsid w:val="00D106C2"/>
    <w:rsid w:val="00D22468"/>
    <w:rsid w:val="00D2269F"/>
    <w:rsid w:val="00D229D6"/>
    <w:rsid w:val="00D24032"/>
    <w:rsid w:val="00D27B9C"/>
    <w:rsid w:val="00D32F16"/>
    <w:rsid w:val="00D33270"/>
    <w:rsid w:val="00D354AE"/>
    <w:rsid w:val="00D35B14"/>
    <w:rsid w:val="00D36B40"/>
    <w:rsid w:val="00D37241"/>
    <w:rsid w:val="00D377DC"/>
    <w:rsid w:val="00D40A71"/>
    <w:rsid w:val="00D43975"/>
    <w:rsid w:val="00D504DE"/>
    <w:rsid w:val="00D53721"/>
    <w:rsid w:val="00D57401"/>
    <w:rsid w:val="00D610FB"/>
    <w:rsid w:val="00D64CFE"/>
    <w:rsid w:val="00D73D97"/>
    <w:rsid w:val="00D86D3E"/>
    <w:rsid w:val="00D903DF"/>
    <w:rsid w:val="00D916CD"/>
    <w:rsid w:val="00D92AEE"/>
    <w:rsid w:val="00D94B5B"/>
    <w:rsid w:val="00DA2FF2"/>
    <w:rsid w:val="00DB1E4A"/>
    <w:rsid w:val="00DB3EE7"/>
    <w:rsid w:val="00DD2C5B"/>
    <w:rsid w:val="00DD545B"/>
    <w:rsid w:val="00DD5721"/>
    <w:rsid w:val="00DE468B"/>
    <w:rsid w:val="00DE4B1B"/>
    <w:rsid w:val="00DE5D80"/>
    <w:rsid w:val="00DF1FCE"/>
    <w:rsid w:val="00DF5286"/>
    <w:rsid w:val="00E00728"/>
    <w:rsid w:val="00E047B8"/>
    <w:rsid w:val="00E11218"/>
    <w:rsid w:val="00E15C01"/>
    <w:rsid w:val="00E1799E"/>
    <w:rsid w:val="00E17FB7"/>
    <w:rsid w:val="00E228FF"/>
    <w:rsid w:val="00E26C2C"/>
    <w:rsid w:val="00E36397"/>
    <w:rsid w:val="00E42BB7"/>
    <w:rsid w:val="00E50ACE"/>
    <w:rsid w:val="00E53DA6"/>
    <w:rsid w:val="00E60A91"/>
    <w:rsid w:val="00E62063"/>
    <w:rsid w:val="00E6708D"/>
    <w:rsid w:val="00E67DB4"/>
    <w:rsid w:val="00E715D0"/>
    <w:rsid w:val="00E80F41"/>
    <w:rsid w:val="00E92B02"/>
    <w:rsid w:val="00E92E69"/>
    <w:rsid w:val="00E96B3D"/>
    <w:rsid w:val="00EA1A22"/>
    <w:rsid w:val="00EA35AB"/>
    <w:rsid w:val="00EA475A"/>
    <w:rsid w:val="00EA782D"/>
    <w:rsid w:val="00EB23FA"/>
    <w:rsid w:val="00EB6045"/>
    <w:rsid w:val="00EC04D7"/>
    <w:rsid w:val="00EC71FF"/>
    <w:rsid w:val="00EC72B8"/>
    <w:rsid w:val="00ED0442"/>
    <w:rsid w:val="00ED06AF"/>
    <w:rsid w:val="00EE152D"/>
    <w:rsid w:val="00EE1ABA"/>
    <w:rsid w:val="00EE239D"/>
    <w:rsid w:val="00EE615B"/>
    <w:rsid w:val="00EE6823"/>
    <w:rsid w:val="00EF359A"/>
    <w:rsid w:val="00F00EC4"/>
    <w:rsid w:val="00F018FD"/>
    <w:rsid w:val="00F047EE"/>
    <w:rsid w:val="00F0538A"/>
    <w:rsid w:val="00F078C4"/>
    <w:rsid w:val="00F11D18"/>
    <w:rsid w:val="00F17703"/>
    <w:rsid w:val="00F207EE"/>
    <w:rsid w:val="00F20A3E"/>
    <w:rsid w:val="00F21CCD"/>
    <w:rsid w:val="00F25BF9"/>
    <w:rsid w:val="00F33CDD"/>
    <w:rsid w:val="00F40469"/>
    <w:rsid w:val="00F56396"/>
    <w:rsid w:val="00F576DE"/>
    <w:rsid w:val="00F60535"/>
    <w:rsid w:val="00F625FC"/>
    <w:rsid w:val="00F71670"/>
    <w:rsid w:val="00F77ADD"/>
    <w:rsid w:val="00F83555"/>
    <w:rsid w:val="00F83C97"/>
    <w:rsid w:val="00F87157"/>
    <w:rsid w:val="00F972AD"/>
    <w:rsid w:val="00FA0A92"/>
    <w:rsid w:val="00FA54A6"/>
    <w:rsid w:val="00FB26B1"/>
    <w:rsid w:val="00FB37B7"/>
    <w:rsid w:val="00FB555C"/>
    <w:rsid w:val="00FB77A7"/>
    <w:rsid w:val="00FC00DA"/>
    <w:rsid w:val="00FC25DF"/>
    <w:rsid w:val="00FC3846"/>
    <w:rsid w:val="00FD1CE3"/>
    <w:rsid w:val="00FD5C5E"/>
    <w:rsid w:val="00FD730A"/>
    <w:rsid w:val="00FE2D22"/>
    <w:rsid w:val="00FE3129"/>
    <w:rsid w:val="00FE7A36"/>
    <w:rsid w:val="00FF2585"/>
    <w:rsid w:val="00FF404B"/>
    <w:rsid w:val="00FF60CF"/>
    <w:rsid w:val="00FF70E7"/>
    <w:rsid w:val="152A5518"/>
    <w:rsid w:val="2D2F4DC7"/>
    <w:rsid w:val="660471E4"/>
    <w:rsid w:val="68E201AB"/>
    <w:rsid w:val="738F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0A0D1D"/>
  <w15:docId w15:val="{E4BD67B4-D45B-43AC-BD2C-E0AD220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rPr>
  </w:style>
  <w:style w:type="paragraph" w:styleId="BodyText">
    <w:name w:val="Body Text"/>
    <w:basedOn w:val="Normal"/>
    <w:link w:val="BodyTextChar"/>
    <w:uiPriority w:val="1"/>
    <w:semiHidden/>
    <w:unhideWhenUsed/>
    <w:qFormat/>
    <w:pPr>
      <w:widowControl w:val="0"/>
      <w:autoSpaceDE w:val="0"/>
      <w:autoSpaceDN w:val="0"/>
    </w:pPr>
    <w:rPr>
      <w:rFonts w:ascii="Calibri" w:eastAsia="Calibri" w:hAnsi="Calibri" w:cs="Calibri"/>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31">
    <w:name w:val="List Table 3 - Accent 31"/>
    <w:basedOn w:val="TableNormal"/>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61">
    <w:name w:val="List Table 3 - Accent 61"/>
    <w:basedOn w:val="TableNormal"/>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3-Accent51">
    <w:name w:val="List Table 3 - Accent 51"/>
    <w:basedOn w:val="TableNormal"/>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BodyTextChar">
    <w:name w:val="Body Text Char"/>
    <w:basedOn w:val="DefaultParagraphFont"/>
    <w:link w:val="BodyText"/>
    <w:uiPriority w:val="1"/>
    <w:semiHidden/>
    <w:qFormat/>
    <w:rPr>
      <w:rFonts w:ascii="Calibri" w:eastAsia="Calibri" w:hAnsi="Calibri" w:cs="Calibri"/>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qFormat/>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Bibliography1">
    <w:name w:val="Bibliography1"/>
    <w:basedOn w:val="Normal"/>
    <w:next w:val="Normal"/>
    <w:uiPriority w:val="37"/>
    <w:unhideWhenUsed/>
    <w:qFormat/>
    <w:pPr>
      <w:spacing w:after="240"/>
    </w:pPr>
  </w:style>
  <w:style w:type="table" w:styleId="GridTable1Light-Accent1">
    <w:name w:val="Grid Table 1 Light Accent 1"/>
    <w:basedOn w:val="TableNormal"/>
    <w:uiPriority w:val="46"/>
    <w:rsid w:val="00AC288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1121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D4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251">
      <w:bodyDiv w:val="1"/>
      <w:marLeft w:val="0"/>
      <w:marRight w:val="0"/>
      <w:marTop w:val="0"/>
      <w:marBottom w:val="0"/>
      <w:divBdr>
        <w:top w:val="none" w:sz="0" w:space="0" w:color="auto"/>
        <w:left w:val="none" w:sz="0" w:space="0" w:color="auto"/>
        <w:bottom w:val="none" w:sz="0" w:space="0" w:color="auto"/>
        <w:right w:val="none" w:sz="0" w:space="0" w:color="auto"/>
      </w:divBdr>
    </w:div>
    <w:div w:id="221019320">
      <w:bodyDiv w:val="1"/>
      <w:marLeft w:val="0"/>
      <w:marRight w:val="0"/>
      <w:marTop w:val="0"/>
      <w:marBottom w:val="0"/>
      <w:divBdr>
        <w:top w:val="none" w:sz="0" w:space="0" w:color="auto"/>
        <w:left w:val="none" w:sz="0" w:space="0" w:color="auto"/>
        <w:bottom w:val="none" w:sz="0" w:space="0" w:color="auto"/>
        <w:right w:val="none" w:sz="0" w:space="0" w:color="auto"/>
      </w:divBdr>
    </w:div>
    <w:div w:id="266280725">
      <w:bodyDiv w:val="1"/>
      <w:marLeft w:val="0"/>
      <w:marRight w:val="0"/>
      <w:marTop w:val="0"/>
      <w:marBottom w:val="0"/>
      <w:divBdr>
        <w:top w:val="none" w:sz="0" w:space="0" w:color="auto"/>
        <w:left w:val="none" w:sz="0" w:space="0" w:color="auto"/>
        <w:bottom w:val="none" w:sz="0" w:space="0" w:color="auto"/>
        <w:right w:val="none" w:sz="0" w:space="0" w:color="auto"/>
      </w:divBdr>
    </w:div>
    <w:div w:id="352414316">
      <w:bodyDiv w:val="1"/>
      <w:marLeft w:val="0"/>
      <w:marRight w:val="0"/>
      <w:marTop w:val="0"/>
      <w:marBottom w:val="0"/>
      <w:divBdr>
        <w:top w:val="none" w:sz="0" w:space="0" w:color="auto"/>
        <w:left w:val="none" w:sz="0" w:space="0" w:color="auto"/>
        <w:bottom w:val="none" w:sz="0" w:space="0" w:color="auto"/>
        <w:right w:val="none" w:sz="0" w:space="0" w:color="auto"/>
      </w:divBdr>
    </w:div>
    <w:div w:id="527454986">
      <w:bodyDiv w:val="1"/>
      <w:marLeft w:val="0"/>
      <w:marRight w:val="0"/>
      <w:marTop w:val="0"/>
      <w:marBottom w:val="0"/>
      <w:divBdr>
        <w:top w:val="none" w:sz="0" w:space="0" w:color="auto"/>
        <w:left w:val="none" w:sz="0" w:space="0" w:color="auto"/>
        <w:bottom w:val="none" w:sz="0" w:space="0" w:color="auto"/>
        <w:right w:val="none" w:sz="0" w:space="0" w:color="auto"/>
      </w:divBdr>
    </w:div>
    <w:div w:id="691340548">
      <w:bodyDiv w:val="1"/>
      <w:marLeft w:val="0"/>
      <w:marRight w:val="0"/>
      <w:marTop w:val="0"/>
      <w:marBottom w:val="0"/>
      <w:divBdr>
        <w:top w:val="none" w:sz="0" w:space="0" w:color="auto"/>
        <w:left w:val="none" w:sz="0" w:space="0" w:color="auto"/>
        <w:bottom w:val="none" w:sz="0" w:space="0" w:color="auto"/>
        <w:right w:val="none" w:sz="0" w:space="0" w:color="auto"/>
      </w:divBdr>
    </w:div>
    <w:div w:id="1049719821">
      <w:bodyDiv w:val="1"/>
      <w:marLeft w:val="0"/>
      <w:marRight w:val="0"/>
      <w:marTop w:val="0"/>
      <w:marBottom w:val="0"/>
      <w:divBdr>
        <w:top w:val="none" w:sz="0" w:space="0" w:color="auto"/>
        <w:left w:val="none" w:sz="0" w:space="0" w:color="auto"/>
        <w:bottom w:val="none" w:sz="0" w:space="0" w:color="auto"/>
        <w:right w:val="none" w:sz="0" w:space="0" w:color="auto"/>
      </w:divBdr>
    </w:div>
    <w:div w:id="1283535172">
      <w:bodyDiv w:val="1"/>
      <w:marLeft w:val="0"/>
      <w:marRight w:val="0"/>
      <w:marTop w:val="0"/>
      <w:marBottom w:val="0"/>
      <w:divBdr>
        <w:top w:val="none" w:sz="0" w:space="0" w:color="auto"/>
        <w:left w:val="none" w:sz="0" w:space="0" w:color="auto"/>
        <w:bottom w:val="none" w:sz="0" w:space="0" w:color="auto"/>
        <w:right w:val="none" w:sz="0" w:space="0" w:color="auto"/>
      </w:divBdr>
    </w:div>
    <w:div w:id="1306472476">
      <w:bodyDiv w:val="1"/>
      <w:marLeft w:val="0"/>
      <w:marRight w:val="0"/>
      <w:marTop w:val="0"/>
      <w:marBottom w:val="0"/>
      <w:divBdr>
        <w:top w:val="none" w:sz="0" w:space="0" w:color="auto"/>
        <w:left w:val="none" w:sz="0" w:space="0" w:color="auto"/>
        <w:bottom w:val="none" w:sz="0" w:space="0" w:color="auto"/>
        <w:right w:val="none" w:sz="0" w:space="0" w:color="auto"/>
      </w:divBdr>
    </w:div>
    <w:div w:id="1322268115">
      <w:bodyDiv w:val="1"/>
      <w:marLeft w:val="0"/>
      <w:marRight w:val="0"/>
      <w:marTop w:val="0"/>
      <w:marBottom w:val="0"/>
      <w:divBdr>
        <w:top w:val="none" w:sz="0" w:space="0" w:color="auto"/>
        <w:left w:val="none" w:sz="0" w:space="0" w:color="auto"/>
        <w:bottom w:val="none" w:sz="0" w:space="0" w:color="auto"/>
        <w:right w:val="none" w:sz="0" w:space="0" w:color="auto"/>
      </w:divBdr>
    </w:div>
    <w:div w:id="1474366329">
      <w:bodyDiv w:val="1"/>
      <w:marLeft w:val="0"/>
      <w:marRight w:val="0"/>
      <w:marTop w:val="0"/>
      <w:marBottom w:val="0"/>
      <w:divBdr>
        <w:top w:val="none" w:sz="0" w:space="0" w:color="auto"/>
        <w:left w:val="none" w:sz="0" w:space="0" w:color="auto"/>
        <w:bottom w:val="none" w:sz="0" w:space="0" w:color="auto"/>
        <w:right w:val="none" w:sz="0" w:space="0" w:color="auto"/>
      </w:divBdr>
    </w:div>
    <w:div w:id="180407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41711002340923"/>
          <c:y val="9.1200811915945132E-2"/>
          <c:w val="0.4601994451973731"/>
          <c:h val="0.60433414067326263"/>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E0-477B-B576-C5CD49A5ED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E0-477B-B576-C5CD49A5ED9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E0-477B-B576-C5CD49A5ED9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E0-477B-B576-C5CD49A5ED9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9E0-477B-B576-C5CD49A5ED95}"/>
              </c:ext>
            </c:extLst>
          </c:dPt>
          <c:dLbls>
            <c:dLbl>
              <c:idx val="0"/>
              <c:layout>
                <c:manualLayout>
                  <c:x val="0.17499999999999991"/>
                  <c:y val="-2.1218890680033321E-17"/>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9E0-477B-B576-C5CD49A5ED95}"/>
                </c:ext>
              </c:extLst>
            </c:dLbl>
            <c:dLbl>
              <c:idx val="1"/>
              <c:layout>
                <c:manualLayout>
                  <c:x val="0.12777777777777768"/>
                  <c:y val="1.8518518518518476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9E0-477B-B576-C5CD49A5ED95}"/>
                </c:ext>
              </c:extLst>
            </c:dLbl>
            <c:dLbl>
              <c:idx val="2"/>
              <c:layout>
                <c:manualLayout>
                  <c:x val="9.9999999999999895E-2"/>
                  <c:y val="6.9444444444444364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9E0-477B-B576-C5CD49A5ED95}"/>
                </c:ext>
              </c:extLst>
            </c:dLbl>
            <c:dLbl>
              <c:idx val="3"/>
              <c:layout>
                <c:manualLayout>
                  <c:x val="-0.1277777777777778"/>
                  <c:y val="6.4814814814814728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9E0-477B-B576-C5CD49A5ED95}"/>
                </c:ext>
              </c:extLst>
            </c:dLbl>
            <c:dLbl>
              <c:idx val="4"/>
              <c:layout>
                <c:manualLayout>
                  <c:x val="-0.15000000000000002"/>
                  <c:y val="-1.3888888888888911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9E0-477B-B576-C5CD49A5ED95}"/>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Sheet1!$C$37:$C$41</c:f>
              <c:strCache>
                <c:ptCount val="5"/>
                <c:pt idx="0">
                  <c:v>31–40 years</c:v>
                </c:pt>
                <c:pt idx="1">
                  <c:v>41–50 years</c:v>
                </c:pt>
                <c:pt idx="2">
                  <c:v>51–60 years</c:v>
                </c:pt>
                <c:pt idx="3">
                  <c:v>61–70 years</c:v>
                </c:pt>
                <c:pt idx="4">
                  <c:v>71–80 years</c:v>
                </c:pt>
              </c:strCache>
            </c:strRef>
          </c:cat>
          <c:val>
            <c:numRef>
              <c:f>Sheet1!$D$37:$D$41</c:f>
              <c:numCache>
                <c:formatCode>General</c:formatCode>
                <c:ptCount val="5"/>
                <c:pt idx="0">
                  <c:v>12</c:v>
                </c:pt>
                <c:pt idx="1">
                  <c:v>18</c:v>
                </c:pt>
                <c:pt idx="2">
                  <c:v>24</c:v>
                </c:pt>
                <c:pt idx="3">
                  <c:v>38</c:v>
                </c:pt>
                <c:pt idx="4">
                  <c:v>21</c:v>
                </c:pt>
              </c:numCache>
            </c:numRef>
          </c:val>
          <c:extLst>
            <c:ext xmlns:c16="http://schemas.microsoft.com/office/drawing/2014/chart" uri="{C3380CC4-5D6E-409C-BE32-E72D297353CC}">
              <c16:uniqueId val="{0000000A-59E0-477B-B576-C5CD49A5ED95}"/>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991603629398905"/>
          <c:y val="0.15628805279856703"/>
          <c:w val="0.43371316914624003"/>
          <c:h val="0.63337373463408575"/>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3D-40BE-8CF2-3531DAA4CA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3D-40BE-8CF2-3531DAA4CA79}"/>
              </c:ext>
            </c:extLst>
          </c:dPt>
          <c:dLbls>
            <c:dLbl>
              <c:idx val="0"/>
              <c:layout>
                <c:manualLayout>
                  <c:x val="0.13055555555555556"/>
                  <c:y val="7.8703703703703706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43D-40BE-8CF2-3531DAA4CA79}"/>
                </c:ext>
              </c:extLst>
            </c:dLbl>
            <c:dLbl>
              <c:idx val="1"/>
              <c:layout>
                <c:manualLayout>
                  <c:x val="-0.11944444444444445"/>
                  <c:y val="-5.0925925925925944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43D-40BE-8CF2-3531DAA4CA79}"/>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Sheet1!$C$42:$C$43</c:f>
              <c:strCache>
                <c:ptCount val="2"/>
                <c:pt idx="0">
                  <c:v>Male</c:v>
                </c:pt>
                <c:pt idx="1">
                  <c:v>Female</c:v>
                </c:pt>
              </c:strCache>
            </c:strRef>
          </c:cat>
          <c:val>
            <c:numRef>
              <c:f>Sheet1!$D$42:$D$43</c:f>
              <c:numCache>
                <c:formatCode>General</c:formatCode>
                <c:ptCount val="2"/>
                <c:pt idx="0">
                  <c:v>85</c:v>
                </c:pt>
                <c:pt idx="1">
                  <c:v>28</c:v>
                </c:pt>
              </c:numCache>
            </c:numRef>
          </c:val>
          <c:extLst>
            <c:ext xmlns:c16="http://schemas.microsoft.com/office/drawing/2014/chart" uri="{C3380CC4-5D6E-409C-BE32-E72D297353CC}">
              <c16:uniqueId val="{00000004-C43D-40BE-8CF2-3531DAA4CA79}"/>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210977603749878"/>
          <c:y val="5.0925925925925923E-2"/>
          <c:w val="0.54234966168406606"/>
          <c:h val="0.8981481481481481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Sheet2!$C$5:$C$10</c:f>
              <c:strCache>
                <c:ptCount val="6"/>
                <c:pt idx="0">
                  <c:v>Shortness of Breath (NYHA II-IV)</c:v>
                </c:pt>
                <c:pt idx="1">
                  <c:v>Orthopnea</c:v>
                </c:pt>
                <c:pt idx="2">
                  <c:v>Paroxysmal Nocturnal Dyspnea</c:v>
                </c:pt>
                <c:pt idx="3">
                  <c:v>Bilateral Basal Crepitations</c:v>
                </c:pt>
                <c:pt idx="4">
                  <c:v>Leg Edema</c:v>
                </c:pt>
                <c:pt idx="5">
                  <c:v>Raised JVP</c:v>
                </c:pt>
              </c:strCache>
            </c:strRef>
          </c:cat>
          <c:val>
            <c:numRef>
              <c:f>Sheet2!$D$5:$D$10</c:f>
            </c:numRef>
          </c:val>
          <c:extLst>
            <c:ext xmlns:c16="http://schemas.microsoft.com/office/drawing/2014/chart" uri="{C3380CC4-5D6E-409C-BE32-E72D297353CC}">
              <c16:uniqueId val="{00000000-5E85-46AD-AE30-2ACCCC5D8BC7}"/>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Sheet2!$C$5:$C$10</c:f>
              <c:strCache>
                <c:ptCount val="6"/>
                <c:pt idx="0">
                  <c:v>Shortness of Breath (NYHA II-IV)</c:v>
                </c:pt>
                <c:pt idx="1">
                  <c:v>Orthopnea</c:v>
                </c:pt>
                <c:pt idx="2">
                  <c:v>Paroxysmal Nocturnal Dyspnea</c:v>
                </c:pt>
                <c:pt idx="3">
                  <c:v>Bilateral Basal Crepitations</c:v>
                </c:pt>
                <c:pt idx="4">
                  <c:v>Leg Edema</c:v>
                </c:pt>
                <c:pt idx="5">
                  <c:v>Raised JVP</c:v>
                </c:pt>
              </c:strCache>
            </c:strRef>
          </c:cat>
          <c:val>
            <c:numRef>
              <c:f>Sheet2!$E$5:$E$10</c:f>
              <c:numCache>
                <c:formatCode>0.0%</c:formatCode>
                <c:ptCount val="6"/>
                <c:pt idx="0">
                  <c:v>0.96499999999999997</c:v>
                </c:pt>
                <c:pt idx="1">
                  <c:v>0.86699999999999999</c:v>
                </c:pt>
                <c:pt idx="2">
                  <c:v>0.77</c:v>
                </c:pt>
                <c:pt idx="3">
                  <c:v>0.92900000000000005</c:v>
                </c:pt>
                <c:pt idx="4">
                  <c:v>0.83199999999999996</c:v>
                </c:pt>
                <c:pt idx="5">
                  <c:v>0.59299999999999997</c:v>
                </c:pt>
              </c:numCache>
            </c:numRef>
          </c:val>
          <c:extLst>
            <c:ext xmlns:c16="http://schemas.microsoft.com/office/drawing/2014/chart" uri="{C3380CC4-5D6E-409C-BE32-E72D297353CC}">
              <c16:uniqueId val="{00000001-5E85-46AD-AE30-2ACCCC5D8BC7}"/>
            </c:ext>
          </c:extLst>
        </c:ser>
        <c:dLbls>
          <c:dLblPos val="outEnd"/>
          <c:showLegendKey val="0"/>
          <c:showVal val="1"/>
          <c:showCatName val="0"/>
          <c:showSerName val="0"/>
          <c:showPercent val="0"/>
          <c:showBubbleSize val="0"/>
        </c:dLbls>
        <c:gapWidth val="182"/>
        <c:axId val="661728720"/>
        <c:axId val="661743120"/>
      </c:barChart>
      <c:catAx>
        <c:axId val="661728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1743120"/>
        <c:crosses val="autoZero"/>
        <c:auto val="1"/>
        <c:lblAlgn val="ctr"/>
        <c:lblOffset val="100"/>
        <c:noMultiLvlLbl val="0"/>
      </c:catAx>
      <c:valAx>
        <c:axId val="661743120"/>
        <c:scaling>
          <c:orientation val="minMax"/>
        </c:scaling>
        <c:delete val="1"/>
        <c:axPos val="b"/>
        <c:numFmt formatCode="0.0%" sourceLinked="1"/>
        <c:majorTickMark val="none"/>
        <c:minorTickMark val="none"/>
        <c:tickLblPos val="nextTo"/>
        <c:crossAx val="661728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223078890492"/>
          <c:y val="9.076642872911915E-2"/>
          <c:w val="0.52234888937915724"/>
          <c:h val="0.61525498565015813"/>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F1-4258-BD9C-0AD74B9F43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F1-4258-BD9C-0AD74B9F43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F1-4258-BD9C-0AD74B9F4345}"/>
              </c:ext>
            </c:extLst>
          </c:dPt>
          <c:dLbls>
            <c:dLbl>
              <c:idx val="0"/>
              <c:layout>
                <c:manualLayout>
                  <c:x val="-0.31111111111111112"/>
                  <c:y val="1.3888888888888888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BF1-4258-BD9C-0AD74B9F4345}"/>
                </c:ext>
              </c:extLst>
            </c:dLbl>
            <c:dLbl>
              <c:idx val="1"/>
              <c:layout>
                <c:manualLayout>
                  <c:x val="0.11666666666666657"/>
                  <c:y val="-4.2437781360066642E-17"/>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BF1-4258-BD9C-0AD74B9F4345}"/>
                </c:ext>
              </c:extLst>
            </c:dLbl>
            <c:dLbl>
              <c:idx val="2"/>
              <c:layout>
                <c:manualLayout>
                  <c:x val="-0.13333333333333333"/>
                  <c:y val="7.4074074074073987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BF1-4258-BD9C-0AD74B9F4345}"/>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Sheet4!$D$5:$D$7</c:f>
              <c:strCache>
                <c:ptCount val="3"/>
                <c:pt idx="0">
                  <c:v>Hypothyroidism</c:v>
                </c:pt>
                <c:pt idx="1">
                  <c:v>Hyperthyroidism</c:v>
                </c:pt>
                <c:pt idx="2">
                  <c:v>Euthyroidism</c:v>
                </c:pt>
              </c:strCache>
            </c:strRef>
          </c:cat>
          <c:val>
            <c:numRef>
              <c:f>Sheet4!$E$5:$E$7</c:f>
              <c:numCache>
                <c:formatCode>General</c:formatCode>
                <c:ptCount val="3"/>
                <c:pt idx="0">
                  <c:v>14</c:v>
                </c:pt>
                <c:pt idx="1">
                  <c:v>9</c:v>
                </c:pt>
                <c:pt idx="2">
                  <c:v>90</c:v>
                </c:pt>
              </c:numCache>
            </c:numRef>
          </c:val>
          <c:extLst>
            <c:ext xmlns:c16="http://schemas.microsoft.com/office/drawing/2014/chart" uri="{C3380CC4-5D6E-409C-BE32-E72D297353CC}">
              <c16:uniqueId val="{00000006-3BF1-4258-BD9C-0AD74B9F4345}"/>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E587-1C12-4B7B-BFF8-2E3BA393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syed shaude</dc:creator>
  <cp:lastModifiedBy>Ayan</cp:lastModifiedBy>
  <cp:revision>4</cp:revision>
  <cp:lastPrinted>2025-05-25T14:08:00Z</cp:lastPrinted>
  <dcterms:created xsi:type="dcterms:W3CDTF">2025-05-25T12:35:00Z</dcterms:created>
  <dcterms:modified xsi:type="dcterms:W3CDTF">2025-05-25T14:12:00Z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797142636ba70249f2eb465f044755503d0eaeebc57bb020feb3daa3fb7a55c4</vt:lpwstr>
  </property>
  <property fmtid="{D5CDD505-2E9C-101B-9397-08002B2CF9AE}" pid="3" name="KSOProductBuildVer">
    <vt:lpwstr>1033-12.2.0.20326</vt:lpwstr>
  </property>
  <property fmtid="{D5CDD505-2E9C-101B-9397-08002B2CF9AE}" pid="4" name="ICV">
    <vt:lpwstr>CECA7C7B231F4397867D4A9A3CB9462A_12</vt:lpwstr>
  </property>
</Properties>
</file>