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4B6C" w14:textId="77777777" w:rsidR="001E53A0" w:rsidRPr="00F731BE" w:rsidRDefault="001E53A0" w:rsidP="001E53A0">
      <w:pPr>
        <w:spacing w:line="240" w:lineRule="auto"/>
        <w:ind w:left="1440"/>
        <w:jc w:val="both"/>
        <w:rPr>
          <w:rFonts w:ascii="Arial" w:hAnsi="Arial" w:cs="Arial"/>
          <w:b/>
          <w:bCs/>
          <w:i/>
          <w:iCs/>
          <w:sz w:val="32"/>
          <w:szCs w:val="32"/>
          <w:u w:val="single"/>
          <w:lang w:val="en-US"/>
        </w:rPr>
      </w:pPr>
      <w:bookmarkStart w:id="0" w:name="_Hlk200459556"/>
      <w:r w:rsidRPr="001E53A0">
        <w:rPr>
          <w:rFonts w:ascii="Times New Roman" w:hAnsi="Times New Roman" w:cs="Times New Roman"/>
          <w:b/>
          <w:bCs/>
          <w:i/>
          <w:iCs/>
          <w:sz w:val="32"/>
          <w:szCs w:val="32"/>
          <w:u w:val="single"/>
          <w:lang w:val="en-US"/>
        </w:rPr>
        <w:t xml:space="preserve">Case report </w:t>
      </w:r>
    </w:p>
    <w:p w14:paraId="248567E7" w14:textId="6FA29C23" w:rsidR="00D00DFC" w:rsidRPr="00F731BE" w:rsidRDefault="00F16186" w:rsidP="00B14462">
      <w:pPr>
        <w:spacing w:line="240" w:lineRule="auto"/>
        <w:ind w:left="1440"/>
        <w:jc w:val="both"/>
        <w:rPr>
          <w:rFonts w:ascii="Arial" w:hAnsi="Arial" w:cs="Arial"/>
          <w:b/>
          <w:sz w:val="32"/>
          <w:szCs w:val="32"/>
          <w:lang w:val="en-GB"/>
        </w:rPr>
      </w:pPr>
      <w:bookmarkStart w:id="1" w:name="_Hlk199923311"/>
      <w:r w:rsidRPr="00F731BE">
        <w:rPr>
          <w:rFonts w:ascii="Arial" w:hAnsi="Arial" w:cs="Arial"/>
          <w:b/>
          <w:sz w:val="32"/>
          <w:szCs w:val="32"/>
          <w:lang w:val="en-GB"/>
        </w:rPr>
        <w:t>F</w:t>
      </w:r>
      <w:r w:rsidR="00F731BE" w:rsidRPr="00F731BE">
        <w:rPr>
          <w:rFonts w:ascii="Arial" w:hAnsi="Arial" w:cs="Arial"/>
          <w:b/>
          <w:sz w:val="32"/>
          <w:szCs w:val="32"/>
          <w:lang w:val="en-GB"/>
        </w:rPr>
        <w:t>ournier’s</w:t>
      </w:r>
      <w:r w:rsidRPr="00F731BE">
        <w:rPr>
          <w:rFonts w:ascii="Arial" w:hAnsi="Arial" w:cs="Arial"/>
          <w:b/>
          <w:sz w:val="32"/>
          <w:szCs w:val="32"/>
          <w:lang w:val="en-GB"/>
        </w:rPr>
        <w:t xml:space="preserve"> </w:t>
      </w:r>
      <w:r w:rsidR="00F731BE" w:rsidRPr="00F731BE">
        <w:rPr>
          <w:rFonts w:ascii="Arial" w:hAnsi="Arial" w:cs="Arial"/>
          <w:b/>
          <w:sz w:val="32"/>
          <w:szCs w:val="32"/>
          <w:lang w:val="en-GB"/>
        </w:rPr>
        <w:t xml:space="preserve">Gangrene in a Patient with Poorly Controlled Diabetes: </w:t>
      </w:r>
      <w:r w:rsidRPr="00F731BE">
        <w:rPr>
          <w:rFonts w:ascii="Arial" w:hAnsi="Arial" w:cs="Arial"/>
          <w:b/>
          <w:sz w:val="32"/>
          <w:szCs w:val="32"/>
          <w:lang w:val="en-GB"/>
        </w:rPr>
        <w:t>A C</w:t>
      </w:r>
      <w:r w:rsidR="00F731BE" w:rsidRPr="00F731BE">
        <w:rPr>
          <w:rFonts w:ascii="Arial" w:hAnsi="Arial" w:cs="Arial"/>
          <w:b/>
          <w:sz w:val="32"/>
          <w:szCs w:val="32"/>
          <w:lang w:val="en-GB"/>
        </w:rPr>
        <w:t>linical Challenge</w:t>
      </w:r>
    </w:p>
    <w:p w14:paraId="72FED9EB" w14:textId="77777777" w:rsidR="003526D2" w:rsidRPr="003526D2" w:rsidRDefault="003526D2" w:rsidP="00094158">
      <w:pPr>
        <w:spacing w:line="240" w:lineRule="auto"/>
        <w:jc w:val="both"/>
        <w:rPr>
          <w:rFonts w:ascii="Times New Roman" w:hAnsi="Times New Roman" w:cs="Times New Roman"/>
          <w:sz w:val="24"/>
          <w:szCs w:val="24"/>
          <w:lang w:val="en-GB"/>
        </w:rPr>
      </w:pPr>
      <w:bookmarkStart w:id="2" w:name="_Hlk199923324"/>
      <w:bookmarkEnd w:id="1"/>
    </w:p>
    <w:bookmarkEnd w:id="2"/>
    <w:p w14:paraId="64231550" w14:textId="77777777" w:rsidR="00F16186" w:rsidRPr="00CA38F6" w:rsidRDefault="00F16186" w:rsidP="00094158">
      <w:pPr>
        <w:spacing w:line="240" w:lineRule="auto"/>
        <w:jc w:val="both"/>
        <w:rPr>
          <w:rFonts w:ascii="Times New Roman" w:hAnsi="Times New Roman" w:cs="Times New Roman"/>
          <w:b/>
          <w:sz w:val="24"/>
          <w:szCs w:val="24"/>
          <w:lang w:val="en-GB"/>
        </w:rPr>
      </w:pPr>
    </w:p>
    <w:p w14:paraId="0FEA73BC" w14:textId="77777777" w:rsidR="003526D2" w:rsidRDefault="003526D2" w:rsidP="00094158">
      <w:pPr>
        <w:spacing w:line="240" w:lineRule="auto"/>
        <w:jc w:val="both"/>
        <w:rPr>
          <w:rFonts w:ascii="Times New Roman" w:hAnsi="Times New Roman" w:cs="Times New Roman"/>
          <w:sz w:val="24"/>
          <w:szCs w:val="24"/>
          <w:lang w:val="en-GB"/>
        </w:rPr>
      </w:pPr>
    </w:p>
    <w:p w14:paraId="6E971A66" w14:textId="77777777" w:rsidR="003526D2" w:rsidRDefault="003526D2" w:rsidP="00094158">
      <w:pPr>
        <w:spacing w:line="240" w:lineRule="auto"/>
        <w:jc w:val="both"/>
        <w:rPr>
          <w:rFonts w:ascii="Times New Roman" w:hAnsi="Times New Roman" w:cs="Times New Roman"/>
          <w:sz w:val="24"/>
          <w:szCs w:val="24"/>
          <w:lang w:val="en-GB"/>
        </w:rPr>
      </w:pPr>
    </w:p>
    <w:p w14:paraId="572E893D" w14:textId="77777777" w:rsidR="00094158" w:rsidRDefault="00094158" w:rsidP="00094158">
      <w:pPr>
        <w:spacing w:after="0" w:line="240" w:lineRule="auto"/>
        <w:jc w:val="both"/>
        <w:rPr>
          <w:rFonts w:ascii="Times New Roman" w:hAnsi="Times New Roman" w:cs="Times New Roman"/>
          <w:b/>
          <w:sz w:val="28"/>
          <w:szCs w:val="28"/>
          <w:lang w:val="en-GB"/>
        </w:rPr>
      </w:pPr>
    </w:p>
    <w:p w14:paraId="7BBE9CBF" w14:textId="62BD4D15" w:rsidR="00F52ABD" w:rsidRPr="00CA67BA" w:rsidRDefault="00CA67BA" w:rsidP="00547E8C">
      <w:pPr>
        <w:spacing w:after="0" w:line="240" w:lineRule="auto"/>
        <w:rPr>
          <w:rFonts w:ascii="Arial" w:hAnsi="Arial" w:cs="Arial"/>
          <w:b/>
          <w:lang w:val="en-GB"/>
        </w:rPr>
      </w:pPr>
      <w:r w:rsidRPr="00CA67BA">
        <w:rPr>
          <w:rFonts w:ascii="Arial" w:hAnsi="Arial" w:cs="Arial"/>
          <w:b/>
          <w:lang w:val="en-GB"/>
        </w:rPr>
        <w:t>ABSTRACT:</w:t>
      </w:r>
    </w:p>
    <w:p w14:paraId="2062D177" w14:textId="224EA637" w:rsidR="00BF7266" w:rsidRPr="007F3D98" w:rsidRDefault="00BF7266" w:rsidP="00094158">
      <w:pPr>
        <w:spacing w:after="0" w:line="240" w:lineRule="auto"/>
        <w:jc w:val="both"/>
        <w:rPr>
          <w:rFonts w:ascii="Arial" w:eastAsia="Times New Roman" w:hAnsi="Arial" w:cs="Arial"/>
          <w:sz w:val="20"/>
          <w:szCs w:val="20"/>
          <w:lang w:eastAsia="en-IN"/>
        </w:rPr>
      </w:pPr>
      <w:r w:rsidRPr="007F3D98">
        <w:rPr>
          <w:rFonts w:ascii="Arial" w:eastAsia="Times New Roman" w:hAnsi="Arial" w:cs="Arial"/>
          <w:sz w:val="20"/>
          <w:szCs w:val="20"/>
          <w:lang w:eastAsia="en-IN"/>
        </w:rPr>
        <w:t>Fo</w:t>
      </w:r>
      <w:r w:rsidR="002251AF" w:rsidRPr="007F3D98">
        <w:rPr>
          <w:rFonts w:ascii="Arial" w:eastAsia="Times New Roman" w:hAnsi="Arial" w:cs="Arial"/>
          <w:sz w:val="20"/>
          <w:szCs w:val="20"/>
          <w:lang w:eastAsia="en-IN"/>
        </w:rPr>
        <w:t>urnier's gangrene is an uncommon necrotizing fasciitis of the vaginal and perineal areas that progresses quickly and is frequently linked to significant morbidity and fatality rates. Survival depends on intensive care and early detection.</w:t>
      </w:r>
      <w:r w:rsidRPr="007F3D98">
        <w:rPr>
          <w:rFonts w:ascii="Arial" w:eastAsia="Times New Roman" w:hAnsi="Arial" w:cs="Arial"/>
          <w:sz w:val="20"/>
          <w:szCs w:val="20"/>
          <w:lang w:eastAsia="en-IN"/>
        </w:rPr>
        <w:t xml:space="preserve"> </w:t>
      </w:r>
      <w:r w:rsidR="002251AF" w:rsidRPr="007F3D98">
        <w:rPr>
          <w:rFonts w:ascii="Arial" w:eastAsia="Times New Roman" w:hAnsi="Arial" w:cs="Arial"/>
          <w:sz w:val="20"/>
          <w:szCs w:val="20"/>
          <w:lang w:eastAsia="en-IN"/>
        </w:rPr>
        <w:t>In order to successfully treat Fournier's gangrene, it emphasizes the significance of early clinical suspicion, timely surgical intervention, and multidisciplinary management.</w:t>
      </w:r>
      <w:r w:rsidR="009A3FFF">
        <w:rPr>
          <w:rFonts w:ascii="Arial" w:eastAsia="Times New Roman" w:hAnsi="Arial" w:cs="Arial"/>
          <w:sz w:val="20"/>
          <w:szCs w:val="20"/>
          <w:lang w:eastAsia="en-IN"/>
        </w:rPr>
        <w:t xml:space="preserve"> The LRINEC Score and Imaging studies such as Computed tomography and ultrasound plays a crucial role in the early diagnosis and FGSI helps to assess the severity and prognosis of the condition</w:t>
      </w:r>
      <w:r w:rsidR="002251AF" w:rsidRPr="007F3D98">
        <w:rPr>
          <w:rFonts w:ascii="Arial" w:eastAsia="Times New Roman" w:hAnsi="Arial" w:cs="Arial"/>
          <w:sz w:val="20"/>
          <w:szCs w:val="20"/>
          <w:lang w:eastAsia="en-IN"/>
        </w:rPr>
        <w:t xml:space="preserve">. </w:t>
      </w:r>
      <w:r w:rsidRPr="007F3D98">
        <w:rPr>
          <w:rFonts w:ascii="Arial" w:eastAsia="Times New Roman" w:hAnsi="Arial" w:cs="Arial"/>
          <w:sz w:val="20"/>
          <w:szCs w:val="20"/>
          <w:lang w:eastAsia="en-IN"/>
        </w:rPr>
        <w:t xml:space="preserve">We report the case of a 55 years old male patient with a history of hypertension and diabetes mellitus from past 10 years who presented with complaints of scrotal swelling from 1 week and raw area over scrotum followed by discharge from the raw area. </w:t>
      </w:r>
      <w:r w:rsidR="002251AF" w:rsidRPr="007F3D98">
        <w:rPr>
          <w:rFonts w:ascii="Arial" w:eastAsia="Times New Roman" w:hAnsi="Arial" w:cs="Arial"/>
          <w:sz w:val="20"/>
          <w:szCs w:val="20"/>
          <w:lang w:eastAsia="en-IN"/>
        </w:rPr>
        <w:t>Signs of a necrotizing soft tissue infection were found during the clinical examination.</w:t>
      </w:r>
      <w:r w:rsidRPr="007F3D98">
        <w:rPr>
          <w:rFonts w:ascii="Arial" w:eastAsia="Times New Roman" w:hAnsi="Arial" w:cs="Arial"/>
          <w:sz w:val="20"/>
          <w:szCs w:val="20"/>
          <w:lang w:eastAsia="en-IN"/>
        </w:rPr>
        <w:t xml:space="preserve"> Based on the surgical findings and imaging diagnosis was confirmed and undergone emergency surgical debridement therapy and eventually recovered from the condition.</w:t>
      </w:r>
    </w:p>
    <w:p w14:paraId="59D19B8E" w14:textId="6C30CBAE" w:rsidR="00BF7266" w:rsidRDefault="00BF7266" w:rsidP="00094158">
      <w:pPr>
        <w:spacing w:before="240" w:after="0" w:line="240" w:lineRule="auto"/>
        <w:jc w:val="both"/>
        <w:rPr>
          <w:rFonts w:ascii="Times New Roman" w:eastAsia="Times New Roman" w:hAnsi="Times New Roman" w:cs="Times New Roman"/>
          <w:sz w:val="24"/>
          <w:szCs w:val="24"/>
          <w:lang w:eastAsia="en-IN"/>
        </w:rPr>
      </w:pPr>
      <w:r w:rsidRPr="00CA67BA">
        <w:rPr>
          <w:rFonts w:ascii="Arial" w:eastAsia="Times New Roman" w:hAnsi="Arial" w:cs="Arial"/>
          <w:b/>
          <w:i/>
          <w:sz w:val="20"/>
          <w:szCs w:val="20"/>
          <w:lang w:eastAsia="en-IN"/>
        </w:rPr>
        <w:t>Keywords:</w:t>
      </w:r>
      <w:r w:rsidRPr="00BF7266">
        <w:t xml:space="preserve"> </w:t>
      </w:r>
      <w:r w:rsidRPr="007F3D98">
        <w:rPr>
          <w:rFonts w:ascii="Arial" w:eastAsia="Times New Roman" w:hAnsi="Arial" w:cs="Arial"/>
          <w:sz w:val="20"/>
          <w:szCs w:val="20"/>
          <w:lang w:eastAsia="en-IN"/>
        </w:rPr>
        <w:t>Fournier’s gangrene, necrotizing fasciitis, surgical debridement, perineal infection</w:t>
      </w:r>
      <w:r w:rsidR="009A3FFF">
        <w:rPr>
          <w:rFonts w:ascii="Arial" w:eastAsia="Times New Roman" w:hAnsi="Arial" w:cs="Arial"/>
          <w:sz w:val="20"/>
          <w:szCs w:val="20"/>
          <w:lang w:eastAsia="en-IN"/>
        </w:rPr>
        <w:t xml:space="preserve">, </w:t>
      </w:r>
      <w:r w:rsidR="003D5F37">
        <w:rPr>
          <w:rFonts w:ascii="Arial" w:eastAsia="Times New Roman" w:hAnsi="Arial" w:cs="Arial"/>
          <w:sz w:val="20"/>
          <w:szCs w:val="20"/>
          <w:lang w:eastAsia="en-IN"/>
        </w:rPr>
        <w:t>LRINEC (Laboratory</w:t>
      </w:r>
      <w:r w:rsidR="009A3FFF">
        <w:rPr>
          <w:rFonts w:ascii="Arial" w:eastAsia="Times New Roman" w:hAnsi="Arial" w:cs="Arial"/>
          <w:sz w:val="20"/>
          <w:szCs w:val="20"/>
          <w:lang w:eastAsia="en-IN"/>
        </w:rPr>
        <w:t xml:space="preserve"> Risk Indicator for Necrotising Fasciitis), FGSI (Fournier’s Gangrene Severity Index)</w:t>
      </w:r>
      <w:r w:rsidRPr="007F3D98">
        <w:rPr>
          <w:rFonts w:ascii="Arial" w:eastAsia="Times New Roman" w:hAnsi="Arial" w:cs="Arial"/>
          <w:sz w:val="20"/>
          <w:szCs w:val="20"/>
          <w:lang w:eastAsia="en-IN"/>
        </w:rPr>
        <w:t>.</w:t>
      </w:r>
    </w:p>
    <w:p w14:paraId="1AFE6495" w14:textId="20362FB9" w:rsidR="002251AF" w:rsidRPr="002251AF" w:rsidRDefault="00BF7266" w:rsidP="00094158">
      <w:pPr>
        <w:spacing w:before="240"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14:paraId="5F6BB50A" w14:textId="77777777" w:rsidR="002251AF" w:rsidRDefault="002251AF" w:rsidP="00094158">
      <w:pPr>
        <w:spacing w:line="240" w:lineRule="auto"/>
        <w:jc w:val="both"/>
        <w:rPr>
          <w:rFonts w:ascii="Times New Roman" w:hAnsi="Times New Roman" w:cs="Times New Roman"/>
          <w:sz w:val="24"/>
          <w:szCs w:val="24"/>
          <w:lang w:val="en-GB"/>
        </w:rPr>
      </w:pPr>
    </w:p>
    <w:p w14:paraId="413C5AE4" w14:textId="77777777" w:rsidR="002251AF" w:rsidRDefault="002251AF" w:rsidP="00094158">
      <w:pPr>
        <w:spacing w:line="240" w:lineRule="auto"/>
        <w:jc w:val="both"/>
        <w:rPr>
          <w:rFonts w:ascii="Times New Roman" w:hAnsi="Times New Roman" w:cs="Times New Roman"/>
          <w:sz w:val="24"/>
          <w:szCs w:val="24"/>
          <w:lang w:val="en-GB"/>
        </w:rPr>
      </w:pPr>
    </w:p>
    <w:p w14:paraId="34C7F7BC" w14:textId="77777777" w:rsidR="00BF7266" w:rsidRDefault="00BF7266" w:rsidP="00094158">
      <w:pPr>
        <w:spacing w:line="240" w:lineRule="auto"/>
        <w:jc w:val="both"/>
        <w:rPr>
          <w:rFonts w:ascii="Times New Roman" w:hAnsi="Times New Roman" w:cs="Times New Roman"/>
          <w:sz w:val="24"/>
          <w:szCs w:val="24"/>
          <w:lang w:val="en-GB"/>
        </w:rPr>
      </w:pPr>
    </w:p>
    <w:p w14:paraId="6A7B75EC" w14:textId="77777777" w:rsidR="00BF7266" w:rsidRDefault="00BF7266" w:rsidP="00094158">
      <w:pPr>
        <w:spacing w:line="240" w:lineRule="auto"/>
        <w:jc w:val="both"/>
        <w:rPr>
          <w:rFonts w:ascii="Times New Roman" w:hAnsi="Times New Roman" w:cs="Times New Roman"/>
          <w:sz w:val="24"/>
          <w:szCs w:val="24"/>
          <w:lang w:val="en-GB"/>
        </w:rPr>
      </w:pPr>
    </w:p>
    <w:p w14:paraId="2F93ABE7" w14:textId="77777777" w:rsidR="00BF7266" w:rsidRDefault="00BF7266" w:rsidP="00094158">
      <w:pPr>
        <w:spacing w:line="240" w:lineRule="auto"/>
        <w:jc w:val="both"/>
        <w:rPr>
          <w:rFonts w:ascii="Times New Roman" w:hAnsi="Times New Roman" w:cs="Times New Roman"/>
          <w:sz w:val="24"/>
          <w:szCs w:val="24"/>
          <w:lang w:val="en-GB"/>
        </w:rPr>
      </w:pPr>
    </w:p>
    <w:p w14:paraId="7A7C3694" w14:textId="77777777" w:rsidR="00BF7266" w:rsidRDefault="00BF7266" w:rsidP="00094158">
      <w:pPr>
        <w:spacing w:line="240" w:lineRule="auto"/>
        <w:jc w:val="both"/>
        <w:rPr>
          <w:rFonts w:ascii="Times New Roman" w:hAnsi="Times New Roman" w:cs="Times New Roman"/>
          <w:sz w:val="24"/>
          <w:szCs w:val="24"/>
          <w:lang w:val="en-GB"/>
        </w:rPr>
      </w:pPr>
    </w:p>
    <w:p w14:paraId="58D23D6D" w14:textId="77777777" w:rsidR="00BF7266" w:rsidRDefault="00BF7266" w:rsidP="00094158">
      <w:pPr>
        <w:spacing w:line="240" w:lineRule="auto"/>
        <w:jc w:val="both"/>
        <w:rPr>
          <w:rFonts w:ascii="Times New Roman" w:hAnsi="Times New Roman" w:cs="Times New Roman"/>
          <w:sz w:val="24"/>
          <w:szCs w:val="24"/>
          <w:lang w:val="en-GB"/>
        </w:rPr>
      </w:pPr>
    </w:p>
    <w:p w14:paraId="42A11D48" w14:textId="77777777" w:rsidR="00BF7266" w:rsidRDefault="00BF7266" w:rsidP="00094158">
      <w:pPr>
        <w:spacing w:line="240" w:lineRule="auto"/>
        <w:jc w:val="both"/>
        <w:rPr>
          <w:rFonts w:ascii="Times New Roman" w:hAnsi="Times New Roman" w:cs="Times New Roman"/>
          <w:sz w:val="24"/>
          <w:szCs w:val="24"/>
          <w:lang w:val="en-GB"/>
        </w:rPr>
      </w:pPr>
    </w:p>
    <w:p w14:paraId="57E486D6" w14:textId="77777777" w:rsidR="00BF7266" w:rsidRDefault="00BF7266" w:rsidP="00094158">
      <w:pPr>
        <w:spacing w:line="240" w:lineRule="auto"/>
        <w:jc w:val="both"/>
        <w:rPr>
          <w:rFonts w:ascii="Times New Roman" w:hAnsi="Times New Roman" w:cs="Times New Roman"/>
          <w:sz w:val="24"/>
          <w:szCs w:val="24"/>
          <w:lang w:val="en-GB"/>
        </w:rPr>
      </w:pPr>
    </w:p>
    <w:p w14:paraId="5C8BAE71" w14:textId="77777777" w:rsidR="00BF7266" w:rsidRDefault="00BF7266" w:rsidP="00094158">
      <w:pPr>
        <w:spacing w:line="240" w:lineRule="auto"/>
        <w:jc w:val="both"/>
        <w:rPr>
          <w:rFonts w:ascii="Times New Roman" w:hAnsi="Times New Roman" w:cs="Times New Roman"/>
          <w:sz w:val="24"/>
          <w:szCs w:val="24"/>
          <w:lang w:val="en-GB"/>
        </w:rPr>
      </w:pPr>
    </w:p>
    <w:p w14:paraId="7CA6F8ED" w14:textId="77777777" w:rsidR="00BF7266" w:rsidRDefault="00BF7266" w:rsidP="00094158">
      <w:pPr>
        <w:spacing w:line="240" w:lineRule="auto"/>
        <w:jc w:val="both"/>
        <w:rPr>
          <w:rFonts w:ascii="Times New Roman" w:hAnsi="Times New Roman" w:cs="Times New Roman"/>
          <w:sz w:val="24"/>
          <w:szCs w:val="24"/>
          <w:lang w:val="en-GB"/>
        </w:rPr>
      </w:pPr>
    </w:p>
    <w:p w14:paraId="5BBA8522" w14:textId="77777777" w:rsidR="00BF7266" w:rsidRDefault="00BF7266" w:rsidP="00094158">
      <w:pPr>
        <w:spacing w:line="240" w:lineRule="auto"/>
        <w:jc w:val="both"/>
        <w:rPr>
          <w:rFonts w:ascii="Times New Roman" w:hAnsi="Times New Roman" w:cs="Times New Roman"/>
          <w:sz w:val="24"/>
          <w:szCs w:val="24"/>
          <w:lang w:val="en-GB"/>
        </w:rPr>
      </w:pPr>
    </w:p>
    <w:p w14:paraId="0F481F0E" w14:textId="77777777" w:rsidR="00BF7266" w:rsidRDefault="00BF7266" w:rsidP="00094158">
      <w:pPr>
        <w:spacing w:line="240" w:lineRule="auto"/>
        <w:jc w:val="both"/>
        <w:rPr>
          <w:rFonts w:ascii="Times New Roman" w:hAnsi="Times New Roman" w:cs="Times New Roman"/>
          <w:sz w:val="24"/>
          <w:szCs w:val="24"/>
          <w:lang w:val="en-GB"/>
        </w:rPr>
      </w:pPr>
    </w:p>
    <w:p w14:paraId="225362C8" w14:textId="16667E0C" w:rsidR="007F3D98" w:rsidRDefault="007F3D98" w:rsidP="00094158">
      <w:pPr>
        <w:spacing w:after="0" w:line="240" w:lineRule="auto"/>
        <w:jc w:val="both"/>
        <w:rPr>
          <w:rFonts w:ascii="Times New Roman" w:hAnsi="Times New Roman" w:cs="Times New Roman"/>
          <w:sz w:val="24"/>
          <w:szCs w:val="24"/>
          <w:lang w:val="en-GB"/>
        </w:rPr>
      </w:pPr>
    </w:p>
    <w:p w14:paraId="74FE575E" w14:textId="77777777" w:rsidR="00F731BE" w:rsidRDefault="00F731BE" w:rsidP="00094158">
      <w:pPr>
        <w:spacing w:after="0" w:line="240" w:lineRule="auto"/>
        <w:jc w:val="both"/>
        <w:rPr>
          <w:rFonts w:ascii="Times New Roman" w:hAnsi="Times New Roman" w:cs="Times New Roman"/>
          <w:b/>
          <w:sz w:val="28"/>
          <w:szCs w:val="28"/>
          <w:lang w:val="en-GB"/>
        </w:rPr>
      </w:pPr>
    </w:p>
    <w:p w14:paraId="767D44E0" w14:textId="77777777" w:rsidR="007F3D98" w:rsidRDefault="007F3D98" w:rsidP="00094158">
      <w:pPr>
        <w:spacing w:after="0" w:line="240" w:lineRule="auto"/>
        <w:jc w:val="both"/>
        <w:rPr>
          <w:rFonts w:ascii="Times New Roman" w:hAnsi="Times New Roman" w:cs="Times New Roman"/>
          <w:b/>
          <w:sz w:val="28"/>
          <w:szCs w:val="28"/>
          <w:lang w:val="en-GB"/>
        </w:rPr>
      </w:pPr>
    </w:p>
    <w:p w14:paraId="2BFE0985" w14:textId="5E44FFEA" w:rsidR="003526D2" w:rsidRPr="007F3D98" w:rsidRDefault="00CA67BA" w:rsidP="007F3D98">
      <w:pPr>
        <w:pStyle w:val="ListParagraph"/>
        <w:numPr>
          <w:ilvl w:val="0"/>
          <w:numId w:val="3"/>
        </w:numPr>
        <w:spacing w:after="0" w:line="240" w:lineRule="auto"/>
        <w:rPr>
          <w:rFonts w:ascii="Arial" w:hAnsi="Arial" w:cs="Arial"/>
          <w:b/>
          <w:lang w:val="en-GB"/>
        </w:rPr>
      </w:pPr>
      <w:r w:rsidRPr="007F3D98">
        <w:rPr>
          <w:rFonts w:ascii="Arial" w:hAnsi="Arial" w:cs="Arial"/>
          <w:b/>
          <w:lang w:val="en-GB"/>
        </w:rPr>
        <w:t>INTRODUCTION:</w:t>
      </w:r>
    </w:p>
    <w:p w14:paraId="26735CA5" w14:textId="5123F9BE" w:rsidR="00F16186" w:rsidRPr="00C65409" w:rsidRDefault="00F16186" w:rsidP="00C65409">
      <w:pPr>
        <w:pStyle w:val="NormalWeb"/>
        <w:spacing w:before="0" w:beforeAutospacing="0" w:after="240"/>
        <w:jc w:val="both"/>
        <w:rPr>
          <w:rFonts w:ascii="Arial" w:hAnsi="Arial" w:cs="Arial"/>
          <w:color w:val="000000"/>
          <w:sz w:val="20"/>
          <w:szCs w:val="20"/>
        </w:rPr>
      </w:pPr>
      <w:r w:rsidRPr="00547E8C">
        <w:rPr>
          <w:rFonts w:ascii="Arial" w:hAnsi="Arial" w:cs="Arial"/>
          <w:sz w:val="20"/>
          <w:szCs w:val="20"/>
          <w:lang w:val="en-GB"/>
        </w:rPr>
        <w:t xml:space="preserve">A rare and potentially fatal bacterial infection, Fournier's gangrene affects the anal area, perineum, and genitalia. </w:t>
      </w:r>
      <w:r w:rsidR="00727474" w:rsidRPr="00547E8C">
        <w:rPr>
          <w:rFonts w:ascii="Arial" w:hAnsi="Arial" w:cs="Arial"/>
          <w:sz w:val="20"/>
          <w:szCs w:val="20"/>
          <w:lang w:val="en-GB"/>
        </w:rPr>
        <w:t>It’s a type</w:t>
      </w:r>
      <w:r w:rsidRPr="00547E8C">
        <w:rPr>
          <w:rFonts w:ascii="Arial" w:hAnsi="Arial" w:cs="Arial"/>
          <w:sz w:val="20"/>
          <w:szCs w:val="20"/>
          <w:lang w:val="en-GB"/>
        </w:rPr>
        <w:t xml:space="preserve"> of necrotizing fasciitis </w:t>
      </w:r>
      <w:r w:rsidR="00727474" w:rsidRPr="00547E8C">
        <w:rPr>
          <w:rFonts w:ascii="Arial" w:hAnsi="Arial" w:cs="Arial"/>
          <w:sz w:val="20"/>
          <w:szCs w:val="20"/>
          <w:lang w:val="en-GB"/>
        </w:rPr>
        <w:t xml:space="preserve">also known </w:t>
      </w:r>
      <w:r w:rsidRPr="00547E8C">
        <w:rPr>
          <w:rFonts w:ascii="Arial" w:hAnsi="Arial" w:cs="Arial"/>
          <w:sz w:val="20"/>
          <w:szCs w:val="20"/>
          <w:lang w:val="en-GB"/>
        </w:rPr>
        <w:t>as flesh-eating illness.</w:t>
      </w:r>
      <w:r w:rsidR="002B4B50" w:rsidRPr="00547E8C">
        <w:rPr>
          <w:rFonts w:ascii="Arial" w:hAnsi="Arial" w:cs="Arial"/>
          <w:sz w:val="20"/>
          <w:szCs w:val="20"/>
        </w:rPr>
        <w:t xml:space="preserve"> </w:t>
      </w:r>
      <w:r w:rsidR="002B4B50" w:rsidRPr="00547E8C">
        <w:rPr>
          <w:rFonts w:ascii="Arial" w:hAnsi="Arial" w:cs="Arial"/>
          <w:sz w:val="20"/>
          <w:szCs w:val="20"/>
          <w:lang w:val="en-GB"/>
        </w:rPr>
        <w:t>Severe inflammation and infection that spreads along fascial planes are the hallmarks of Fournier gangrene, which frequently results in sepsis, fast tissue destruction, and a high fatality rate of 40</w:t>
      </w:r>
      <w:r w:rsidR="00DE5E72" w:rsidRPr="00547E8C">
        <w:rPr>
          <w:rFonts w:ascii="Arial" w:hAnsi="Arial" w:cs="Arial"/>
          <w:sz w:val="20"/>
          <w:szCs w:val="20"/>
          <w:lang w:val="en-GB"/>
        </w:rPr>
        <w:t>%</w:t>
      </w:r>
      <w:r w:rsidR="004F2FF2">
        <w:rPr>
          <w:rFonts w:ascii="Arial" w:hAnsi="Arial" w:cs="Arial"/>
          <w:sz w:val="20"/>
          <w:szCs w:val="20"/>
          <w:lang w:val="en-GB"/>
        </w:rPr>
        <w:t xml:space="preserve"> (Mishra SP, 2013) (Joury A, 2019)</w:t>
      </w:r>
      <w:r w:rsidR="002B4B50" w:rsidRPr="00547E8C">
        <w:rPr>
          <w:rFonts w:ascii="Arial" w:hAnsi="Arial" w:cs="Arial"/>
          <w:sz w:val="20"/>
          <w:szCs w:val="20"/>
          <w:lang w:val="en-GB"/>
        </w:rPr>
        <w:t>. The main cause of this illness is a polymicrobial infection that involves both aerobic and anaerobic bacteria</w:t>
      </w:r>
      <w:r w:rsidR="006728E3" w:rsidRPr="00547E8C">
        <w:rPr>
          <w:rFonts w:ascii="Arial" w:hAnsi="Arial" w:cs="Arial"/>
          <w:sz w:val="20"/>
          <w:szCs w:val="20"/>
          <w:lang w:val="en-GB"/>
        </w:rPr>
        <w:t xml:space="preserve"> (Escherichia coli, Streptococcus spp., Staphylococcus aureus, Bacteroides spp., Clostridium spp.)</w:t>
      </w:r>
      <w:r w:rsidR="002B4B50" w:rsidRPr="00547E8C">
        <w:rPr>
          <w:rFonts w:ascii="Arial" w:hAnsi="Arial" w:cs="Arial"/>
          <w:sz w:val="20"/>
          <w:szCs w:val="20"/>
          <w:lang w:val="en-GB"/>
        </w:rPr>
        <w:t xml:space="preserve"> and typically comes from the skin, intestines, or </w:t>
      </w:r>
      <w:r w:rsidR="00DE5E72" w:rsidRPr="00547E8C">
        <w:rPr>
          <w:rFonts w:ascii="Arial" w:hAnsi="Arial" w:cs="Arial"/>
          <w:sz w:val="20"/>
          <w:szCs w:val="20"/>
          <w:lang w:val="en-GB"/>
        </w:rPr>
        <w:t>urine</w:t>
      </w:r>
      <w:r w:rsidR="004F2FF2">
        <w:rPr>
          <w:rFonts w:ascii="Arial" w:hAnsi="Arial" w:cs="Arial"/>
          <w:sz w:val="20"/>
          <w:szCs w:val="20"/>
          <w:lang w:val="en-GB"/>
        </w:rPr>
        <w:t xml:space="preserve"> (Leslie SW, 2015)</w:t>
      </w:r>
      <w:r w:rsidR="002B4B50" w:rsidRPr="00547E8C">
        <w:rPr>
          <w:rFonts w:ascii="Arial" w:hAnsi="Arial" w:cs="Arial"/>
          <w:sz w:val="20"/>
          <w:szCs w:val="20"/>
          <w:lang w:val="en-GB"/>
        </w:rPr>
        <w:t xml:space="preserve">. </w:t>
      </w:r>
      <w:r w:rsidR="00633C2C" w:rsidRPr="00547E8C">
        <w:rPr>
          <w:rFonts w:ascii="Arial" w:hAnsi="Arial" w:cs="Arial"/>
          <w:sz w:val="20"/>
          <w:szCs w:val="20"/>
          <w:lang w:val="en-GB"/>
        </w:rPr>
        <w:t xml:space="preserve">Less than 0.02% of hospital admissions result from the rare infection known as Fournier gangrene. The male-to-female ratio is 10:1, with higher rates of morbidity and mortality observed among women. Women experience more severe illness and have longer hospital stays compared to men, with the highest incidence of Fournier gangrene observed in the Southeast region of the United States. This condition often leads to debilitating or immunocompromised states, particularly affecting males aged 50 and older who have a history of alcohol abuse and </w:t>
      </w:r>
      <w:r w:rsidR="00DE5E72" w:rsidRPr="00547E8C">
        <w:rPr>
          <w:rFonts w:ascii="Arial" w:hAnsi="Arial" w:cs="Arial"/>
          <w:sz w:val="20"/>
          <w:szCs w:val="20"/>
          <w:lang w:val="en-GB"/>
        </w:rPr>
        <w:t>diabetes</w:t>
      </w:r>
      <w:r w:rsidR="004F2FF2">
        <w:rPr>
          <w:rFonts w:ascii="Arial" w:hAnsi="Arial" w:cs="Arial"/>
          <w:sz w:val="20"/>
          <w:szCs w:val="20"/>
          <w:lang w:val="en-GB"/>
        </w:rPr>
        <w:t xml:space="preserve"> (Leslie SW, 2015)</w:t>
      </w:r>
      <w:r w:rsidR="00DE5E72" w:rsidRPr="00547E8C">
        <w:rPr>
          <w:rFonts w:ascii="Arial" w:hAnsi="Arial" w:cs="Arial"/>
          <w:sz w:val="20"/>
          <w:szCs w:val="20"/>
          <w:lang w:val="en-GB"/>
        </w:rPr>
        <w:t xml:space="preserve">. </w:t>
      </w:r>
      <w:r w:rsidRPr="00547E8C">
        <w:rPr>
          <w:rFonts w:ascii="Arial" w:hAnsi="Arial" w:cs="Arial"/>
          <w:sz w:val="20"/>
          <w:szCs w:val="20"/>
          <w:lang w:val="en-GB"/>
        </w:rPr>
        <w:t>Skin discoloration, vaginal swelling, moderate genital pain, malaise, fever, crepitus, and a crackling sound when the afflicted areas are massaged are some of the symptoms.</w:t>
      </w:r>
      <w:r w:rsidR="00727474" w:rsidRPr="00547E8C">
        <w:rPr>
          <w:rFonts w:ascii="Arial" w:hAnsi="Arial" w:cs="Arial"/>
          <w:sz w:val="20"/>
          <w:szCs w:val="20"/>
          <w:lang w:val="en-GB"/>
        </w:rPr>
        <w:t xml:space="preserve"> </w:t>
      </w:r>
      <w:r w:rsidRPr="00547E8C">
        <w:rPr>
          <w:rFonts w:ascii="Arial" w:hAnsi="Arial" w:cs="Arial"/>
          <w:sz w:val="20"/>
          <w:szCs w:val="20"/>
          <w:lang w:val="en-GB"/>
        </w:rPr>
        <w:t>Causes include genital trauma, anorectal or urogenital trauma, pelvic and perineal damage, and pelvic procedures, which allow bacteria from the gastrointestinal tract to reach the skin.</w:t>
      </w:r>
      <w:r w:rsidR="00F34C64">
        <w:rPr>
          <w:rFonts w:ascii="Arial" w:hAnsi="Arial" w:cs="Arial"/>
          <w:sz w:val="20"/>
          <w:szCs w:val="20"/>
          <w:lang w:val="en-GB"/>
        </w:rPr>
        <w:t xml:space="preserve"> CT Scan </w:t>
      </w:r>
      <w:r w:rsidR="00130961">
        <w:rPr>
          <w:rFonts w:ascii="Arial" w:hAnsi="Arial" w:cs="Arial"/>
          <w:sz w:val="20"/>
          <w:szCs w:val="20"/>
          <w:lang w:val="en-GB"/>
        </w:rPr>
        <w:t xml:space="preserve">(showing gas in soft tissues, fascial thickening, fluid collection) </w:t>
      </w:r>
      <w:r w:rsidR="00F34C64">
        <w:rPr>
          <w:rFonts w:ascii="Arial" w:hAnsi="Arial" w:cs="Arial"/>
          <w:sz w:val="20"/>
          <w:szCs w:val="20"/>
          <w:lang w:val="en-GB"/>
        </w:rPr>
        <w:t>and Ultrasound Scan</w:t>
      </w:r>
      <w:r w:rsidR="00130961">
        <w:rPr>
          <w:rFonts w:ascii="Arial" w:hAnsi="Arial" w:cs="Arial"/>
          <w:sz w:val="20"/>
          <w:szCs w:val="20"/>
          <w:lang w:val="en-GB"/>
        </w:rPr>
        <w:t xml:space="preserve"> (detects subcutaneous air, useful for quick bedside evaluation) </w:t>
      </w:r>
      <w:r w:rsidR="00F34C64">
        <w:rPr>
          <w:rFonts w:ascii="Arial" w:hAnsi="Arial" w:cs="Arial"/>
          <w:sz w:val="20"/>
          <w:szCs w:val="20"/>
          <w:lang w:val="en-GB"/>
        </w:rPr>
        <w:t>are the Imaging studies which are considered as the additional diagnostic tools for the detection of this necrotizing fasciitis</w:t>
      </w:r>
      <w:r w:rsidR="00EE2CF1">
        <w:rPr>
          <w:rFonts w:ascii="Arial" w:hAnsi="Arial" w:cs="Arial"/>
          <w:sz w:val="20"/>
          <w:szCs w:val="20"/>
          <w:lang w:val="en-GB"/>
        </w:rPr>
        <w:t xml:space="preserve"> (Chawla SN,2006)</w:t>
      </w:r>
      <w:r w:rsidR="00F34C64">
        <w:rPr>
          <w:rFonts w:ascii="Arial" w:hAnsi="Arial" w:cs="Arial"/>
          <w:sz w:val="20"/>
          <w:szCs w:val="20"/>
          <w:lang w:val="en-GB"/>
        </w:rPr>
        <w:t>.</w:t>
      </w:r>
      <w:r w:rsidR="00EE2CF1">
        <w:rPr>
          <w:rFonts w:ascii="Arial" w:hAnsi="Arial" w:cs="Arial"/>
          <w:sz w:val="20"/>
          <w:szCs w:val="20"/>
          <w:lang w:val="en-GB"/>
        </w:rPr>
        <w:t xml:space="preserve"> </w:t>
      </w:r>
      <w:r w:rsidR="00EE2CF1" w:rsidRPr="00EE2CF1">
        <w:rPr>
          <w:rFonts w:ascii="Arial" w:hAnsi="Arial" w:cs="Arial"/>
          <w:sz w:val="20"/>
          <w:szCs w:val="20"/>
          <w:lang w:val="en-GB"/>
        </w:rPr>
        <w:t xml:space="preserve">The LRINEC </w:t>
      </w:r>
      <w:r w:rsidR="00EE2CF1">
        <w:rPr>
          <w:rFonts w:ascii="Arial" w:hAnsi="Arial" w:cs="Arial"/>
          <w:sz w:val="20"/>
          <w:szCs w:val="20"/>
          <w:lang w:val="en-GB"/>
        </w:rPr>
        <w:t xml:space="preserve">(Laboratory Risk Indicator for Necrotizing Fasciitis) </w:t>
      </w:r>
      <w:r w:rsidR="00EE2CF1" w:rsidRPr="00EE2CF1">
        <w:rPr>
          <w:rFonts w:ascii="Arial" w:hAnsi="Arial" w:cs="Arial"/>
          <w:sz w:val="20"/>
          <w:szCs w:val="20"/>
          <w:lang w:val="en-GB"/>
        </w:rPr>
        <w:t xml:space="preserve">score is a reliable metric that can identify necrotizing fasciitis even in cases that are clinically early.  The variables used are routinely measured to assess severe soft tissue infections. </w:t>
      </w:r>
      <w:r w:rsidR="00AC39E3">
        <w:rPr>
          <w:rFonts w:ascii="Arial" w:hAnsi="Arial" w:cs="Arial"/>
          <w:sz w:val="20"/>
          <w:szCs w:val="20"/>
          <w:lang w:val="en-GB"/>
        </w:rPr>
        <w:t>C-Reactive Protein levels greater than 150 mg/L is considered as 4 points, White Blood Cells between 15000-25000 * 10</w:t>
      </w:r>
      <w:r w:rsidR="00AC39E3">
        <w:rPr>
          <w:rFonts w:ascii="Arial" w:hAnsi="Arial" w:cs="Arial"/>
          <w:sz w:val="20"/>
          <w:szCs w:val="20"/>
          <w:vertAlign w:val="superscript"/>
          <w:lang w:val="en-GB"/>
        </w:rPr>
        <w:t>3</w:t>
      </w:r>
      <w:r w:rsidR="00AC39E3">
        <w:rPr>
          <w:rFonts w:ascii="Arial" w:hAnsi="Arial" w:cs="Arial"/>
          <w:sz w:val="20"/>
          <w:szCs w:val="20"/>
          <w:lang w:val="en-GB"/>
        </w:rPr>
        <w:t>/L cis considered as 1 point and greater than 25000*10</w:t>
      </w:r>
      <w:r w:rsidR="00AC39E3">
        <w:rPr>
          <w:rFonts w:ascii="Arial" w:hAnsi="Arial" w:cs="Arial"/>
          <w:sz w:val="20"/>
          <w:szCs w:val="20"/>
          <w:vertAlign w:val="superscript"/>
          <w:lang w:val="en-GB"/>
        </w:rPr>
        <w:t xml:space="preserve">3 </w:t>
      </w:r>
      <w:r w:rsidR="00AC39E3">
        <w:rPr>
          <w:rFonts w:ascii="Arial" w:hAnsi="Arial" w:cs="Arial"/>
          <w:sz w:val="20"/>
          <w:szCs w:val="20"/>
          <w:lang w:val="en-GB"/>
        </w:rPr>
        <w:t xml:space="preserve">considered as 2 points, haemoglobin level between 11-13.5 g/dL is 1 point and less than 11g/dL is assigned as 2 points, Serum Creatinine &gt;141 </w:t>
      </w:r>
      <w:r w:rsidR="00AC39E3">
        <w:t xml:space="preserve">µmol/L (1.6 mg/dL) is considered as 2 points. </w:t>
      </w:r>
      <w:r w:rsidR="00EE2CF1" w:rsidRPr="00EE2CF1">
        <w:rPr>
          <w:rFonts w:ascii="Arial" w:hAnsi="Arial" w:cs="Arial"/>
          <w:sz w:val="20"/>
          <w:szCs w:val="20"/>
          <w:lang w:val="en-GB"/>
        </w:rPr>
        <w:t xml:space="preserve"> Necrotizing fasciitis should be closely examined in patients having an LRINEC score of &gt; or = 6</w:t>
      </w:r>
      <w:r w:rsidR="00C00649">
        <w:rPr>
          <w:rFonts w:ascii="Arial" w:hAnsi="Arial" w:cs="Arial"/>
          <w:sz w:val="20"/>
          <w:szCs w:val="20"/>
          <w:lang w:val="en-GB"/>
        </w:rPr>
        <w:t xml:space="preserve"> (Wong CH, 2004)</w:t>
      </w:r>
      <w:r w:rsidR="00EE2CF1" w:rsidRPr="00EE2CF1">
        <w:rPr>
          <w:rFonts w:ascii="Arial" w:hAnsi="Arial" w:cs="Arial"/>
          <w:sz w:val="20"/>
          <w:szCs w:val="20"/>
          <w:lang w:val="en-GB"/>
        </w:rPr>
        <w:t>.</w:t>
      </w:r>
      <w:r w:rsidR="00EE2CF1">
        <w:rPr>
          <w:rFonts w:ascii="Arial" w:hAnsi="Arial" w:cs="Arial"/>
          <w:sz w:val="20"/>
          <w:szCs w:val="20"/>
          <w:lang w:val="en-GB"/>
        </w:rPr>
        <w:t xml:space="preserve"> </w:t>
      </w:r>
      <w:r w:rsidR="00727474" w:rsidRPr="00547E8C">
        <w:rPr>
          <w:rFonts w:ascii="Arial" w:hAnsi="Arial" w:cs="Arial"/>
          <w:sz w:val="20"/>
          <w:szCs w:val="20"/>
          <w:lang w:val="en-GB"/>
        </w:rPr>
        <w:t xml:space="preserve"> </w:t>
      </w:r>
      <w:r w:rsidR="000C5B04" w:rsidRPr="000C5B04">
        <w:rPr>
          <w:rFonts w:ascii="Arial" w:hAnsi="Arial" w:cs="Arial"/>
          <w:sz w:val="20"/>
          <w:szCs w:val="20"/>
          <w:lang w:val="en-GB"/>
        </w:rPr>
        <w:t xml:space="preserve">Fournier's Gangrene Severity Index (FGSI) was created in 1995 by Laor et al. in order to forecast the patients' prognosis. According to the authors, patients with a FGSI score greater than 9 had a 75% chance of mortality </w:t>
      </w:r>
      <w:r w:rsidR="000C5B04">
        <w:rPr>
          <w:rFonts w:ascii="Arial" w:hAnsi="Arial" w:cs="Arial"/>
          <w:sz w:val="20"/>
          <w:szCs w:val="20"/>
          <w:lang w:val="en-GB"/>
        </w:rPr>
        <w:t xml:space="preserve">and if equal to </w:t>
      </w:r>
      <w:r w:rsidR="000C5B04" w:rsidRPr="000C5B04">
        <w:rPr>
          <w:rFonts w:ascii="Arial" w:hAnsi="Arial" w:cs="Arial"/>
          <w:sz w:val="20"/>
          <w:szCs w:val="20"/>
          <w:lang w:val="en-GB"/>
        </w:rPr>
        <w:t>9</w:t>
      </w:r>
      <w:r w:rsidR="000C5B04">
        <w:rPr>
          <w:rFonts w:ascii="Arial" w:hAnsi="Arial" w:cs="Arial"/>
          <w:sz w:val="20"/>
          <w:szCs w:val="20"/>
          <w:lang w:val="en-GB"/>
        </w:rPr>
        <w:t xml:space="preserve"> or less than 9 </w:t>
      </w:r>
      <w:r w:rsidR="000C5B04" w:rsidRPr="000C5B04">
        <w:rPr>
          <w:rFonts w:ascii="Arial" w:hAnsi="Arial" w:cs="Arial"/>
          <w:sz w:val="20"/>
          <w:szCs w:val="20"/>
          <w:lang w:val="en-GB"/>
        </w:rPr>
        <w:t>was used as the cut-off number, while they had a 78% chance of surviving</w:t>
      </w:r>
      <w:r w:rsidR="00C65409">
        <w:rPr>
          <w:rFonts w:ascii="Arial" w:hAnsi="Arial" w:cs="Arial"/>
          <w:sz w:val="20"/>
          <w:szCs w:val="20"/>
          <w:lang w:val="en-GB"/>
        </w:rPr>
        <w:t xml:space="preserve"> (Laor E, 1995</w:t>
      </w:r>
      <w:r w:rsidR="00771F76">
        <w:rPr>
          <w:rFonts w:ascii="Arial" w:hAnsi="Arial" w:cs="Arial"/>
          <w:sz w:val="20"/>
          <w:szCs w:val="20"/>
          <w:lang w:val="en-GB"/>
        </w:rPr>
        <w:t>)</w:t>
      </w:r>
      <w:r w:rsidR="00C65409">
        <w:rPr>
          <w:rFonts w:ascii="Arial" w:hAnsi="Arial" w:cs="Arial"/>
          <w:sz w:val="20"/>
          <w:szCs w:val="20"/>
          <w:lang w:val="en-GB"/>
        </w:rPr>
        <w:t xml:space="preserve"> </w:t>
      </w:r>
      <w:r w:rsidR="00C65409">
        <w:rPr>
          <w:rFonts w:ascii="Arial" w:hAnsi="Arial" w:cs="Arial"/>
          <w:color w:val="000000"/>
          <w:sz w:val="20"/>
          <w:szCs w:val="20"/>
        </w:rPr>
        <w:t>(Doluoglu O.G., 2016</w:t>
      </w:r>
      <w:r w:rsidR="00C65409">
        <w:rPr>
          <w:rFonts w:ascii="Arial" w:hAnsi="Arial" w:cs="Arial"/>
          <w:sz w:val="20"/>
          <w:szCs w:val="20"/>
          <w:lang w:val="en-GB"/>
        </w:rPr>
        <w:t>)</w:t>
      </w:r>
      <w:r w:rsidR="000C5B04">
        <w:rPr>
          <w:rFonts w:ascii="Arial" w:hAnsi="Arial" w:cs="Arial"/>
          <w:sz w:val="20"/>
          <w:szCs w:val="20"/>
          <w:lang w:val="en-GB"/>
        </w:rPr>
        <w:t xml:space="preserve">. </w:t>
      </w:r>
      <w:r w:rsidR="00727474" w:rsidRPr="00547E8C">
        <w:rPr>
          <w:rFonts w:ascii="Arial" w:hAnsi="Arial" w:cs="Arial"/>
          <w:sz w:val="20"/>
          <w:szCs w:val="20"/>
          <w:lang w:val="en-GB"/>
        </w:rPr>
        <w:t xml:space="preserve">Treatment options include intravenous fluids, vasoactive drugs, broad-spectrum antibiotics, reconstructive surgery, and emergency surgical debridement to remove necrotic and infected </w:t>
      </w:r>
      <w:r w:rsidR="00982DE2" w:rsidRPr="00547E8C">
        <w:rPr>
          <w:rFonts w:ascii="Arial" w:hAnsi="Arial" w:cs="Arial"/>
          <w:sz w:val="20"/>
          <w:szCs w:val="20"/>
          <w:lang w:val="en-GB"/>
        </w:rPr>
        <w:t>tissue.</w:t>
      </w:r>
      <w:r w:rsidR="00982DE2">
        <w:rPr>
          <w:rFonts w:ascii="Arial" w:hAnsi="Arial" w:cs="Arial"/>
          <w:sz w:val="20"/>
          <w:szCs w:val="20"/>
          <w:lang w:val="en-GB"/>
        </w:rPr>
        <w:t xml:space="preserve"> Early, broad spectrum antibiotics (should cover staphylococci, streptococci, the Enterobacteriaceae family of organisms, coliforms and anaerobes) are indicated and Tetanus prophylaxis is suggested if soft- tissue injury is </w:t>
      </w:r>
      <w:r w:rsidR="000B7A42">
        <w:rPr>
          <w:rFonts w:ascii="Arial" w:hAnsi="Arial" w:cs="Arial"/>
          <w:sz w:val="20"/>
          <w:szCs w:val="20"/>
          <w:lang w:val="en-GB"/>
        </w:rPr>
        <w:t>present (</w:t>
      </w:r>
      <w:r w:rsidR="0008222F">
        <w:rPr>
          <w:rFonts w:ascii="Arial" w:hAnsi="Arial" w:cs="Arial"/>
          <w:sz w:val="20"/>
          <w:szCs w:val="20"/>
          <w:lang w:val="en-GB"/>
        </w:rPr>
        <w:t>Auerbach, 2020)</w:t>
      </w:r>
      <w:r w:rsidR="00982DE2">
        <w:rPr>
          <w:rFonts w:ascii="Arial" w:hAnsi="Arial" w:cs="Arial"/>
          <w:sz w:val="20"/>
          <w:szCs w:val="20"/>
          <w:lang w:val="en-GB"/>
        </w:rPr>
        <w:t xml:space="preserve">. </w:t>
      </w:r>
      <w:r w:rsidR="00727474" w:rsidRPr="00547E8C">
        <w:rPr>
          <w:rFonts w:ascii="Arial" w:hAnsi="Arial" w:cs="Arial"/>
          <w:sz w:val="20"/>
          <w:szCs w:val="20"/>
          <w:lang w:val="en-GB"/>
        </w:rPr>
        <w:t xml:space="preserve"> Complications include multiple organ failure, death, and septic shock, in which the body is unable to </w:t>
      </w:r>
      <w:r w:rsidR="00982DE2" w:rsidRPr="00547E8C">
        <w:rPr>
          <w:rFonts w:ascii="Arial" w:hAnsi="Arial" w:cs="Arial"/>
          <w:sz w:val="20"/>
          <w:szCs w:val="20"/>
          <w:lang w:val="en-GB"/>
        </w:rPr>
        <w:t>mainta</w:t>
      </w:r>
      <w:r w:rsidR="00982DE2">
        <w:rPr>
          <w:rFonts w:ascii="Arial" w:hAnsi="Arial" w:cs="Arial"/>
          <w:sz w:val="20"/>
          <w:szCs w:val="20"/>
          <w:lang w:val="en-GB"/>
        </w:rPr>
        <w:t>in</w:t>
      </w:r>
      <w:r w:rsidR="00727474" w:rsidRPr="00547E8C">
        <w:rPr>
          <w:rFonts w:ascii="Arial" w:hAnsi="Arial" w:cs="Arial"/>
          <w:sz w:val="20"/>
          <w:szCs w:val="20"/>
          <w:lang w:val="en-GB"/>
        </w:rPr>
        <w:t xml:space="preserve"> blood pressure and organs shut down. Risk factors include HIV, alcohol abuse, and diabetes mellitus.</w:t>
      </w:r>
    </w:p>
    <w:p w14:paraId="1CFCE8F7" w14:textId="5741677D" w:rsidR="00633C2C" w:rsidRPr="00547E8C" w:rsidRDefault="00633C2C" w:rsidP="00094158">
      <w:pPr>
        <w:spacing w:line="240" w:lineRule="auto"/>
        <w:jc w:val="both"/>
        <w:rPr>
          <w:rFonts w:ascii="Arial" w:hAnsi="Arial" w:cs="Arial"/>
          <w:color w:val="000000"/>
          <w:sz w:val="20"/>
          <w:szCs w:val="20"/>
        </w:rPr>
      </w:pPr>
      <w:r w:rsidRPr="00547E8C">
        <w:rPr>
          <w:rFonts w:ascii="Arial" w:hAnsi="Arial" w:cs="Arial"/>
          <w:sz w:val="20"/>
          <w:szCs w:val="20"/>
          <w:lang w:val="en-GB"/>
        </w:rPr>
        <w:t xml:space="preserve">Here we describe a case of 55 years old male patient came with </w:t>
      </w:r>
      <w:r w:rsidRPr="00547E8C">
        <w:rPr>
          <w:rFonts w:ascii="Arial" w:hAnsi="Arial" w:cs="Arial"/>
          <w:color w:val="000000"/>
          <w:sz w:val="20"/>
          <w:szCs w:val="20"/>
        </w:rPr>
        <w:t>complaints of scrotal swelling for 1 week and raw area over scrotum followed by discharge from raw area in the past 5 days and based on the assessment and various diagnostic criteria he was diagnosed with Fournier’s gangrene.</w:t>
      </w:r>
      <w:r w:rsidR="00995EFF" w:rsidRPr="00547E8C">
        <w:rPr>
          <w:rFonts w:ascii="Arial" w:hAnsi="Arial" w:cs="Arial"/>
          <w:color w:val="000000"/>
          <w:sz w:val="20"/>
          <w:szCs w:val="20"/>
        </w:rPr>
        <w:t xml:space="preserve"> </w:t>
      </w:r>
      <w:r w:rsidRPr="00547E8C">
        <w:rPr>
          <w:rFonts w:ascii="Arial" w:hAnsi="Arial" w:cs="Arial"/>
          <w:color w:val="000000"/>
          <w:sz w:val="20"/>
          <w:szCs w:val="20"/>
        </w:rPr>
        <w:t xml:space="preserve">We further discussed the clinical findings and </w:t>
      </w:r>
      <w:r w:rsidR="00995EFF" w:rsidRPr="00547E8C">
        <w:rPr>
          <w:rFonts w:ascii="Arial" w:hAnsi="Arial" w:cs="Arial"/>
          <w:color w:val="000000"/>
          <w:sz w:val="20"/>
          <w:szCs w:val="20"/>
        </w:rPr>
        <w:t>the management approach done for the patient.</w:t>
      </w:r>
    </w:p>
    <w:p w14:paraId="032BFCBB" w14:textId="11761B63" w:rsidR="00995EFF" w:rsidRPr="00CA67BA" w:rsidRDefault="00CA67BA" w:rsidP="00094158">
      <w:pPr>
        <w:pStyle w:val="ListParagraph"/>
        <w:numPr>
          <w:ilvl w:val="0"/>
          <w:numId w:val="3"/>
        </w:numPr>
        <w:spacing w:after="0" w:line="240" w:lineRule="auto"/>
        <w:jc w:val="both"/>
        <w:rPr>
          <w:rFonts w:ascii="Arial" w:hAnsi="Arial" w:cs="Arial"/>
          <w:b/>
          <w:lang w:val="en-GB"/>
        </w:rPr>
      </w:pPr>
      <w:r w:rsidRPr="00CA67BA">
        <w:rPr>
          <w:rFonts w:ascii="Arial" w:hAnsi="Arial" w:cs="Arial"/>
          <w:b/>
          <w:lang w:val="en-GB"/>
        </w:rPr>
        <w:t>CASE PRESENTATION:</w:t>
      </w:r>
    </w:p>
    <w:p w14:paraId="7C13B2BA" w14:textId="49103F60"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 xml:space="preserve">A 55year old male patient came with complaints of scrotal swelling from 1 week and raw area over scrotum followed by discharge from raw area </w:t>
      </w:r>
      <w:r w:rsidR="00DE5E72" w:rsidRPr="00547E8C">
        <w:rPr>
          <w:rFonts w:ascii="Arial" w:hAnsi="Arial" w:cs="Arial"/>
          <w:sz w:val="20"/>
          <w:szCs w:val="20"/>
          <w:lang w:val="en-GB"/>
        </w:rPr>
        <w:t>from the past</w:t>
      </w:r>
      <w:r w:rsidRPr="00547E8C">
        <w:rPr>
          <w:rFonts w:ascii="Arial" w:hAnsi="Arial" w:cs="Arial"/>
          <w:sz w:val="20"/>
          <w:szCs w:val="20"/>
          <w:lang w:val="en-GB"/>
        </w:rPr>
        <w:t xml:space="preserve"> 5 days.</w:t>
      </w:r>
    </w:p>
    <w:p w14:paraId="1ABC734C" w14:textId="34587FE0"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History of Present Illness:</w:t>
      </w:r>
      <w:r w:rsidRPr="00547E8C">
        <w:rPr>
          <w:rFonts w:ascii="Arial" w:hAnsi="Arial" w:cs="Arial"/>
          <w:sz w:val="20"/>
          <w:szCs w:val="20"/>
          <w:lang w:val="en-GB"/>
        </w:rPr>
        <w:t xml:space="preserve"> Patient was apparently asymptomatic 1 week ago then he noticed scrotal swelling which was sudden onset and gradually progressive in nature, he also noticed raw area on the left side of scrotum which was associated with discharge and of foul smell from past 5 days. He has a history of fever.</w:t>
      </w:r>
    </w:p>
    <w:p w14:paraId="42A6E615" w14:textId="422E891E"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Past history:</w:t>
      </w:r>
      <w:r w:rsidRPr="00547E8C">
        <w:rPr>
          <w:rFonts w:ascii="Arial" w:hAnsi="Arial" w:cs="Arial"/>
          <w:sz w:val="20"/>
          <w:szCs w:val="20"/>
          <w:u w:val="single"/>
          <w:lang w:val="en-GB"/>
        </w:rPr>
        <w:t xml:space="preserve"> </w:t>
      </w:r>
      <w:r w:rsidRPr="00547E8C">
        <w:rPr>
          <w:rFonts w:ascii="Arial" w:hAnsi="Arial" w:cs="Arial"/>
          <w:sz w:val="20"/>
          <w:szCs w:val="20"/>
          <w:lang w:val="en-GB"/>
        </w:rPr>
        <w:t>He is a known case of Diabetes mellitus and hypertension from past 10 years and on medication metformin 500mg, glimepiride 2 mg and telmisartan 40 mg respectively.</w:t>
      </w:r>
    </w:p>
    <w:p w14:paraId="3E9115E4" w14:textId="141A220F" w:rsidR="00CA38F6"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Social history:</w:t>
      </w:r>
      <w:r w:rsidRPr="00547E8C">
        <w:rPr>
          <w:rFonts w:ascii="Arial" w:hAnsi="Arial" w:cs="Arial"/>
          <w:sz w:val="20"/>
          <w:szCs w:val="20"/>
          <w:lang w:val="en-GB"/>
        </w:rPr>
        <w:t xml:space="preserve"> He was a smoker from the last 30 years (1 pack/ day) and an alcoholic </w:t>
      </w:r>
      <w:r w:rsidR="00DE5E72" w:rsidRPr="00547E8C">
        <w:rPr>
          <w:rFonts w:ascii="Arial" w:hAnsi="Arial" w:cs="Arial"/>
          <w:sz w:val="20"/>
          <w:szCs w:val="20"/>
          <w:lang w:val="en-GB"/>
        </w:rPr>
        <w:t xml:space="preserve">from the last </w:t>
      </w:r>
      <w:r w:rsidRPr="00547E8C">
        <w:rPr>
          <w:rFonts w:ascii="Arial" w:hAnsi="Arial" w:cs="Arial"/>
          <w:sz w:val="20"/>
          <w:szCs w:val="20"/>
          <w:lang w:val="en-GB"/>
        </w:rPr>
        <w:t>30 years (weekly once 180 ml).</w:t>
      </w:r>
    </w:p>
    <w:p w14:paraId="4E74DCD9" w14:textId="77777777" w:rsidR="00CA38F6"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Patient was moderately built and nourished. On examination patient was afebrile, his blood pressure was found to be 130/70 mmHg and pulse rate was 85 bpm.</w:t>
      </w:r>
    </w:p>
    <w:p w14:paraId="7BCCFDA3" w14:textId="77777777" w:rsidR="008A7DE3"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lastRenderedPageBreak/>
        <w:t>Local examination:</w:t>
      </w:r>
    </w:p>
    <w:p w14:paraId="58F3CFAC" w14:textId="30EEB8B1" w:rsidR="00C229CE"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 xml:space="preserve">Inspection: A raw area of 10*4 cms noted on the left side of the scrotum extending from 1cm to median graph horizontally surrounding skin </w:t>
      </w:r>
      <w:r w:rsidR="00AE51FF" w:rsidRPr="00547E8C">
        <w:rPr>
          <w:rFonts w:ascii="Arial" w:hAnsi="Arial" w:cs="Arial"/>
          <w:sz w:val="20"/>
          <w:szCs w:val="20"/>
          <w:lang w:val="en-GB"/>
        </w:rPr>
        <w:t>oedematous</w:t>
      </w:r>
      <w:r w:rsidRPr="00547E8C">
        <w:rPr>
          <w:rFonts w:ascii="Arial" w:hAnsi="Arial" w:cs="Arial"/>
          <w:sz w:val="20"/>
          <w:szCs w:val="20"/>
          <w:lang w:val="en-GB"/>
        </w:rPr>
        <w:t xml:space="preserve"> and erythematous. No engorged veins and sinus and no visible scars.</w:t>
      </w:r>
    </w:p>
    <w:p w14:paraId="536C3386" w14:textId="31E72545" w:rsidR="00CA38F6" w:rsidRPr="00547E8C" w:rsidRDefault="00C229CE" w:rsidP="00094158">
      <w:pPr>
        <w:spacing w:line="240" w:lineRule="auto"/>
        <w:jc w:val="both"/>
        <w:rPr>
          <w:rFonts w:ascii="Arial" w:hAnsi="Arial" w:cs="Arial"/>
          <w:sz w:val="20"/>
          <w:szCs w:val="20"/>
          <w:lang w:val="en-GB"/>
        </w:rPr>
      </w:pPr>
      <w:r w:rsidRPr="00547E8C">
        <w:rPr>
          <w:rFonts w:ascii="Arial" w:hAnsi="Arial" w:cs="Arial"/>
          <w:sz w:val="20"/>
          <w:szCs w:val="20"/>
          <w:lang w:val="en-GB"/>
        </w:rPr>
        <w:t>Palpation: All inspectory findings confirmed. Tenderness (+) and no local rise of temperature.</w:t>
      </w:r>
    </w:p>
    <w:p w14:paraId="2D7EE3A2" w14:textId="114219E6" w:rsidR="007D4FC9" w:rsidRPr="00C2499F" w:rsidRDefault="00377A16" w:rsidP="00094158">
      <w:pPr>
        <w:spacing w:after="0" w:line="240" w:lineRule="auto"/>
        <w:jc w:val="both"/>
        <w:rPr>
          <w:rFonts w:ascii="Arial" w:eastAsia="Times New Roman" w:hAnsi="Arial" w:cs="Arial"/>
          <w:b/>
          <w:bCs/>
          <w:color w:val="000000"/>
          <w:sz w:val="20"/>
          <w:szCs w:val="20"/>
          <w:u w:val="single"/>
          <w:lang w:eastAsia="en-IN"/>
        </w:rPr>
      </w:pPr>
      <w:r w:rsidRPr="00C2499F">
        <w:rPr>
          <w:rFonts w:ascii="Arial" w:eastAsia="Times New Roman" w:hAnsi="Arial" w:cs="Arial"/>
          <w:b/>
          <w:bCs/>
          <w:color w:val="000000"/>
          <w:sz w:val="20"/>
          <w:szCs w:val="20"/>
          <w:u w:val="single"/>
          <w:lang w:eastAsia="en-IN"/>
        </w:rPr>
        <w:t>L</w:t>
      </w:r>
      <w:r w:rsidR="00EA0C01" w:rsidRPr="00C2499F">
        <w:rPr>
          <w:rFonts w:ascii="Arial" w:eastAsia="Times New Roman" w:hAnsi="Arial" w:cs="Arial"/>
          <w:b/>
          <w:bCs/>
          <w:color w:val="000000"/>
          <w:sz w:val="20"/>
          <w:szCs w:val="20"/>
          <w:u w:val="single"/>
          <w:lang w:eastAsia="en-IN"/>
        </w:rPr>
        <w:t>aboratory findings</w:t>
      </w:r>
      <w:r w:rsidR="007D4FC9" w:rsidRPr="00C2499F">
        <w:rPr>
          <w:rFonts w:ascii="Arial" w:eastAsia="Times New Roman" w:hAnsi="Arial" w:cs="Arial"/>
          <w:b/>
          <w:bCs/>
          <w:color w:val="000000"/>
          <w:sz w:val="20"/>
          <w:szCs w:val="20"/>
          <w:u w:val="single"/>
          <w:lang w:eastAsia="en-IN"/>
        </w:rPr>
        <w:t>:</w:t>
      </w:r>
      <w:r w:rsidRPr="00C2499F">
        <w:rPr>
          <w:rFonts w:ascii="Arial" w:eastAsia="Times New Roman" w:hAnsi="Arial" w:cs="Arial"/>
          <w:b/>
          <w:bCs/>
          <w:color w:val="000000"/>
          <w:sz w:val="20"/>
          <w:szCs w:val="20"/>
          <w:u w:val="single"/>
          <w:lang w:eastAsia="en-IN"/>
        </w:rPr>
        <w:t xml:space="preserve"> </w:t>
      </w:r>
    </w:p>
    <w:p w14:paraId="75AA5A4D" w14:textId="77777777" w:rsidR="008C3AE3" w:rsidRPr="00C2499F" w:rsidRDefault="008C3AE3" w:rsidP="00094158">
      <w:pPr>
        <w:spacing w:after="0" w:line="240" w:lineRule="auto"/>
        <w:jc w:val="both"/>
        <w:rPr>
          <w:rFonts w:ascii="Arial" w:eastAsia="Times New Roman" w:hAnsi="Arial" w:cs="Arial"/>
          <w:b/>
          <w:bCs/>
          <w:i/>
          <w:color w:val="000000"/>
          <w:sz w:val="20"/>
          <w:szCs w:val="20"/>
          <w:u w:val="single"/>
          <w:lang w:eastAsia="en-IN"/>
        </w:rPr>
      </w:pPr>
      <w:r w:rsidRPr="00C2499F">
        <w:rPr>
          <w:rFonts w:ascii="Arial" w:eastAsia="Times New Roman" w:hAnsi="Arial" w:cs="Arial"/>
          <w:b/>
          <w:bCs/>
          <w:i/>
          <w:color w:val="000000"/>
          <w:sz w:val="20"/>
          <w:szCs w:val="20"/>
          <w:u w:val="single"/>
          <w:lang w:eastAsia="en-IN"/>
        </w:rPr>
        <w:t>High -resolution ultrasound of the scrotum:</w:t>
      </w:r>
    </w:p>
    <w:p w14:paraId="2357307D"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Right and left testis are normal in size, echotexture and vascularity. Bilateral cord structures appear mildly bulky with increased vascularity therefore likely funiculitis.</w:t>
      </w:r>
    </w:p>
    <w:p w14:paraId="62EBF044" w14:textId="0002A0B8"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 xml:space="preserve">Bilateral epididymis </w:t>
      </w:r>
      <w:r w:rsidR="00DE5E72" w:rsidRPr="00C2499F">
        <w:rPr>
          <w:rFonts w:ascii="Arial" w:eastAsia="Times New Roman" w:hAnsi="Arial" w:cs="Arial"/>
          <w:bCs/>
          <w:color w:val="000000"/>
          <w:sz w:val="20"/>
          <w:szCs w:val="20"/>
          <w:lang w:eastAsia="en-IN"/>
        </w:rPr>
        <w:t>is</w:t>
      </w:r>
      <w:r w:rsidRPr="00C2499F">
        <w:rPr>
          <w:rFonts w:ascii="Arial" w:eastAsia="Times New Roman" w:hAnsi="Arial" w:cs="Arial"/>
          <w:bCs/>
          <w:color w:val="000000"/>
          <w:sz w:val="20"/>
          <w:szCs w:val="20"/>
          <w:lang w:eastAsia="en-IN"/>
        </w:rPr>
        <w:t xml:space="preserve"> normal.</w:t>
      </w:r>
    </w:p>
    <w:p w14:paraId="106D5E23"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Mild to moderate free fluid noted in bilateral hemiscrotum with thin moving internal echoes noted with thickened scrotal wall of maximum thickness m/s 20 mm to rule out pyocele.</w:t>
      </w:r>
    </w:p>
    <w:p w14:paraId="120F5938" w14:textId="0D1168FA" w:rsidR="00F32387"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Impression: B/L Funiculitis with pyocele with thickened scrotal wall</w:t>
      </w:r>
    </w:p>
    <w:p w14:paraId="2075A8FA" w14:textId="77777777" w:rsidR="00D54F94" w:rsidRPr="00C2499F" w:rsidRDefault="00D54F94" w:rsidP="00094158">
      <w:pPr>
        <w:spacing w:after="0" w:line="240" w:lineRule="auto"/>
        <w:jc w:val="both"/>
        <w:rPr>
          <w:rFonts w:ascii="Arial" w:eastAsia="Times New Roman" w:hAnsi="Arial" w:cs="Arial"/>
          <w:bCs/>
          <w:color w:val="000000"/>
          <w:sz w:val="20"/>
          <w:szCs w:val="20"/>
          <w:lang w:eastAsia="en-IN"/>
        </w:rPr>
      </w:pPr>
    </w:p>
    <w:p w14:paraId="5F0D1CFC" w14:textId="77777777" w:rsidR="008C3AE3" w:rsidRPr="00C2499F" w:rsidRDefault="008C3AE3" w:rsidP="00094158">
      <w:pPr>
        <w:spacing w:after="0" w:line="240" w:lineRule="auto"/>
        <w:jc w:val="both"/>
        <w:rPr>
          <w:rFonts w:ascii="Arial" w:eastAsia="Times New Roman" w:hAnsi="Arial" w:cs="Arial"/>
          <w:b/>
          <w:bCs/>
          <w:i/>
          <w:color w:val="000000"/>
          <w:sz w:val="20"/>
          <w:szCs w:val="20"/>
          <w:u w:val="single"/>
          <w:lang w:eastAsia="en-IN"/>
        </w:rPr>
      </w:pPr>
      <w:r w:rsidRPr="00C2499F">
        <w:rPr>
          <w:rFonts w:ascii="Arial" w:eastAsia="Times New Roman" w:hAnsi="Arial" w:cs="Arial"/>
          <w:b/>
          <w:bCs/>
          <w:i/>
          <w:color w:val="000000"/>
          <w:sz w:val="20"/>
          <w:szCs w:val="20"/>
          <w:u w:val="single"/>
          <w:lang w:eastAsia="en-IN"/>
        </w:rPr>
        <w:t>Lipid profile test:</w:t>
      </w:r>
    </w:p>
    <w:p w14:paraId="151DDD8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Total cholesterol- 93 mg/dl</w:t>
      </w:r>
    </w:p>
    <w:p w14:paraId="35C8E9D9"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Triglycerides- 124 mg/dl</w:t>
      </w:r>
    </w:p>
    <w:p w14:paraId="77C00731"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HDL cholesterol-17 mg/dl</w:t>
      </w:r>
    </w:p>
    <w:p w14:paraId="1CE0C915"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LDL cholesterol-51.2 mg/dl</w:t>
      </w:r>
    </w:p>
    <w:p w14:paraId="768EDBD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VLDL-25 mg/dl</w:t>
      </w:r>
    </w:p>
    <w:p w14:paraId="6195475C"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TSH-5.50 μIU/mL</w:t>
      </w:r>
    </w:p>
    <w:p w14:paraId="36DF765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T4-9.5ug/dL</w:t>
      </w:r>
    </w:p>
    <w:p w14:paraId="1E571F27" w14:textId="35CC440C"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LDH-297 U/L</w:t>
      </w:r>
    </w:p>
    <w:p w14:paraId="4F530BB6" w14:textId="6135C8A1"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Widal test- Negative</w:t>
      </w:r>
    </w:p>
    <w:p w14:paraId="3FF5215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RA Factor- Negative</w:t>
      </w:r>
    </w:p>
    <w:p w14:paraId="3A0D6A8A" w14:textId="7E6CF0F8"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Dengue -Negative</w:t>
      </w:r>
    </w:p>
    <w:p w14:paraId="2FBCF8BD" w14:textId="2FE12060"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Malaria-Negative</w:t>
      </w:r>
    </w:p>
    <w:p w14:paraId="7F9F44DF" w14:textId="3DC282C8" w:rsidR="008C3AE3" w:rsidRPr="00C2499F" w:rsidRDefault="008C3AE3" w:rsidP="00C2499F">
      <w:pPr>
        <w:tabs>
          <w:tab w:val="left" w:pos="7020"/>
        </w:tabs>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Pus for culture and sensitivity: Contaminants grown on culture on day 5</w:t>
      </w:r>
      <w:r w:rsidR="00C2499F">
        <w:rPr>
          <w:rFonts w:ascii="Arial" w:eastAsia="Times New Roman" w:hAnsi="Arial" w:cs="Arial"/>
          <w:bCs/>
          <w:color w:val="000000"/>
          <w:sz w:val="20"/>
          <w:szCs w:val="20"/>
          <w:lang w:eastAsia="en-IN"/>
        </w:rPr>
        <w:tab/>
      </w:r>
    </w:p>
    <w:p w14:paraId="1C221387" w14:textId="6A200A3F" w:rsidR="008C3AE3"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Urine for culture colony count: Polymicrobial growth seen in culture on day 5</w:t>
      </w:r>
    </w:p>
    <w:p w14:paraId="6A35F9B0" w14:textId="33B8B6DF" w:rsidR="00C2499F" w:rsidRDefault="00C2499F" w:rsidP="00094158">
      <w:pPr>
        <w:spacing w:after="0" w:line="240" w:lineRule="auto"/>
        <w:jc w:val="both"/>
        <w:rPr>
          <w:rFonts w:ascii="Arial" w:eastAsia="Times New Roman" w:hAnsi="Arial" w:cs="Arial"/>
          <w:bCs/>
          <w:color w:val="000000"/>
          <w:sz w:val="20"/>
          <w:szCs w:val="20"/>
          <w:lang w:eastAsia="en-IN"/>
        </w:rPr>
      </w:pPr>
    </w:p>
    <w:p w14:paraId="678AF362" w14:textId="77777777" w:rsidR="00C2499F" w:rsidRPr="00C2499F" w:rsidRDefault="00C2499F" w:rsidP="00094158">
      <w:pPr>
        <w:spacing w:after="0" w:line="240" w:lineRule="auto"/>
        <w:jc w:val="both"/>
        <w:rPr>
          <w:rFonts w:ascii="Arial" w:eastAsia="Times New Roman" w:hAnsi="Arial" w:cs="Arial"/>
          <w:bCs/>
          <w:color w:val="000000"/>
          <w:sz w:val="20"/>
          <w:szCs w:val="20"/>
          <w:lang w:eastAsia="en-IN"/>
        </w:rPr>
      </w:pPr>
    </w:p>
    <w:p w14:paraId="01098501" w14:textId="4EFF2209" w:rsidR="00D54F94" w:rsidRPr="00C2499F" w:rsidRDefault="00D54F94"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noProof/>
          <w:color w:val="000000"/>
          <w:sz w:val="20"/>
          <w:szCs w:val="20"/>
          <w:lang w:eastAsia="en-IN"/>
        </w:rPr>
        <w:lastRenderedPageBreak/>
        <w:drawing>
          <wp:inline distT="0" distB="0" distL="0" distR="0" wp14:anchorId="1DAA8138" wp14:editId="5D37C8B7">
            <wp:extent cx="5731510" cy="66323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urniers gangrene image 1.jpeg"/>
                    <pic:cNvPicPr/>
                  </pic:nvPicPr>
                  <pic:blipFill>
                    <a:blip r:embed="rId7">
                      <a:extLst>
                        <a:ext uri="{28A0092B-C50C-407E-A947-70E740481C1C}">
                          <a14:useLocalDpi xmlns:a14="http://schemas.microsoft.com/office/drawing/2010/main" val="0"/>
                        </a:ext>
                      </a:extLst>
                    </a:blip>
                    <a:stretch>
                      <a:fillRect/>
                    </a:stretch>
                  </pic:blipFill>
                  <pic:spPr>
                    <a:xfrm>
                      <a:off x="0" y="0"/>
                      <a:ext cx="5733441" cy="6634565"/>
                    </a:xfrm>
                    <a:prstGeom prst="rect">
                      <a:avLst/>
                    </a:prstGeom>
                  </pic:spPr>
                </pic:pic>
              </a:graphicData>
            </a:graphic>
          </wp:inline>
        </w:drawing>
      </w:r>
    </w:p>
    <w:p w14:paraId="440F12D3" w14:textId="29BA0634" w:rsidR="007D4FC9" w:rsidRPr="00D54F94" w:rsidRDefault="00D54F94" w:rsidP="00D54F94">
      <w:pPr>
        <w:rPr>
          <w:rFonts w:ascii="Times New Roman" w:eastAsia="Times New Roman" w:hAnsi="Times New Roman" w:cs="Times New Roman"/>
          <w:sz w:val="24"/>
          <w:szCs w:val="24"/>
          <w:lang w:eastAsia="en-IN"/>
        </w:rPr>
      </w:pPr>
      <w:r w:rsidRPr="00C2499F">
        <w:rPr>
          <w:rFonts w:ascii="Arial" w:eastAsia="Times New Roman" w:hAnsi="Arial" w:cs="Arial"/>
          <w:sz w:val="20"/>
          <w:szCs w:val="20"/>
          <w:lang w:eastAsia="en-IN"/>
        </w:rPr>
        <w:t xml:space="preserve">Figure 1: </w:t>
      </w:r>
      <w:r w:rsidR="00282497" w:rsidRPr="00C2499F">
        <w:rPr>
          <w:rFonts w:ascii="Arial" w:eastAsia="Times New Roman" w:hAnsi="Arial" w:cs="Arial"/>
          <w:sz w:val="20"/>
          <w:szCs w:val="20"/>
          <w:lang w:eastAsia="en-IN"/>
        </w:rPr>
        <w:t>Image shows the removal of the gangrenous tissue and regular surgical dressing after the debridement therapy</w:t>
      </w:r>
      <w:r w:rsidR="00282497">
        <w:rPr>
          <w:rFonts w:ascii="Times New Roman" w:eastAsia="Times New Roman" w:hAnsi="Times New Roman" w:cs="Times New Roman"/>
          <w:sz w:val="24"/>
          <w:szCs w:val="24"/>
          <w:lang w:eastAsia="en-IN"/>
        </w:rPr>
        <w:t>.</w:t>
      </w: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3402"/>
        <w:gridCol w:w="1134"/>
        <w:gridCol w:w="1134"/>
        <w:gridCol w:w="1134"/>
        <w:gridCol w:w="1134"/>
        <w:gridCol w:w="1134"/>
        <w:gridCol w:w="1134"/>
      </w:tblGrid>
      <w:tr w:rsidR="00034247" w:rsidRPr="00C2499F" w14:paraId="630FD25A"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861C689" w14:textId="7A0A34EE" w:rsidR="009D1D18" w:rsidRPr="003C3794" w:rsidRDefault="009D1D18"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sz w:val="20"/>
                <w:szCs w:val="20"/>
                <w:lang w:eastAsia="en-IN"/>
              </w:rPr>
              <w:lastRenderedPageBreak/>
              <w:t>Laboratory parameters</w:t>
            </w:r>
          </w:p>
          <w:p w14:paraId="255D1AEC" w14:textId="70EAA4F0" w:rsidR="00CA38F6" w:rsidRPr="003C3794" w:rsidRDefault="00CA38F6" w:rsidP="003C3794">
            <w:pPr>
              <w:spacing w:after="0" w:line="480" w:lineRule="auto"/>
              <w:jc w:val="center"/>
              <w:rPr>
                <w:rFonts w:ascii="Arial" w:eastAsia="Times New Roman" w:hAnsi="Arial" w:cs="Arial"/>
                <w:b/>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FDE8455" w14:textId="65482047"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6879E5A" w14:textId="2795D6EA"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BD2A4B4" w14:textId="03AFBBB6"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sz w:val="20"/>
                <w:szCs w:val="20"/>
                <w:lang w:eastAsia="en-IN"/>
              </w:rPr>
              <w:t>Day 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B058E92" w14:textId="1EC46F1D"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F3B3035" w14:textId="3717CBD1"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CB551CC" w14:textId="2D41C652"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18</w:t>
            </w:r>
          </w:p>
        </w:tc>
      </w:tr>
      <w:tr w:rsidR="00034247" w:rsidRPr="00C2499F" w14:paraId="4A47EBD6"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105BF5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Haemoglobin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489E44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907BE9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27097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9A3AC1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70DEAA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BF03C58"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10.8</w:t>
            </w:r>
          </w:p>
        </w:tc>
      </w:tr>
      <w:tr w:rsidR="00034247" w:rsidRPr="00C2499F" w14:paraId="6D55792A"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42F51ED" w14:textId="366911F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Total RBC</w:t>
            </w:r>
            <w:r w:rsidR="007D4FC9"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(mln/cumm)</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666BB2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4.38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E25A62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563CC6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0A4978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5509C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4.16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A64EFE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3.41</w:t>
            </w:r>
          </w:p>
        </w:tc>
      </w:tr>
      <w:tr w:rsidR="00034247" w:rsidRPr="00C2499F" w14:paraId="792AD95F"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3163C3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HCT (vol%)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70FE81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40.3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846738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36.3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1C9BD2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35.8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36931B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35.4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A5428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37.2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FF5F0FC"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30.3</w:t>
            </w:r>
          </w:p>
        </w:tc>
      </w:tr>
      <w:tr w:rsidR="00034247" w:rsidRPr="00C2499F" w14:paraId="0A92447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BE20BF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MCV (fl)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9F1154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0C976C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BDF203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90.9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9E3A8F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90.5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DD69EA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89.4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D90E448"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88.9</w:t>
            </w:r>
          </w:p>
        </w:tc>
      </w:tr>
      <w:tr w:rsidR="00034247" w:rsidRPr="00C2499F" w14:paraId="4BB6DEE8"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8589C4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MCH (pg)</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A70724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6DE401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33.7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74D110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292808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5965C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A1654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31.7</w:t>
            </w:r>
          </w:p>
        </w:tc>
      </w:tr>
      <w:tr w:rsidR="00034247" w:rsidRPr="00C2499F" w14:paraId="6727A62D"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192583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MCHC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64E884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36.0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DCEC6EA"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0B1BE8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34.9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DE7DBE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2EBD4B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C4BE89D"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35.6</w:t>
            </w:r>
          </w:p>
        </w:tc>
      </w:tr>
      <w:tr w:rsidR="00034247" w:rsidRPr="00C2499F" w14:paraId="7C4FC2D9"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71EEFB3" w14:textId="46A45076"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RDW CV</w:t>
            </w:r>
            <w:r w:rsidR="00FD7E33"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8DEA0A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FC740C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A0BE43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53FAD82"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6F03AA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906FE1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12.2</w:t>
            </w:r>
          </w:p>
        </w:tc>
      </w:tr>
      <w:tr w:rsidR="00034247" w:rsidRPr="00C2499F" w14:paraId="48EC6A94"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AF30C00" w14:textId="226FCF1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Total</w:t>
            </w:r>
            <w:r w:rsidR="007D4FC9"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WB</w:t>
            </w:r>
            <w:r w:rsidR="007D4FC9" w:rsidRPr="003C3794">
              <w:rPr>
                <w:rFonts w:ascii="Arial" w:eastAsia="Times New Roman" w:hAnsi="Arial" w:cs="Arial"/>
                <w:color w:val="000000"/>
                <w:sz w:val="20"/>
                <w:szCs w:val="20"/>
                <w:lang w:eastAsia="en-IN"/>
              </w:rPr>
              <w:t xml:space="preserve">C </w:t>
            </w:r>
            <w:r w:rsidRPr="003C3794">
              <w:rPr>
                <w:rFonts w:ascii="Arial" w:eastAsia="Times New Roman" w:hAnsi="Arial" w:cs="Arial"/>
                <w:color w:val="000000"/>
                <w:sz w:val="20"/>
                <w:szCs w:val="20"/>
                <w:lang w:eastAsia="en-IN"/>
              </w:rPr>
              <w:t>(10^3cells/cu</w:t>
            </w:r>
            <w:r w:rsidR="00C93D40" w:rsidRPr="003C3794">
              <w:rPr>
                <w:rFonts w:ascii="Arial" w:eastAsia="Times New Roman" w:hAnsi="Arial" w:cs="Arial"/>
                <w:color w:val="000000"/>
                <w:sz w:val="20"/>
                <w:szCs w:val="20"/>
                <w:lang w:eastAsia="en-IN"/>
              </w:rPr>
              <w:t>mm)</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20179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15.24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F34FF0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10.00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F287202"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7.42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DAA6EA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7.86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E62B6E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11.92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C10BB4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4.55</w:t>
            </w:r>
          </w:p>
        </w:tc>
      </w:tr>
      <w:tr w:rsidR="00034247" w:rsidRPr="00C2499F" w14:paraId="7E044304"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0C191EC" w14:textId="74C684C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Platelet (10^3/micro 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D07E2A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28DF07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A4DCA2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248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550653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847471E"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277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18031D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140</w:t>
            </w:r>
          </w:p>
        </w:tc>
      </w:tr>
      <w:tr w:rsidR="00CA38F6" w:rsidRPr="00C2499F" w14:paraId="040B7202"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7C55F7"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Neutrophils (%)</w:t>
            </w:r>
          </w:p>
          <w:p w14:paraId="79E8D21C" w14:textId="50BBC6F5"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2B9E4C6"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75.7</w:t>
            </w:r>
          </w:p>
          <w:p w14:paraId="73D16990"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473ECCD"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67.7</w:t>
            </w:r>
          </w:p>
          <w:p w14:paraId="43CBC102"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2D2B50C"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68.3</w:t>
            </w:r>
          </w:p>
          <w:p w14:paraId="7AB841C4"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A6BA00"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62.2</w:t>
            </w:r>
          </w:p>
          <w:p w14:paraId="09BFE675"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2959A7"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71.6</w:t>
            </w:r>
          </w:p>
          <w:p w14:paraId="21F8B97F"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4E18F4"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62.3</w:t>
            </w:r>
          </w:p>
          <w:p w14:paraId="3B996243"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p w14:paraId="7D60CF43"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p w14:paraId="5DF1104E" w14:textId="0E069FCF"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tc>
      </w:tr>
      <w:tr w:rsidR="00C93D40" w:rsidRPr="00C2499F" w14:paraId="41D61B75"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FCE4DF6" w14:textId="77777777" w:rsidR="00C93D40" w:rsidRPr="003C3794" w:rsidRDefault="00C93D40" w:rsidP="003C3794">
            <w:pPr>
              <w:pStyle w:val="NormalWeb"/>
              <w:spacing w:line="480" w:lineRule="auto"/>
              <w:jc w:val="center"/>
              <w:rPr>
                <w:rFonts w:ascii="Arial" w:hAnsi="Arial" w:cs="Arial"/>
                <w:color w:val="000000"/>
                <w:sz w:val="20"/>
                <w:szCs w:val="20"/>
              </w:rPr>
            </w:pPr>
            <w:r w:rsidRPr="003C3794">
              <w:rPr>
                <w:rFonts w:ascii="Arial" w:hAnsi="Arial" w:cs="Arial"/>
                <w:color w:val="000000"/>
                <w:sz w:val="20"/>
                <w:szCs w:val="20"/>
              </w:rPr>
              <w:t>Lymphocytes (%)</w:t>
            </w:r>
          </w:p>
          <w:p w14:paraId="7D4857D0" w14:textId="7412E093"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891D884" w14:textId="77777777" w:rsidR="00C93D40" w:rsidRPr="003C3794" w:rsidRDefault="00C93D40" w:rsidP="003C3794">
            <w:pPr>
              <w:pStyle w:val="NormalWeb"/>
              <w:spacing w:after="0" w:line="480" w:lineRule="auto"/>
              <w:jc w:val="center"/>
              <w:rPr>
                <w:rFonts w:ascii="Arial" w:hAnsi="Arial" w:cs="Arial"/>
                <w:b/>
                <w:color w:val="000000"/>
                <w:sz w:val="20"/>
                <w:szCs w:val="20"/>
              </w:rPr>
            </w:pPr>
            <w:r w:rsidRPr="003C3794">
              <w:rPr>
                <w:rFonts w:ascii="Arial" w:hAnsi="Arial" w:cs="Arial"/>
                <w:b/>
                <w:color w:val="000000"/>
                <w:sz w:val="20"/>
                <w:szCs w:val="20"/>
              </w:rPr>
              <w:t>16.5</w:t>
            </w:r>
          </w:p>
          <w:p w14:paraId="5B5DB5F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2C2D6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20.8</w:t>
            </w:r>
          </w:p>
          <w:p w14:paraId="351B3BE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FD7708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24.4</w:t>
            </w:r>
          </w:p>
          <w:p w14:paraId="70D68920"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7050B9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30.0</w:t>
            </w:r>
          </w:p>
          <w:p w14:paraId="715779E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79B69B1" w14:textId="77777777" w:rsidR="00C93D40" w:rsidRPr="003C3794" w:rsidRDefault="00C93D40" w:rsidP="003C3794">
            <w:pPr>
              <w:pStyle w:val="NormalWeb"/>
              <w:spacing w:after="0" w:line="480" w:lineRule="auto"/>
              <w:jc w:val="center"/>
              <w:rPr>
                <w:rFonts w:ascii="Arial" w:hAnsi="Arial" w:cs="Arial"/>
                <w:b/>
                <w:color w:val="000000"/>
                <w:sz w:val="20"/>
                <w:szCs w:val="20"/>
              </w:rPr>
            </w:pPr>
            <w:r w:rsidRPr="003C3794">
              <w:rPr>
                <w:rFonts w:ascii="Arial" w:hAnsi="Arial" w:cs="Arial"/>
                <w:b/>
                <w:color w:val="000000"/>
                <w:sz w:val="20"/>
                <w:szCs w:val="20"/>
              </w:rPr>
              <w:t>17.6</w:t>
            </w:r>
          </w:p>
          <w:p w14:paraId="43EC4E5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B8614BA" w14:textId="40327541"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27.0</w:t>
            </w:r>
          </w:p>
        </w:tc>
      </w:tr>
      <w:tr w:rsidR="00C93D40" w:rsidRPr="00C2499F" w14:paraId="34795CF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2C029AA"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Eosinophils (%)</w:t>
            </w:r>
          </w:p>
          <w:p w14:paraId="110B1C81"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72513EC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0.5</w:t>
            </w:r>
          </w:p>
          <w:p w14:paraId="31E14D4D"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1.9</w:t>
            </w:r>
          </w:p>
          <w:p w14:paraId="2B5F5F1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2.2</w:t>
            </w:r>
          </w:p>
          <w:p w14:paraId="04CEA55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0.3</w:t>
            </w:r>
          </w:p>
          <w:p w14:paraId="06AA64E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0.2</w:t>
            </w:r>
          </w:p>
          <w:p w14:paraId="51EDF1BF"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Monocytes (%)</w:t>
            </w:r>
          </w:p>
          <w:p w14:paraId="30600195"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7.5</w:t>
            </w:r>
          </w:p>
          <w:p w14:paraId="6E2978C2"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10.9</w:t>
            </w:r>
          </w:p>
          <w:p w14:paraId="480A9D31"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5.3</w:t>
            </w:r>
          </w:p>
          <w:p w14:paraId="5A3D3E3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5.6</w:t>
            </w:r>
          </w:p>
          <w:p w14:paraId="7A89710A"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10.4</w:t>
            </w:r>
          </w:p>
          <w:p w14:paraId="05C28665"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10.3</w:t>
            </w:r>
          </w:p>
          <w:p w14:paraId="12AA8A9D"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Basophils (%)</w:t>
            </w:r>
          </w:p>
          <w:p w14:paraId="33946C2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0.2</w:t>
            </w:r>
          </w:p>
          <w:p w14:paraId="6006A43B"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79D759E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559FDC8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0.0</w:t>
            </w:r>
          </w:p>
          <w:p w14:paraId="70DC5ED7"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602A4F28" w14:textId="512F4D99"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4F6E9E9"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0.1</w:t>
            </w:r>
          </w:p>
          <w:p w14:paraId="3AD54F5A" w14:textId="10E3245E" w:rsidR="00034247" w:rsidRPr="003C3794" w:rsidRDefault="00034247" w:rsidP="003C3794">
            <w:pPr>
              <w:pStyle w:val="NormalWeb"/>
              <w:spacing w:after="0" w:line="480" w:lineRule="auto"/>
              <w:jc w:val="center"/>
              <w:rPr>
                <w:rFonts w:ascii="Arial" w:hAnsi="Arial" w:cs="Arial"/>
                <w:color w:val="000000"/>
                <w:sz w:val="20"/>
                <w:szCs w:val="20"/>
              </w:rPr>
            </w:pPr>
          </w:p>
          <w:p w14:paraId="24520112"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0.5</w:t>
            </w:r>
          </w:p>
          <w:p w14:paraId="78FFCD0D"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1.9</w:t>
            </w:r>
          </w:p>
          <w:p w14:paraId="086A70CD"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2.2</w:t>
            </w:r>
          </w:p>
          <w:p w14:paraId="76760C5C"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0.3</w:t>
            </w:r>
          </w:p>
          <w:p w14:paraId="522BA6A5" w14:textId="29C525DA" w:rsidR="00C93D40" w:rsidRPr="003C3794" w:rsidRDefault="00034247"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CC385B9"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0.5</w:t>
            </w:r>
          </w:p>
          <w:p w14:paraId="6FA4DE1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A16A9F"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1.9</w:t>
            </w:r>
          </w:p>
          <w:p w14:paraId="22E9ADA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6AD74F1"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2.2</w:t>
            </w:r>
          </w:p>
          <w:p w14:paraId="79B8365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697DD34"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0.3</w:t>
            </w:r>
          </w:p>
          <w:p w14:paraId="2B096A71" w14:textId="77777777" w:rsidR="00C93D40" w:rsidRPr="003C3794" w:rsidRDefault="00C93D40" w:rsidP="003C3794">
            <w:pPr>
              <w:pStyle w:val="NormalWeb"/>
              <w:spacing w:before="0" w:beforeAutospacing="0" w:after="0" w:afterAutospacing="0" w:line="480" w:lineRule="auto"/>
              <w:jc w:val="center"/>
              <w:rPr>
                <w:rFonts w:ascii="Arial" w:hAnsi="Arial" w:cs="Arial"/>
                <w:b/>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E1E210"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0.2</w:t>
            </w:r>
          </w:p>
          <w:p w14:paraId="23454BC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r>
      <w:tr w:rsidR="00034247" w:rsidRPr="00C2499F" w14:paraId="7E4DD269"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582B38C"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Monocytes (%)</w:t>
            </w:r>
          </w:p>
          <w:p w14:paraId="022C7D66" w14:textId="77777777" w:rsidR="00034247" w:rsidRPr="003C3794" w:rsidRDefault="00034247" w:rsidP="003C3794">
            <w:pPr>
              <w:pStyle w:val="NormalWeb"/>
              <w:spacing w:after="0" w:line="480" w:lineRule="auto"/>
              <w:jc w:val="center"/>
              <w:rPr>
                <w:rFonts w:ascii="Arial" w:hAnsi="Arial" w:cs="Arial"/>
                <w:color w:val="000000"/>
                <w:sz w:val="20"/>
                <w:szCs w:val="20"/>
              </w:rPr>
            </w:pPr>
          </w:p>
          <w:p w14:paraId="4C9EFCFC" w14:textId="0A8DEF92" w:rsidR="00034247" w:rsidRPr="003C3794" w:rsidRDefault="00034247" w:rsidP="003C3794">
            <w:pPr>
              <w:pStyle w:val="NormalWeb"/>
              <w:spacing w:after="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ED1041C"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7.5</w:t>
            </w:r>
          </w:p>
          <w:p w14:paraId="0A5C2172"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2F7A8B8"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10.9</w:t>
            </w:r>
          </w:p>
          <w:p w14:paraId="0B7BDA59"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5BEFB4B"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5.3</w:t>
            </w:r>
          </w:p>
          <w:p w14:paraId="29744A32"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89D03CB"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5.6</w:t>
            </w:r>
          </w:p>
          <w:p w14:paraId="6D4F2D0A"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5A8E95" w14:textId="77777777" w:rsidR="007D4FC9"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10.4</w:t>
            </w:r>
          </w:p>
          <w:p w14:paraId="117FC069"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D0545A6" w14:textId="01A35ABF"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10.3</w:t>
            </w:r>
          </w:p>
        </w:tc>
      </w:tr>
      <w:tr w:rsidR="00034247" w:rsidRPr="00C2499F" w14:paraId="2345799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F6C6F0D" w14:textId="667CF952" w:rsidR="00034247" w:rsidRPr="003C3794" w:rsidRDefault="007D4FC9"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Basophils (%)</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DED2D46" w14:textId="59214733"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EEB151" w14:textId="52BF790C"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1556ED" w14:textId="0218766A"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B4AE86" w14:textId="00406156"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D97F7CA" w14:textId="197C0AAE"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A09C132" w14:textId="1E010989"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0.2</w:t>
            </w:r>
          </w:p>
        </w:tc>
      </w:tr>
      <w:tr w:rsidR="007D4FC9" w:rsidRPr="00C2499F" w14:paraId="2DF42F4B"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C5AFEF" w14:textId="4A1EA281" w:rsidR="007D4FC9" w:rsidRPr="003C3794" w:rsidRDefault="007D4FC9"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Blood urea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EFB1F52" w14:textId="144D097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2ED48CE" w14:textId="6A7071C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40EF3A3" w14:textId="76C9691B"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CA55DCD" w14:textId="27D22925"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F0C540C" w14:textId="44813F7E"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010A47" w14:textId="2D6D907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27.3</w:t>
            </w:r>
          </w:p>
        </w:tc>
      </w:tr>
      <w:tr w:rsidR="004B4704" w:rsidRPr="00C2499F" w14:paraId="08EA7871"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38E45D0" w14:textId="012F7123"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creatinine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193BDE" w14:textId="1413F00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0.78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71A7E80" w14:textId="5BED269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73DFF2" w14:textId="33EE94E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E6332E3" w14:textId="62D472C8"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A3FE7D" w14:textId="0B445A5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0.68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66DAF3" w14:textId="5849B256"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0.75</w:t>
            </w:r>
          </w:p>
        </w:tc>
      </w:tr>
      <w:tr w:rsidR="004B4704" w:rsidRPr="00C2499F" w14:paraId="057FE7E1"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404EEBB" w14:textId="70533910"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sodium (m Eq/L)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C474E47" w14:textId="4F1752C8"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92EB8A" w14:textId="4CCFA03E"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D62B66B" w14:textId="54433F5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142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FD03EE" w14:textId="32E1DE1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B8CB23B" w14:textId="1E132C3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F9E4312" w14:textId="60943BD4"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r>
      <w:tr w:rsidR="004B4704" w:rsidRPr="00C2499F" w14:paraId="6D05A55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D1784C" w14:textId="0B7647DB"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potassium(mEq/L)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B00DF91" w14:textId="231E2F1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8D7CFE" w14:textId="5801A1E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E00E268" w14:textId="51AC1FB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2FA8A39" w14:textId="534A57D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0956966" w14:textId="6617FC0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4.1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F94CD6" w14:textId="412CE2ED"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4</w:t>
            </w:r>
          </w:p>
        </w:tc>
      </w:tr>
      <w:tr w:rsidR="004B4704" w:rsidRPr="00C2499F" w14:paraId="0DE7E74A"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91DBBD8" w14:textId="720A6906"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chloride (mEq/L)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BC3313" w14:textId="146BFD9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3001F11" w14:textId="0DEC9826"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6B4ADBD" w14:textId="48959AC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104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C79E7F9" w14:textId="2E60C91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C54420" w14:textId="520F8C03"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9D36575" w14:textId="397B375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104</w:t>
            </w:r>
          </w:p>
        </w:tc>
      </w:tr>
      <w:tr w:rsidR="004B4704" w:rsidRPr="00C2499F" w14:paraId="08664587"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FB6D32" w14:textId="4705EB4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Total serum bilirubin (mg%)</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898D355" w14:textId="4920D0C0"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1.47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9F03840" w14:textId="0AF51F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FAAC26B" w14:textId="78BA01D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0.84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F17489" w14:textId="12E5CF6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E109ABD" w14:textId="1551854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0.90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0D1EDF" w14:textId="73736BE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0.56</w:t>
            </w:r>
          </w:p>
        </w:tc>
      </w:tr>
      <w:tr w:rsidR="004B4704" w:rsidRPr="00C2499F" w14:paraId="748F59BB"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F122747" w14:textId="4CF06CA5"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Direct bilirubin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79A58F" w14:textId="3E84D95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3D145D4" w14:textId="0993ECC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0.41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70988D" w14:textId="0AEF4AEA"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0.21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0993E74" w14:textId="1919A47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0.10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1FDAAD4" w14:textId="07C7183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8F53D1" w14:textId="7BF8A5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0.15</w:t>
            </w:r>
          </w:p>
        </w:tc>
      </w:tr>
      <w:tr w:rsidR="004B4704" w:rsidRPr="00C2499F" w14:paraId="3909EA1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9DCDF07" w14:textId="0CE5E68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S.G.O.T(U/L)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964C617" w14:textId="6ACA670B"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A104330" w14:textId="71DFF73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CEE5252" w14:textId="381B3013"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DD8CB02" w14:textId="06102CE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F106EA" w14:textId="3598931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9A2E3CC" w14:textId="39505B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31</w:t>
            </w:r>
          </w:p>
        </w:tc>
      </w:tr>
      <w:tr w:rsidR="004B4704" w:rsidRPr="00C2499F" w14:paraId="2A117CF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7ED07B6" w14:textId="5AC6F4E3"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lastRenderedPageBreak/>
              <w:t>S.G.P.T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B4D857E" w14:textId="1DAD8800"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8070B56" w14:textId="2547322E"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4AD6E8" w14:textId="375CE1C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F235500" w14:textId="014F868A"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980CF39" w14:textId="62E9026B"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D9A7899" w14:textId="200EBC1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28</w:t>
            </w:r>
          </w:p>
        </w:tc>
      </w:tr>
      <w:tr w:rsidR="004B4704" w:rsidRPr="00C2499F" w14:paraId="706218F1"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0593D3D" w14:textId="0241374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Alkaline Phosphatase (I.U/L)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8F27D2" w14:textId="348925C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F79B41" w14:textId="0C7C586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0BB8AD" w14:textId="195952D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174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AB870D6" w14:textId="12CB1A7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0CD66C1" w14:textId="14C3B28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2EBEFFA" w14:textId="32A3E631"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105</w:t>
            </w:r>
          </w:p>
        </w:tc>
      </w:tr>
      <w:tr w:rsidR="004B4704" w:rsidRPr="00C2499F" w14:paraId="2F7A8B1C"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316FAE" w14:textId="54C2ABC8"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Albumin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9964B49" w14:textId="4B450A8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5D33113" w14:textId="32B17B9D"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20E5BA0" w14:textId="5DE0141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BDDEC07" w14:textId="786ECECD"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2.51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B4BFC0" w14:textId="4E008DA0"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2D2895" w14:textId="06461669"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w:t>
            </w:r>
          </w:p>
        </w:tc>
      </w:tr>
      <w:tr w:rsidR="004B4704" w:rsidRPr="00C2499F" w14:paraId="7F61B14D" w14:textId="77777777" w:rsidTr="003C3794">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F3D4D2" w14:textId="5790CBC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Protein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4382F3E" w14:textId="68E5F32B"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A7924C8" w14:textId="58AEB81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5.52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84DC88" w14:textId="41D8899E"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0D1902" w14:textId="2B244EA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9854621" w14:textId="2AE98DB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6.71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E0491C" w14:textId="5CEDAE4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5.92</w:t>
            </w:r>
          </w:p>
        </w:tc>
      </w:tr>
      <w:tr w:rsidR="004B4704" w:rsidRPr="00C2499F" w14:paraId="48171940"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3482255" w14:textId="25436748"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Globulin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59D8F8" w14:textId="25DE034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EE55D84" w14:textId="5131B27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414601" w14:textId="7A990F24"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3275EEB" w14:textId="5CE6DEF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8712CF3" w14:textId="2003E85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8D61601" w14:textId="50F455A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3</w:t>
            </w:r>
          </w:p>
        </w:tc>
      </w:tr>
      <w:tr w:rsidR="004B4704" w:rsidRPr="00C2499F" w14:paraId="39CCE0EE"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2109038" w14:textId="4887970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calcium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0798B90" w14:textId="14BAB95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1EBD747" w14:textId="02E5627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FAE689B" w14:textId="55B7750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EFC36D" w14:textId="7A114177"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928DA28" w14:textId="35005A8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F45F4CA" w14:textId="1BC2C62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8.1</w:t>
            </w:r>
          </w:p>
        </w:tc>
      </w:tr>
      <w:tr w:rsidR="004B4704" w:rsidRPr="00C2499F" w14:paraId="4E6A10C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A653BF0" w14:textId="1A3849EB"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Phosphorus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8B967D1" w14:textId="7C7889FE"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BD079B2" w14:textId="699EF12C"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7D9610E" w14:textId="00DCEF2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96D2330" w14:textId="36D0297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2.17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AEBBEC1" w14:textId="119711E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101D58B" w14:textId="60326EE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w:t>
            </w:r>
          </w:p>
        </w:tc>
      </w:tr>
      <w:tr w:rsidR="004B4704" w:rsidRPr="00C2499F" w14:paraId="45209B08"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E0115CA" w14:textId="09D5DE01"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Uric acid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AADBEDF" w14:textId="6CB27B6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805EB6" w14:textId="6B97B558"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5BE1C9A" w14:textId="208B403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1.69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95BE110" w14:textId="192B16B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D60798" w14:textId="3614E1A9"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EE1176" w14:textId="635B17C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2.7</w:t>
            </w:r>
          </w:p>
        </w:tc>
      </w:tr>
      <w:tr w:rsidR="004B4704" w:rsidRPr="00C2499F" w14:paraId="13B98F74"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6AB333B" w14:textId="38ABC280"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Amylase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0D92CCF" w14:textId="5A21F16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98DAE4" w14:textId="6337C50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1122091" w14:textId="6D8F777C"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F7815F2" w14:textId="33E7C23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CEEB263" w14:textId="17102130"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3E7920" w14:textId="5D13711B" w:rsidR="004B4704" w:rsidRPr="003C3794" w:rsidRDefault="004B4704" w:rsidP="003C3794">
            <w:pPr>
              <w:spacing w:line="480" w:lineRule="auto"/>
              <w:jc w:val="center"/>
              <w:rPr>
                <w:rFonts w:ascii="Arial" w:eastAsia="Times New Roman" w:hAnsi="Arial" w:cs="Arial"/>
                <w:color w:val="000000"/>
                <w:sz w:val="20"/>
                <w:szCs w:val="20"/>
                <w:lang w:eastAsia="en-IN"/>
              </w:rPr>
            </w:pPr>
          </w:p>
        </w:tc>
      </w:tr>
      <w:tr w:rsidR="004B4704" w:rsidRPr="00C2499F" w14:paraId="06C64D4B"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F205CFD" w14:textId="6ADAD7C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Lipase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9BFEE5" w14:textId="4DE6F592"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68E7EBE" w14:textId="3067B6E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3A119EA" w14:textId="15E1C0F3"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6BE625" w14:textId="10B3E0C1"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6905DE" w14:textId="59A641F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28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12C2C1" w14:textId="77777777" w:rsidR="004B4704" w:rsidRPr="003C3794" w:rsidRDefault="004B4704" w:rsidP="003C3794">
            <w:pPr>
              <w:spacing w:line="480" w:lineRule="auto"/>
              <w:jc w:val="center"/>
              <w:rPr>
                <w:rFonts w:ascii="Arial" w:eastAsia="Times New Roman" w:hAnsi="Arial" w:cs="Arial"/>
                <w:color w:val="000000"/>
                <w:sz w:val="20"/>
                <w:szCs w:val="20"/>
                <w:lang w:eastAsia="en-IN"/>
              </w:rPr>
            </w:pPr>
          </w:p>
        </w:tc>
      </w:tr>
    </w:tbl>
    <w:p w14:paraId="2922D2E0" w14:textId="2F7D708A" w:rsidR="00FD7E33" w:rsidRPr="00C2499F" w:rsidRDefault="00F32387" w:rsidP="00C2499F">
      <w:pPr>
        <w:tabs>
          <w:tab w:val="left" w:pos="3660"/>
        </w:tabs>
        <w:spacing w:before="240" w:after="0" w:line="480" w:lineRule="auto"/>
        <w:jc w:val="both"/>
        <w:rPr>
          <w:rFonts w:ascii="Arial" w:eastAsia="Times New Roman" w:hAnsi="Arial" w:cs="Arial"/>
          <w:sz w:val="20"/>
          <w:szCs w:val="20"/>
          <w:lang w:eastAsia="en-IN"/>
        </w:rPr>
      </w:pPr>
      <w:r w:rsidRPr="00C2499F">
        <w:rPr>
          <w:rFonts w:ascii="Arial" w:eastAsia="Times New Roman" w:hAnsi="Arial" w:cs="Arial"/>
          <w:sz w:val="20"/>
          <w:szCs w:val="20"/>
          <w:lang w:eastAsia="en-IN"/>
        </w:rPr>
        <w:t>TABLE</w:t>
      </w:r>
      <w:r w:rsidR="00CB70DF">
        <w:rPr>
          <w:rFonts w:ascii="Arial" w:eastAsia="Times New Roman" w:hAnsi="Arial" w:cs="Arial"/>
          <w:sz w:val="20"/>
          <w:szCs w:val="20"/>
          <w:lang w:eastAsia="en-IN"/>
        </w:rPr>
        <w:t xml:space="preserve"> 1</w:t>
      </w:r>
      <w:r w:rsidRPr="00C2499F">
        <w:rPr>
          <w:rFonts w:ascii="Arial" w:eastAsia="Times New Roman" w:hAnsi="Arial" w:cs="Arial"/>
          <w:sz w:val="20"/>
          <w:szCs w:val="20"/>
          <w:lang w:eastAsia="en-IN"/>
        </w:rPr>
        <w:t>: This table shows the laboratory data of the patient during his admission period.</w:t>
      </w:r>
    </w:p>
    <w:p w14:paraId="5857F7DD" w14:textId="77777777" w:rsidR="00F32387" w:rsidRDefault="00F32387" w:rsidP="00094158">
      <w:pPr>
        <w:tabs>
          <w:tab w:val="left" w:pos="3660"/>
        </w:tabs>
        <w:spacing w:before="240" w:after="0" w:line="240" w:lineRule="auto"/>
        <w:jc w:val="both"/>
        <w:rPr>
          <w:rFonts w:ascii="Times New Roman" w:eastAsia="Times New Roman" w:hAnsi="Times New Roman" w:cs="Times New Roman"/>
          <w:sz w:val="24"/>
          <w:szCs w:val="24"/>
          <w:lang w:eastAsia="en-IN"/>
        </w:rPr>
      </w:pPr>
    </w:p>
    <w:p w14:paraId="41F99D54" w14:textId="3EC82C54" w:rsidR="009123F5" w:rsidRPr="003C3794" w:rsidRDefault="00F32387" w:rsidP="00094158">
      <w:pPr>
        <w:pStyle w:val="NormalWeb"/>
        <w:spacing w:before="0" w:beforeAutospacing="0" w:after="0" w:afterAutospacing="0"/>
        <w:jc w:val="both"/>
        <w:rPr>
          <w:rFonts w:ascii="Arial" w:hAnsi="Arial" w:cs="Arial"/>
          <w:color w:val="000000"/>
          <w:sz w:val="20"/>
          <w:szCs w:val="20"/>
        </w:rPr>
      </w:pPr>
      <w:r w:rsidRPr="003C3794">
        <w:rPr>
          <w:rFonts w:ascii="Arial" w:hAnsi="Arial" w:cs="Arial"/>
          <w:sz w:val="20"/>
          <w:szCs w:val="20"/>
          <w:lang w:val="en-GB"/>
        </w:rPr>
        <w:t xml:space="preserve">The above findings are suggestive for the Fournier’s Gangrene and </w:t>
      </w:r>
      <w:r w:rsidRPr="003C3794">
        <w:rPr>
          <w:rFonts w:ascii="Arial" w:hAnsi="Arial" w:cs="Arial"/>
          <w:color w:val="000000"/>
          <w:sz w:val="20"/>
          <w:szCs w:val="20"/>
        </w:rPr>
        <w:t xml:space="preserve">at the time of admission, physician planned to perform surgery i.e., Debridement of the gangrenous tissue and Orchidectomy (if necessary). </w:t>
      </w:r>
      <w:r w:rsidR="009123F5" w:rsidRPr="003C3794">
        <w:rPr>
          <w:rFonts w:ascii="Arial" w:hAnsi="Arial" w:cs="Arial"/>
          <w:color w:val="000000"/>
          <w:sz w:val="20"/>
          <w:szCs w:val="20"/>
        </w:rPr>
        <w:t xml:space="preserve">After the debridement therapy he was prescribed with IVF </w:t>
      </w:r>
      <w:r w:rsidR="009C0F5A" w:rsidRPr="003C3794">
        <w:rPr>
          <w:rFonts w:ascii="Arial" w:hAnsi="Arial" w:cs="Arial"/>
          <w:color w:val="000000"/>
          <w:sz w:val="20"/>
          <w:szCs w:val="20"/>
        </w:rPr>
        <w:t>2-pint</w:t>
      </w:r>
      <w:r w:rsidR="009123F5" w:rsidRPr="003C3794">
        <w:rPr>
          <w:rFonts w:ascii="Arial" w:hAnsi="Arial" w:cs="Arial"/>
          <w:color w:val="000000"/>
          <w:sz w:val="20"/>
          <w:szCs w:val="20"/>
        </w:rPr>
        <w:t xml:space="preserve"> Ringer’s Lactate solution, 3pint 5% dextrose @100cc/ hr. Inj. Piperacillin + Tazobactam -4.5g /IV/TID, Inj. Metronidazole- 500 mg/ IV/ TID, Inj. Pantoprazole - 40 mg/IV/OD, Inj. Paracetamol- 1g/IV/TID, Inj. Diclofenac 75 mg/ IV/BD, Inj. Multivitamin + Vitamin c in 1 pint 5% D /IV/OD, Inj.</w:t>
      </w:r>
      <w:r w:rsidR="00094158" w:rsidRPr="003C3794">
        <w:rPr>
          <w:rFonts w:ascii="Arial" w:hAnsi="Arial" w:cs="Arial"/>
          <w:color w:val="000000"/>
          <w:sz w:val="20"/>
          <w:szCs w:val="20"/>
        </w:rPr>
        <w:t xml:space="preserve"> </w:t>
      </w:r>
      <w:r w:rsidR="009123F5" w:rsidRPr="003C3794">
        <w:rPr>
          <w:rFonts w:ascii="Arial" w:hAnsi="Arial" w:cs="Arial"/>
          <w:color w:val="000000"/>
          <w:sz w:val="20"/>
          <w:szCs w:val="20"/>
        </w:rPr>
        <w:t xml:space="preserve">Tramadol 2cc+8cc NS/slow IV/BD were also included in the management of the patient. He was </w:t>
      </w:r>
      <w:r w:rsidR="002A6B28" w:rsidRPr="003C3794">
        <w:rPr>
          <w:rFonts w:ascii="Arial" w:hAnsi="Arial" w:cs="Arial"/>
          <w:color w:val="000000"/>
          <w:sz w:val="20"/>
          <w:szCs w:val="20"/>
        </w:rPr>
        <w:t>advised</w:t>
      </w:r>
      <w:r w:rsidR="009123F5" w:rsidRPr="003C3794">
        <w:rPr>
          <w:rFonts w:ascii="Arial" w:hAnsi="Arial" w:cs="Arial"/>
          <w:color w:val="000000"/>
          <w:sz w:val="20"/>
          <w:szCs w:val="20"/>
        </w:rPr>
        <w:t xml:space="preserve"> to continue his anti- hypertensive and anti- diabetic medication i.e., Tab. Telmasartan-40 mg/ PO/OD and Tab. Metformin- 500mg+ Glimepiride 2 mg/ PO/ OD respectively.</w:t>
      </w:r>
    </w:p>
    <w:p w14:paraId="40FA5526" w14:textId="1252EFB7" w:rsidR="002A6B28" w:rsidRPr="003C3794" w:rsidRDefault="002A6B28" w:rsidP="00094158">
      <w:pPr>
        <w:pStyle w:val="NormalWeb"/>
        <w:spacing w:before="0" w:beforeAutospacing="0" w:after="0" w:afterAutospacing="0"/>
        <w:jc w:val="both"/>
        <w:rPr>
          <w:rFonts w:ascii="Arial" w:hAnsi="Arial" w:cs="Arial"/>
          <w:color w:val="000000"/>
          <w:sz w:val="20"/>
          <w:szCs w:val="20"/>
        </w:rPr>
      </w:pPr>
      <w:r w:rsidRPr="003C3794">
        <w:rPr>
          <w:rFonts w:ascii="Arial" w:hAnsi="Arial" w:cs="Arial"/>
          <w:color w:val="000000"/>
          <w:sz w:val="20"/>
          <w:szCs w:val="20"/>
        </w:rPr>
        <w:t xml:space="preserve">On day 13, Pus for culture and sensitivity, urine for culture colony count were performed and   Contaminants grown on culture and polymicrobial growth seen in culture respectively. Additional care was taken while regular dressing of debrided region and the blood glucose levels were monitored frequently and antibiotics were </w:t>
      </w:r>
      <w:r w:rsidR="008A7DE3" w:rsidRPr="003C3794">
        <w:rPr>
          <w:rFonts w:ascii="Arial" w:hAnsi="Arial" w:cs="Arial"/>
          <w:color w:val="000000"/>
          <w:sz w:val="20"/>
          <w:szCs w:val="20"/>
        </w:rPr>
        <w:t>changed</w:t>
      </w:r>
      <w:r w:rsidRPr="003C3794">
        <w:rPr>
          <w:rFonts w:ascii="Arial" w:hAnsi="Arial" w:cs="Arial"/>
          <w:color w:val="000000"/>
          <w:sz w:val="20"/>
          <w:szCs w:val="20"/>
        </w:rPr>
        <w:t xml:space="preserve"> to Inj. Ceftriaxone -1g/ IV/ BD, Inj. Ciproflo</w:t>
      </w:r>
      <w:r w:rsidR="004A62D2" w:rsidRPr="003C3794">
        <w:rPr>
          <w:rFonts w:ascii="Arial" w:hAnsi="Arial" w:cs="Arial"/>
          <w:color w:val="000000"/>
          <w:sz w:val="20"/>
          <w:szCs w:val="20"/>
        </w:rPr>
        <w:t>xacin- 500 mg/IV/ TID, Inj. Clindamycin- 300 mg/ IV/ BD thereby</w:t>
      </w:r>
      <w:r w:rsidRPr="003C3794">
        <w:rPr>
          <w:rFonts w:ascii="Arial" w:hAnsi="Arial" w:cs="Arial"/>
          <w:color w:val="000000"/>
          <w:sz w:val="20"/>
          <w:szCs w:val="20"/>
        </w:rPr>
        <w:t xml:space="preserve"> improvement in the patient</w:t>
      </w:r>
      <w:r w:rsidR="004A62D2" w:rsidRPr="003C3794">
        <w:rPr>
          <w:rFonts w:ascii="Arial" w:hAnsi="Arial" w:cs="Arial"/>
          <w:color w:val="000000"/>
          <w:sz w:val="20"/>
          <w:szCs w:val="20"/>
        </w:rPr>
        <w:t xml:space="preserve">’s </w:t>
      </w:r>
      <w:r w:rsidRPr="003C3794">
        <w:rPr>
          <w:rFonts w:ascii="Arial" w:hAnsi="Arial" w:cs="Arial"/>
          <w:color w:val="000000"/>
          <w:sz w:val="20"/>
          <w:szCs w:val="20"/>
        </w:rPr>
        <w:t>condition and the culture sensitivity reports suggests no bacterial growth on Day 18.</w:t>
      </w:r>
    </w:p>
    <w:p w14:paraId="60FCF7EA" w14:textId="3091F1BB" w:rsidR="008A7DE3" w:rsidRPr="003C3794" w:rsidRDefault="004A62D2" w:rsidP="00094158">
      <w:pPr>
        <w:pStyle w:val="NormalWeb"/>
        <w:spacing w:after="240"/>
        <w:jc w:val="both"/>
        <w:rPr>
          <w:rFonts w:ascii="Arial" w:hAnsi="Arial" w:cs="Arial"/>
          <w:color w:val="000000"/>
          <w:sz w:val="20"/>
          <w:szCs w:val="20"/>
        </w:rPr>
      </w:pPr>
      <w:r w:rsidRPr="003C3794">
        <w:rPr>
          <w:rFonts w:ascii="Arial" w:hAnsi="Arial" w:cs="Arial"/>
          <w:color w:val="000000"/>
          <w:sz w:val="20"/>
          <w:szCs w:val="20"/>
        </w:rPr>
        <w:t xml:space="preserve">While discharge he was counselled about the importance of wound care, adherence to the treatment plan and the follow up appointments. Discharge medications include Tab. Cefotaxime-200 mg/PO/BD, Tab. Pantoprazole- 40 mg/PO/OD, Tab. Multivitamin + vitamin C /PO/OD, Tab. Paracetamol- 500 mg/PO/SOS, Tab. Diclofenac -50 mg/PO/BD, Tab. Metformin-500 mg + Tab. Glimepiride 2 mg/PO/BD, </w:t>
      </w:r>
      <w:r w:rsidR="00094158" w:rsidRPr="003C3794">
        <w:rPr>
          <w:rFonts w:ascii="Arial" w:hAnsi="Arial" w:cs="Arial"/>
          <w:color w:val="000000"/>
          <w:sz w:val="20"/>
          <w:szCs w:val="20"/>
        </w:rPr>
        <w:t>Tab. Telmisartan- 40 mg/PO/OD.</w:t>
      </w:r>
    </w:p>
    <w:p w14:paraId="40CD57A4" w14:textId="2E95C53B" w:rsidR="008A7DE3" w:rsidRPr="00CA67BA" w:rsidRDefault="00CA67BA" w:rsidP="00094158">
      <w:pPr>
        <w:pStyle w:val="NormalWeb"/>
        <w:numPr>
          <w:ilvl w:val="0"/>
          <w:numId w:val="3"/>
        </w:numPr>
        <w:spacing w:before="0" w:beforeAutospacing="0" w:after="0" w:afterAutospacing="0"/>
        <w:jc w:val="both"/>
        <w:rPr>
          <w:rFonts w:ascii="Arial" w:hAnsi="Arial" w:cs="Arial"/>
          <w:b/>
          <w:color w:val="000000"/>
          <w:sz w:val="22"/>
          <w:szCs w:val="22"/>
        </w:rPr>
      </w:pPr>
      <w:r w:rsidRPr="00CA67BA">
        <w:rPr>
          <w:rFonts w:ascii="Arial" w:hAnsi="Arial" w:cs="Arial"/>
          <w:b/>
          <w:color w:val="000000"/>
          <w:sz w:val="22"/>
          <w:szCs w:val="22"/>
        </w:rPr>
        <w:t>DISCUSSION</w:t>
      </w:r>
      <w:r w:rsidR="004A62D2" w:rsidRPr="00CA67BA">
        <w:rPr>
          <w:rFonts w:ascii="Arial" w:hAnsi="Arial" w:cs="Arial"/>
          <w:b/>
          <w:color w:val="000000"/>
          <w:sz w:val="22"/>
          <w:szCs w:val="22"/>
        </w:rPr>
        <w:t>:</w:t>
      </w:r>
    </w:p>
    <w:p w14:paraId="5D814527" w14:textId="1DB4C152" w:rsidR="004A62D2" w:rsidRDefault="004A62D2" w:rsidP="00094158">
      <w:pPr>
        <w:pStyle w:val="NormalWeb"/>
        <w:spacing w:before="0" w:beforeAutospacing="0" w:after="240"/>
        <w:jc w:val="both"/>
        <w:rPr>
          <w:rFonts w:ascii="Arial" w:hAnsi="Arial" w:cs="Arial"/>
          <w:color w:val="000000"/>
          <w:sz w:val="20"/>
          <w:szCs w:val="20"/>
        </w:rPr>
      </w:pPr>
      <w:r w:rsidRPr="003C3794">
        <w:rPr>
          <w:rFonts w:ascii="Arial" w:hAnsi="Arial" w:cs="Arial"/>
          <w:color w:val="000000"/>
          <w:sz w:val="20"/>
          <w:szCs w:val="20"/>
        </w:rPr>
        <w:t>Fournier's gangrene (FG) is an uncommon necrotizing fasciitis of the perianal, genital, or perineal areas that progresses quickly and can be lethal.  Since Jean-Alfred Fournier first reported the illness in 1883, it has changed from being thought to be an idiopathic process in young, healthy men to a polymicrobial infection that primarily affects elderly individuals with comorbidities</w:t>
      </w:r>
      <w:r w:rsidR="00B13B6C" w:rsidRPr="003C3794">
        <w:rPr>
          <w:rFonts w:ascii="Arial" w:hAnsi="Arial" w:cs="Arial"/>
          <w:color w:val="000000"/>
          <w:sz w:val="20"/>
          <w:szCs w:val="20"/>
        </w:rPr>
        <w:t xml:space="preserve">. According to recent research, diabetes mellitus persists as the most prevalent risk factor, accounting for up to 60% of </w:t>
      </w:r>
      <w:r w:rsidR="00DE5E72" w:rsidRPr="003C3794">
        <w:rPr>
          <w:rFonts w:ascii="Arial" w:hAnsi="Arial" w:cs="Arial"/>
          <w:color w:val="000000"/>
          <w:sz w:val="20"/>
          <w:szCs w:val="20"/>
        </w:rPr>
        <w:t>cases</w:t>
      </w:r>
      <w:r w:rsidR="004F2FF2">
        <w:rPr>
          <w:rFonts w:ascii="Arial" w:hAnsi="Arial" w:cs="Arial"/>
          <w:color w:val="000000"/>
          <w:sz w:val="20"/>
          <w:szCs w:val="20"/>
        </w:rPr>
        <w:t xml:space="preserve"> (Sorensen </w:t>
      </w:r>
      <w:r w:rsidR="004F2FF2">
        <w:rPr>
          <w:rFonts w:ascii="Arial" w:hAnsi="Arial" w:cs="Arial"/>
          <w:color w:val="000000"/>
          <w:sz w:val="20"/>
          <w:szCs w:val="20"/>
        </w:rPr>
        <w:lastRenderedPageBreak/>
        <w:t>MD, 2009)</w:t>
      </w:r>
      <w:r w:rsidR="00DE5E72" w:rsidRPr="003C3794">
        <w:rPr>
          <w:rFonts w:ascii="Arial" w:hAnsi="Arial" w:cs="Arial"/>
          <w:color w:val="000000"/>
          <w:sz w:val="20"/>
          <w:szCs w:val="20"/>
        </w:rPr>
        <w:t xml:space="preserve">. </w:t>
      </w:r>
      <w:r w:rsidR="006728E3" w:rsidRPr="003C3794">
        <w:rPr>
          <w:rFonts w:ascii="Arial" w:hAnsi="Arial" w:cs="Arial"/>
          <w:color w:val="000000"/>
          <w:sz w:val="20"/>
          <w:szCs w:val="20"/>
        </w:rPr>
        <w:t xml:space="preserve">The cornerstones of therapy are: Hemodynamic stabilization, broad-spectrum intravenous antibiotics, supportive intensive care, and prompt surgical debridement, which is frequently repeated. Hyperbaric oxygen therapy (HBOT) and vacuum-assisted wound closure (VAC) have demonstrated advantages in certain situations, but they are still used as adjuncts. Reduced mortality is associated with vigorous and early </w:t>
      </w:r>
      <w:r w:rsidR="00DE5E72" w:rsidRPr="003C3794">
        <w:rPr>
          <w:rFonts w:ascii="Arial" w:hAnsi="Arial" w:cs="Arial"/>
          <w:color w:val="000000"/>
          <w:sz w:val="20"/>
          <w:szCs w:val="20"/>
        </w:rPr>
        <w:t>surgery</w:t>
      </w:r>
      <w:r w:rsidR="004F2FF2">
        <w:rPr>
          <w:rFonts w:ascii="Arial" w:hAnsi="Arial" w:cs="Arial"/>
          <w:color w:val="000000"/>
          <w:sz w:val="20"/>
          <w:szCs w:val="20"/>
        </w:rPr>
        <w:t xml:space="preserve"> (Yilmazlar T,2010)</w:t>
      </w:r>
      <w:r w:rsidR="00BE2CF5" w:rsidRPr="003C3794">
        <w:rPr>
          <w:rFonts w:ascii="Arial" w:hAnsi="Arial" w:cs="Arial"/>
          <w:color w:val="000000"/>
          <w:sz w:val="20"/>
          <w:szCs w:val="20"/>
        </w:rPr>
        <w:t xml:space="preserve">. The major challenge is delayed diagnosis and antibiotic resistance and lack of standardized guidelines for the adjuvant </w:t>
      </w:r>
      <w:r w:rsidR="00DE5E72" w:rsidRPr="003C3794">
        <w:rPr>
          <w:rFonts w:ascii="Arial" w:hAnsi="Arial" w:cs="Arial"/>
          <w:color w:val="000000"/>
          <w:sz w:val="20"/>
          <w:szCs w:val="20"/>
        </w:rPr>
        <w:t>therapy (</w:t>
      </w:r>
      <w:r w:rsidR="00BE2CF5" w:rsidRPr="003C3794">
        <w:rPr>
          <w:rFonts w:ascii="Arial" w:hAnsi="Arial" w:cs="Arial"/>
          <w:color w:val="000000"/>
          <w:sz w:val="20"/>
          <w:szCs w:val="20"/>
        </w:rPr>
        <w:t>HBOT</w:t>
      </w:r>
      <w:r w:rsidR="00AE51FF" w:rsidRPr="003C3794">
        <w:rPr>
          <w:rFonts w:ascii="Arial" w:hAnsi="Arial" w:cs="Arial"/>
          <w:color w:val="000000"/>
          <w:sz w:val="20"/>
          <w:szCs w:val="20"/>
        </w:rPr>
        <w:t>)</w:t>
      </w:r>
      <w:r w:rsidR="00AE51FF">
        <w:rPr>
          <w:rFonts w:ascii="Arial" w:hAnsi="Arial" w:cs="Arial"/>
          <w:color w:val="000000"/>
          <w:sz w:val="20"/>
          <w:szCs w:val="20"/>
        </w:rPr>
        <w:t xml:space="preserve"> (Eke N, 2000)</w:t>
      </w:r>
      <w:r w:rsidR="00BE2CF5" w:rsidRPr="003C3794">
        <w:rPr>
          <w:rFonts w:ascii="Arial" w:hAnsi="Arial" w:cs="Arial"/>
          <w:color w:val="000000"/>
          <w:sz w:val="20"/>
          <w:szCs w:val="20"/>
        </w:rPr>
        <w:t xml:space="preserve">. Here in this patient he was managed with early diagnosis and an immediate surgery (Debridement of the gangrenous tissue) and was managed with intravenous </w:t>
      </w:r>
      <w:r w:rsidR="008A7DE3" w:rsidRPr="003C3794">
        <w:rPr>
          <w:rFonts w:ascii="Arial" w:hAnsi="Arial" w:cs="Arial"/>
          <w:color w:val="000000"/>
          <w:sz w:val="20"/>
          <w:szCs w:val="20"/>
        </w:rPr>
        <w:t>broad-spectrum</w:t>
      </w:r>
      <w:r w:rsidR="00BE2CF5" w:rsidRPr="003C3794">
        <w:rPr>
          <w:rFonts w:ascii="Arial" w:hAnsi="Arial" w:cs="Arial"/>
          <w:color w:val="000000"/>
          <w:sz w:val="20"/>
          <w:szCs w:val="20"/>
        </w:rPr>
        <w:t xml:space="preserve"> antibiotics</w:t>
      </w:r>
      <w:r w:rsidR="0008222F">
        <w:rPr>
          <w:rFonts w:ascii="Arial" w:hAnsi="Arial" w:cs="Arial"/>
          <w:color w:val="000000"/>
          <w:sz w:val="20"/>
          <w:szCs w:val="20"/>
        </w:rPr>
        <w:t xml:space="preserve"> (Auerbach, 2020)</w:t>
      </w:r>
      <w:r w:rsidR="00BE2CF5" w:rsidRPr="003C3794">
        <w:rPr>
          <w:rFonts w:ascii="Arial" w:hAnsi="Arial" w:cs="Arial"/>
          <w:color w:val="000000"/>
          <w:sz w:val="20"/>
          <w:szCs w:val="20"/>
        </w:rPr>
        <w:t xml:space="preserve"> and supportive care </w:t>
      </w:r>
      <w:r w:rsidR="007763F0" w:rsidRPr="003C3794">
        <w:rPr>
          <w:rFonts w:ascii="Arial" w:hAnsi="Arial" w:cs="Arial"/>
          <w:color w:val="000000"/>
          <w:sz w:val="20"/>
          <w:szCs w:val="20"/>
        </w:rPr>
        <w:t xml:space="preserve">was provided, regular monitoring of blood pressure and blood glucose levels accordingly which further helped the patient to improve his </w:t>
      </w:r>
      <w:r w:rsidR="00C65409" w:rsidRPr="003C3794">
        <w:rPr>
          <w:rFonts w:ascii="Arial" w:hAnsi="Arial" w:cs="Arial"/>
          <w:color w:val="000000"/>
          <w:sz w:val="20"/>
          <w:szCs w:val="20"/>
        </w:rPr>
        <w:t>condition.</w:t>
      </w:r>
      <w:r w:rsidR="00C65409">
        <w:rPr>
          <w:rFonts w:ascii="Arial" w:hAnsi="Arial" w:cs="Arial"/>
          <w:color w:val="000000"/>
          <w:sz w:val="20"/>
          <w:szCs w:val="20"/>
        </w:rPr>
        <w:t xml:space="preserve"> According to the study done by Laor E et al, the patient has a FGSI score &lt;9 which concludes there is a 78% of likelihood of survival (Doluoglu O.G., 2016)</w:t>
      </w:r>
    </w:p>
    <w:tbl>
      <w:tblPr>
        <w:tblStyle w:val="TableGrid"/>
        <w:tblW w:w="8959" w:type="dxa"/>
        <w:jc w:val="center"/>
        <w:tblLook w:val="04A0" w:firstRow="1" w:lastRow="0" w:firstColumn="1" w:lastColumn="0" w:noHBand="0" w:noVBand="1"/>
      </w:tblPr>
      <w:tblGrid>
        <w:gridCol w:w="2987"/>
        <w:gridCol w:w="1493"/>
        <w:gridCol w:w="1493"/>
        <w:gridCol w:w="1493"/>
        <w:gridCol w:w="1493"/>
      </w:tblGrid>
      <w:tr w:rsidR="00F90D2B" w14:paraId="2035E9E8" w14:textId="77777777" w:rsidTr="00520950">
        <w:trPr>
          <w:trHeight w:val="476"/>
          <w:jc w:val="center"/>
        </w:trPr>
        <w:tc>
          <w:tcPr>
            <w:tcW w:w="2835" w:type="dxa"/>
          </w:tcPr>
          <w:p w14:paraId="1DCF0048" w14:textId="758D7832"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Parameter</w:t>
            </w:r>
          </w:p>
        </w:tc>
        <w:tc>
          <w:tcPr>
            <w:tcW w:w="1418" w:type="dxa"/>
          </w:tcPr>
          <w:p w14:paraId="294A8161" w14:textId="312A76E8"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Avg.</w:t>
            </w:r>
            <w:r w:rsidR="009A47B3">
              <w:rPr>
                <w:rFonts w:ascii="Arial" w:hAnsi="Arial" w:cs="Arial"/>
                <w:b/>
                <w:color w:val="000000"/>
                <w:sz w:val="20"/>
                <w:szCs w:val="20"/>
              </w:rPr>
              <w:t xml:space="preserve"> Value</w:t>
            </w:r>
          </w:p>
        </w:tc>
        <w:tc>
          <w:tcPr>
            <w:tcW w:w="1418" w:type="dxa"/>
          </w:tcPr>
          <w:p w14:paraId="5D818185" w14:textId="494814C0"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Score</w:t>
            </w:r>
          </w:p>
        </w:tc>
        <w:tc>
          <w:tcPr>
            <w:tcW w:w="1418" w:type="dxa"/>
          </w:tcPr>
          <w:p w14:paraId="2A523B0F" w14:textId="6D50F5CB"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Normal Range</w:t>
            </w:r>
          </w:p>
        </w:tc>
        <w:tc>
          <w:tcPr>
            <w:tcW w:w="1418" w:type="dxa"/>
          </w:tcPr>
          <w:p w14:paraId="2FB0799B" w14:textId="4BA92E22"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Score Range</w:t>
            </w:r>
          </w:p>
        </w:tc>
      </w:tr>
      <w:tr w:rsidR="00F90D2B" w14:paraId="4B53B4D9" w14:textId="77777777" w:rsidTr="00520950">
        <w:trPr>
          <w:trHeight w:val="476"/>
          <w:jc w:val="center"/>
        </w:trPr>
        <w:tc>
          <w:tcPr>
            <w:tcW w:w="2835" w:type="dxa"/>
          </w:tcPr>
          <w:p w14:paraId="2E1DF714" w14:textId="6A63A6B1"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 xml:space="preserve">Temperature </w:t>
            </w:r>
            <w:r w:rsidRPr="000B7A42">
              <w:rPr>
                <w:rFonts w:ascii="Arial" w:hAnsi="Arial" w:cs="Arial"/>
                <w:b/>
                <w:color w:val="000000"/>
                <w:sz w:val="20"/>
                <w:szCs w:val="20"/>
              </w:rPr>
              <w:t>(°C)</w:t>
            </w:r>
          </w:p>
        </w:tc>
        <w:tc>
          <w:tcPr>
            <w:tcW w:w="1418" w:type="dxa"/>
          </w:tcPr>
          <w:p w14:paraId="4E9C8711" w14:textId="2F66A0C6"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3</w:t>
            </w:r>
            <w:r w:rsidR="009A47B3">
              <w:rPr>
                <w:rFonts w:ascii="Arial" w:hAnsi="Arial" w:cs="Arial"/>
                <w:b/>
                <w:color w:val="000000"/>
                <w:sz w:val="20"/>
                <w:szCs w:val="20"/>
              </w:rPr>
              <w:t>8.9</w:t>
            </w:r>
          </w:p>
        </w:tc>
        <w:tc>
          <w:tcPr>
            <w:tcW w:w="1418" w:type="dxa"/>
          </w:tcPr>
          <w:p w14:paraId="1AE71213" w14:textId="3AA3CA8C"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+2</w:t>
            </w:r>
          </w:p>
        </w:tc>
        <w:tc>
          <w:tcPr>
            <w:tcW w:w="1418" w:type="dxa"/>
          </w:tcPr>
          <w:p w14:paraId="65F677FB" w14:textId="55F26A1A"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36.0–38.4</w:t>
            </w:r>
          </w:p>
        </w:tc>
        <w:tc>
          <w:tcPr>
            <w:tcW w:w="1418" w:type="dxa"/>
          </w:tcPr>
          <w:p w14:paraId="3B65CC19" w14:textId="072B6581"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2EBC6074" w14:textId="77777777" w:rsidTr="00520950">
        <w:trPr>
          <w:trHeight w:val="476"/>
          <w:jc w:val="center"/>
        </w:trPr>
        <w:tc>
          <w:tcPr>
            <w:tcW w:w="2835" w:type="dxa"/>
          </w:tcPr>
          <w:p w14:paraId="654DB389" w14:textId="4ADAD73A"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Heart rate (beats/min)</w:t>
            </w:r>
          </w:p>
        </w:tc>
        <w:tc>
          <w:tcPr>
            <w:tcW w:w="1418" w:type="dxa"/>
          </w:tcPr>
          <w:p w14:paraId="70ED6C47" w14:textId="2FD58F7E"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85</w:t>
            </w:r>
          </w:p>
        </w:tc>
        <w:tc>
          <w:tcPr>
            <w:tcW w:w="1418" w:type="dxa"/>
          </w:tcPr>
          <w:p w14:paraId="66AA5D1A" w14:textId="4CB0FA01"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5F5FD401" w14:textId="2DAD267D"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70–120</w:t>
            </w:r>
          </w:p>
        </w:tc>
        <w:tc>
          <w:tcPr>
            <w:tcW w:w="1418" w:type="dxa"/>
          </w:tcPr>
          <w:p w14:paraId="7A552013" w14:textId="06958D7E"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37F79985" w14:textId="77777777" w:rsidTr="00520950">
        <w:trPr>
          <w:trHeight w:val="476"/>
          <w:jc w:val="center"/>
        </w:trPr>
        <w:tc>
          <w:tcPr>
            <w:tcW w:w="2835" w:type="dxa"/>
          </w:tcPr>
          <w:p w14:paraId="0BCD1D2F" w14:textId="2B1CBD4E"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Respirator</w:t>
            </w:r>
            <w:r>
              <w:rPr>
                <w:rFonts w:ascii="Arial" w:hAnsi="Arial" w:cs="Arial"/>
                <w:b/>
                <w:color w:val="000000"/>
                <w:sz w:val="20"/>
                <w:szCs w:val="20"/>
              </w:rPr>
              <w:t xml:space="preserve">y </w:t>
            </w:r>
            <w:r w:rsidRPr="000B7A42">
              <w:rPr>
                <w:rFonts w:ascii="Arial" w:hAnsi="Arial" w:cs="Arial"/>
                <w:b/>
                <w:color w:val="000000"/>
                <w:sz w:val="20"/>
                <w:szCs w:val="20"/>
              </w:rPr>
              <w:t>rate</w:t>
            </w:r>
            <w:r>
              <w:rPr>
                <w:rFonts w:ascii="Arial" w:hAnsi="Arial" w:cs="Arial"/>
                <w:b/>
                <w:color w:val="000000"/>
                <w:sz w:val="20"/>
                <w:szCs w:val="20"/>
              </w:rPr>
              <w:t xml:space="preserve"> </w:t>
            </w:r>
            <w:r w:rsidRPr="000B7A42">
              <w:rPr>
                <w:rFonts w:ascii="Arial" w:hAnsi="Arial" w:cs="Arial"/>
                <w:b/>
                <w:color w:val="000000"/>
                <w:sz w:val="20"/>
                <w:szCs w:val="20"/>
              </w:rPr>
              <w:t>(breath</w:t>
            </w:r>
            <w:r>
              <w:rPr>
                <w:rFonts w:ascii="Arial" w:hAnsi="Arial" w:cs="Arial"/>
                <w:b/>
                <w:color w:val="000000"/>
                <w:sz w:val="20"/>
                <w:szCs w:val="20"/>
              </w:rPr>
              <w:t>s/ min)</w:t>
            </w:r>
          </w:p>
        </w:tc>
        <w:tc>
          <w:tcPr>
            <w:tcW w:w="1418" w:type="dxa"/>
          </w:tcPr>
          <w:p w14:paraId="56E53BC9" w14:textId="10EDA56A"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20</w:t>
            </w:r>
          </w:p>
        </w:tc>
        <w:tc>
          <w:tcPr>
            <w:tcW w:w="1418" w:type="dxa"/>
          </w:tcPr>
          <w:p w14:paraId="3714CF17" w14:textId="3C73E922"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33337233" w14:textId="30C2AA87"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12–24</w:t>
            </w:r>
          </w:p>
        </w:tc>
        <w:tc>
          <w:tcPr>
            <w:tcW w:w="1418" w:type="dxa"/>
          </w:tcPr>
          <w:p w14:paraId="57B0E2BF" w14:textId="64EBB2A4"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0AA7CDEB" w14:textId="77777777" w:rsidTr="00520950">
        <w:trPr>
          <w:trHeight w:val="476"/>
          <w:jc w:val="center"/>
        </w:trPr>
        <w:tc>
          <w:tcPr>
            <w:tcW w:w="2835" w:type="dxa"/>
          </w:tcPr>
          <w:p w14:paraId="30C95EE1" w14:textId="45252E6B"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Serum sodium (mmol/L)</w:t>
            </w:r>
          </w:p>
        </w:tc>
        <w:tc>
          <w:tcPr>
            <w:tcW w:w="1418" w:type="dxa"/>
          </w:tcPr>
          <w:p w14:paraId="3849B63B" w14:textId="21AAE182"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132.33</w:t>
            </w:r>
          </w:p>
        </w:tc>
        <w:tc>
          <w:tcPr>
            <w:tcW w:w="1418" w:type="dxa"/>
          </w:tcPr>
          <w:p w14:paraId="67D919B0" w14:textId="3399EF9A" w:rsidR="00F90D2B" w:rsidRPr="000B7A42"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7EE0BCC3" w14:textId="4FDD3CF0"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135–145</w:t>
            </w:r>
          </w:p>
        </w:tc>
        <w:tc>
          <w:tcPr>
            <w:tcW w:w="1418" w:type="dxa"/>
          </w:tcPr>
          <w:p w14:paraId="0EB6820C" w14:textId="41311B50"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579E330C" w14:textId="77777777" w:rsidTr="00520950">
        <w:trPr>
          <w:trHeight w:val="476"/>
          <w:jc w:val="center"/>
        </w:trPr>
        <w:tc>
          <w:tcPr>
            <w:tcW w:w="2835" w:type="dxa"/>
          </w:tcPr>
          <w:p w14:paraId="629375C1" w14:textId="4C9367D4"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Serum potassium (mmol/L)</w:t>
            </w:r>
          </w:p>
        </w:tc>
        <w:tc>
          <w:tcPr>
            <w:tcW w:w="1418" w:type="dxa"/>
          </w:tcPr>
          <w:p w14:paraId="4E194E98" w14:textId="24E4E4BD" w:rsidR="00F90D2B"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4.48</w:t>
            </w:r>
          </w:p>
        </w:tc>
        <w:tc>
          <w:tcPr>
            <w:tcW w:w="1418" w:type="dxa"/>
          </w:tcPr>
          <w:p w14:paraId="46B52CD4" w14:textId="45C37EFD"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3BE9031F" w14:textId="0EBB68EE"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3.5–5.0</w:t>
            </w:r>
          </w:p>
        </w:tc>
        <w:tc>
          <w:tcPr>
            <w:tcW w:w="1418" w:type="dxa"/>
          </w:tcPr>
          <w:p w14:paraId="7529974C" w14:textId="13F1AED2"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357455C7" w14:textId="77777777" w:rsidTr="00520950">
        <w:trPr>
          <w:trHeight w:val="476"/>
          <w:jc w:val="center"/>
        </w:trPr>
        <w:tc>
          <w:tcPr>
            <w:tcW w:w="2835" w:type="dxa"/>
          </w:tcPr>
          <w:p w14:paraId="6B1937B0" w14:textId="46C83A02"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Serum creatinine (mg/dL)</w:t>
            </w:r>
          </w:p>
        </w:tc>
        <w:tc>
          <w:tcPr>
            <w:tcW w:w="1418" w:type="dxa"/>
          </w:tcPr>
          <w:p w14:paraId="417A3D18" w14:textId="7612981E" w:rsidR="00F90D2B"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0.65</w:t>
            </w:r>
          </w:p>
        </w:tc>
        <w:tc>
          <w:tcPr>
            <w:tcW w:w="1418" w:type="dxa"/>
          </w:tcPr>
          <w:p w14:paraId="366F9441" w14:textId="77EB8E3E"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098699C3" w14:textId="2F85ADF6"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0.6–1.2</w:t>
            </w:r>
          </w:p>
        </w:tc>
        <w:tc>
          <w:tcPr>
            <w:tcW w:w="1418" w:type="dxa"/>
          </w:tcPr>
          <w:p w14:paraId="0BC591BA" w14:textId="39CC7133"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5103DAFB" w14:textId="77777777" w:rsidTr="00520950">
        <w:trPr>
          <w:trHeight w:val="476"/>
          <w:jc w:val="center"/>
        </w:trPr>
        <w:tc>
          <w:tcPr>
            <w:tcW w:w="2835" w:type="dxa"/>
          </w:tcPr>
          <w:p w14:paraId="4B0B7887" w14:textId="13E816F1" w:rsidR="00F90D2B" w:rsidRDefault="00AE51FF"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Haematocrits</w:t>
            </w:r>
            <w:r w:rsidR="00F90D2B" w:rsidRPr="000B7A42">
              <w:rPr>
                <w:rFonts w:ascii="Arial" w:hAnsi="Arial" w:cs="Arial"/>
                <w:b/>
                <w:color w:val="000000"/>
                <w:sz w:val="20"/>
                <w:szCs w:val="20"/>
              </w:rPr>
              <w:t xml:space="preserve"> (%)</w:t>
            </w:r>
          </w:p>
        </w:tc>
        <w:tc>
          <w:tcPr>
            <w:tcW w:w="1418" w:type="dxa"/>
          </w:tcPr>
          <w:p w14:paraId="121BA697" w14:textId="2E3801CF" w:rsidR="00F90D2B"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35.88</w:t>
            </w:r>
          </w:p>
        </w:tc>
        <w:tc>
          <w:tcPr>
            <w:tcW w:w="1418" w:type="dxa"/>
          </w:tcPr>
          <w:p w14:paraId="54493D95" w14:textId="22BCD4AA"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49D2B6A3" w14:textId="71974BF0"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35–50</w:t>
            </w:r>
          </w:p>
        </w:tc>
        <w:tc>
          <w:tcPr>
            <w:tcW w:w="1418" w:type="dxa"/>
          </w:tcPr>
          <w:p w14:paraId="33B56581" w14:textId="731F933B"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2567C78B" w14:textId="77777777" w:rsidTr="00520950">
        <w:trPr>
          <w:trHeight w:val="475"/>
          <w:jc w:val="center"/>
        </w:trPr>
        <w:tc>
          <w:tcPr>
            <w:tcW w:w="2835" w:type="dxa"/>
          </w:tcPr>
          <w:p w14:paraId="1BF4B636" w14:textId="01EC5825"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White blood cell count (×10⁹/L)</w:t>
            </w:r>
          </w:p>
        </w:tc>
        <w:tc>
          <w:tcPr>
            <w:tcW w:w="1418" w:type="dxa"/>
          </w:tcPr>
          <w:p w14:paraId="15FF0618" w14:textId="6E94FAAF" w:rsidR="00F90D2B"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9.4</w:t>
            </w:r>
          </w:p>
        </w:tc>
        <w:tc>
          <w:tcPr>
            <w:tcW w:w="1418" w:type="dxa"/>
          </w:tcPr>
          <w:p w14:paraId="737EAAC3" w14:textId="41374637"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73997D57" w14:textId="18CC5FAA"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4.0–12.0</w:t>
            </w:r>
          </w:p>
        </w:tc>
        <w:tc>
          <w:tcPr>
            <w:tcW w:w="1418" w:type="dxa"/>
          </w:tcPr>
          <w:p w14:paraId="626A5C67" w14:textId="1D60393E"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r w:rsidR="00F90D2B" w14:paraId="7CAEC9D9" w14:textId="77777777" w:rsidTr="00520950">
        <w:trPr>
          <w:trHeight w:val="476"/>
          <w:jc w:val="center"/>
        </w:trPr>
        <w:tc>
          <w:tcPr>
            <w:tcW w:w="2835" w:type="dxa"/>
          </w:tcPr>
          <w:p w14:paraId="710A7CA3" w14:textId="796CD794" w:rsidR="00F90D2B" w:rsidRPr="000B7A42"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Serum bicarbonate (mmol/L)</w:t>
            </w:r>
          </w:p>
        </w:tc>
        <w:tc>
          <w:tcPr>
            <w:tcW w:w="1418" w:type="dxa"/>
          </w:tcPr>
          <w:p w14:paraId="3A5C5AD9" w14:textId="0AEDF3E2" w:rsidR="00F90D2B"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28</w:t>
            </w:r>
          </w:p>
        </w:tc>
        <w:tc>
          <w:tcPr>
            <w:tcW w:w="1418" w:type="dxa"/>
          </w:tcPr>
          <w:p w14:paraId="4319060A" w14:textId="008D7843" w:rsidR="00F90D2B" w:rsidRPr="000B7A42" w:rsidRDefault="009A47B3"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w:t>
            </w:r>
          </w:p>
        </w:tc>
        <w:tc>
          <w:tcPr>
            <w:tcW w:w="1418" w:type="dxa"/>
          </w:tcPr>
          <w:p w14:paraId="04160463" w14:textId="5D69E8E8" w:rsidR="00F90D2B" w:rsidRDefault="00F90D2B" w:rsidP="00520950">
            <w:pPr>
              <w:pStyle w:val="NormalWeb"/>
              <w:spacing w:before="0" w:beforeAutospacing="0" w:after="240"/>
              <w:jc w:val="center"/>
              <w:rPr>
                <w:rFonts w:ascii="Arial" w:hAnsi="Arial" w:cs="Arial"/>
                <w:b/>
                <w:color w:val="000000"/>
                <w:sz w:val="20"/>
                <w:szCs w:val="20"/>
              </w:rPr>
            </w:pPr>
            <w:r w:rsidRPr="000B7A42">
              <w:rPr>
                <w:rFonts w:ascii="Arial" w:hAnsi="Arial" w:cs="Arial"/>
                <w:b/>
                <w:color w:val="000000"/>
                <w:sz w:val="20"/>
                <w:szCs w:val="20"/>
              </w:rPr>
              <w:t>22–28</w:t>
            </w:r>
          </w:p>
        </w:tc>
        <w:tc>
          <w:tcPr>
            <w:tcW w:w="1418" w:type="dxa"/>
          </w:tcPr>
          <w:p w14:paraId="5BB2FD5D" w14:textId="0F80CE47" w:rsidR="00F90D2B" w:rsidRDefault="00F90D2B" w:rsidP="00520950">
            <w:pPr>
              <w:pStyle w:val="NormalWeb"/>
              <w:spacing w:before="0" w:beforeAutospacing="0" w:after="240"/>
              <w:jc w:val="center"/>
              <w:rPr>
                <w:rFonts w:ascii="Arial" w:hAnsi="Arial" w:cs="Arial"/>
                <w:b/>
                <w:color w:val="000000"/>
                <w:sz w:val="20"/>
                <w:szCs w:val="20"/>
              </w:rPr>
            </w:pPr>
            <w:r>
              <w:rPr>
                <w:rFonts w:ascii="Arial" w:hAnsi="Arial" w:cs="Arial"/>
                <w:b/>
                <w:color w:val="000000"/>
                <w:sz w:val="20"/>
                <w:szCs w:val="20"/>
              </w:rPr>
              <w:t>0-4</w:t>
            </w:r>
          </w:p>
        </w:tc>
      </w:tr>
    </w:tbl>
    <w:p w14:paraId="6C9A8191" w14:textId="43FCBF64" w:rsidR="000B7A42" w:rsidRPr="003C3794" w:rsidRDefault="00520950" w:rsidP="00094158">
      <w:pPr>
        <w:pStyle w:val="NormalWeb"/>
        <w:spacing w:before="0" w:beforeAutospacing="0" w:after="240"/>
        <w:jc w:val="both"/>
        <w:rPr>
          <w:rFonts w:ascii="Arial" w:hAnsi="Arial" w:cs="Arial"/>
          <w:b/>
          <w:color w:val="000000"/>
          <w:sz w:val="20"/>
          <w:szCs w:val="20"/>
        </w:rPr>
      </w:pPr>
      <w:r>
        <w:rPr>
          <w:rFonts w:ascii="Arial" w:hAnsi="Arial" w:cs="Arial"/>
          <w:b/>
          <w:color w:val="000000"/>
          <w:sz w:val="20"/>
          <w:szCs w:val="20"/>
        </w:rPr>
        <w:t xml:space="preserve"> TABLE 2: </w:t>
      </w:r>
      <w:r w:rsidR="001D1622">
        <w:rPr>
          <w:rFonts w:ascii="Arial" w:hAnsi="Arial" w:cs="Arial"/>
          <w:b/>
          <w:color w:val="000000"/>
          <w:sz w:val="20"/>
          <w:szCs w:val="20"/>
        </w:rPr>
        <w:t>The table shows the interpretation of the FGSI (Fournier’s Gangrene Severity Index). Here the score is +2 score, so FGSI score &lt; or= 9 suggests a higher likelihood of survival.</w:t>
      </w:r>
    </w:p>
    <w:p w14:paraId="71297606" w14:textId="48420BE4" w:rsidR="007763F0" w:rsidRPr="00CA67BA" w:rsidRDefault="00CA67BA" w:rsidP="00094158">
      <w:pPr>
        <w:pStyle w:val="NormalWeb"/>
        <w:numPr>
          <w:ilvl w:val="0"/>
          <w:numId w:val="3"/>
        </w:numPr>
        <w:spacing w:before="0" w:beforeAutospacing="0" w:after="0" w:afterAutospacing="0"/>
        <w:jc w:val="both"/>
        <w:rPr>
          <w:rFonts w:ascii="Arial" w:hAnsi="Arial" w:cs="Arial"/>
          <w:b/>
          <w:color w:val="000000"/>
          <w:sz w:val="22"/>
          <w:szCs w:val="22"/>
        </w:rPr>
      </w:pPr>
      <w:r w:rsidRPr="00CA67BA">
        <w:rPr>
          <w:rFonts w:ascii="Arial" w:hAnsi="Arial" w:cs="Arial"/>
          <w:b/>
          <w:color w:val="000000"/>
          <w:sz w:val="22"/>
          <w:szCs w:val="22"/>
        </w:rPr>
        <w:t>CONCLUSION</w:t>
      </w:r>
      <w:r w:rsidR="007763F0" w:rsidRPr="00CA67BA">
        <w:rPr>
          <w:rFonts w:ascii="Arial" w:hAnsi="Arial" w:cs="Arial"/>
          <w:b/>
          <w:color w:val="000000"/>
          <w:sz w:val="22"/>
          <w:szCs w:val="22"/>
        </w:rPr>
        <w:t>:</w:t>
      </w:r>
    </w:p>
    <w:p w14:paraId="05544EB9" w14:textId="250142FD" w:rsidR="007763F0" w:rsidRDefault="007763F0" w:rsidP="00094158">
      <w:pPr>
        <w:pStyle w:val="NormalWeb"/>
        <w:spacing w:before="0" w:beforeAutospacing="0" w:after="240"/>
        <w:jc w:val="both"/>
        <w:rPr>
          <w:rFonts w:ascii="Arial" w:hAnsi="Arial" w:cs="Arial"/>
          <w:color w:val="000000"/>
          <w:sz w:val="20"/>
          <w:szCs w:val="20"/>
        </w:rPr>
      </w:pPr>
      <w:r w:rsidRPr="003C3794">
        <w:rPr>
          <w:rFonts w:ascii="Arial" w:hAnsi="Arial" w:cs="Arial"/>
          <w:color w:val="000000"/>
          <w:sz w:val="20"/>
          <w:szCs w:val="20"/>
        </w:rPr>
        <w:t>Fournier's gangrene is still a potentially fatal surgical emergency that progresses quickly and has a high death rate, especially in patients who have underlying comorbidities like diabetes mellitus. The case highlights the vital significance of extensive supportive care, broad-spectrum antibiotic therapy, early detection, and swift and forceful surgical debridement. Even though results have improved due to developments in imaging, wound care, and adjuvant therapy like hyperbaric oxygen, prognosis is still greatly impacted by delays in diagnosis and treatment. Future studies should concentrate on creating uniform treatment plans, enhancing early detection diagnostic instruments, and investigating cutting-edge antimicrobial tactics to counteract growing resistance. For individuals with this debilitating illness, a multidisciplinary approach is still crucial to increasing survival and lowering morbidity.</w:t>
      </w:r>
    </w:p>
    <w:p w14:paraId="3C73B1C3" w14:textId="3D77551D" w:rsidR="00D02F9F" w:rsidRDefault="00D02F9F">
      <w:pPr>
        <w:rPr>
          <w:rFonts w:ascii="Arial" w:eastAsia="Times New Roman" w:hAnsi="Arial" w:cs="Arial"/>
          <w:color w:val="000000"/>
          <w:sz w:val="20"/>
          <w:szCs w:val="20"/>
          <w:lang w:eastAsia="en-IN"/>
        </w:rPr>
      </w:pPr>
      <w:r>
        <w:rPr>
          <w:rFonts w:ascii="Arial" w:hAnsi="Arial" w:cs="Arial"/>
          <w:color w:val="000000"/>
          <w:sz w:val="20"/>
          <w:szCs w:val="20"/>
        </w:rPr>
        <w:br w:type="page"/>
      </w:r>
    </w:p>
    <w:p w14:paraId="463BCFE8" w14:textId="77777777" w:rsidR="00D02F9F" w:rsidRPr="009C5487" w:rsidRDefault="00D02F9F" w:rsidP="00D02F9F">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lastRenderedPageBreak/>
        <w:t>Disclaimer (Artificial intelligence)</w:t>
      </w:r>
    </w:p>
    <w:p w14:paraId="7FA3DD68"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C71CEB9"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514776F"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3D36AA33"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2C4E4D"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FC4CFC4" w14:textId="3521386A"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8757A1">
        <w:rPr>
          <w:rFonts w:ascii="Calibri" w:eastAsia="Calibri" w:hAnsi="Calibri" w:cs="Times New Roman"/>
          <w:kern w:val="2"/>
          <w:highlight w:val="yellow"/>
          <w:lang w:val="en-US"/>
        </w:rPr>
        <w:t>NIL</w:t>
      </w:r>
    </w:p>
    <w:p w14:paraId="7C636C57" w14:textId="77777777" w:rsidR="00D02F9F" w:rsidRPr="009C5487" w:rsidRDefault="00D02F9F" w:rsidP="00D02F9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D403327" w14:textId="77777777" w:rsidR="00D02F9F" w:rsidRPr="009C5487" w:rsidRDefault="00D02F9F" w:rsidP="00D02F9F">
      <w:pPr>
        <w:rPr>
          <w:rFonts w:ascii="Calibri" w:eastAsia="Calibri" w:hAnsi="Calibri" w:cs="Times New Roman"/>
          <w:kern w:val="2"/>
          <w:lang w:val="en-US"/>
        </w:rPr>
      </w:pPr>
      <w:bookmarkStart w:id="6" w:name="_Hlk197682629"/>
      <w:bookmarkEnd w:id="3"/>
      <w:r w:rsidRPr="009C5487">
        <w:rPr>
          <w:rFonts w:ascii="Calibri" w:eastAsia="Calibri" w:hAnsi="Calibri" w:cs="Times New Roman"/>
          <w:kern w:val="2"/>
          <w:highlight w:val="yellow"/>
          <w:lang w:val="en-US"/>
        </w:rPr>
        <w:t>3.</w:t>
      </w:r>
    </w:p>
    <w:bookmarkEnd w:id="4"/>
    <w:bookmarkEnd w:id="5"/>
    <w:bookmarkEnd w:id="6"/>
    <w:p w14:paraId="26091A1F" w14:textId="77777777" w:rsidR="00D02F9F" w:rsidRPr="003C3794" w:rsidRDefault="00D02F9F" w:rsidP="00094158">
      <w:pPr>
        <w:pStyle w:val="NormalWeb"/>
        <w:spacing w:before="0" w:beforeAutospacing="0" w:after="240"/>
        <w:jc w:val="both"/>
        <w:rPr>
          <w:rFonts w:ascii="Arial" w:hAnsi="Arial" w:cs="Arial"/>
          <w:color w:val="000000"/>
          <w:sz w:val="20"/>
          <w:szCs w:val="20"/>
        </w:rPr>
      </w:pPr>
    </w:p>
    <w:p w14:paraId="6020723A" w14:textId="655C82D5" w:rsidR="00E23A75" w:rsidRPr="00CA67BA" w:rsidRDefault="00CA67BA" w:rsidP="00184D8B">
      <w:pPr>
        <w:pStyle w:val="NormalWeb"/>
        <w:numPr>
          <w:ilvl w:val="0"/>
          <w:numId w:val="3"/>
        </w:numPr>
        <w:spacing w:before="0" w:beforeAutospacing="0" w:after="240" w:afterAutospacing="0"/>
        <w:jc w:val="both"/>
        <w:rPr>
          <w:rFonts w:ascii="Arial" w:hAnsi="Arial" w:cs="Arial"/>
          <w:b/>
          <w:color w:val="000000"/>
          <w:sz w:val="22"/>
          <w:szCs w:val="22"/>
        </w:rPr>
      </w:pPr>
      <w:r w:rsidRPr="00CA67BA">
        <w:rPr>
          <w:rFonts w:ascii="Arial" w:hAnsi="Arial" w:cs="Arial"/>
          <w:b/>
          <w:color w:val="000000"/>
          <w:sz w:val="22"/>
          <w:szCs w:val="22"/>
        </w:rPr>
        <w:t>COMPETING INTEREST</w:t>
      </w:r>
      <w:r w:rsidRPr="003C3794">
        <w:rPr>
          <w:rFonts w:ascii="Arial" w:hAnsi="Arial" w:cs="Arial"/>
          <w:b/>
          <w:color w:val="000000"/>
          <w:sz w:val="20"/>
          <w:szCs w:val="20"/>
        </w:rPr>
        <w:t>:</w:t>
      </w:r>
      <w:r w:rsidR="00E23A75" w:rsidRPr="003C3794">
        <w:rPr>
          <w:rFonts w:ascii="Arial" w:hAnsi="Arial" w:cs="Arial"/>
          <w:b/>
          <w:color w:val="000000"/>
          <w:sz w:val="20"/>
          <w:szCs w:val="20"/>
        </w:rPr>
        <w:t xml:space="preserve"> </w:t>
      </w:r>
      <w:r w:rsidR="00E23A75" w:rsidRPr="003C3794">
        <w:rPr>
          <w:rFonts w:ascii="Arial" w:hAnsi="Arial" w:cs="Arial"/>
          <w:color w:val="000000"/>
          <w:sz w:val="20"/>
          <w:szCs w:val="20"/>
        </w:rPr>
        <w:t>Nil</w:t>
      </w:r>
    </w:p>
    <w:p w14:paraId="5E98F677" w14:textId="11E8B33E" w:rsidR="00E23A75" w:rsidRPr="00CA67BA" w:rsidRDefault="00CA67BA" w:rsidP="00184D8B">
      <w:pPr>
        <w:pStyle w:val="NormalWeb"/>
        <w:numPr>
          <w:ilvl w:val="0"/>
          <w:numId w:val="3"/>
        </w:numPr>
        <w:spacing w:before="0" w:beforeAutospacing="0" w:after="240" w:afterAutospacing="0"/>
        <w:jc w:val="both"/>
        <w:rPr>
          <w:rFonts w:ascii="Arial" w:hAnsi="Arial" w:cs="Arial"/>
          <w:b/>
          <w:color w:val="000000"/>
          <w:sz w:val="22"/>
          <w:szCs w:val="22"/>
        </w:rPr>
      </w:pPr>
      <w:r w:rsidRPr="00CA67BA">
        <w:rPr>
          <w:rFonts w:ascii="Arial" w:hAnsi="Arial" w:cs="Arial"/>
          <w:b/>
          <w:color w:val="000000"/>
          <w:sz w:val="22"/>
          <w:szCs w:val="22"/>
        </w:rPr>
        <w:t>ETHICAL APPROVAL</w:t>
      </w:r>
      <w:r w:rsidR="00E23A75" w:rsidRPr="00CA67BA">
        <w:rPr>
          <w:rFonts w:ascii="Arial" w:hAnsi="Arial" w:cs="Arial"/>
          <w:b/>
          <w:color w:val="000000"/>
          <w:sz w:val="22"/>
          <w:szCs w:val="22"/>
        </w:rPr>
        <w:t xml:space="preserve">: </w:t>
      </w:r>
      <w:r w:rsidR="00E23A75" w:rsidRPr="003C3794">
        <w:rPr>
          <w:rFonts w:ascii="Arial" w:hAnsi="Arial" w:cs="Arial"/>
          <w:color w:val="000000"/>
          <w:sz w:val="20"/>
          <w:szCs w:val="20"/>
        </w:rPr>
        <w:t>Nil</w:t>
      </w:r>
    </w:p>
    <w:p w14:paraId="0BC3DE2C" w14:textId="47CC093A" w:rsidR="00DE5E72" w:rsidRPr="00CA67BA" w:rsidRDefault="00CA67BA" w:rsidP="00E23A75">
      <w:pPr>
        <w:pStyle w:val="NormalWeb"/>
        <w:numPr>
          <w:ilvl w:val="0"/>
          <w:numId w:val="3"/>
        </w:numPr>
        <w:spacing w:after="0" w:afterAutospacing="0"/>
        <w:jc w:val="both"/>
        <w:rPr>
          <w:rFonts w:ascii="Arial" w:hAnsi="Arial" w:cs="Arial"/>
          <w:b/>
          <w:color w:val="000000"/>
          <w:sz w:val="22"/>
          <w:szCs w:val="22"/>
        </w:rPr>
      </w:pPr>
      <w:r w:rsidRPr="00CA67BA">
        <w:rPr>
          <w:rFonts w:ascii="Arial" w:hAnsi="Arial" w:cs="Arial"/>
          <w:b/>
          <w:color w:val="000000"/>
          <w:sz w:val="22"/>
          <w:szCs w:val="22"/>
        </w:rPr>
        <w:t>REFERENCES:</w:t>
      </w:r>
    </w:p>
    <w:p w14:paraId="0EB5A82B" w14:textId="77777777" w:rsidR="00184D8B" w:rsidRPr="00184D8B" w:rsidRDefault="00184D8B" w:rsidP="003C3794">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Mishra, S. P., Singh, S., &amp; Gupta, S. K. (2013). Necrotizing soft tissue infections: surgeon’s prospective. </w:t>
      </w:r>
      <w:r>
        <w:rPr>
          <w:rFonts w:ascii="Arial" w:hAnsi="Arial" w:cs="Arial"/>
          <w:i/>
          <w:iCs/>
          <w:color w:val="222222"/>
          <w:sz w:val="20"/>
          <w:szCs w:val="20"/>
          <w:shd w:val="clear" w:color="auto" w:fill="FFFFFF"/>
        </w:rPr>
        <w:t>International journal of inflammation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2013</w:t>
      </w:r>
      <w:r>
        <w:rPr>
          <w:rFonts w:ascii="Arial" w:hAnsi="Arial" w:cs="Arial"/>
          <w:color w:val="222222"/>
          <w:sz w:val="20"/>
          <w:szCs w:val="20"/>
          <w:shd w:val="clear" w:color="auto" w:fill="FFFFFF"/>
        </w:rPr>
        <w:t>(1), 609628.</w:t>
      </w:r>
    </w:p>
    <w:p w14:paraId="14C4A4F3" w14:textId="4FDDDF63" w:rsidR="00DE5E72" w:rsidRPr="003C3794" w:rsidRDefault="00184D8B" w:rsidP="003C3794">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Joury, A., Mahendra, A., Alshehri, M., &amp; Downing, A. (2019). Extensive necrotizing fasciitis from Fournier's gangrene. </w:t>
      </w:r>
      <w:r>
        <w:rPr>
          <w:rFonts w:ascii="Arial" w:hAnsi="Arial" w:cs="Arial"/>
          <w:i/>
          <w:iCs/>
          <w:color w:val="222222"/>
          <w:sz w:val="20"/>
          <w:szCs w:val="20"/>
          <w:shd w:val="clear" w:color="auto" w:fill="FFFFFF"/>
        </w:rPr>
        <w:t>Urology Case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100943.</w:t>
      </w:r>
      <w:r w:rsidR="00DE5E72" w:rsidRPr="003C3794">
        <w:rPr>
          <w:rFonts w:ascii="Arial" w:hAnsi="Arial" w:cs="Arial"/>
          <w:color w:val="000000"/>
          <w:sz w:val="20"/>
          <w:szCs w:val="20"/>
        </w:rPr>
        <w:t>doi: 10.1016/j.eucr.2019.100943. PMID: 31236328; PMCID: PMC6582197.</w:t>
      </w:r>
    </w:p>
    <w:p w14:paraId="529FE820" w14:textId="77777777" w:rsidR="00DE5E72" w:rsidRPr="003C3794" w:rsidRDefault="00DE5E72" w:rsidP="003C3794">
      <w:pPr>
        <w:pStyle w:val="NormalWeb"/>
        <w:numPr>
          <w:ilvl w:val="0"/>
          <w:numId w:val="2"/>
        </w:numPr>
        <w:spacing w:before="0" w:beforeAutospacing="0" w:after="240"/>
        <w:jc w:val="both"/>
        <w:rPr>
          <w:rFonts w:ascii="Arial" w:hAnsi="Arial" w:cs="Arial"/>
          <w:color w:val="000000"/>
          <w:sz w:val="20"/>
          <w:szCs w:val="20"/>
        </w:rPr>
      </w:pPr>
      <w:r w:rsidRPr="003C3794">
        <w:rPr>
          <w:rFonts w:ascii="Arial" w:hAnsi="Arial" w:cs="Arial"/>
          <w:color w:val="000000"/>
          <w:sz w:val="20"/>
          <w:szCs w:val="20"/>
        </w:rPr>
        <w:t xml:space="preserve">Leslie SW, Foreman J. Fournier Gangrene. [Updated 2025 Feb 15]. In: StatPearls [Internet]. Treasure Island (FL): StatPearls Publishing; 2025 Jan-. </w:t>
      </w:r>
    </w:p>
    <w:p w14:paraId="037793BE" w14:textId="523D2ECB" w:rsidR="00EE2CF1" w:rsidRPr="00C00649" w:rsidRDefault="00EE2CF1" w:rsidP="00EE2CF1">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Chawla, S. N., Crispen, P. L., Hanlon, A. L., Greenberg, R. E., Chen, D. Y., &amp; Uzzo, R. G. (2006). The natural history of observed enhancing renal masses: meta-analysis and review of the world literature. </w:t>
      </w:r>
      <w:r>
        <w:rPr>
          <w:rFonts w:ascii="Arial" w:hAnsi="Arial" w:cs="Arial"/>
          <w:i/>
          <w:iCs/>
          <w:color w:val="222222"/>
          <w:sz w:val="20"/>
          <w:szCs w:val="20"/>
          <w:shd w:val="clear" w:color="auto" w:fill="FFFFFF"/>
        </w:rPr>
        <w:t>The Journal of 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175</w:t>
      </w:r>
      <w:r>
        <w:rPr>
          <w:rFonts w:ascii="Arial" w:hAnsi="Arial" w:cs="Arial"/>
          <w:color w:val="222222"/>
          <w:sz w:val="20"/>
          <w:szCs w:val="20"/>
          <w:shd w:val="clear" w:color="auto" w:fill="FFFFFF"/>
        </w:rPr>
        <w:t>(2), 425-431.</w:t>
      </w:r>
    </w:p>
    <w:p w14:paraId="10390315" w14:textId="619939D4" w:rsidR="00C00649" w:rsidRPr="00C65409" w:rsidRDefault="00C00649" w:rsidP="00EE2CF1">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Wong, C. H., Khin, L. W., Heng, K. S., Tan, K. C., &amp; Low, C. O. (2004). The LRINEC (</w:t>
      </w:r>
      <w:r w:rsidR="00747438">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Laboratory Risk Indicator for Necrotizing Fasciitis) score: a tool for distinguishing necrotizing fasciitis from other soft tissue infections. </w:t>
      </w:r>
      <w:r>
        <w:rPr>
          <w:rFonts w:ascii="Arial" w:hAnsi="Arial" w:cs="Arial"/>
          <w:i/>
          <w:iCs/>
          <w:color w:val="222222"/>
          <w:sz w:val="20"/>
          <w:szCs w:val="20"/>
          <w:shd w:val="clear" w:color="auto" w:fill="FFFFFF"/>
        </w:rPr>
        <w:t>Critical care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(7), 1535-1541.</w:t>
      </w:r>
    </w:p>
    <w:p w14:paraId="230B2B29" w14:textId="51248B3A" w:rsidR="00C65409" w:rsidRPr="004A6CAF" w:rsidRDefault="00C65409" w:rsidP="00EE2CF1">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 xml:space="preserve">Laor, E., Palmer, L. S., Tolia, B. M., Reid, R. E., &amp; Winter, H. I. (1995). Outcome prediction in </w:t>
      </w:r>
      <w:r w:rsidR="00A53D8C">
        <w:rPr>
          <w:rFonts w:ascii="Arial" w:hAnsi="Arial" w:cs="Arial"/>
          <w:color w:val="222222"/>
          <w:sz w:val="20"/>
          <w:szCs w:val="20"/>
          <w:shd w:val="clear" w:color="auto" w:fill="FFFFFF"/>
        </w:rPr>
        <w:t>N</w:t>
      </w:r>
      <w:r>
        <w:rPr>
          <w:rFonts w:ascii="Arial" w:hAnsi="Arial" w:cs="Arial"/>
          <w:color w:val="222222"/>
          <w:sz w:val="20"/>
          <w:szCs w:val="20"/>
          <w:shd w:val="clear" w:color="auto" w:fill="FFFFFF"/>
        </w:rPr>
        <w:t>patients with Fournier's gangrene. </w:t>
      </w:r>
      <w:r>
        <w:rPr>
          <w:rFonts w:ascii="Arial" w:hAnsi="Arial" w:cs="Arial"/>
          <w:i/>
          <w:iCs/>
          <w:color w:val="222222"/>
          <w:sz w:val="20"/>
          <w:szCs w:val="20"/>
          <w:shd w:val="clear" w:color="auto" w:fill="FFFFFF"/>
        </w:rPr>
        <w:t>The Journal of 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154</w:t>
      </w:r>
      <w:r>
        <w:rPr>
          <w:rFonts w:ascii="Arial" w:hAnsi="Arial" w:cs="Arial"/>
          <w:color w:val="222222"/>
          <w:sz w:val="20"/>
          <w:szCs w:val="20"/>
          <w:shd w:val="clear" w:color="auto" w:fill="FFFFFF"/>
        </w:rPr>
        <w:t>(1), 89-92.</w:t>
      </w:r>
    </w:p>
    <w:p w14:paraId="01FE233D" w14:textId="7BEC9C58" w:rsidR="004A6CAF" w:rsidRPr="0008222F" w:rsidRDefault="004A6CAF" w:rsidP="00EE2CF1">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Eke, N. (2000). Fournier's gangrene: a review of 1726 cases. </w:t>
      </w:r>
      <w:r>
        <w:rPr>
          <w:rFonts w:ascii="Arial" w:hAnsi="Arial" w:cs="Arial"/>
          <w:i/>
          <w:iCs/>
          <w:color w:val="222222"/>
          <w:sz w:val="20"/>
          <w:szCs w:val="20"/>
          <w:shd w:val="clear" w:color="auto" w:fill="FFFFFF"/>
        </w:rPr>
        <w:t>British journal of Surgery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87</w:t>
      </w:r>
      <w:r>
        <w:rPr>
          <w:rFonts w:ascii="Arial" w:hAnsi="Arial" w:cs="Arial"/>
          <w:color w:val="222222"/>
          <w:sz w:val="20"/>
          <w:szCs w:val="20"/>
          <w:shd w:val="clear" w:color="auto" w:fill="FFFFFF"/>
        </w:rPr>
        <w:t>(6), 718-728.</w:t>
      </w:r>
    </w:p>
    <w:p w14:paraId="743B8205" w14:textId="06B509B8" w:rsidR="0008222F" w:rsidRPr="00184D8B" w:rsidRDefault="0008222F" w:rsidP="00EE2CF1">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Auerbach, J., Bornstein, K., Ramzy, M., Cabrera, J., Montrief, T., &amp; Long, B. (2020). Fournier gangrene in the emergency department: diagnostic dilemmas, treatments and current perspectives. </w:t>
      </w:r>
      <w:r>
        <w:rPr>
          <w:rFonts w:ascii="Arial" w:hAnsi="Arial" w:cs="Arial"/>
          <w:i/>
          <w:iCs/>
          <w:color w:val="222222"/>
          <w:sz w:val="20"/>
          <w:szCs w:val="20"/>
          <w:shd w:val="clear" w:color="auto" w:fill="FFFFFF"/>
        </w:rPr>
        <w:t>Open access emergency medicine</w:t>
      </w:r>
      <w:r>
        <w:rPr>
          <w:rFonts w:ascii="Arial" w:hAnsi="Arial" w:cs="Arial"/>
          <w:color w:val="222222"/>
          <w:sz w:val="20"/>
          <w:szCs w:val="20"/>
          <w:shd w:val="clear" w:color="auto" w:fill="FFFFFF"/>
        </w:rPr>
        <w:t>, 353-364.</w:t>
      </w:r>
    </w:p>
    <w:p w14:paraId="497B73A2" w14:textId="77777777" w:rsidR="00184D8B" w:rsidRDefault="00184D8B" w:rsidP="00184D8B">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Sorensen, M. D., Krieger, J. N., Rivara, F. P., Broghammer, J. A., Klein, M. B., Mack, C. D., &amp; Wessells, H. (2009). Fournier's Gangrene: population based epidemiology and outcomes. </w:t>
      </w:r>
      <w:r>
        <w:rPr>
          <w:rFonts w:ascii="Arial" w:hAnsi="Arial" w:cs="Arial"/>
          <w:i/>
          <w:iCs/>
          <w:color w:val="222222"/>
          <w:sz w:val="20"/>
          <w:szCs w:val="20"/>
          <w:shd w:val="clear" w:color="auto" w:fill="FFFFFF"/>
        </w:rPr>
        <w:t>The Journal of 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181</w:t>
      </w:r>
      <w:r>
        <w:rPr>
          <w:rFonts w:ascii="Arial" w:hAnsi="Arial" w:cs="Arial"/>
          <w:color w:val="222222"/>
          <w:sz w:val="20"/>
          <w:szCs w:val="20"/>
          <w:shd w:val="clear" w:color="auto" w:fill="FFFFFF"/>
        </w:rPr>
        <w:t>(5), 2120-2126.</w:t>
      </w:r>
      <w:r w:rsidR="00DE5E72" w:rsidRPr="003C3794">
        <w:rPr>
          <w:rFonts w:ascii="Arial" w:hAnsi="Arial" w:cs="Arial"/>
          <w:color w:val="000000"/>
          <w:sz w:val="20"/>
          <w:szCs w:val="20"/>
        </w:rPr>
        <w:t xml:space="preserve"> doi: 10.1016/j.juro.2009.01.034. Epub 2009 Mar 14. PMID: 19286224; PMCID: PMC3042351.</w:t>
      </w:r>
    </w:p>
    <w:p w14:paraId="62B19DA2" w14:textId="543CAE51" w:rsidR="00DE5E72" w:rsidRDefault="00184D8B" w:rsidP="00184D8B">
      <w:pPr>
        <w:pStyle w:val="NormalWeb"/>
        <w:numPr>
          <w:ilvl w:val="0"/>
          <w:numId w:val="2"/>
        </w:numPr>
        <w:spacing w:before="0" w:beforeAutospacing="0" w:after="240"/>
        <w:jc w:val="both"/>
        <w:rPr>
          <w:rFonts w:ascii="Arial" w:hAnsi="Arial" w:cs="Arial"/>
          <w:color w:val="000000"/>
          <w:sz w:val="20"/>
          <w:szCs w:val="20"/>
        </w:rPr>
      </w:pPr>
      <w:r w:rsidRPr="00184D8B">
        <w:rPr>
          <w:rFonts w:ascii="Arial" w:hAnsi="Arial" w:cs="Arial"/>
          <w:color w:val="000000"/>
          <w:sz w:val="20"/>
          <w:szCs w:val="20"/>
        </w:rPr>
        <w:t>Yılmazlar, T., Öztürk, E., Özgüç, H. B., Ercan, İ., Vuruşkan, H., &amp; Oktay, B. (2010). Fournier's gangrene: An analysis of 80 patients and a novel scoring system.</w:t>
      </w:r>
      <w:r w:rsidR="00DE5E72" w:rsidRPr="00184D8B">
        <w:rPr>
          <w:rFonts w:ascii="Arial" w:hAnsi="Arial" w:cs="Arial"/>
          <w:color w:val="000000"/>
          <w:sz w:val="20"/>
          <w:szCs w:val="20"/>
        </w:rPr>
        <w:t>doi: 10.1007/s10151-010-0592-1. Epub 2010 Jun 18. PMID: 20559857.</w:t>
      </w:r>
    </w:p>
    <w:p w14:paraId="36F83391" w14:textId="2CFDE90C" w:rsidR="00C65409" w:rsidRDefault="00C65409" w:rsidP="00184D8B">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lastRenderedPageBreak/>
        <w:t>Doluoğlu, Ö. G., Karagöz, M. A., Kılınç, M. F., Karakan, T., Yücetürk, C. N., Sarıcı, H., ... &amp; Eroğlu, M. (2016). Overview of different scoring systems in Fournier’s gangrene and assessment of prognostic factors. </w:t>
      </w:r>
      <w:r>
        <w:rPr>
          <w:rFonts w:ascii="Arial" w:hAnsi="Arial" w:cs="Arial"/>
          <w:i/>
          <w:iCs/>
          <w:color w:val="222222"/>
          <w:sz w:val="20"/>
          <w:szCs w:val="20"/>
          <w:shd w:val="clear" w:color="auto" w:fill="FFFFFF"/>
        </w:rPr>
        <w:t>Turkish journal of 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(3), 190.</w:t>
      </w:r>
    </w:p>
    <w:p w14:paraId="6013D7E1" w14:textId="77777777" w:rsidR="00DE5E72" w:rsidRPr="003C3794" w:rsidRDefault="00DE5E72" w:rsidP="003C3794">
      <w:pPr>
        <w:pStyle w:val="NormalWeb"/>
        <w:spacing w:before="0" w:beforeAutospacing="0" w:after="240"/>
        <w:jc w:val="both"/>
        <w:rPr>
          <w:rFonts w:ascii="Arial" w:hAnsi="Arial" w:cs="Arial"/>
          <w:color w:val="000000"/>
          <w:sz w:val="20"/>
          <w:szCs w:val="20"/>
        </w:rPr>
      </w:pPr>
    </w:p>
    <w:p w14:paraId="0603B3DE" w14:textId="77777777" w:rsidR="007763F0" w:rsidRDefault="007763F0" w:rsidP="00094158">
      <w:pPr>
        <w:pStyle w:val="NormalWeb"/>
        <w:spacing w:before="0" w:beforeAutospacing="0" w:after="240"/>
        <w:jc w:val="both"/>
        <w:rPr>
          <w:color w:val="000000"/>
        </w:rPr>
      </w:pPr>
    </w:p>
    <w:p w14:paraId="3EFF8B25" w14:textId="77777777" w:rsidR="007763F0" w:rsidRDefault="007763F0" w:rsidP="00094158">
      <w:pPr>
        <w:pStyle w:val="NormalWeb"/>
        <w:spacing w:after="240"/>
        <w:jc w:val="both"/>
        <w:rPr>
          <w:color w:val="000000"/>
        </w:rPr>
      </w:pPr>
    </w:p>
    <w:p w14:paraId="341684AF" w14:textId="77777777" w:rsidR="007763F0" w:rsidRDefault="007763F0" w:rsidP="00094158">
      <w:pPr>
        <w:pStyle w:val="NormalWeb"/>
        <w:spacing w:after="240"/>
        <w:jc w:val="both"/>
        <w:rPr>
          <w:color w:val="000000"/>
        </w:rPr>
      </w:pPr>
    </w:p>
    <w:p w14:paraId="531EC620" w14:textId="77777777" w:rsidR="006728E3" w:rsidRDefault="006728E3" w:rsidP="00094158">
      <w:pPr>
        <w:pStyle w:val="NormalWeb"/>
        <w:spacing w:after="240"/>
        <w:jc w:val="both"/>
        <w:rPr>
          <w:color w:val="000000"/>
        </w:rPr>
      </w:pPr>
    </w:p>
    <w:p w14:paraId="072BCED9" w14:textId="77777777" w:rsidR="004A62D2" w:rsidRPr="002A6B28" w:rsidRDefault="004A62D2" w:rsidP="00094158">
      <w:pPr>
        <w:pStyle w:val="NormalWeb"/>
        <w:spacing w:after="240"/>
        <w:jc w:val="both"/>
        <w:rPr>
          <w:color w:val="000000"/>
        </w:rPr>
      </w:pPr>
    </w:p>
    <w:p w14:paraId="4BE75881" w14:textId="77777777" w:rsidR="009123F5" w:rsidRPr="009123F5" w:rsidRDefault="009123F5" w:rsidP="00094158">
      <w:pPr>
        <w:pStyle w:val="NormalWeb"/>
        <w:spacing w:before="0" w:beforeAutospacing="0" w:after="240" w:afterAutospacing="0"/>
        <w:jc w:val="both"/>
      </w:pPr>
    </w:p>
    <w:p w14:paraId="2EE07AD1" w14:textId="69DE7A11" w:rsidR="009123F5" w:rsidRPr="009123F5" w:rsidRDefault="009123F5" w:rsidP="00094158">
      <w:pPr>
        <w:pStyle w:val="NormalWeb"/>
        <w:spacing w:before="0" w:beforeAutospacing="0" w:after="240" w:afterAutospacing="0"/>
        <w:jc w:val="both"/>
      </w:pPr>
    </w:p>
    <w:p w14:paraId="509F60D0" w14:textId="479A3DC9" w:rsidR="00F32387" w:rsidRPr="00F32387" w:rsidRDefault="00F32387" w:rsidP="00094158">
      <w:pPr>
        <w:pStyle w:val="NormalWeb"/>
        <w:spacing w:before="0" w:beforeAutospacing="0" w:after="240" w:afterAutospacing="0"/>
        <w:jc w:val="both"/>
      </w:pPr>
    </w:p>
    <w:p w14:paraId="785FFFFE" w14:textId="726A0FD0" w:rsidR="00FD7E33" w:rsidRPr="00CA38F6" w:rsidRDefault="00F32387" w:rsidP="00094158">
      <w:pPr>
        <w:tabs>
          <w:tab w:val="left" w:pos="36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7" w:name="_GoBack"/>
      <w:bookmarkEnd w:id="0"/>
      <w:bookmarkEnd w:id="7"/>
    </w:p>
    <w:sectPr w:rsidR="00FD7E33" w:rsidRPr="00CA38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160C" w14:textId="77777777" w:rsidR="00E817C4" w:rsidRDefault="00E817C4" w:rsidP="004B4704">
      <w:pPr>
        <w:spacing w:after="0" w:line="240" w:lineRule="auto"/>
      </w:pPr>
      <w:r>
        <w:separator/>
      </w:r>
    </w:p>
  </w:endnote>
  <w:endnote w:type="continuationSeparator" w:id="0">
    <w:p w14:paraId="2D02E2A9" w14:textId="77777777" w:rsidR="00E817C4" w:rsidRDefault="00E817C4" w:rsidP="004B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6A20" w14:textId="77777777" w:rsidR="00EE235D" w:rsidRDefault="00EE2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450B" w14:textId="77777777" w:rsidR="00EE235D" w:rsidRDefault="00EE2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DC30" w14:textId="77777777" w:rsidR="00EE235D" w:rsidRDefault="00EE2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13BF" w14:textId="77777777" w:rsidR="00E817C4" w:rsidRDefault="00E817C4" w:rsidP="004B4704">
      <w:pPr>
        <w:spacing w:after="0" w:line="240" w:lineRule="auto"/>
      </w:pPr>
      <w:r>
        <w:separator/>
      </w:r>
    </w:p>
  </w:footnote>
  <w:footnote w:type="continuationSeparator" w:id="0">
    <w:p w14:paraId="0B0C8703" w14:textId="77777777" w:rsidR="00E817C4" w:rsidRDefault="00E817C4" w:rsidP="004B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158F" w14:textId="02CF51DE" w:rsidR="00EE235D" w:rsidRDefault="00E817C4">
    <w:pPr>
      <w:pStyle w:val="Header"/>
    </w:pPr>
    <w:r>
      <w:rPr>
        <w:noProof/>
      </w:rPr>
      <w:pict w14:anchorId="50590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1" o:spid="_x0000_s2051"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7C06" w14:textId="4A73C39B" w:rsidR="00EE235D" w:rsidRDefault="00E817C4">
    <w:pPr>
      <w:pStyle w:val="Header"/>
    </w:pPr>
    <w:r>
      <w:rPr>
        <w:noProof/>
      </w:rPr>
      <w:pict w14:anchorId="06782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2" o:spid="_x0000_s2050"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B718" w14:textId="567EC77F" w:rsidR="00EE235D" w:rsidRDefault="00E817C4">
    <w:pPr>
      <w:pStyle w:val="Header"/>
    </w:pPr>
    <w:r>
      <w:rPr>
        <w:noProof/>
      </w:rPr>
      <w:pict w14:anchorId="194A6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0" o:spid="_x0000_s2049"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807"/>
    <w:multiLevelType w:val="hybridMultilevel"/>
    <w:tmpl w:val="A3C40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275E58"/>
    <w:multiLevelType w:val="hybridMultilevel"/>
    <w:tmpl w:val="3C38C4B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 w15:restartNumberingAfterBreak="0">
    <w:nsid w:val="52292BF2"/>
    <w:multiLevelType w:val="hybridMultilevel"/>
    <w:tmpl w:val="FBA8DDB4"/>
    <w:lvl w:ilvl="0" w:tplc="BF3C005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86"/>
    <w:rsid w:val="00034247"/>
    <w:rsid w:val="0008222F"/>
    <w:rsid w:val="00091A67"/>
    <w:rsid w:val="00094158"/>
    <w:rsid w:val="000B7A42"/>
    <w:rsid w:val="000C5B04"/>
    <w:rsid w:val="000E2F5E"/>
    <w:rsid w:val="00130961"/>
    <w:rsid w:val="00160149"/>
    <w:rsid w:val="00170FFC"/>
    <w:rsid w:val="00182649"/>
    <w:rsid w:val="00184D8B"/>
    <w:rsid w:val="001D1622"/>
    <w:rsid w:val="001E53A0"/>
    <w:rsid w:val="002251AF"/>
    <w:rsid w:val="002633A1"/>
    <w:rsid w:val="00282497"/>
    <w:rsid w:val="00294892"/>
    <w:rsid w:val="002A6B28"/>
    <w:rsid w:val="002B4B50"/>
    <w:rsid w:val="003526D2"/>
    <w:rsid w:val="00353587"/>
    <w:rsid w:val="00377A16"/>
    <w:rsid w:val="003C3794"/>
    <w:rsid w:val="003D5F37"/>
    <w:rsid w:val="004A62D2"/>
    <w:rsid w:val="004A6CAF"/>
    <w:rsid w:val="004B4704"/>
    <w:rsid w:val="004F2FF2"/>
    <w:rsid w:val="005066EF"/>
    <w:rsid w:val="00520950"/>
    <w:rsid w:val="00547E8C"/>
    <w:rsid w:val="00591FA8"/>
    <w:rsid w:val="005A3FF6"/>
    <w:rsid w:val="00601BCF"/>
    <w:rsid w:val="00633C2C"/>
    <w:rsid w:val="006728E3"/>
    <w:rsid w:val="00727474"/>
    <w:rsid w:val="00747438"/>
    <w:rsid w:val="00771F76"/>
    <w:rsid w:val="007763F0"/>
    <w:rsid w:val="00781964"/>
    <w:rsid w:val="007A35CF"/>
    <w:rsid w:val="007C0B5A"/>
    <w:rsid w:val="007D4FC9"/>
    <w:rsid w:val="007E39CA"/>
    <w:rsid w:val="007E5E36"/>
    <w:rsid w:val="007F3D98"/>
    <w:rsid w:val="0081395D"/>
    <w:rsid w:val="008757A1"/>
    <w:rsid w:val="008A7DE3"/>
    <w:rsid w:val="008C3AE3"/>
    <w:rsid w:val="00902F3E"/>
    <w:rsid w:val="009123F5"/>
    <w:rsid w:val="00982DE2"/>
    <w:rsid w:val="00995EFF"/>
    <w:rsid w:val="009A3FFF"/>
    <w:rsid w:val="009A47B3"/>
    <w:rsid w:val="009C0F5A"/>
    <w:rsid w:val="009D1D18"/>
    <w:rsid w:val="00A53D8C"/>
    <w:rsid w:val="00AC39E3"/>
    <w:rsid w:val="00AE51FF"/>
    <w:rsid w:val="00B0279C"/>
    <w:rsid w:val="00B13B6C"/>
    <w:rsid w:val="00B14462"/>
    <w:rsid w:val="00BB2C9F"/>
    <w:rsid w:val="00BE2CF5"/>
    <w:rsid w:val="00BF7266"/>
    <w:rsid w:val="00C00649"/>
    <w:rsid w:val="00C1556D"/>
    <w:rsid w:val="00C229CE"/>
    <w:rsid w:val="00C2499F"/>
    <w:rsid w:val="00C65409"/>
    <w:rsid w:val="00C93D40"/>
    <w:rsid w:val="00CA38F6"/>
    <w:rsid w:val="00CA67BA"/>
    <w:rsid w:val="00CB70DF"/>
    <w:rsid w:val="00CC33C7"/>
    <w:rsid w:val="00CE61B0"/>
    <w:rsid w:val="00D00DFC"/>
    <w:rsid w:val="00D02F9F"/>
    <w:rsid w:val="00D54F94"/>
    <w:rsid w:val="00DE5E72"/>
    <w:rsid w:val="00E12834"/>
    <w:rsid w:val="00E23A75"/>
    <w:rsid w:val="00E817C4"/>
    <w:rsid w:val="00E96EA3"/>
    <w:rsid w:val="00EA0C01"/>
    <w:rsid w:val="00EE235D"/>
    <w:rsid w:val="00EE2CF1"/>
    <w:rsid w:val="00F1411A"/>
    <w:rsid w:val="00F16186"/>
    <w:rsid w:val="00F32387"/>
    <w:rsid w:val="00F34C64"/>
    <w:rsid w:val="00F373A7"/>
    <w:rsid w:val="00F52ABD"/>
    <w:rsid w:val="00F731BE"/>
    <w:rsid w:val="00F772C1"/>
    <w:rsid w:val="00F90D2B"/>
    <w:rsid w:val="00FD3E94"/>
    <w:rsid w:val="00FD7E33"/>
    <w:rsid w:val="00FE6C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D7D992"/>
  <w15:chartTrackingRefBased/>
  <w15:docId w15:val="{19E0C943-7758-4736-B744-04698D7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B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704"/>
  </w:style>
  <w:style w:type="paragraph" w:styleId="Footer">
    <w:name w:val="footer"/>
    <w:basedOn w:val="Normal"/>
    <w:link w:val="FooterChar"/>
    <w:uiPriority w:val="99"/>
    <w:unhideWhenUsed/>
    <w:rsid w:val="004B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704"/>
  </w:style>
  <w:style w:type="character" w:styleId="Hyperlink">
    <w:name w:val="Hyperlink"/>
    <w:basedOn w:val="DefaultParagraphFont"/>
    <w:uiPriority w:val="99"/>
    <w:unhideWhenUsed/>
    <w:rsid w:val="003526D2"/>
    <w:rPr>
      <w:color w:val="0563C1" w:themeColor="hyperlink"/>
      <w:u w:val="single"/>
    </w:rPr>
  </w:style>
  <w:style w:type="character" w:customStyle="1" w:styleId="UnresolvedMention1">
    <w:name w:val="Unresolved Mention1"/>
    <w:basedOn w:val="DefaultParagraphFont"/>
    <w:uiPriority w:val="99"/>
    <w:semiHidden/>
    <w:unhideWhenUsed/>
    <w:rsid w:val="003526D2"/>
    <w:rPr>
      <w:color w:val="605E5C"/>
      <w:shd w:val="clear" w:color="auto" w:fill="E1DFDD"/>
    </w:rPr>
  </w:style>
  <w:style w:type="paragraph" w:styleId="ListParagraph">
    <w:name w:val="List Paragraph"/>
    <w:basedOn w:val="Normal"/>
    <w:uiPriority w:val="34"/>
    <w:qFormat/>
    <w:rsid w:val="00094158"/>
    <w:pPr>
      <w:ind w:left="720"/>
      <w:contextualSpacing/>
    </w:pPr>
  </w:style>
  <w:style w:type="character" w:styleId="UnresolvedMention">
    <w:name w:val="Unresolved Mention"/>
    <w:basedOn w:val="DefaultParagraphFont"/>
    <w:uiPriority w:val="99"/>
    <w:semiHidden/>
    <w:unhideWhenUsed/>
    <w:rsid w:val="00547E8C"/>
    <w:rPr>
      <w:color w:val="605E5C"/>
      <w:shd w:val="clear" w:color="auto" w:fill="E1DFDD"/>
    </w:rPr>
  </w:style>
  <w:style w:type="table" w:styleId="TableGrid">
    <w:name w:val="Table Grid"/>
    <w:basedOn w:val="TableNormal"/>
    <w:uiPriority w:val="39"/>
    <w:rsid w:val="000B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029">
      <w:bodyDiv w:val="1"/>
      <w:marLeft w:val="0"/>
      <w:marRight w:val="0"/>
      <w:marTop w:val="0"/>
      <w:marBottom w:val="0"/>
      <w:divBdr>
        <w:top w:val="none" w:sz="0" w:space="0" w:color="auto"/>
        <w:left w:val="none" w:sz="0" w:space="0" w:color="auto"/>
        <w:bottom w:val="none" w:sz="0" w:space="0" w:color="auto"/>
        <w:right w:val="none" w:sz="0" w:space="0" w:color="auto"/>
      </w:divBdr>
    </w:div>
    <w:div w:id="51271224">
      <w:bodyDiv w:val="1"/>
      <w:marLeft w:val="0"/>
      <w:marRight w:val="0"/>
      <w:marTop w:val="0"/>
      <w:marBottom w:val="0"/>
      <w:divBdr>
        <w:top w:val="none" w:sz="0" w:space="0" w:color="auto"/>
        <w:left w:val="none" w:sz="0" w:space="0" w:color="auto"/>
        <w:bottom w:val="none" w:sz="0" w:space="0" w:color="auto"/>
        <w:right w:val="none" w:sz="0" w:space="0" w:color="auto"/>
      </w:divBdr>
    </w:div>
    <w:div w:id="83958163">
      <w:bodyDiv w:val="1"/>
      <w:marLeft w:val="0"/>
      <w:marRight w:val="0"/>
      <w:marTop w:val="0"/>
      <w:marBottom w:val="0"/>
      <w:divBdr>
        <w:top w:val="none" w:sz="0" w:space="0" w:color="auto"/>
        <w:left w:val="none" w:sz="0" w:space="0" w:color="auto"/>
        <w:bottom w:val="none" w:sz="0" w:space="0" w:color="auto"/>
        <w:right w:val="none" w:sz="0" w:space="0" w:color="auto"/>
      </w:divBdr>
      <w:divsChild>
        <w:div w:id="1001811732">
          <w:marLeft w:val="0"/>
          <w:marRight w:val="0"/>
          <w:marTop w:val="0"/>
          <w:marBottom w:val="0"/>
          <w:divBdr>
            <w:top w:val="none" w:sz="0" w:space="0" w:color="auto"/>
            <w:left w:val="none" w:sz="0" w:space="0" w:color="auto"/>
            <w:bottom w:val="none" w:sz="0" w:space="0" w:color="auto"/>
            <w:right w:val="none" w:sz="0" w:space="0" w:color="auto"/>
          </w:divBdr>
        </w:div>
      </w:divsChild>
    </w:div>
    <w:div w:id="246496205">
      <w:bodyDiv w:val="1"/>
      <w:marLeft w:val="0"/>
      <w:marRight w:val="0"/>
      <w:marTop w:val="0"/>
      <w:marBottom w:val="0"/>
      <w:divBdr>
        <w:top w:val="none" w:sz="0" w:space="0" w:color="auto"/>
        <w:left w:val="none" w:sz="0" w:space="0" w:color="auto"/>
        <w:bottom w:val="none" w:sz="0" w:space="0" w:color="auto"/>
        <w:right w:val="none" w:sz="0" w:space="0" w:color="auto"/>
      </w:divBdr>
    </w:div>
    <w:div w:id="330839484">
      <w:bodyDiv w:val="1"/>
      <w:marLeft w:val="0"/>
      <w:marRight w:val="0"/>
      <w:marTop w:val="0"/>
      <w:marBottom w:val="0"/>
      <w:divBdr>
        <w:top w:val="none" w:sz="0" w:space="0" w:color="auto"/>
        <w:left w:val="none" w:sz="0" w:space="0" w:color="auto"/>
        <w:bottom w:val="none" w:sz="0" w:space="0" w:color="auto"/>
        <w:right w:val="none" w:sz="0" w:space="0" w:color="auto"/>
      </w:divBdr>
    </w:div>
    <w:div w:id="362556522">
      <w:bodyDiv w:val="1"/>
      <w:marLeft w:val="0"/>
      <w:marRight w:val="0"/>
      <w:marTop w:val="0"/>
      <w:marBottom w:val="0"/>
      <w:divBdr>
        <w:top w:val="none" w:sz="0" w:space="0" w:color="auto"/>
        <w:left w:val="none" w:sz="0" w:space="0" w:color="auto"/>
        <w:bottom w:val="none" w:sz="0" w:space="0" w:color="auto"/>
        <w:right w:val="none" w:sz="0" w:space="0" w:color="auto"/>
      </w:divBdr>
    </w:div>
    <w:div w:id="491681515">
      <w:bodyDiv w:val="1"/>
      <w:marLeft w:val="0"/>
      <w:marRight w:val="0"/>
      <w:marTop w:val="0"/>
      <w:marBottom w:val="0"/>
      <w:divBdr>
        <w:top w:val="none" w:sz="0" w:space="0" w:color="auto"/>
        <w:left w:val="none" w:sz="0" w:space="0" w:color="auto"/>
        <w:bottom w:val="none" w:sz="0" w:space="0" w:color="auto"/>
        <w:right w:val="none" w:sz="0" w:space="0" w:color="auto"/>
      </w:divBdr>
    </w:div>
    <w:div w:id="494689668">
      <w:bodyDiv w:val="1"/>
      <w:marLeft w:val="0"/>
      <w:marRight w:val="0"/>
      <w:marTop w:val="0"/>
      <w:marBottom w:val="0"/>
      <w:divBdr>
        <w:top w:val="none" w:sz="0" w:space="0" w:color="auto"/>
        <w:left w:val="none" w:sz="0" w:space="0" w:color="auto"/>
        <w:bottom w:val="none" w:sz="0" w:space="0" w:color="auto"/>
        <w:right w:val="none" w:sz="0" w:space="0" w:color="auto"/>
      </w:divBdr>
    </w:div>
    <w:div w:id="659429508">
      <w:bodyDiv w:val="1"/>
      <w:marLeft w:val="0"/>
      <w:marRight w:val="0"/>
      <w:marTop w:val="0"/>
      <w:marBottom w:val="0"/>
      <w:divBdr>
        <w:top w:val="none" w:sz="0" w:space="0" w:color="auto"/>
        <w:left w:val="none" w:sz="0" w:space="0" w:color="auto"/>
        <w:bottom w:val="none" w:sz="0" w:space="0" w:color="auto"/>
        <w:right w:val="none" w:sz="0" w:space="0" w:color="auto"/>
      </w:divBdr>
    </w:div>
    <w:div w:id="708840557">
      <w:bodyDiv w:val="1"/>
      <w:marLeft w:val="0"/>
      <w:marRight w:val="0"/>
      <w:marTop w:val="0"/>
      <w:marBottom w:val="0"/>
      <w:divBdr>
        <w:top w:val="none" w:sz="0" w:space="0" w:color="auto"/>
        <w:left w:val="none" w:sz="0" w:space="0" w:color="auto"/>
        <w:bottom w:val="none" w:sz="0" w:space="0" w:color="auto"/>
        <w:right w:val="none" w:sz="0" w:space="0" w:color="auto"/>
      </w:divBdr>
    </w:div>
    <w:div w:id="867059133">
      <w:bodyDiv w:val="1"/>
      <w:marLeft w:val="0"/>
      <w:marRight w:val="0"/>
      <w:marTop w:val="0"/>
      <w:marBottom w:val="0"/>
      <w:divBdr>
        <w:top w:val="none" w:sz="0" w:space="0" w:color="auto"/>
        <w:left w:val="none" w:sz="0" w:space="0" w:color="auto"/>
        <w:bottom w:val="none" w:sz="0" w:space="0" w:color="auto"/>
        <w:right w:val="none" w:sz="0" w:space="0" w:color="auto"/>
      </w:divBdr>
    </w:div>
    <w:div w:id="927007217">
      <w:bodyDiv w:val="1"/>
      <w:marLeft w:val="0"/>
      <w:marRight w:val="0"/>
      <w:marTop w:val="0"/>
      <w:marBottom w:val="0"/>
      <w:divBdr>
        <w:top w:val="none" w:sz="0" w:space="0" w:color="auto"/>
        <w:left w:val="none" w:sz="0" w:space="0" w:color="auto"/>
        <w:bottom w:val="none" w:sz="0" w:space="0" w:color="auto"/>
        <w:right w:val="none" w:sz="0" w:space="0" w:color="auto"/>
      </w:divBdr>
    </w:div>
    <w:div w:id="1007631439">
      <w:bodyDiv w:val="1"/>
      <w:marLeft w:val="0"/>
      <w:marRight w:val="0"/>
      <w:marTop w:val="0"/>
      <w:marBottom w:val="0"/>
      <w:divBdr>
        <w:top w:val="none" w:sz="0" w:space="0" w:color="auto"/>
        <w:left w:val="none" w:sz="0" w:space="0" w:color="auto"/>
        <w:bottom w:val="none" w:sz="0" w:space="0" w:color="auto"/>
        <w:right w:val="none" w:sz="0" w:space="0" w:color="auto"/>
      </w:divBdr>
    </w:div>
    <w:div w:id="1048065254">
      <w:bodyDiv w:val="1"/>
      <w:marLeft w:val="0"/>
      <w:marRight w:val="0"/>
      <w:marTop w:val="0"/>
      <w:marBottom w:val="0"/>
      <w:divBdr>
        <w:top w:val="none" w:sz="0" w:space="0" w:color="auto"/>
        <w:left w:val="none" w:sz="0" w:space="0" w:color="auto"/>
        <w:bottom w:val="none" w:sz="0" w:space="0" w:color="auto"/>
        <w:right w:val="none" w:sz="0" w:space="0" w:color="auto"/>
      </w:divBdr>
    </w:div>
    <w:div w:id="1268737294">
      <w:bodyDiv w:val="1"/>
      <w:marLeft w:val="0"/>
      <w:marRight w:val="0"/>
      <w:marTop w:val="0"/>
      <w:marBottom w:val="0"/>
      <w:divBdr>
        <w:top w:val="none" w:sz="0" w:space="0" w:color="auto"/>
        <w:left w:val="none" w:sz="0" w:space="0" w:color="auto"/>
        <w:bottom w:val="none" w:sz="0" w:space="0" w:color="auto"/>
        <w:right w:val="none" w:sz="0" w:space="0" w:color="auto"/>
      </w:divBdr>
      <w:divsChild>
        <w:div w:id="396824566">
          <w:marLeft w:val="0"/>
          <w:marRight w:val="0"/>
          <w:marTop w:val="0"/>
          <w:marBottom w:val="0"/>
          <w:divBdr>
            <w:top w:val="none" w:sz="0" w:space="0" w:color="auto"/>
            <w:left w:val="none" w:sz="0" w:space="0" w:color="auto"/>
            <w:bottom w:val="none" w:sz="0" w:space="0" w:color="auto"/>
            <w:right w:val="none" w:sz="0" w:space="0" w:color="auto"/>
          </w:divBdr>
        </w:div>
      </w:divsChild>
    </w:div>
    <w:div w:id="131472363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58">
          <w:marLeft w:val="0"/>
          <w:marRight w:val="0"/>
          <w:marTop w:val="0"/>
          <w:marBottom w:val="0"/>
          <w:divBdr>
            <w:top w:val="none" w:sz="0" w:space="0" w:color="auto"/>
            <w:left w:val="none" w:sz="0" w:space="0" w:color="auto"/>
            <w:bottom w:val="none" w:sz="0" w:space="0" w:color="auto"/>
            <w:right w:val="none" w:sz="0" w:space="0" w:color="auto"/>
          </w:divBdr>
        </w:div>
      </w:divsChild>
    </w:div>
    <w:div w:id="1331102140">
      <w:bodyDiv w:val="1"/>
      <w:marLeft w:val="0"/>
      <w:marRight w:val="0"/>
      <w:marTop w:val="0"/>
      <w:marBottom w:val="0"/>
      <w:divBdr>
        <w:top w:val="none" w:sz="0" w:space="0" w:color="auto"/>
        <w:left w:val="none" w:sz="0" w:space="0" w:color="auto"/>
        <w:bottom w:val="none" w:sz="0" w:space="0" w:color="auto"/>
        <w:right w:val="none" w:sz="0" w:space="0" w:color="auto"/>
      </w:divBdr>
    </w:div>
    <w:div w:id="1567035945">
      <w:bodyDiv w:val="1"/>
      <w:marLeft w:val="0"/>
      <w:marRight w:val="0"/>
      <w:marTop w:val="0"/>
      <w:marBottom w:val="0"/>
      <w:divBdr>
        <w:top w:val="none" w:sz="0" w:space="0" w:color="auto"/>
        <w:left w:val="none" w:sz="0" w:space="0" w:color="auto"/>
        <w:bottom w:val="none" w:sz="0" w:space="0" w:color="auto"/>
        <w:right w:val="none" w:sz="0" w:space="0" w:color="auto"/>
      </w:divBdr>
    </w:div>
    <w:div w:id="1619675026">
      <w:bodyDiv w:val="1"/>
      <w:marLeft w:val="0"/>
      <w:marRight w:val="0"/>
      <w:marTop w:val="0"/>
      <w:marBottom w:val="0"/>
      <w:divBdr>
        <w:top w:val="none" w:sz="0" w:space="0" w:color="auto"/>
        <w:left w:val="none" w:sz="0" w:space="0" w:color="auto"/>
        <w:bottom w:val="none" w:sz="0" w:space="0" w:color="auto"/>
        <w:right w:val="none" w:sz="0" w:space="0" w:color="auto"/>
      </w:divBdr>
    </w:div>
    <w:div w:id="1722166240">
      <w:bodyDiv w:val="1"/>
      <w:marLeft w:val="0"/>
      <w:marRight w:val="0"/>
      <w:marTop w:val="0"/>
      <w:marBottom w:val="0"/>
      <w:divBdr>
        <w:top w:val="none" w:sz="0" w:space="0" w:color="auto"/>
        <w:left w:val="none" w:sz="0" w:space="0" w:color="auto"/>
        <w:bottom w:val="none" w:sz="0" w:space="0" w:color="auto"/>
        <w:right w:val="none" w:sz="0" w:space="0" w:color="auto"/>
      </w:divBdr>
      <w:divsChild>
        <w:div w:id="1584415944">
          <w:marLeft w:val="0"/>
          <w:marRight w:val="0"/>
          <w:marTop w:val="0"/>
          <w:marBottom w:val="0"/>
          <w:divBdr>
            <w:top w:val="none" w:sz="0" w:space="0" w:color="auto"/>
            <w:left w:val="none" w:sz="0" w:space="0" w:color="auto"/>
            <w:bottom w:val="none" w:sz="0" w:space="0" w:color="auto"/>
            <w:right w:val="none" w:sz="0" w:space="0" w:color="auto"/>
          </w:divBdr>
        </w:div>
      </w:divsChild>
    </w:div>
    <w:div w:id="1775781003">
      <w:bodyDiv w:val="1"/>
      <w:marLeft w:val="0"/>
      <w:marRight w:val="0"/>
      <w:marTop w:val="0"/>
      <w:marBottom w:val="0"/>
      <w:divBdr>
        <w:top w:val="none" w:sz="0" w:space="0" w:color="auto"/>
        <w:left w:val="none" w:sz="0" w:space="0" w:color="auto"/>
        <w:bottom w:val="none" w:sz="0" w:space="0" w:color="auto"/>
        <w:right w:val="none" w:sz="0" w:space="0" w:color="auto"/>
      </w:divBdr>
    </w:div>
    <w:div w:id="1836260450">
      <w:bodyDiv w:val="1"/>
      <w:marLeft w:val="0"/>
      <w:marRight w:val="0"/>
      <w:marTop w:val="0"/>
      <w:marBottom w:val="0"/>
      <w:divBdr>
        <w:top w:val="none" w:sz="0" w:space="0" w:color="auto"/>
        <w:left w:val="none" w:sz="0" w:space="0" w:color="auto"/>
        <w:bottom w:val="none" w:sz="0" w:space="0" w:color="auto"/>
        <w:right w:val="none" w:sz="0" w:space="0" w:color="auto"/>
      </w:divBdr>
    </w:div>
    <w:div w:id="1861430160">
      <w:bodyDiv w:val="1"/>
      <w:marLeft w:val="0"/>
      <w:marRight w:val="0"/>
      <w:marTop w:val="0"/>
      <w:marBottom w:val="0"/>
      <w:divBdr>
        <w:top w:val="none" w:sz="0" w:space="0" w:color="auto"/>
        <w:left w:val="none" w:sz="0" w:space="0" w:color="auto"/>
        <w:bottom w:val="none" w:sz="0" w:space="0" w:color="auto"/>
        <w:right w:val="none" w:sz="0" w:space="0" w:color="auto"/>
      </w:divBdr>
    </w:div>
    <w:div w:id="1929119844">
      <w:bodyDiv w:val="1"/>
      <w:marLeft w:val="0"/>
      <w:marRight w:val="0"/>
      <w:marTop w:val="0"/>
      <w:marBottom w:val="0"/>
      <w:divBdr>
        <w:top w:val="none" w:sz="0" w:space="0" w:color="auto"/>
        <w:left w:val="none" w:sz="0" w:space="0" w:color="auto"/>
        <w:bottom w:val="none" w:sz="0" w:space="0" w:color="auto"/>
        <w:right w:val="none" w:sz="0" w:space="0" w:color="auto"/>
      </w:divBdr>
      <w:divsChild>
        <w:div w:id="1924339511">
          <w:marLeft w:val="0"/>
          <w:marRight w:val="0"/>
          <w:marTop w:val="0"/>
          <w:marBottom w:val="0"/>
          <w:divBdr>
            <w:top w:val="none" w:sz="0" w:space="0" w:color="auto"/>
            <w:left w:val="none" w:sz="0" w:space="0" w:color="auto"/>
            <w:bottom w:val="none" w:sz="0" w:space="0" w:color="auto"/>
            <w:right w:val="none" w:sz="0" w:space="0" w:color="auto"/>
          </w:divBdr>
        </w:div>
      </w:divsChild>
    </w:div>
    <w:div w:id="2013949482">
      <w:bodyDiv w:val="1"/>
      <w:marLeft w:val="0"/>
      <w:marRight w:val="0"/>
      <w:marTop w:val="0"/>
      <w:marBottom w:val="0"/>
      <w:divBdr>
        <w:top w:val="none" w:sz="0" w:space="0" w:color="auto"/>
        <w:left w:val="none" w:sz="0" w:space="0" w:color="auto"/>
        <w:bottom w:val="none" w:sz="0" w:space="0" w:color="auto"/>
        <w:right w:val="none" w:sz="0" w:space="0" w:color="auto"/>
      </w:divBdr>
    </w:div>
    <w:div w:id="2127036417">
      <w:bodyDiv w:val="1"/>
      <w:marLeft w:val="0"/>
      <w:marRight w:val="0"/>
      <w:marTop w:val="0"/>
      <w:marBottom w:val="0"/>
      <w:divBdr>
        <w:top w:val="none" w:sz="0" w:space="0" w:color="auto"/>
        <w:left w:val="none" w:sz="0" w:space="0" w:color="auto"/>
        <w:bottom w:val="none" w:sz="0" w:space="0" w:color="auto"/>
        <w:right w:val="none" w:sz="0" w:space="0" w:color="auto"/>
      </w:divBdr>
      <w:divsChild>
        <w:div w:id="92453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Mallesh</dc:creator>
  <cp:keywords/>
  <dc:description/>
  <cp:lastModifiedBy> </cp:lastModifiedBy>
  <cp:revision>2</cp:revision>
  <dcterms:created xsi:type="dcterms:W3CDTF">2025-06-12T01:43:00Z</dcterms:created>
  <dcterms:modified xsi:type="dcterms:W3CDTF">2025-06-12T01:43:00Z</dcterms:modified>
</cp:coreProperties>
</file>