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E2CC" w14:textId="77777777" w:rsidR="00FC69C6" w:rsidRDefault="00FC69C6">
      <w:pPr>
        <w:spacing w:before="5"/>
        <w:rPr>
          <w:rFonts w:ascii="Arial" w:eastAsia="Arial" w:hAnsi="Arial" w:cs="Arial"/>
          <w:color w:val="000000"/>
          <w:sz w:val="16"/>
          <w:szCs w:val="16"/>
        </w:rPr>
      </w:pPr>
    </w:p>
    <w:p w14:paraId="37FE67FA" w14:textId="76DDA004" w:rsidR="00FC69C6" w:rsidRPr="00294ECA" w:rsidRDefault="00247D51">
      <w:pPr>
        <w:pStyle w:val="Title"/>
        <w:spacing w:before="84"/>
        <w:ind w:left="534" w:firstLine="1336"/>
        <w:rPr>
          <w:color w:val="000000" w:themeColor="text1"/>
        </w:rPr>
      </w:pPr>
      <w:r w:rsidRPr="00294ECA">
        <w:rPr>
          <w:color w:val="000000" w:themeColor="text1"/>
        </w:rPr>
        <w:t xml:space="preserve">Nutritional </w:t>
      </w:r>
      <w:bookmarkStart w:id="0" w:name="_GoBack"/>
      <w:bookmarkEnd w:id="0"/>
      <w:r w:rsidR="00390DC6" w:rsidRPr="00294ECA">
        <w:rPr>
          <w:color w:val="000000" w:themeColor="text1"/>
        </w:rPr>
        <w:t xml:space="preserve">Growth </w:t>
      </w:r>
      <w:r w:rsidRPr="00294ECA">
        <w:rPr>
          <w:color w:val="000000" w:themeColor="text1"/>
        </w:rPr>
        <w:t>Enhancement</w:t>
      </w:r>
      <w:r w:rsidR="00390DC6" w:rsidRPr="00294ECA">
        <w:rPr>
          <w:color w:val="000000" w:themeColor="text1"/>
        </w:rPr>
        <w:t xml:space="preserve"> of G4 Transgenic </w:t>
      </w:r>
      <w:r w:rsidR="00390DC6" w:rsidRPr="00294ECA">
        <w:rPr>
          <w:i/>
          <w:iCs/>
          <w:color w:val="000000" w:themeColor="text1"/>
          <w:highlight w:val="yellow"/>
        </w:rPr>
        <w:t>Mutiara</w:t>
      </w:r>
      <w:r w:rsidR="00390DC6" w:rsidRPr="00294ECA">
        <w:rPr>
          <w:color w:val="000000" w:themeColor="text1"/>
        </w:rPr>
        <w:t xml:space="preserve"> Catfish</w:t>
      </w:r>
      <w:r w:rsidR="007356CC" w:rsidRPr="00294ECA">
        <w:rPr>
          <w:color w:val="000000" w:themeColor="text1"/>
        </w:rPr>
        <w:t xml:space="preserve"> (</w:t>
      </w:r>
      <w:proofErr w:type="spellStart"/>
      <w:r w:rsidR="007356CC" w:rsidRPr="00294ECA">
        <w:rPr>
          <w:i/>
          <w:iCs/>
          <w:color w:val="000000" w:themeColor="text1"/>
          <w:highlight w:val="yellow"/>
        </w:rPr>
        <w:t>Clarias</w:t>
      </w:r>
      <w:proofErr w:type="spellEnd"/>
      <w:r w:rsidR="007356CC" w:rsidRPr="00294ECA">
        <w:rPr>
          <w:i/>
          <w:iCs/>
          <w:color w:val="000000" w:themeColor="text1"/>
          <w:highlight w:val="yellow"/>
        </w:rPr>
        <w:t xml:space="preserve"> </w:t>
      </w:r>
      <w:proofErr w:type="spellStart"/>
      <w:r w:rsidR="007356CC" w:rsidRPr="00294ECA">
        <w:rPr>
          <w:i/>
          <w:iCs/>
          <w:color w:val="000000" w:themeColor="text1"/>
          <w:highlight w:val="yellow"/>
        </w:rPr>
        <w:t>gariepinus</w:t>
      </w:r>
      <w:proofErr w:type="spellEnd"/>
      <w:r w:rsidR="007356CC" w:rsidRPr="00294ECA">
        <w:rPr>
          <w:color w:val="000000" w:themeColor="text1"/>
        </w:rPr>
        <w:t>)</w:t>
      </w:r>
      <w:r w:rsidR="00390DC6" w:rsidRPr="00294ECA">
        <w:rPr>
          <w:color w:val="000000" w:themeColor="text1"/>
        </w:rPr>
        <w:t xml:space="preserve"> </w:t>
      </w:r>
      <w:proofErr w:type="spellStart"/>
      <w:r w:rsidR="00390DC6" w:rsidRPr="00294ECA">
        <w:rPr>
          <w:color w:val="000000" w:themeColor="text1"/>
        </w:rPr>
        <w:t>Broodstock</w:t>
      </w:r>
      <w:proofErr w:type="spellEnd"/>
      <w:r w:rsidR="00390DC6" w:rsidRPr="00294ECA">
        <w:rPr>
          <w:color w:val="000000" w:themeColor="text1"/>
        </w:rPr>
        <w:t xml:space="preserve"> Candidate Using Mixed Feed</w:t>
      </w:r>
    </w:p>
    <w:p w14:paraId="56C24B52" w14:textId="6D96BF7A" w:rsidR="00FC69C6" w:rsidRDefault="00294ECA">
      <w:pPr>
        <w:pStyle w:val="Heading1"/>
        <w:spacing w:before="94"/>
        <w:ind w:firstLine="100"/>
      </w:pPr>
      <w:r>
        <w:rPr>
          <w:noProof/>
          <w:lang w:val="en-US" w:eastAsia="en-US"/>
        </w:rPr>
        <mc:AlternateContent>
          <mc:Choice Requires="wps">
            <w:drawing>
              <wp:anchor distT="0" distB="0" distL="0" distR="0" simplePos="0" relativeHeight="251658240" behindDoc="0" locked="0" layoutInCell="1" allowOverlap="1" wp14:anchorId="6F3F86FF" wp14:editId="369EBBD7">
                <wp:simplePos x="0" y="0"/>
                <wp:positionH relativeFrom="column">
                  <wp:posOffset>116840</wp:posOffset>
                </wp:positionH>
                <wp:positionV relativeFrom="paragraph">
                  <wp:posOffset>295275</wp:posOffset>
                </wp:positionV>
                <wp:extent cx="5728970" cy="2858770"/>
                <wp:effectExtent l="0" t="0" r="24130" b="17780"/>
                <wp:wrapTopAndBottom/>
                <wp:docPr id="5" name="Rectangle 5"/>
                <wp:cNvGraphicFramePr/>
                <a:graphic xmlns:a="http://schemas.openxmlformats.org/drawingml/2006/main">
                  <a:graphicData uri="http://schemas.microsoft.com/office/word/2010/wordprocessingShape">
                    <wps:wsp>
                      <wps:cNvSpPr/>
                      <wps:spPr>
                        <a:xfrm>
                          <a:off x="0" y="0"/>
                          <a:ext cx="5728970" cy="2858770"/>
                        </a:xfrm>
                        <a:prstGeom prst="rect">
                          <a:avLst/>
                        </a:prstGeom>
                        <a:noFill/>
                        <a:ln w="9525" cap="flat" cmpd="sng">
                          <a:solidFill>
                            <a:srgbClr val="000000"/>
                          </a:solidFill>
                          <a:prstDash val="solid"/>
                          <a:miter lim="800000"/>
                          <a:headEnd type="none" w="sm" len="sm"/>
                          <a:tailEnd type="none" w="sm" len="sm"/>
                        </a:ln>
                      </wps:spPr>
                      <wps:txbx>
                        <w:txbxContent>
                          <w:p w14:paraId="51A09F7D" w14:textId="56A063FC" w:rsidR="00FC69C6" w:rsidRDefault="00390DC6">
                            <w:pPr>
                              <w:spacing w:line="275" w:lineRule="auto"/>
                              <w:ind w:left="100" w:right="140" w:firstLine="100"/>
                              <w:jc w:val="both"/>
                              <w:rPr>
                                <w:rFonts w:ascii="Arial" w:eastAsia="Arial" w:hAnsi="Arial" w:cs="Arial"/>
                                <w:color w:val="000000"/>
                                <w:sz w:val="20"/>
                              </w:rPr>
                            </w:pPr>
                            <w:r>
                              <w:rPr>
                                <w:rFonts w:ascii="Arial" w:eastAsia="Arial" w:hAnsi="Arial" w:cs="Arial"/>
                                <w:color w:val="000000"/>
                                <w:sz w:val="20"/>
                              </w:rPr>
                              <w:t xml:space="preserve">Transgenic </w:t>
                            </w:r>
                            <w:proofErr w:type="spellStart"/>
                            <w:r>
                              <w:rPr>
                                <w:rFonts w:ascii="Arial" w:eastAsia="Arial" w:hAnsi="Arial" w:cs="Arial"/>
                                <w:color w:val="000000"/>
                                <w:sz w:val="20"/>
                              </w:rPr>
                              <w:t>mutiara</w:t>
                            </w:r>
                            <w:proofErr w:type="spellEnd"/>
                            <w:r>
                              <w:rPr>
                                <w:rFonts w:ascii="Arial" w:eastAsia="Arial" w:hAnsi="Arial" w:cs="Arial"/>
                                <w:color w:val="000000"/>
                                <w:sz w:val="20"/>
                              </w:rPr>
                              <w:t xml:space="preserve"> catfish inserted with an additional gene (</w:t>
                            </w:r>
                            <w:proofErr w:type="spellStart"/>
                            <w:r>
                              <w:rPr>
                                <w:rFonts w:ascii="Arial" w:eastAsia="Arial" w:hAnsi="Arial" w:cs="Arial"/>
                                <w:i/>
                                <w:iCs/>
                                <w:color w:val="000000"/>
                                <w:sz w:val="20"/>
                              </w:rPr>
                              <w:t>CgGH</w:t>
                            </w:r>
                            <w:proofErr w:type="spellEnd"/>
                            <w:r>
                              <w:rPr>
                                <w:rFonts w:ascii="Arial" w:eastAsia="Arial" w:hAnsi="Arial" w:cs="Arial"/>
                                <w:color w:val="000000"/>
                                <w:sz w:val="20"/>
                              </w:rPr>
                              <w:t>) exhibit faster growth compared to non</w:t>
                            </w:r>
                            <w:r w:rsidR="00E972E6">
                              <w:rPr>
                                <w:rFonts w:ascii="Arial" w:eastAsia="Arial" w:hAnsi="Arial" w:cs="Arial"/>
                                <w:color w:val="000000"/>
                                <w:sz w:val="20"/>
                              </w:rPr>
                              <w:t>-</w:t>
                            </w:r>
                            <w:r>
                              <w:rPr>
                                <w:rFonts w:ascii="Arial" w:eastAsia="Arial" w:hAnsi="Arial" w:cs="Arial"/>
                                <w:color w:val="000000"/>
                                <w:sz w:val="20"/>
                              </w:rPr>
                              <w:t xml:space="preserve">transgenic </w:t>
                            </w:r>
                            <w:proofErr w:type="spellStart"/>
                            <w:r w:rsidRPr="00E972E6">
                              <w:rPr>
                                <w:rFonts w:ascii="Arial" w:eastAsia="Arial" w:hAnsi="Arial" w:cs="Arial"/>
                                <w:i/>
                                <w:iCs/>
                                <w:color w:val="000000"/>
                                <w:sz w:val="20"/>
                              </w:rPr>
                              <w:t>mutiara</w:t>
                            </w:r>
                            <w:proofErr w:type="spellEnd"/>
                            <w:r>
                              <w:rPr>
                                <w:rFonts w:ascii="Arial" w:eastAsia="Arial" w:hAnsi="Arial" w:cs="Arial"/>
                                <w:color w:val="000000"/>
                                <w:sz w:val="20"/>
                              </w:rPr>
                              <w:t xml:space="preserve"> catfish. This potential for rapid growth also needs to be supported by proper nutrition. This study aimed to determine the optimal feed dosage using a mixture of HI-PROVITE 781 pellets and boiled tuna (</w:t>
                            </w:r>
                            <w:proofErr w:type="spellStart"/>
                            <w:r>
                              <w:rPr>
                                <w:rFonts w:ascii="Arial" w:eastAsia="Arial" w:hAnsi="Arial" w:cs="Arial"/>
                                <w:i/>
                                <w:iCs/>
                                <w:color w:val="000000"/>
                                <w:sz w:val="20"/>
                              </w:rPr>
                              <w:t>Euthynnus</w:t>
                            </w:r>
                            <w:proofErr w:type="spellEnd"/>
                            <w:r>
                              <w:rPr>
                                <w:rFonts w:ascii="Arial" w:eastAsia="Arial" w:hAnsi="Arial" w:cs="Arial"/>
                                <w:i/>
                                <w:iCs/>
                                <w:color w:val="000000"/>
                                <w:sz w:val="20"/>
                              </w:rPr>
                              <w:t xml:space="preserve"> </w:t>
                            </w:r>
                            <w:proofErr w:type="spellStart"/>
                            <w:r>
                              <w:rPr>
                                <w:rFonts w:ascii="Arial" w:eastAsia="Arial" w:hAnsi="Arial" w:cs="Arial"/>
                                <w:i/>
                                <w:iCs/>
                                <w:color w:val="000000"/>
                                <w:sz w:val="20"/>
                              </w:rPr>
                              <w:t>affinis</w:t>
                            </w:r>
                            <w:proofErr w:type="spellEnd"/>
                            <w:r>
                              <w:rPr>
                                <w:rFonts w:ascii="Arial" w:eastAsia="Arial" w:hAnsi="Arial" w:cs="Arial"/>
                                <w:color w:val="000000"/>
                                <w:sz w:val="20"/>
                              </w:rPr>
                              <w:t xml:space="preserve">) flakes to evaluate growth efficiency and feed cost efficiency in </w:t>
                            </w:r>
                            <w:r w:rsidR="003E7C58">
                              <w:rPr>
                                <w:rFonts w:ascii="Arial" w:eastAsia="Arial" w:hAnsi="Arial" w:cs="Arial"/>
                                <w:color w:val="000000"/>
                                <w:sz w:val="20"/>
                              </w:rPr>
                              <w:t>sub</w:t>
                            </w:r>
                            <w:r>
                              <w:rPr>
                                <w:rFonts w:ascii="Arial" w:eastAsia="Arial" w:hAnsi="Arial" w:cs="Arial"/>
                                <w:color w:val="000000"/>
                                <w:sz w:val="20"/>
                              </w:rPr>
                              <w:t>-</w:t>
                            </w:r>
                            <w:r w:rsidR="003E7C58">
                              <w:rPr>
                                <w:rFonts w:ascii="Arial" w:eastAsia="Arial" w:hAnsi="Arial" w:cs="Arial"/>
                                <w:color w:val="000000"/>
                                <w:sz w:val="20"/>
                              </w:rPr>
                              <w:t>adult</w:t>
                            </w:r>
                            <w:r>
                              <w:rPr>
                                <w:rFonts w:ascii="Arial" w:eastAsia="Arial" w:hAnsi="Arial" w:cs="Arial"/>
                                <w:color w:val="000000"/>
                                <w:sz w:val="20"/>
                              </w:rPr>
                              <w:t xml:space="preserve"> size G4 transgenic Mutiara catfish (5 months old) as they approach </w:t>
                            </w:r>
                            <w:proofErr w:type="spellStart"/>
                            <w:r>
                              <w:rPr>
                                <w:rFonts w:ascii="Arial" w:eastAsia="Arial" w:hAnsi="Arial" w:cs="Arial"/>
                                <w:color w:val="000000"/>
                                <w:sz w:val="20"/>
                              </w:rPr>
                              <w:t>broodstock</w:t>
                            </w:r>
                            <w:proofErr w:type="spellEnd"/>
                            <w:r>
                              <w:rPr>
                                <w:rFonts w:ascii="Arial" w:eastAsia="Arial" w:hAnsi="Arial" w:cs="Arial"/>
                                <w:color w:val="000000"/>
                                <w:sz w:val="20"/>
                              </w:rPr>
                              <w:t xml:space="preserve"> size. The research used a Completely Randomized Design (CRD) with 4 treatments and 3 replications. The treatments consisted of different doses of HI-PROVITE 781: treatment A (2.5%), B (2%), C (1.5%), and D (2.5% as control: non</w:t>
                            </w:r>
                            <w:r w:rsidR="008D2B30">
                              <w:rPr>
                                <w:rFonts w:ascii="Arial" w:eastAsia="Arial" w:hAnsi="Arial" w:cs="Arial"/>
                                <w:color w:val="000000"/>
                                <w:sz w:val="20"/>
                              </w:rPr>
                              <w:t>-</w:t>
                            </w:r>
                            <w:r>
                              <w:rPr>
                                <w:rFonts w:ascii="Arial" w:eastAsia="Arial" w:hAnsi="Arial" w:cs="Arial"/>
                                <w:color w:val="000000"/>
                                <w:sz w:val="20"/>
                              </w:rPr>
                              <w:t xml:space="preserve">transgenic </w:t>
                            </w:r>
                            <w:proofErr w:type="spellStart"/>
                            <w:r w:rsidRPr="008D2B30">
                              <w:rPr>
                                <w:rFonts w:ascii="Arial" w:eastAsia="Arial" w:hAnsi="Arial" w:cs="Arial"/>
                                <w:i/>
                                <w:iCs/>
                                <w:color w:val="000000"/>
                                <w:sz w:val="20"/>
                                <w:highlight w:val="yellow"/>
                              </w:rPr>
                              <w:t>mutiara</w:t>
                            </w:r>
                            <w:proofErr w:type="spellEnd"/>
                            <w:r>
                              <w:rPr>
                                <w:rFonts w:ascii="Arial" w:eastAsia="Arial" w:hAnsi="Arial" w:cs="Arial"/>
                                <w:color w:val="000000"/>
                                <w:sz w:val="20"/>
                              </w:rPr>
                              <w:t xml:space="preserve"> catfish), based on the biomass weight of the test fish. Additionally, 10 g of boiled tuna flakes were added to each treatment for 42 days. The observed parameters included average weight gain (AWG), feed </w:t>
                            </w:r>
                            <w:proofErr w:type="spellStart"/>
                            <w:r>
                              <w:rPr>
                                <w:rFonts w:ascii="Arial" w:eastAsia="Arial" w:hAnsi="Arial" w:cs="Arial"/>
                                <w:color w:val="000000"/>
                                <w:sz w:val="20"/>
                              </w:rPr>
                              <w:t>conver</w:t>
                            </w:r>
                            <w:r w:rsidR="006269A9">
                              <w:rPr>
                                <w:rFonts w:ascii="Arial" w:eastAsia="Arial" w:hAnsi="Arial" w:cs="Arial"/>
                                <w:color w:val="000000"/>
                                <w:sz w:val="20"/>
                              </w:rPr>
                              <w:t>t</w:t>
                            </w:r>
                            <w:r>
                              <w:rPr>
                                <w:rFonts w:ascii="Arial" w:eastAsia="Arial" w:hAnsi="Arial" w:cs="Arial"/>
                                <w:color w:val="000000"/>
                                <w:sz w:val="20"/>
                              </w:rPr>
                              <w:t>ion</w:t>
                            </w:r>
                            <w:proofErr w:type="spellEnd"/>
                            <w:r>
                              <w:rPr>
                                <w:rFonts w:ascii="Arial" w:eastAsia="Arial" w:hAnsi="Arial" w:cs="Arial"/>
                                <w:color w:val="000000"/>
                                <w:sz w:val="20"/>
                              </w:rPr>
                              <w:t xml:space="preserve"> ratio (FCR), and feed cost. The results showed that the best feed mixture of HI-PROVITE 781 pellets and boiled tuna flakes was found in treatment B (2% dose + 10 g), with an average weight gain of 1,515.00 g ± 422.26 g (3.35 times increase); </w:t>
                            </w:r>
                            <w:r w:rsidR="009228FC">
                              <w:rPr>
                                <w:rFonts w:ascii="Arial" w:eastAsia="Arial" w:hAnsi="Arial" w:cs="Arial"/>
                                <w:color w:val="000000"/>
                                <w:sz w:val="20"/>
                              </w:rPr>
                              <w:t>FCR</w:t>
                            </w:r>
                            <w:r>
                              <w:rPr>
                                <w:rFonts w:ascii="Arial" w:eastAsia="Arial" w:hAnsi="Arial" w:cs="Arial"/>
                                <w:color w:val="000000"/>
                                <w:sz w:val="20"/>
                              </w:rPr>
                              <w:t xml:space="preserve"> of 1.14 ± 0.11; feed cost of IDR 17,944.32 and the highest net income from feed at IDR 76,905.68</w:t>
                            </w:r>
                          </w:p>
                        </w:txbxContent>
                      </wps:txbx>
                      <wps:bodyPr spcFirstLastPara="1" wrap="square" lIns="0" tIns="0" rIns="0" bIns="0" anchor="t" anchorCtr="0">
                        <a:noAutofit/>
                      </wps:bodyPr>
                    </wps:wsp>
                  </a:graphicData>
                </a:graphic>
              </wp:anchor>
            </w:drawing>
          </mc:Choice>
          <mc:Fallback>
            <w:pict>
              <v:rect w14:anchorId="6F3F86FF" id="Rectangle 5" o:spid="_x0000_s1026" style="position:absolute;left:0;text-align:left;margin-left:9.2pt;margin-top:23.25pt;width:451.1pt;height:225.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" filled="f">
                <v:stroke startarrowwidth="narrow" startarrowlength="short" endarrowwidth="narrow" endarrowlength="short"/>
                <v:textbox inset="0,0,0,0">
                  <w:txbxContent>
                    <w:p w14:paraId="51A09F7D" w14:textId="56A063FC" w:rsidR="00FC69C6" w:rsidRDefault="00390DC6">
                      <w:pPr>
                        <w:spacing w:line="275" w:lineRule="auto"/>
                        <w:ind w:left="100" w:right="140" w:firstLine="100"/>
                        <w:jc w:val="both"/>
                        <w:rPr>
                          <w:rFonts w:ascii="Arial" w:eastAsia="Arial" w:hAnsi="Arial" w:cs="Arial"/>
                          <w:color w:val="000000"/>
                          <w:sz w:val="20"/>
                        </w:rPr>
                      </w:pPr>
                      <w:r>
                        <w:rPr>
                          <w:rFonts w:ascii="Arial" w:eastAsia="Arial" w:hAnsi="Arial" w:cs="Arial"/>
                          <w:color w:val="000000"/>
                          <w:sz w:val="20"/>
                        </w:rPr>
                        <w:t xml:space="preserve">Transgenic </w:t>
                      </w:r>
                      <w:proofErr w:type="spellStart"/>
                      <w:r>
                        <w:rPr>
                          <w:rFonts w:ascii="Arial" w:eastAsia="Arial" w:hAnsi="Arial" w:cs="Arial"/>
                          <w:color w:val="000000"/>
                          <w:sz w:val="20"/>
                        </w:rPr>
                        <w:t>mutiara</w:t>
                      </w:r>
                      <w:proofErr w:type="spellEnd"/>
                      <w:r>
                        <w:rPr>
                          <w:rFonts w:ascii="Arial" w:eastAsia="Arial" w:hAnsi="Arial" w:cs="Arial"/>
                          <w:color w:val="000000"/>
                          <w:sz w:val="20"/>
                        </w:rPr>
                        <w:t xml:space="preserve"> catfish inserted with an additional gene (</w:t>
                      </w:r>
                      <w:proofErr w:type="spellStart"/>
                      <w:r>
                        <w:rPr>
                          <w:rFonts w:ascii="Arial" w:eastAsia="Arial" w:hAnsi="Arial" w:cs="Arial"/>
                          <w:i/>
                          <w:iCs/>
                          <w:color w:val="000000"/>
                          <w:sz w:val="20"/>
                        </w:rPr>
                        <w:t>CgGH</w:t>
                      </w:r>
                      <w:proofErr w:type="spellEnd"/>
                      <w:r>
                        <w:rPr>
                          <w:rFonts w:ascii="Arial" w:eastAsia="Arial" w:hAnsi="Arial" w:cs="Arial"/>
                          <w:color w:val="000000"/>
                          <w:sz w:val="20"/>
                        </w:rPr>
                        <w:t>) exhibit faster growth compared to non</w:t>
                      </w:r>
                      <w:r w:rsidR="00E972E6">
                        <w:rPr>
                          <w:rFonts w:ascii="Arial" w:eastAsia="Arial" w:hAnsi="Arial" w:cs="Arial"/>
                          <w:color w:val="000000"/>
                          <w:sz w:val="20"/>
                        </w:rPr>
                        <w:t>-</w:t>
                      </w:r>
                      <w:r>
                        <w:rPr>
                          <w:rFonts w:ascii="Arial" w:eastAsia="Arial" w:hAnsi="Arial" w:cs="Arial"/>
                          <w:color w:val="000000"/>
                          <w:sz w:val="20"/>
                        </w:rPr>
                        <w:t xml:space="preserve">transgenic </w:t>
                      </w:r>
                      <w:proofErr w:type="spellStart"/>
                      <w:r w:rsidRPr="00E972E6">
                        <w:rPr>
                          <w:rFonts w:ascii="Arial" w:eastAsia="Arial" w:hAnsi="Arial" w:cs="Arial"/>
                          <w:i/>
                          <w:iCs/>
                          <w:color w:val="000000"/>
                          <w:sz w:val="20"/>
                        </w:rPr>
                        <w:t>mutiara</w:t>
                      </w:r>
                      <w:proofErr w:type="spellEnd"/>
                      <w:r>
                        <w:rPr>
                          <w:rFonts w:ascii="Arial" w:eastAsia="Arial" w:hAnsi="Arial" w:cs="Arial"/>
                          <w:color w:val="000000"/>
                          <w:sz w:val="20"/>
                        </w:rPr>
                        <w:t xml:space="preserve"> catfish. This potential for rapid growth also needs to be supported by proper nutrition. This study aimed to determine the optimal feed dosage using a mixture of HI-PROVITE 781 pellets and boiled tuna (</w:t>
                      </w:r>
                      <w:proofErr w:type="spellStart"/>
                      <w:r>
                        <w:rPr>
                          <w:rFonts w:ascii="Arial" w:eastAsia="Arial" w:hAnsi="Arial" w:cs="Arial"/>
                          <w:i/>
                          <w:iCs/>
                          <w:color w:val="000000"/>
                          <w:sz w:val="20"/>
                        </w:rPr>
                        <w:t>Euthynnus</w:t>
                      </w:r>
                      <w:proofErr w:type="spellEnd"/>
                      <w:r>
                        <w:rPr>
                          <w:rFonts w:ascii="Arial" w:eastAsia="Arial" w:hAnsi="Arial" w:cs="Arial"/>
                          <w:i/>
                          <w:iCs/>
                          <w:color w:val="000000"/>
                          <w:sz w:val="20"/>
                        </w:rPr>
                        <w:t xml:space="preserve"> </w:t>
                      </w:r>
                      <w:proofErr w:type="spellStart"/>
                      <w:r>
                        <w:rPr>
                          <w:rFonts w:ascii="Arial" w:eastAsia="Arial" w:hAnsi="Arial" w:cs="Arial"/>
                          <w:i/>
                          <w:iCs/>
                          <w:color w:val="000000"/>
                          <w:sz w:val="20"/>
                        </w:rPr>
                        <w:t>affinis</w:t>
                      </w:r>
                      <w:proofErr w:type="spellEnd"/>
                      <w:r>
                        <w:rPr>
                          <w:rFonts w:ascii="Arial" w:eastAsia="Arial" w:hAnsi="Arial" w:cs="Arial"/>
                          <w:color w:val="000000"/>
                          <w:sz w:val="20"/>
                        </w:rPr>
                        <w:t xml:space="preserve">) flakes to evaluate growth efficiency and feed cost efficiency in </w:t>
                      </w:r>
                      <w:r w:rsidR="003E7C58">
                        <w:rPr>
                          <w:rFonts w:ascii="Arial" w:eastAsia="Arial" w:hAnsi="Arial" w:cs="Arial"/>
                          <w:color w:val="000000"/>
                          <w:sz w:val="20"/>
                        </w:rPr>
                        <w:t>sub</w:t>
                      </w:r>
                      <w:r>
                        <w:rPr>
                          <w:rFonts w:ascii="Arial" w:eastAsia="Arial" w:hAnsi="Arial" w:cs="Arial"/>
                          <w:color w:val="000000"/>
                          <w:sz w:val="20"/>
                        </w:rPr>
                        <w:t>-</w:t>
                      </w:r>
                      <w:r w:rsidR="003E7C58">
                        <w:rPr>
                          <w:rFonts w:ascii="Arial" w:eastAsia="Arial" w:hAnsi="Arial" w:cs="Arial"/>
                          <w:color w:val="000000"/>
                          <w:sz w:val="20"/>
                        </w:rPr>
                        <w:t>adult</w:t>
                      </w:r>
                      <w:r>
                        <w:rPr>
                          <w:rFonts w:ascii="Arial" w:eastAsia="Arial" w:hAnsi="Arial" w:cs="Arial"/>
                          <w:color w:val="000000"/>
                          <w:sz w:val="20"/>
                        </w:rPr>
                        <w:t xml:space="preserve"> size G4 transgenic Mutiara catfish (5 months old) as they approach </w:t>
                      </w:r>
                      <w:proofErr w:type="spellStart"/>
                      <w:r>
                        <w:rPr>
                          <w:rFonts w:ascii="Arial" w:eastAsia="Arial" w:hAnsi="Arial" w:cs="Arial"/>
                          <w:color w:val="000000"/>
                          <w:sz w:val="20"/>
                        </w:rPr>
                        <w:t>broodstock</w:t>
                      </w:r>
                      <w:proofErr w:type="spellEnd"/>
                      <w:r>
                        <w:rPr>
                          <w:rFonts w:ascii="Arial" w:eastAsia="Arial" w:hAnsi="Arial" w:cs="Arial"/>
                          <w:color w:val="000000"/>
                          <w:sz w:val="20"/>
                        </w:rPr>
                        <w:t xml:space="preserve"> size. The research used a Completely Randomized Design (CRD) with 4 treatments and 3 replications. The treatments consisted of different doses of HI-PROVITE 781: treatment A (2.5%), B (2%), C (1.5%), and D (2.5% as control: non</w:t>
                      </w:r>
                      <w:r w:rsidR="008D2B30">
                        <w:rPr>
                          <w:rFonts w:ascii="Arial" w:eastAsia="Arial" w:hAnsi="Arial" w:cs="Arial"/>
                          <w:color w:val="000000"/>
                          <w:sz w:val="20"/>
                        </w:rPr>
                        <w:t>-</w:t>
                      </w:r>
                      <w:r>
                        <w:rPr>
                          <w:rFonts w:ascii="Arial" w:eastAsia="Arial" w:hAnsi="Arial" w:cs="Arial"/>
                          <w:color w:val="000000"/>
                          <w:sz w:val="20"/>
                        </w:rPr>
                        <w:t xml:space="preserve">transgenic </w:t>
                      </w:r>
                      <w:proofErr w:type="spellStart"/>
                      <w:r w:rsidRPr="008D2B30">
                        <w:rPr>
                          <w:rFonts w:ascii="Arial" w:eastAsia="Arial" w:hAnsi="Arial" w:cs="Arial"/>
                          <w:i/>
                          <w:iCs/>
                          <w:color w:val="000000"/>
                          <w:sz w:val="20"/>
                          <w:highlight w:val="yellow"/>
                        </w:rPr>
                        <w:t>mutiara</w:t>
                      </w:r>
                      <w:proofErr w:type="spellEnd"/>
                      <w:r>
                        <w:rPr>
                          <w:rFonts w:ascii="Arial" w:eastAsia="Arial" w:hAnsi="Arial" w:cs="Arial"/>
                          <w:color w:val="000000"/>
                          <w:sz w:val="20"/>
                        </w:rPr>
                        <w:t xml:space="preserve"> catfish), based on the biomass weight of the test fish. Additionally, 10 g of boiled tuna flakes were added to each treatment for 42 days. The observed parameters included average weight gain (AWG), feed </w:t>
                      </w:r>
                      <w:proofErr w:type="spellStart"/>
                      <w:r>
                        <w:rPr>
                          <w:rFonts w:ascii="Arial" w:eastAsia="Arial" w:hAnsi="Arial" w:cs="Arial"/>
                          <w:color w:val="000000"/>
                          <w:sz w:val="20"/>
                        </w:rPr>
                        <w:t>conver</w:t>
                      </w:r>
                      <w:r w:rsidR="006269A9">
                        <w:rPr>
                          <w:rFonts w:ascii="Arial" w:eastAsia="Arial" w:hAnsi="Arial" w:cs="Arial"/>
                          <w:color w:val="000000"/>
                          <w:sz w:val="20"/>
                        </w:rPr>
                        <w:t>t</w:t>
                      </w:r>
                      <w:r>
                        <w:rPr>
                          <w:rFonts w:ascii="Arial" w:eastAsia="Arial" w:hAnsi="Arial" w:cs="Arial"/>
                          <w:color w:val="000000"/>
                          <w:sz w:val="20"/>
                        </w:rPr>
                        <w:t>ion</w:t>
                      </w:r>
                      <w:proofErr w:type="spellEnd"/>
                      <w:r>
                        <w:rPr>
                          <w:rFonts w:ascii="Arial" w:eastAsia="Arial" w:hAnsi="Arial" w:cs="Arial"/>
                          <w:color w:val="000000"/>
                          <w:sz w:val="20"/>
                        </w:rPr>
                        <w:t xml:space="preserve"> ratio (FCR), and feed cost. The results showed that the best feed mixture of HI-PROVITE 781 pellets and boiled tuna flakes was found in treatment B (2% dose + 10 g), with an average weight gain of 1,515.00 g ± 422.26 g (3.35 times increase); </w:t>
                      </w:r>
                      <w:r w:rsidR="009228FC">
                        <w:rPr>
                          <w:rFonts w:ascii="Arial" w:eastAsia="Arial" w:hAnsi="Arial" w:cs="Arial"/>
                          <w:color w:val="000000"/>
                          <w:sz w:val="20"/>
                        </w:rPr>
                        <w:t>FCR</w:t>
                      </w:r>
                      <w:r>
                        <w:rPr>
                          <w:rFonts w:ascii="Arial" w:eastAsia="Arial" w:hAnsi="Arial" w:cs="Arial"/>
                          <w:color w:val="000000"/>
                          <w:sz w:val="20"/>
                        </w:rPr>
                        <w:t xml:space="preserve"> of 1.14 ± 0.11; feed cost of IDR 17,944.32 and the highest net income from feed at IDR 76,905.68</w:t>
                      </w:r>
                    </w:p>
                  </w:txbxContent>
                </v:textbox>
                <w10:wrap type="topAndBottom"/>
              </v:rect>
            </w:pict>
          </mc:Fallback>
        </mc:AlternateContent>
      </w:r>
      <w:r w:rsidR="00390DC6">
        <w:t>ABSTRACT</w:t>
      </w:r>
    </w:p>
    <w:p w14:paraId="76D05D88" w14:textId="3741D32F" w:rsidR="00FC69C6" w:rsidRDefault="00FC69C6">
      <w:pPr>
        <w:spacing w:before="11"/>
        <w:rPr>
          <w:rFonts w:ascii="Arial" w:eastAsia="Arial" w:hAnsi="Arial" w:cs="Arial"/>
          <w:b/>
          <w:color w:val="000000"/>
          <w:sz w:val="16"/>
          <w:szCs w:val="16"/>
        </w:rPr>
      </w:pPr>
    </w:p>
    <w:p w14:paraId="32A114F5" w14:textId="73D92CC0" w:rsidR="00FC69C6" w:rsidRDefault="00FC69C6">
      <w:pPr>
        <w:spacing w:before="8"/>
        <w:rPr>
          <w:rFonts w:ascii="Arial" w:eastAsia="Arial" w:hAnsi="Arial" w:cs="Arial"/>
          <w:b/>
          <w:color w:val="000000"/>
          <w:sz w:val="16"/>
          <w:szCs w:val="16"/>
        </w:rPr>
      </w:pPr>
    </w:p>
    <w:p w14:paraId="4E9739D4" w14:textId="2C4141F1" w:rsidR="00FC69C6" w:rsidRDefault="00390DC6">
      <w:pPr>
        <w:spacing w:before="93"/>
        <w:ind w:left="100"/>
        <w:rPr>
          <w:rFonts w:ascii="Arial" w:eastAsia="Arial" w:hAnsi="Arial" w:cs="Arial"/>
          <w:i/>
          <w:sz w:val="20"/>
          <w:szCs w:val="20"/>
        </w:rPr>
      </w:pPr>
      <w:r>
        <w:rPr>
          <w:rFonts w:ascii="Arial" w:eastAsia="Arial" w:hAnsi="Arial" w:cs="Arial"/>
          <w:i/>
          <w:sz w:val="20"/>
          <w:szCs w:val="20"/>
        </w:rPr>
        <w:t xml:space="preserve">Keywords: </w:t>
      </w:r>
      <w:proofErr w:type="spellStart"/>
      <w:r>
        <w:rPr>
          <w:rFonts w:ascii="Arial" w:eastAsia="Arial" w:hAnsi="Arial" w:cs="Arial"/>
          <w:i/>
          <w:sz w:val="20"/>
          <w:szCs w:val="20"/>
        </w:rPr>
        <w:t>Broodstock</w:t>
      </w:r>
      <w:proofErr w:type="spellEnd"/>
      <w:r>
        <w:rPr>
          <w:rFonts w:ascii="Arial" w:eastAsia="Arial" w:hAnsi="Arial" w:cs="Arial"/>
          <w:iCs/>
          <w:sz w:val="20"/>
          <w:szCs w:val="20"/>
        </w:rPr>
        <w:t>,</w:t>
      </w:r>
      <w:r>
        <w:rPr>
          <w:rFonts w:ascii="Arial" w:eastAsia="Arial" w:hAnsi="Arial" w:cs="Arial"/>
          <w:i/>
          <w:sz w:val="20"/>
          <w:szCs w:val="20"/>
        </w:rPr>
        <w:t xml:space="preserve"> FCR</w:t>
      </w:r>
      <w:r>
        <w:rPr>
          <w:rFonts w:ascii="Arial" w:eastAsia="Arial" w:hAnsi="Arial" w:cs="Arial"/>
          <w:iCs/>
          <w:sz w:val="20"/>
          <w:szCs w:val="20"/>
        </w:rPr>
        <w:t xml:space="preserve">, </w:t>
      </w:r>
      <w:r>
        <w:rPr>
          <w:rFonts w:ascii="Arial" w:eastAsia="Arial" w:hAnsi="Arial" w:cs="Arial"/>
          <w:i/>
          <w:sz w:val="20"/>
          <w:szCs w:val="20"/>
        </w:rPr>
        <w:t>Cost</w:t>
      </w:r>
      <w:r>
        <w:rPr>
          <w:rFonts w:ascii="Arial" w:eastAsia="Arial" w:hAnsi="Arial" w:cs="Arial"/>
          <w:iCs/>
          <w:sz w:val="20"/>
          <w:szCs w:val="20"/>
        </w:rPr>
        <w:t xml:space="preserve">, </w:t>
      </w:r>
      <w:r>
        <w:rPr>
          <w:rFonts w:ascii="Arial" w:eastAsia="Arial" w:hAnsi="Arial" w:cs="Arial"/>
          <w:i/>
          <w:sz w:val="20"/>
          <w:szCs w:val="20"/>
        </w:rPr>
        <w:t>Growth</w:t>
      </w:r>
      <w:r>
        <w:rPr>
          <w:rFonts w:ascii="Arial" w:eastAsia="Arial" w:hAnsi="Arial" w:cs="Arial"/>
          <w:iCs/>
          <w:sz w:val="20"/>
          <w:szCs w:val="20"/>
        </w:rPr>
        <w:t xml:space="preserve">, </w:t>
      </w:r>
      <w:r>
        <w:rPr>
          <w:rFonts w:ascii="Arial" w:eastAsia="Arial" w:hAnsi="Arial" w:cs="Arial"/>
          <w:i/>
          <w:sz w:val="20"/>
          <w:szCs w:val="20"/>
        </w:rPr>
        <w:t>Mixed Protein</w:t>
      </w:r>
      <w:r>
        <w:rPr>
          <w:rFonts w:ascii="Arial" w:eastAsia="Arial" w:hAnsi="Arial" w:cs="Arial"/>
          <w:iCs/>
          <w:sz w:val="20"/>
          <w:szCs w:val="20"/>
        </w:rPr>
        <w:t>,</w:t>
      </w:r>
      <w:r>
        <w:rPr>
          <w:rFonts w:ascii="Arial" w:eastAsia="Arial" w:hAnsi="Arial" w:cs="Arial"/>
          <w:i/>
          <w:sz w:val="20"/>
          <w:szCs w:val="20"/>
        </w:rPr>
        <w:t xml:space="preserve"> Transgenic Fish </w:t>
      </w:r>
    </w:p>
    <w:p w14:paraId="7F64AC89" w14:textId="77777777" w:rsidR="00FC69C6" w:rsidRDefault="00FC69C6">
      <w:pPr>
        <w:rPr>
          <w:rFonts w:ascii="Arial" w:eastAsia="Arial" w:hAnsi="Arial" w:cs="Arial"/>
          <w:sz w:val="20"/>
          <w:szCs w:val="20"/>
        </w:rPr>
      </w:pPr>
    </w:p>
    <w:p w14:paraId="1A0D2043" w14:textId="77777777" w:rsidR="00FC69C6" w:rsidRDefault="00FC69C6">
      <w:pPr>
        <w:rPr>
          <w:rFonts w:ascii="Arial" w:eastAsia="Arial" w:hAnsi="Arial" w:cs="Arial"/>
          <w:sz w:val="20"/>
          <w:szCs w:val="20"/>
        </w:rPr>
      </w:pPr>
    </w:p>
    <w:p w14:paraId="5AEEA41E" w14:textId="77777777" w:rsidR="00FC69C6" w:rsidRDefault="00FC69C6">
      <w:pPr>
        <w:rPr>
          <w:rFonts w:ascii="Arial" w:eastAsia="Arial" w:hAnsi="Arial" w:cs="Arial"/>
          <w:sz w:val="20"/>
          <w:szCs w:val="20"/>
        </w:rPr>
      </w:pPr>
    </w:p>
    <w:p w14:paraId="76126825" w14:textId="77777777" w:rsidR="00FC69C6" w:rsidRDefault="00FC69C6">
      <w:pPr>
        <w:rPr>
          <w:rFonts w:ascii="Arial" w:eastAsia="Arial" w:hAnsi="Arial" w:cs="Arial"/>
          <w:sz w:val="20"/>
          <w:szCs w:val="20"/>
        </w:rPr>
      </w:pPr>
    </w:p>
    <w:p w14:paraId="142D1936" w14:textId="77777777" w:rsidR="00FC69C6" w:rsidRDefault="00390DC6">
      <w:pPr>
        <w:tabs>
          <w:tab w:val="left" w:pos="1635"/>
        </w:tabs>
        <w:rPr>
          <w:rFonts w:ascii="Arial" w:eastAsia="Arial" w:hAnsi="Arial" w:cs="Arial"/>
          <w:sz w:val="20"/>
          <w:szCs w:val="20"/>
        </w:rPr>
      </w:pPr>
      <w:r>
        <w:rPr>
          <w:rFonts w:ascii="Arial" w:eastAsia="Arial" w:hAnsi="Arial" w:cs="Arial"/>
          <w:sz w:val="20"/>
          <w:szCs w:val="20"/>
        </w:rPr>
        <w:tab/>
      </w:r>
    </w:p>
    <w:p w14:paraId="544CCB7B" w14:textId="77777777" w:rsidR="00FC69C6" w:rsidRDefault="00FC69C6">
      <w:pPr>
        <w:rPr>
          <w:rFonts w:ascii="Arial" w:eastAsia="Arial" w:hAnsi="Arial" w:cs="Arial"/>
          <w:sz w:val="20"/>
          <w:szCs w:val="20"/>
        </w:rPr>
      </w:pPr>
    </w:p>
    <w:p w14:paraId="73273C87" w14:textId="77777777" w:rsidR="00FC69C6" w:rsidRDefault="00FC69C6">
      <w:pPr>
        <w:rPr>
          <w:rFonts w:ascii="Arial" w:eastAsia="Arial" w:hAnsi="Arial" w:cs="Arial"/>
          <w:sz w:val="20"/>
          <w:szCs w:val="20"/>
        </w:rPr>
      </w:pPr>
    </w:p>
    <w:p w14:paraId="08418204" w14:textId="77777777" w:rsidR="00FC69C6" w:rsidRDefault="00FC69C6">
      <w:pPr>
        <w:rPr>
          <w:rFonts w:ascii="Arial" w:eastAsia="Arial" w:hAnsi="Arial" w:cs="Arial"/>
          <w:sz w:val="20"/>
          <w:szCs w:val="20"/>
        </w:rPr>
      </w:pPr>
    </w:p>
    <w:p w14:paraId="3FF53BC7" w14:textId="77777777" w:rsidR="00FC69C6" w:rsidRDefault="00FC69C6">
      <w:pPr>
        <w:rPr>
          <w:rFonts w:ascii="Arial" w:eastAsia="Arial" w:hAnsi="Arial" w:cs="Arial"/>
          <w:sz w:val="20"/>
          <w:szCs w:val="20"/>
        </w:rPr>
      </w:pPr>
    </w:p>
    <w:p w14:paraId="189394C2" w14:textId="77777777" w:rsidR="00FC69C6" w:rsidRDefault="00FC69C6">
      <w:pPr>
        <w:rPr>
          <w:rFonts w:ascii="Arial" w:eastAsia="Arial" w:hAnsi="Arial" w:cs="Arial"/>
          <w:sz w:val="20"/>
          <w:szCs w:val="20"/>
        </w:rPr>
      </w:pPr>
    </w:p>
    <w:p w14:paraId="5B4BA9F4" w14:textId="77777777" w:rsidR="00FC69C6" w:rsidRDefault="00FC69C6">
      <w:pPr>
        <w:rPr>
          <w:rFonts w:ascii="Arial" w:eastAsia="Arial" w:hAnsi="Arial" w:cs="Arial"/>
          <w:sz w:val="20"/>
          <w:szCs w:val="20"/>
        </w:rPr>
      </w:pPr>
    </w:p>
    <w:p w14:paraId="76768B43" w14:textId="77777777" w:rsidR="00FC69C6" w:rsidRDefault="00FC69C6">
      <w:pPr>
        <w:rPr>
          <w:rFonts w:ascii="Arial" w:eastAsia="Arial" w:hAnsi="Arial" w:cs="Arial"/>
          <w:sz w:val="20"/>
          <w:szCs w:val="20"/>
        </w:rPr>
      </w:pPr>
    </w:p>
    <w:p w14:paraId="18E28B7A" w14:textId="77777777" w:rsidR="00FC69C6" w:rsidRDefault="00FC69C6">
      <w:pPr>
        <w:rPr>
          <w:rFonts w:ascii="Arial" w:eastAsia="Arial" w:hAnsi="Arial" w:cs="Arial"/>
          <w:sz w:val="20"/>
          <w:szCs w:val="20"/>
        </w:rPr>
      </w:pPr>
    </w:p>
    <w:p w14:paraId="10127FEE" w14:textId="77777777" w:rsidR="00FC69C6" w:rsidRDefault="00FC69C6">
      <w:pPr>
        <w:rPr>
          <w:rFonts w:ascii="Arial" w:eastAsia="Arial" w:hAnsi="Arial" w:cs="Arial"/>
          <w:sz w:val="20"/>
          <w:szCs w:val="20"/>
        </w:rPr>
      </w:pPr>
    </w:p>
    <w:p w14:paraId="2FE4F3DA" w14:textId="77777777" w:rsidR="00FC69C6" w:rsidRDefault="00FC69C6">
      <w:pPr>
        <w:rPr>
          <w:rFonts w:ascii="Arial" w:eastAsia="Arial" w:hAnsi="Arial" w:cs="Arial"/>
          <w:sz w:val="20"/>
          <w:szCs w:val="20"/>
        </w:rPr>
      </w:pPr>
    </w:p>
    <w:p w14:paraId="2C2E9F0E" w14:textId="77777777" w:rsidR="00FC69C6" w:rsidRDefault="00FC69C6">
      <w:pPr>
        <w:rPr>
          <w:rFonts w:ascii="Arial" w:eastAsia="Arial" w:hAnsi="Arial" w:cs="Arial"/>
          <w:sz w:val="20"/>
          <w:szCs w:val="20"/>
        </w:rPr>
      </w:pPr>
    </w:p>
    <w:p w14:paraId="614C3C03" w14:textId="77777777" w:rsidR="00FC69C6" w:rsidRDefault="00FC69C6">
      <w:pPr>
        <w:rPr>
          <w:rFonts w:ascii="Arial" w:eastAsia="Arial" w:hAnsi="Arial" w:cs="Arial"/>
          <w:sz w:val="20"/>
          <w:szCs w:val="20"/>
        </w:rPr>
      </w:pPr>
    </w:p>
    <w:p w14:paraId="5EC6B6D5" w14:textId="77777777" w:rsidR="00FC69C6" w:rsidRDefault="00FC69C6">
      <w:pPr>
        <w:rPr>
          <w:rFonts w:ascii="Arial" w:eastAsia="Arial" w:hAnsi="Arial" w:cs="Arial"/>
          <w:sz w:val="20"/>
          <w:szCs w:val="20"/>
        </w:rPr>
      </w:pPr>
    </w:p>
    <w:p w14:paraId="0861285D" w14:textId="77777777" w:rsidR="00FC69C6" w:rsidRDefault="00FC69C6">
      <w:pPr>
        <w:rPr>
          <w:rFonts w:ascii="Arial" w:eastAsia="Arial" w:hAnsi="Arial" w:cs="Arial"/>
          <w:sz w:val="20"/>
          <w:szCs w:val="20"/>
        </w:rPr>
      </w:pPr>
    </w:p>
    <w:p w14:paraId="0F78B2FF" w14:textId="77777777" w:rsidR="00FC69C6" w:rsidRDefault="00FC69C6">
      <w:pPr>
        <w:rPr>
          <w:rFonts w:ascii="Arial" w:eastAsia="Arial" w:hAnsi="Arial" w:cs="Arial"/>
          <w:sz w:val="20"/>
          <w:szCs w:val="20"/>
        </w:rPr>
      </w:pPr>
    </w:p>
    <w:p w14:paraId="5E697475" w14:textId="77777777" w:rsidR="00FC69C6" w:rsidRDefault="00FC69C6">
      <w:pPr>
        <w:rPr>
          <w:rFonts w:ascii="Arial" w:eastAsia="Arial" w:hAnsi="Arial" w:cs="Arial"/>
          <w:sz w:val="20"/>
          <w:szCs w:val="20"/>
        </w:rPr>
        <w:sectPr w:rsidR="00FC69C6">
          <w:headerReference w:type="even" r:id="rId9"/>
          <w:headerReference w:type="default" r:id="rId10"/>
          <w:footerReference w:type="even" r:id="rId11"/>
          <w:footerReference w:type="default" r:id="rId12"/>
          <w:headerReference w:type="first" r:id="rId13"/>
          <w:footerReference w:type="first" r:id="rId14"/>
          <w:pgSz w:w="11910" w:h="16840"/>
          <w:pgMar w:top="1140" w:right="1320" w:bottom="280" w:left="1340" w:header="720" w:footer="720" w:gutter="0"/>
          <w:pgNumType w:start="1"/>
          <w:cols w:space="720"/>
        </w:sectPr>
      </w:pPr>
    </w:p>
    <w:p w14:paraId="1A925AE7" w14:textId="77777777" w:rsidR="00FC69C6" w:rsidRDefault="00FC69C6">
      <w:pPr>
        <w:rPr>
          <w:rFonts w:ascii="Arial" w:eastAsia="Arial" w:hAnsi="Arial" w:cs="Arial"/>
          <w:sz w:val="11"/>
          <w:szCs w:val="11"/>
        </w:rPr>
        <w:sectPr w:rsidR="00FC69C6">
          <w:headerReference w:type="even" r:id="rId15"/>
          <w:headerReference w:type="default" r:id="rId16"/>
          <w:footerReference w:type="default" r:id="rId17"/>
          <w:headerReference w:type="first" r:id="rId18"/>
          <w:pgSz w:w="11910" w:h="16840"/>
          <w:pgMar w:top="1620" w:right="1320" w:bottom="1260" w:left="1340" w:header="1437" w:footer="1070" w:gutter="0"/>
          <w:pgNumType w:start="2"/>
          <w:cols w:space="720"/>
        </w:sectPr>
      </w:pPr>
    </w:p>
    <w:p w14:paraId="7BB5FE12" w14:textId="77777777" w:rsidR="00FC69C6" w:rsidRDefault="00390DC6">
      <w:pPr>
        <w:pStyle w:val="Heading1"/>
        <w:numPr>
          <w:ilvl w:val="0"/>
          <w:numId w:val="14"/>
        </w:numPr>
        <w:tabs>
          <w:tab w:val="left" w:pos="346"/>
        </w:tabs>
        <w:spacing w:before="93"/>
      </w:pPr>
      <w:r>
        <w:t>INTRODUCTION</w:t>
      </w:r>
    </w:p>
    <w:p w14:paraId="0FE0F48C" w14:textId="77777777" w:rsidR="00FC69C6" w:rsidRDefault="00FC69C6">
      <w:pPr>
        <w:ind w:firstLine="99"/>
        <w:jc w:val="both"/>
        <w:rPr>
          <w:rFonts w:ascii="Arial" w:eastAsia="Arial" w:hAnsi="Arial" w:cs="Arial"/>
          <w:color w:val="000000"/>
          <w:sz w:val="20"/>
          <w:szCs w:val="20"/>
        </w:rPr>
      </w:pPr>
    </w:p>
    <w:p w14:paraId="24FC8EA5" w14:textId="77777777" w:rsidR="00FC69C6" w:rsidRDefault="00390DC6">
      <w:pPr>
        <w:jc w:val="both"/>
        <w:rPr>
          <w:rFonts w:ascii="Arial" w:eastAsia="Arial" w:hAnsi="Arial" w:cs="Arial"/>
          <w:color w:val="000000"/>
          <w:sz w:val="20"/>
          <w:szCs w:val="20"/>
        </w:rPr>
      </w:pPr>
      <w:r w:rsidRPr="003E6384">
        <w:rPr>
          <w:rFonts w:ascii="Arial" w:eastAsia="Arial" w:hAnsi="Arial" w:cs="Arial"/>
          <w:i/>
          <w:iCs/>
          <w:color w:val="FF0000"/>
          <w:sz w:val="20"/>
          <w:szCs w:val="20"/>
        </w:rPr>
        <w:t>Mutiara</w:t>
      </w:r>
      <w:r>
        <w:rPr>
          <w:rFonts w:ascii="Arial" w:eastAsia="Arial" w:hAnsi="Arial" w:cs="Arial"/>
          <w:color w:val="FF0000"/>
          <w:sz w:val="20"/>
          <w:szCs w:val="20"/>
          <w:highlight w:val="yellow"/>
        </w:rPr>
        <w:t xml:space="preserve"> catfish (</w:t>
      </w:r>
      <w:proofErr w:type="spellStart"/>
      <w:r>
        <w:rPr>
          <w:rFonts w:ascii="Arial" w:eastAsia="Arial" w:hAnsi="Arial" w:cs="Arial"/>
          <w:i/>
          <w:iCs/>
          <w:color w:val="FF0000"/>
          <w:sz w:val="20"/>
          <w:szCs w:val="20"/>
          <w:highlight w:val="yellow"/>
        </w:rPr>
        <w:t>Clarias</w:t>
      </w:r>
      <w:proofErr w:type="spellEnd"/>
      <w:r>
        <w:rPr>
          <w:rFonts w:ascii="Arial" w:eastAsia="Arial" w:hAnsi="Arial" w:cs="Arial"/>
          <w:i/>
          <w:iCs/>
          <w:color w:val="FF0000"/>
          <w:sz w:val="20"/>
          <w:szCs w:val="20"/>
          <w:highlight w:val="yellow"/>
        </w:rPr>
        <w:t xml:space="preserve"> </w:t>
      </w:r>
      <w:proofErr w:type="spellStart"/>
      <w:r>
        <w:rPr>
          <w:rFonts w:ascii="Arial" w:eastAsia="Arial" w:hAnsi="Arial" w:cs="Arial"/>
          <w:i/>
          <w:iCs/>
          <w:color w:val="FF0000"/>
          <w:sz w:val="20"/>
          <w:szCs w:val="20"/>
          <w:highlight w:val="yellow"/>
        </w:rPr>
        <w:t>gariepinus</w:t>
      </w:r>
      <w:proofErr w:type="spellEnd"/>
      <w:r>
        <w:rPr>
          <w:rFonts w:ascii="Arial" w:eastAsia="Arial" w:hAnsi="Arial" w:cs="Arial"/>
          <w:color w:val="FF0000"/>
          <w:sz w:val="20"/>
          <w:szCs w:val="20"/>
          <w:highlight w:val="yellow"/>
        </w:rPr>
        <w:t>)</w:t>
      </w:r>
      <w:r>
        <w:rPr>
          <w:rFonts w:ascii="Arial" w:eastAsia="Arial" w:hAnsi="Arial" w:cs="Arial"/>
          <w:color w:val="FF0000"/>
          <w:sz w:val="20"/>
          <w:szCs w:val="20"/>
        </w:rPr>
        <w:t xml:space="preserve"> </w:t>
      </w:r>
      <w:r>
        <w:rPr>
          <w:rFonts w:ascii="Arial" w:eastAsia="Arial" w:hAnsi="Arial" w:cs="Arial"/>
          <w:color w:val="000000"/>
          <w:sz w:val="20"/>
          <w:szCs w:val="20"/>
        </w:rPr>
        <w:t xml:space="preserve">is a superior strain of African catfish developed by the Fish Breeding Research Center in </w:t>
      </w:r>
      <w:proofErr w:type="spellStart"/>
      <w:r>
        <w:rPr>
          <w:rFonts w:ascii="Arial" w:eastAsia="Arial" w:hAnsi="Arial" w:cs="Arial"/>
          <w:color w:val="000000"/>
          <w:sz w:val="20"/>
          <w:szCs w:val="20"/>
        </w:rPr>
        <w:t>Sukamandi</w:t>
      </w:r>
      <w:proofErr w:type="spellEnd"/>
      <w:r>
        <w:rPr>
          <w:rFonts w:ascii="Arial" w:eastAsia="Arial" w:hAnsi="Arial" w:cs="Arial"/>
          <w:color w:val="000000"/>
          <w:sz w:val="20"/>
          <w:szCs w:val="20"/>
        </w:rPr>
        <w:t xml:space="preserve">, Indonesia. This strain was produced through crossbreeding four African catfish strains commonly found in Indonesia—Egyptian, </w:t>
      </w:r>
      <w:proofErr w:type="spellStart"/>
      <w:r>
        <w:rPr>
          <w:rFonts w:ascii="Arial" w:eastAsia="Arial" w:hAnsi="Arial" w:cs="Arial"/>
          <w:color w:val="000000"/>
          <w:sz w:val="20"/>
          <w:szCs w:val="20"/>
        </w:rPr>
        <w:t>Paiton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Sangkuriang</w:t>
      </w:r>
      <w:proofErr w:type="spellEnd"/>
      <w:r>
        <w:rPr>
          <w:rFonts w:ascii="Arial" w:eastAsia="Arial" w:hAnsi="Arial" w:cs="Arial"/>
          <w:color w:val="000000"/>
          <w:sz w:val="20"/>
          <w:szCs w:val="20"/>
        </w:rPr>
        <w:t>, and Dumbo—followed by three generations of individual selection focused on growth rate improvement. It is well known for its rapid growth (20–70% faster) and high feed efficiency compared to other local catfish strains</w:t>
      </w:r>
      <w:r>
        <w:rPr>
          <w:rFonts w:ascii="Arial" w:eastAsia="Arial" w:hAnsi="Arial" w:cs="Arial"/>
          <w:color w:val="000000"/>
          <w:sz w:val="20"/>
          <w:szCs w:val="20"/>
          <w:lang w:val="id-ID"/>
        </w:rPr>
        <w:t xml:space="preserve"> [1]</w:t>
      </w:r>
      <w:r>
        <w:rPr>
          <w:rFonts w:ascii="Arial" w:eastAsia="Arial" w:hAnsi="Arial" w:cs="Arial"/>
          <w:color w:val="000000"/>
          <w:sz w:val="20"/>
          <w:szCs w:val="20"/>
        </w:rPr>
        <w:t>.</w:t>
      </w:r>
      <w:r>
        <w:rPr>
          <w:rFonts w:ascii="Arial" w:eastAsia="Arial" w:hAnsi="Arial" w:cs="Arial"/>
          <w:color w:val="000000"/>
          <w:sz w:val="20"/>
          <w:szCs w:val="20"/>
          <w:lang w:val="id-ID"/>
        </w:rPr>
        <w:t xml:space="preserve"> </w:t>
      </w:r>
      <w:r>
        <w:rPr>
          <w:rFonts w:ascii="Arial" w:eastAsia="Arial" w:hAnsi="Arial" w:cs="Arial"/>
          <w:color w:val="000000"/>
          <w:sz w:val="20"/>
          <w:szCs w:val="20"/>
        </w:rPr>
        <w:t xml:space="preserve">However, the superior growth trait of </w:t>
      </w:r>
      <w:proofErr w:type="spellStart"/>
      <w:r w:rsidRPr="00006625">
        <w:rPr>
          <w:rFonts w:ascii="Arial" w:eastAsia="Arial" w:hAnsi="Arial" w:cs="Arial"/>
          <w:i/>
          <w:iCs/>
          <w:color w:val="000000"/>
          <w:sz w:val="20"/>
          <w:szCs w:val="20"/>
        </w:rPr>
        <w:t>mutiara</w:t>
      </w:r>
      <w:proofErr w:type="spellEnd"/>
      <w:r>
        <w:rPr>
          <w:rFonts w:ascii="Arial" w:eastAsia="Arial" w:hAnsi="Arial" w:cs="Arial"/>
          <w:color w:val="000000"/>
          <w:sz w:val="20"/>
          <w:szCs w:val="20"/>
        </w:rPr>
        <w:t xml:space="preserve"> catfish has shown instability across generations, with only slight improvements observed in advanced lines.</w:t>
      </w:r>
    </w:p>
    <w:p w14:paraId="07F91255" w14:textId="77777777" w:rsidR="00FC69C6" w:rsidRDefault="00FC69C6">
      <w:pPr>
        <w:jc w:val="both"/>
        <w:rPr>
          <w:rFonts w:ascii="Arial" w:eastAsia="Arial" w:hAnsi="Arial" w:cs="Arial"/>
          <w:color w:val="000000"/>
          <w:sz w:val="20"/>
          <w:szCs w:val="20"/>
        </w:rPr>
      </w:pPr>
    </w:p>
    <w:p w14:paraId="7940F7CE" w14:textId="396097E5" w:rsidR="00FC69C6" w:rsidRDefault="00390DC6">
      <w:pPr>
        <w:jc w:val="both"/>
        <w:rPr>
          <w:rFonts w:ascii="Arial" w:eastAsia="Arial" w:hAnsi="Arial" w:cs="Arial"/>
          <w:color w:val="000000"/>
          <w:sz w:val="20"/>
          <w:szCs w:val="20"/>
        </w:rPr>
      </w:pPr>
      <w:r>
        <w:rPr>
          <w:rFonts w:ascii="Arial" w:eastAsia="Arial" w:hAnsi="Arial" w:cs="Arial"/>
          <w:color w:val="000000"/>
          <w:sz w:val="20"/>
          <w:szCs w:val="20"/>
        </w:rPr>
        <w:t>To improve growth stability, transgenesis technology was applied by inserting the growth hormone gene (</w:t>
      </w:r>
      <w:proofErr w:type="spellStart"/>
      <w:r>
        <w:rPr>
          <w:rFonts w:ascii="Arial" w:eastAsia="Arial" w:hAnsi="Arial" w:cs="Arial"/>
          <w:i/>
          <w:iCs/>
          <w:color w:val="000000"/>
          <w:sz w:val="20"/>
          <w:szCs w:val="20"/>
        </w:rPr>
        <w:t>CgGH</w:t>
      </w:r>
      <w:proofErr w:type="spellEnd"/>
      <w:r>
        <w:rPr>
          <w:rFonts w:ascii="Arial" w:eastAsia="Arial" w:hAnsi="Arial" w:cs="Arial"/>
          <w:color w:val="000000"/>
          <w:sz w:val="20"/>
          <w:szCs w:val="20"/>
        </w:rPr>
        <w:t xml:space="preserve">) from Dumbo catfish into the sperm of male </w:t>
      </w:r>
      <w:proofErr w:type="spellStart"/>
      <w:r w:rsidRPr="003E6384">
        <w:rPr>
          <w:rFonts w:ascii="Arial" w:eastAsia="Arial" w:hAnsi="Arial" w:cs="Arial"/>
          <w:i/>
          <w:iCs/>
          <w:color w:val="000000"/>
          <w:sz w:val="20"/>
          <w:szCs w:val="20"/>
          <w:highlight w:val="yellow"/>
        </w:rPr>
        <w:t>mutiara</w:t>
      </w:r>
      <w:proofErr w:type="spellEnd"/>
      <w:r>
        <w:rPr>
          <w:rFonts w:ascii="Arial" w:eastAsia="Arial" w:hAnsi="Arial" w:cs="Arial"/>
          <w:color w:val="000000"/>
          <w:sz w:val="20"/>
          <w:szCs w:val="20"/>
        </w:rPr>
        <w:t xml:space="preserve"> catfish. As a result, transgenic catfish exhibited significantly enhanced and more stable growth: G0 (2-3 times)</w:t>
      </w:r>
      <w:r>
        <w:rPr>
          <w:rFonts w:ascii="Arial" w:eastAsia="Arial" w:hAnsi="Arial" w:cs="Arial"/>
          <w:color w:val="000000"/>
          <w:sz w:val="20"/>
          <w:szCs w:val="20"/>
          <w:lang w:val="id-ID"/>
        </w:rPr>
        <w:t xml:space="preserve"> [2]</w:t>
      </w:r>
      <w:r>
        <w:rPr>
          <w:rFonts w:ascii="Arial" w:eastAsia="Arial" w:hAnsi="Arial" w:cs="Arial"/>
          <w:color w:val="000000"/>
          <w:sz w:val="20"/>
          <w:szCs w:val="20"/>
        </w:rPr>
        <w:t>, G1 (3 times)</w:t>
      </w:r>
      <w:r>
        <w:rPr>
          <w:rFonts w:ascii="Arial" w:eastAsia="Arial" w:hAnsi="Arial" w:cs="Arial"/>
          <w:color w:val="000000"/>
          <w:sz w:val="20"/>
          <w:szCs w:val="20"/>
          <w:lang w:val="id-ID"/>
        </w:rPr>
        <w:t xml:space="preserve"> [3]</w:t>
      </w:r>
      <w:r>
        <w:rPr>
          <w:rFonts w:ascii="Arial" w:eastAsia="Arial" w:hAnsi="Arial" w:cs="Arial"/>
          <w:color w:val="000000"/>
          <w:sz w:val="20"/>
          <w:szCs w:val="20"/>
        </w:rPr>
        <w:t xml:space="preserve">, G2 (3-4 times), G3 (2-3 times) </w:t>
      </w:r>
      <w:r>
        <w:rPr>
          <w:rFonts w:ascii="Arial" w:eastAsia="Arial" w:hAnsi="Arial" w:cs="Arial"/>
          <w:color w:val="000000"/>
          <w:sz w:val="20"/>
          <w:szCs w:val="20"/>
          <w:lang w:val="id-ID"/>
        </w:rPr>
        <w:t>[4]</w:t>
      </w:r>
      <w:r>
        <w:rPr>
          <w:rFonts w:ascii="Arial" w:eastAsia="Arial" w:hAnsi="Arial" w:cs="Arial"/>
          <w:color w:val="000000"/>
          <w:sz w:val="20"/>
          <w:szCs w:val="20"/>
        </w:rPr>
        <w:t>, and G4 (2 times) faster growth than non</w:t>
      </w:r>
      <w:r w:rsidR="00E71D47">
        <w:rPr>
          <w:rFonts w:ascii="Arial" w:eastAsia="Arial" w:hAnsi="Arial" w:cs="Arial"/>
          <w:color w:val="000000"/>
          <w:sz w:val="20"/>
          <w:szCs w:val="20"/>
        </w:rPr>
        <w:t>-</w:t>
      </w:r>
      <w:r>
        <w:rPr>
          <w:rFonts w:ascii="Arial" w:eastAsia="Arial" w:hAnsi="Arial" w:cs="Arial"/>
          <w:color w:val="000000"/>
          <w:sz w:val="20"/>
          <w:szCs w:val="20"/>
        </w:rPr>
        <w:t>transgenic catfish, particularly from fry to market size under indoor hatchery conditions</w:t>
      </w:r>
      <w:r>
        <w:rPr>
          <w:rFonts w:ascii="Arial" w:eastAsia="Arial" w:hAnsi="Arial" w:cs="Arial"/>
          <w:color w:val="000000"/>
          <w:sz w:val="20"/>
          <w:szCs w:val="20"/>
          <w:lang w:val="id-ID"/>
        </w:rPr>
        <w:t xml:space="preserve"> [5]</w:t>
      </w:r>
      <w:r>
        <w:rPr>
          <w:rFonts w:ascii="Arial" w:eastAsia="Arial" w:hAnsi="Arial" w:cs="Arial"/>
          <w:color w:val="000000"/>
          <w:sz w:val="20"/>
          <w:szCs w:val="20"/>
        </w:rPr>
        <w:t xml:space="preserve">. These findings indicate that the exogenous </w:t>
      </w:r>
      <w:proofErr w:type="spellStart"/>
      <w:r>
        <w:rPr>
          <w:rFonts w:ascii="Arial" w:eastAsia="Arial" w:hAnsi="Arial" w:cs="Arial"/>
          <w:i/>
          <w:iCs/>
          <w:color w:val="000000"/>
          <w:sz w:val="20"/>
          <w:szCs w:val="20"/>
        </w:rPr>
        <w:t>CgG</w:t>
      </w:r>
      <w:proofErr w:type="spellEnd"/>
      <w:r>
        <w:rPr>
          <w:rFonts w:ascii="Arial" w:eastAsia="Arial" w:hAnsi="Arial" w:cs="Arial"/>
          <w:i/>
          <w:iCs/>
          <w:color w:val="000000"/>
          <w:sz w:val="20"/>
          <w:szCs w:val="20"/>
          <w:lang w:val="id-ID"/>
        </w:rPr>
        <w:t>H</w:t>
      </w:r>
      <w:r>
        <w:rPr>
          <w:rFonts w:ascii="Arial" w:eastAsia="Arial" w:hAnsi="Arial" w:cs="Arial"/>
          <w:color w:val="000000"/>
          <w:sz w:val="20"/>
          <w:szCs w:val="20"/>
        </w:rPr>
        <w:t xml:space="preserve"> gene has been stably inherited from G0 to G4 generations. Other advantages of the transgenic</w:t>
      </w:r>
      <w:r w:rsidRPr="00006625">
        <w:rPr>
          <w:rFonts w:ascii="Arial" w:eastAsia="Arial" w:hAnsi="Arial" w:cs="Arial"/>
          <w:i/>
          <w:iCs/>
          <w:color w:val="000000"/>
          <w:sz w:val="20"/>
          <w:szCs w:val="20"/>
        </w:rPr>
        <w:t xml:space="preserve"> </w:t>
      </w:r>
      <w:proofErr w:type="spellStart"/>
      <w:r w:rsidRPr="003E6384">
        <w:rPr>
          <w:rFonts w:ascii="Arial" w:eastAsia="Arial" w:hAnsi="Arial" w:cs="Arial"/>
          <w:i/>
          <w:iCs/>
          <w:color w:val="000000"/>
          <w:sz w:val="20"/>
          <w:szCs w:val="20"/>
          <w:highlight w:val="yellow"/>
        </w:rPr>
        <w:t>mutiara</w:t>
      </w:r>
      <w:proofErr w:type="spellEnd"/>
      <w:r>
        <w:rPr>
          <w:rFonts w:ascii="Arial" w:eastAsia="Arial" w:hAnsi="Arial" w:cs="Arial"/>
          <w:color w:val="000000"/>
          <w:sz w:val="20"/>
          <w:szCs w:val="20"/>
        </w:rPr>
        <w:t xml:space="preserve"> catfish include higher feed intake, responsiveness to feeding, adaptability to both fresh and formulated feeds, and lower stress levels, which contribute to improved growth performance and feed efficiency compared to non</w:t>
      </w:r>
      <w:r w:rsidR="00006625">
        <w:rPr>
          <w:rFonts w:ascii="Arial" w:eastAsia="Arial" w:hAnsi="Arial" w:cs="Arial"/>
          <w:color w:val="000000"/>
          <w:sz w:val="20"/>
          <w:szCs w:val="20"/>
        </w:rPr>
        <w:t>-</w:t>
      </w:r>
      <w:r>
        <w:rPr>
          <w:rFonts w:ascii="Arial" w:eastAsia="Arial" w:hAnsi="Arial" w:cs="Arial"/>
          <w:color w:val="000000"/>
          <w:sz w:val="20"/>
          <w:szCs w:val="20"/>
        </w:rPr>
        <w:t>transgenic strains</w:t>
      </w:r>
      <w:r>
        <w:rPr>
          <w:rFonts w:ascii="Arial" w:eastAsia="Arial" w:hAnsi="Arial" w:cs="Arial"/>
          <w:color w:val="000000"/>
          <w:sz w:val="20"/>
          <w:szCs w:val="20"/>
          <w:lang w:val="id-ID"/>
        </w:rPr>
        <w:t xml:space="preserve"> [6]</w:t>
      </w:r>
      <w:r>
        <w:rPr>
          <w:rFonts w:ascii="Arial" w:eastAsia="Arial" w:hAnsi="Arial" w:cs="Arial"/>
          <w:color w:val="000000"/>
          <w:sz w:val="20"/>
          <w:szCs w:val="20"/>
        </w:rPr>
        <w:t xml:space="preserve">. Consequently, the transgenic </w:t>
      </w:r>
      <w:proofErr w:type="spellStart"/>
      <w:r w:rsidRPr="00006625">
        <w:rPr>
          <w:rFonts w:ascii="Arial" w:eastAsia="Arial" w:hAnsi="Arial" w:cs="Arial"/>
          <w:i/>
          <w:iCs/>
          <w:color w:val="000000"/>
          <w:sz w:val="20"/>
          <w:szCs w:val="20"/>
        </w:rPr>
        <w:t>mutiara</w:t>
      </w:r>
      <w:proofErr w:type="spellEnd"/>
      <w:r>
        <w:rPr>
          <w:rFonts w:ascii="Arial" w:eastAsia="Arial" w:hAnsi="Arial" w:cs="Arial"/>
          <w:color w:val="000000"/>
          <w:sz w:val="20"/>
          <w:szCs w:val="20"/>
        </w:rPr>
        <w:t xml:space="preserve"> catfish exhibit a low </w:t>
      </w:r>
      <w:r w:rsidR="00006625" w:rsidRPr="003E6384">
        <w:rPr>
          <w:rFonts w:ascii="Arial" w:eastAsia="Arial" w:hAnsi="Arial" w:cs="Arial"/>
          <w:i/>
          <w:iCs/>
          <w:color w:val="000000"/>
          <w:sz w:val="20"/>
          <w:szCs w:val="20"/>
          <w:highlight w:val="yellow"/>
        </w:rPr>
        <w:t>f</w:t>
      </w:r>
      <w:r w:rsidRPr="003E6384">
        <w:rPr>
          <w:rFonts w:ascii="Arial" w:eastAsia="Arial" w:hAnsi="Arial" w:cs="Arial"/>
          <w:i/>
          <w:iCs/>
          <w:color w:val="000000"/>
          <w:sz w:val="20"/>
          <w:szCs w:val="20"/>
          <w:highlight w:val="yellow"/>
        </w:rPr>
        <w:t xml:space="preserve">eed </w:t>
      </w:r>
      <w:r w:rsidR="00006625" w:rsidRPr="003E6384">
        <w:rPr>
          <w:rFonts w:ascii="Arial" w:eastAsia="Arial" w:hAnsi="Arial" w:cs="Arial"/>
          <w:i/>
          <w:iCs/>
          <w:color w:val="000000"/>
          <w:sz w:val="20"/>
          <w:szCs w:val="20"/>
          <w:highlight w:val="yellow"/>
        </w:rPr>
        <w:t>c</w:t>
      </w:r>
      <w:r w:rsidRPr="003E6384">
        <w:rPr>
          <w:rFonts w:ascii="Arial" w:eastAsia="Arial" w:hAnsi="Arial" w:cs="Arial"/>
          <w:i/>
          <w:iCs/>
          <w:color w:val="000000"/>
          <w:sz w:val="20"/>
          <w:szCs w:val="20"/>
          <w:highlight w:val="yellow"/>
        </w:rPr>
        <w:t xml:space="preserve">onversion </w:t>
      </w:r>
      <w:r w:rsidR="00006625" w:rsidRPr="003E6384">
        <w:rPr>
          <w:rFonts w:ascii="Arial" w:eastAsia="Arial" w:hAnsi="Arial" w:cs="Arial"/>
          <w:i/>
          <w:iCs/>
          <w:color w:val="000000"/>
          <w:sz w:val="20"/>
          <w:szCs w:val="20"/>
          <w:highlight w:val="yellow"/>
        </w:rPr>
        <w:t>r</w:t>
      </w:r>
      <w:r w:rsidRPr="003E6384">
        <w:rPr>
          <w:rFonts w:ascii="Arial" w:eastAsia="Arial" w:hAnsi="Arial" w:cs="Arial"/>
          <w:i/>
          <w:iCs/>
          <w:color w:val="000000"/>
          <w:sz w:val="20"/>
          <w:szCs w:val="20"/>
          <w:highlight w:val="yellow"/>
        </w:rPr>
        <w:t>atio</w:t>
      </w:r>
      <w:r>
        <w:rPr>
          <w:rFonts w:ascii="Arial" w:eastAsia="Arial" w:hAnsi="Arial" w:cs="Arial"/>
          <w:color w:val="000000"/>
          <w:sz w:val="20"/>
          <w:szCs w:val="20"/>
        </w:rPr>
        <w:t xml:space="preserve"> (FCR &lt; 1). However, the growth performance of G4 fish in the </w:t>
      </w:r>
      <w:r w:rsidR="00DA61CE">
        <w:rPr>
          <w:rFonts w:ascii="Arial" w:eastAsia="Arial" w:hAnsi="Arial" w:cs="Arial"/>
          <w:color w:val="000000"/>
          <w:sz w:val="20"/>
          <w:szCs w:val="20"/>
          <w:highlight w:val="yellow"/>
        </w:rPr>
        <w:t>sub</w:t>
      </w:r>
      <w:r w:rsidRPr="00DA61CE">
        <w:rPr>
          <w:rFonts w:ascii="Arial" w:eastAsia="Arial" w:hAnsi="Arial" w:cs="Arial"/>
          <w:color w:val="000000"/>
          <w:sz w:val="20"/>
          <w:szCs w:val="20"/>
          <w:highlight w:val="yellow"/>
        </w:rPr>
        <w:t>-</w:t>
      </w:r>
      <w:r w:rsidR="00DA61CE" w:rsidRPr="00DA61CE">
        <w:rPr>
          <w:rFonts w:ascii="Arial" w:eastAsia="Arial" w:hAnsi="Arial" w:cs="Arial"/>
          <w:color w:val="000000"/>
          <w:sz w:val="20"/>
          <w:szCs w:val="20"/>
          <w:highlight w:val="yellow"/>
        </w:rPr>
        <w:t>adult</w:t>
      </w:r>
      <w:r>
        <w:rPr>
          <w:rFonts w:ascii="Arial" w:eastAsia="Arial" w:hAnsi="Arial" w:cs="Arial"/>
          <w:color w:val="000000"/>
          <w:sz w:val="20"/>
          <w:szCs w:val="20"/>
        </w:rPr>
        <w:t xml:space="preserve"> phase toward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xml:space="preserve"> size has not yet been adequately evaluated, particularly in terms of </w:t>
      </w:r>
      <w:r w:rsidR="00006625" w:rsidRPr="003E6384">
        <w:rPr>
          <w:rFonts w:ascii="Arial" w:eastAsia="Arial" w:hAnsi="Arial" w:cs="Arial"/>
          <w:i/>
          <w:iCs/>
          <w:color w:val="000000"/>
          <w:sz w:val="20"/>
          <w:szCs w:val="20"/>
          <w:highlight w:val="yellow"/>
        </w:rPr>
        <w:t>a</w:t>
      </w:r>
      <w:r w:rsidRPr="003E6384">
        <w:rPr>
          <w:rFonts w:ascii="Arial" w:eastAsia="Arial" w:hAnsi="Arial" w:cs="Arial"/>
          <w:i/>
          <w:iCs/>
          <w:color w:val="000000"/>
          <w:sz w:val="20"/>
          <w:szCs w:val="20"/>
          <w:highlight w:val="yellow"/>
        </w:rPr>
        <w:t xml:space="preserve">verage </w:t>
      </w:r>
      <w:r w:rsidR="00006625" w:rsidRPr="003E6384">
        <w:rPr>
          <w:rFonts w:ascii="Arial" w:eastAsia="Arial" w:hAnsi="Arial" w:cs="Arial"/>
          <w:i/>
          <w:iCs/>
          <w:color w:val="000000"/>
          <w:sz w:val="20"/>
          <w:szCs w:val="20"/>
          <w:highlight w:val="yellow"/>
        </w:rPr>
        <w:t>w</w:t>
      </w:r>
      <w:r w:rsidRPr="003E6384">
        <w:rPr>
          <w:rFonts w:ascii="Arial" w:eastAsia="Arial" w:hAnsi="Arial" w:cs="Arial"/>
          <w:i/>
          <w:iCs/>
          <w:color w:val="000000"/>
          <w:sz w:val="20"/>
          <w:szCs w:val="20"/>
          <w:highlight w:val="yellow"/>
        </w:rPr>
        <w:t xml:space="preserve">eight </w:t>
      </w:r>
      <w:r w:rsidR="00006625" w:rsidRPr="003E6384">
        <w:rPr>
          <w:rFonts w:ascii="Arial" w:eastAsia="Arial" w:hAnsi="Arial" w:cs="Arial"/>
          <w:i/>
          <w:iCs/>
          <w:color w:val="000000"/>
          <w:sz w:val="20"/>
          <w:szCs w:val="20"/>
          <w:highlight w:val="yellow"/>
        </w:rPr>
        <w:t>g</w:t>
      </w:r>
      <w:r w:rsidRPr="003E6384">
        <w:rPr>
          <w:rFonts w:ascii="Arial" w:eastAsia="Arial" w:hAnsi="Arial" w:cs="Arial"/>
          <w:i/>
          <w:iCs/>
          <w:color w:val="000000"/>
          <w:sz w:val="20"/>
          <w:szCs w:val="20"/>
          <w:highlight w:val="yellow"/>
        </w:rPr>
        <w:t>ain</w:t>
      </w:r>
      <w:r w:rsidRPr="00006625">
        <w:rPr>
          <w:rFonts w:ascii="Arial" w:eastAsia="Arial" w:hAnsi="Arial" w:cs="Arial"/>
          <w:i/>
          <w:iCs/>
          <w:color w:val="000000"/>
          <w:sz w:val="20"/>
          <w:szCs w:val="20"/>
        </w:rPr>
        <w:t xml:space="preserve"> </w:t>
      </w:r>
      <w:r>
        <w:rPr>
          <w:rFonts w:ascii="Arial" w:eastAsia="Arial" w:hAnsi="Arial" w:cs="Arial"/>
          <w:color w:val="000000"/>
          <w:sz w:val="20"/>
          <w:szCs w:val="20"/>
        </w:rPr>
        <w:t>(AWG) and FCR.</w:t>
      </w:r>
    </w:p>
    <w:p w14:paraId="4C6F8B21" w14:textId="77777777" w:rsidR="00FC69C6" w:rsidRDefault="00FC69C6">
      <w:pPr>
        <w:jc w:val="both"/>
        <w:rPr>
          <w:rFonts w:ascii="Arial" w:eastAsia="Arial" w:hAnsi="Arial" w:cs="Arial"/>
          <w:color w:val="000000"/>
          <w:sz w:val="20"/>
          <w:szCs w:val="20"/>
        </w:rPr>
      </w:pPr>
    </w:p>
    <w:p w14:paraId="0810FE94" w14:textId="0F0C8114" w:rsidR="008C5BAD" w:rsidRDefault="00390DC6" w:rsidP="008C5BAD">
      <w:pPr>
        <w:jc w:val="both"/>
        <w:rPr>
          <w:rFonts w:ascii="Arial" w:eastAsia="Arial" w:hAnsi="Arial" w:cs="Arial"/>
          <w:color w:val="000000"/>
          <w:sz w:val="20"/>
          <w:szCs w:val="20"/>
          <w:lang w:val="id-ID"/>
        </w:rPr>
      </w:pPr>
      <w:r>
        <w:rPr>
          <w:rFonts w:ascii="Arial" w:eastAsia="Arial" w:hAnsi="Arial" w:cs="Arial"/>
          <w:color w:val="000000"/>
          <w:sz w:val="20"/>
          <w:szCs w:val="20"/>
        </w:rPr>
        <w:t xml:space="preserve">In the </w:t>
      </w:r>
      <w:r w:rsidR="00B92E02">
        <w:rPr>
          <w:rFonts w:ascii="Arial" w:eastAsia="Arial" w:hAnsi="Arial" w:cs="Arial"/>
          <w:color w:val="000000"/>
          <w:sz w:val="20"/>
          <w:szCs w:val="20"/>
          <w:highlight w:val="yellow"/>
        </w:rPr>
        <w:t>sub</w:t>
      </w:r>
      <w:r w:rsidRPr="00B92E02">
        <w:rPr>
          <w:rFonts w:ascii="Arial" w:eastAsia="Arial" w:hAnsi="Arial" w:cs="Arial"/>
          <w:color w:val="000000"/>
          <w:sz w:val="20"/>
          <w:szCs w:val="20"/>
          <w:highlight w:val="yellow"/>
        </w:rPr>
        <w:t>-</w:t>
      </w:r>
      <w:r w:rsidR="00B92E02" w:rsidRPr="00B92E02">
        <w:rPr>
          <w:rFonts w:ascii="Arial" w:eastAsia="Arial" w:hAnsi="Arial" w:cs="Arial"/>
          <w:color w:val="000000"/>
          <w:sz w:val="20"/>
          <w:szCs w:val="20"/>
          <w:highlight w:val="yellow"/>
        </w:rPr>
        <w:t>adult</w:t>
      </w:r>
      <w:r>
        <w:rPr>
          <w:rFonts w:ascii="Arial" w:eastAsia="Arial" w:hAnsi="Arial" w:cs="Arial"/>
          <w:color w:val="000000"/>
          <w:sz w:val="20"/>
          <w:szCs w:val="20"/>
        </w:rPr>
        <w:t xml:space="preserve"> phase toward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xml:space="preserve"> size, catfish not only increase in weight and length but also begin to develop their reproductive organs. One of the critical factors for enhancing both growth and reproductive performance during this phase is the use of nutritionally rich feed, which supports reproductive potential, egg quality, and fry production</w:t>
      </w:r>
      <w:r>
        <w:rPr>
          <w:rFonts w:ascii="Arial" w:eastAsia="Arial" w:hAnsi="Arial" w:cs="Arial"/>
          <w:color w:val="000000"/>
          <w:sz w:val="20"/>
          <w:szCs w:val="20"/>
          <w:lang w:val="id-ID"/>
        </w:rPr>
        <w:t xml:space="preserve"> [7]. </w:t>
      </w:r>
      <w:r>
        <w:rPr>
          <w:rFonts w:ascii="Arial" w:eastAsia="Arial" w:hAnsi="Arial" w:cs="Arial"/>
          <w:color w:val="000000"/>
          <w:sz w:val="20"/>
          <w:szCs w:val="20"/>
        </w:rPr>
        <w:t xml:space="preserve">In addition, the combination of different feed types can promote somatic and gonadal growth, improve overall feed quality, and reduce production costs during the transition to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xml:space="preserve"> development</w:t>
      </w:r>
      <w:r>
        <w:rPr>
          <w:rFonts w:ascii="Arial" w:eastAsia="Arial" w:hAnsi="Arial" w:cs="Arial"/>
          <w:color w:val="000000"/>
          <w:sz w:val="20"/>
          <w:szCs w:val="20"/>
          <w:lang w:val="id-ID"/>
        </w:rPr>
        <w:t xml:space="preserve"> [8]</w:t>
      </w:r>
      <w:r>
        <w:rPr>
          <w:rFonts w:ascii="Arial" w:eastAsia="Arial" w:hAnsi="Arial" w:cs="Arial"/>
          <w:color w:val="000000"/>
          <w:sz w:val="20"/>
          <w:szCs w:val="20"/>
        </w:rPr>
        <w:t>. One feed additive that has potential for use in combination with commercial pellets is boiled tuna (</w:t>
      </w:r>
      <w:r>
        <w:rPr>
          <w:rFonts w:ascii="Arial" w:eastAsia="Arial" w:hAnsi="Arial" w:cs="Arial"/>
          <w:i/>
          <w:iCs/>
          <w:color w:val="000000"/>
          <w:sz w:val="20"/>
          <w:szCs w:val="20"/>
        </w:rPr>
        <w:t>E</w:t>
      </w:r>
      <w:r w:rsidR="00650E10">
        <w:rPr>
          <w:rFonts w:ascii="Arial" w:eastAsia="Arial" w:hAnsi="Arial" w:cs="Arial"/>
          <w:i/>
          <w:iCs/>
          <w:color w:val="000000"/>
          <w:sz w:val="20"/>
          <w:szCs w:val="20"/>
        </w:rPr>
        <w:t>.</w:t>
      </w:r>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color w:val="000000"/>
          <w:sz w:val="20"/>
          <w:szCs w:val="20"/>
        </w:rPr>
        <w:t xml:space="preserve">) flakes, locally known in Indonesia as </w:t>
      </w:r>
      <w:proofErr w:type="spellStart"/>
      <w:r>
        <w:rPr>
          <w:rFonts w:ascii="Arial" w:eastAsia="Arial" w:hAnsi="Arial" w:cs="Arial"/>
          <w:i/>
          <w:iCs/>
          <w:color w:val="000000"/>
          <w:sz w:val="20"/>
          <w:szCs w:val="20"/>
        </w:rPr>
        <w:t>pindang</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tongkol</w:t>
      </w:r>
      <w:proofErr w:type="spellEnd"/>
      <w:r>
        <w:rPr>
          <w:rFonts w:ascii="Arial" w:eastAsia="Arial" w:hAnsi="Arial" w:cs="Arial"/>
          <w:color w:val="000000"/>
          <w:sz w:val="20"/>
          <w:szCs w:val="20"/>
        </w:rPr>
        <w:t xml:space="preserve">. This fresh feed contains a high protein content (35.8%) and is well-suited for carnivorous species such as catfish </w:t>
      </w:r>
      <w:r>
        <w:rPr>
          <w:rFonts w:ascii="Arial" w:eastAsia="Arial" w:hAnsi="Arial" w:cs="Arial"/>
          <w:color w:val="000000"/>
          <w:sz w:val="20"/>
          <w:szCs w:val="20"/>
          <w:lang w:val="id-ID"/>
        </w:rPr>
        <w:t>[9</w:t>
      </w:r>
      <w:r w:rsidR="00E25139">
        <w:rPr>
          <w:rFonts w:ascii="Arial" w:eastAsia="Arial" w:hAnsi="Arial" w:cs="Arial"/>
          <w:color w:val="000000"/>
          <w:sz w:val="20"/>
          <w:szCs w:val="20"/>
          <w:lang w:val="id-ID"/>
        </w:rPr>
        <w:t xml:space="preserve">, </w:t>
      </w:r>
      <w:r w:rsidR="00E25139" w:rsidRPr="00E25139">
        <w:rPr>
          <w:rFonts w:ascii="Arial" w:eastAsia="Arial" w:hAnsi="Arial" w:cs="Arial"/>
          <w:color w:val="000000"/>
          <w:sz w:val="20"/>
          <w:szCs w:val="20"/>
          <w:highlight w:val="yellow"/>
          <w:lang w:val="id-ID"/>
        </w:rPr>
        <w:t>10</w:t>
      </w:r>
      <w:r>
        <w:rPr>
          <w:rFonts w:ascii="Arial" w:eastAsia="Arial" w:hAnsi="Arial" w:cs="Arial"/>
          <w:color w:val="000000"/>
          <w:sz w:val="20"/>
          <w:szCs w:val="20"/>
          <w:lang w:val="id-ID"/>
        </w:rPr>
        <w:t>]</w:t>
      </w:r>
      <w:r>
        <w:rPr>
          <w:rFonts w:ascii="Arial" w:eastAsia="Arial" w:hAnsi="Arial" w:cs="Arial"/>
          <w:color w:val="000000"/>
          <w:sz w:val="20"/>
          <w:szCs w:val="20"/>
        </w:rPr>
        <w:t>.</w:t>
      </w:r>
      <w:r w:rsidR="00144994">
        <w:rPr>
          <w:rFonts w:ascii="Arial" w:eastAsia="Arial" w:hAnsi="Arial" w:cs="Arial"/>
          <w:color w:val="000000"/>
          <w:sz w:val="20"/>
          <w:szCs w:val="20"/>
        </w:rPr>
        <w:t xml:space="preserve"> </w:t>
      </w:r>
      <w:r w:rsidR="00144994" w:rsidRPr="00144994">
        <w:rPr>
          <w:rFonts w:ascii="Arial" w:hAnsi="Arial" w:cs="Arial"/>
          <w:sz w:val="20"/>
          <w:szCs w:val="20"/>
          <w:highlight w:val="yellow"/>
        </w:rPr>
        <w:t>Optimal nutrition during sub-adult phase enhances gonad maturation and egg quality [7, 21].</w:t>
      </w:r>
      <w:r w:rsidR="008C5BAD">
        <w:rPr>
          <w:rFonts w:ascii="Arial" w:hAnsi="Arial" w:cs="Arial"/>
          <w:sz w:val="20"/>
          <w:szCs w:val="20"/>
        </w:rPr>
        <w:t xml:space="preserve"> </w:t>
      </w:r>
      <w:r w:rsidR="008C5BAD" w:rsidRPr="008C5BAD">
        <w:rPr>
          <w:rFonts w:ascii="Arial" w:hAnsi="Arial" w:cs="Arial" w:hint="eastAsia"/>
          <w:sz w:val="20"/>
          <w:szCs w:val="20"/>
          <w:highlight w:val="yellow"/>
          <w:lang w:val="en-ID"/>
        </w:rPr>
        <w:t xml:space="preserve">In addition, the nutritional composition of fish feed, </w:t>
      </w:r>
      <w:r w:rsidR="008C5BAD" w:rsidRPr="008C5BAD">
        <w:rPr>
          <w:rFonts w:ascii="Arial" w:hAnsi="Arial" w:cs="Arial"/>
          <w:sz w:val="20"/>
          <w:szCs w:val="20"/>
          <w:highlight w:val="yellow"/>
          <w:lang w:val="en-ID"/>
        </w:rPr>
        <w:t>s</w:t>
      </w:r>
      <w:r w:rsidR="008C5BAD" w:rsidRPr="008C5BAD">
        <w:rPr>
          <w:rFonts w:ascii="Arial" w:hAnsi="Arial" w:cs="Arial" w:hint="eastAsia"/>
          <w:sz w:val="20"/>
          <w:szCs w:val="20"/>
          <w:highlight w:val="yellow"/>
          <w:lang w:val="en-ID"/>
        </w:rPr>
        <w:t>ignificantly</w:t>
      </w:r>
      <w:r w:rsidR="008C5BAD" w:rsidRPr="008C5BAD">
        <w:rPr>
          <w:rFonts w:ascii="Arial" w:hAnsi="Arial" w:cs="Arial"/>
          <w:sz w:val="20"/>
          <w:szCs w:val="20"/>
          <w:highlight w:val="yellow"/>
          <w:lang w:val="en-ID"/>
        </w:rPr>
        <w:t xml:space="preserve"> </w:t>
      </w:r>
      <w:r w:rsidR="008C5BAD" w:rsidRPr="008C5BAD">
        <w:rPr>
          <w:rFonts w:ascii="Arial" w:hAnsi="Arial" w:cs="Arial" w:hint="eastAsia"/>
          <w:sz w:val="20"/>
          <w:szCs w:val="20"/>
          <w:highlight w:val="yellow"/>
          <w:lang w:val="en-ID"/>
        </w:rPr>
        <w:t>affects gonad maturation</w:t>
      </w:r>
      <w:r w:rsidR="008C5BAD" w:rsidRPr="008C5BAD">
        <w:rPr>
          <w:rFonts w:ascii="Arial" w:hAnsi="Arial" w:cs="Arial"/>
          <w:sz w:val="20"/>
          <w:szCs w:val="20"/>
          <w:highlight w:val="yellow"/>
          <w:lang w:val="en-ID"/>
        </w:rPr>
        <w:t xml:space="preserve"> leads to </w:t>
      </w:r>
      <w:proofErr w:type="spellStart"/>
      <w:r w:rsidR="008C5BAD" w:rsidRPr="008C5BAD">
        <w:rPr>
          <w:rFonts w:ascii="Arial" w:hAnsi="Arial" w:cs="Arial"/>
          <w:sz w:val="20"/>
          <w:szCs w:val="20"/>
          <w:highlight w:val="yellow"/>
          <w:lang w:val="en-ID"/>
        </w:rPr>
        <w:t>broodstock</w:t>
      </w:r>
      <w:proofErr w:type="spellEnd"/>
      <w:r w:rsidR="008C5BAD" w:rsidRPr="008C5BAD">
        <w:rPr>
          <w:rFonts w:ascii="Arial" w:hAnsi="Arial" w:cs="Arial"/>
          <w:sz w:val="20"/>
          <w:szCs w:val="20"/>
          <w:highlight w:val="yellow"/>
          <w:lang w:val="en-ID"/>
        </w:rPr>
        <w:t xml:space="preserve"> spawning </w:t>
      </w:r>
      <w:r w:rsidR="008C5BAD" w:rsidRPr="008C5BAD">
        <w:rPr>
          <w:rFonts w:ascii="Arial" w:eastAsia="Arial" w:hAnsi="Arial" w:cs="Arial"/>
          <w:color w:val="000000"/>
          <w:sz w:val="20"/>
          <w:szCs w:val="20"/>
          <w:highlight w:val="yellow"/>
          <w:lang w:val="id-ID"/>
        </w:rPr>
        <w:t>[1, 8].</w:t>
      </w:r>
    </w:p>
    <w:p w14:paraId="5F105B90" w14:textId="77777777" w:rsidR="004A4968" w:rsidRPr="008C5BAD" w:rsidRDefault="004A4968" w:rsidP="008C5BAD">
      <w:pPr>
        <w:jc w:val="both"/>
        <w:rPr>
          <w:rFonts w:ascii="Arial" w:hAnsi="Arial" w:cs="Arial"/>
          <w:sz w:val="20"/>
          <w:szCs w:val="20"/>
          <w:lang w:val="en-ID"/>
        </w:rPr>
      </w:pPr>
    </w:p>
    <w:p w14:paraId="629EB571" w14:textId="3DE2E56C" w:rsidR="00FC69C6" w:rsidRDefault="00390DC6">
      <w:pPr>
        <w:jc w:val="both"/>
        <w:rPr>
          <w:rFonts w:ascii="Arial" w:eastAsia="Arial" w:hAnsi="Arial" w:cs="Arial"/>
          <w:color w:val="000000"/>
          <w:sz w:val="20"/>
          <w:szCs w:val="20"/>
        </w:rPr>
      </w:pPr>
      <w:r>
        <w:rPr>
          <w:rFonts w:ascii="Arial" w:eastAsia="Arial" w:hAnsi="Arial" w:cs="Arial"/>
          <w:color w:val="000000"/>
          <w:sz w:val="20"/>
          <w:szCs w:val="20"/>
        </w:rPr>
        <w:t>High-quality feed and proper feed management are crucial in aquaculture, as they contribute to optimal growth and reduce feeding costs. Feed should be delivered efficiently with regard to type, amount, schedule, and method—adjusted to match the fish's needs and feeding behavior</w:t>
      </w:r>
      <w:r>
        <w:rPr>
          <w:rFonts w:ascii="Arial" w:eastAsia="Arial" w:hAnsi="Arial" w:cs="Arial"/>
          <w:color w:val="000000"/>
          <w:sz w:val="20"/>
          <w:szCs w:val="20"/>
          <w:lang w:val="id-ID"/>
        </w:rPr>
        <w:t xml:space="preserve"> [1</w:t>
      </w:r>
      <w:r w:rsidR="00E140F8">
        <w:rPr>
          <w:rFonts w:ascii="Arial" w:eastAsia="Arial" w:hAnsi="Arial" w:cs="Arial"/>
          <w:color w:val="000000"/>
          <w:sz w:val="20"/>
          <w:szCs w:val="20"/>
          <w:lang w:val="id-ID"/>
        </w:rPr>
        <w:t>1</w:t>
      </w:r>
      <w:r>
        <w:rPr>
          <w:rFonts w:ascii="Arial" w:eastAsia="Arial" w:hAnsi="Arial" w:cs="Arial"/>
          <w:color w:val="000000"/>
          <w:sz w:val="20"/>
          <w:szCs w:val="20"/>
          <w:lang w:val="id-ID"/>
        </w:rPr>
        <w:t>]</w:t>
      </w:r>
      <w:r>
        <w:rPr>
          <w:rFonts w:ascii="Arial" w:eastAsia="Arial" w:hAnsi="Arial" w:cs="Arial"/>
          <w:color w:val="000000"/>
          <w:sz w:val="20"/>
          <w:szCs w:val="20"/>
        </w:rPr>
        <w:t xml:space="preserve">. However, the optimal feed dosage for G4 </w:t>
      </w:r>
      <w:proofErr w:type="spellStart"/>
      <w:r w:rsidRPr="003A6132">
        <w:rPr>
          <w:rFonts w:ascii="Arial" w:eastAsia="Arial" w:hAnsi="Arial" w:cs="Arial"/>
          <w:i/>
          <w:iCs/>
          <w:color w:val="000000"/>
          <w:sz w:val="20"/>
          <w:szCs w:val="20"/>
        </w:rPr>
        <w:t>mutiara</w:t>
      </w:r>
      <w:proofErr w:type="spellEnd"/>
      <w:r>
        <w:rPr>
          <w:rFonts w:ascii="Arial" w:eastAsia="Arial" w:hAnsi="Arial" w:cs="Arial"/>
          <w:color w:val="000000"/>
          <w:sz w:val="20"/>
          <w:szCs w:val="20"/>
        </w:rPr>
        <w:t xml:space="preserve"> catfish during the </w:t>
      </w:r>
      <w:r w:rsidR="008C5BAD">
        <w:rPr>
          <w:rFonts w:ascii="Arial" w:eastAsia="Arial" w:hAnsi="Arial" w:cs="Arial"/>
          <w:color w:val="000000"/>
          <w:sz w:val="20"/>
          <w:szCs w:val="20"/>
        </w:rPr>
        <w:t>sub</w:t>
      </w:r>
      <w:r>
        <w:rPr>
          <w:rFonts w:ascii="Arial" w:eastAsia="Arial" w:hAnsi="Arial" w:cs="Arial"/>
          <w:color w:val="000000"/>
          <w:sz w:val="20"/>
          <w:szCs w:val="20"/>
        </w:rPr>
        <w:t>-</w:t>
      </w:r>
      <w:r w:rsidR="008C5BAD">
        <w:rPr>
          <w:rFonts w:ascii="Arial" w:eastAsia="Arial" w:hAnsi="Arial" w:cs="Arial"/>
          <w:color w:val="000000"/>
          <w:sz w:val="20"/>
          <w:szCs w:val="20"/>
        </w:rPr>
        <w:t>adult</w:t>
      </w:r>
      <w:r>
        <w:rPr>
          <w:rFonts w:ascii="Arial" w:eastAsia="Arial" w:hAnsi="Arial" w:cs="Arial"/>
          <w:color w:val="000000"/>
          <w:sz w:val="20"/>
          <w:szCs w:val="20"/>
        </w:rPr>
        <w:t xml:space="preserve"> phase remains unclear. Therefore, determining the appropriate dosage is essential for maximizing growth at this stage</w:t>
      </w:r>
      <w:r>
        <w:rPr>
          <w:rFonts w:ascii="Arial" w:eastAsia="Arial" w:hAnsi="Arial" w:cs="Arial"/>
          <w:color w:val="000000"/>
          <w:sz w:val="20"/>
          <w:szCs w:val="20"/>
          <w:lang w:val="id-ID"/>
        </w:rPr>
        <w:t xml:space="preserve"> [1</w:t>
      </w:r>
      <w:r w:rsidR="00E140F8">
        <w:rPr>
          <w:rFonts w:ascii="Arial" w:eastAsia="Arial" w:hAnsi="Arial" w:cs="Arial"/>
          <w:color w:val="000000"/>
          <w:sz w:val="20"/>
          <w:szCs w:val="20"/>
          <w:lang w:val="id-ID"/>
        </w:rPr>
        <w:t>2</w:t>
      </w:r>
      <w:r>
        <w:rPr>
          <w:rFonts w:ascii="Arial" w:eastAsia="Arial" w:hAnsi="Arial" w:cs="Arial"/>
          <w:color w:val="000000"/>
          <w:sz w:val="20"/>
          <w:szCs w:val="20"/>
          <w:lang w:val="id-ID"/>
        </w:rPr>
        <w:t>]</w:t>
      </w:r>
      <w:r>
        <w:rPr>
          <w:rFonts w:ascii="Arial" w:eastAsia="Arial" w:hAnsi="Arial" w:cs="Arial"/>
          <w:color w:val="000000"/>
          <w:sz w:val="20"/>
          <w:szCs w:val="20"/>
        </w:rPr>
        <w:t xml:space="preserve">. Precise feed dosing improves utilization, prevents overfeeding or underfeeding, maintains water quality, promotes efficient growth, and reduces operational costs </w:t>
      </w:r>
      <w:r>
        <w:rPr>
          <w:rFonts w:ascii="Arial" w:eastAsia="Arial" w:hAnsi="Arial" w:cs="Arial"/>
          <w:color w:val="000000"/>
          <w:sz w:val="20"/>
          <w:szCs w:val="20"/>
          <w:lang w:val="id-ID"/>
        </w:rPr>
        <w:t>[1</w:t>
      </w:r>
      <w:r w:rsidR="00E140F8">
        <w:rPr>
          <w:rFonts w:ascii="Arial" w:eastAsia="Arial" w:hAnsi="Arial" w:cs="Arial"/>
          <w:color w:val="000000"/>
          <w:sz w:val="20"/>
          <w:szCs w:val="20"/>
          <w:lang w:val="id-ID"/>
        </w:rPr>
        <w:t>3</w:t>
      </w:r>
      <w:r>
        <w:rPr>
          <w:rFonts w:ascii="Arial" w:eastAsia="Arial" w:hAnsi="Arial" w:cs="Arial"/>
          <w:color w:val="000000"/>
          <w:sz w:val="20"/>
          <w:szCs w:val="20"/>
          <w:lang w:val="id-ID"/>
        </w:rPr>
        <w:t>]</w:t>
      </w:r>
      <w:r>
        <w:rPr>
          <w:rFonts w:ascii="Arial" w:eastAsia="Arial" w:hAnsi="Arial" w:cs="Arial"/>
          <w:color w:val="000000"/>
          <w:sz w:val="20"/>
          <w:szCs w:val="20"/>
        </w:rPr>
        <w:t>.</w:t>
      </w:r>
      <w:r w:rsidR="00EB470D">
        <w:rPr>
          <w:rFonts w:ascii="Arial" w:eastAsia="Arial" w:hAnsi="Arial" w:cs="Arial"/>
          <w:color w:val="000000"/>
          <w:sz w:val="20"/>
          <w:szCs w:val="20"/>
        </w:rPr>
        <w:t xml:space="preserve"> </w:t>
      </w:r>
      <w:r w:rsidR="00EB470D" w:rsidRPr="00EB470D">
        <w:rPr>
          <w:rStyle w:val="Strong"/>
          <w:rFonts w:ascii="Arial" w:hAnsi="Arial" w:cs="Arial"/>
          <w:b w:val="0"/>
          <w:bCs w:val="0"/>
          <w:sz w:val="20"/>
          <w:szCs w:val="20"/>
          <w:highlight w:val="yellow"/>
        </w:rPr>
        <w:t xml:space="preserve">Stable GH expression in G4 supports long-term use of transgenic </w:t>
      </w:r>
      <w:proofErr w:type="spellStart"/>
      <w:r w:rsidR="00EB470D" w:rsidRPr="00EB470D">
        <w:rPr>
          <w:rStyle w:val="Strong"/>
          <w:rFonts w:ascii="Arial" w:hAnsi="Arial" w:cs="Arial"/>
          <w:b w:val="0"/>
          <w:bCs w:val="0"/>
          <w:sz w:val="20"/>
          <w:szCs w:val="20"/>
          <w:highlight w:val="yellow"/>
        </w:rPr>
        <w:t>broodstock</w:t>
      </w:r>
      <w:proofErr w:type="spellEnd"/>
    </w:p>
    <w:p w14:paraId="7DA3AC6E" w14:textId="77777777" w:rsidR="00FC69C6" w:rsidRDefault="00FC69C6">
      <w:pPr>
        <w:jc w:val="both"/>
        <w:rPr>
          <w:rFonts w:ascii="Arial" w:eastAsia="Arial" w:hAnsi="Arial" w:cs="Arial"/>
          <w:color w:val="000000"/>
          <w:sz w:val="20"/>
          <w:szCs w:val="20"/>
        </w:rPr>
      </w:pPr>
    </w:p>
    <w:p w14:paraId="0B1AE5E2" w14:textId="4C338FD4" w:rsidR="00FC69C6" w:rsidRDefault="00390DC6">
      <w:pPr>
        <w:jc w:val="both"/>
        <w:rPr>
          <w:rFonts w:ascii="Arial" w:eastAsia="Arial" w:hAnsi="Arial" w:cs="Arial"/>
          <w:color w:val="000000"/>
          <w:sz w:val="20"/>
          <w:szCs w:val="20"/>
        </w:rPr>
      </w:pPr>
      <w:r>
        <w:rPr>
          <w:rFonts w:ascii="Arial" w:eastAsia="Arial" w:hAnsi="Arial" w:cs="Arial"/>
          <w:color w:val="000000"/>
          <w:sz w:val="20"/>
          <w:szCs w:val="20"/>
        </w:rPr>
        <w:t xml:space="preserve">Based on these considerations, this study aimed to evaluate the growth performance and FCR of G4 transgenic </w:t>
      </w:r>
      <w:proofErr w:type="spellStart"/>
      <w:r w:rsidRPr="00E71D47">
        <w:rPr>
          <w:rFonts w:ascii="Arial" w:eastAsia="Arial" w:hAnsi="Arial" w:cs="Arial"/>
          <w:i/>
          <w:iCs/>
          <w:color w:val="000000"/>
          <w:sz w:val="20"/>
          <w:szCs w:val="20"/>
          <w:highlight w:val="yellow"/>
        </w:rPr>
        <w:t>mutiara</w:t>
      </w:r>
      <w:proofErr w:type="spellEnd"/>
      <w:r>
        <w:rPr>
          <w:rFonts w:ascii="Arial" w:eastAsia="Arial" w:hAnsi="Arial" w:cs="Arial"/>
          <w:color w:val="000000"/>
          <w:sz w:val="20"/>
          <w:szCs w:val="20"/>
        </w:rPr>
        <w:t xml:space="preserve"> catfish during the </w:t>
      </w:r>
      <w:r w:rsidR="00D5797C" w:rsidRPr="00D5797C">
        <w:rPr>
          <w:rFonts w:ascii="Arial" w:eastAsia="Arial" w:hAnsi="Arial" w:cs="Arial"/>
          <w:color w:val="000000"/>
          <w:sz w:val="20"/>
          <w:szCs w:val="20"/>
          <w:highlight w:val="yellow"/>
        </w:rPr>
        <w:t>sub</w:t>
      </w:r>
      <w:r w:rsidRPr="00D5797C">
        <w:rPr>
          <w:rFonts w:ascii="Arial" w:eastAsia="Arial" w:hAnsi="Arial" w:cs="Arial"/>
          <w:color w:val="000000"/>
          <w:sz w:val="20"/>
          <w:szCs w:val="20"/>
          <w:highlight w:val="yellow"/>
        </w:rPr>
        <w:t>-</w:t>
      </w:r>
      <w:r w:rsidR="00D5797C" w:rsidRPr="00D5797C">
        <w:rPr>
          <w:rFonts w:ascii="Arial" w:eastAsia="Arial" w:hAnsi="Arial" w:cs="Arial"/>
          <w:color w:val="000000"/>
          <w:sz w:val="20"/>
          <w:szCs w:val="20"/>
          <w:highlight w:val="yellow"/>
        </w:rPr>
        <w:t>adult</w:t>
      </w:r>
      <w:r>
        <w:rPr>
          <w:rFonts w:ascii="Arial" w:eastAsia="Arial" w:hAnsi="Arial" w:cs="Arial"/>
          <w:color w:val="000000"/>
          <w:sz w:val="20"/>
          <w:szCs w:val="20"/>
        </w:rPr>
        <w:t xml:space="preserve"> phase toward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xml:space="preserve"> size using mixed feeds with different dosage levels.</w:t>
      </w:r>
    </w:p>
    <w:p w14:paraId="20B3AA03" w14:textId="77777777" w:rsidR="00FC69C6" w:rsidRDefault="00FC69C6">
      <w:pPr>
        <w:jc w:val="both"/>
        <w:rPr>
          <w:rFonts w:ascii="Arial" w:eastAsia="Arial" w:hAnsi="Arial" w:cs="Arial"/>
          <w:color w:val="000000"/>
          <w:sz w:val="20"/>
          <w:szCs w:val="20"/>
        </w:rPr>
      </w:pPr>
    </w:p>
    <w:p w14:paraId="0B2E0832" w14:textId="77777777" w:rsidR="00FC69C6" w:rsidRDefault="00390DC6">
      <w:pPr>
        <w:pStyle w:val="ListParagraph"/>
        <w:numPr>
          <w:ilvl w:val="0"/>
          <w:numId w:val="14"/>
        </w:numPr>
        <w:jc w:val="both"/>
        <w:rPr>
          <w:rFonts w:ascii="Arial" w:eastAsia="Arial" w:hAnsi="Arial" w:cs="Arial"/>
          <w:b/>
          <w:bCs/>
          <w:color w:val="000000"/>
        </w:rPr>
      </w:pPr>
      <w:r>
        <w:rPr>
          <w:rFonts w:ascii="Arial" w:eastAsia="Arial" w:hAnsi="Arial" w:cs="Arial"/>
          <w:b/>
          <w:bCs/>
          <w:color w:val="000000"/>
        </w:rPr>
        <w:t>MATERIALS AND METHODS</w:t>
      </w:r>
    </w:p>
    <w:p w14:paraId="7FFD1571" w14:textId="77777777" w:rsidR="00FC69C6" w:rsidRDefault="00FC69C6">
      <w:pPr>
        <w:jc w:val="both"/>
        <w:rPr>
          <w:rFonts w:ascii="Arial" w:eastAsia="Arial" w:hAnsi="Arial" w:cs="Arial"/>
          <w:color w:val="000000"/>
          <w:sz w:val="20"/>
          <w:szCs w:val="20"/>
        </w:rPr>
      </w:pPr>
    </w:p>
    <w:p w14:paraId="5A81D617" w14:textId="425BC68B" w:rsidR="00FC69C6" w:rsidRDefault="00390DC6">
      <w:pPr>
        <w:jc w:val="both"/>
        <w:rPr>
          <w:rFonts w:ascii="Arial" w:eastAsia="Arial" w:hAnsi="Arial" w:cs="Arial"/>
          <w:color w:val="000000"/>
          <w:sz w:val="20"/>
          <w:szCs w:val="20"/>
        </w:rPr>
      </w:pPr>
      <w:r>
        <w:rPr>
          <w:rFonts w:ascii="Arial" w:eastAsia="Arial" w:hAnsi="Arial" w:cs="Arial"/>
          <w:color w:val="000000"/>
          <w:sz w:val="20"/>
          <w:szCs w:val="20"/>
        </w:rPr>
        <w:t xml:space="preserve">This research was conducted from July to September 2022 for a duration of 42 days at the Hatchery Laboratory, Building 4, Faculty of Fisheries and Marine Sciences, </w:t>
      </w:r>
      <w:proofErr w:type="spellStart"/>
      <w:r>
        <w:rPr>
          <w:rFonts w:ascii="Arial" w:eastAsia="Arial" w:hAnsi="Arial" w:cs="Arial"/>
          <w:color w:val="000000"/>
          <w:sz w:val="20"/>
          <w:szCs w:val="20"/>
        </w:rPr>
        <w:t>Universitas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Padjadjaran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Jatinangor</w:t>
      </w:r>
      <w:proofErr w:type="spellEnd"/>
      <w:r>
        <w:rPr>
          <w:rFonts w:ascii="Arial" w:eastAsia="Arial" w:hAnsi="Arial" w:cs="Arial"/>
          <w:color w:val="000000"/>
          <w:sz w:val="20"/>
          <w:szCs w:val="20"/>
        </w:rPr>
        <w:t xml:space="preserve">. The tools used in this study included round fiberglass tanks with a diameter of 135 cm and height of 105 cm, aeration installation, water heater (Atman), DO meter (Lutron), pH meter (Lutron), thermometer (Lutron), trash bags for covering tanks, label paper, scoop net, bucket, Camry digital scale (for weighing fish), </w:t>
      </w:r>
      <w:proofErr w:type="spellStart"/>
      <w:r>
        <w:rPr>
          <w:rFonts w:ascii="Arial" w:eastAsia="Arial" w:hAnsi="Arial" w:cs="Arial"/>
          <w:color w:val="000000"/>
          <w:sz w:val="20"/>
          <w:szCs w:val="20"/>
        </w:rPr>
        <w:t>styrofoam</w:t>
      </w:r>
      <w:proofErr w:type="spellEnd"/>
      <w:r>
        <w:rPr>
          <w:rFonts w:ascii="Arial" w:eastAsia="Arial" w:hAnsi="Arial" w:cs="Arial"/>
          <w:color w:val="000000"/>
          <w:sz w:val="20"/>
          <w:szCs w:val="20"/>
        </w:rPr>
        <w:t xml:space="preserve"> (as a base for measuring fish), 60 cm ruler, cloth (to limit fish movement), Scout Pro digital scale (for weighing feed), plastic plates (for feeding), refrigerator (for preserving skipjack tuna), rice cooker (for heating</w:t>
      </w:r>
      <w:r>
        <w:rPr>
          <w:rFonts w:ascii="Arial" w:eastAsia="Arial" w:hAnsi="Arial" w:cs="Arial"/>
          <w:color w:val="000000"/>
          <w:sz w:val="20"/>
          <w:szCs w:val="20"/>
          <w:lang w:val="id-ID"/>
        </w:rPr>
        <w:t xml:space="preserve"> boiled tuna</w:t>
      </w:r>
      <w:r>
        <w:rPr>
          <w:rFonts w:ascii="Arial" w:eastAsia="Arial" w:hAnsi="Arial" w:cs="Arial"/>
          <w:color w:val="000000"/>
          <w:sz w:val="20"/>
          <w:szCs w:val="20"/>
        </w:rPr>
        <w:t xml:space="preserve"> </w:t>
      </w:r>
      <w:r>
        <w:rPr>
          <w:rFonts w:ascii="Arial" w:eastAsia="Arial" w:hAnsi="Arial" w:cs="Arial"/>
          <w:color w:val="000000"/>
          <w:sz w:val="20"/>
          <w:szCs w:val="20"/>
          <w:lang w:val="id-ID"/>
        </w:rPr>
        <w:t>(</w:t>
      </w:r>
      <w:r>
        <w:rPr>
          <w:rFonts w:ascii="Arial" w:eastAsia="Arial" w:hAnsi="Arial" w:cs="Arial"/>
          <w:i/>
          <w:iCs/>
          <w:color w:val="000000"/>
          <w:sz w:val="20"/>
          <w:szCs w:val="20"/>
        </w:rPr>
        <w:t>E</w:t>
      </w:r>
      <w:r w:rsidR="00650E10">
        <w:rPr>
          <w:rFonts w:ascii="Arial" w:eastAsia="Arial" w:hAnsi="Arial" w:cs="Arial"/>
          <w:i/>
          <w:iCs/>
          <w:color w:val="000000"/>
          <w:sz w:val="20"/>
          <w:szCs w:val="20"/>
        </w:rPr>
        <w:t>.</w:t>
      </w:r>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color w:val="000000"/>
          <w:sz w:val="20"/>
          <w:szCs w:val="20"/>
        </w:rPr>
        <w:t>)</w:t>
      </w:r>
      <w:r>
        <w:rPr>
          <w:rFonts w:ascii="Arial" w:eastAsia="Arial" w:hAnsi="Arial" w:cs="Arial"/>
          <w:color w:val="000000"/>
          <w:sz w:val="20"/>
          <w:szCs w:val="20"/>
          <w:lang w:val="id-ID"/>
        </w:rPr>
        <w:t>)</w:t>
      </w:r>
      <w:r>
        <w:rPr>
          <w:rFonts w:ascii="Arial" w:eastAsia="Arial" w:hAnsi="Arial" w:cs="Arial"/>
          <w:color w:val="000000"/>
          <w:sz w:val="20"/>
          <w:szCs w:val="20"/>
        </w:rPr>
        <w:t>,</w:t>
      </w:r>
      <w:r>
        <w:rPr>
          <w:rFonts w:ascii="Arial" w:eastAsia="Arial" w:hAnsi="Arial" w:cs="Arial"/>
          <w:color w:val="000000"/>
          <w:sz w:val="20"/>
          <w:szCs w:val="20"/>
          <w:lang w:val="id-ID"/>
        </w:rPr>
        <w:t xml:space="preserve"> </w:t>
      </w:r>
      <w:r>
        <w:rPr>
          <w:rFonts w:ascii="Arial" w:eastAsia="Arial" w:hAnsi="Arial" w:cs="Arial"/>
          <w:color w:val="000000"/>
          <w:sz w:val="20"/>
          <w:szCs w:val="20"/>
        </w:rPr>
        <w:t xml:space="preserve">aerator installation, phone camera, and stationery. The materials used were transgenic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 and </w:t>
      </w:r>
      <w:proofErr w:type="spellStart"/>
      <w:r>
        <w:rPr>
          <w:rFonts w:ascii="Arial" w:eastAsia="Arial" w:hAnsi="Arial" w:cs="Arial"/>
          <w:color w:val="000000"/>
          <w:sz w:val="20"/>
          <w:szCs w:val="20"/>
        </w:rPr>
        <w:t>nontransgenic</w:t>
      </w:r>
      <w:proofErr w:type="spellEnd"/>
      <w:r>
        <w:rPr>
          <w:rFonts w:ascii="Arial" w:eastAsia="Arial" w:hAnsi="Arial" w:cs="Arial"/>
          <w:color w:val="000000"/>
          <w:sz w:val="20"/>
          <w:szCs w:val="20"/>
        </w:rPr>
        <w:t xml:space="preserve"> </w:t>
      </w:r>
      <w:proofErr w:type="spellStart"/>
      <w:r w:rsidRPr="00E71D47">
        <w:rPr>
          <w:rFonts w:ascii="Arial" w:eastAsia="Arial" w:hAnsi="Arial" w:cs="Arial"/>
          <w:i/>
          <w:iCs/>
          <w:color w:val="000000"/>
          <w:sz w:val="20"/>
          <w:szCs w:val="20"/>
          <w:highlight w:val="yellow"/>
        </w:rPr>
        <w:t>mutiara</w:t>
      </w:r>
      <w:proofErr w:type="spellEnd"/>
      <w:r>
        <w:rPr>
          <w:rFonts w:ascii="Arial" w:eastAsia="Arial" w:hAnsi="Arial" w:cs="Arial"/>
          <w:color w:val="000000"/>
          <w:sz w:val="20"/>
          <w:szCs w:val="20"/>
        </w:rPr>
        <w:t xml:space="preserve"> catfish (5 months old), </w:t>
      </w:r>
      <w:r>
        <w:rPr>
          <w:rFonts w:ascii="Arial" w:eastAsia="Arial" w:hAnsi="Arial" w:cs="Arial"/>
          <w:color w:val="000000"/>
          <w:sz w:val="20"/>
          <w:szCs w:val="20"/>
        </w:rPr>
        <w:lastRenderedPageBreak/>
        <w:t>commercial feed (HI-PRO-VITE 781) and boiled tuna (</w:t>
      </w:r>
      <w:r>
        <w:rPr>
          <w:rFonts w:ascii="Arial" w:eastAsia="Arial" w:hAnsi="Arial" w:cs="Arial"/>
          <w:i/>
          <w:iCs/>
          <w:color w:val="000000"/>
          <w:sz w:val="20"/>
          <w:szCs w:val="20"/>
        </w:rPr>
        <w:t>E</w:t>
      </w:r>
      <w:r w:rsidR="009D2C82">
        <w:rPr>
          <w:rFonts w:ascii="Arial" w:eastAsia="Arial" w:hAnsi="Arial" w:cs="Arial"/>
          <w:i/>
          <w:iCs/>
          <w:color w:val="000000"/>
          <w:sz w:val="20"/>
          <w:szCs w:val="20"/>
        </w:rPr>
        <w:t>.</w:t>
      </w:r>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color w:val="000000"/>
          <w:sz w:val="20"/>
          <w:szCs w:val="20"/>
        </w:rPr>
        <w:t>) flakes.</w:t>
      </w:r>
    </w:p>
    <w:p w14:paraId="1D733D90" w14:textId="77777777" w:rsidR="00FC69C6" w:rsidRDefault="00FC69C6">
      <w:pPr>
        <w:widowControl/>
        <w:rPr>
          <w:rFonts w:ascii="Arial" w:eastAsia="Arial" w:hAnsi="Arial" w:cs="Arial"/>
          <w:b/>
          <w:smallCaps/>
          <w:color w:val="000000"/>
        </w:rPr>
      </w:pPr>
    </w:p>
    <w:p w14:paraId="77E8C6E2" w14:textId="77777777" w:rsidR="00FC69C6" w:rsidRDefault="00390DC6">
      <w:pPr>
        <w:widowControl/>
        <w:rPr>
          <w:rFonts w:ascii="Arial" w:eastAsia="Arial" w:hAnsi="Arial" w:cs="Arial"/>
          <w:b/>
          <w:color w:val="000000"/>
        </w:rPr>
      </w:pPr>
      <w:r>
        <w:rPr>
          <w:rFonts w:ascii="Arial" w:eastAsia="Arial" w:hAnsi="Arial" w:cs="Arial"/>
          <w:b/>
          <w:smallCaps/>
          <w:color w:val="000000"/>
        </w:rPr>
        <w:t xml:space="preserve">2.1 </w:t>
      </w:r>
      <w:r>
        <w:rPr>
          <w:rFonts w:ascii="Arial" w:eastAsia="Arial" w:hAnsi="Arial" w:cs="Arial"/>
          <w:b/>
          <w:color w:val="000000"/>
        </w:rPr>
        <w:t>Research Design</w:t>
      </w:r>
    </w:p>
    <w:p w14:paraId="3822BB39" w14:textId="77777777" w:rsidR="00FC69C6" w:rsidRDefault="00FC69C6">
      <w:pPr>
        <w:widowControl/>
        <w:jc w:val="both"/>
        <w:rPr>
          <w:rFonts w:ascii="Arial" w:eastAsia="Arial" w:hAnsi="Arial" w:cs="Arial"/>
          <w:color w:val="000000"/>
          <w:sz w:val="20"/>
          <w:szCs w:val="20"/>
        </w:rPr>
      </w:pPr>
    </w:p>
    <w:p w14:paraId="44D4D9BC" w14:textId="279E23F7" w:rsidR="00FC69C6" w:rsidRPr="00EA0B0B"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This study employed an experimental method using a CRD consisting of four treatments and three replications. The aim of the study was to evaluate the effect of a mixed feed consisting of commercial feed HI-PRO-VITE 781 and an additional 10 grams of boiled tuna (</w:t>
      </w:r>
      <w:r>
        <w:rPr>
          <w:rFonts w:ascii="Arial" w:eastAsia="Arial" w:hAnsi="Arial" w:cs="Arial"/>
          <w:i/>
          <w:iCs/>
          <w:color w:val="000000"/>
          <w:sz w:val="20"/>
          <w:szCs w:val="20"/>
        </w:rPr>
        <w:t>E</w:t>
      </w:r>
      <w:r w:rsidR="005800C6">
        <w:rPr>
          <w:rFonts w:ascii="Arial" w:eastAsia="Arial" w:hAnsi="Arial" w:cs="Arial"/>
          <w:i/>
          <w:iCs/>
          <w:color w:val="000000"/>
          <w:sz w:val="20"/>
          <w:szCs w:val="20"/>
        </w:rPr>
        <w:t>.</w:t>
      </w:r>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color w:val="000000"/>
          <w:sz w:val="20"/>
          <w:szCs w:val="20"/>
        </w:rPr>
        <w:t xml:space="preserve">) flakes per day. The treatments differed in the dosage of commercial feed administered. Treatments A, B, and C involved transgenic </w:t>
      </w:r>
      <w:proofErr w:type="spellStart"/>
      <w:r w:rsidRPr="00C9518E">
        <w:rPr>
          <w:rFonts w:ascii="Arial" w:eastAsia="Arial" w:hAnsi="Arial" w:cs="Arial"/>
          <w:i/>
          <w:iCs/>
          <w:color w:val="000000"/>
          <w:sz w:val="20"/>
          <w:szCs w:val="20"/>
        </w:rPr>
        <w:t>mutiara</w:t>
      </w:r>
      <w:proofErr w:type="spellEnd"/>
      <w:r>
        <w:rPr>
          <w:rFonts w:ascii="Arial" w:eastAsia="Arial" w:hAnsi="Arial" w:cs="Arial"/>
          <w:color w:val="000000"/>
          <w:sz w:val="20"/>
          <w:szCs w:val="20"/>
        </w:rPr>
        <w:t xml:space="preserve"> catfish, with feed dosages of 2.5%, 2%, and 1.5% of total biomass, respectively. Treatment D involved non</w:t>
      </w:r>
      <w:r w:rsidR="00E71D47">
        <w:rPr>
          <w:rFonts w:ascii="Arial" w:eastAsia="Arial" w:hAnsi="Arial" w:cs="Arial"/>
          <w:color w:val="000000"/>
          <w:sz w:val="20"/>
          <w:szCs w:val="20"/>
        </w:rPr>
        <w:t>-</w:t>
      </w:r>
      <w:r>
        <w:rPr>
          <w:rFonts w:ascii="Arial" w:eastAsia="Arial" w:hAnsi="Arial" w:cs="Arial"/>
          <w:color w:val="000000"/>
          <w:sz w:val="20"/>
          <w:szCs w:val="20"/>
        </w:rPr>
        <w:t xml:space="preserve">transgenic </w:t>
      </w:r>
      <w:proofErr w:type="spellStart"/>
      <w:r w:rsidRPr="00EB4D88">
        <w:rPr>
          <w:rFonts w:ascii="Arial" w:eastAsia="Arial" w:hAnsi="Arial" w:cs="Arial"/>
          <w:i/>
          <w:iCs/>
          <w:color w:val="000000"/>
          <w:sz w:val="20"/>
          <w:szCs w:val="20"/>
          <w:highlight w:val="yellow"/>
        </w:rPr>
        <w:t>mutiara</w:t>
      </w:r>
      <w:proofErr w:type="spellEnd"/>
      <w:r>
        <w:rPr>
          <w:rFonts w:ascii="Arial" w:eastAsia="Arial" w:hAnsi="Arial" w:cs="Arial"/>
          <w:color w:val="000000"/>
          <w:sz w:val="20"/>
          <w:szCs w:val="20"/>
        </w:rPr>
        <w:t xml:space="preserve"> catfish, receiving a commercial feed dosage of 2.5% of total biomass, and served as the control.</w:t>
      </w:r>
      <w:r w:rsidR="00EA0B0B">
        <w:rPr>
          <w:rFonts w:ascii="Arial" w:eastAsia="Arial" w:hAnsi="Arial" w:cs="Arial"/>
          <w:color w:val="000000"/>
          <w:sz w:val="20"/>
          <w:szCs w:val="20"/>
        </w:rPr>
        <w:t xml:space="preserve"> </w:t>
      </w:r>
    </w:p>
    <w:p w14:paraId="001CD698" w14:textId="6D6123DD" w:rsidR="00EA0B0B" w:rsidRPr="00EA0B0B" w:rsidRDefault="00EA0B0B">
      <w:pPr>
        <w:widowControl/>
        <w:jc w:val="both"/>
        <w:rPr>
          <w:rFonts w:ascii="Arial" w:eastAsia="Arial" w:hAnsi="Arial" w:cs="Arial"/>
          <w:b/>
          <w:color w:val="000000"/>
          <w:sz w:val="20"/>
          <w:szCs w:val="20"/>
        </w:rPr>
      </w:pPr>
      <w:r w:rsidRPr="00EA0B0B">
        <w:rPr>
          <w:rFonts w:ascii="Arial" w:hAnsi="Arial" w:cs="Arial"/>
          <w:sz w:val="20"/>
          <w:szCs w:val="20"/>
          <w:highlight w:val="yellow"/>
        </w:rPr>
        <w:t>We hypothesized that 2% commercial feed + 10g tuna would optimize growth and cost efficiency in G4 transgenic catfish</w:t>
      </w:r>
    </w:p>
    <w:p w14:paraId="34B1D837" w14:textId="77777777" w:rsidR="00FC69C6" w:rsidRDefault="00FC69C6">
      <w:pPr>
        <w:widowControl/>
        <w:jc w:val="both"/>
        <w:rPr>
          <w:rFonts w:ascii="Arial" w:eastAsia="Arial" w:hAnsi="Arial" w:cs="Arial"/>
          <w:color w:val="000000"/>
          <w:sz w:val="20"/>
          <w:szCs w:val="20"/>
        </w:rPr>
      </w:pPr>
    </w:p>
    <w:p w14:paraId="7172DABD" w14:textId="77777777" w:rsidR="00FC69C6" w:rsidRDefault="00390DC6">
      <w:pPr>
        <w:widowControl/>
        <w:rPr>
          <w:rFonts w:ascii="Arial" w:eastAsia="Arial" w:hAnsi="Arial" w:cs="Arial"/>
          <w:color w:val="000000"/>
        </w:rPr>
      </w:pPr>
      <w:r>
        <w:rPr>
          <w:rFonts w:ascii="Arial" w:eastAsia="Arial" w:hAnsi="Arial" w:cs="Arial"/>
          <w:b/>
          <w:color w:val="000000"/>
        </w:rPr>
        <w:t>2.1.1 Preparation for implementation</w:t>
      </w:r>
      <w:r>
        <w:rPr>
          <w:rFonts w:ascii="Arial" w:eastAsia="Arial" w:hAnsi="Arial" w:cs="Arial"/>
          <w:color w:val="000000"/>
        </w:rPr>
        <w:t xml:space="preserve"> </w:t>
      </w:r>
    </w:p>
    <w:p w14:paraId="5E3E7906" w14:textId="77777777" w:rsidR="00FC69C6" w:rsidRDefault="00FC69C6">
      <w:pPr>
        <w:widowControl/>
        <w:jc w:val="both"/>
        <w:rPr>
          <w:rFonts w:ascii="Arial" w:eastAsia="Arial" w:hAnsi="Arial" w:cs="Arial"/>
          <w:color w:val="000000"/>
          <w:sz w:val="20"/>
          <w:szCs w:val="20"/>
        </w:rPr>
      </w:pPr>
    </w:p>
    <w:p w14:paraId="1DB5B878" w14:textId="0EDE6072"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The study was conducted in an indoor hatchery using four round fiberglass tanks (135 cm in diameter, 105 cm in height) as treatment units. Each tank was filled with 50 cm of water and equipped with continuous aeration and a heater set at 28°C. A total of 48 five-month-old </w:t>
      </w:r>
      <w:proofErr w:type="spellStart"/>
      <w:r w:rsidRPr="00AB5D0D">
        <w:rPr>
          <w:rFonts w:ascii="Arial" w:eastAsia="Arial" w:hAnsi="Arial" w:cs="Arial"/>
          <w:i/>
          <w:iCs/>
          <w:color w:val="000000"/>
          <w:sz w:val="20"/>
          <w:szCs w:val="20"/>
        </w:rPr>
        <w:t>mutiara</w:t>
      </w:r>
      <w:proofErr w:type="spellEnd"/>
      <w:r>
        <w:rPr>
          <w:rFonts w:ascii="Arial" w:eastAsia="Arial" w:hAnsi="Arial" w:cs="Arial"/>
          <w:color w:val="000000"/>
          <w:sz w:val="20"/>
          <w:szCs w:val="20"/>
        </w:rPr>
        <w:t xml:space="preserve"> catfish were used, with 12 fish (6 pairs) per tank. Treatments A, B, and C contained G4 transgenic </w:t>
      </w:r>
      <w:proofErr w:type="spellStart"/>
      <w:r w:rsidRPr="00AB5D0D">
        <w:rPr>
          <w:rFonts w:ascii="Arial" w:eastAsia="Arial" w:hAnsi="Arial" w:cs="Arial"/>
          <w:i/>
          <w:iCs/>
          <w:color w:val="000000"/>
          <w:sz w:val="20"/>
          <w:szCs w:val="20"/>
        </w:rPr>
        <w:t>mutiara</w:t>
      </w:r>
      <w:proofErr w:type="spellEnd"/>
      <w:r>
        <w:rPr>
          <w:rFonts w:ascii="Arial" w:eastAsia="Arial" w:hAnsi="Arial" w:cs="Arial"/>
          <w:color w:val="000000"/>
          <w:sz w:val="20"/>
          <w:szCs w:val="20"/>
        </w:rPr>
        <w:t xml:space="preserve"> catfish, while treatment D consisted of non</w:t>
      </w:r>
      <w:r w:rsidR="000415C2">
        <w:rPr>
          <w:rFonts w:ascii="Arial" w:eastAsia="Arial" w:hAnsi="Arial" w:cs="Arial"/>
          <w:color w:val="000000"/>
          <w:sz w:val="20"/>
          <w:szCs w:val="20"/>
        </w:rPr>
        <w:t>-</w:t>
      </w:r>
      <w:r>
        <w:rPr>
          <w:rFonts w:ascii="Arial" w:eastAsia="Arial" w:hAnsi="Arial" w:cs="Arial"/>
          <w:color w:val="000000"/>
          <w:sz w:val="20"/>
          <w:szCs w:val="20"/>
        </w:rPr>
        <w:t>transgenic fish as a control. Tanks were covered with black plastic to prevent fish from jumping and to maintain low-light conditions, and each was labeled according to its assigned treatment.</w:t>
      </w:r>
    </w:p>
    <w:p w14:paraId="5F728C8A" w14:textId="77777777" w:rsidR="00FC69C6" w:rsidRDefault="00FC69C6">
      <w:pPr>
        <w:widowControl/>
        <w:jc w:val="both"/>
        <w:rPr>
          <w:rFonts w:ascii="Arial" w:eastAsia="Arial" w:hAnsi="Arial" w:cs="Arial"/>
          <w:color w:val="000000"/>
          <w:sz w:val="20"/>
          <w:szCs w:val="20"/>
        </w:rPr>
      </w:pPr>
    </w:p>
    <w:p w14:paraId="65A5509E" w14:textId="20DB47A3"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Fish were fed commercial HI-PRO-VITE 781 pellets supplemented with 10 g of boiled tuna (</w:t>
      </w:r>
      <w:r>
        <w:rPr>
          <w:rFonts w:ascii="Arial" w:eastAsia="Arial" w:hAnsi="Arial" w:cs="Arial"/>
          <w:i/>
          <w:iCs/>
          <w:color w:val="000000"/>
          <w:sz w:val="20"/>
          <w:szCs w:val="20"/>
        </w:rPr>
        <w:t>E</w:t>
      </w:r>
      <w:r w:rsidR="000415C2">
        <w:rPr>
          <w:rFonts w:ascii="Arial" w:eastAsia="Arial" w:hAnsi="Arial" w:cs="Arial"/>
          <w:i/>
          <w:iCs/>
          <w:color w:val="000000"/>
          <w:sz w:val="20"/>
          <w:szCs w:val="20"/>
        </w:rPr>
        <w:t>.</w:t>
      </w:r>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color w:val="000000"/>
          <w:sz w:val="20"/>
          <w:szCs w:val="20"/>
        </w:rPr>
        <w:t>) daily. Feeding of test fish 2-3% of biomass weight [1]. However, preliminary tests showed high feed waste at that range. When adjusted to 2.5%, feed waste decreased significantly; thus, 2.5% was used as the maximum feeding rate.</w:t>
      </w:r>
    </w:p>
    <w:p w14:paraId="1212A361" w14:textId="77777777" w:rsidR="00FC69C6" w:rsidRDefault="00FC69C6">
      <w:pPr>
        <w:widowControl/>
        <w:jc w:val="both"/>
        <w:rPr>
          <w:rFonts w:ascii="Arial" w:eastAsia="Arial" w:hAnsi="Arial" w:cs="Arial"/>
          <w:color w:val="000000"/>
          <w:sz w:val="20"/>
          <w:szCs w:val="20"/>
        </w:rPr>
      </w:pPr>
    </w:p>
    <w:p w14:paraId="70127BE1" w14:textId="77777777" w:rsidR="00FC69C6" w:rsidRDefault="00390DC6">
      <w:pPr>
        <w:widowControl/>
        <w:rPr>
          <w:rFonts w:ascii="Arial" w:eastAsia="Arial" w:hAnsi="Arial" w:cs="Arial"/>
          <w:color w:val="000000"/>
        </w:rPr>
      </w:pPr>
      <w:r>
        <w:rPr>
          <w:rFonts w:ascii="Arial" w:eastAsia="Arial" w:hAnsi="Arial" w:cs="Arial"/>
          <w:b/>
          <w:color w:val="000000"/>
        </w:rPr>
        <w:t>2.1.2 Implementation of research</w:t>
      </w:r>
      <w:r>
        <w:rPr>
          <w:rFonts w:ascii="Arial" w:eastAsia="Arial" w:hAnsi="Arial" w:cs="Arial"/>
          <w:color w:val="000000"/>
        </w:rPr>
        <w:t xml:space="preserve"> </w:t>
      </w:r>
    </w:p>
    <w:p w14:paraId="1027570F" w14:textId="77777777" w:rsidR="00FC69C6" w:rsidRDefault="00FC69C6">
      <w:pPr>
        <w:widowControl/>
        <w:jc w:val="both"/>
        <w:rPr>
          <w:rFonts w:ascii="Arial" w:eastAsia="Arial" w:hAnsi="Arial" w:cs="Arial"/>
          <w:color w:val="000000"/>
          <w:sz w:val="20"/>
          <w:szCs w:val="20"/>
        </w:rPr>
      </w:pPr>
    </w:p>
    <w:p w14:paraId="1792FB0D" w14:textId="2730CF59"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The study was conducted for 42 days with observations every 7 days. Each tank was stocked with</w:t>
      </w:r>
      <w:r w:rsidR="00985F77" w:rsidRPr="00985F77">
        <w:rPr>
          <w:rFonts w:ascii="Arial" w:hAnsi="Arial" w:cs="Arial"/>
          <w:sz w:val="20"/>
          <w:szCs w:val="20"/>
          <w:highlight w:val="yellow"/>
        </w:rPr>
        <w:t xml:space="preserve"> 12 fish per tank (mixed sex, 6 males + 6 females)</w:t>
      </w:r>
      <w:r>
        <w:rPr>
          <w:rFonts w:ascii="Arial" w:eastAsia="Arial" w:hAnsi="Arial" w:cs="Arial"/>
          <w:color w:val="000000"/>
          <w:sz w:val="20"/>
          <w:szCs w:val="20"/>
        </w:rPr>
        <w:t>, individually weighed prior to stocking to determine initial biomass. Feed consisted of HI-PRO-VITE 781 pellets administered according to the treatment dose (A: 2.5%; B: 2%; C: 1.5%; D: 2.5%), with an additional 10 g of boiled skipjack tuna per day for all treatments. Feeding was carried out twice daily (at 09:00 and 13:00 WIB) and adjusted weekly based on weight gain.</w:t>
      </w:r>
      <w:r w:rsidR="00F351CB">
        <w:rPr>
          <w:rFonts w:ascii="Arial" w:eastAsia="Arial" w:hAnsi="Arial" w:cs="Arial"/>
          <w:color w:val="000000"/>
          <w:sz w:val="20"/>
          <w:szCs w:val="20"/>
        </w:rPr>
        <w:t xml:space="preserve"> </w:t>
      </w:r>
      <w:r w:rsidR="00F351CB" w:rsidRPr="00F351CB">
        <w:rPr>
          <w:rFonts w:ascii="Arial" w:hAnsi="Arial" w:cs="Arial"/>
          <w:sz w:val="20"/>
          <w:szCs w:val="20"/>
          <w:highlight w:val="yellow"/>
        </w:rPr>
        <w:t>Fish were individually weighed weekly to adjust feed dosage</w:t>
      </w:r>
    </w:p>
    <w:p w14:paraId="7CB5ED2C" w14:textId="77777777" w:rsidR="00FC69C6" w:rsidRDefault="00FC69C6">
      <w:pPr>
        <w:widowControl/>
        <w:jc w:val="both"/>
        <w:rPr>
          <w:rFonts w:ascii="Arial" w:eastAsia="Arial" w:hAnsi="Arial" w:cs="Arial"/>
          <w:color w:val="000000"/>
          <w:sz w:val="20"/>
          <w:szCs w:val="20"/>
        </w:rPr>
      </w:pPr>
    </w:p>
    <w:p w14:paraId="504398B7"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Water quality was measured twice a week, including pH, temperature, and dissolved oxygen (DO). The observed parameters included growth performance and feed efficiency.</w:t>
      </w:r>
    </w:p>
    <w:p w14:paraId="4C467C25" w14:textId="77777777" w:rsidR="00FC69C6" w:rsidRDefault="00FC69C6">
      <w:pPr>
        <w:widowControl/>
        <w:rPr>
          <w:rFonts w:ascii="Arial" w:eastAsia="Arial" w:hAnsi="Arial" w:cs="Arial"/>
          <w:color w:val="000000"/>
          <w:sz w:val="20"/>
          <w:szCs w:val="20"/>
        </w:rPr>
      </w:pPr>
    </w:p>
    <w:p w14:paraId="47158536"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2.1.2.1. Average Weight Gain</w:t>
      </w:r>
    </w:p>
    <w:p w14:paraId="01462BCA" w14:textId="77777777" w:rsidR="00FC69C6" w:rsidRDefault="00FC69C6">
      <w:pPr>
        <w:widowControl/>
        <w:rPr>
          <w:rFonts w:ascii="Arial" w:eastAsia="Arial" w:hAnsi="Arial" w:cs="Arial"/>
          <w:color w:val="000000"/>
          <w:sz w:val="20"/>
          <w:szCs w:val="20"/>
        </w:rPr>
      </w:pPr>
    </w:p>
    <w:p w14:paraId="3ED59A92" w14:textId="71AD0753"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Growth performance evaluation can be interpreted through the parameter of average weight gain. This weight gain represents the average final</w:t>
      </w:r>
      <w:r w:rsidR="002A4731">
        <w:rPr>
          <w:rFonts w:ascii="Arial" w:eastAsia="Arial" w:hAnsi="Arial" w:cs="Arial"/>
          <w:color w:val="000000"/>
          <w:sz w:val="20"/>
          <w:szCs w:val="20"/>
        </w:rPr>
        <w:t xml:space="preserve"> </w:t>
      </w:r>
      <w:r w:rsidR="002A4731" w:rsidRPr="002A4731">
        <w:rPr>
          <w:rFonts w:ascii="Arial" w:eastAsia="Arial" w:hAnsi="Arial" w:cs="Arial"/>
          <w:color w:val="000000"/>
          <w:sz w:val="20"/>
          <w:szCs w:val="20"/>
          <w:highlight w:val="yellow"/>
        </w:rPr>
        <w:t>total</w:t>
      </w:r>
      <w:r>
        <w:rPr>
          <w:rFonts w:ascii="Arial" w:eastAsia="Arial" w:hAnsi="Arial" w:cs="Arial"/>
          <w:color w:val="000000"/>
          <w:sz w:val="20"/>
          <w:szCs w:val="20"/>
        </w:rPr>
        <w:t xml:space="preserve"> biomass weight</w:t>
      </w:r>
      <w:r w:rsidR="002A4731">
        <w:rPr>
          <w:rFonts w:ascii="Arial" w:eastAsia="Arial" w:hAnsi="Arial" w:cs="Arial"/>
          <w:color w:val="000000"/>
          <w:sz w:val="20"/>
          <w:szCs w:val="20"/>
        </w:rPr>
        <w:t xml:space="preserve"> </w:t>
      </w:r>
      <w:r w:rsidR="002A4731" w:rsidRPr="002A4731">
        <w:rPr>
          <w:rFonts w:ascii="Arial" w:eastAsia="Arial" w:hAnsi="Arial" w:cs="Arial"/>
          <w:color w:val="000000"/>
          <w:sz w:val="20"/>
          <w:szCs w:val="20"/>
          <w:highlight w:val="yellow"/>
        </w:rPr>
        <w:t>gain</w:t>
      </w:r>
      <w:r>
        <w:rPr>
          <w:rFonts w:ascii="Arial" w:eastAsia="Arial" w:hAnsi="Arial" w:cs="Arial"/>
          <w:color w:val="000000"/>
          <w:sz w:val="20"/>
          <w:szCs w:val="20"/>
        </w:rPr>
        <w:t xml:space="preserve"> of the fish at the end of the rearing period minus the average initial </w:t>
      </w:r>
      <w:r w:rsidR="002A4731" w:rsidRPr="002A4731">
        <w:rPr>
          <w:rFonts w:ascii="Arial" w:eastAsia="Arial" w:hAnsi="Arial" w:cs="Arial"/>
          <w:color w:val="000000"/>
          <w:sz w:val="20"/>
          <w:szCs w:val="20"/>
          <w:highlight w:val="yellow"/>
        </w:rPr>
        <w:t>total</w:t>
      </w:r>
      <w:r w:rsidR="002A4731">
        <w:rPr>
          <w:rFonts w:ascii="Arial" w:eastAsia="Arial" w:hAnsi="Arial" w:cs="Arial"/>
          <w:color w:val="000000"/>
          <w:sz w:val="20"/>
          <w:szCs w:val="20"/>
        </w:rPr>
        <w:t xml:space="preserve"> </w:t>
      </w:r>
      <w:r>
        <w:rPr>
          <w:rFonts w:ascii="Arial" w:eastAsia="Arial" w:hAnsi="Arial" w:cs="Arial"/>
          <w:color w:val="000000"/>
          <w:sz w:val="20"/>
          <w:szCs w:val="20"/>
        </w:rPr>
        <w:t xml:space="preserve">biomass weight </w:t>
      </w:r>
      <w:r w:rsidR="002A4731" w:rsidRPr="002A4731">
        <w:rPr>
          <w:rFonts w:ascii="Arial" w:eastAsia="Arial" w:hAnsi="Arial" w:cs="Arial"/>
          <w:color w:val="000000"/>
          <w:sz w:val="20"/>
          <w:szCs w:val="20"/>
          <w:highlight w:val="yellow"/>
        </w:rPr>
        <w:t>gain</w:t>
      </w:r>
      <w:r w:rsidR="002A4731">
        <w:rPr>
          <w:rFonts w:ascii="Arial" w:eastAsia="Arial" w:hAnsi="Arial" w:cs="Arial"/>
          <w:color w:val="000000"/>
          <w:sz w:val="20"/>
          <w:szCs w:val="20"/>
        </w:rPr>
        <w:t xml:space="preserve"> </w:t>
      </w:r>
      <w:r>
        <w:rPr>
          <w:rFonts w:ascii="Arial" w:eastAsia="Arial" w:hAnsi="Arial" w:cs="Arial"/>
          <w:color w:val="000000"/>
          <w:sz w:val="20"/>
          <w:szCs w:val="20"/>
        </w:rPr>
        <w:t xml:space="preserve">at the beginning of the rearing period </w:t>
      </w:r>
      <w:r>
        <w:rPr>
          <w:rFonts w:ascii="Arial" w:eastAsia="Arial" w:hAnsi="Arial" w:cs="Arial"/>
          <w:color w:val="000000"/>
          <w:sz w:val="20"/>
          <w:szCs w:val="20"/>
          <w:lang w:val="id-ID"/>
        </w:rPr>
        <w:t>[1</w:t>
      </w:r>
      <w:r w:rsidR="00E140F8">
        <w:rPr>
          <w:rFonts w:ascii="Arial" w:eastAsia="Arial" w:hAnsi="Arial" w:cs="Arial"/>
          <w:color w:val="000000"/>
          <w:sz w:val="20"/>
          <w:szCs w:val="20"/>
          <w:lang w:val="id-ID"/>
        </w:rPr>
        <w:t>4</w:t>
      </w:r>
      <w:r>
        <w:rPr>
          <w:rFonts w:ascii="Arial" w:eastAsia="Arial" w:hAnsi="Arial" w:cs="Arial"/>
          <w:color w:val="000000"/>
          <w:sz w:val="20"/>
          <w:szCs w:val="20"/>
          <w:lang w:val="id-ID"/>
        </w:rPr>
        <w:t>]</w:t>
      </w:r>
      <w:r>
        <w:rPr>
          <w:rFonts w:ascii="Arial" w:eastAsia="Arial" w:hAnsi="Arial" w:cs="Arial"/>
          <w:color w:val="000000"/>
          <w:sz w:val="20"/>
          <w:szCs w:val="20"/>
        </w:rPr>
        <w:t>.</w:t>
      </w:r>
    </w:p>
    <w:p w14:paraId="2397973A" w14:textId="77777777" w:rsidR="00FC69C6" w:rsidRDefault="00FC69C6">
      <w:pPr>
        <w:widowControl/>
        <w:rPr>
          <w:rFonts w:ascii="Arial" w:eastAsia="Arial" w:hAnsi="Arial" w:cs="Arial"/>
          <w:color w:val="000000"/>
          <w:sz w:val="20"/>
          <w:szCs w:val="20"/>
        </w:rPr>
      </w:pPr>
    </w:p>
    <w:p w14:paraId="09914ACA" w14:textId="77777777" w:rsidR="00FC69C6" w:rsidRDefault="00390DC6">
      <w:pPr>
        <w:widowControl/>
        <w:jc w:val="center"/>
        <w:rPr>
          <w:rFonts w:ascii="Arial" w:eastAsia="Arial" w:hAnsi="Arial" w:cs="Arial"/>
          <w:color w:val="000000"/>
          <w:sz w:val="20"/>
          <w:szCs w:val="20"/>
          <w:vertAlign w:val="subscript"/>
        </w:rPr>
      </w:pPr>
      <w:r>
        <w:rPr>
          <w:rFonts w:ascii="Arial" w:eastAsia="Arial" w:hAnsi="Arial" w:cs="Arial"/>
          <w:color w:val="000000"/>
          <w:sz w:val="20"/>
          <w:szCs w:val="20"/>
        </w:rPr>
        <w:t xml:space="preserve">AWG = </w:t>
      </w:r>
      <w:proofErr w:type="spellStart"/>
      <w:r>
        <w:rPr>
          <w:rFonts w:ascii="Arial" w:eastAsia="Arial" w:hAnsi="Arial" w:cs="Arial"/>
          <w:color w:val="000000"/>
          <w:sz w:val="20"/>
          <w:szCs w:val="20"/>
        </w:rPr>
        <w:t>W</w:t>
      </w:r>
      <w:r>
        <w:rPr>
          <w:rFonts w:ascii="Arial" w:eastAsia="Arial" w:hAnsi="Arial" w:cs="Arial"/>
          <w:color w:val="000000"/>
          <w:sz w:val="20"/>
          <w:szCs w:val="20"/>
          <w:vertAlign w:val="subscript"/>
        </w:rPr>
        <w:t>t</w:t>
      </w:r>
      <w:proofErr w:type="spellEnd"/>
      <w:r>
        <w:rPr>
          <w:rFonts w:ascii="Arial" w:eastAsia="Arial" w:hAnsi="Arial" w:cs="Arial"/>
          <w:color w:val="000000"/>
          <w:sz w:val="20"/>
          <w:szCs w:val="20"/>
        </w:rPr>
        <w:t xml:space="preserve"> – W</w:t>
      </w:r>
      <w:r>
        <w:rPr>
          <w:rFonts w:ascii="Arial" w:eastAsia="Arial" w:hAnsi="Arial" w:cs="Arial"/>
          <w:color w:val="000000"/>
          <w:sz w:val="20"/>
          <w:szCs w:val="20"/>
          <w:vertAlign w:val="subscript"/>
        </w:rPr>
        <w:t>o</w:t>
      </w:r>
    </w:p>
    <w:p w14:paraId="25EEDC22" w14:textId="77777777" w:rsidR="00FC69C6" w:rsidRDefault="00FC69C6">
      <w:pPr>
        <w:widowControl/>
        <w:rPr>
          <w:rFonts w:ascii="Arial" w:eastAsia="Arial" w:hAnsi="Arial" w:cs="Arial"/>
          <w:color w:val="000000"/>
          <w:sz w:val="20"/>
          <w:szCs w:val="20"/>
        </w:rPr>
      </w:pPr>
    </w:p>
    <w:p w14:paraId="577FD965"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Description:</w:t>
      </w:r>
    </w:p>
    <w:p w14:paraId="24AD9BB8" w14:textId="77777777" w:rsidR="00FC69C6" w:rsidRDefault="00390DC6">
      <w:pPr>
        <w:widowControl/>
        <w:rPr>
          <w:rFonts w:ascii="Arial" w:eastAsia="Arial" w:hAnsi="Arial" w:cs="Arial"/>
          <w:color w:val="000000"/>
          <w:sz w:val="20"/>
          <w:szCs w:val="20"/>
        </w:rPr>
      </w:pPr>
      <w:r>
        <w:rPr>
          <w:rFonts w:ascii="Arial" w:eastAsia="Arial" w:hAnsi="Arial" w:cs="Arial"/>
          <w:sz w:val="20"/>
          <w:szCs w:val="20"/>
        </w:rPr>
        <w:t>AWG</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color w:val="000000"/>
          <w:sz w:val="20"/>
          <w:szCs w:val="20"/>
        </w:rPr>
        <w:t>Average Weight Gain (g)</w:t>
      </w:r>
    </w:p>
    <w:p w14:paraId="597C85C0" w14:textId="006D3B24" w:rsidR="00FC69C6" w:rsidRDefault="00390DC6">
      <w:pPr>
        <w:widowControl/>
        <w:rPr>
          <w:rFonts w:ascii="Arial" w:eastAsia="Arial" w:hAnsi="Arial" w:cs="Arial"/>
          <w:color w:val="000000"/>
          <w:sz w:val="20"/>
          <w:szCs w:val="20"/>
        </w:rPr>
      </w:pPr>
      <w:proofErr w:type="spellStart"/>
      <w:r>
        <w:rPr>
          <w:rFonts w:ascii="Arial" w:eastAsia="Arial" w:hAnsi="Arial" w:cs="Arial"/>
          <w:sz w:val="20"/>
          <w:szCs w:val="20"/>
        </w:rPr>
        <w:t>W</w:t>
      </w:r>
      <w:r>
        <w:rPr>
          <w:rFonts w:ascii="Arial" w:eastAsia="Arial" w:hAnsi="Arial" w:cs="Arial"/>
          <w:sz w:val="20"/>
          <w:szCs w:val="20"/>
          <w:vertAlign w:val="subscript"/>
        </w:rPr>
        <w:t>t</w:t>
      </w:r>
      <w:proofErr w:type="spellEnd"/>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color w:val="000000"/>
          <w:sz w:val="20"/>
          <w:szCs w:val="20"/>
        </w:rPr>
        <w:t>Average Final Weight</w:t>
      </w:r>
      <w:r w:rsidR="00785D93">
        <w:rPr>
          <w:rFonts w:ascii="Arial" w:eastAsia="Arial" w:hAnsi="Arial" w:cs="Arial"/>
          <w:color w:val="000000"/>
          <w:sz w:val="20"/>
          <w:szCs w:val="20"/>
        </w:rPr>
        <w:t xml:space="preserve"> </w:t>
      </w:r>
      <w:r w:rsidR="00785D93" w:rsidRPr="00785D93">
        <w:rPr>
          <w:rFonts w:ascii="Arial" w:eastAsia="Arial" w:hAnsi="Arial" w:cs="Arial"/>
          <w:color w:val="000000"/>
          <w:sz w:val="20"/>
          <w:szCs w:val="20"/>
          <w:highlight w:val="yellow"/>
        </w:rPr>
        <w:t xml:space="preserve">of </w:t>
      </w:r>
      <w:r w:rsidR="00EF73C4">
        <w:rPr>
          <w:rFonts w:ascii="Arial" w:eastAsia="Arial" w:hAnsi="Arial" w:cs="Arial"/>
          <w:color w:val="000000"/>
          <w:sz w:val="20"/>
          <w:szCs w:val="20"/>
          <w:highlight w:val="yellow"/>
        </w:rPr>
        <w:t xml:space="preserve">total </w:t>
      </w:r>
      <w:r w:rsidR="00785D93" w:rsidRPr="00785D93">
        <w:rPr>
          <w:rFonts w:ascii="Arial" w:eastAsia="Arial" w:hAnsi="Arial" w:cs="Arial"/>
          <w:color w:val="000000"/>
          <w:sz w:val="20"/>
          <w:szCs w:val="20"/>
          <w:highlight w:val="yellow"/>
        </w:rPr>
        <w:t>biomass</w:t>
      </w:r>
      <w:r>
        <w:rPr>
          <w:rFonts w:ascii="Arial" w:eastAsia="Arial" w:hAnsi="Arial" w:cs="Arial"/>
          <w:color w:val="000000"/>
          <w:sz w:val="20"/>
          <w:szCs w:val="20"/>
        </w:rPr>
        <w:t xml:space="preserve"> (g)</w:t>
      </w:r>
    </w:p>
    <w:p w14:paraId="27B65123" w14:textId="5FE97436" w:rsidR="00FC69C6" w:rsidRDefault="00390DC6">
      <w:pPr>
        <w:widowControl/>
        <w:rPr>
          <w:rFonts w:ascii="Arial" w:eastAsia="Arial" w:hAnsi="Arial" w:cs="Arial"/>
          <w:color w:val="000000"/>
          <w:sz w:val="20"/>
          <w:szCs w:val="20"/>
        </w:rPr>
      </w:pPr>
      <w:r>
        <w:rPr>
          <w:rFonts w:ascii="Arial" w:eastAsia="Arial" w:hAnsi="Arial" w:cs="Arial"/>
          <w:sz w:val="20"/>
          <w:szCs w:val="20"/>
        </w:rPr>
        <w:t>W</w:t>
      </w:r>
      <w:r>
        <w:rPr>
          <w:rFonts w:ascii="Arial" w:eastAsia="Arial" w:hAnsi="Arial" w:cs="Arial"/>
          <w:sz w:val="20"/>
          <w:szCs w:val="20"/>
          <w:vertAlign w:val="subscript"/>
        </w:rPr>
        <w:t>o</w:t>
      </w:r>
      <w:r>
        <w:rPr>
          <w:rFonts w:ascii="Arial" w:eastAsia="Arial" w:hAnsi="Arial" w:cs="Arial"/>
          <w:sz w:val="20"/>
          <w:szCs w:val="20"/>
          <w:vertAlign w:val="subscript"/>
        </w:rPr>
        <w:tab/>
      </w:r>
      <w:r>
        <w:rPr>
          <w:rFonts w:ascii="Arial" w:eastAsia="Arial" w:hAnsi="Arial" w:cs="Arial"/>
          <w:sz w:val="20"/>
          <w:szCs w:val="20"/>
        </w:rPr>
        <w:tab/>
        <w:t xml:space="preserve">= </w:t>
      </w:r>
      <w:r>
        <w:rPr>
          <w:rFonts w:ascii="Arial" w:eastAsia="Arial" w:hAnsi="Arial" w:cs="Arial"/>
          <w:color w:val="000000"/>
          <w:sz w:val="20"/>
          <w:szCs w:val="20"/>
        </w:rPr>
        <w:t>Average Initial Weight</w:t>
      </w:r>
      <w:r w:rsidR="00785D93">
        <w:rPr>
          <w:rFonts w:ascii="Arial" w:eastAsia="Arial" w:hAnsi="Arial" w:cs="Arial"/>
          <w:color w:val="000000"/>
          <w:sz w:val="20"/>
          <w:szCs w:val="20"/>
        </w:rPr>
        <w:t xml:space="preserve"> </w:t>
      </w:r>
      <w:r w:rsidR="00785D93" w:rsidRPr="00785D93">
        <w:rPr>
          <w:rFonts w:ascii="Arial" w:eastAsia="Arial" w:hAnsi="Arial" w:cs="Arial"/>
          <w:color w:val="000000"/>
          <w:sz w:val="20"/>
          <w:szCs w:val="20"/>
          <w:highlight w:val="yellow"/>
        </w:rPr>
        <w:t xml:space="preserve">of </w:t>
      </w:r>
      <w:r w:rsidR="00EF73C4">
        <w:rPr>
          <w:rFonts w:ascii="Arial" w:eastAsia="Arial" w:hAnsi="Arial" w:cs="Arial"/>
          <w:color w:val="000000"/>
          <w:sz w:val="20"/>
          <w:szCs w:val="20"/>
          <w:highlight w:val="yellow"/>
        </w:rPr>
        <w:t xml:space="preserve">total </w:t>
      </w:r>
      <w:r w:rsidR="00785D93" w:rsidRPr="00785D93">
        <w:rPr>
          <w:rFonts w:ascii="Arial" w:eastAsia="Arial" w:hAnsi="Arial" w:cs="Arial"/>
          <w:color w:val="000000"/>
          <w:sz w:val="20"/>
          <w:szCs w:val="20"/>
          <w:highlight w:val="yellow"/>
        </w:rPr>
        <w:t>biomass</w:t>
      </w:r>
      <w:r>
        <w:rPr>
          <w:rFonts w:ascii="Arial" w:eastAsia="Arial" w:hAnsi="Arial" w:cs="Arial"/>
          <w:color w:val="000000"/>
          <w:sz w:val="20"/>
          <w:szCs w:val="20"/>
        </w:rPr>
        <w:t xml:space="preserve"> (g)</w:t>
      </w:r>
    </w:p>
    <w:p w14:paraId="589C935F" w14:textId="77777777" w:rsidR="00FC69C6" w:rsidRDefault="00FC69C6">
      <w:pPr>
        <w:widowControl/>
        <w:rPr>
          <w:rFonts w:ascii="Arial" w:eastAsia="Arial" w:hAnsi="Arial" w:cs="Arial"/>
          <w:color w:val="000000"/>
          <w:sz w:val="20"/>
          <w:szCs w:val="20"/>
        </w:rPr>
      </w:pPr>
    </w:p>
    <w:p w14:paraId="19462CE7" w14:textId="0E28245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2.1.2.2 Feed </w:t>
      </w:r>
      <w:proofErr w:type="spellStart"/>
      <w:r>
        <w:rPr>
          <w:rFonts w:ascii="Arial" w:eastAsia="Arial" w:hAnsi="Arial" w:cs="Arial"/>
          <w:color w:val="000000"/>
          <w:sz w:val="20"/>
          <w:szCs w:val="20"/>
        </w:rPr>
        <w:t>Conver</w:t>
      </w:r>
      <w:r w:rsidR="00A33E18">
        <w:rPr>
          <w:rFonts w:ascii="Arial" w:eastAsia="Arial" w:hAnsi="Arial" w:cs="Arial"/>
          <w:color w:val="000000"/>
          <w:sz w:val="20"/>
          <w:szCs w:val="20"/>
        </w:rPr>
        <w:t>t</w:t>
      </w:r>
      <w:r>
        <w:rPr>
          <w:rFonts w:ascii="Arial" w:eastAsia="Arial" w:hAnsi="Arial" w:cs="Arial"/>
          <w:color w:val="000000"/>
          <w:sz w:val="20"/>
          <w:szCs w:val="20"/>
        </w:rPr>
        <w:t>ion</w:t>
      </w:r>
      <w:proofErr w:type="spellEnd"/>
      <w:r>
        <w:rPr>
          <w:rFonts w:ascii="Arial" w:eastAsia="Arial" w:hAnsi="Arial" w:cs="Arial"/>
          <w:color w:val="000000"/>
          <w:sz w:val="20"/>
          <w:szCs w:val="20"/>
        </w:rPr>
        <w:t xml:space="preserve"> Ratio </w:t>
      </w:r>
    </w:p>
    <w:p w14:paraId="56D2A5D6" w14:textId="77777777" w:rsidR="00FC69C6" w:rsidRDefault="00FC69C6">
      <w:pPr>
        <w:widowControl/>
        <w:rPr>
          <w:rFonts w:ascii="Arial" w:eastAsia="Arial" w:hAnsi="Arial" w:cs="Arial"/>
          <w:color w:val="000000"/>
          <w:sz w:val="20"/>
          <w:szCs w:val="20"/>
        </w:rPr>
      </w:pPr>
    </w:p>
    <w:p w14:paraId="34356945" w14:textId="020D016F"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FCR is a value that indicates how much feed is required to produce 1 kg of fish flesh. </w:t>
      </w:r>
      <w:r>
        <w:rPr>
          <w:rFonts w:ascii="Arial" w:eastAsia="Arial" w:hAnsi="Arial" w:cs="Arial"/>
          <w:color w:val="000000"/>
          <w:sz w:val="20"/>
          <w:szCs w:val="20"/>
          <w:lang w:val="id-ID"/>
        </w:rPr>
        <w:t>T</w:t>
      </w:r>
      <w:r>
        <w:rPr>
          <w:rFonts w:ascii="Arial" w:eastAsia="Arial" w:hAnsi="Arial" w:cs="Arial"/>
          <w:color w:val="000000"/>
          <w:sz w:val="20"/>
          <w:szCs w:val="20"/>
        </w:rPr>
        <w:t xml:space="preserve">he feed </w:t>
      </w:r>
      <w:proofErr w:type="spellStart"/>
      <w:r>
        <w:rPr>
          <w:rFonts w:ascii="Arial" w:eastAsia="Arial" w:hAnsi="Arial" w:cs="Arial"/>
          <w:color w:val="000000"/>
          <w:sz w:val="20"/>
          <w:szCs w:val="20"/>
        </w:rPr>
        <w:t>conver</w:t>
      </w:r>
      <w:r w:rsidR="00F60898">
        <w:rPr>
          <w:rFonts w:ascii="Arial" w:eastAsia="Arial" w:hAnsi="Arial" w:cs="Arial"/>
          <w:color w:val="000000"/>
          <w:sz w:val="20"/>
          <w:szCs w:val="20"/>
        </w:rPr>
        <w:t>t</w:t>
      </w:r>
      <w:r>
        <w:rPr>
          <w:rFonts w:ascii="Arial" w:eastAsia="Arial" w:hAnsi="Arial" w:cs="Arial"/>
          <w:color w:val="000000"/>
          <w:sz w:val="20"/>
          <w:szCs w:val="20"/>
        </w:rPr>
        <w:t>ion</w:t>
      </w:r>
      <w:proofErr w:type="spellEnd"/>
      <w:r>
        <w:rPr>
          <w:rFonts w:ascii="Arial" w:eastAsia="Arial" w:hAnsi="Arial" w:cs="Arial"/>
          <w:color w:val="000000"/>
          <w:sz w:val="20"/>
          <w:szCs w:val="20"/>
        </w:rPr>
        <w:t xml:space="preserve"> ratio is calculated using the following formula</w:t>
      </w:r>
      <w:r>
        <w:rPr>
          <w:rFonts w:ascii="Arial" w:eastAsia="Arial" w:hAnsi="Arial" w:cs="Arial"/>
          <w:color w:val="000000"/>
          <w:sz w:val="20"/>
          <w:szCs w:val="20"/>
          <w:lang w:val="id-ID"/>
        </w:rPr>
        <w:t xml:space="preserve"> [1</w:t>
      </w:r>
      <w:r w:rsidR="00E140F8">
        <w:rPr>
          <w:rFonts w:ascii="Arial" w:eastAsia="Arial" w:hAnsi="Arial" w:cs="Arial"/>
          <w:color w:val="000000"/>
          <w:sz w:val="20"/>
          <w:szCs w:val="20"/>
          <w:lang w:val="id-ID"/>
        </w:rPr>
        <w:t>5</w:t>
      </w:r>
      <w:r>
        <w:rPr>
          <w:rFonts w:ascii="Arial" w:eastAsia="Arial" w:hAnsi="Arial" w:cs="Arial"/>
          <w:color w:val="000000"/>
          <w:sz w:val="20"/>
          <w:szCs w:val="20"/>
          <w:lang w:val="id-ID"/>
        </w:rPr>
        <w:t>]</w:t>
      </w:r>
      <w:r>
        <w:rPr>
          <w:rFonts w:ascii="Arial" w:eastAsia="Arial" w:hAnsi="Arial" w:cs="Arial"/>
          <w:color w:val="000000"/>
          <w:sz w:val="20"/>
          <w:szCs w:val="20"/>
        </w:rPr>
        <w:t>:</w:t>
      </w:r>
    </w:p>
    <w:p w14:paraId="00143D42" w14:textId="77777777" w:rsidR="00FC69C6" w:rsidRDefault="00FC69C6">
      <w:pPr>
        <w:widowControl/>
        <w:rPr>
          <w:rFonts w:ascii="Arial" w:eastAsia="Arial" w:hAnsi="Arial" w:cs="Arial"/>
          <w:color w:val="000000"/>
          <w:sz w:val="20"/>
          <w:szCs w:val="20"/>
        </w:rPr>
      </w:pPr>
    </w:p>
    <w:p w14:paraId="50D23201" w14:textId="77777777" w:rsidR="00FC69C6" w:rsidRDefault="00390DC6">
      <w:pPr>
        <w:widowControl/>
        <w:rPr>
          <w:rFonts w:ascii="Arial" w:eastAsia="Arial" w:hAnsi="Arial" w:cs="Arial"/>
          <w:color w:val="000000"/>
          <w:sz w:val="20"/>
          <w:szCs w:val="20"/>
        </w:rPr>
      </w:pPr>
      <m:oMathPara>
        <m:oMath>
          <m:r>
            <w:rPr>
              <w:rFonts w:ascii="Cambria Math" w:eastAsia="Cambria Math" w:hAnsi="Cambria Math" w:cs="Arial"/>
              <w:sz w:val="20"/>
              <w:szCs w:val="20"/>
            </w:rPr>
            <m:t>FCR=</m:t>
          </m:r>
          <m:f>
            <m:fPr>
              <m:ctrlPr>
                <w:rPr>
                  <w:rFonts w:ascii="Cambria Math" w:eastAsia="Cambria Math" w:hAnsi="Cambria Math" w:cs="Arial"/>
                  <w:sz w:val="20"/>
                  <w:szCs w:val="20"/>
                </w:rPr>
              </m:ctrlPr>
            </m:fPr>
            <m:num>
              <m:r>
                <w:rPr>
                  <w:rFonts w:ascii="Cambria Math" w:eastAsia="Cambria Math" w:hAnsi="Cambria Math" w:cs="Arial"/>
                  <w:sz w:val="20"/>
                  <w:szCs w:val="20"/>
                </w:rPr>
                <m:t>F</m:t>
              </m:r>
            </m:num>
            <m:den>
              <m:r>
                <w:rPr>
                  <w:rFonts w:ascii="Cambria Math" w:eastAsia="Cambria Math" w:hAnsi="Cambria Math" w:cs="Arial"/>
                  <w:sz w:val="20"/>
                  <w:szCs w:val="20"/>
                </w:rPr>
                <m:t>(Wt+D)-Wo</m:t>
              </m:r>
            </m:den>
          </m:f>
        </m:oMath>
      </m:oMathPara>
    </w:p>
    <w:p w14:paraId="2AD5240F"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Description:</w:t>
      </w:r>
    </w:p>
    <w:p w14:paraId="4DD5292B" w14:textId="13408D10" w:rsidR="00FC69C6" w:rsidRDefault="00390DC6">
      <w:pPr>
        <w:widowControl/>
        <w:rPr>
          <w:rFonts w:ascii="Arial" w:eastAsia="Arial" w:hAnsi="Arial" w:cs="Arial"/>
          <w:color w:val="000000"/>
          <w:sz w:val="20"/>
          <w:szCs w:val="20"/>
        </w:rPr>
      </w:pPr>
      <w:r>
        <w:rPr>
          <w:rFonts w:ascii="Arial" w:eastAsia="Arial" w:hAnsi="Arial" w:cs="Arial"/>
          <w:sz w:val="20"/>
          <w:szCs w:val="20"/>
        </w:rPr>
        <w:t xml:space="preserve">FCR </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color w:val="000000"/>
          <w:sz w:val="20"/>
          <w:szCs w:val="20"/>
        </w:rPr>
        <w:t xml:space="preserve">Feed </w:t>
      </w:r>
      <w:proofErr w:type="spellStart"/>
      <w:r>
        <w:rPr>
          <w:rFonts w:ascii="Arial" w:eastAsia="Arial" w:hAnsi="Arial" w:cs="Arial"/>
          <w:color w:val="000000"/>
          <w:sz w:val="20"/>
          <w:szCs w:val="20"/>
        </w:rPr>
        <w:t>Conver</w:t>
      </w:r>
      <w:r w:rsidR="00CB045D">
        <w:rPr>
          <w:rFonts w:ascii="Arial" w:eastAsia="Arial" w:hAnsi="Arial" w:cs="Arial"/>
          <w:color w:val="000000"/>
          <w:sz w:val="20"/>
          <w:szCs w:val="20"/>
        </w:rPr>
        <w:t>t</w:t>
      </w:r>
      <w:r>
        <w:rPr>
          <w:rFonts w:ascii="Arial" w:eastAsia="Arial" w:hAnsi="Arial" w:cs="Arial"/>
          <w:color w:val="000000"/>
          <w:sz w:val="20"/>
          <w:szCs w:val="20"/>
        </w:rPr>
        <w:t>ion</w:t>
      </w:r>
      <w:proofErr w:type="spellEnd"/>
      <w:r>
        <w:rPr>
          <w:rFonts w:ascii="Arial" w:eastAsia="Arial" w:hAnsi="Arial" w:cs="Arial"/>
          <w:color w:val="000000"/>
          <w:sz w:val="20"/>
          <w:szCs w:val="20"/>
        </w:rPr>
        <w:t xml:space="preserve"> Ratio</w:t>
      </w:r>
    </w:p>
    <w:p w14:paraId="65AEC143" w14:textId="77777777" w:rsidR="00FC69C6" w:rsidRDefault="00390DC6">
      <w:pPr>
        <w:widowControl/>
        <w:rPr>
          <w:rFonts w:ascii="Arial" w:eastAsia="Arial" w:hAnsi="Arial" w:cs="Arial"/>
          <w:color w:val="000000"/>
          <w:sz w:val="20"/>
          <w:szCs w:val="20"/>
        </w:rPr>
      </w:pPr>
      <w:r>
        <w:rPr>
          <w:rFonts w:ascii="Arial" w:eastAsia="Arial" w:hAnsi="Arial" w:cs="Arial"/>
          <w:sz w:val="20"/>
          <w:szCs w:val="20"/>
        </w:rPr>
        <w:t xml:space="preserve">F </w:t>
      </w:r>
      <w:r>
        <w:rPr>
          <w:rFonts w:ascii="Arial" w:eastAsia="Arial" w:hAnsi="Arial" w:cs="Arial"/>
          <w:sz w:val="20"/>
          <w:szCs w:val="20"/>
        </w:rPr>
        <w:tab/>
      </w:r>
      <w:r>
        <w:rPr>
          <w:rFonts w:ascii="Arial" w:eastAsia="Arial" w:hAnsi="Arial" w:cs="Arial"/>
          <w:sz w:val="20"/>
          <w:szCs w:val="20"/>
        </w:rPr>
        <w:tab/>
        <w:t>= Feed Consumed (g)</w:t>
      </w:r>
    </w:p>
    <w:p w14:paraId="40F2126B" w14:textId="77777777" w:rsidR="00FC69C6" w:rsidRDefault="00390DC6">
      <w:pPr>
        <w:widowControl/>
        <w:rPr>
          <w:rFonts w:ascii="Arial" w:eastAsia="Arial" w:hAnsi="Arial" w:cs="Arial"/>
          <w:color w:val="000000"/>
          <w:sz w:val="20"/>
          <w:szCs w:val="20"/>
        </w:rPr>
      </w:pPr>
      <w:proofErr w:type="spellStart"/>
      <w:r>
        <w:rPr>
          <w:rFonts w:ascii="Arial" w:eastAsia="Arial" w:hAnsi="Arial" w:cs="Arial"/>
          <w:color w:val="000000"/>
          <w:sz w:val="20"/>
          <w:szCs w:val="20"/>
        </w:rPr>
        <w:lastRenderedPageBreak/>
        <w:t>Wt</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t>= Final Biomass (g)</w:t>
      </w:r>
    </w:p>
    <w:p w14:paraId="4613D7B3"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Wo </w:t>
      </w:r>
      <w:r>
        <w:rPr>
          <w:rFonts w:ascii="Arial" w:eastAsia="Arial" w:hAnsi="Arial" w:cs="Arial"/>
          <w:color w:val="000000"/>
          <w:sz w:val="20"/>
          <w:szCs w:val="20"/>
        </w:rPr>
        <w:tab/>
      </w:r>
      <w:r>
        <w:rPr>
          <w:rFonts w:ascii="Arial" w:eastAsia="Arial" w:hAnsi="Arial" w:cs="Arial"/>
          <w:color w:val="000000"/>
          <w:sz w:val="20"/>
          <w:szCs w:val="20"/>
        </w:rPr>
        <w:tab/>
        <w:t>= Initial Biomass (g)</w:t>
      </w:r>
    </w:p>
    <w:p w14:paraId="266FCD54"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D </w:t>
      </w:r>
      <w:r>
        <w:rPr>
          <w:rFonts w:ascii="Arial" w:eastAsia="Arial" w:hAnsi="Arial" w:cs="Arial"/>
          <w:color w:val="000000"/>
          <w:sz w:val="20"/>
          <w:szCs w:val="20"/>
        </w:rPr>
        <w:tab/>
      </w:r>
      <w:r>
        <w:rPr>
          <w:rFonts w:ascii="Arial" w:eastAsia="Arial" w:hAnsi="Arial" w:cs="Arial"/>
          <w:color w:val="000000"/>
          <w:sz w:val="20"/>
          <w:szCs w:val="20"/>
        </w:rPr>
        <w:tab/>
        <w:t>= Biomass Mortalities (g)</w:t>
      </w:r>
    </w:p>
    <w:p w14:paraId="7D4CDAA8" w14:textId="77777777" w:rsidR="00FC69C6" w:rsidRDefault="00FC69C6">
      <w:pPr>
        <w:widowControl/>
        <w:rPr>
          <w:rFonts w:ascii="Arial" w:eastAsia="Arial" w:hAnsi="Arial" w:cs="Arial"/>
          <w:color w:val="000000"/>
          <w:sz w:val="20"/>
          <w:szCs w:val="20"/>
        </w:rPr>
      </w:pPr>
    </w:p>
    <w:p w14:paraId="086D4BFB"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2.1.2.3 Feed Cost</w:t>
      </w:r>
    </w:p>
    <w:p w14:paraId="640893B4" w14:textId="77777777" w:rsidR="00FC69C6" w:rsidRDefault="00FC69C6">
      <w:pPr>
        <w:widowControl/>
        <w:rPr>
          <w:rFonts w:ascii="Arial" w:eastAsia="Arial" w:hAnsi="Arial" w:cs="Arial"/>
          <w:color w:val="000000"/>
          <w:sz w:val="20"/>
          <w:szCs w:val="20"/>
        </w:rPr>
      </w:pPr>
    </w:p>
    <w:p w14:paraId="38175115"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In this study, the efficiency assessment focuses on two main aspects: the feed cost incurred and the net benefit derived from feed based on the revenue generated from fish sales. The revenue in this study is intended to measure the economic efficiency of feed utilization during the cultivation period, although it does not account for all other production costs (such as labor, electricity, and supporting equipment). Therefore, the calculated revenue is classified as partial profit, which refers to the income obtained after deducting feed costs. </w:t>
      </w:r>
    </w:p>
    <w:p w14:paraId="718E73A9" w14:textId="77777777" w:rsidR="00FC69C6" w:rsidRDefault="00FC69C6">
      <w:pPr>
        <w:widowControl/>
        <w:jc w:val="both"/>
        <w:rPr>
          <w:rFonts w:ascii="Arial" w:eastAsia="Arial" w:hAnsi="Arial" w:cs="Arial"/>
          <w:color w:val="000000"/>
          <w:sz w:val="20"/>
          <w:szCs w:val="20"/>
        </w:rPr>
      </w:pPr>
    </w:p>
    <w:p w14:paraId="00F7FCDB"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2.1.2.3.1 Feed Cost</w:t>
      </w:r>
    </w:p>
    <w:p w14:paraId="4CF3D6F7" w14:textId="77777777" w:rsidR="00FC69C6" w:rsidRDefault="00FC69C6">
      <w:pPr>
        <w:widowControl/>
        <w:rPr>
          <w:rFonts w:ascii="Arial" w:eastAsia="Arial" w:hAnsi="Arial" w:cs="Arial"/>
          <w:color w:val="000000"/>
          <w:sz w:val="20"/>
          <w:szCs w:val="20"/>
        </w:rPr>
      </w:pPr>
    </w:p>
    <w:p w14:paraId="44AC0499" w14:textId="77777777" w:rsidR="00FC69C6" w:rsidRDefault="00390DC6">
      <w:pPr>
        <w:widowControl/>
        <w:rPr>
          <w:rFonts w:ascii="Arial" w:eastAsia="Arial" w:hAnsi="Arial" w:cs="Arial"/>
          <w:bCs/>
          <w:color w:val="000000"/>
          <w:sz w:val="20"/>
          <w:szCs w:val="20"/>
        </w:rPr>
      </w:pPr>
      <m:oMathPara>
        <m:oMathParaPr>
          <m:jc m:val="center"/>
        </m:oMathParaPr>
        <m:oMath>
          <m:r>
            <m:rPr>
              <m:nor/>
            </m:rPr>
            <w:rPr>
              <w:rFonts w:ascii="Arial" w:hAnsi="Arial" w:cs="Arial"/>
              <w:bCs/>
              <w:sz w:val="20"/>
              <w:szCs w:val="20"/>
              <w:lang w:val="en-US"/>
            </w:rPr>
            <m:t xml:space="preserve">FC      = </m:t>
          </m:r>
          <m:d>
            <m:dPr>
              <m:ctrlPr>
                <w:rPr>
                  <w:rFonts w:ascii="Cambria Math" w:hAnsi="Cambria Math" w:cs="Arial"/>
                  <w:bCs/>
                  <w:i/>
                  <w:sz w:val="20"/>
                  <w:szCs w:val="20"/>
                  <w:lang w:val="en-US"/>
                </w:rPr>
              </m:ctrlPr>
            </m:dPr>
            <m:e>
              <m:r>
                <m:rPr>
                  <m:nor/>
                </m:rPr>
                <w:rPr>
                  <w:rFonts w:ascii="Arial" w:hAnsi="Arial" w:cs="Arial"/>
                  <w:bCs/>
                  <w:sz w:val="20"/>
                  <w:szCs w:val="20"/>
                  <w:lang w:val="en-US"/>
                </w:rPr>
                <m:t>Qhi × Chi</m:t>
              </m:r>
            </m:e>
          </m:d>
          <m:r>
            <m:rPr>
              <m:nor/>
            </m:rPr>
            <w:rPr>
              <w:rFonts w:ascii="Arial" w:hAnsi="Arial" w:cs="Arial"/>
              <w:bCs/>
              <w:sz w:val="20"/>
              <w:szCs w:val="20"/>
              <w:lang w:val="en-US"/>
            </w:rPr>
            <m:t xml:space="preserve"> + </m:t>
          </m:r>
          <m:d>
            <m:dPr>
              <m:ctrlPr>
                <w:rPr>
                  <w:rFonts w:ascii="Cambria Math" w:hAnsi="Cambria Math" w:cs="Arial"/>
                  <w:bCs/>
                  <w:i/>
                  <w:sz w:val="20"/>
                  <w:szCs w:val="20"/>
                  <w:lang w:val="en-US"/>
                </w:rPr>
              </m:ctrlPr>
            </m:dPr>
            <m:e>
              <m:r>
                <m:rPr>
                  <m:nor/>
                </m:rPr>
                <w:rPr>
                  <w:rFonts w:ascii="Arial" w:hAnsi="Arial" w:cs="Arial"/>
                  <w:bCs/>
                  <w:sz w:val="20"/>
                  <w:szCs w:val="20"/>
                  <w:lang w:val="en-US"/>
                </w:rPr>
                <m:t>Qpt × Cpt</m:t>
              </m:r>
            </m:e>
          </m:d>
        </m:oMath>
      </m:oMathPara>
    </w:p>
    <w:p w14:paraId="7E3B37AF" w14:textId="77777777" w:rsidR="00FC69C6" w:rsidRDefault="00FC69C6">
      <w:pPr>
        <w:widowControl/>
        <w:rPr>
          <w:rFonts w:ascii="Arial" w:eastAsia="Arial" w:hAnsi="Arial" w:cs="Arial"/>
          <w:color w:val="000000"/>
          <w:sz w:val="20"/>
          <w:szCs w:val="20"/>
        </w:rPr>
      </w:pPr>
    </w:p>
    <w:p w14:paraId="47457957"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Description:</w:t>
      </w:r>
    </w:p>
    <w:p w14:paraId="52409D46"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FC </w:t>
      </w:r>
      <w:r>
        <w:rPr>
          <w:rFonts w:ascii="Arial" w:eastAsia="Arial" w:hAnsi="Arial" w:cs="Arial"/>
          <w:color w:val="000000"/>
          <w:sz w:val="20"/>
          <w:szCs w:val="20"/>
        </w:rPr>
        <w:tab/>
      </w:r>
      <w:r>
        <w:rPr>
          <w:rFonts w:ascii="Arial" w:eastAsia="Arial" w:hAnsi="Arial" w:cs="Arial"/>
          <w:color w:val="000000"/>
          <w:sz w:val="20"/>
          <w:szCs w:val="20"/>
        </w:rPr>
        <w:tab/>
        <w:t>= Feed Cost (IDR)</w:t>
      </w:r>
    </w:p>
    <w:p w14:paraId="2325AC63" w14:textId="77777777" w:rsidR="00FC69C6" w:rsidRDefault="00390DC6">
      <w:pPr>
        <w:widowControl/>
        <w:rPr>
          <w:rFonts w:ascii="Arial" w:eastAsia="Arial" w:hAnsi="Arial" w:cs="Arial"/>
          <w:color w:val="000000"/>
          <w:sz w:val="20"/>
          <w:szCs w:val="20"/>
        </w:rPr>
      </w:pPr>
      <w:proofErr w:type="spellStart"/>
      <w:r>
        <w:rPr>
          <w:rFonts w:ascii="Arial" w:eastAsia="Arial" w:hAnsi="Arial" w:cs="Arial"/>
          <w:color w:val="000000"/>
          <w:sz w:val="20"/>
          <w:szCs w:val="20"/>
        </w:rPr>
        <w:t>Qhi</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Quantity of HI-PRO-VITE 781 </w:t>
      </w:r>
    </w:p>
    <w:p w14:paraId="4DCED5FC"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feed used (kg)</w:t>
      </w:r>
    </w:p>
    <w:p w14:paraId="05C9C02A" w14:textId="77777777" w:rsidR="00FC69C6" w:rsidRDefault="00390DC6">
      <w:pPr>
        <w:widowControl/>
        <w:rPr>
          <w:rFonts w:ascii="Arial" w:eastAsia="Arial" w:hAnsi="Arial" w:cs="Arial"/>
          <w:color w:val="000000"/>
          <w:sz w:val="20"/>
          <w:szCs w:val="20"/>
        </w:rPr>
      </w:pPr>
      <w:proofErr w:type="spellStart"/>
      <w:r>
        <w:rPr>
          <w:rFonts w:ascii="Arial" w:eastAsia="Arial" w:hAnsi="Arial" w:cs="Arial"/>
          <w:color w:val="000000"/>
          <w:sz w:val="20"/>
          <w:szCs w:val="20"/>
        </w:rPr>
        <w:t>Qpt</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Quantity of </w:t>
      </w:r>
      <w:proofErr w:type="spellStart"/>
      <w:r>
        <w:rPr>
          <w:rFonts w:ascii="Arial" w:eastAsia="Arial" w:hAnsi="Arial" w:cs="Arial"/>
          <w:color w:val="000000"/>
          <w:sz w:val="20"/>
          <w:szCs w:val="20"/>
        </w:rPr>
        <w:t>pindang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tongkol</w:t>
      </w:r>
      <w:proofErr w:type="spellEnd"/>
      <w:r>
        <w:rPr>
          <w:rFonts w:ascii="Arial" w:eastAsia="Arial" w:hAnsi="Arial" w:cs="Arial"/>
          <w:color w:val="000000"/>
          <w:sz w:val="20"/>
          <w:szCs w:val="20"/>
        </w:rPr>
        <w:t xml:space="preserve"> </w:t>
      </w:r>
    </w:p>
    <w:p w14:paraId="66380710"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(boiled tuna used (kg)</w:t>
      </w:r>
    </w:p>
    <w:p w14:paraId="1062FEBB"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Chi </w:t>
      </w:r>
      <w:r>
        <w:rPr>
          <w:rFonts w:ascii="Arial" w:eastAsia="Arial" w:hAnsi="Arial" w:cs="Arial"/>
          <w:color w:val="000000"/>
          <w:sz w:val="20"/>
          <w:szCs w:val="20"/>
        </w:rPr>
        <w:tab/>
      </w:r>
      <w:r>
        <w:rPr>
          <w:rFonts w:ascii="Arial" w:eastAsia="Arial" w:hAnsi="Arial" w:cs="Arial"/>
          <w:color w:val="000000"/>
          <w:sz w:val="20"/>
          <w:szCs w:val="20"/>
        </w:rPr>
        <w:tab/>
        <w:t>= Feed Cost per kg of</w:t>
      </w:r>
    </w:p>
    <w:p w14:paraId="3B16A6F3"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HI-PRO-VITE 781</w:t>
      </w:r>
    </w:p>
    <w:p w14:paraId="01D32738"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(IDR 11,533.00/kg)</w:t>
      </w:r>
    </w:p>
    <w:p w14:paraId="6608520C"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Cpt </w:t>
      </w:r>
      <w:r>
        <w:rPr>
          <w:rFonts w:ascii="Arial" w:eastAsia="Arial" w:hAnsi="Arial" w:cs="Arial"/>
          <w:color w:val="000000"/>
          <w:sz w:val="20"/>
          <w:szCs w:val="20"/>
        </w:rPr>
        <w:tab/>
      </w:r>
      <w:r>
        <w:rPr>
          <w:rFonts w:ascii="Arial" w:eastAsia="Arial" w:hAnsi="Arial" w:cs="Arial"/>
          <w:color w:val="000000"/>
          <w:sz w:val="20"/>
          <w:szCs w:val="20"/>
        </w:rPr>
        <w:tab/>
        <w:t xml:space="preserve">= Feed Cost per kg of boiled tuna   </w:t>
      </w:r>
    </w:p>
    <w:p w14:paraId="5AD11FF1"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(IDR 60,000.00/kg)</w:t>
      </w:r>
    </w:p>
    <w:p w14:paraId="48B7AD8A" w14:textId="77777777" w:rsidR="00FC69C6" w:rsidRDefault="00FC69C6">
      <w:pPr>
        <w:widowControl/>
        <w:rPr>
          <w:rFonts w:ascii="Arial" w:eastAsia="Arial" w:hAnsi="Arial" w:cs="Arial"/>
          <w:color w:val="000000"/>
          <w:sz w:val="20"/>
          <w:szCs w:val="20"/>
        </w:rPr>
      </w:pPr>
    </w:p>
    <w:p w14:paraId="351530BE"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The price of HI-PRO-VITE 781 feed was based on the average market price of approximately IDR 346,000.00 per 30 kg sack (equivalent to ±IDR 11,533.00/kg). The boiled tuna flakes, priced at IDR 60,000.00/kg, were obtained from </w:t>
      </w:r>
      <w:proofErr w:type="spellStart"/>
      <w:r>
        <w:rPr>
          <w:rFonts w:ascii="Arial" w:eastAsia="Arial" w:hAnsi="Arial" w:cs="Arial"/>
          <w:color w:val="000000"/>
          <w:sz w:val="20"/>
          <w:szCs w:val="20"/>
        </w:rPr>
        <w:t>Resik</w:t>
      </w:r>
      <w:proofErr w:type="spellEnd"/>
      <w:r>
        <w:rPr>
          <w:rFonts w:ascii="Arial" w:eastAsia="Arial" w:hAnsi="Arial" w:cs="Arial"/>
          <w:color w:val="000000"/>
          <w:sz w:val="20"/>
          <w:szCs w:val="20"/>
        </w:rPr>
        <w:t xml:space="preserve"> market, </w:t>
      </w:r>
      <w:proofErr w:type="spellStart"/>
      <w:r>
        <w:rPr>
          <w:rFonts w:ascii="Arial" w:eastAsia="Arial" w:hAnsi="Arial" w:cs="Arial"/>
          <w:color w:val="000000"/>
          <w:sz w:val="20"/>
          <w:szCs w:val="20"/>
        </w:rPr>
        <w:t>Jatinangor</w:t>
      </w:r>
      <w:proofErr w:type="spellEnd"/>
      <w:r>
        <w:rPr>
          <w:rFonts w:ascii="Arial" w:eastAsia="Arial" w:hAnsi="Arial" w:cs="Arial"/>
          <w:color w:val="000000"/>
          <w:sz w:val="20"/>
          <w:szCs w:val="20"/>
        </w:rPr>
        <w:t>.</w:t>
      </w:r>
    </w:p>
    <w:p w14:paraId="23C33599" w14:textId="77777777" w:rsidR="00FC69C6" w:rsidRDefault="00FC69C6">
      <w:pPr>
        <w:widowControl/>
        <w:rPr>
          <w:rFonts w:ascii="Arial" w:eastAsia="Arial" w:hAnsi="Arial" w:cs="Arial"/>
          <w:color w:val="000000"/>
          <w:sz w:val="20"/>
          <w:szCs w:val="20"/>
        </w:rPr>
      </w:pPr>
    </w:p>
    <w:p w14:paraId="31E29A62"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2.1.2.3.2     Net Benefit from Feed</w:t>
      </w:r>
    </w:p>
    <w:p w14:paraId="7AD39A72" w14:textId="77777777" w:rsidR="00FC69C6" w:rsidRDefault="00FC69C6">
      <w:pPr>
        <w:widowControl/>
        <w:rPr>
          <w:rFonts w:ascii="Arial" w:eastAsia="Arial" w:hAnsi="Arial" w:cs="Arial"/>
          <w:color w:val="000000"/>
          <w:sz w:val="20"/>
          <w:szCs w:val="20"/>
        </w:rPr>
      </w:pPr>
    </w:p>
    <w:p w14:paraId="3D63E9D7" w14:textId="77777777" w:rsidR="00FC69C6" w:rsidRDefault="00390DC6">
      <w:pPr>
        <w:widowControl/>
        <w:rPr>
          <w:rFonts w:ascii="Arial" w:eastAsia="Arial" w:hAnsi="Arial" w:cs="Arial"/>
          <w:bCs/>
          <w:sz w:val="20"/>
          <w:szCs w:val="20"/>
          <w:lang w:val="en-US"/>
        </w:rPr>
      </w:pPr>
      <m:oMathPara>
        <m:oMathParaPr>
          <m:jc m:val="center"/>
        </m:oMathParaPr>
        <m:oMath>
          <m:r>
            <m:rPr>
              <m:nor/>
            </m:rPr>
            <w:rPr>
              <w:rFonts w:ascii="Arial" w:hAnsi="Arial" w:cs="Arial"/>
              <w:bCs/>
              <w:sz w:val="20"/>
              <w:szCs w:val="20"/>
              <w:lang w:val="en-US"/>
            </w:rPr>
            <m:t xml:space="preserve">NBP = </m:t>
          </m:r>
          <m:d>
            <m:dPr>
              <m:ctrlPr>
                <w:rPr>
                  <w:rFonts w:ascii="Cambria Math" w:hAnsi="Cambria Math" w:cs="Arial"/>
                  <w:bCs/>
                  <w:i/>
                  <w:sz w:val="20"/>
                  <w:szCs w:val="20"/>
                  <w:lang w:val="en-US"/>
                </w:rPr>
              </m:ctrlPr>
            </m:dPr>
            <m:e>
              <m:r>
                <m:rPr>
                  <m:nor/>
                </m:rPr>
                <w:rPr>
                  <w:rFonts w:ascii="Arial" w:hAnsi="Arial" w:cs="Arial"/>
                  <w:bCs/>
                  <w:sz w:val="20"/>
                  <w:szCs w:val="20"/>
                  <w:lang w:val="en-US"/>
                </w:rPr>
                <m:t>Awf × Pf</m:t>
              </m:r>
            </m:e>
          </m:d>
          <m:r>
            <m:rPr>
              <m:nor/>
            </m:rPr>
            <w:rPr>
              <w:rFonts w:ascii="Arial" w:hAnsi="Arial" w:cs="Arial"/>
              <w:bCs/>
              <w:sz w:val="20"/>
              <w:szCs w:val="20"/>
              <w:lang w:val="en-US"/>
            </w:rPr>
            <m:t xml:space="preserve"> - FC</m:t>
          </m:r>
        </m:oMath>
      </m:oMathPara>
    </w:p>
    <w:p w14:paraId="291E0D82" w14:textId="77777777" w:rsidR="00FC69C6" w:rsidRDefault="00FC69C6">
      <w:pPr>
        <w:widowControl/>
        <w:rPr>
          <w:rFonts w:ascii="Arial" w:eastAsia="Arial" w:hAnsi="Arial" w:cs="Arial"/>
          <w:color w:val="000000"/>
          <w:sz w:val="20"/>
          <w:szCs w:val="20"/>
        </w:rPr>
      </w:pPr>
    </w:p>
    <w:p w14:paraId="40055E76" w14:textId="77777777" w:rsidR="00FC69C6" w:rsidRDefault="00FC69C6">
      <w:pPr>
        <w:widowControl/>
        <w:rPr>
          <w:rFonts w:ascii="Arial" w:eastAsia="Arial" w:hAnsi="Arial" w:cs="Arial"/>
          <w:color w:val="000000"/>
          <w:sz w:val="20"/>
          <w:szCs w:val="20"/>
        </w:rPr>
      </w:pPr>
    </w:p>
    <w:p w14:paraId="6BEEB54C"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Description:</w:t>
      </w:r>
    </w:p>
    <w:p w14:paraId="0394B927"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FC</w:t>
      </w:r>
      <w:r>
        <w:rPr>
          <w:rFonts w:ascii="Arial" w:eastAsia="Arial" w:hAnsi="Arial" w:cs="Arial"/>
          <w:color w:val="000000"/>
          <w:sz w:val="20"/>
          <w:szCs w:val="20"/>
        </w:rPr>
        <w:tab/>
      </w:r>
      <w:r>
        <w:rPr>
          <w:rFonts w:ascii="Arial" w:eastAsia="Arial" w:hAnsi="Arial" w:cs="Arial"/>
          <w:color w:val="000000"/>
          <w:sz w:val="20"/>
          <w:szCs w:val="20"/>
        </w:rPr>
        <w:tab/>
        <w:t>= Feed Cost (IDR)</w:t>
      </w:r>
    </w:p>
    <w:p w14:paraId="6BD1E793"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NBP</w:t>
      </w:r>
      <w:r>
        <w:rPr>
          <w:rFonts w:ascii="Arial" w:eastAsia="Arial" w:hAnsi="Arial" w:cs="Arial"/>
          <w:color w:val="000000"/>
          <w:sz w:val="20"/>
          <w:szCs w:val="20"/>
        </w:rPr>
        <w:tab/>
      </w:r>
      <w:r>
        <w:rPr>
          <w:rFonts w:ascii="Arial" w:eastAsia="Arial" w:hAnsi="Arial" w:cs="Arial"/>
          <w:color w:val="000000"/>
          <w:sz w:val="20"/>
          <w:szCs w:val="20"/>
        </w:rPr>
        <w:tab/>
        <w:t>= Net Benefit from Feed (IDR)</w:t>
      </w:r>
    </w:p>
    <w:p w14:paraId="20FC2499" w14:textId="77777777" w:rsidR="00FC69C6" w:rsidRDefault="00390DC6">
      <w:pPr>
        <w:widowControl/>
        <w:rPr>
          <w:rFonts w:ascii="Arial" w:eastAsia="Arial" w:hAnsi="Arial" w:cs="Arial"/>
          <w:color w:val="000000"/>
          <w:sz w:val="20"/>
          <w:szCs w:val="20"/>
        </w:rPr>
      </w:pPr>
      <w:proofErr w:type="spellStart"/>
      <w:r>
        <w:rPr>
          <w:rFonts w:ascii="Arial" w:eastAsia="Arial" w:hAnsi="Arial" w:cs="Arial"/>
          <w:color w:val="000000"/>
          <w:sz w:val="20"/>
          <w:szCs w:val="20"/>
        </w:rPr>
        <w:t>Awf</w:t>
      </w:r>
      <w:proofErr w:type="spellEnd"/>
      <w:r>
        <w:rPr>
          <w:rFonts w:ascii="Arial" w:eastAsia="Arial" w:hAnsi="Arial" w:cs="Arial"/>
          <w:color w:val="000000"/>
          <w:sz w:val="20"/>
          <w:szCs w:val="20"/>
        </w:rPr>
        <w:tab/>
      </w:r>
      <w:r>
        <w:rPr>
          <w:rFonts w:ascii="Arial" w:eastAsia="Arial" w:hAnsi="Arial" w:cs="Arial"/>
          <w:color w:val="000000"/>
          <w:sz w:val="20"/>
          <w:szCs w:val="20"/>
        </w:rPr>
        <w:tab/>
        <w:t>= Average final weight of fish (kg)</w:t>
      </w:r>
    </w:p>
    <w:p w14:paraId="6EF39E47"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Pt</w:t>
      </w:r>
      <w:r>
        <w:rPr>
          <w:rFonts w:ascii="Arial" w:eastAsia="Arial" w:hAnsi="Arial" w:cs="Arial"/>
          <w:color w:val="000000"/>
          <w:sz w:val="20"/>
          <w:szCs w:val="20"/>
        </w:rPr>
        <w:tab/>
      </w:r>
      <w:r>
        <w:rPr>
          <w:rFonts w:ascii="Arial" w:eastAsia="Arial" w:hAnsi="Arial" w:cs="Arial"/>
          <w:color w:val="000000"/>
          <w:sz w:val="20"/>
          <w:szCs w:val="20"/>
        </w:rPr>
        <w:tab/>
        <w:t xml:space="preserve">= Selling price of fish per kilogram </w:t>
      </w:r>
    </w:p>
    <w:p w14:paraId="32F68FA7"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 xml:space="preserve">                             (IDR 35,000.00/kg)</w:t>
      </w:r>
    </w:p>
    <w:p w14:paraId="37F1CA98" w14:textId="77777777" w:rsidR="00FC69C6" w:rsidRDefault="00FC69C6">
      <w:pPr>
        <w:widowControl/>
        <w:rPr>
          <w:rFonts w:ascii="Arial" w:eastAsia="Arial" w:hAnsi="Arial" w:cs="Arial"/>
          <w:color w:val="000000"/>
          <w:sz w:val="20"/>
          <w:szCs w:val="20"/>
        </w:rPr>
      </w:pPr>
    </w:p>
    <w:p w14:paraId="5261B992" w14:textId="5E8F099C"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In this study, both transgenic and non</w:t>
      </w:r>
      <w:r w:rsidR="00975132">
        <w:rPr>
          <w:rFonts w:ascii="Arial" w:eastAsia="Arial" w:hAnsi="Arial" w:cs="Arial"/>
          <w:color w:val="000000"/>
          <w:sz w:val="20"/>
          <w:szCs w:val="20"/>
        </w:rPr>
        <w:t>-</w:t>
      </w:r>
      <w:r>
        <w:rPr>
          <w:rFonts w:ascii="Arial" w:eastAsia="Arial" w:hAnsi="Arial" w:cs="Arial"/>
          <w:color w:val="000000"/>
          <w:sz w:val="20"/>
          <w:szCs w:val="20"/>
        </w:rPr>
        <w:t xml:space="preserve">transgenic </w:t>
      </w:r>
      <w:proofErr w:type="spellStart"/>
      <w:r w:rsidRPr="00975132">
        <w:rPr>
          <w:rFonts w:ascii="Arial" w:eastAsia="Arial" w:hAnsi="Arial" w:cs="Arial"/>
          <w:i/>
          <w:iCs/>
          <w:color w:val="000000"/>
          <w:sz w:val="20"/>
          <w:szCs w:val="20"/>
          <w:highlight w:val="yellow"/>
        </w:rPr>
        <w:t>mutiara</w:t>
      </w:r>
      <w:proofErr w:type="spellEnd"/>
      <w:r>
        <w:rPr>
          <w:rFonts w:ascii="Arial" w:eastAsia="Arial" w:hAnsi="Arial" w:cs="Arial"/>
          <w:color w:val="000000"/>
          <w:sz w:val="20"/>
          <w:szCs w:val="20"/>
        </w:rPr>
        <w:t xml:space="preserve"> catfish were assumed to have a market selling price of IDR 35,000.00/kg, based on their post-consumption size and potential use as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This price was used as the basis for income calculation in the economic analysis.</w:t>
      </w:r>
    </w:p>
    <w:p w14:paraId="7F23A1D5" w14:textId="77777777" w:rsidR="00FC69C6" w:rsidRDefault="00FC69C6">
      <w:pPr>
        <w:widowControl/>
        <w:rPr>
          <w:rFonts w:ascii="Arial" w:eastAsia="Arial" w:hAnsi="Arial" w:cs="Arial"/>
          <w:color w:val="000000"/>
          <w:sz w:val="20"/>
          <w:szCs w:val="20"/>
        </w:rPr>
      </w:pPr>
    </w:p>
    <w:p w14:paraId="74996075" w14:textId="77777777" w:rsidR="00FC69C6" w:rsidRDefault="00390DC6">
      <w:pPr>
        <w:widowControl/>
        <w:rPr>
          <w:rFonts w:ascii="Arial" w:eastAsia="Arial" w:hAnsi="Arial" w:cs="Arial"/>
          <w:color w:val="000000"/>
          <w:sz w:val="20"/>
          <w:szCs w:val="20"/>
        </w:rPr>
      </w:pPr>
      <w:r>
        <w:rPr>
          <w:rFonts w:ascii="Arial" w:eastAsia="Arial" w:hAnsi="Arial" w:cs="Arial"/>
          <w:color w:val="000000"/>
          <w:sz w:val="20"/>
          <w:szCs w:val="20"/>
        </w:rPr>
        <w:t>2.1.2.4 Water Quality</w:t>
      </w:r>
    </w:p>
    <w:p w14:paraId="3B1658BF" w14:textId="77777777" w:rsidR="00FC69C6" w:rsidRDefault="00FC69C6">
      <w:pPr>
        <w:widowControl/>
        <w:rPr>
          <w:rFonts w:ascii="Arial" w:eastAsia="Arial" w:hAnsi="Arial" w:cs="Arial"/>
          <w:color w:val="000000"/>
          <w:sz w:val="20"/>
          <w:szCs w:val="20"/>
        </w:rPr>
      </w:pPr>
    </w:p>
    <w:p w14:paraId="635774F8" w14:textId="4B08B01A"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During the maintenance period, water quality parameters such as pH, dissolved oxygen (DO), and temperature were measured twice a week to support optimal environmental conditions for catfish growth.</w:t>
      </w:r>
      <w:r w:rsidR="004B1F40">
        <w:rPr>
          <w:rFonts w:ascii="Arial" w:eastAsia="Arial" w:hAnsi="Arial" w:cs="Arial"/>
          <w:color w:val="000000"/>
          <w:sz w:val="20"/>
          <w:szCs w:val="20"/>
        </w:rPr>
        <w:t xml:space="preserve"> </w:t>
      </w:r>
      <w:r w:rsidR="004B1F40" w:rsidRPr="004B1F40">
        <w:rPr>
          <w:rFonts w:ascii="Arial" w:hAnsi="Arial" w:cs="Arial"/>
          <w:sz w:val="20"/>
          <w:szCs w:val="20"/>
          <w:highlight w:val="yellow"/>
        </w:rPr>
        <w:t>Parameters measured twice weekly to capture diurnal fluctuations.</w:t>
      </w:r>
    </w:p>
    <w:p w14:paraId="60B6BFDF" w14:textId="77777777" w:rsidR="00FC69C6" w:rsidRDefault="00FC69C6">
      <w:pPr>
        <w:widowControl/>
        <w:jc w:val="both"/>
        <w:rPr>
          <w:rFonts w:ascii="Arial" w:eastAsia="Arial" w:hAnsi="Arial" w:cs="Arial"/>
          <w:color w:val="000000"/>
          <w:sz w:val="20"/>
          <w:szCs w:val="20"/>
        </w:rPr>
      </w:pPr>
    </w:p>
    <w:p w14:paraId="68F0257F" w14:textId="77777777" w:rsidR="00FC69C6" w:rsidRDefault="00390DC6">
      <w:pPr>
        <w:widowControl/>
        <w:jc w:val="both"/>
        <w:rPr>
          <w:rFonts w:ascii="Arial" w:eastAsia="Arial" w:hAnsi="Arial" w:cs="Arial"/>
          <w:b/>
          <w:bCs/>
          <w:color w:val="000000"/>
        </w:rPr>
      </w:pPr>
      <w:r>
        <w:rPr>
          <w:rFonts w:ascii="Arial" w:eastAsia="Arial" w:hAnsi="Arial" w:cs="Arial"/>
          <w:b/>
          <w:bCs/>
          <w:color w:val="000000"/>
        </w:rPr>
        <w:t>2.2 Data Analysis</w:t>
      </w:r>
    </w:p>
    <w:p w14:paraId="2BD4409C" w14:textId="77777777" w:rsidR="00FC69C6" w:rsidRDefault="00FC69C6">
      <w:pPr>
        <w:widowControl/>
        <w:jc w:val="both"/>
        <w:rPr>
          <w:rFonts w:ascii="Arial" w:eastAsia="Arial" w:hAnsi="Arial" w:cs="Arial"/>
          <w:color w:val="000000"/>
          <w:sz w:val="20"/>
          <w:szCs w:val="20"/>
        </w:rPr>
      </w:pPr>
    </w:p>
    <w:p w14:paraId="3DBBDC86"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The average weight gain and feed conversion ratio data were analyzed using one-way ANOVA. If significant differences were found among treatments, </w:t>
      </w:r>
      <w:r>
        <w:rPr>
          <w:rFonts w:ascii="Arial" w:eastAsia="Arial" w:hAnsi="Arial" w:cs="Arial"/>
          <w:i/>
          <w:iCs/>
          <w:color w:val="000000"/>
          <w:sz w:val="20"/>
          <w:szCs w:val="20"/>
        </w:rPr>
        <w:t xml:space="preserve">Duncan’s Multiple Range Test </w:t>
      </w:r>
      <w:r>
        <w:rPr>
          <w:rFonts w:ascii="Arial" w:eastAsia="Arial" w:hAnsi="Arial" w:cs="Arial"/>
          <w:color w:val="000000"/>
          <w:sz w:val="20"/>
          <w:szCs w:val="20"/>
        </w:rPr>
        <w:t xml:space="preserve">(DMRT) was applied at a 95% confidence level using </w:t>
      </w:r>
      <w:proofErr w:type="spellStart"/>
      <w:r>
        <w:rPr>
          <w:rFonts w:ascii="Arial" w:eastAsia="Arial" w:hAnsi="Arial" w:cs="Arial"/>
          <w:color w:val="000000"/>
          <w:sz w:val="20"/>
          <w:szCs w:val="20"/>
        </w:rPr>
        <w:t>SigmaPlot</w:t>
      </w:r>
      <w:proofErr w:type="spellEnd"/>
      <w:r>
        <w:rPr>
          <w:rFonts w:ascii="Arial" w:eastAsia="Arial" w:hAnsi="Arial" w:cs="Arial"/>
          <w:color w:val="000000"/>
          <w:sz w:val="20"/>
          <w:szCs w:val="20"/>
        </w:rPr>
        <w:t xml:space="preserve"> 15. Water quality parameters were analyzed descriptively.</w:t>
      </w:r>
    </w:p>
    <w:p w14:paraId="51747C63" w14:textId="77777777" w:rsidR="00FC69C6" w:rsidRDefault="00FC69C6">
      <w:pPr>
        <w:widowControl/>
        <w:jc w:val="both"/>
        <w:rPr>
          <w:rFonts w:ascii="Arial" w:eastAsia="Arial" w:hAnsi="Arial" w:cs="Arial"/>
          <w:color w:val="000000"/>
          <w:sz w:val="20"/>
          <w:szCs w:val="20"/>
        </w:rPr>
      </w:pPr>
    </w:p>
    <w:p w14:paraId="7D930A62" w14:textId="77777777" w:rsidR="00FC69C6" w:rsidRDefault="00390DC6">
      <w:pPr>
        <w:pStyle w:val="ListParagraph"/>
        <w:widowControl/>
        <w:numPr>
          <w:ilvl w:val="0"/>
          <w:numId w:val="14"/>
        </w:numPr>
        <w:jc w:val="both"/>
        <w:rPr>
          <w:rFonts w:ascii="Arial" w:eastAsia="Arial" w:hAnsi="Arial" w:cs="Arial"/>
          <w:b/>
          <w:bCs/>
          <w:color w:val="000000"/>
        </w:rPr>
      </w:pPr>
      <w:r>
        <w:rPr>
          <w:rFonts w:ascii="Arial" w:eastAsia="Arial" w:hAnsi="Arial" w:cs="Arial"/>
          <w:b/>
          <w:bCs/>
          <w:color w:val="000000"/>
        </w:rPr>
        <w:t>RESULTS AND DISCUSSION</w:t>
      </w:r>
    </w:p>
    <w:p w14:paraId="789DDBF2" w14:textId="77777777" w:rsidR="00FC69C6" w:rsidRDefault="00FC69C6">
      <w:pPr>
        <w:widowControl/>
        <w:jc w:val="both"/>
        <w:rPr>
          <w:rFonts w:ascii="Arial" w:eastAsia="Arial" w:hAnsi="Arial" w:cs="Arial"/>
          <w:b/>
          <w:bCs/>
          <w:color w:val="000000"/>
        </w:rPr>
      </w:pPr>
    </w:p>
    <w:p w14:paraId="27CF90AA" w14:textId="77777777" w:rsidR="00FC69C6" w:rsidRDefault="00390DC6">
      <w:pPr>
        <w:widowControl/>
        <w:jc w:val="both"/>
        <w:rPr>
          <w:rFonts w:ascii="Arial" w:eastAsia="Arial" w:hAnsi="Arial" w:cs="Arial"/>
          <w:b/>
          <w:bCs/>
          <w:color w:val="000000"/>
        </w:rPr>
      </w:pPr>
      <w:r>
        <w:rPr>
          <w:rFonts w:ascii="Arial" w:eastAsia="Arial" w:hAnsi="Arial" w:cs="Arial"/>
          <w:b/>
          <w:bCs/>
          <w:color w:val="000000"/>
        </w:rPr>
        <w:lastRenderedPageBreak/>
        <w:t xml:space="preserve">3.1 Growth </w:t>
      </w:r>
      <w:proofErr w:type="spellStart"/>
      <w:r>
        <w:rPr>
          <w:rFonts w:ascii="Arial" w:eastAsia="Arial" w:hAnsi="Arial" w:cs="Arial"/>
          <w:b/>
          <w:bCs/>
          <w:color w:val="000000"/>
        </w:rPr>
        <w:t>Perfomance</w:t>
      </w:r>
      <w:proofErr w:type="spellEnd"/>
      <w:r>
        <w:rPr>
          <w:rFonts w:ascii="Arial" w:eastAsia="Arial" w:hAnsi="Arial" w:cs="Arial"/>
          <w:b/>
          <w:bCs/>
          <w:color w:val="000000"/>
        </w:rPr>
        <w:t xml:space="preserve"> Evaluation</w:t>
      </w:r>
    </w:p>
    <w:p w14:paraId="30FD8E75" w14:textId="77777777" w:rsidR="00FC69C6" w:rsidRDefault="00FC69C6">
      <w:pPr>
        <w:widowControl/>
        <w:jc w:val="both"/>
        <w:rPr>
          <w:rFonts w:ascii="Arial" w:eastAsia="Arial" w:hAnsi="Arial" w:cs="Arial"/>
          <w:b/>
          <w:bCs/>
          <w:color w:val="000000"/>
        </w:rPr>
      </w:pPr>
    </w:p>
    <w:p w14:paraId="7DF5BF1D" w14:textId="558A4838" w:rsidR="000B11A4" w:rsidRPr="000B11A4" w:rsidRDefault="00390DC6" w:rsidP="000B11A4">
      <w:pPr>
        <w:widowControl/>
        <w:jc w:val="both"/>
        <w:rPr>
          <w:rFonts w:ascii="Arial" w:eastAsia="Arial" w:hAnsi="Arial" w:cs="Arial"/>
          <w:color w:val="000000"/>
          <w:sz w:val="20"/>
          <w:szCs w:val="20"/>
        </w:rPr>
      </w:pPr>
      <w:r>
        <w:rPr>
          <w:rFonts w:ascii="Arial" w:eastAsia="Arial" w:hAnsi="Arial" w:cs="Arial"/>
          <w:color w:val="000000"/>
          <w:sz w:val="20"/>
          <w:szCs w:val="20"/>
        </w:rPr>
        <w:t>Observations on the average weight gain of the fish indicated that variations in feed dosage combined with the addition of 10 g of boiled tuna (</w:t>
      </w:r>
      <w:r>
        <w:rPr>
          <w:rFonts w:ascii="Arial" w:eastAsia="Arial" w:hAnsi="Arial" w:cs="Arial"/>
          <w:i/>
          <w:iCs/>
          <w:color w:val="000000"/>
          <w:sz w:val="20"/>
          <w:szCs w:val="20"/>
        </w:rPr>
        <w:t>E</w:t>
      </w:r>
      <w:r w:rsidR="000415C2">
        <w:rPr>
          <w:rFonts w:ascii="Arial" w:eastAsia="Arial" w:hAnsi="Arial" w:cs="Arial"/>
          <w:i/>
          <w:iCs/>
          <w:color w:val="000000"/>
          <w:sz w:val="20"/>
          <w:szCs w:val="20"/>
        </w:rPr>
        <w:t>.</w:t>
      </w:r>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i/>
          <w:iCs/>
          <w:color w:val="000000"/>
          <w:sz w:val="20"/>
          <w:szCs w:val="20"/>
        </w:rPr>
        <w:t>)</w:t>
      </w:r>
      <w:r>
        <w:rPr>
          <w:rFonts w:ascii="Arial" w:eastAsia="Arial" w:hAnsi="Arial" w:cs="Arial"/>
          <w:color w:val="000000"/>
          <w:sz w:val="20"/>
          <w:szCs w:val="20"/>
        </w:rPr>
        <w:t xml:space="preserve"> per treatment had a significant effect on body weight increase in both G4 transgenic and non</w:t>
      </w:r>
      <w:r w:rsidR="000415C2">
        <w:rPr>
          <w:rFonts w:ascii="Arial" w:eastAsia="Arial" w:hAnsi="Arial" w:cs="Arial"/>
          <w:color w:val="000000"/>
          <w:sz w:val="20"/>
          <w:szCs w:val="20"/>
        </w:rPr>
        <w:t>-</w:t>
      </w:r>
      <w:r>
        <w:rPr>
          <w:rFonts w:ascii="Arial" w:eastAsia="Arial" w:hAnsi="Arial" w:cs="Arial"/>
          <w:color w:val="000000"/>
          <w:sz w:val="20"/>
          <w:szCs w:val="20"/>
        </w:rPr>
        <w:t xml:space="preserve">transgenic </w:t>
      </w:r>
      <w:proofErr w:type="spellStart"/>
      <w:r w:rsidRPr="000415C2">
        <w:rPr>
          <w:rFonts w:ascii="Arial" w:eastAsia="Arial" w:hAnsi="Arial" w:cs="Arial"/>
          <w:i/>
          <w:iCs/>
          <w:color w:val="000000"/>
          <w:sz w:val="20"/>
          <w:szCs w:val="20"/>
        </w:rPr>
        <w:t>mutiara</w:t>
      </w:r>
      <w:proofErr w:type="spellEnd"/>
      <w:r>
        <w:rPr>
          <w:rFonts w:ascii="Arial" w:eastAsia="Arial" w:hAnsi="Arial" w:cs="Arial"/>
          <w:color w:val="000000"/>
          <w:sz w:val="20"/>
          <w:szCs w:val="20"/>
        </w:rPr>
        <w:t xml:space="preserve"> catfish. The average weight gain and growth performance data are presented in Fig</w:t>
      </w:r>
      <w:r>
        <w:rPr>
          <w:rFonts w:ascii="Arial" w:eastAsia="Arial" w:hAnsi="Arial" w:cs="Arial"/>
          <w:color w:val="000000"/>
          <w:sz w:val="20"/>
          <w:szCs w:val="20"/>
          <w:lang w:val="id-ID"/>
        </w:rPr>
        <w:t>. 1</w:t>
      </w:r>
      <w:r>
        <w:rPr>
          <w:rFonts w:ascii="Arial" w:eastAsia="Arial" w:hAnsi="Arial" w:cs="Arial"/>
          <w:color w:val="000000"/>
          <w:sz w:val="20"/>
          <w:szCs w:val="20"/>
        </w:rPr>
        <w:t xml:space="preserve"> and </w:t>
      </w:r>
      <w:r>
        <w:rPr>
          <w:rFonts w:ascii="Arial" w:eastAsia="Arial" w:hAnsi="Arial" w:cs="Arial"/>
          <w:color w:val="000000"/>
          <w:sz w:val="20"/>
          <w:szCs w:val="20"/>
          <w:lang w:val="id-ID"/>
        </w:rPr>
        <w:t>2</w:t>
      </w:r>
      <w:r>
        <w:rPr>
          <w:rFonts w:ascii="Arial" w:eastAsia="Arial" w:hAnsi="Arial" w:cs="Arial"/>
          <w:color w:val="000000"/>
          <w:sz w:val="20"/>
          <w:szCs w:val="20"/>
        </w:rPr>
        <w:t>.</w:t>
      </w:r>
      <w:r w:rsidR="000B11A4">
        <w:rPr>
          <w:rFonts w:ascii="Arial" w:eastAsia="Arial" w:hAnsi="Arial" w:cs="Arial"/>
          <w:color w:val="000000"/>
          <w:sz w:val="20"/>
          <w:szCs w:val="20"/>
        </w:rPr>
        <w:t xml:space="preserve">   </w:t>
      </w:r>
      <w:r w:rsidR="000B11A4" w:rsidRPr="000B11A4">
        <w:rPr>
          <w:rFonts w:ascii="Arial" w:hAnsi="Arial" w:cs="Arial"/>
          <w:sz w:val="20"/>
          <w:szCs w:val="20"/>
          <w:highlight w:val="yellow"/>
        </w:rPr>
        <w:t>No mortality occurred; thus, D=0 in FCR calculations.</w:t>
      </w:r>
    </w:p>
    <w:p w14:paraId="6518A819" w14:textId="77777777" w:rsidR="000B11A4" w:rsidRDefault="000B11A4">
      <w:pPr>
        <w:widowControl/>
        <w:jc w:val="both"/>
        <w:rPr>
          <w:rFonts w:ascii="Arial" w:eastAsia="Arial" w:hAnsi="Arial" w:cs="Arial"/>
          <w:color w:val="000000"/>
          <w:sz w:val="20"/>
          <w:szCs w:val="20"/>
        </w:rPr>
      </w:pPr>
    </w:p>
    <w:p w14:paraId="23BC6A67" w14:textId="77777777" w:rsidR="00FC69C6" w:rsidRDefault="00FC69C6">
      <w:pPr>
        <w:widowControl/>
        <w:jc w:val="both"/>
        <w:rPr>
          <w:rFonts w:ascii="Arial" w:eastAsia="Arial" w:hAnsi="Arial" w:cs="Arial"/>
          <w:color w:val="000000"/>
          <w:sz w:val="20"/>
          <w:szCs w:val="20"/>
        </w:rPr>
      </w:pPr>
    </w:p>
    <w:p w14:paraId="3A3737FD"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3.1.1 Average Weight Gain</w:t>
      </w:r>
    </w:p>
    <w:p w14:paraId="07486052" w14:textId="77777777" w:rsidR="00FC69C6" w:rsidRDefault="00FC69C6">
      <w:pPr>
        <w:widowControl/>
        <w:jc w:val="both"/>
        <w:rPr>
          <w:rFonts w:ascii="Arial" w:eastAsia="Arial" w:hAnsi="Arial" w:cs="Arial"/>
          <w:color w:val="000000"/>
          <w:sz w:val="20"/>
          <w:szCs w:val="20"/>
        </w:rPr>
      </w:pPr>
    </w:p>
    <w:p w14:paraId="736BC38B"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Based on Duncan's post-hoc test, treatment A showed no significant difference from treatments B and C, but it was significantly different from treatment D. Treatment B was significantly deferens from both treatments C and D (Fig. 3). The average weight gain across all treatments ranged from 451.67 to 1515 g. The highest mean weight gain was recorded in treatment B (2% HI-PRO-VITE 781 + 10 g of boiled tuna flakes), while the lowest was observed in treatment D (2.5% HI-PRO-VITE 781 + 10 g of boiled tuna flakes, without exogenous genes).</w:t>
      </w:r>
    </w:p>
    <w:p w14:paraId="40994412" w14:textId="77777777" w:rsidR="00FC69C6" w:rsidRDefault="00FC69C6">
      <w:pPr>
        <w:widowControl/>
        <w:jc w:val="both"/>
        <w:rPr>
          <w:rFonts w:ascii="Arial" w:eastAsia="Arial" w:hAnsi="Arial" w:cs="Arial"/>
          <w:color w:val="000000"/>
          <w:sz w:val="20"/>
          <w:szCs w:val="20"/>
        </w:rPr>
      </w:pPr>
    </w:p>
    <w:p w14:paraId="08399526"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The higher weight gain observed in treatment B is likely attributable to an appropriate feed dosage and the influence of genetic factors in the G4 transgenic </w:t>
      </w:r>
      <w:proofErr w:type="spellStart"/>
      <w:r w:rsidRPr="006575B7">
        <w:rPr>
          <w:rFonts w:ascii="Arial" w:eastAsia="Arial" w:hAnsi="Arial" w:cs="Arial"/>
          <w:i/>
          <w:iCs/>
          <w:color w:val="000000"/>
          <w:sz w:val="20"/>
          <w:szCs w:val="20"/>
          <w:highlight w:val="yellow"/>
        </w:rPr>
        <w:t>mutiara</w:t>
      </w:r>
      <w:proofErr w:type="spellEnd"/>
      <w:r w:rsidRPr="006575B7">
        <w:rPr>
          <w:rFonts w:ascii="Arial" w:eastAsia="Arial" w:hAnsi="Arial" w:cs="Arial"/>
          <w:i/>
          <w:iCs/>
          <w:color w:val="000000"/>
          <w:sz w:val="20"/>
          <w:szCs w:val="20"/>
        </w:rPr>
        <w:t xml:space="preserve"> </w:t>
      </w:r>
      <w:r>
        <w:rPr>
          <w:rFonts w:ascii="Arial" w:eastAsia="Arial" w:hAnsi="Arial" w:cs="Arial"/>
          <w:color w:val="000000"/>
          <w:sz w:val="20"/>
          <w:szCs w:val="20"/>
        </w:rPr>
        <w:t>catfish. Feed dosage also influenced the protein content of the feed mixture; higher initial biomass and feed dosage led to increased protein intake (Table 1).</w:t>
      </w:r>
    </w:p>
    <w:p w14:paraId="232DEA33" w14:textId="77777777" w:rsidR="00FC69C6" w:rsidRDefault="00FC69C6">
      <w:pPr>
        <w:widowControl/>
        <w:jc w:val="both"/>
        <w:rPr>
          <w:rFonts w:ascii="Arial" w:eastAsia="Arial" w:hAnsi="Arial" w:cs="Arial"/>
          <w:color w:val="000000"/>
          <w:sz w:val="20"/>
          <w:szCs w:val="20"/>
        </w:rPr>
      </w:pPr>
    </w:p>
    <w:p w14:paraId="241B8AA1" w14:textId="7F3407AD"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Although treatment A received the highest feed dosage (2.5% of biomass) and protein content (37.91%), its weight gain was not significantly different from treatments B and C. This may be due to excess feed and protein not being entirely utilized for growth but instead stored in the liver as reserves, with the remainder excreted as metabolic waste in the form of feces and urine </w:t>
      </w:r>
      <w:r>
        <w:rPr>
          <w:rFonts w:ascii="Arial" w:eastAsia="Arial" w:hAnsi="Arial" w:cs="Arial"/>
          <w:color w:val="000000"/>
          <w:sz w:val="20"/>
          <w:szCs w:val="20"/>
          <w:lang w:val="id-ID"/>
        </w:rPr>
        <w:t>[1</w:t>
      </w:r>
      <w:r w:rsidR="00E140F8">
        <w:rPr>
          <w:rFonts w:ascii="Arial" w:eastAsia="Arial" w:hAnsi="Arial" w:cs="Arial"/>
          <w:color w:val="000000"/>
          <w:sz w:val="20"/>
          <w:szCs w:val="20"/>
          <w:lang w:val="id-ID"/>
        </w:rPr>
        <w:t>6</w:t>
      </w:r>
      <w:r>
        <w:rPr>
          <w:rFonts w:ascii="Arial" w:eastAsia="Arial" w:hAnsi="Arial" w:cs="Arial"/>
          <w:color w:val="000000"/>
          <w:sz w:val="20"/>
          <w:szCs w:val="20"/>
          <w:lang w:val="id-ID"/>
        </w:rPr>
        <w:t>]</w:t>
      </w:r>
      <w:r>
        <w:rPr>
          <w:rFonts w:ascii="Arial" w:eastAsia="Arial" w:hAnsi="Arial" w:cs="Arial"/>
          <w:color w:val="000000"/>
          <w:sz w:val="20"/>
          <w:szCs w:val="20"/>
        </w:rPr>
        <w:t>. Treatment C, which had the lowest feed dosage, resulted in lower weight gain than treatment A. Its low protein content likely resulted in inadequate nutrient intake, thus impeding growth</w:t>
      </w:r>
      <w:r>
        <w:rPr>
          <w:rFonts w:ascii="Arial" w:eastAsia="Arial" w:hAnsi="Arial" w:cs="Arial"/>
          <w:color w:val="000000"/>
          <w:sz w:val="20"/>
          <w:szCs w:val="20"/>
          <w:lang w:val="id-ID"/>
        </w:rPr>
        <w:t xml:space="preserve"> [1</w:t>
      </w:r>
      <w:r w:rsidR="00E140F8">
        <w:rPr>
          <w:rFonts w:ascii="Arial" w:eastAsia="Arial" w:hAnsi="Arial" w:cs="Arial"/>
          <w:color w:val="000000"/>
          <w:sz w:val="20"/>
          <w:szCs w:val="20"/>
          <w:lang w:val="id-ID"/>
        </w:rPr>
        <w:t>7</w:t>
      </w:r>
      <w:r>
        <w:rPr>
          <w:rFonts w:ascii="Arial" w:eastAsia="Arial" w:hAnsi="Arial" w:cs="Arial"/>
          <w:color w:val="000000"/>
          <w:sz w:val="20"/>
          <w:szCs w:val="20"/>
          <w:lang w:val="id-ID"/>
        </w:rPr>
        <w:t>]</w:t>
      </w:r>
      <w:r>
        <w:rPr>
          <w:rFonts w:ascii="Arial" w:eastAsia="Arial" w:hAnsi="Arial" w:cs="Arial"/>
          <w:color w:val="000000"/>
          <w:sz w:val="20"/>
          <w:szCs w:val="20"/>
        </w:rPr>
        <w:t xml:space="preserve">. Optimal growth in fish carrying exogenous genes also requires sufficient nutrition, optimal environmental conditions, and good health status </w:t>
      </w:r>
      <w:r>
        <w:rPr>
          <w:rFonts w:ascii="Arial" w:eastAsia="Arial" w:hAnsi="Arial" w:cs="Arial"/>
          <w:color w:val="000000"/>
          <w:sz w:val="20"/>
          <w:szCs w:val="20"/>
          <w:lang w:val="id-ID"/>
        </w:rPr>
        <w:t>[1</w:t>
      </w:r>
      <w:r w:rsidR="00E140F8">
        <w:rPr>
          <w:rFonts w:ascii="Arial" w:eastAsia="Arial" w:hAnsi="Arial" w:cs="Arial"/>
          <w:color w:val="000000"/>
          <w:sz w:val="20"/>
          <w:szCs w:val="20"/>
          <w:lang w:val="id-ID"/>
        </w:rPr>
        <w:t>8</w:t>
      </w:r>
      <w:r>
        <w:rPr>
          <w:rFonts w:ascii="Arial" w:eastAsia="Arial" w:hAnsi="Arial" w:cs="Arial"/>
          <w:color w:val="000000"/>
          <w:sz w:val="20"/>
          <w:szCs w:val="20"/>
          <w:lang w:val="id-ID"/>
        </w:rPr>
        <w:t>]</w:t>
      </w:r>
      <w:r>
        <w:rPr>
          <w:rFonts w:ascii="Arial" w:eastAsia="Arial" w:hAnsi="Arial" w:cs="Arial"/>
          <w:color w:val="000000"/>
          <w:sz w:val="20"/>
          <w:szCs w:val="20"/>
        </w:rPr>
        <w:t xml:space="preserve">. Fish fed low-protein diets exhibited lower growth performance than those receiving high-protein diets due to protein catabolism used for energy, thereby reducing the energy available for growth </w:t>
      </w:r>
      <w:r>
        <w:rPr>
          <w:rFonts w:ascii="Arial" w:eastAsia="Arial" w:hAnsi="Arial" w:cs="Arial"/>
          <w:color w:val="000000"/>
          <w:sz w:val="20"/>
          <w:szCs w:val="20"/>
          <w:lang w:val="id-ID"/>
        </w:rPr>
        <w:t>[1</w:t>
      </w:r>
      <w:r w:rsidR="00E140F8">
        <w:rPr>
          <w:rFonts w:ascii="Arial" w:eastAsia="Arial" w:hAnsi="Arial" w:cs="Arial"/>
          <w:color w:val="000000"/>
          <w:sz w:val="20"/>
          <w:szCs w:val="20"/>
          <w:lang w:val="id-ID"/>
        </w:rPr>
        <w:t>9</w:t>
      </w:r>
      <w:r>
        <w:rPr>
          <w:rFonts w:ascii="Arial" w:eastAsia="Arial" w:hAnsi="Arial" w:cs="Arial"/>
          <w:color w:val="000000"/>
          <w:sz w:val="20"/>
          <w:szCs w:val="20"/>
          <w:lang w:val="id-ID"/>
        </w:rPr>
        <w:t>]</w:t>
      </w:r>
      <w:r>
        <w:rPr>
          <w:rFonts w:ascii="Arial" w:eastAsia="Arial" w:hAnsi="Arial" w:cs="Arial"/>
          <w:color w:val="000000"/>
          <w:sz w:val="20"/>
          <w:szCs w:val="20"/>
        </w:rPr>
        <w:t>.</w:t>
      </w:r>
    </w:p>
    <w:p w14:paraId="5E7A88FD" w14:textId="77777777" w:rsidR="00FC69C6" w:rsidRDefault="00FC69C6">
      <w:pPr>
        <w:widowControl/>
        <w:jc w:val="both"/>
        <w:rPr>
          <w:rFonts w:ascii="Arial" w:eastAsia="Arial" w:hAnsi="Arial" w:cs="Arial"/>
          <w:color w:val="000000"/>
          <w:sz w:val="20"/>
          <w:szCs w:val="20"/>
        </w:rPr>
      </w:pPr>
    </w:p>
    <w:p w14:paraId="4FA20254" w14:textId="4107A41F"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Growth in treatment D was significantly lower than that in transgenic treatments (A, B, and C), presumably due to the absence of the exogenous growth hormone gene (</w:t>
      </w:r>
      <w:proofErr w:type="spellStart"/>
      <w:r>
        <w:rPr>
          <w:rFonts w:ascii="Arial" w:eastAsia="Arial" w:hAnsi="Arial" w:cs="Arial"/>
          <w:i/>
          <w:iCs/>
          <w:color w:val="000000"/>
          <w:sz w:val="20"/>
          <w:szCs w:val="20"/>
        </w:rPr>
        <w:t>CgGH</w:t>
      </w:r>
      <w:proofErr w:type="spellEnd"/>
      <w:r>
        <w:rPr>
          <w:rFonts w:ascii="Arial" w:eastAsia="Arial" w:hAnsi="Arial" w:cs="Arial"/>
          <w:color w:val="000000"/>
          <w:sz w:val="20"/>
          <w:szCs w:val="20"/>
        </w:rPr>
        <w:t xml:space="preserve">), which in transgenic fish plays a role in inducing protein synthesis from feed and increasing feed efficiency for growth </w:t>
      </w:r>
      <w:r>
        <w:rPr>
          <w:rFonts w:ascii="Arial" w:eastAsia="Arial" w:hAnsi="Arial" w:cs="Arial"/>
          <w:color w:val="000000"/>
          <w:sz w:val="20"/>
          <w:szCs w:val="20"/>
          <w:lang w:val="id-ID"/>
        </w:rPr>
        <w:t>[</w:t>
      </w:r>
      <w:r w:rsidR="00E140F8">
        <w:rPr>
          <w:rFonts w:ascii="Arial" w:eastAsia="Arial" w:hAnsi="Arial" w:cs="Arial"/>
          <w:color w:val="000000"/>
          <w:sz w:val="20"/>
          <w:szCs w:val="20"/>
          <w:lang w:val="id-ID"/>
        </w:rPr>
        <w:t>20</w:t>
      </w:r>
      <w:r>
        <w:rPr>
          <w:rFonts w:ascii="Arial" w:eastAsia="Arial" w:hAnsi="Arial" w:cs="Arial"/>
          <w:color w:val="000000"/>
          <w:sz w:val="20"/>
          <w:szCs w:val="20"/>
          <w:lang w:val="id-ID"/>
        </w:rPr>
        <w:t>]</w:t>
      </w:r>
      <w:r>
        <w:rPr>
          <w:rFonts w:ascii="Arial" w:eastAsia="Arial" w:hAnsi="Arial" w:cs="Arial"/>
          <w:color w:val="000000"/>
          <w:sz w:val="20"/>
          <w:szCs w:val="20"/>
        </w:rPr>
        <w:t>.</w:t>
      </w:r>
    </w:p>
    <w:p w14:paraId="14C50235" w14:textId="77777777" w:rsidR="00FC69C6" w:rsidRDefault="00FC69C6">
      <w:pPr>
        <w:widowControl/>
        <w:jc w:val="both"/>
        <w:rPr>
          <w:rFonts w:ascii="Arial" w:eastAsia="Arial" w:hAnsi="Arial" w:cs="Arial"/>
          <w:color w:val="000000"/>
          <w:sz w:val="20"/>
          <w:szCs w:val="20"/>
        </w:rPr>
      </w:pPr>
    </w:p>
    <w:p w14:paraId="15402111" w14:textId="433DB352"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Although treatments A and D were provided with the same feed dosage (2.5%), the protein content in </w:t>
      </w:r>
      <w:r w:rsidR="00174D02">
        <w:rPr>
          <w:rFonts w:ascii="Arial" w:eastAsia="Arial" w:hAnsi="Arial" w:cs="Arial"/>
          <w:color w:val="000000"/>
          <w:sz w:val="20"/>
          <w:szCs w:val="20"/>
        </w:rPr>
        <w:t>t</w:t>
      </w:r>
      <w:r>
        <w:rPr>
          <w:rFonts w:ascii="Arial" w:eastAsia="Arial" w:hAnsi="Arial" w:cs="Arial"/>
          <w:color w:val="000000"/>
          <w:sz w:val="20"/>
          <w:szCs w:val="20"/>
        </w:rPr>
        <w:t xml:space="preserve">reatment D was lower. Dietary protein levels below 20% are considered </w:t>
      </w:r>
      <w:r w:rsidR="00CD3296" w:rsidRPr="00CD3296">
        <w:rPr>
          <w:rFonts w:ascii="Arial" w:eastAsia="Arial" w:hAnsi="Arial" w:cs="Arial"/>
          <w:color w:val="000000"/>
          <w:sz w:val="20"/>
          <w:szCs w:val="20"/>
          <w:highlight w:val="yellow"/>
        </w:rPr>
        <w:t>deficiency</w:t>
      </w:r>
      <w:r>
        <w:rPr>
          <w:rFonts w:ascii="Arial" w:eastAsia="Arial" w:hAnsi="Arial" w:cs="Arial"/>
          <w:color w:val="000000"/>
          <w:sz w:val="20"/>
          <w:szCs w:val="20"/>
        </w:rPr>
        <w:t xml:space="preserve"> for growth</w:t>
      </w:r>
      <w:r>
        <w:rPr>
          <w:rFonts w:ascii="Arial" w:eastAsia="Arial" w:hAnsi="Arial" w:cs="Arial"/>
          <w:color w:val="000000"/>
          <w:sz w:val="20"/>
          <w:szCs w:val="20"/>
          <w:lang w:val="id-ID"/>
        </w:rPr>
        <w:t xml:space="preserve"> c</w:t>
      </w:r>
      <w:proofErr w:type="spellStart"/>
      <w:r>
        <w:rPr>
          <w:rFonts w:ascii="Arial" w:eastAsia="Arial" w:hAnsi="Arial" w:cs="Arial"/>
          <w:color w:val="000000"/>
          <w:sz w:val="20"/>
          <w:szCs w:val="20"/>
        </w:rPr>
        <w:t>atfish</w:t>
      </w:r>
      <w:proofErr w:type="spellEnd"/>
      <w:r>
        <w:rPr>
          <w:rFonts w:ascii="Arial" w:eastAsia="Arial" w:hAnsi="Arial" w:cs="Arial"/>
          <w:color w:val="000000"/>
          <w:sz w:val="20"/>
          <w:szCs w:val="20"/>
        </w:rPr>
        <w:t xml:space="preserve"> fed diets with protein levels ranging from 16% to 32% showed no significant differences in growth performance</w:t>
      </w:r>
      <w:r>
        <w:rPr>
          <w:rFonts w:ascii="Arial" w:eastAsia="Arial" w:hAnsi="Arial" w:cs="Arial"/>
          <w:color w:val="000000"/>
          <w:sz w:val="20"/>
          <w:szCs w:val="20"/>
          <w:lang w:val="id-ID"/>
        </w:rPr>
        <w:t xml:space="preserve"> [2</w:t>
      </w:r>
      <w:r w:rsidR="00E140F8">
        <w:rPr>
          <w:rFonts w:ascii="Arial" w:eastAsia="Arial" w:hAnsi="Arial" w:cs="Arial"/>
          <w:color w:val="000000"/>
          <w:sz w:val="20"/>
          <w:szCs w:val="20"/>
          <w:lang w:val="id-ID"/>
        </w:rPr>
        <w:t>1</w:t>
      </w:r>
      <w:r>
        <w:rPr>
          <w:rFonts w:ascii="Arial" w:eastAsia="Arial" w:hAnsi="Arial" w:cs="Arial"/>
          <w:color w:val="000000"/>
          <w:sz w:val="20"/>
          <w:szCs w:val="20"/>
          <w:lang w:val="id-ID"/>
        </w:rPr>
        <w:t>]</w:t>
      </w:r>
      <w:r>
        <w:rPr>
          <w:rFonts w:ascii="Arial" w:eastAsia="Arial" w:hAnsi="Arial" w:cs="Arial"/>
          <w:color w:val="000000"/>
          <w:sz w:val="20"/>
          <w:szCs w:val="20"/>
        </w:rPr>
        <w:t xml:space="preserve">. In the present study, fish in treatment A weighed 2.79 times more than those in treatment D. The low protein content in treatment D led to insufficient energy reserves and reduced growth. These findings underscore the necessity of pairing exogenous gene expression in transgenic fish with adequate and high-quality feed to realize optimal growth performance. In contrast, the low protein content in treatment D contributed to inefficient feed utilization, resulting in </w:t>
      </w:r>
      <w:proofErr w:type="spellStart"/>
      <w:r w:rsidR="00F0017D" w:rsidRPr="00F0017D">
        <w:rPr>
          <w:rFonts w:ascii="Arial" w:eastAsia="Arial" w:hAnsi="Arial" w:cs="Arial"/>
          <w:color w:val="000000"/>
          <w:sz w:val="20"/>
          <w:szCs w:val="20"/>
          <w:highlight w:val="yellow"/>
        </w:rPr>
        <w:t>low</w:t>
      </w:r>
      <w:r w:rsidRPr="00F0017D">
        <w:rPr>
          <w:rFonts w:ascii="Arial" w:eastAsia="Arial" w:hAnsi="Arial" w:cs="Arial"/>
          <w:color w:val="000000"/>
          <w:sz w:val="20"/>
          <w:szCs w:val="20"/>
          <w:highlight w:val="yellow"/>
        </w:rPr>
        <w:t>optimal</w:t>
      </w:r>
      <w:proofErr w:type="spellEnd"/>
      <w:r w:rsidRPr="00F0017D">
        <w:rPr>
          <w:rFonts w:ascii="Arial" w:eastAsia="Arial" w:hAnsi="Arial" w:cs="Arial"/>
          <w:color w:val="000000"/>
          <w:sz w:val="20"/>
          <w:szCs w:val="20"/>
          <w:highlight w:val="yellow"/>
        </w:rPr>
        <w:t xml:space="preserve"> growth</w:t>
      </w:r>
      <w:r>
        <w:rPr>
          <w:rFonts w:ascii="Arial" w:eastAsia="Arial" w:hAnsi="Arial" w:cs="Arial"/>
          <w:color w:val="000000"/>
          <w:sz w:val="20"/>
          <w:szCs w:val="20"/>
        </w:rPr>
        <w:t>.</w:t>
      </w:r>
    </w:p>
    <w:p w14:paraId="4533D0F8" w14:textId="77777777" w:rsidR="00FC69C6" w:rsidRDefault="00FC69C6">
      <w:pPr>
        <w:widowControl/>
        <w:jc w:val="both"/>
        <w:rPr>
          <w:rFonts w:ascii="Arial" w:eastAsia="Arial" w:hAnsi="Arial" w:cs="Arial"/>
          <w:color w:val="000000"/>
          <w:sz w:val="20"/>
          <w:szCs w:val="20"/>
        </w:rPr>
      </w:pPr>
    </w:p>
    <w:p w14:paraId="4749FBCD" w14:textId="352FC934"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Most transgenic fish in treatments A, B, and C reached weights suitable for </w:t>
      </w:r>
      <w:proofErr w:type="spellStart"/>
      <w:r>
        <w:rPr>
          <w:rFonts w:ascii="Arial" w:eastAsia="Arial" w:hAnsi="Arial" w:cs="Arial"/>
          <w:color w:val="000000"/>
          <w:sz w:val="20"/>
          <w:szCs w:val="20"/>
        </w:rPr>
        <w:t>broodstock</w:t>
      </w:r>
      <w:proofErr w:type="spellEnd"/>
      <w:r>
        <w:rPr>
          <w:rFonts w:ascii="Arial" w:eastAsia="Arial" w:hAnsi="Arial" w:cs="Arial"/>
          <w:color w:val="000000"/>
          <w:sz w:val="20"/>
          <w:szCs w:val="20"/>
        </w:rPr>
        <w:t xml:space="preserve"> (&gt;535 g) unlike non-transgenic fish in </w:t>
      </w:r>
      <w:r w:rsidR="00282760">
        <w:rPr>
          <w:rFonts w:ascii="Arial" w:eastAsia="Arial" w:hAnsi="Arial" w:cs="Arial"/>
          <w:color w:val="000000"/>
          <w:sz w:val="20"/>
          <w:szCs w:val="20"/>
        </w:rPr>
        <w:t>t</w:t>
      </w:r>
      <w:r>
        <w:rPr>
          <w:rFonts w:ascii="Arial" w:eastAsia="Arial" w:hAnsi="Arial" w:cs="Arial"/>
          <w:color w:val="000000"/>
          <w:sz w:val="20"/>
          <w:szCs w:val="20"/>
        </w:rPr>
        <w:t xml:space="preserve">reatment D </w:t>
      </w:r>
      <w:r>
        <w:rPr>
          <w:rFonts w:ascii="Arial" w:eastAsia="Arial" w:hAnsi="Arial" w:cs="Arial"/>
          <w:color w:val="000000"/>
          <w:sz w:val="20"/>
          <w:szCs w:val="20"/>
          <w:lang w:val="id-ID"/>
        </w:rPr>
        <w:t>[2</w:t>
      </w:r>
      <w:r w:rsidR="00E140F8">
        <w:rPr>
          <w:rFonts w:ascii="Arial" w:eastAsia="Arial" w:hAnsi="Arial" w:cs="Arial"/>
          <w:color w:val="000000"/>
          <w:sz w:val="20"/>
          <w:szCs w:val="20"/>
          <w:lang w:val="id-ID"/>
        </w:rPr>
        <w:t>2</w:t>
      </w:r>
      <w:r>
        <w:rPr>
          <w:rFonts w:ascii="Arial" w:eastAsia="Arial" w:hAnsi="Arial" w:cs="Arial"/>
          <w:color w:val="000000"/>
          <w:sz w:val="20"/>
          <w:szCs w:val="20"/>
          <w:lang w:val="id-ID"/>
        </w:rPr>
        <w:t>]</w:t>
      </w:r>
      <w:r>
        <w:rPr>
          <w:rFonts w:ascii="Arial" w:eastAsia="Arial" w:hAnsi="Arial" w:cs="Arial"/>
          <w:color w:val="000000"/>
          <w:sz w:val="20"/>
          <w:szCs w:val="20"/>
        </w:rPr>
        <w:t>.</w:t>
      </w:r>
    </w:p>
    <w:p w14:paraId="49C16D1D" w14:textId="77777777" w:rsidR="00FC69C6" w:rsidRDefault="00FC69C6">
      <w:pPr>
        <w:widowControl/>
        <w:jc w:val="both"/>
        <w:rPr>
          <w:rFonts w:ascii="Arial" w:eastAsia="Arial" w:hAnsi="Arial" w:cs="Arial"/>
          <w:color w:val="000000"/>
          <w:sz w:val="20"/>
          <w:szCs w:val="20"/>
        </w:rPr>
      </w:pPr>
    </w:p>
    <w:p w14:paraId="42879B9E" w14:textId="0D463CB2"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3.2 Feed </w:t>
      </w:r>
      <w:proofErr w:type="spellStart"/>
      <w:r>
        <w:rPr>
          <w:rFonts w:ascii="Arial" w:eastAsia="Arial" w:hAnsi="Arial" w:cs="Arial"/>
          <w:color w:val="000000"/>
          <w:sz w:val="20"/>
          <w:szCs w:val="20"/>
        </w:rPr>
        <w:t>Conver</w:t>
      </w:r>
      <w:r w:rsidR="0087773C">
        <w:rPr>
          <w:rFonts w:ascii="Arial" w:eastAsia="Arial" w:hAnsi="Arial" w:cs="Arial"/>
          <w:color w:val="000000"/>
          <w:sz w:val="20"/>
          <w:szCs w:val="20"/>
        </w:rPr>
        <w:t>t</w:t>
      </w:r>
      <w:r>
        <w:rPr>
          <w:rFonts w:ascii="Arial" w:eastAsia="Arial" w:hAnsi="Arial" w:cs="Arial"/>
          <w:color w:val="000000"/>
          <w:sz w:val="20"/>
          <w:szCs w:val="20"/>
        </w:rPr>
        <w:t>ion</w:t>
      </w:r>
      <w:proofErr w:type="spellEnd"/>
      <w:r>
        <w:rPr>
          <w:rFonts w:ascii="Arial" w:eastAsia="Arial" w:hAnsi="Arial" w:cs="Arial"/>
          <w:color w:val="000000"/>
          <w:sz w:val="20"/>
          <w:szCs w:val="20"/>
        </w:rPr>
        <w:t xml:space="preserve"> Ratio </w:t>
      </w:r>
    </w:p>
    <w:p w14:paraId="6769C228" w14:textId="77777777" w:rsidR="00FC69C6" w:rsidRDefault="00FC69C6">
      <w:pPr>
        <w:widowControl/>
        <w:jc w:val="both"/>
        <w:rPr>
          <w:rFonts w:ascii="Arial" w:eastAsia="Arial" w:hAnsi="Arial" w:cs="Arial"/>
          <w:color w:val="000000"/>
          <w:sz w:val="20"/>
          <w:szCs w:val="20"/>
        </w:rPr>
      </w:pPr>
    </w:p>
    <w:p w14:paraId="5F4A567D" w14:textId="5865E02A"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ANOVA results showed that feeding with different doses of HI-PRO-VITE 781 combined with 10 g of boiled tuna flakes had a significant effect on the FCR values of transgenic and non</w:t>
      </w:r>
      <w:r w:rsidR="00F42A19">
        <w:rPr>
          <w:rFonts w:ascii="Arial" w:eastAsia="Arial" w:hAnsi="Arial" w:cs="Arial"/>
          <w:color w:val="000000"/>
          <w:sz w:val="20"/>
          <w:szCs w:val="20"/>
        </w:rPr>
        <w:t>-</w:t>
      </w:r>
      <w:r>
        <w:rPr>
          <w:rFonts w:ascii="Arial" w:eastAsia="Arial" w:hAnsi="Arial" w:cs="Arial"/>
          <w:color w:val="000000"/>
          <w:sz w:val="20"/>
          <w:szCs w:val="20"/>
        </w:rPr>
        <w:t xml:space="preserve">transgenic </w:t>
      </w:r>
      <w:r w:rsidRPr="00F42A19">
        <w:rPr>
          <w:rFonts w:ascii="Arial" w:eastAsia="Arial" w:hAnsi="Arial" w:cs="Arial"/>
          <w:i/>
          <w:iCs/>
          <w:color w:val="000000"/>
          <w:sz w:val="20"/>
          <w:szCs w:val="20"/>
          <w:lang w:val="id-ID"/>
        </w:rPr>
        <w:t>mutiara</w:t>
      </w:r>
      <w:r>
        <w:rPr>
          <w:rFonts w:ascii="Arial" w:eastAsia="Arial" w:hAnsi="Arial" w:cs="Arial"/>
          <w:color w:val="000000"/>
          <w:sz w:val="20"/>
          <w:szCs w:val="20"/>
        </w:rPr>
        <w:t xml:space="preserve"> catfish.</w:t>
      </w:r>
    </w:p>
    <w:p w14:paraId="6BDE42B5" w14:textId="77777777" w:rsidR="00FC69C6" w:rsidRDefault="00FC69C6">
      <w:pPr>
        <w:widowControl/>
        <w:jc w:val="both"/>
        <w:rPr>
          <w:rFonts w:ascii="Arial" w:eastAsia="Arial" w:hAnsi="Arial" w:cs="Arial"/>
          <w:color w:val="000000"/>
          <w:sz w:val="20"/>
          <w:szCs w:val="20"/>
        </w:rPr>
      </w:pPr>
    </w:p>
    <w:p w14:paraId="533549DA"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Duncan’s post-hoc test revealed that treatment A was not significantly different from treatment D, but both differed significantly from treatments B and C (Fig. </w:t>
      </w:r>
      <w:r>
        <w:rPr>
          <w:rFonts w:ascii="Arial" w:eastAsia="Arial" w:hAnsi="Arial" w:cs="Arial"/>
          <w:color w:val="000000"/>
          <w:sz w:val="20"/>
          <w:szCs w:val="20"/>
          <w:lang w:val="id-ID"/>
        </w:rPr>
        <w:t>3</w:t>
      </w:r>
      <w:r>
        <w:rPr>
          <w:rFonts w:ascii="Arial" w:eastAsia="Arial" w:hAnsi="Arial" w:cs="Arial"/>
          <w:color w:val="000000"/>
          <w:sz w:val="20"/>
          <w:szCs w:val="20"/>
        </w:rPr>
        <w:t>.). The average FCR values across all treatments ranged from 1.14 to 2.03.</w:t>
      </w:r>
    </w:p>
    <w:p w14:paraId="6E4D6FE3" w14:textId="77777777" w:rsidR="00FC69C6" w:rsidRDefault="00FC69C6">
      <w:pPr>
        <w:widowControl/>
        <w:jc w:val="both"/>
        <w:rPr>
          <w:rFonts w:ascii="Arial" w:eastAsia="Arial" w:hAnsi="Arial" w:cs="Arial"/>
          <w:color w:val="000000"/>
          <w:sz w:val="20"/>
          <w:szCs w:val="20"/>
        </w:rPr>
      </w:pPr>
    </w:p>
    <w:p w14:paraId="431A4664" w14:textId="77777777" w:rsidR="00FC69C6" w:rsidRDefault="00FC69C6">
      <w:pPr>
        <w:widowControl/>
        <w:jc w:val="both"/>
        <w:rPr>
          <w:rFonts w:ascii="Arial" w:eastAsia="Arial" w:hAnsi="Arial" w:cs="Arial"/>
          <w:color w:val="000000"/>
          <w:sz w:val="20"/>
          <w:szCs w:val="20"/>
        </w:rPr>
      </w:pPr>
    </w:p>
    <w:p w14:paraId="4D81DA46" w14:textId="77777777" w:rsidR="00FC69C6" w:rsidRDefault="00FC69C6">
      <w:pPr>
        <w:widowControl/>
        <w:jc w:val="both"/>
        <w:rPr>
          <w:rFonts w:ascii="Arial" w:eastAsia="Arial" w:hAnsi="Arial" w:cs="Arial"/>
          <w:color w:val="000000"/>
          <w:sz w:val="20"/>
          <w:szCs w:val="20"/>
        </w:rPr>
        <w:sectPr w:rsidR="00FC69C6">
          <w:type w:val="continuous"/>
          <w:pgSz w:w="11910" w:h="16840"/>
          <w:pgMar w:top="1140" w:right="1320" w:bottom="280" w:left="1340" w:header="720" w:footer="720" w:gutter="0"/>
          <w:cols w:space="720"/>
        </w:sectPr>
      </w:pPr>
    </w:p>
    <w:p w14:paraId="3F3DC17B" w14:textId="77777777" w:rsidR="00FC69C6" w:rsidRDefault="00390DC6">
      <w:pPr>
        <w:widowControl/>
        <w:jc w:val="both"/>
        <w:rPr>
          <w:rFonts w:ascii="Arial" w:eastAsia="Arial" w:hAnsi="Arial" w:cs="Arial"/>
          <w:color w:val="000000"/>
          <w:sz w:val="20"/>
          <w:szCs w:val="20"/>
        </w:rPr>
      </w:pPr>
      <w:r>
        <w:rPr>
          <w:noProof/>
          <w:lang w:val="en-US" w:eastAsia="en-US"/>
        </w:rPr>
        <w:lastRenderedPageBreak/>
        <w:drawing>
          <wp:inline distT="0" distB="0" distL="0" distR="0" wp14:anchorId="4F8B7E93" wp14:editId="3583A30C">
            <wp:extent cx="5873750" cy="3455035"/>
            <wp:effectExtent l="0" t="0" r="12700" b="120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1B1C1D" w14:textId="77777777" w:rsidR="00FC69C6" w:rsidRDefault="00FC69C6">
      <w:pPr>
        <w:widowControl/>
        <w:jc w:val="center"/>
        <w:rPr>
          <w:rFonts w:ascii="Arial" w:eastAsia="Arial" w:hAnsi="Arial" w:cs="Arial"/>
          <w:b/>
          <w:bCs/>
          <w:color w:val="000000"/>
          <w:sz w:val="20"/>
          <w:szCs w:val="20"/>
        </w:rPr>
      </w:pPr>
    </w:p>
    <w:p w14:paraId="016BF482" w14:textId="7CA86778" w:rsidR="00FC69C6" w:rsidRDefault="00390DC6">
      <w:pPr>
        <w:widowControl/>
        <w:jc w:val="center"/>
        <w:rPr>
          <w:rFonts w:ascii="Arial" w:eastAsia="Arial" w:hAnsi="Arial" w:cs="Arial"/>
          <w:b/>
          <w:bCs/>
          <w:color w:val="000000"/>
          <w:sz w:val="20"/>
          <w:szCs w:val="20"/>
        </w:rPr>
      </w:pPr>
      <w:r>
        <w:rPr>
          <w:rFonts w:ascii="Arial" w:eastAsia="Arial" w:hAnsi="Arial" w:cs="Arial"/>
          <w:b/>
          <w:bCs/>
          <w:color w:val="000000"/>
          <w:sz w:val="20"/>
          <w:szCs w:val="20"/>
        </w:rPr>
        <w:t xml:space="preserve">Fig. </w:t>
      </w:r>
      <w:r>
        <w:rPr>
          <w:rFonts w:ascii="Arial" w:eastAsia="Arial" w:hAnsi="Arial" w:cs="Arial"/>
          <w:b/>
          <w:bCs/>
          <w:color w:val="000000"/>
          <w:sz w:val="20"/>
          <w:szCs w:val="20"/>
          <w:lang w:val="id-ID"/>
        </w:rPr>
        <w:t>1</w:t>
      </w:r>
      <w:r>
        <w:rPr>
          <w:rFonts w:ascii="Arial" w:eastAsia="Arial" w:hAnsi="Arial" w:cs="Arial"/>
          <w:b/>
          <w:bCs/>
          <w:color w:val="000000"/>
          <w:sz w:val="20"/>
          <w:szCs w:val="20"/>
        </w:rPr>
        <w:t xml:space="preserve">. Average </w:t>
      </w:r>
      <w:r w:rsidR="00A917CF" w:rsidRPr="00000EDB">
        <w:rPr>
          <w:rFonts w:ascii="Arial" w:eastAsia="Arial" w:hAnsi="Arial" w:cs="Arial"/>
          <w:b/>
          <w:bCs/>
          <w:color w:val="EE0000"/>
          <w:sz w:val="20"/>
          <w:szCs w:val="20"/>
          <w:highlight w:val="yellow"/>
        </w:rPr>
        <w:t>biomass</w:t>
      </w:r>
      <w:r w:rsidR="00A917CF">
        <w:rPr>
          <w:rFonts w:ascii="Arial" w:eastAsia="Arial" w:hAnsi="Arial" w:cs="Arial"/>
          <w:b/>
          <w:bCs/>
          <w:color w:val="000000"/>
          <w:sz w:val="20"/>
          <w:szCs w:val="20"/>
        </w:rPr>
        <w:t xml:space="preserve"> </w:t>
      </w:r>
      <w:r>
        <w:rPr>
          <w:rFonts w:ascii="Arial" w:eastAsia="Arial" w:hAnsi="Arial" w:cs="Arial"/>
          <w:b/>
          <w:bCs/>
          <w:color w:val="000000"/>
          <w:sz w:val="20"/>
          <w:szCs w:val="20"/>
        </w:rPr>
        <w:t>weight growth during the experiment (weekly observations)</w:t>
      </w:r>
    </w:p>
    <w:p w14:paraId="2F502FFB" w14:textId="76615227" w:rsidR="00FC69C6" w:rsidRDefault="00390DC6">
      <w:pPr>
        <w:widowControl/>
        <w:jc w:val="center"/>
        <w:rPr>
          <w:rFonts w:ascii="Arial" w:eastAsia="Arial" w:hAnsi="Arial" w:cs="Arial"/>
          <w:i/>
          <w:iCs/>
          <w:color w:val="000000"/>
          <w:sz w:val="20"/>
          <w:szCs w:val="20"/>
        </w:rPr>
      </w:pPr>
      <w:bookmarkStart w:id="1" w:name="_Hlk199854304"/>
      <w:r>
        <w:rPr>
          <w:rFonts w:ascii="Arial" w:eastAsia="Arial" w:hAnsi="Arial" w:cs="Arial"/>
          <w:i/>
          <w:iCs/>
          <w:color w:val="000000"/>
          <w:sz w:val="20"/>
          <w:szCs w:val="20"/>
        </w:rPr>
        <w:t>Feeds A, B, and C (2.5%, 2%, 1.5%) supplemented with 10 g of boiled tuna (E</w:t>
      </w:r>
      <w:r w:rsidR="00C31795">
        <w:rPr>
          <w:rFonts w:ascii="Arial" w:eastAsia="Arial" w:hAnsi="Arial" w:cs="Arial"/>
          <w:i/>
          <w:iCs/>
          <w:color w:val="000000"/>
          <w:sz w:val="20"/>
          <w:szCs w:val="20"/>
        </w:rPr>
        <w:t>.</w:t>
      </w:r>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affinis</w:t>
      </w:r>
      <w:proofErr w:type="spellEnd"/>
      <w:r>
        <w:rPr>
          <w:rFonts w:ascii="Arial" w:eastAsia="Arial" w:hAnsi="Arial" w:cs="Arial"/>
          <w:i/>
          <w:iCs/>
          <w:color w:val="000000"/>
          <w:sz w:val="20"/>
          <w:szCs w:val="20"/>
        </w:rPr>
        <w:t xml:space="preserve">) were fed to G4 transgenic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 while feed D (2.5% + 10 g boiled tuna) was fed to </w:t>
      </w:r>
      <w:proofErr w:type="spellStart"/>
      <w:r>
        <w:rPr>
          <w:rFonts w:ascii="Arial" w:eastAsia="Arial" w:hAnsi="Arial" w:cs="Arial"/>
          <w:i/>
          <w:iCs/>
          <w:color w:val="000000"/>
          <w:sz w:val="20"/>
          <w:szCs w:val="20"/>
        </w:rPr>
        <w:t>nontransgenic</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w:t>
      </w:r>
    </w:p>
    <w:p w14:paraId="0B9EACED" w14:textId="77777777" w:rsidR="00FC69C6" w:rsidRDefault="00FC69C6">
      <w:pPr>
        <w:widowControl/>
        <w:jc w:val="both"/>
        <w:rPr>
          <w:b/>
          <w:bCs/>
        </w:rPr>
      </w:pPr>
    </w:p>
    <w:bookmarkEnd w:id="1"/>
    <w:p w14:paraId="7C3B210C" w14:textId="77777777" w:rsidR="00FC69C6" w:rsidRDefault="00FC69C6">
      <w:pPr>
        <w:widowControl/>
        <w:jc w:val="both"/>
        <w:rPr>
          <w:rFonts w:ascii="Arial" w:eastAsia="Arial" w:hAnsi="Arial" w:cs="Arial"/>
          <w:color w:val="000000"/>
          <w:sz w:val="20"/>
          <w:szCs w:val="20"/>
        </w:rPr>
      </w:pPr>
    </w:p>
    <w:p w14:paraId="2D6CE5A8" w14:textId="77777777" w:rsidR="00FC69C6" w:rsidRDefault="00FC69C6">
      <w:pPr>
        <w:widowControl/>
        <w:jc w:val="both"/>
        <w:rPr>
          <w:b/>
          <w:bCs/>
        </w:rPr>
      </w:pPr>
    </w:p>
    <w:p w14:paraId="3F699153" w14:textId="77777777" w:rsidR="00FC69C6" w:rsidRDefault="00390DC6">
      <w:pPr>
        <w:widowControl/>
        <w:jc w:val="both"/>
        <w:rPr>
          <w:rFonts w:ascii="Arial" w:eastAsia="Arial" w:hAnsi="Arial" w:cs="Arial"/>
          <w:color w:val="000000"/>
          <w:sz w:val="20"/>
          <w:szCs w:val="20"/>
        </w:rPr>
      </w:pPr>
      <w:r>
        <w:rPr>
          <w:b/>
          <w:bCs/>
          <w:noProof/>
          <w:lang w:val="en-US" w:eastAsia="en-US"/>
        </w:rPr>
        <w:drawing>
          <wp:anchor distT="0" distB="0" distL="114300" distR="114300" simplePos="0" relativeHeight="251662336" behindDoc="0" locked="0" layoutInCell="1" allowOverlap="1" wp14:anchorId="1612CE71" wp14:editId="6A8678AD">
            <wp:simplePos x="0" y="0"/>
            <wp:positionH relativeFrom="margin">
              <wp:align>left</wp:align>
            </wp:positionH>
            <wp:positionV relativeFrom="paragraph">
              <wp:posOffset>193040</wp:posOffset>
            </wp:positionV>
            <wp:extent cx="5894705" cy="3166745"/>
            <wp:effectExtent l="0" t="0" r="0" b="0"/>
            <wp:wrapTopAndBottom/>
            <wp:docPr id="155165817"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5817" name="Gambar 2"/>
                    <pic:cNvPicPr>
                      <a:picLocks noChangeAspect="1"/>
                    </pic:cNvPicPr>
                  </pic:nvPicPr>
                  <pic:blipFill>
                    <a:blip r:embed="rId20" cstate="print">
                      <a:extLst>
                        <a:ext uri="{28A0092B-C50C-407E-A947-70E740481C1C}">
                          <a14:useLocalDpi xmlns:a14="http://schemas.microsoft.com/office/drawing/2010/main" val="0"/>
                        </a:ext>
                      </a:extLst>
                    </a:blip>
                    <a:srcRect t="25643" b="6018"/>
                    <a:stretch>
                      <a:fillRect/>
                    </a:stretch>
                  </pic:blipFill>
                  <pic:spPr>
                    <a:xfrm>
                      <a:off x="0" y="0"/>
                      <a:ext cx="5894705" cy="3166745"/>
                    </a:xfrm>
                    <a:prstGeom prst="rect">
                      <a:avLst/>
                    </a:prstGeom>
                    <a:ln>
                      <a:noFill/>
                    </a:ln>
                  </pic:spPr>
                </pic:pic>
              </a:graphicData>
            </a:graphic>
          </wp:anchor>
        </w:drawing>
      </w:r>
    </w:p>
    <w:p w14:paraId="2E97AB66" w14:textId="77777777" w:rsidR="00FC69C6" w:rsidRDefault="00FC69C6">
      <w:pPr>
        <w:widowControl/>
        <w:jc w:val="center"/>
        <w:rPr>
          <w:rFonts w:ascii="Arial" w:eastAsia="Arial" w:hAnsi="Arial" w:cs="Arial"/>
          <w:b/>
          <w:bCs/>
          <w:color w:val="000000"/>
          <w:sz w:val="20"/>
          <w:szCs w:val="20"/>
        </w:rPr>
      </w:pPr>
    </w:p>
    <w:p w14:paraId="6B94D067" w14:textId="00BF9289" w:rsidR="00A15BDE" w:rsidRDefault="00390DC6">
      <w:pPr>
        <w:widowControl/>
        <w:jc w:val="center"/>
        <w:rPr>
          <w:rFonts w:ascii="Arial" w:eastAsia="Arial" w:hAnsi="Arial" w:cs="Arial"/>
          <w:b/>
          <w:bCs/>
          <w:color w:val="000000"/>
          <w:sz w:val="20"/>
          <w:szCs w:val="20"/>
        </w:rPr>
      </w:pPr>
      <w:r>
        <w:rPr>
          <w:rFonts w:ascii="Arial" w:eastAsia="Arial" w:hAnsi="Arial" w:cs="Arial"/>
          <w:b/>
          <w:bCs/>
          <w:color w:val="000000"/>
          <w:sz w:val="20"/>
          <w:szCs w:val="20"/>
        </w:rPr>
        <w:t xml:space="preserve">Fig. </w:t>
      </w:r>
      <w:r>
        <w:rPr>
          <w:rFonts w:ascii="Arial" w:eastAsia="Arial" w:hAnsi="Arial" w:cs="Arial"/>
          <w:b/>
          <w:bCs/>
          <w:color w:val="000000"/>
          <w:sz w:val="20"/>
          <w:szCs w:val="20"/>
          <w:lang w:val="id-ID"/>
        </w:rPr>
        <w:t>2</w:t>
      </w:r>
      <w:r>
        <w:rPr>
          <w:rFonts w:ascii="Arial" w:eastAsia="Arial" w:hAnsi="Arial" w:cs="Arial"/>
          <w:b/>
          <w:bCs/>
          <w:color w:val="000000"/>
          <w:sz w:val="20"/>
          <w:szCs w:val="20"/>
        </w:rPr>
        <w:t xml:space="preserve">. Average </w:t>
      </w:r>
      <w:r w:rsidR="00BE092C" w:rsidRPr="00BE092C">
        <w:rPr>
          <w:rFonts w:ascii="Arial" w:eastAsia="Arial" w:hAnsi="Arial" w:cs="Arial"/>
          <w:b/>
          <w:bCs/>
          <w:color w:val="000000"/>
          <w:sz w:val="20"/>
          <w:szCs w:val="20"/>
          <w:highlight w:val="yellow"/>
        </w:rPr>
        <w:t>biomass</w:t>
      </w:r>
      <w:r w:rsidR="00BE092C">
        <w:rPr>
          <w:rFonts w:ascii="Arial" w:eastAsia="Arial" w:hAnsi="Arial" w:cs="Arial"/>
          <w:b/>
          <w:bCs/>
          <w:color w:val="000000"/>
          <w:sz w:val="20"/>
          <w:szCs w:val="20"/>
        </w:rPr>
        <w:t xml:space="preserve"> </w:t>
      </w:r>
      <w:r>
        <w:rPr>
          <w:rFonts w:ascii="Arial" w:eastAsia="Arial" w:hAnsi="Arial" w:cs="Arial"/>
          <w:b/>
          <w:bCs/>
          <w:color w:val="000000"/>
          <w:sz w:val="20"/>
          <w:szCs w:val="20"/>
        </w:rPr>
        <w:t xml:space="preserve">weight gain of G4 transgenic </w:t>
      </w:r>
      <w:proofErr w:type="spellStart"/>
      <w:r>
        <w:rPr>
          <w:rFonts w:ascii="Arial" w:eastAsia="Arial" w:hAnsi="Arial" w:cs="Arial"/>
          <w:b/>
          <w:bCs/>
          <w:color w:val="000000"/>
          <w:sz w:val="20"/>
          <w:szCs w:val="20"/>
        </w:rPr>
        <w:t>mutiara</w:t>
      </w:r>
      <w:proofErr w:type="spellEnd"/>
      <w:r>
        <w:rPr>
          <w:rFonts w:ascii="Arial" w:eastAsia="Arial" w:hAnsi="Arial" w:cs="Arial"/>
          <w:b/>
          <w:bCs/>
          <w:color w:val="000000"/>
          <w:sz w:val="20"/>
          <w:szCs w:val="20"/>
        </w:rPr>
        <w:t xml:space="preserve"> catfish (treatments A–C) and </w:t>
      </w:r>
    </w:p>
    <w:p w14:paraId="4364EC3D" w14:textId="3FA9AE69" w:rsidR="00FC69C6" w:rsidRDefault="00390DC6">
      <w:pPr>
        <w:widowControl/>
        <w:jc w:val="center"/>
        <w:rPr>
          <w:rFonts w:ascii="Arial" w:eastAsia="Arial" w:hAnsi="Arial" w:cs="Arial"/>
          <w:b/>
          <w:bCs/>
          <w:color w:val="000000"/>
          <w:sz w:val="20"/>
          <w:szCs w:val="20"/>
        </w:rPr>
      </w:pPr>
      <w:r>
        <w:rPr>
          <w:rFonts w:ascii="Arial" w:eastAsia="Arial" w:hAnsi="Arial" w:cs="Arial"/>
          <w:b/>
          <w:bCs/>
          <w:color w:val="000000"/>
          <w:sz w:val="20"/>
          <w:szCs w:val="20"/>
        </w:rPr>
        <w:t xml:space="preserve">non-transgenic </w:t>
      </w:r>
      <w:proofErr w:type="spellStart"/>
      <w:r>
        <w:rPr>
          <w:rFonts w:ascii="Arial" w:eastAsia="Arial" w:hAnsi="Arial" w:cs="Arial"/>
          <w:b/>
          <w:bCs/>
          <w:color w:val="000000"/>
          <w:sz w:val="20"/>
          <w:szCs w:val="20"/>
        </w:rPr>
        <w:t>mutiara</w:t>
      </w:r>
      <w:proofErr w:type="spellEnd"/>
      <w:r>
        <w:rPr>
          <w:rFonts w:ascii="Arial" w:eastAsia="Arial" w:hAnsi="Arial" w:cs="Arial"/>
          <w:b/>
          <w:bCs/>
          <w:color w:val="000000"/>
          <w:sz w:val="20"/>
          <w:szCs w:val="20"/>
        </w:rPr>
        <w:t xml:space="preserve"> catfish (treatment D</w:t>
      </w:r>
      <w:r>
        <w:rPr>
          <w:rFonts w:ascii="Arial" w:eastAsia="Arial" w:hAnsi="Arial" w:cs="Arial"/>
          <w:b/>
          <w:bCs/>
          <w:color w:val="000000"/>
          <w:sz w:val="20"/>
          <w:szCs w:val="20"/>
          <w:lang w:val="id-ID"/>
        </w:rPr>
        <w:t>)</w:t>
      </w:r>
    </w:p>
    <w:p w14:paraId="2531B936" w14:textId="1B6616D5" w:rsidR="00FC69C6" w:rsidRDefault="00390DC6">
      <w:pPr>
        <w:widowControl/>
        <w:jc w:val="center"/>
        <w:rPr>
          <w:rFonts w:ascii="Arial" w:eastAsia="Arial" w:hAnsi="Arial" w:cs="Arial"/>
          <w:b/>
          <w:bCs/>
          <w:i/>
          <w:iCs/>
          <w:color w:val="000000"/>
          <w:sz w:val="20"/>
          <w:szCs w:val="20"/>
          <w:lang w:val="id-ID"/>
        </w:rPr>
      </w:pPr>
      <w:r>
        <w:rPr>
          <w:rFonts w:ascii="Arial" w:eastAsia="Arial" w:hAnsi="Arial" w:cs="Arial"/>
          <w:i/>
          <w:iCs/>
          <w:color w:val="000000"/>
          <w:sz w:val="20"/>
          <w:szCs w:val="20"/>
        </w:rPr>
        <w:t>Data are presented as means ± SD. Means in the same row followed by the same letter</w:t>
      </w:r>
      <w:r w:rsidR="005C72CE" w:rsidRPr="005C72CE">
        <w:rPr>
          <w:rFonts w:asciiTheme="majorBidi" w:hAnsiTheme="majorBidi" w:cstheme="majorBidi"/>
          <w:color w:val="404040"/>
          <w:sz w:val="28"/>
          <w:szCs w:val="28"/>
        </w:rPr>
        <w:t xml:space="preserve"> </w:t>
      </w:r>
      <w:r w:rsidR="005C72CE" w:rsidRPr="005C72CE">
        <w:rPr>
          <w:rStyle w:val="Strong"/>
          <w:rFonts w:ascii="Arial" w:hAnsi="Arial" w:cs="Arial"/>
          <w:b w:val="0"/>
          <w:bCs w:val="0"/>
          <w:i/>
          <w:iCs/>
          <w:color w:val="404040"/>
          <w:sz w:val="20"/>
          <w:szCs w:val="20"/>
          <w:highlight w:val="yellow"/>
        </w:rPr>
        <w:t>significantly different</w:t>
      </w:r>
      <w:r>
        <w:rPr>
          <w:rFonts w:ascii="Arial" w:eastAsia="Arial" w:hAnsi="Arial" w:cs="Arial"/>
          <w:i/>
          <w:iCs/>
          <w:color w:val="000000"/>
          <w:sz w:val="20"/>
          <w:szCs w:val="20"/>
        </w:rPr>
        <w:t xml:space="preserve"> (p ≥ 0.05). Feeds A, B, and C (2.5%, 2%, 1.5%) supplemented with 10 g of boiled tuna were fed to G4 transgenic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 while feed D (2.5% + 10 g) was fed to </w:t>
      </w:r>
      <w:proofErr w:type="spellStart"/>
      <w:r>
        <w:rPr>
          <w:rFonts w:ascii="Arial" w:eastAsia="Arial" w:hAnsi="Arial" w:cs="Arial"/>
          <w:i/>
          <w:iCs/>
          <w:color w:val="000000"/>
          <w:sz w:val="20"/>
          <w:szCs w:val="20"/>
        </w:rPr>
        <w:t>nontransgenic</w:t>
      </w:r>
      <w:proofErr w:type="spellEnd"/>
      <w:r>
        <w:rPr>
          <w:rFonts w:ascii="Arial" w:eastAsia="Arial" w:hAnsi="Arial" w:cs="Arial"/>
          <w:i/>
          <w:iCs/>
          <w:color w:val="000000"/>
          <w:sz w:val="20"/>
          <w:szCs w:val="20"/>
        </w:rPr>
        <w:t xml:space="preserve">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w:t>
      </w:r>
    </w:p>
    <w:p w14:paraId="4F035494" w14:textId="77777777" w:rsidR="00FC69C6" w:rsidRDefault="00FC69C6">
      <w:pPr>
        <w:widowControl/>
        <w:jc w:val="center"/>
        <w:rPr>
          <w:rFonts w:ascii="Arial" w:eastAsia="Arial" w:hAnsi="Arial" w:cs="Arial"/>
          <w:b/>
          <w:bCs/>
          <w:color w:val="000000"/>
          <w:sz w:val="20"/>
          <w:szCs w:val="20"/>
          <w:lang w:val="id-ID"/>
        </w:rPr>
      </w:pPr>
    </w:p>
    <w:p w14:paraId="5800C305" w14:textId="77777777" w:rsidR="00FC69C6" w:rsidRDefault="00FC69C6">
      <w:pPr>
        <w:widowControl/>
        <w:jc w:val="center"/>
        <w:rPr>
          <w:rFonts w:ascii="Arial" w:eastAsia="Arial" w:hAnsi="Arial" w:cs="Arial"/>
          <w:b/>
          <w:bCs/>
          <w:color w:val="000000"/>
          <w:sz w:val="20"/>
          <w:szCs w:val="20"/>
          <w:lang w:val="id-ID"/>
        </w:rPr>
      </w:pPr>
    </w:p>
    <w:p w14:paraId="59748FF8" w14:textId="77777777" w:rsidR="00FC69C6" w:rsidRDefault="00390DC6">
      <w:pPr>
        <w:widowControl/>
        <w:jc w:val="center"/>
        <w:rPr>
          <w:rFonts w:ascii="Arial" w:eastAsia="Arial" w:hAnsi="Arial" w:cs="Arial"/>
          <w:color w:val="000000"/>
          <w:sz w:val="20"/>
          <w:szCs w:val="20"/>
          <w:lang w:val="id-ID"/>
        </w:rPr>
      </w:pPr>
      <w:r>
        <w:rPr>
          <w:rFonts w:ascii="Arial" w:eastAsia="Arial" w:hAnsi="Arial" w:cs="Arial"/>
          <w:color w:val="000000"/>
          <w:sz w:val="20"/>
          <w:szCs w:val="20"/>
          <w:lang w:val="id-ID"/>
        </w:rPr>
        <w:t>Table 1. Protein content of feed mixtures in each treatment</w:t>
      </w:r>
    </w:p>
    <w:p w14:paraId="09D0A351" w14:textId="77777777" w:rsidR="00FC69C6" w:rsidRDefault="00FC69C6">
      <w:pPr>
        <w:widowControl/>
        <w:jc w:val="center"/>
        <w:rPr>
          <w:rFonts w:ascii="Arial" w:eastAsia="Arial" w:hAnsi="Arial" w:cs="Arial"/>
          <w:color w:val="000000"/>
          <w:sz w:val="20"/>
          <w:szCs w:val="20"/>
          <w:lang w:val="id-ID"/>
        </w:rPr>
      </w:pPr>
    </w:p>
    <w:tbl>
      <w:tblPr>
        <w:tblStyle w:val="TableGrid"/>
        <w:tblW w:w="48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6"/>
        <w:gridCol w:w="1295"/>
        <w:gridCol w:w="498"/>
        <w:gridCol w:w="1770"/>
        <w:gridCol w:w="1991"/>
        <w:gridCol w:w="1791"/>
      </w:tblGrid>
      <w:tr w:rsidR="00FC69C6" w14:paraId="30140920" w14:textId="77777777">
        <w:trPr>
          <w:trHeight w:val="610"/>
        </w:trPr>
        <w:tc>
          <w:tcPr>
            <w:tcW w:w="1038" w:type="pct"/>
            <w:tcBorders>
              <w:top w:val="single" w:sz="4" w:space="0" w:color="auto"/>
              <w:bottom w:val="single" w:sz="4" w:space="0" w:color="auto"/>
            </w:tcBorders>
          </w:tcPr>
          <w:p w14:paraId="6C2A427B" w14:textId="77777777" w:rsidR="00FC69C6" w:rsidRDefault="00FC69C6">
            <w:pPr>
              <w:widowControl/>
              <w:jc w:val="center"/>
              <w:rPr>
                <w:rFonts w:ascii="Arial" w:hAnsi="Arial" w:cs="Arial"/>
                <w:b/>
                <w:sz w:val="20"/>
                <w:szCs w:val="20"/>
                <w:lang w:val="en-US" w:eastAsia="en-US"/>
              </w:rPr>
            </w:pPr>
          </w:p>
          <w:p w14:paraId="2C45534F" w14:textId="77777777" w:rsidR="00FC69C6" w:rsidRDefault="00390DC6">
            <w:pPr>
              <w:widowControl/>
              <w:jc w:val="center"/>
              <w:rPr>
                <w:rFonts w:ascii="Arial" w:hAnsi="Arial" w:cs="Arial"/>
                <w:b/>
                <w:sz w:val="20"/>
                <w:szCs w:val="20"/>
                <w:lang w:val="id-ID" w:eastAsia="en-US"/>
              </w:rPr>
            </w:pPr>
            <w:r>
              <w:rPr>
                <w:rFonts w:ascii="Arial" w:hAnsi="Arial" w:cs="Arial"/>
                <w:b/>
                <w:sz w:val="20"/>
                <w:szCs w:val="20"/>
                <w:lang w:val="id-ID" w:eastAsia="en-US"/>
              </w:rPr>
              <w:t>Treatment</w:t>
            </w:r>
          </w:p>
        </w:tc>
        <w:tc>
          <w:tcPr>
            <w:tcW w:w="966" w:type="pct"/>
            <w:gridSpan w:val="2"/>
            <w:tcBorders>
              <w:top w:val="single" w:sz="4" w:space="0" w:color="auto"/>
              <w:bottom w:val="single" w:sz="4" w:space="0" w:color="auto"/>
            </w:tcBorders>
          </w:tcPr>
          <w:p w14:paraId="7A99C374" w14:textId="77777777" w:rsidR="00FC69C6" w:rsidRDefault="00390DC6">
            <w:pPr>
              <w:widowControl/>
              <w:jc w:val="center"/>
              <w:rPr>
                <w:rFonts w:ascii="Arial" w:hAnsi="Arial" w:cs="Arial"/>
                <w:b/>
                <w:sz w:val="20"/>
                <w:szCs w:val="20"/>
                <w:lang w:val="en-US" w:eastAsia="en-US"/>
              </w:rPr>
            </w:pPr>
            <w:r>
              <w:rPr>
                <w:rFonts w:ascii="Arial" w:hAnsi="Arial" w:cs="Arial"/>
                <w:b/>
                <w:sz w:val="20"/>
                <w:szCs w:val="20"/>
                <w:lang w:val="en-US" w:eastAsia="en-US"/>
              </w:rPr>
              <w:t>Initial Fish Biomass (g)</w:t>
            </w:r>
          </w:p>
        </w:tc>
        <w:tc>
          <w:tcPr>
            <w:tcW w:w="953" w:type="pct"/>
            <w:tcBorders>
              <w:top w:val="single" w:sz="4" w:space="0" w:color="auto"/>
              <w:bottom w:val="single" w:sz="4" w:space="0" w:color="auto"/>
            </w:tcBorders>
          </w:tcPr>
          <w:p w14:paraId="77EC3D76" w14:textId="77777777" w:rsidR="00FC69C6" w:rsidRDefault="00390DC6">
            <w:pPr>
              <w:widowControl/>
              <w:jc w:val="center"/>
              <w:rPr>
                <w:rFonts w:ascii="Arial" w:hAnsi="Arial" w:cs="Arial"/>
                <w:b/>
                <w:sz w:val="20"/>
                <w:szCs w:val="20"/>
                <w:lang w:val="en-US" w:eastAsia="en-US"/>
              </w:rPr>
            </w:pPr>
            <w:r>
              <w:rPr>
                <w:rFonts w:ascii="Arial" w:hAnsi="Arial" w:cs="Arial"/>
                <w:b/>
                <w:sz w:val="20"/>
                <w:szCs w:val="20"/>
                <w:lang w:val="en-US" w:eastAsia="en-US"/>
              </w:rPr>
              <w:t>Feed Given (g/day)</w:t>
            </w:r>
          </w:p>
        </w:tc>
        <w:tc>
          <w:tcPr>
            <w:tcW w:w="1074" w:type="pct"/>
            <w:tcBorders>
              <w:top w:val="single" w:sz="4" w:space="0" w:color="auto"/>
              <w:bottom w:val="single" w:sz="4" w:space="0" w:color="auto"/>
            </w:tcBorders>
          </w:tcPr>
          <w:p w14:paraId="3AD2E1CB" w14:textId="77777777" w:rsidR="00FC69C6" w:rsidRDefault="00390DC6">
            <w:pPr>
              <w:widowControl/>
              <w:jc w:val="center"/>
              <w:rPr>
                <w:rFonts w:ascii="Arial" w:hAnsi="Arial" w:cs="Arial"/>
                <w:b/>
                <w:sz w:val="20"/>
                <w:szCs w:val="20"/>
                <w:lang w:val="en-US" w:eastAsia="en-US"/>
              </w:rPr>
            </w:pPr>
            <w:r>
              <w:rPr>
                <w:rFonts w:ascii="Arial" w:hAnsi="Arial" w:cs="Arial"/>
                <w:b/>
                <w:sz w:val="20"/>
                <w:szCs w:val="20"/>
                <w:lang w:val="en-US" w:eastAsia="en-US"/>
              </w:rPr>
              <w:t>Mixed Protein (%)</w:t>
            </w:r>
          </w:p>
          <w:p w14:paraId="3CFECFAE" w14:textId="77777777" w:rsidR="00FC69C6" w:rsidRDefault="00390DC6">
            <w:pPr>
              <w:widowControl/>
              <w:jc w:val="center"/>
              <w:rPr>
                <w:rFonts w:ascii="Arial" w:hAnsi="Arial" w:cs="Arial"/>
                <w:b/>
                <w:sz w:val="20"/>
                <w:szCs w:val="20"/>
                <w:lang w:val="en-US" w:eastAsia="en-US"/>
              </w:rPr>
            </w:pPr>
            <w:r>
              <w:rPr>
                <w:rFonts w:ascii="Arial" w:hAnsi="Arial" w:cs="Arial"/>
                <w:b/>
                <w:sz w:val="20"/>
                <w:szCs w:val="20"/>
                <w:lang w:val="en-US" w:eastAsia="en-US"/>
              </w:rPr>
              <w:t>(HI-PRO-VITE 781 + boiled tuna)</w:t>
            </w:r>
          </w:p>
        </w:tc>
        <w:tc>
          <w:tcPr>
            <w:tcW w:w="966" w:type="pct"/>
            <w:tcBorders>
              <w:top w:val="single" w:sz="4" w:space="0" w:color="auto"/>
              <w:bottom w:val="single" w:sz="4" w:space="0" w:color="auto"/>
            </w:tcBorders>
          </w:tcPr>
          <w:p w14:paraId="27DAF25B" w14:textId="77777777" w:rsidR="00FC69C6" w:rsidRDefault="00390DC6">
            <w:pPr>
              <w:widowControl/>
              <w:ind w:left="1440" w:hanging="1440"/>
              <w:jc w:val="center"/>
              <w:rPr>
                <w:rFonts w:ascii="Arial" w:hAnsi="Arial" w:cs="Arial"/>
                <w:b/>
                <w:sz w:val="20"/>
                <w:szCs w:val="20"/>
                <w:lang w:val="id-ID" w:eastAsia="en-US"/>
              </w:rPr>
            </w:pPr>
            <w:r>
              <w:rPr>
                <w:rFonts w:ascii="Arial" w:hAnsi="Arial" w:cs="Arial"/>
                <w:b/>
                <w:sz w:val="20"/>
                <w:szCs w:val="20"/>
                <w:lang w:val="id-ID" w:eastAsia="en-US"/>
              </w:rPr>
              <w:t>Protein</w:t>
            </w:r>
          </w:p>
          <w:p w14:paraId="3DC456ED" w14:textId="77777777" w:rsidR="00FC69C6" w:rsidRDefault="00390DC6">
            <w:pPr>
              <w:widowControl/>
              <w:ind w:left="1440" w:hanging="1440"/>
              <w:jc w:val="center"/>
              <w:rPr>
                <w:rFonts w:ascii="Arial" w:hAnsi="Arial" w:cs="Arial"/>
                <w:b/>
                <w:sz w:val="20"/>
                <w:szCs w:val="20"/>
                <w:lang w:val="id-ID" w:eastAsia="en-US"/>
              </w:rPr>
            </w:pPr>
            <w:r>
              <w:rPr>
                <w:rFonts w:ascii="Arial" w:hAnsi="Arial" w:cs="Arial"/>
                <w:b/>
                <w:sz w:val="20"/>
                <w:szCs w:val="20"/>
                <w:lang w:val="id-ID" w:eastAsia="en-US"/>
              </w:rPr>
              <w:t>From Pindang</w:t>
            </w:r>
          </w:p>
          <w:p w14:paraId="22AF6656" w14:textId="77777777" w:rsidR="00FC69C6" w:rsidRDefault="00390DC6">
            <w:pPr>
              <w:widowControl/>
              <w:ind w:left="1440" w:hanging="1440"/>
              <w:jc w:val="center"/>
              <w:rPr>
                <w:rFonts w:ascii="Arial" w:hAnsi="Arial" w:cs="Arial"/>
                <w:b/>
                <w:sz w:val="20"/>
                <w:szCs w:val="20"/>
                <w:lang w:val="id-ID" w:eastAsia="en-US"/>
              </w:rPr>
            </w:pPr>
            <w:r>
              <w:rPr>
                <w:rFonts w:ascii="Arial" w:hAnsi="Arial" w:cs="Arial"/>
                <w:b/>
                <w:sz w:val="20"/>
                <w:szCs w:val="20"/>
                <w:lang w:val="id-ID" w:eastAsia="en-US"/>
              </w:rPr>
              <w:t>Tongkol (Boiled</w:t>
            </w:r>
          </w:p>
          <w:p w14:paraId="16720AC6" w14:textId="77777777" w:rsidR="00FC69C6" w:rsidRDefault="00390DC6">
            <w:pPr>
              <w:widowControl/>
              <w:ind w:left="1440" w:hanging="1440"/>
              <w:jc w:val="center"/>
              <w:rPr>
                <w:rFonts w:ascii="Arial" w:hAnsi="Arial" w:cs="Arial"/>
                <w:b/>
                <w:sz w:val="20"/>
                <w:szCs w:val="20"/>
                <w:lang w:val="id-ID" w:eastAsia="en-US"/>
              </w:rPr>
            </w:pPr>
            <w:r>
              <w:rPr>
                <w:rFonts w:ascii="Arial" w:hAnsi="Arial" w:cs="Arial"/>
                <w:b/>
                <w:sz w:val="20"/>
                <w:szCs w:val="20"/>
                <w:lang w:val="id-ID" w:eastAsia="en-US"/>
              </w:rPr>
              <w:t>Tuna) (%)**</w:t>
            </w:r>
          </w:p>
        </w:tc>
      </w:tr>
      <w:tr w:rsidR="00FC69C6" w14:paraId="3F4CFB50" w14:textId="77777777">
        <w:tc>
          <w:tcPr>
            <w:tcW w:w="1038" w:type="pct"/>
            <w:tcBorders>
              <w:top w:val="single" w:sz="4" w:space="0" w:color="auto"/>
            </w:tcBorders>
          </w:tcPr>
          <w:p w14:paraId="0BAED723" w14:textId="77777777" w:rsidR="00FC69C6" w:rsidRDefault="00390DC6">
            <w:pPr>
              <w:widowControl/>
              <w:jc w:val="both"/>
              <w:rPr>
                <w:rFonts w:ascii="Arial" w:hAnsi="Arial" w:cs="Arial"/>
                <w:sz w:val="20"/>
                <w:szCs w:val="20"/>
                <w:lang w:val="id-ID" w:eastAsia="en-US"/>
              </w:rPr>
            </w:pPr>
            <w:r>
              <w:rPr>
                <w:rFonts w:ascii="Arial" w:hAnsi="Arial" w:cs="Arial"/>
                <w:sz w:val="20"/>
                <w:szCs w:val="20"/>
                <w:lang w:val="en-US" w:eastAsia="en-US"/>
              </w:rPr>
              <w:t>A (2,5% + 10 g)</w:t>
            </w:r>
          </w:p>
        </w:tc>
        <w:tc>
          <w:tcPr>
            <w:tcW w:w="698" w:type="pct"/>
            <w:tcBorders>
              <w:top w:val="single" w:sz="4" w:space="0" w:color="auto"/>
            </w:tcBorders>
            <w:vAlign w:val="center"/>
          </w:tcPr>
          <w:p w14:paraId="4D800A45"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4.430</w:t>
            </w:r>
          </w:p>
        </w:tc>
        <w:tc>
          <w:tcPr>
            <w:tcW w:w="1222" w:type="pct"/>
            <w:gridSpan w:val="2"/>
            <w:tcBorders>
              <w:top w:val="single" w:sz="4" w:space="0" w:color="auto"/>
            </w:tcBorders>
            <w:vAlign w:val="center"/>
          </w:tcPr>
          <w:p w14:paraId="4416C784"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110,75</w:t>
            </w:r>
          </w:p>
        </w:tc>
        <w:tc>
          <w:tcPr>
            <w:tcW w:w="1074" w:type="pct"/>
            <w:tcBorders>
              <w:top w:val="single" w:sz="4" w:space="0" w:color="auto"/>
            </w:tcBorders>
            <w:vAlign w:val="center"/>
          </w:tcPr>
          <w:p w14:paraId="38F0F39D"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37,91</w:t>
            </w:r>
          </w:p>
        </w:tc>
        <w:tc>
          <w:tcPr>
            <w:tcW w:w="966" w:type="pct"/>
            <w:tcBorders>
              <w:top w:val="single" w:sz="4" w:space="0" w:color="auto"/>
            </w:tcBorders>
            <w:vAlign w:val="center"/>
          </w:tcPr>
          <w:p w14:paraId="0EBE8DA7"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3,58</w:t>
            </w:r>
          </w:p>
        </w:tc>
      </w:tr>
      <w:tr w:rsidR="00FC69C6" w14:paraId="043A1197" w14:textId="77777777">
        <w:tc>
          <w:tcPr>
            <w:tcW w:w="1038" w:type="pct"/>
          </w:tcPr>
          <w:p w14:paraId="0751F605" w14:textId="77777777" w:rsidR="00FC69C6" w:rsidRDefault="00390DC6">
            <w:pPr>
              <w:widowControl/>
              <w:jc w:val="both"/>
              <w:rPr>
                <w:rFonts w:ascii="Arial" w:hAnsi="Arial" w:cs="Arial"/>
                <w:sz w:val="20"/>
                <w:szCs w:val="20"/>
                <w:lang w:val="en-US" w:eastAsia="en-US"/>
              </w:rPr>
            </w:pPr>
            <w:r>
              <w:rPr>
                <w:rFonts w:ascii="Arial" w:hAnsi="Arial" w:cs="Arial"/>
                <w:sz w:val="20"/>
                <w:szCs w:val="20"/>
                <w:lang w:val="en-US" w:eastAsia="en-US"/>
              </w:rPr>
              <w:t>B (2% + 10 g)</w:t>
            </w:r>
          </w:p>
        </w:tc>
        <w:tc>
          <w:tcPr>
            <w:tcW w:w="698" w:type="pct"/>
            <w:vAlign w:val="center"/>
          </w:tcPr>
          <w:p w14:paraId="6E57DC01"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3.575</w:t>
            </w:r>
          </w:p>
        </w:tc>
        <w:tc>
          <w:tcPr>
            <w:tcW w:w="1222" w:type="pct"/>
            <w:gridSpan w:val="2"/>
            <w:vAlign w:val="center"/>
          </w:tcPr>
          <w:p w14:paraId="3BA0096D"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71,5</w:t>
            </w:r>
          </w:p>
        </w:tc>
        <w:tc>
          <w:tcPr>
            <w:tcW w:w="1074" w:type="pct"/>
            <w:vAlign w:val="center"/>
          </w:tcPr>
          <w:p w14:paraId="05966634"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25,75</w:t>
            </w:r>
          </w:p>
        </w:tc>
        <w:tc>
          <w:tcPr>
            <w:tcW w:w="966" w:type="pct"/>
            <w:vAlign w:val="center"/>
          </w:tcPr>
          <w:p w14:paraId="75DB96EE"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3,58</w:t>
            </w:r>
          </w:p>
        </w:tc>
      </w:tr>
      <w:tr w:rsidR="00FC69C6" w14:paraId="224C342F" w14:textId="77777777">
        <w:tc>
          <w:tcPr>
            <w:tcW w:w="1038" w:type="pct"/>
          </w:tcPr>
          <w:p w14:paraId="42C17B56" w14:textId="77777777" w:rsidR="00FC69C6" w:rsidRDefault="00390DC6">
            <w:pPr>
              <w:widowControl/>
              <w:jc w:val="both"/>
              <w:rPr>
                <w:rFonts w:ascii="Arial" w:hAnsi="Arial" w:cs="Arial"/>
                <w:sz w:val="20"/>
                <w:szCs w:val="20"/>
                <w:lang w:val="en-US" w:eastAsia="en-US"/>
              </w:rPr>
            </w:pPr>
            <w:r>
              <w:rPr>
                <w:rFonts w:ascii="Arial" w:hAnsi="Arial" w:cs="Arial"/>
                <w:sz w:val="20"/>
                <w:szCs w:val="20"/>
                <w:lang w:val="en-US" w:eastAsia="en-US"/>
              </w:rPr>
              <w:t>C (1,5% + 10 g)</w:t>
            </w:r>
          </w:p>
        </w:tc>
        <w:tc>
          <w:tcPr>
            <w:tcW w:w="698" w:type="pct"/>
            <w:vAlign w:val="center"/>
          </w:tcPr>
          <w:p w14:paraId="13A575E6"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4.210</w:t>
            </w:r>
          </w:p>
        </w:tc>
        <w:tc>
          <w:tcPr>
            <w:tcW w:w="1222" w:type="pct"/>
            <w:gridSpan w:val="2"/>
            <w:vAlign w:val="center"/>
          </w:tcPr>
          <w:p w14:paraId="4DA8C25C"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63,15</w:t>
            </w:r>
          </w:p>
        </w:tc>
        <w:tc>
          <w:tcPr>
            <w:tcW w:w="1074" w:type="pct"/>
            <w:vAlign w:val="center"/>
          </w:tcPr>
          <w:p w14:paraId="5E351A0A"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23,16</w:t>
            </w:r>
          </w:p>
        </w:tc>
        <w:tc>
          <w:tcPr>
            <w:tcW w:w="966" w:type="pct"/>
            <w:vAlign w:val="center"/>
          </w:tcPr>
          <w:p w14:paraId="3634CA93"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3,58</w:t>
            </w:r>
          </w:p>
        </w:tc>
      </w:tr>
      <w:tr w:rsidR="00FC69C6" w14:paraId="2FD31A55" w14:textId="77777777">
        <w:tc>
          <w:tcPr>
            <w:tcW w:w="1038" w:type="pct"/>
            <w:tcBorders>
              <w:bottom w:val="single" w:sz="4" w:space="0" w:color="auto"/>
            </w:tcBorders>
          </w:tcPr>
          <w:p w14:paraId="607AAD30" w14:textId="77777777" w:rsidR="00FC69C6" w:rsidRDefault="00390DC6">
            <w:pPr>
              <w:widowControl/>
              <w:jc w:val="both"/>
              <w:rPr>
                <w:rFonts w:ascii="Arial" w:hAnsi="Arial" w:cs="Arial"/>
                <w:sz w:val="20"/>
                <w:szCs w:val="20"/>
                <w:lang w:val="en-US" w:eastAsia="en-US"/>
              </w:rPr>
            </w:pPr>
            <w:r>
              <w:rPr>
                <w:rFonts w:ascii="Arial" w:hAnsi="Arial" w:cs="Arial"/>
                <w:sz w:val="20"/>
                <w:szCs w:val="20"/>
                <w:lang w:val="en-US" w:eastAsia="en-US"/>
              </w:rPr>
              <w:t>D (2,5% + 10 g)</w:t>
            </w:r>
          </w:p>
        </w:tc>
        <w:tc>
          <w:tcPr>
            <w:tcW w:w="698" w:type="pct"/>
            <w:tcBorders>
              <w:bottom w:val="single" w:sz="4" w:space="0" w:color="auto"/>
            </w:tcBorders>
            <w:vAlign w:val="center"/>
          </w:tcPr>
          <w:p w14:paraId="5D52FA87"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1.700</w:t>
            </w:r>
          </w:p>
        </w:tc>
        <w:tc>
          <w:tcPr>
            <w:tcW w:w="1222" w:type="pct"/>
            <w:gridSpan w:val="2"/>
            <w:tcBorders>
              <w:bottom w:val="single" w:sz="4" w:space="0" w:color="auto"/>
            </w:tcBorders>
            <w:vAlign w:val="center"/>
          </w:tcPr>
          <w:p w14:paraId="5362030E"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42,5</w:t>
            </w:r>
          </w:p>
        </w:tc>
        <w:tc>
          <w:tcPr>
            <w:tcW w:w="1074" w:type="pct"/>
            <w:tcBorders>
              <w:bottom w:val="single" w:sz="4" w:space="0" w:color="auto"/>
            </w:tcBorders>
            <w:vAlign w:val="center"/>
          </w:tcPr>
          <w:p w14:paraId="721C0D25"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16,76</w:t>
            </w:r>
          </w:p>
        </w:tc>
        <w:tc>
          <w:tcPr>
            <w:tcW w:w="966" w:type="pct"/>
            <w:tcBorders>
              <w:bottom w:val="single" w:sz="4" w:space="0" w:color="auto"/>
            </w:tcBorders>
            <w:vAlign w:val="center"/>
          </w:tcPr>
          <w:p w14:paraId="39313536" w14:textId="77777777" w:rsidR="00FC69C6" w:rsidRDefault="00390DC6">
            <w:pPr>
              <w:widowControl/>
              <w:jc w:val="center"/>
              <w:rPr>
                <w:rFonts w:ascii="Arial" w:hAnsi="Arial" w:cs="Arial"/>
                <w:sz w:val="20"/>
                <w:szCs w:val="20"/>
                <w:lang w:val="en-US" w:eastAsia="en-US"/>
              </w:rPr>
            </w:pPr>
            <w:r>
              <w:rPr>
                <w:rFonts w:ascii="Arial" w:hAnsi="Arial" w:cs="Arial"/>
                <w:sz w:val="20"/>
                <w:szCs w:val="20"/>
                <w:lang w:val="en-US" w:eastAsia="en-US"/>
              </w:rPr>
              <w:t>3,58</w:t>
            </w:r>
          </w:p>
        </w:tc>
      </w:tr>
    </w:tbl>
    <w:p w14:paraId="270082F4" w14:textId="77777777" w:rsidR="00FC69C6" w:rsidRDefault="00FC69C6">
      <w:pPr>
        <w:widowControl/>
        <w:jc w:val="center"/>
        <w:rPr>
          <w:rFonts w:ascii="Arial" w:eastAsia="Arial" w:hAnsi="Arial" w:cs="Arial"/>
          <w:i/>
          <w:iCs/>
          <w:color w:val="000000"/>
          <w:sz w:val="20"/>
          <w:szCs w:val="20"/>
        </w:rPr>
      </w:pPr>
    </w:p>
    <w:p w14:paraId="4EE57C4F" w14:textId="62094E9C" w:rsidR="00FC69C6" w:rsidRDefault="00390DC6">
      <w:pPr>
        <w:widowControl/>
        <w:jc w:val="center"/>
        <w:rPr>
          <w:rFonts w:ascii="Arial" w:eastAsia="Arial" w:hAnsi="Arial" w:cs="Arial"/>
          <w:i/>
          <w:iCs/>
          <w:color w:val="000000"/>
          <w:sz w:val="20"/>
          <w:szCs w:val="20"/>
        </w:rPr>
      </w:pPr>
      <w:r>
        <w:rPr>
          <w:rFonts w:ascii="Arial" w:eastAsia="Arial" w:hAnsi="Arial" w:cs="Arial"/>
          <w:i/>
          <w:iCs/>
          <w:color w:val="000000"/>
          <w:sz w:val="20"/>
          <w:szCs w:val="20"/>
        </w:rPr>
        <w:t xml:space="preserve">Feeds A, B, and C (2.5%, 2%, 1.5%) supplemented with 10 g of boiled tuna were fed to G4 transgenic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 while feed D (2.5% + 10 g boiled tuna) was fed to non</w:t>
      </w:r>
      <w:r w:rsidR="00EA04D6">
        <w:rPr>
          <w:rFonts w:ascii="Arial" w:eastAsia="Arial" w:hAnsi="Arial" w:cs="Arial"/>
          <w:i/>
          <w:iCs/>
          <w:color w:val="000000"/>
          <w:sz w:val="20"/>
          <w:szCs w:val="20"/>
        </w:rPr>
        <w:t>-</w:t>
      </w:r>
      <w:r>
        <w:rPr>
          <w:rFonts w:ascii="Arial" w:eastAsia="Arial" w:hAnsi="Arial" w:cs="Arial"/>
          <w:i/>
          <w:iCs/>
          <w:color w:val="000000"/>
          <w:sz w:val="20"/>
          <w:szCs w:val="20"/>
        </w:rPr>
        <w:t xml:space="preserve">transgenic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w:t>
      </w:r>
    </w:p>
    <w:p w14:paraId="28335B85" w14:textId="66465A6F" w:rsidR="003219A6" w:rsidRPr="003219A6" w:rsidRDefault="003219A6">
      <w:pPr>
        <w:widowControl/>
        <w:jc w:val="center"/>
        <w:rPr>
          <w:rFonts w:ascii="Arial" w:eastAsia="Arial" w:hAnsi="Arial" w:cs="Arial"/>
          <w:i/>
          <w:iCs/>
          <w:color w:val="000000"/>
          <w:sz w:val="20"/>
          <w:szCs w:val="20"/>
        </w:rPr>
      </w:pPr>
      <w:r w:rsidRPr="003219A6">
        <w:rPr>
          <w:rFonts w:asciiTheme="majorBidi" w:hAnsiTheme="majorBidi" w:cstheme="majorBidi"/>
          <w:i/>
          <w:iCs/>
          <w:sz w:val="24"/>
          <w:szCs w:val="24"/>
          <w:highlight w:val="yellow"/>
        </w:rPr>
        <w:t>Total Dietary Protein (%</w:t>
      </w:r>
      <w:proofErr w:type="gramStart"/>
      <w:r w:rsidRPr="003219A6">
        <w:rPr>
          <w:rFonts w:asciiTheme="majorBidi" w:hAnsiTheme="majorBidi" w:cstheme="majorBidi"/>
          <w:i/>
          <w:iCs/>
          <w:sz w:val="24"/>
          <w:szCs w:val="24"/>
          <w:highlight w:val="yellow"/>
        </w:rPr>
        <w:t>) :</w:t>
      </w:r>
      <w:proofErr w:type="gramEnd"/>
      <w:r w:rsidRPr="003219A6">
        <w:rPr>
          <w:rFonts w:asciiTheme="majorBidi" w:hAnsiTheme="majorBidi" w:cstheme="majorBidi"/>
          <w:i/>
          <w:iCs/>
          <w:sz w:val="24"/>
          <w:szCs w:val="24"/>
          <w:highlight w:val="yellow"/>
        </w:rPr>
        <w:t xml:space="preserve"> [(pellet protein × qty) + (tuna protein × 0.01kg)] / total feed)</w:t>
      </w:r>
    </w:p>
    <w:p w14:paraId="5E9BC278" w14:textId="77777777" w:rsidR="00FC69C6" w:rsidRDefault="00FC69C6">
      <w:pPr>
        <w:widowControl/>
        <w:jc w:val="center"/>
        <w:rPr>
          <w:rFonts w:ascii="Arial" w:eastAsia="Arial" w:hAnsi="Arial" w:cs="Arial"/>
          <w:i/>
          <w:iCs/>
          <w:color w:val="000000"/>
          <w:sz w:val="20"/>
          <w:szCs w:val="20"/>
        </w:rPr>
      </w:pPr>
    </w:p>
    <w:p w14:paraId="2D545032" w14:textId="77777777" w:rsidR="00FC69C6" w:rsidRDefault="00FC69C6">
      <w:pPr>
        <w:widowControl/>
        <w:jc w:val="both"/>
        <w:rPr>
          <w:rFonts w:ascii="Arial" w:eastAsia="Arial" w:hAnsi="Arial" w:cs="Arial"/>
          <w:color w:val="000000"/>
          <w:sz w:val="20"/>
          <w:szCs w:val="20"/>
        </w:rPr>
      </w:pPr>
    </w:p>
    <w:p w14:paraId="4637B054" w14:textId="77777777" w:rsidR="00FC69C6" w:rsidRDefault="00390DC6">
      <w:pPr>
        <w:widowControl/>
        <w:jc w:val="center"/>
        <w:rPr>
          <w:rFonts w:ascii="Arial" w:eastAsia="Arial" w:hAnsi="Arial" w:cs="Arial"/>
          <w:b/>
          <w:bCs/>
          <w:color w:val="000000"/>
          <w:sz w:val="20"/>
          <w:szCs w:val="20"/>
        </w:rPr>
      </w:pPr>
      <w:r>
        <w:rPr>
          <w:i/>
          <w:iCs/>
          <w:noProof/>
          <w:lang w:val="en-US" w:eastAsia="en-US"/>
        </w:rPr>
        <w:drawing>
          <wp:anchor distT="0" distB="0" distL="114300" distR="114300" simplePos="0" relativeHeight="251663360" behindDoc="1" locked="0" layoutInCell="1" allowOverlap="1" wp14:anchorId="43D06475" wp14:editId="2CAAADA7">
            <wp:simplePos x="0" y="0"/>
            <wp:positionH relativeFrom="column">
              <wp:posOffset>-2540</wp:posOffset>
            </wp:positionH>
            <wp:positionV relativeFrom="paragraph">
              <wp:posOffset>247015</wp:posOffset>
            </wp:positionV>
            <wp:extent cx="5731510" cy="3173730"/>
            <wp:effectExtent l="0" t="0" r="2540" b="7620"/>
            <wp:wrapTopAndBottom/>
            <wp:docPr id="1113613115"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13115" name="Gambar 2"/>
                    <pic:cNvPicPr>
                      <a:picLocks noChangeAspect="1"/>
                    </pic:cNvPicPr>
                  </pic:nvPicPr>
                  <pic:blipFill>
                    <a:blip r:embed="rId21" cstate="print">
                      <a:extLst>
                        <a:ext uri="{28A0092B-C50C-407E-A947-70E740481C1C}">
                          <a14:useLocalDpi xmlns:a14="http://schemas.microsoft.com/office/drawing/2010/main" val="0"/>
                        </a:ext>
                      </a:extLst>
                    </a:blip>
                    <a:srcRect t="9891" b="7566"/>
                    <a:stretch>
                      <a:fillRect/>
                    </a:stretch>
                  </pic:blipFill>
                  <pic:spPr>
                    <a:xfrm>
                      <a:off x="0" y="0"/>
                      <a:ext cx="5731510" cy="3173730"/>
                    </a:xfrm>
                    <a:prstGeom prst="rect">
                      <a:avLst/>
                    </a:prstGeom>
                    <a:ln>
                      <a:noFill/>
                    </a:ln>
                  </pic:spPr>
                </pic:pic>
              </a:graphicData>
            </a:graphic>
          </wp:anchor>
        </w:drawing>
      </w:r>
    </w:p>
    <w:p w14:paraId="1BDEF865" w14:textId="77777777" w:rsidR="00FC69C6" w:rsidRDefault="00FC69C6">
      <w:pPr>
        <w:widowControl/>
        <w:jc w:val="center"/>
        <w:rPr>
          <w:rFonts w:ascii="Arial" w:eastAsia="Arial" w:hAnsi="Arial" w:cs="Arial"/>
          <w:b/>
          <w:bCs/>
          <w:color w:val="000000"/>
          <w:sz w:val="20"/>
          <w:szCs w:val="20"/>
        </w:rPr>
      </w:pPr>
    </w:p>
    <w:p w14:paraId="5F9D89AE" w14:textId="77777777" w:rsidR="00FC69C6" w:rsidRDefault="00390DC6">
      <w:pPr>
        <w:widowControl/>
        <w:jc w:val="center"/>
        <w:rPr>
          <w:rFonts w:ascii="Arial" w:eastAsia="Arial" w:hAnsi="Arial" w:cs="Arial"/>
          <w:b/>
          <w:bCs/>
          <w:color w:val="000000"/>
          <w:sz w:val="20"/>
          <w:szCs w:val="20"/>
        </w:rPr>
      </w:pPr>
      <w:r>
        <w:rPr>
          <w:rFonts w:ascii="Arial" w:eastAsia="Arial" w:hAnsi="Arial" w:cs="Arial"/>
          <w:b/>
          <w:bCs/>
          <w:color w:val="000000"/>
          <w:sz w:val="20"/>
          <w:szCs w:val="20"/>
        </w:rPr>
        <w:t xml:space="preserve">Fig. </w:t>
      </w:r>
      <w:r>
        <w:rPr>
          <w:rFonts w:ascii="Arial" w:eastAsia="Arial" w:hAnsi="Arial" w:cs="Arial"/>
          <w:b/>
          <w:bCs/>
          <w:color w:val="000000"/>
          <w:sz w:val="20"/>
          <w:szCs w:val="20"/>
          <w:lang w:val="id-ID"/>
        </w:rPr>
        <w:t>3</w:t>
      </w:r>
      <w:r>
        <w:rPr>
          <w:rFonts w:ascii="Arial" w:eastAsia="Arial" w:hAnsi="Arial" w:cs="Arial"/>
          <w:b/>
          <w:bCs/>
          <w:color w:val="000000"/>
          <w:sz w:val="20"/>
          <w:szCs w:val="20"/>
        </w:rPr>
        <w:t xml:space="preserve">. Feed </w:t>
      </w:r>
      <w:proofErr w:type="spellStart"/>
      <w:r>
        <w:rPr>
          <w:rFonts w:ascii="Arial" w:eastAsia="Arial" w:hAnsi="Arial" w:cs="Arial"/>
          <w:b/>
          <w:bCs/>
          <w:color w:val="000000"/>
          <w:sz w:val="20"/>
          <w:szCs w:val="20"/>
        </w:rPr>
        <w:t>convertion</w:t>
      </w:r>
      <w:proofErr w:type="spellEnd"/>
      <w:r>
        <w:rPr>
          <w:rFonts w:ascii="Arial" w:eastAsia="Arial" w:hAnsi="Arial" w:cs="Arial"/>
          <w:b/>
          <w:bCs/>
          <w:color w:val="000000"/>
          <w:sz w:val="20"/>
          <w:szCs w:val="20"/>
        </w:rPr>
        <w:t xml:space="preserve"> ratio of G4 transgenic </w:t>
      </w:r>
      <w:proofErr w:type="spellStart"/>
      <w:r>
        <w:rPr>
          <w:rFonts w:ascii="Arial" w:eastAsia="Arial" w:hAnsi="Arial" w:cs="Arial"/>
          <w:b/>
          <w:bCs/>
          <w:color w:val="000000"/>
          <w:sz w:val="20"/>
          <w:szCs w:val="20"/>
        </w:rPr>
        <w:t>mutiara</w:t>
      </w:r>
      <w:proofErr w:type="spellEnd"/>
      <w:r>
        <w:rPr>
          <w:rFonts w:ascii="Arial" w:eastAsia="Arial" w:hAnsi="Arial" w:cs="Arial"/>
          <w:b/>
          <w:bCs/>
          <w:color w:val="000000"/>
          <w:sz w:val="20"/>
          <w:szCs w:val="20"/>
        </w:rPr>
        <w:t xml:space="preserve"> catfish (treatments A–C) </w:t>
      </w:r>
      <w:proofErr w:type="gramStart"/>
      <w:r>
        <w:rPr>
          <w:rFonts w:ascii="Arial" w:eastAsia="Arial" w:hAnsi="Arial" w:cs="Arial"/>
          <w:b/>
          <w:bCs/>
          <w:color w:val="000000"/>
          <w:sz w:val="20"/>
          <w:szCs w:val="20"/>
        </w:rPr>
        <w:t xml:space="preserve">and  </w:t>
      </w:r>
      <w:proofErr w:type="spellStart"/>
      <w:r>
        <w:rPr>
          <w:rFonts w:ascii="Arial" w:eastAsia="Arial" w:hAnsi="Arial" w:cs="Arial"/>
          <w:b/>
          <w:bCs/>
          <w:color w:val="000000"/>
          <w:sz w:val="20"/>
          <w:szCs w:val="20"/>
        </w:rPr>
        <w:t>nontransgenic</w:t>
      </w:r>
      <w:proofErr w:type="spellEnd"/>
      <w:proofErr w:type="gramEnd"/>
      <w:r>
        <w:rPr>
          <w:rFonts w:ascii="Arial" w:eastAsia="Arial" w:hAnsi="Arial" w:cs="Arial"/>
          <w:b/>
          <w:bCs/>
          <w:color w:val="000000"/>
          <w:sz w:val="20"/>
          <w:szCs w:val="20"/>
        </w:rPr>
        <w:t xml:space="preserve"> </w:t>
      </w:r>
      <w:proofErr w:type="spellStart"/>
      <w:r>
        <w:rPr>
          <w:rFonts w:ascii="Arial" w:eastAsia="Arial" w:hAnsi="Arial" w:cs="Arial"/>
          <w:b/>
          <w:bCs/>
          <w:color w:val="000000"/>
          <w:sz w:val="20"/>
          <w:szCs w:val="20"/>
        </w:rPr>
        <w:t>mutiara</w:t>
      </w:r>
      <w:proofErr w:type="spellEnd"/>
      <w:r>
        <w:rPr>
          <w:rFonts w:ascii="Arial" w:eastAsia="Arial" w:hAnsi="Arial" w:cs="Arial"/>
          <w:b/>
          <w:bCs/>
          <w:color w:val="000000"/>
          <w:sz w:val="20"/>
          <w:szCs w:val="20"/>
        </w:rPr>
        <w:t xml:space="preserve"> catfish (treatment D)</w:t>
      </w:r>
    </w:p>
    <w:p w14:paraId="76E8E440" w14:textId="1C377065" w:rsidR="00FC69C6" w:rsidRDefault="00390DC6">
      <w:pPr>
        <w:widowControl/>
        <w:jc w:val="center"/>
        <w:rPr>
          <w:rFonts w:ascii="Arial" w:eastAsia="Arial" w:hAnsi="Arial" w:cs="Arial"/>
          <w:i/>
          <w:iCs/>
          <w:color w:val="000000"/>
          <w:sz w:val="20"/>
          <w:szCs w:val="20"/>
        </w:rPr>
      </w:pPr>
      <w:r>
        <w:rPr>
          <w:rFonts w:ascii="Arial" w:eastAsia="Arial" w:hAnsi="Arial" w:cs="Arial"/>
          <w:i/>
          <w:iCs/>
          <w:color w:val="000000"/>
          <w:sz w:val="20"/>
          <w:szCs w:val="20"/>
        </w:rPr>
        <w:t xml:space="preserve">Data are presented as means ± SD. Means in the same row followed by the same letter are not significantly different (p ≥ 0.05). Feeds A, B, and C (2.5%, 2%, 1.5%) supplemented with 10 g of boiled tuna were fed to G4 transgenic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 while feed D (2.5% + 10 g) was fed to non</w:t>
      </w:r>
      <w:r w:rsidR="00BF45D6">
        <w:rPr>
          <w:rFonts w:ascii="Arial" w:eastAsia="Arial" w:hAnsi="Arial" w:cs="Arial"/>
          <w:i/>
          <w:iCs/>
          <w:color w:val="000000"/>
          <w:sz w:val="20"/>
          <w:szCs w:val="20"/>
        </w:rPr>
        <w:t>-</w:t>
      </w:r>
      <w:r>
        <w:rPr>
          <w:rFonts w:ascii="Arial" w:eastAsia="Arial" w:hAnsi="Arial" w:cs="Arial"/>
          <w:i/>
          <w:iCs/>
          <w:color w:val="000000"/>
          <w:sz w:val="20"/>
          <w:szCs w:val="20"/>
        </w:rPr>
        <w:t xml:space="preserve">transgenic </w:t>
      </w:r>
      <w:proofErr w:type="spellStart"/>
      <w:r>
        <w:rPr>
          <w:rFonts w:ascii="Arial" w:eastAsia="Arial" w:hAnsi="Arial" w:cs="Arial"/>
          <w:i/>
          <w:iCs/>
          <w:color w:val="000000"/>
          <w:sz w:val="20"/>
          <w:szCs w:val="20"/>
        </w:rPr>
        <w:t>mutiara</w:t>
      </w:r>
      <w:proofErr w:type="spellEnd"/>
      <w:r>
        <w:rPr>
          <w:rFonts w:ascii="Arial" w:eastAsia="Arial" w:hAnsi="Arial" w:cs="Arial"/>
          <w:i/>
          <w:iCs/>
          <w:color w:val="000000"/>
          <w:sz w:val="20"/>
          <w:szCs w:val="20"/>
        </w:rPr>
        <w:t xml:space="preserve"> catfish</w:t>
      </w:r>
    </w:p>
    <w:p w14:paraId="099F8D9E" w14:textId="77777777" w:rsidR="00FC69C6" w:rsidRDefault="00FC69C6">
      <w:pPr>
        <w:widowControl/>
        <w:jc w:val="both"/>
        <w:rPr>
          <w:rFonts w:ascii="Arial" w:eastAsia="Arial" w:hAnsi="Arial" w:cs="Arial"/>
          <w:color w:val="000000"/>
          <w:sz w:val="20"/>
          <w:szCs w:val="20"/>
        </w:rPr>
        <w:sectPr w:rsidR="00FC69C6">
          <w:type w:val="continuous"/>
          <w:pgSz w:w="11910" w:h="16840"/>
          <w:pgMar w:top="1140" w:right="1320" w:bottom="280" w:left="1340" w:header="720" w:footer="720" w:gutter="0"/>
          <w:cols w:space="178"/>
        </w:sectPr>
      </w:pPr>
    </w:p>
    <w:p w14:paraId="0388C28E" w14:textId="77777777" w:rsidR="00FC69C6" w:rsidRDefault="00FC69C6">
      <w:pPr>
        <w:widowControl/>
        <w:jc w:val="both"/>
        <w:rPr>
          <w:rFonts w:ascii="Arial" w:eastAsia="Arial" w:hAnsi="Arial" w:cs="Arial"/>
          <w:color w:val="000000"/>
          <w:sz w:val="20"/>
          <w:szCs w:val="20"/>
        </w:rPr>
      </w:pPr>
    </w:p>
    <w:p w14:paraId="40966995"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FCR is the ratio between the total feed given and the biomass weight gain during the culture period. FCR reflects feed efficiency, where a lower FCR indicates higher efficiency—meaning the feed is more effectively digested and utilized for fish growth—while a higher FCR suggests otherwise.</w:t>
      </w:r>
    </w:p>
    <w:p w14:paraId="7F9A3925" w14:textId="77777777" w:rsidR="00FC69C6" w:rsidRDefault="00FC69C6">
      <w:pPr>
        <w:widowControl/>
        <w:jc w:val="both"/>
        <w:rPr>
          <w:rFonts w:ascii="Arial" w:eastAsia="Arial" w:hAnsi="Arial" w:cs="Arial"/>
          <w:color w:val="000000"/>
          <w:sz w:val="20"/>
          <w:szCs w:val="20"/>
        </w:rPr>
      </w:pPr>
    </w:p>
    <w:p w14:paraId="3987205D"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Treatment B (transgenic catfish with 2% feed dosage) showed the best feed efficiency (FCR 1.14), highest growth (1,515 g), and the fastest daily growth rate (36.07 g/day), supported by a feed protein content of 25.75% and a suitable feed dosage. Treatment C (1.5% feed) was also efficient (FCR 1.27), though its growth was lower and suboptimal due to a lower protein content (23.16%). This is likely influenced by the expression of the growth hormone gene (</w:t>
      </w:r>
      <w:proofErr w:type="spellStart"/>
      <w:r>
        <w:rPr>
          <w:rFonts w:ascii="Arial" w:eastAsia="Arial" w:hAnsi="Arial" w:cs="Arial"/>
          <w:i/>
          <w:iCs/>
          <w:color w:val="000000"/>
          <w:sz w:val="20"/>
          <w:szCs w:val="20"/>
        </w:rPr>
        <w:t>CgGH</w:t>
      </w:r>
      <w:proofErr w:type="spellEnd"/>
      <w:r>
        <w:rPr>
          <w:rFonts w:ascii="Arial" w:eastAsia="Arial" w:hAnsi="Arial" w:cs="Arial"/>
          <w:color w:val="000000"/>
          <w:sz w:val="20"/>
          <w:szCs w:val="20"/>
        </w:rPr>
        <w:t xml:space="preserve">) in transgenic fish. </w:t>
      </w:r>
    </w:p>
    <w:p w14:paraId="5610F9D4" w14:textId="77777777" w:rsidR="00FC69C6" w:rsidRDefault="00FC69C6">
      <w:pPr>
        <w:widowControl/>
        <w:jc w:val="both"/>
        <w:rPr>
          <w:rFonts w:ascii="Arial" w:eastAsia="Arial" w:hAnsi="Arial" w:cs="Arial"/>
          <w:color w:val="000000"/>
          <w:sz w:val="20"/>
          <w:szCs w:val="20"/>
        </w:rPr>
      </w:pPr>
    </w:p>
    <w:p w14:paraId="0057F82F" w14:textId="77777777" w:rsidR="00FC69C6" w:rsidRDefault="00FC69C6">
      <w:pPr>
        <w:widowControl/>
        <w:jc w:val="both"/>
        <w:rPr>
          <w:rFonts w:ascii="Arial" w:eastAsia="Arial" w:hAnsi="Arial" w:cs="Arial"/>
          <w:color w:val="000000"/>
          <w:sz w:val="20"/>
          <w:szCs w:val="20"/>
        </w:rPr>
      </w:pPr>
    </w:p>
    <w:p w14:paraId="655D4554" w14:textId="4ED47F73"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This gene functions in utilizing fat and carbohydrates as energy sources for metabolism, allowing dietary protein to be allocated more efficiently for growth </w:t>
      </w:r>
      <w:r>
        <w:rPr>
          <w:rFonts w:ascii="Arial" w:eastAsia="Arial" w:hAnsi="Arial" w:cs="Arial"/>
          <w:color w:val="000000"/>
          <w:sz w:val="20"/>
          <w:szCs w:val="20"/>
          <w:lang w:val="id-ID"/>
        </w:rPr>
        <w:t>[2</w:t>
      </w:r>
      <w:r w:rsidR="00E140F8">
        <w:rPr>
          <w:rFonts w:ascii="Arial" w:eastAsia="Arial" w:hAnsi="Arial" w:cs="Arial"/>
          <w:color w:val="000000"/>
          <w:sz w:val="20"/>
          <w:szCs w:val="20"/>
          <w:lang w:val="id-ID"/>
        </w:rPr>
        <w:t>3</w:t>
      </w:r>
      <w:r>
        <w:rPr>
          <w:rFonts w:ascii="Arial" w:eastAsia="Arial" w:hAnsi="Arial" w:cs="Arial"/>
          <w:color w:val="000000"/>
          <w:sz w:val="20"/>
          <w:szCs w:val="20"/>
          <w:lang w:val="id-ID"/>
        </w:rPr>
        <w:t>]</w:t>
      </w:r>
      <w:r>
        <w:rPr>
          <w:rFonts w:ascii="Arial" w:eastAsia="Arial" w:hAnsi="Arial" w:cs="Arial"/>
          <w:color w:val="000000"/>
          <w:sz w:val="20"/>
          <w:szCs w:val="20"/>
        </w:rPr>
        <w:t>.</w:t>
      </w:r>
    </w:p>
    <w:p w14:paraId="619C1A82" w14:textId="77777777" w:rsidR="00FC69C6" w:rsidRDefault="00FC69C6">
      <w:pPr>
        <w:widowControl/>
        <w:jc w:val="both"/>
        <w:rPr>
          <w:rFonts w:ascii="Arial" w:eastAsia="Arial" w:hAnsi="Arial" w:cs="Arial"/>
          <w:color w:val="000000"/>
          <w:sz w:val="20"/>
          <w:szCs w:val="20"/>
        </w:rPr>
      </w:pPr>
    </w:p>
    <w:p w14:paraId="5DC8DE88" w14:textId="47149B64" w:rsidR="00FC69C6" w:rsidRDefault="00390DC6" w:rsidP="00066297">
      <w:pPr>
        <w:widowControl/>
        <w:jc w:val="both"/>
        <w:rPr>
          <w:rFonts w:ascii="Arial" w:eastAsia="Arial" w:hAnsi="Arial" w:cs="Arial"/>
          <w:color w:val="000000"/>
          <w:sz w:val="20"/>
          <w:szCs w:val="20"/>
        </w:rPr>
        <w:sectPr w:rsidR="00FC69C6">
          <w:type w:val="continuous"/>
          <w:pgSz w:w="11910" w:h="16840"/>
          <w:pgMar w:top="1140" w:right="1320" w:bottom="280" w:left="1340" w:header="720" w:footer="720" w:gutter="0"/>
          <w:cols w:space="720"/>
        </w:sectPr>
      </w:pPr>
      <w:r>
        <w:rPr>
          <w:rFonts w:ascii="Arial" w:eastAsia="Arial" w:hAnsi="Arial" w:cs="Arial"/>
          <w:color w:val="000000"/>
          <w:sz w:val="20"/>
          <w:szCs w:val="20"/>
        </w:rPr>
        <w:t>In contrast, treatments A (transgenic, 2.5% feed dosage) and D (non-transgenic, 2.5% feed dosage) had the highest FCR values—</w:t>
      </w:r>
      <w:r w:rsidRPr="00AD6309">
        <w:rPr>
          <w:rFonts w:ascii="Arial" w:eastAsia="Arial" w:hAnsi="Arial" w:cs="Arial"/>
          <w:color w:val="000000"/>
          <w:sz w:val="20"/>
          <w:szCs w:val="20"/>
          <w:highlight w:val="yellow"/>
        </w:rPr>
        <w:t>1.</w:t>
      </w:r>
      <w:r w:rsidR="00AD6309" w:rsidRPr="00AD6309">
        <w:rPr>
          <w:rFonts w:ascii="Arial" w:eastAsia="Arial" w:hAnsi="Arial" w:cs="Arial"/>
          <w:color w:val="000000"/>
          <w:sz w:val="20"/>
          <w:szCs w:val="20"/>
          <w:highlight w:val="yellow"/>
        </w:rPr>
        <w:t>76</w:t>
      </w:r>
      <w:r>
        <w:rPr>
          <w:rFonts w:ascii="Arial" w:eastAsia="Arial" w:hAnsi="Arial" w:cs="Arial"/>
          <w:color w:val="000000"/>
          <w:sz w:val="20"/>
          <w:szCs w:val="20"/>
        </w:rPr>
        <w:t xml:space="preserve"> and 2.04, respectively—and did not significantly differ from each other. These high FCR values indicate low feed utilization efficiency, possibly due to overfeeding, unbalanced nutrient composition (particularly protein), and excessive feed being excreted as waste. Although FCR </w:t>
      </w:r>
      <w:r>
        <w:rPr>
          <w:rFonts w:ascii="Arial" w:eastAsia="Arial" w:hAnsi="Arial" w:cs="Arial"/>
          <w:color w:val="000000"/>
          <w:sz w:val="20"/>
          <w:szCs w:val="20"/>
        </w:rPr>
        <w:lastRenderedPageBreak/>
        <w:t>values did not differ significantly between the two, transgenic fish in treatment A achieved 2.79 times greater</w:t>
      </w:r>
      <w:r w:rsidR="00066297">
        <w:rPr>
          <w:rFonts w:ascii="Arial" w:eastAsia="Arial" w:hAnsi="Arial" w:cs="Arial"/>
          <w:color w:val="000000"/>
          <w:sz w:val="20"/>
          <w:szCs w:val="20"/>
        </w:rPr>
        <w:t xml:space="preserve"> </w:t>
      </w:r>
      <w:r>
        <w:rPr>
          <w:rFonts w:ascii="Arial" w:eastAsia="Arial" w:hAnsi="Arial" w:cs="Arial"/>
          <w:color w:val="000000"/>
          <w:sz w:val="20"/>
          <w:szCs w:val="20"/>
        </w:rPr>
        <w:t>weigh</w:t>
      </w:r>
      <w:r w:rsidR="00066297">
        <w:rPr>
          <w:rFonts w:ascii="Arial" w:eastAsia="Arial" w:hAnsi="Arial" w:cs="Arial"/>
          <w:color w:val="000000"/>
          <w:sz w:val="20"/>
          <w:szCs w:val="20"/>
        </w:rPr>
        <w:t>t</w:t>
      </w:r>
    </w:p>
    <w:p w14:paraId="7EA2C8D2" w14:textId="2FE50F12"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gain compared to non-transgenic fish in treatment D.</w:t>
      </w:r>
      <w:r w:rsidR="00E57E71">
        <w:rPr>
          <w:rFonts w:ascii="Arial" w:eastAsia="Arial" w:hAnsi="Arial" w:cs="Arial"/>
          <w:color w:val="000000"/>
          <w:sz w:val="20"/>
          <w:szCs w:val="20"/>
        </w:rPr>
        <w:t xml:space="preserve"> </w:t>
      </w:r>
      <w:r w:rsidR="00E57E71" w:rsidRPr="00E57E71">
        <w:rPr>
          <w:rFonts w:ascii="Arial" w:hAnsi="Arial" w:cs="Arial"/>
          <w:sz w:val="20"/>
          <w:szCs w:val="20"/>
          <w:highlight w:val="yellow"/>
        </w:rPr>
        <w:t>High FCR in Treatment A suggests protein catabolism for energy, reducing growth efficiency [1</w:t>
      </w:r>
      <w:r w:rsidR="00151379">
        <w:rPr>
          <w:rFonts w:ascii="Arial" w:hAnsi="Arial" w:cs="Arial"/>
          <w:sz w:val="20"/>
          <w:szCs w:val="20"/>
          <w:highlight w:val="yellow"/>
        </w:rPr>
        <w:t>4</w:t>
      </w:r>
      <w:r w:rsidR="00E57E71" w:rsidRPr="00E57E71">
        <w:rPr>
          <w:rFonts w:ascii="Arial" w:hAnsi="Arial" w:cs="Arial"/>
          <w:sz w:val="20"/>
          <w:szCs w:val="20"/>
          <w:highlight w:val="yellow"/>
        </w:rPr>
        <w:t>, 1</w:t>
      </w:r>
      <w:r w:rsidR="00151379">
        <w:rPr>
          <w:rFonts w:ascii="Arial" w:hAnsi="Arial" w:cs="Arial"/>
          <w:sz w:val="20"/>
          <w:szCs w:val="20"/>
          <w:highlight w:val="yellow"/>
        </w:rPr>
        <w:t>6</w:t>
      </w:r>
      <w:r w:rsidR="00E57E71" w:rsidRPr="00E57E71">
        <w:rPr>
          <w:rFonts w:ascii="Arial" w:hAnsi="Arial" w:cs="Arial"/>
          <w:sz w:val="20"/>
          <w:szCs w:val="20"/>
          <w:highlight w:val="yellow"/>
        </w:rPr>
        <w:t>]</w:t>
      </w:r>
    </w:p>
    <w:p w14:paraId="1FAC1BCF" w14:textId="77777777" w:rsidR="00FC69C6" w:rsidRDefault="00FC69C6">
      <w:pPr>
        <w:widowControl/>
        <w:jc w:val="both"/>
        <w:rPr>
          <w:rFonts w:ascii="Arial" w:eastAsia="Arial" w:hAnsi="Arial" w:cs="Arial"/>
          <w:color w:val="000000"/>
          <w:sz w:val="20"/>
          <w:szCs w:val="20"/>
        </w:rPr>
      </w:pPr>
    </w:p>
    <w:p w14:paraId="144D7679" w14:textId="5094D868"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Overall, treatment B was the most efficient in converting feed into biomass. This efficiency is supported by GH gene expression, which enhances metabolism, nutrient absorption, and intestinal surface area</w:t>
      </w:r>
      <w:r>
        <w:rPr>
          <w:rFonts w:ascii="Arial" w:eastAsia="Arial" w:hAnsi="Arial" w:cs="Arial"/>
          <w:color w:val="000000"/>
          <w:sz w:val="20"/>
          <w:szCs w:val="20"/>
          <w:lang w:val="id-ID"/>
        </w:rPr>
        <w:t xml:space="preserve"> [2</w:t>
      </w:r>
      <w:r w:rsidR="00E140F8">
        <w:rPr>
          <w:rFonts w:ascii="Arial" w:eastAsia="Arial" w:hAnsi="Arial" w:cs="Arial"/>
          <w:color w:val="000000"/>
          <w:sz w:val="20"/>
          <w:szCs w:val="20"/>
          <w:lang w:val="id-ID"/>
        </w:rPr>
        <w:t>4</w:t>
      </w:r>
      <w:r>
        <w:rPr>
          <w:rFonts w:ascii="Arial" w:eastAsia="Arial" w:hAnsi="Arial" w:cs="Arial"/>
          <w:color w:val="000000"/>
          <w:sz w:val="20"/>
          <w:szCs w:val="20"/>
          <w:lang w:val="id-ID"/>
        </w:rPr>
        <w:t>]</w:t>
      </w:r>
      <w:r>
        <w:rPr>
          <w:rFonts w:ascii="Arial" w:eastAsia="Arial" w:hAnsi="Arial" w:cs="Arial"/>
          <w:color w:val="000000"/>
          <w:sz w:val="20"/>
          <w:szCs w:val="20"/>
        </w:rPr>
        <w:t>. These morphological changes improve the fish's ability to digest and absorb nutrients, allowing for optimal conversion of feed into body biomass</w:t>
      </w:r>
      <w:r>
        <w:rPr>
          <w:rFonts w:ascii="Arial" w:eastAsia="Arial" w:hAnsi="Arial" w:cs="Arial"/>
          <w:color w:val="000000"/>
          <w:sz w:val="20"/>
          <w:szCs w:val="20"/>
          <w:lang w:val="id-ID"/>
        </w:rPr>
        <w:t xml:space="preserve"> [24]</w:t>
      </w:r>
      <w:r>
        <w:rPr>
          <w:rFonts w:ascii="Arial" w:eastAsia="Arial" w:hAnsi="Arial" w:cs="Arial"/>
          <w:color w:val="000000"/>
          <w:sz w:val="20"/>
          <w:szCs w:val="20"/>
        </w:rPr>
        <w:t>. Thus, feeding transgenic fish with 2% HI-PRO-VITE 781 plus boiled tuna flakes not only enhances growth but also reduces costs and shortens the cultivation period.</w:t>
      </w:r>
      <w:r w:rsidR="00B52570">
        <w:rPr>
          <w:rFonts w:ascii="Arial" w:eastAsia="Arial" w:hAnsi="Arial" w:cs="Arial"/>
          <w:color w:val="000000"/>
          <w:sz w:val="20"/>
          <w:szCs w:val="20"/>
        </w:rPr>
        <w:t xml:space="preserve"> </w:t>
      </w:r>
      <w:r w:rsidR="00B52570" w:rsidRPr="00B52570">
        <w:rPr>
          <w:rFonts w:ascii="Arial" w:hAnsi="Arial" w:cs="Arial"/>
          <w:sz w:val="20"/>
          <w:szCs w:val="20"/>
          <w:highlight w:val="yellow"/>
        </w:rPr>
        <w:t>Treatment B significantly outperformed others (p&lt;0.05) in AWG and FCR.</w:t>
      </w:r>
    </w:p>
    <w:p w14:paraId="35FDC28E" w14:textId="77777777" w:rsidR="00FC69C6" w:rsidRDefault="00FC69C6">
      <w:pPr>
        <w:widowControl/>
        <w:jc w:val="both"/>
        <w:rPr>
          <w:rFonts w:ascii="Arial" w:eastAsia="Arial" w:hAnsi="Arial" w:cs="Arial"/>
          <w:color w:val="000000"/>
          <w:sz w:val="20"/>
          <w:szCs w:val="20"/>
        </w:rPr>
      </w:pPr>
    </w:p>
    <w:p w14:paraId="7941354C" w14:textId="77777777" w:rsidR="00FC69C6" w:rsidRDefault="00390DC6">
      <w:pPr>
        <w:widowControl/>
        <w:jc w:val="both"/>
        <w:rPr>
          <w:rFonts w:ascii="Arial" w:eastAsia="Arial" w:hAnsi="Arial" w:cs="Arial"/>
          <w:color w:val="000000"/>
          <w:sz w:val="20"/>
          <w:szCs w:val="20"/>
          <w:lang w:val="id-ID"/>
        </w:rPr>
      </w:pPr>
      <w:r>
        <w:rPr>
          <w:rFonts w:ascii="Arial" w:eastAsia="Arial" w:hAnsi="Arial" w:cs="Arial"/>
          <w:color w:val="000000"/>
          <w:sz w:val="20"/>
          <w:szCs w:val="20"/>
        </w:rPr>
        <w:t>3.3 Feed Cost</w:t>
      </w:r>
    </w:p>
    <w:p w14:paraId="7635A3E9" w14:textId="77777777" w:rsidR="00FC69C6" w:rsidRDefault="00FC69C6">
      <w:pPr>
        <w:widowControl/>
        <w:jc w:val="both"/>
        <w:rPr>
          <w:rFonts w:ascii="Arial" w:eastAsia="Arial" w:hAnsi="Arial" w:cs="Arial"/>
          <w:color w:val="000000"/>
          <w:sz w:val="20"/>
          <w:szCs w:val="20"/>
        </w:rPr>
      </w:pPr>
    </w:p>
    <w:p w14:paraId="65C1F0CE"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Feed cost accounts for the largest share of production expenses in aquaculture and can result in financial losses if not offset by improved productivity or market value. In this study, feed cost was calculated by multiplying the total feed administered by its unit price per kilogram. Revenue was defined as net income from feed, calculated as the difference between the total selling value of harvested fish and feed cost during a 42-day rearing period, excluding other operational costs such as labor, energy, and equipment.</w:t>
      </w:r>
    </w:p>
    <w:p w14:paraId="324B44C7" w14:textId="77777777" w:rsidR="00FC69C6" w:rsidRDefault="00FC69C6">
      <w:pPr>
        <w:widowControl/>
        <w:jc w:val="both"/>
        <w:rPr>
          <w:rFonts w:ascii="Arial" w:eastAsia="Arial" w:hAnsi="Arial" w:cs="Arial"/>
          <w:color w:val="000000"/>
          <w:sz w:val="20"/>
          <w:szCs w:val="20"/>
        </w:rPr>
      </w:pPr>
    </w:p>
    <w:p w14:paraId="5168DCA8" w14:textId="77777777" w:rsidR="00FC69C6" w:rsidRDefault="00390DC6">
      <w:pPr>
        <w:widowControl/>
        <w:jc w:val="both"/>
        <w:rPr>
          <w:rFonts w:ascii="Arial" w:eastAsia="Arial" w:hAnsi="Arial" w:cs="Arial"/>
          <w:color w:val="000000"/>
          <w:sz w:val="20"/>
          <w:szCs w:val="20"/>
          <w:lang w:val="id-ID"/>
        </w:rPr>
      </w:pPr>
      <w:r>
        <w:rPr>
          <w:rFonts w:ascii="Arial" w:eastAsia="Arial" w:hAnsi="Arial" w:cs="Arial"/>
          <w:color w:val="000000"/>
          <w:sz w:val="20"/>
          <w:szCs w:val="20"/>
          <w:lang w:val="id-ID"/>
        </w:rPr>
        <w:t>Table 2. Feed Cost</w:t>
      </w:r>
    </w:p>
    <w:p w14:paraId="6207EA43" w14:textId="77777777" w:rsidR="00FC69C6" w:rsidRDefault="00FC69C6">
      <w:pPr>
        <w:widowControl/>
        <w:jc w:val="both"/>
        <w:rPr>
          <w:rFonts w:ascii="Arial" w:eastAsia="Arial" w:hAnsi="Arial" w:cs="Arial"/>
          <w:color w:val="000000"/>
          <w:sz w:val="20"/>
          <w:szCs w:val="20"/>
        </w:rPr>
      </w:pPr>
    </w:p>
    <w:p w14:paraId="5C4002E6" w14:textId="77777777" w:rsidR="00FC69C6" w:rsidRDefault="00FC69C6">
      <w:pPr>
        <w:widowControl/>
        <w:jc w:val="both"/>
        <w:rPr>
          <w:rFonts w:ascii="Arial" w:eastAsia="Arial" w:hAnsi="Arial" w:cs="Arial"/>
          <w:color w:val="000000"/>
          <w:sz w:val="20"/>
          <w:szCs w:val="20"/>
        </w:rPr>
      </w:pPr>
    </w:p>
    <w:tbl>
      <w:tblPr>
        <w:tblW w:w="7230" w:type="dxa"/>
        <w:jc w:val="center"/>
        <w:tblLook w:val="04A0" w:firstRow="1" w:lastRow="0" w:firstColumn="1" w:lastColumn="0" w:noHBand="0" w:noVBand="1"/>
      </w:tblPr>
      <w:tblGrid>
        <w:gridCol w:w="1183"/>
        <w:gridCol w:w="1106"/>
        <w:gridCol w:w="628"/>
        <w:gridCol w:w="706"/>
        <w:gridCol w:w="1106"/>
        <w:gridCol w:w="1006"/>
        <w:gridCol w:w="1495"/>
      </w:tblGrid>
      <w:tr w:rsidR="00FC69C6" w14:paraId="69669693" w14:textId="77777777">
        <w:trPr>
          <w:trHeight w:val="92"/>
          <w:jc w:val="center"/>
        </w:trPr>
        <w:tc>
          <w:tcPr>
            <w:tcW w:w="1183" w:type="dxa"/>
            <w:tcBorders>
              <w:top w:val="single" w:sz="4" w:space="0" w:color="auto"/>
              <w:left w:val="nil"/>
              <w:bottom w:val="single" w:sz="4" w:space="0" w:color="auto"/>
              <w:right w:val="nil"/>
            </w:tcBorders>
            <w:shd w:val="clear" w:color="auto" w:fill="auto"/>
            <w:noWrap/>
            <w:vAlign w:val="center"/>
          </w:tcPr>
          <w:p w14:paraId="500DED27" w14:textId="77777777" w:rsidR="00FC69C6" w:rsidRDefault="00390DC6">
            <w:pPr>
              <w:jc w:val="center"/>
              <w:rPr>
                <w:rFonts w:ascii="Arial" w:eastAsia="Times New Roman" w:hAnsi="Arial" w:cs="Arial"/>
                <w:b/>
                <w:bCs/>
                <w:color w:val="000000"/>
                <w:sz w:val="20"/>
                <w:szCs w:val="20"/>
                <w:lang w:val="en-US"/>
              </w:rPr>
            </w:pPr>
            <w:bookmarkStart w:id="2" w:name="_Hlk199868401"/>
            <w:r>
              <w:rPr>
                <w:rFonts w:ascii="Arial" w:eastAsia="Times New Roman" w:hAnsi="Arial" w:cs="Arial"/>
                <w:b/>
                <w:bCs/>
                <w:color w:val="000000"/>
                <w:sz w:val="20"/>
                <w:szCs w:val="20"/>
                <w:lang w:val="en-US"/>
              </w:rPr>
              <w:t>Treatment</w:t>
            </w:r>
          </w:p>
        </w:tc>
        <w:tc>
          <w:tcPr>
            <w:tcW w:w="1106" w:type="dxa"/>
            <w:tcBorders>
              <w:top w:val="single" w:sz="4" w:space="0" w:color="auto"/>
              <w:left w:val="nil"/>
              <w:bottom w:val="single" w:sz="4" w:space="0" w:color="auto"/>
              <w:right w:val="nil"/>
            </w:tcBorders>
            <w:shd w:val="clear" w:color="auto" w:fill="auto"/>
            <w:noWrap/>
            <w:vAlign w:val="center"/>
          </w:tcPr>
          <w:p w14:paraId="414FCADB"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Feed Cost per Kg (IDR)</w:t>
            </w:r>
          </w:p>
        </w:tc>
        <w:tc>
          <w:tcPr>
            <w:tcW w:w="628" w:type="dxa"/>
            <w:tcBorders>
              <w:top w:val="single" w:sz="4" w:space="0" w:color="auto"/>
              <w:left w:val="nil"/>
              <w:bottom w:val="single" w:sz="4" w:space="0" w:color="auto"/>
              <w:right w:val="nil"/>
            </w:tcBorders>
            <w:shd w:val="clear" w:color="auto" w:fill="auto"/>
            <w:noWrap/>
            <w:vAlign w:val="center"/>
          </w:tcPr>
          <w:p w14:paraId="2D261DA9"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FCR</w:t>
            </w:r>
          </w:p>
        </w:tc>
        <w:tc>
          <w:tcPr>
            <w:tcW w:w="706" w:type="dxa"/>
            <w:tcBorders>
              <w:top w:val="single" w:sz="4" w:space="0" w:color="auto"/>
              <w:left w:val="nil"/>
              <w:bottom w:val="single" w:sz="4" w:space="0" w:color="auto"/>
              <w:right w:val="nil"/>
            </w:tcBorders>
            <w:shd w:val="clear" w:color="auto" w:fill="auto"/>
            <w:noWrap/>
            <w:vAlign w:val="center"/>
          </w:tcPr>
          <w:p w14:paraId="2A4C97AA"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Total Feed Used</w:t>
            </w:r>
          </w:p>
          <w:p w14:paraId="5763223C"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(Kg)</w:t>
            </w:r>
          </w:p>
        </w:tc>
        <w:tc>
          <w:tcPr>
            <w:tcW w:w="1106" w:type="dxa"/>
            <w:tcBorders>
              <w:top w:val="single" w:sz="4" w:space="0" w:color="auto"/>
              <w:left w:val="nil"/>
              <w:bottom w:val="single" w:sz="4" w:space="0" w:color="auto"/>
              <w:right w:val="nil"/>
            </w:tcBorders>
            <w:shd w:val="clear" w:color="auto" w:fill="auto"/>
            <w:noWrap/>
            <w:vAlign w:val="center"/>
          </w:tcPr>
          <w:p w14:paraId="11252A99"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Feed Cost</w:t>
            </w:r>
          </w:p>
          <w:p w14:paraId="59DFD80B"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(IDR)</w:t>
            </w:r>
          </w:p>
        </w:tc>
        <w:tc>
          <w:tcPr>
            <w:tcW w:w="1006" w:type="dxa"/>
            <w:tcBorders>
              <w:top w:val="single" w:sz="4" w:space="0" w:color="auto"/>
              <w:left w:val="nil"/>
              <w:bottom w:val="single" w:sz="4" w:space="0" w:color="auto"/>
              <w:right w:val="nil"/>
            </w:tcBorders>
            <w:vAlign w:val="center"/>
          </w:tcPr>
          <w:p w14:paraId="7B6FFB21"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Average Final Weight of Fish</w:t>
            </w:r>
          </w:p>
          <w:p w14:paraId="120218BA"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(Kg)</w:t>
            </w:r>
          </w:p>
        </w:tc>
        <w:tc>
          <w:tcPr>
            <w:tcW w:w="1495" w:type="dxa"/>
            <w:tcBorders>
              <w:top w:val="single" w:sz="4" w:space="0" w:color="auto"/>
              <w:left w:val="nil"/>
              <w:bottom w:val="single" w:sz="4" w:space="0" w:color="auto"/>
              <w:right w:val="nil"/>
            </w:tcBorders>
            <w:shd w:val="clear" w:color="auto" w:fill="auto"/>
            <w:noWrap/>
            <w:vAlign w:val="center"/>
          </w:tcPr>
          <w:p w14:paraId="757B553C" w14:textId="77777777" w:rsidR="00FC69C6" w:rsidRDefault="00390DC6">
            <w:pPr>
              <w:jc w:val="center"/>
              <w:rPr>
                <w:rFonts w:ascii="Arial" w:hAnsi="Arial" w:cs="Arial"/>
                <w:b/>
                <w:bCs/>
                <w:color w:val="000000"/>
                <w:sz w:val="20"/>
                <w:szCs w:val="20"/>
              </w:rPr>
            </w:pPr>
            <w:r>
              <w:rPr>
                <w:rFonts w:ascii="Arial" w:hAnsi="Arial" w:cs="Arial"/>
                <w:b/>
                <w:bCs/>
                <w:color w:val="000000"/>
                <w:sz w:val="20"/>
                <w:szCs w:val="20"/>
              </w:rPr>
              <w:t>Selling Price per kg</w:t>
            </w:r>
          </w:p>
          <w:p w14:paraId="1781CB72" w14:textId="77777777" w:rsidR="00FC69C6" w:rsidRDefault="00390DC6">
            <w:pPr>
              <w:jc w:val="center"/>
              <w:rPr>
                <w:rFonts w:ascii="Arial" w:eastAsia="Times New Roman" w:hAnsi="Arial" w:cs="Arial"/>
                <w:b/>
                <w:bCs/>
                <w:color w:val="000000"/>
                <w:sz w:val="20"/>
                <w:szCs w:val="20"/>
                <w:lang w:val="en-US"/>
              </w:rPr>
            </w:pPr>
            <w:r>
              <w:rPr>
                <w:rFonts w:ascii="Arial" w:hAnsi="Arial" w:cs="Arial"/>
                <w:b/>
                <w:bCs/>
                <w:color w:val="000000"/>
                <w:sz w:val="20"/>
                <w:szCs w:val="20"/>
              </w:rPr>
              <w:t xml:space="preserve">(IDR </w:t>
            </w:r>
            <w:r>
              <w:rPr>
                <w:rFonts w:ascii="Arial" w:hAnsi="Arial" w:cs="Arial"/>
                <w:b/>
                <w:bCs/>
                <w:color w:val="000000"/>
                <w:sz w:val="20"/>
                <w:szCs w:val="20"/>
                <w:lang w:val="en-US"/>
              </w:rPr>
              <w:t>35,</w:t>
            </w:r>
            <w:r>
              <w:rPr>
                <w:rFonts w:ascii="Arial" w:hAnsi="Arial" w:cs="Arial"/>
                <w:b/>
                <w:bCs/>
                <w:color w:val="000000"/>
                <w:sz w:val="20"/>
                <w:szCs w:val="20"/>
              </w:rPr>
              <w:t>000.00/Kg)</w:t>
            </w:r>
          </w:p>
        </w:tc>
      </w:tr>
      <w:tr w:rsidR="00FC69C6" w14:paraId="3B956B10" w14:textId="77777777">
        <w:trPr>
          <w:trHeight w:val="92"/>
          <w:jc w:val="center"/>
        </w:trPr>
        <w:tc>
          <w:tcPr>
            <w:tcW w:w="1183" w:type="dxa"/>
            <w:tcBorders>
              <w:top w:val="nil"/>
              <w:left w:val="nil"/>
              <w:bottom w:val="nil"/>
              <w:right w:val="nil"/>
            </w:tcBorders>
            <w:shd w:val="clear" w:color="auto" w:fill="auto"/>
            <w:noWrap/>
          </w:tcPr>
          <w:p w14:paraId="1FAB6E28" w14:textId="77777777" w:rsidR="00FC69C6" w:rsidRDefault="00390DC6">
            <w:pPr>
              <w:rPr>
                <w:rFonts w:ascii="Arial" w:eastAsia="Times New Roman" w:hAnsi="Arial" w:cs="Arial"/>
                <w:color w:val="000000"/>
                <w:sz w:val="20"/>
                <w:szCs w:val="20"/>
                <w:lang w:val="en-US"/>
              </w:rPr>
            </w:pPr>
            <w:r>
              <w:rPr>
                <w:rFonts w:ascii="Arial" w:eastAsia="Times New Roman" w:hAnsi="Arial" w:cs="Arial"/>
                <w:b/>
                <w:color w:val="000000"/>
                <w:sz w:val="20"/>
                <w:szCs w:val="20"/>
                <w:lang w:val="en-US"/>
              </w:rPr>
              <w:t>A.</w:t>
            </w:r>
            <w:r>
              <w:rPr>
                <w:rFonts w:ascii="Arial" w:eastAsia="Times New Roman" w:hAnsi="Arial" w:cs="Arial"/>
                <w:color w:val="000000"/>
                <w:sz w:val="20"/>
                <w:szCs w:val="20"/>
                <w:lang w:val="en-US"/>
              </w:rPr>
              <w:t xml:space="preserve"> 2.5% HPV 781</w:t>
            </w:r>
          </w:p>
        </w:tc>
        <w:tc>
          <w:tcPr>
            <w:tcW w:w="1106" w:type="dxa"/>
            <w:tcBorders>
              <w:top w:val="nil"/>
              <w:left w:val="nil"/>
              <w:bottom w:val="nil"/>
              <w:right w:val="nil"/>
            </w:tcBorders>
            <w:shd w:val="clear" w:color="auto" w:fill="auto"/>
            <w:noWrap/>
            <w:vAlign w:val="center"/>
          </w:tcPr>
          <w:p w14:paraId="0EADA576"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tcPr>
          <w:p w14:paraId="36B16ACC"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1.76</w:t>
            </w:r>
          </w:p>
        </w:tc>
        <w:tc>
          <w:tcPr>
            <w:tcW w:w="706" w:type="dxa"/>
            <w:tcBorders>
              <w:top w:val="nil"/>
              <w:left w:val="nil"/>
              <w:bottom w:val="nil"/>
              <w:right w:val="nil"/>
            </w:tcBorders>
            <w:shd w:val="clear" w:color="auto" w:fill="auto"/>
            <w:noWrap/>
            <w:vAlign w:val="center"/>
          </w:tcPr>
          <w:p w14:paraId="4F5AE029"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1.64</w:t>
            </w:r>
          </w:p>
        </w:tc>
        <w:tc>
          <w:tcPr>
            <w:tcW w:w="1106" w:type="dxa"/>
            <w:tcBorders>
              <w:top w:val="nil"/>
              <w:left w:val="nil"/>
              <w:bottom w:val="nil"/>
              <w:right w:val="nil"/>
            </w:tcBorders>
            <w:shd w:val="clear" w:color="auto" w:fill="auto"/>
            <w:noWrap/>
            <w:vAlign w:val="center"/>
          </w:tcPr>
          <w:p w14:paraId="6C566CBE"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18,914.12</w:t>
            </w:r>
          </w:p>
        </w:tc>
        <w:tc>
          <w:tcPr>
            <w:tcW w:w="1006" w:type="dxa"/>
            <w:vMerge w:val="restart"/>
            <w:tcBorders>
              <w:top w:val="single" w:sz="4" w:space="0" w:color="auto"/>
              <w:left w:val="nil"/>
              <w:right w:val="nil"/>
            </w:tcBorders>
            <w:vAlign w:val="center"/>
          </w:tcPr>
          <w:p w14:paraId="4A96ABC9"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2.74</w:t>
            </w:r>
          </w:p>
        </w:tc>
        <w:tc>
          <w:tcPr>
            <w:tcW w:w="1495" w:type="dxa"/>
            <w:vMerge w:val="restart"/>
            <w:tcBorders>
              <w:top w:val="nil"/>
              <w:left w:val="nil"/>
              <w:bottom w:val="single" w:sz="4" w:space="0" w:color="000000"/>
              <w:right w:val="nil"/>
            </w:tcBorders>
            <w:shd w:val="clear" w:color="auto" w:fill="auto"/>
            <w:noWrap/>
            <w:vAlign w:val="center"/>
          </w:tcPr>
          <w:p w14:paraId="1149141E"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70,385.88</w:t>
            </w:r>
          </w:p>
        </w:tc>
      </w:tr>
      <w:tr w:rsidR="00FC69C6" w14:paraId="6A929B07" w14:textId="77777777">
        <w:trPr>
          <w:trHeight w:val="92"/>
          <w:jc w:val="center"/>
        </w:trPr>
        <w:tc>
          <w:tcPr>
            <w:tcW w:w="1183" w:type="dxa"/>
            <w:tcBorders>
              <w:top w:val="nil"/>
              <w:left w:val="nil"/>
              <w:bottom w:val="nil"/>
              <w:right w:val="nil"/>
            </w:tcBorders>
            <w:shd w:val="clear" w:color="auto" w:fill="auto"/>
            <w:noWrap/>
          </w:tcPr>
          <w:p w14:paraId="6E390613" w14:textId="77777777" w:rsidR="00FC69C6" w:rsidRDefault="00390DC6">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PT 10 g </w:t>
            </w:r>
          </w:p>
        </w:tc>
        <w:tc>
          <w:tcPr>
            <w:tcW w:w="1106" w:type="dxa"/>
            <w:tcBorders>
              <w:top w:val="nil"/>
              <w:left w:val="nil"/>
              <w:bottom w:val="nil"/>
              <w:right w:val="nil"/>
            </w:tcBorders>
            <w:shd w:val="clear" w:color="auto" w:fill="auto"/>
            <w:noWrap/>
            <w:vAlign w:val="center"/>
          </w:tcPr>
          <w:p w14:paraId="1CAAE8C3"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tcPr>
          <w:p w14:paraId="63B03D01" w14:textId="77777777" w:rsidR="00FC69C6" w:rsidRDefault="00FC69C6">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tcPr>
          <w:p w14:paraId="7B214A18"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0.11</w:t>
            </w:r>
          </w:p>
        </w:tc>
        <w:tc>
          <w:tcPr>
            <w:tcW w:w="1106" w:type="dxa"/>
            <w:tcBorders>
              <w:top w:val="nil"/>
              <w:left w:val="nil"/>
              <w:bottom w:val="nil"/>
              <w:right w:val="nil"/>
            </w:tcBorders>
            <w:shd w:val="clear" w:color="auto" w:fill="auto"/>
            <w:noWrap/>
            <w:vAlign w:val="center"/>
          </w:tcPr>
          <w:p w14:paraId="472468CA"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6,600.00</w:t>
            </w:r>
          </w:p>
        </w:tc>
        <w:tc>
          <w:tcPr>
            <w:tcW w:w="1006" w:type="dxa"/>
            <w:vMerge/>
            <w:tcBorders>
              <w:left w:val="nil"/>
              <w:bottom w:val="single" w:sz="4" w:space="0" w:color="000000"/>
              <w:right w:val="nil"/>
            </w:tcBorders>
            <w:vAlign w:val="center"/>
          </w:tcPr>
          <w:p w14:paraId="5AD4E0C7" w14:textId="77777777" w:rsidR="00FC69C6" w:rsidRDefault="00FC69C6">
            <w:pPr>
              <w:rPr>
                <w:rFonts w:ascii="Arial" w:eastAsia="Times New Roman" w:hAnsi="Arial" w:cs="Arial"/>
                <w:color w:val="000000"/>
                <w:sz w:val="20"/>
                <w:szCs w:val="20"/>
                <w:lang w:val="en-US"/>
              </w:rPr>
            </w:pPr>
          </w:p>
        </w:tc>
        <w:tc>
          <w:tcPr>
            <w:tcW w:w="1495" w:type="dxa"/>
            <w:vMerge/>
            <w:tcBorders>
              <w:top w:val="nil"/>
              <w:left w:val="nil"/>
              <w:bottom w:val="single" w:sz="4" w:space="0" w:color="000000"/>
              <w:right w:val="nil"/>
            </w:tcBorders>
            <w:vAlign w:val="center"/>
          </w:tcPr>
          <w:p w14:paraId="33C01281" w14:textId="77777777" w:rsidR="00FC69C6" w:rsidRDefault="00FC69C6">
            <w:pPr>
              <w:rPr>
                <w:rFonts w:ascii="Arial" w:eastAsia="Times New Roman" w:hAnsi="Arial" w:cs="Arial"/>
                <w:color w:val="000000"/>
                <w:sz w:val="20"/>
                <w:szCs w:val="20"/>
                <w:lang w:val="en-US"/>
              </w:rPr>
            </w:pPr>
          </w:p>
        </w:tc>
      </w:tr>
      <w:tr w:rsidR="00FC69C6" w14:paraId="130955B1" w14:textId="77777777">
        <w:trPr>
          <w:trHeight w:val="92"/>
          <w:jc w:val="center"/>
        </w:trPr>
        <w:tc>
          <w:tcPr>
            <w:tcW w:w="1183" w:type="dxa"/>
            <w:tcBorders>
              <w:top w:val="single" w:sz="4" w:space="0" w:color="auto"/>
              <w:left w:val="nil"/>
              <w:bottom w:val="single" w:sz="4" w:space="0" w:color="auto"/>
              <w:right w:val="nil"/>
            </w:tcBorders>
            <w:shd w:val="clear" w:color="auto" w:fill="auto"/>
            <w:noWrap/>
            <w:vAlign w:val="center"/>
          </w:tcPr>
          <w:p w14:paraId="15525647"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tcPr>
          <w:p w14:paraId="12C4A981"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tcPr>
          <w:p w14:paraId="1DA766D3"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tcPr>
          <w:p w14:paraId="3A205F88" w14:textId="77777777" w:rsidR="00FC69C6" w:rsidRDefault="00FC69C6">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06FDA4B3"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color w:val="000000"/>
                <w:sz w:val="20"/>
                <w:szCs w:val="20"/>
                <w:lang w:val="en-US"/>
              </w:rPr>
              <w:t>25,514.12</w:t>
            </w:r>
          </w:p>
        </w:tc>
        <w:tc>
          <w:tcPr>
            <w:tcW w:w="1006" w:type="dxa"/>
            <w:tcBorders>
              <w:top w:val="nil"/>
              <w:left w:val="nil"/>
              <w:bottom w:val="nil"/>
              <w:right w:val="nil"/>
            </w:tcBorders>
            <w:vAlign w:val="center"/>
          </w:tcPr>
          <w:p w14:paraId="4BA414A9" w14:textId="77777777" w:rsidR="00FC69C6" w:rsidRDefault="00FC69C6">
            <w:pPr>
              <w:jc w:val="center"/>
              <w:rPr>
                <w:rFonts w:ascii="Arial" w:eastAsia="Times New Roman" w:hAnsi="Arial" w:cs="Arial"/>
                <w:color w:val="000000"/>
                <w:sz w:val="20"/>
                <w:szCs w:val="20"/>
                <w:lang w:val="en-US"/>
              </w:rPr>
            </w:pPr>
          </w:p>
        </w:tc>
        <w:tc>
          <w:tcPr>
            <w:tcW w:w="1495" w:type="dxa"/>
            <w:tcBorders>
              <w:top w:val="nil"/>
              <w:left w:val="nil"/>
              <w:bottom w:val="nil"/>
              <w:right w:val="nil"/>
            </w:tcBorders>
            <w:shd w:val="clear" w:color="auto" w:fill="auto"/>
            <w:noWrap/>
            <w:vAlign w:val="center"/>
          </w:tcPr>
          <w:p w14:paraId="70B9629F" w14:textId="77777777" w:rsidR="00FC69C6" w:rsidRDefault="00390DC6">
            <w:pPr>
              <w:jc w:val="center"/>
              <w:rPr>
                <w:rFonts w:ascii="Arial" w:eastAsia="Times New Roman" w:hAnsi="Arial" w:cs="Arial"/>
                <w:color w:val="000000"/>
                <w:sz w:val="20"/>
                <w:szCs w:val="20"/>
                <w:lang w:val="en-US"/>
              </w:rPr>
            </w:pPr>
            <w:r>
              <w:rPr>
                <w:rFonts w:ascii="Arial" w:hAnsi="Arial" w:cs="Arial"/>
                <w:color w:val="000000"/>
                <w:sz w:val="20"/>
                <w:szCs w:val="20"/>
              </w:rPr>
              <w:t> </w:t>
            </w:r>
          </w:p>
        </w:tc>
      </w:tr>
      <w:tr w:rsidR="00FC69C6" w14:paraId="63639514" w14:textId="77777777">
        <w:trPr>
          <w:trHeight w:val="92"/>
          <w:jc w:val="center"/>
        </w:trPr>
        <w:tc>
          <w:tcPr>
            <w:tcW w:w="1183" w:type="dxa"/>
            <w:tcBorders>
              <w:top w:val="nil"/>
              <w:left w:val="nil"/>
              <w:bottom w:val="nil"/>
              <w:right w:val="nil"/>
            </w:tcBorders>
            <w:shd w:val="clear" w:color="auto" w:fill="auto"/>
            <w:noWrap/>
          </w:tcPr>
          <w:p w14:paraId="68291860" w14:textId="77777777" w:rsidR="00FC69C6" w:rsidRDefault="00390DC6">
            <w:pPr>
              <w:rPr>
                <w:rFonts w:ascii="Arial" w:eastAsia="Times New Roman" w:hAnsi="Arial" w:cs="Arial"/>
                <w:color w:val="000000"/>
                <w:sz w:val="20"/>
                <w:szCs w:val="20"/>
                <w:lang w:val="en-US"/>
              </w:rPr>
            </w:pPr>
            <w:r>
              <w:rPr>
                <w:rFonts w:ascii="Arial" w:eastAsia="Times New Roman" w:hAnsi="Arial" w:cs="Arial"/>
                <w:b/>
                <w:color w:val="000000"/>
                <w:sz w:val="20"/>
                <w:szCs w:val="20"/>
                <w:lang w:val="en-US"/>
              </w:rPr>
              <w:t>B.</w:t>
            </w:r>
            <w:r>
              <w:rPr>
                <w:rFonts w:ascii="Arial" w:eastAsia="Times New Roman" w:hAnsi="Arial" w:cs="Arial"/>
                <w:color w:val="000000"/>
                <w:sz w:val="20"/>
                <w:szCs w:val="20"/>
                <w:lang w:val="en-US"/>
              </w:rPr>
              <w:t xml:space="preserve"> 2% HPV 781</w:t>
            </w:r>
          </w:p>
        </w:tc>
        <w:tc>
          <w:tcPr>
            <w:tcW w:w="1106" w:type="dxa"/>
            <w:tcBorders>
              <w:top w:val="nil"/>
              <w:left w:val="nil"/>
              <w:bottom w:val="nil"/>
              <w:right w:val="nil"/>
            </w:tcBorders>
            <w:shd w:val="clear" w:color="auto" w:fill="auto"/>
            <w:noWrap/>
            <w:vAlign w:val="center"/>
          </w:tcPr>
          <w:p w14:paraId="0B991A1B"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tcPr>
          <w:p w14:paraId="0B8B419F"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1.14</w:t>
            </w:r>
          </w:p>
        </w:tc>
        <w:tc>
          <w:tcPr>
            <w:tcW w:w="706" w:type="dxa"/>
            <w:tcBorders>
              <w:top w:val="nil"/>
              <w:left w:val="nil"/>
              <w:bottom w:val="nil"/>
              <w:right w:val="nil"/>
            </w:tcBorders>
            <w:shd w:val="clear" w:color="auto" w:fill="auto"/>
            <w:noWrap/>
            <w:vAlign w:val="center"/>
          </w:tcPr>
          <w:p w14:paraId="786132FF"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1.04</w:t>
            </w:r>
          </w:p>
        </w:tc>
        <w:tc>
          <w:tcPr>
            <w:tcW w:w="1106" w:type="dxa"/>
            <w:tcBorders>
              <w:top w:val="nil"/>
              <w:left w:val="nil"/>
              <w:bottom w:val="nil"/>
              <w:right w:val="nil"/>
            </w:tcBorders>
            <w:shd w:val="clear" w:color="auto" w:fill="auto"/>
            <w:noWrap/>
            <w:vAlign w:val="center"/>
          </w:tcPr>
          <w:p w14:paraId="43EE505B"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11,944.32</w:t>
            </w:r>
          </w:p>
        </w:tc>
        <w:tc>
          <w:tcPr>
            <w:tcW w:w="1006" w:type="dxa"/>
            <w:vMerge w:val="restart"/>
            <w:tcBorders>
              <w:top w:val="single" w:sz="4" w:space="0" w:color="auto"/>
              <w:left w:val="nil"/>
              <w:right w:val="nil"/>
            </w:tcBorders>
            <w:vAlign w:val="center"/>
          </w:tcPr>
          <w:p w14:paraId="288D864E"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2.71</w:t>
            </w:r>
          </w:p>
        </w:tc>
        <w:tc>
          <w:tcPr>
            <w:tcW w:w="1495" w:type="dxa"/>
            <w:vMerge w:val="restart"/>
            <w:tcBorders>
              <w:top w:val="single" w:sz="4" w:space="0" w:color="auto"/>
              <w:left w:val="nil"/>
              <w:bottom w:val="single" w:sz="4" w:space="0" w:color="000000"/>
              <w:right w:val="nil"/>
            </w:tcBorders>
            <w:shd w:val="clear" w:color="auto" w:fill="auto"/>
            <w:noWrap/>
            <w:vAlign w:val="center"/>
          </w:tcPr>
          <w:p w14:paraId="5866309B"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76,905.68</w:t>
            </w:r>
          </w:p>
        </w:tc>
      </w:tr>
      <w:tr w:rsidR="00FC69C6" w14:paraId="3CC0118A" w14:textId="77777777">
        <w:trPr>
          <w:trHeight w:val="92"/>
          <w:jc w:val="center"/>
        </w:trPr>
        <w:tc>
          <w:tcPr>
            <w:tcW w:w="1183" w:type="dxa"/>
            <w:tcBorders>
              <w:top w:val="nil"/>
              <w:left w:val="nil"/>
              <w:bottom w:val="nil"/>
              <w:right w:val="nil"/>
            </w:tcBorders>
            <w:shd w:val="clear" w:color="auto" w:fill="auto"/>
            <w:noWrap/>
          </w:tcPr>
          <w:p w14:paraId="7E5B1A3F" w14:textId="77777777" w:rsidR="00FC69C6" w:rsidRDefault="00390DC6">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PT 10 g</w:t>
            </w:r>
          </w:p>
        </w:tc>
        <w:tc>
          <w:tcPr>
            <w:tcW w:w="1106" w:type="dxa"/>
            <w:tcBorders>
              <w:top w:val="nil"/>
              <w:left w:val="nil"/>
              <w:bottom w:val="nil"/>
              <w:right w:val="nil"/>
            </w:tcBorders>
            <w:shd w:val="clear" w:color="auto" w:fill="auto"/>
            <w:noWrap/>
            <w:vAlign w:val="center"/>
          </w:tcPr>
          <w:p w14:paraId="080AD801"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tcPr>
          <w:p w14:paraId="230D4E3F" w14:textId="77777777" w:rsidR="00FC69C6" w:rsidRDefault="00FC69C6">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tcPr>
          <w:p w14:paraId="507F7CFC"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0 10</w:t>
            </w:r>
          </w:p>
        </w:tc>
        <w:tc>
          <w:tcPr>
            <w:tcW w:w="1106" w:type="dxa"/>
            <w:tcBorders>
              <w:top w:val="nil"/>
              <w:left w:val="nil"/>
              <w:bottom w:val="nil"/>
              <w:right w:val="nil"/>
            </w:tcBorders>
            <w:shd w:val="clear" w:color="auto" w:fill="auto"/>
            <w:noWrap/>
            <w:vAlign w:val="center"/>
          </w:tcPr>
          <w:p w14:paraId="45EAAEEE"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6,000.00</w:t>
            </w:r>
          </w:p>
        </w:tc>
        <w:tc>
          <w:tcPr>
            <w:tcW w:w="1006" w:type="dxa"/>
            <w:vMerge/>
            <w:tcBorders>
              <w:left w:val="nil"/>
              <w:bottom w:val="single" w:sz="4" w:space="0" w:color="000000"/>
              <w:right w:val="nil"/>
            </w:tcBorders>
            <w:vAlign w:val="center"/>
          </w:tcPr>
          <w:p w14:paraId="5745C311" w14:textId="77777777" w:rsidR="00FC69C6" w:rsidRDefault="00FC69C6">
            <w:pPr>
              <w:rPr>
                <w:rFonts w:ascii="Arial" w:eastAsia="Times New Roman" w:hAnsi="Arial" w:cs="Arial"/>
                <w:color w:val="000000"/>
                <w:sz w:val="20"/>
                <w:szCs w:val="20"/>
                <w:lang w:val="en-US"/>
              </w:rPr>
            </w:pPr>
          </w:p>
        </w:tc>
        <w:tc>
          <w:tcPr>
            <w:tcW w:w="1495" w:type="dxa"/>
            <w:vMerge/>
            <w:tcBorders>
              <w:top w:val="single" w:sz="4" w:space="0" w:color="auto"/>
              <w:left w:val="nil"/>
              <w:bottom w:val="single" w:sz="4" w:space="0" w:color="000000"/>
              <w:right w:val="nil"/>
            </w:tcBorders>
            <w:vAlign w:val="center"/>
          </w:tcPr>
          <w:p w14:paraId="2A593E84" w14:textId="77777777" w:rsidR="00FC69C6" w:rsidRDefault="00FC69C6">
            <w:pPr>
              <w:rPr>
                <w:rFonts w:ascii="Arial" w:eastAsia="Times New Roman" w:hAnsi="Arial" w:cs="Arial"/>
                <w:color w:val="000000"/>
                <w:sz w:val="20"/>
                <w:szCs w:val="20"/>
                <w:lang w:val="en-US"/>
              </w:rPr>
            </w:pPr>
          </w:p>
        </w:tc>
      </w:tr>
      <w:tr w:rsidR="00FC69C6" w14:paraId="6B437923" w14:textId="77777777">
        <w:trPr>
          <w:trHeight w:val="92"/>
          <w:jc w:val="center"/>
        </w:trPr>
        <w:tc>
          <w:tcPr>
            <w:tcW w:w="1183" w:type="dxa"/>
            <w:tcBorders>
              <w:top w:val="single" w:sz="4" w:space="0" w:color="auto"/>
              <w:left w:val="nil"/>
              <w:bottom w:val="single" w:sz="4" w:space="0" w:color="auto"/>
              <w:right w:val="nil"/>
            </w:tcBorders>
            <w:shd w:val="clear" w:color="auto" w:fill="auto"/>
            <w:noWrap/>
            <w:vAlign w:val="center"/>
          </w:tcPr>
          <w:p w14:paraId="2F6DAED4"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tcPr>
          <w:p w14:paraId="1DD8D0BC"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tcPr>
          <w:p w14:paraId="21CC8E58"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tcPr>
          <w:p w14:paraId="3F7D9BD6" w14:textId="77777777" w:rsidR="00FC69C6" w:rsidRDefault="00FC69C6">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50D040BA"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color w:val="000000"/>
                <w:sz w:val="20"/>
                <w:szCs w:val="20"/>
                <w:lang w:val="en-US"/>
              </w:rPr>
              <w:t>17,944.32</w:t>
            </w:r>
          </w:p>
        </w:tc>
        <w:tc>
          <w:tcPr>
            <w:tcW w:w="1006" w:type="dxa"/>
            <w:tcBorders>
              <w:top w:val="nil"/>
              <w:left w:val="nil"/>
              <w:bottom w:val="single" w:sz="4" w:space="0" w:color="auto"/>
              <w:right w:val="nil"/>
            </w:tcBorders>
            <w:vAlign w:val="center"/>
          </w:tcPr>
          <w:p w14:paraId="604FED32"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1495" w:type="dxa"/>
            <w:tcBorders>
              <w:top w:val="nil"/>
              <w:left w:val="nil"/>
              <w:bottom w:val="single" w:sz="4" w:space="0" w:color="auto"/>
              <w:right w:val="nil"/>
            </w:tcBorders>
            <w:shd w:val="clear" w:color="auto" w:fill="auto"/>
            <w:noWrap/>
            <w:vAlign w:val="center"/>
          </w:tcPr>
          <w:p w14:paraId="754B77E5" w14:textId="77777777" w:rsidR="00FC69C6" w:rsidRDefault="00390DC6">
            <w:pPr>
              <w:jc w:val="center"/>
              <w:rPr>
                <w:rFonts w:ascii="Arial" w:eastAsia="Times New Roman" w:hAnsi="Arial" w:cs="Arial"/>
                <w:color w:val="000000"/>
                <w:sz w:val="20"/>
                <w:szCs w:val="20"/>
                <w:lang w:val="en-US"/>
              </w:rPr>
            </w:pPr>
            <w:r>
              <w:rPr>
                <w:rFonts w:ascii="Arial" w:hAnsi="Arial" w:cs="Arial"/>
                <w:color w:val="000000"/>
                <w:sz w:val="20"/>
                <w:szCs w:val="20"/>
              </w:rPr>
              <w:t> </w:t>
            </w:r>
          </w:p>
        </w:tc>
      </w:tr>
      <w:tr w:rsidR="00FC69C6" w14:paraId="154B5EA5" w14:textId="77777777">
        <w:trPr>
          <w:trHeight w:val="92"/>
          <w:jc w:val="center"/>
        </w:trPr>
        <w:tc>
          <w:tcPr>
            <w:tcW w:w="1183" w:type="dxa"/>
            <w:tcBorders>
              <w:top w:val="nil"/>
              <w:left w:val="nil"/>
              <w:bottom w:val="nil"/>
              <w:right w:val="nil"/>
            </w:tcBorders>
            <w:shd w:val="clear" w:color="auto" w:fill="auto"/>
            <w:noWrap/>
          </w:tcPr>
          <w:p w14:paraId="168B11C1" w14:textId="77777777" w:rsidR="00FC69C6" w:rsidRDefault="00390DC6">
            <w:pPr>
              <w:rPr>
                <w:rFonts w:ascii="Arial" w:eastAsia="Times New Roman" w:hAnsi="Arial" w:cs="Arial"/>
                <w:color w:val="000000"/>
                <w:sz w:val="20"/>
                <w:szCs w:val="20"/>
                <w:lang w:val="en-US"/>
              </w:rPr>
            </w:pPr>
            <w:r>
              <w:rPr>
                <w:rFonts w:ascii="Arial" w:eastAsia="Times New Roman" w:hAnsi="Arial" w:cs="Arial"/>
                <w:b/>
                <w:color w:val="000000"/>
                <w:sz w:val="20"/>
                <w:szCs w:val="20"/>
                <w:lang w:val="en-US"/>
              </w:rPr>
              <w:t>C.</w:t>
            </w:r>
            <w:r>
              <w:rPr>
                <w:rFonts w:ascii="Arial" w:eastAsia="Times New Roman" w:hAnsi="Arial" w:cs="Arial"/>
                <w:color w:val="000000"/>
                <w:sz w:val="20"/>
                <w:szCs w:val="20"/>
                <w:lang w:val="en-US"/>
              </w:rPr>
              <w:t xml:space="preserve"> 1.5% HPV 781</w:t>
            </w:r>
          </w:p>
        </w:tc>
        <w:tc>
          <w:tcPr>
            <w:tcW w:w="1106" w:type="dxa"/>
            <w:tcBorders>
              <w:top w:val="nil"/>
              <w:left w:val="nil"/>
              <w:bottom w:val="nil"/>
              <w:right w:val="nil"/>
            </w:tcBorders>
            <w:shd w:val="clear" w:color="auto" w:fill="auto"/>
            <w:noWrap/>
            <w:vAlign w:val="center"/>
          </w:tcPr>
          <w:p w14:paraId="7034CB16"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tcPr>
          <w:p w14:paraId="3460111D"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1.27</w:t>
            </w:r>
          </w:p>
        </w:tc>
        <w:tc>
          <w:tcPr>
            <w:tcW w:w="706" w:type="dxa"/>
            <w:tcBorders>
              <w:top w:val="nil"/>
              <w:left w:val="nil"/>
              <w:bottom w:val="nil"/>
              <w:right w:val="nil"/>
            </w:tcBorders>
            <w:shd w:val="clear" w:color="auto" w:fill="auto"/>
            <w:noWrap/>
            <w:vAlign w:val="center"/>
          </w:tcPr>
          <w:p w14:paraId="647D64C4"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1.12</w:t>
            </w:r>
          </w:p>
        </w:tc>
        <w:tc>
          <w:tcPr>
            <w:tcW w:w="1106" w:type="dxa"/>
            <w:tcBorders>
              <w:top w:val="nil"/>
              <w:left w:val="nil"/>
              <w:bottom w:val="nil"/>
              <w:right w:val="nil"/>
            </w:tcBorders>
            <w:shd w:val="clear" w:color="auto" w:fill="auto"/>
            <w:noWrap/>
            <w:vAlign w:val="center"/>
          </w:tcPr>
          <w:p w14:paraId="398FAE3C"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12,916.96</w:t>
            </w:r>
          </w:p>
        </w:tc>
        <w:tc>
          <w:tcPr>
            <w:tcW w:w="1006" w:type="dxa"/>
            <w:vMerge w:val="restart"/>
            <w:tcBorders>
              <w:top w:val="nil"/>
              <w:left w:val="nil"/>
              <w:right w:val="nil"/>
            </w:tcBorders>
            <w:vAlign w:val="center"/>
          </w:tcPr>
          <w:p w14:paraId="581C1760"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2.39</w:t>
            </w:r>
          </w:p>
        </w:tc>
        <w:tc>
          <w:tcPr>
            <w:tcW w:w="1495" w:type="dxa"/>
            <w:vMerge w:val="restart"/>
            <w:tcBorders>
              <w:top w:val="nil"/>
              <w:left w:val="nil"/>
              <w:bottom w:val="single" w:sz="4" w:space="0" w:color="000000"/>
              <w:right w:val="nil"/>
            </w:tcBorders>
            <w:shd w:val="clear" w:color="auto" w:fill="auto"/>
            <w:noWrap/>
            <w:vAlign w:val="center"/>
          </w:tcPr>
          <w:p w14:paraId="48B9A713" w14:textId="77777777" w:rsidR="00FC69C6" w:rsidRDefault="00390DC6">
            <w:pPr>
              <w:jc w:val="center"/>
              <w:rPr>
                <w:rFonts w:ascii="Arial" w:eastAsia="Times New Roman" w:hAnsi="Arial" w:cs="Arial"/>
                <w:color w:val="000000"/>
                <w:sz w:val="20"/>
                <w:szCs w:val="20"/>
                <w:lang w:val="en-US"/>
              </w:rPr>
            </w:pPr>
            <w:r>
              <w:rPr>
                <w:rFonts w:ascii="Arial" w:hAnsi="Arial" w:cs="Arial"/>
                <w:color w:val="000000"/>
                <w:sz w:val="20"/>
                <w:szCs w:val="20"/>
              </w:rPr>
              <w:t>61,733.04</w:t>
            </w:r>
          </w:p>
        </w:tc>
      </w:tr>
      <w:tr w:rsidR="00FC69C6" w14:paraId="2A3E1EB2" w14:textId="77777777">
        <w:trPr>
          <w:trHeight w:val="92"/>
          <w:jc w:val="center"/>
        </w:trPr>
        <w:tc>
          <w:tcPr>
            <w:tcW w:w="1183" w:type="dxa"/>
            <w:tcBorders>
              <w:top w:val="nil"/>
              <w:left w:val="nil"/>
              <w:bottom w:val="nil"/>
              <w:right w:val="nil"/>
            </w:tcBorders>
            <w:shd w:val="clear" w:color="auto" w:fill="auto"/>
            <w:noWrap/>
          </w:tcPr>
          <w:p w14:paraId="077A9226" w14:textId="77777777" w:rsidR="00FC69C6" w:rsidRDefault="00390DC6">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PT 10 g </w:t>
            </w:r>
          </w:p>
        </w:tc>
        <w:tc>
          <w:tcPr>
            <w:tcW w:w="1106" w:type="dxa"/>
            <w:tcBorders>
              <w:top w:val="nil"/>
              <w:left w:val="nil"/>
              <w:bottom w:val="nil"/>
              <w:right w:val="nil"/>
            </w:tcBorders>
            <w:shd w:val="clear" w:color="auto" w:fill="auto"/>
            <w:noWrap/>
            <w:vAlign w:val="center"/>
          </w:tcPr>
          <w:p w14:paraId="044563BF"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tcPr>
          <w:p w14:paraId="751042BE" w14:textId="77777777" w:rsidR="00FC69C6" w:rsidRDefault="00FC69C6">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tcPr>
          <w:p w14:paraId="0BDD613F"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0.15</w:t>
            </w:r>
          </w:p>
        </w:tc>
        <w:tc>
          <w:tcPr>
            <w:tcW w:w="1106" w:type="dxa"/>
            <w:tcBorders>
              <w:top w:val="nil"/>
              <w:left w:val="nil"/>
              <w:bottom w:val="nil"/>
              <w:right w:val="nil"/>
            </w:tcBorders>
            <w:shd w:val="clear" w:color="auto" w:fill="auto"/>
            <w:noWrap/>
            <w:vAlign w:val="center"/>
          </w:tcPr>
          <w:p w14:paraId="46E868DB"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9,000.00</w:t>
            </w:r>
          </w:p>
        </w:tc>
        <w:tc>
          <w:tcPr>
            <w:tcW w:w="1006" w:type="dxa"/>
            <w:vMerge/>
            <w:tcBorders>
              <w:left w:val="nil"/>
              <w:bottom w:val="single" w:sz="4" w:space="0" w:color="000000"/>
              <w:right w:val="nil"/>
            </w:tcBorders>
            <w:vAlign w:val="center"/>
          </w:tcPr>
          <w:p w14:paraId="5D0B7186" w14:textId="77777777" w:rsidR="00FC69C6" w:rsidRDefault="00FC69C6">
            <w:pPr>
              <w:rPr>
                <w:rFonts w:ascii="Arial" w:eastAsia="Times New Roman" w:hAnsi="Arial" w:cs="Arial"/>
                <w:color w:val="000000"/>
                <w:sz w:val="20"/>
                <w:szCs w:val="20"/>
                <w:lang w:val="en-US"/>
              </w:rPr>
            </w:pPr>
          </w:p>
        </w:tc>
        <w:tc>
          <w:tcPr>
            <w:tcW w:w="1495" w:type="dxa"/>
            <w:vMerge/>
            <w:tcBorders>
              <w:top w:val="nil"/>
              <w:left w:val="nil"/>
              <w:bottom w:val="single" w:sz="4" w:space="0" w:color="000000"/>
              <w:right w:val="nil"/>
            </w:tcBorders>
            <w:vAlign w:val="center"/>
          </w:tcPr>
          <w:p w14:paraId="1B0F04F6" w14:textId="77777777" w:rsidR="00FC69C6" w:rsidRDefault="00FC69C6">
            <w:pPr>
              <w:rPr>
                <w:rFonts w:ascii="Arial" w:eastAsia="Times New Roman" w:hAnsi="Arial" w:cs="Arial"/>
                <w:color w:val="000000"/>
                <w:sz w:val="20"/>
                <w:szCs w:val="20"/>
                <w:lang w:val="en-US"/>
              </w:rPr>
            </w:pPr>
          </w:p>
        </w:tc>
      </w:tr>
      <w:tr w:rsidR="00FC69C6" w14:paraId="7F6BC084" w14:textId="77777777">
        <w:trPr>
          <w:trHeight w:val="92"/>
          <w:jc w:val="center"/>
        </w:trPr>
        <w:tc>
          <w:tcPr>
            <w:tcW w:w="1183" w:type="dxa"/>
            <w:tcBorders>
              <w:top w:val="single" w:sz="4" w:space="0" w:color="auto"/>
              <w:left w:val="nil"/>
              <w:bottom w:val="single" w:sz="4" w:space="0" w:color="auto"/>
              <w:right w:val="nil"/>
            </w:tcBorders>
            <w:shd w:val="clear" w:color="auto" w:fill="auto"/>
            <w:noWrap/>
            <w:vAlign w:val="center"/>
          </w:tcPr>
          <w:p w14:paraId="2C2C5786"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tcPr>
          <w:p w14:paraId="3C2686BF"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tcPr>
          <w:p w14:paraId="2D0C29C6"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tcPr>
          <w:p w14:paraId="46AB6958" w14:textId="77777777" w:rsidR="00FC69C6" w:rsidRDefault="00FC69C6">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38F53BB2"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color w:val="000000"/>
                <w:sz w:val="20"/>
                <w:szCs w:val="20"/>
                <w:lang w:val="en-US"/>
              </w:rPr>
              <w:t>21,916.96</w:t>
            </w:r>
          </w:p>
        </w:tc>
        <w:tc>
          <w:tcPr>
            <w:tcW w:w="1006" w:type="dxa"/>
            <w:tcBorders>
              <w:top w:val="nil"/>
              <w:left w:val="nil"/>
              <w:bottom w:val="nil"/>
              <w:right w:val="nil"/>
            </w:tcBorders>
            <w:vAlign w:val="center"/>
          </w:tcPr>
          <w:p w14:paraId="32FFF6A1" w14:textId="77777777" w:rsidR="00FC69C6" w:rsidRDefault="00FC69C6">
            <w:pPr>
              <w:jc w:val="center"/>
              <w:rPr>
                <w:rFonts w:ascii="Arial" w:eastAsia="Times New Roman" w:hAnsi="Arial" w:cs="Arial"/>
                <w:color w:val="000000"/>
                <w:sz w:val="20"/>
                <w:szCs w:val="20"/>
                <w:lang w:val="en-US"/>
              </w:rPr>
            </w:pPr>
          </w:p>
        </w:tc>
        <w:tc>
          <w:tcPr>
            <w:tcW w:w="1495" w:type="dxa"/>
            <w:tcBorders>
              <w:top w:val="nil"/>
              <w:left w:val="nil"/>
              <w:bottom w:val="nil"/>
              <w:right w:val="nil"/>
            </w:tcBorders>
            <w:shd w:val="clear" w:color="auto" w:fill="auto"/>
            <w:noWrap/>
            <w:vAlign w:val="center"/>
          </w:tcPr>
          <w:p w14:paraId="20A54599" w14:textId="77777777" w:rsidR="00FC69C6" w:rsidRDefault="00390DC6">
            <w:pPr>
              <w:jc w:val="center"/>
              <w:rPr>
                <w:rFonts w:ascii="Arial" w:eastAsia="Times New Roman" w:hAnsi="Arial" w:cs="Arial"/>
                <w:color w:val="000000"/>
                <w:sz w:val="20"/>
                <w:szCs w:val="20"/>
                <w:lang w:val="en-US"/>
              </w:rPr>
            </w:pPr>
            <w:r>
              <w:rPr>
                <w:rFonts w:ascii="Arial" w:hAnsi="Arial" w:cs="Arial"/>
                <w:color w:val="000000"/>
                <w:sz w:val="20"/>
                <w:szCs w:val="20"/>
              </w:rPr>
              <w:t> </w:t>
            </w:r>
          </w:p>
        </w:tc>
      </w:tr>
      <w:tr w:rsidR="00FC69C6" w14:paraId="005766FF" w14:textId="77777777">
        <w:trPr>
          <w:trHeight w:val="92"/>
          <w:jc w:val="center"/>
        </w:trPr>
        <w:tc>
          <w:tcPr>
            <w:tcW w:w="1183" w:type="dxa"/>
            <w:tcBorders>
              <w:top w:val="nil"/>
              <w:left w:val="nil"/>
              <w:bottom w:val="nil"/>
              <w:right w:val="nil"/>
            </w:tcBorders>
            <w:shd w:val="clear" w:color="auto" w:fill="auto"/>
            <w:noWrap/>
          </w:tcPr>
          <w:p w14:paraId="63C58229" w14:textId="77777777" w:rsidR="00FC69C6" w:rsidRDefault="00390DC6">
            <w:pPr>
              <w:rPr>
                <w:rFonts w:ascii="Arial" w:eastAsia="Times New Roman" w:hAnsi="Arial" w:cs="Arial"/>
                <w:color w:val="000000"/>
                <w:sz w:val="20"/>
                <w:szCs w:val="20"/>
                <w:lang w:val="en-US"/>
              </w:rPr>
            </w:pPr>
            <w:r>
              <w:rPr>
                <w:rFonts w:ascii="Arial" w:eastAsia="Times New Roman" w:hAnsi="Arial" w:cs="Arial"/>
                <w:b/>
                <w:color w:val="000000"/>
                <w:sz w:val="20"/>
                <w:szCs w:val="20"/>
                <w:lang w:val="en-US"/>
              </w:rPr>
              <w:t>D.</w:t>
            </w:r>
            <w:r>
              <w:rPr>
                <w:rFonts w:ascii="Arial" w:eastAsia="Times New Roman" w:hAnsi="Arial" w:cs="Arial"/>
                <w:color w:val="000000"/>
                <w:sz w:val="20"/>
                <w:szCs w:val="20"/>
                <w:lang w:val="en-US"/>
              </w:rPr>
              <w:t xml:space="preserve"> 2.5% HPV 781</w:t>
            </w:r>
          </w:p>
        </w:tc>
        <w:tc>
          <w:tcPr>
            <w:tcW w:w="1106" w:type="dxa"/>
            <w:tcBorders>
              <w:top w:val="nil"/>
              <w:left w:val="nil"/>
              <w:bottom w:val="nil"/>
              <w:right w:val="nil"/>
            </w:tcBorders>
            <w:shd w:val="clear" w:color="auto" w:fill="auto"/>
            <w:noWrap/>
            <w:vAlign w:val="center"/>
          </w:tcPr>
          <w:p w14:paraId="2B1F42A0"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tcPr>
          <w:p w14:paraId="694BC4E5"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2.03</w:t>
            </w:r>
          </w:p>
        </w:tc>
        <w:tc>
          <w:tcPr>
            <w:tcW w:w="706" w:type="dxa"/>
            <w:tcBorders>
              <w:top w:val="nil"/>
              <w:left w:val="nil"/>
              <w:bottom w:val="nil"/>
              <w:right w:val="nil"/>
            </w:tcBorders>
            <w:shd w:val="clear" w:color="auto" w:fill="auto"/>
            <w:noWrap/>
            <w:vAlign w:val="center"/>
          </w:tcPr>
          <w:p w14:paraId="1ACD7E0E"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1.70</w:t>
            </w:r>
          </w:p>
        </w:tc>
        <w:tc>
          <w:tcPr>
            <w:tcW w:w="1106" w:type="dxa"/>
            <w:tcBorders>
              <w:top w:val="nil"/>
              <w:left w:val="nil"/>
              <w:bottom w:val="nil"/>
              <w:right w:val="nil"/>
            </w:tcBorders>
            <w:shd w:val="clear" w:color="auto" w:fill="auto"/>
            <w:noWrap/>
            <w:vAlign w:val="center"/>
          </w:tcPr>
          <w:p w14:paraId="58699209"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19,606.10</w:t>
            </w:r>
          </w:p>
        </w:tc>
        <w:tc>
          <w:tcPr>
            <w:tcW w:w="1006" w:type="dxa"/>
            <w:vMerge w:val="restart"/>
            <w:tcBorders>
              <w:top w:val="single" w:sz="4" w:space="0" w:color="auto"/>
              <w:left w:val="nil"/>
              <w:right w:val="nil"/>
            </w:tcBorders>
            <w:vAlign w:val="center"/>
          </w:tcPr>
          <w:p w14:paraId="651450E3"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1.02</w:t>
            </w:r>
          </w:p>
        </w:tc>
        <w:tc>
          <w:tcPr>
            <w:tcW w:w="1495" w:type="dxa"/>
            <w:vMerge w:val="restart"/>
            <w:tcBorders>
              <w:top w:val="single" w:sz="4" w:space="0" w:color="auto"/>
              <w:left w:val="nil"/>
              <w:bottom w:val="single" w:sz="4" w:space="0" w:color="000000"/>
              <w:right w:val="nil"/>
            </w:tcBorders>
            <w:shd w:val="clear" w:color="auto" w:fill="auto"/>
            <w:noWrap/>
            <w:vAlign w:val="center"/>
          </w:tcPr>
          <w:p w14:paraId="57700AB3" w14:textId="77777777" w:rsidR="00FC69C6" w:rsidRDefault="00390DC6">
            <w:pPr>
              <w:jc w:val="center"/>
              <w:rPr>
                <w:rFonts w:ascii="Arial" w:eastAsia="Times New Roman" w:hAnsi="Arial" w:cs="Arial"/>
                <w:color w:val="000000"/>
                <w:sz w:val="20"/>
                <w:szCs w:val="20"/>
                <w:highlight w:val="yellow"/>
                <w:lang w:val="en-US"/>
              </w:rPr>
            </w:pPr>
            <w:r>
              <w:rPr>
                <w:rFonts w:ascii="Arial" w:hAnsi="Arial" w:cs="Arial"/>
                <w:color w:val="000000"/>
                <w:sz w:val="20"/>
                <w:szCs w:val="20"/>
              </w:rPr>
              <w:t>-</w:t>
            </w:r>
            <w:r>
              <w:rPr>
                <w:rFonts w:ascii="Arial" w:hAnsi="Arial" w:cs="Arial"/>
                <w:color w:val="000000"/>
                <w:sz w:val="20"/>
                <w:szCs w:val="20"/>
                <w:lang w:val="en-US"/>
              </w:rPr>
              <w:t xml:space="preserve"> 3,706.10</w:t>
            </w:r>
          </w:p>
        </w:tc>
      </w:tr>
      <w:tr w:rsidR="00FC69C6" w14:paraId="7806697F" w14:textId="77777777">
        <w:trPr>
          <w:trHeight w:val="92"/>
          <w:jc w:val="center"/>
        </w:trPr>
        <w:tc>
          <w:tcPr>
            <w:tcW w:w="1183" w:type="dxa"/>
            <w:tcBorders>
              <w:top w:val="nil"/>
              <w:left w:val="nil"/>
              <w:bottom w:val="nil"/>
              <w:right w:val="nil"/>
            </w:tcBorders>
            <w:shd w:val="clear" w:color="auto" w:fill="auto"/>
            <w:noWrap/>
          </w:tcPr>
          <w:p w14:paraId="341702AE" w14:textId="77777777" w:rsidR="00FC69C6" w:rsidRDefault="00390DC6">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PT 10 g </w:t>
            </w:r>
          </w:p>
        </w:tc>
        <w:tc>
          <w:tcPr>
            <w:tcW w:w="1106" w:type="dxa"/>
            <w:tcBorders>
              <w:top w:val="nil"/>
              <w:left w:val="nil"/>
              <w:bottom w:val="nil"/>
              <w:right w:val="nil"/>
            </w:tcBorders>
            <w:shd w:val="clear" w:color="auto" w:fill="auto"/>
            <w:noWrap/>
            <w:vAlign w:val="center"/>
          </w:tcPr>
          <w:p w14:paraId="71CE8FF9"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tcPr>
          <w:p w14:paraId="1C76259E" w14:textId="77777777" w:rsidR="00FC69C6" w:rsidRDefault="00FC69C6">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tcPr>
          <w:p w14:paraId="7B8DD013"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0.33</w:t>
            </w:r>
          </w:p>
        </w:tc>
        <w:tc>
          <w:tcPr>
            <w:tcW w:w="1106" w:type="dxa"/>
            <w:tcBorders>
              <w:top w:val="nil"/>
              <w:left w:val="nil"/>
              <w:bottom w:val="nil"/>
              <w:right w:val="nil"/>
            </w:tcBorders>
            <w:shd w:val="clear" w:color="auto" w:fill="auto"/>
            <w:noWrap/>
            <w:vAlign w:val="center"/>
          </w:tcPr>
          <w:p w14:paraId="0A745327"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19,800.00</w:t>
            </w:r>
          </w:p>
        </w:tc>
        <w:tc>
          <w:tcPr>
            <w:tcW w:w="1006" w:type="dxa"/>
            <w:vMerge/>
            <w:tcBorders>
              <w:left w:val="nil"/>
              <w:bottom w:val="single" w:sz="4" w:space="0" w:color="000000"/>
              <w:right w:val="nil"/>
            </w:tcBorders>
            <w:vAlign w:val="center"/>
          </w:tcPr>
          <w:p w14:paraId="2BA6C886" w14:textId="77777777" w:rsidR="00FC69C6" w:rsidRDefault="00FC69C6">
            <w:pPr>
              <w:rPr>
                <w:rFonts w:ascii="Arial" w:eastAsia="Times New Roman" w:hAnsi="Arial" w:cs="Arial"/>
                <w:color w:val="000000"/>
                <w:sz w:val="20"/>
                <w:szCs w:val="20"/>
                <w:lang w:val="en-US"/>
              </w:rPr>
            </w:pPr>
          </w:p>
        </w:tc>
        <w:tc>
          <w:tcPr>
            <w:tcW w:w="1495" w:type="dxa"/>
            <w:vMerge/>
            <w:tcBorders>
              <w:top w:val="single" w:sz="4" w:space="0" w:color="auto"/>
              <w:left w:val="nil"/>
              <w:bottom w:val="single" w:sz="4" w:space="0" w:color="000000"/>
              <w:right w:val="nil"/>
            </w:tcBorders>
            <w:vAlign w:val="center"/>
          </w:tcPr>
          <w:p w14:paraId="38678FDA" w14:textId="77777777" w:rsidR="00FC69C6" w:rsidRDefault="00FC69C6">
            <w:pPr>
              <w:rPr>
                <w:rFonts w:ascii="Arial" w:eastAsia="Times New Roman" w:hAnsi="Arial" w:cs="Arial"/>
                <w:color w:val="000000"/>
                <w:sz w:val="20"/>
                <w:szCs w:val="20"/>
                <w:lang w:val="en-US"/>
              </w:rPr>
            </w:pPr>
          </w:p>
        </w:tc>
      </w:tr>
      <w:tr w:rsidR="00FC69C6" w14:paraId="3B1EB54E" w14:textId="77777777">
        <w:trPr>
          <w:trHeight w:val="92"/>
          <w:jc w:val="center"/>
        </w:trPr>
        <w:tc>
          <w:tcPr>
            <w:tcW w:w="1183" w:type="dxa"/>
            <w:tcBorders>
              <w:top w:val="single" w:sz="4" w:space="0" w:color="auto"/>
              <w:left w:val="nil"/>
              <w:bottom w:val="single" w:sz="4" w:space="0" w:color="auto"/>
              <w:right w:val="nil"/>
            </w:tcBorders>
            <w:shd w:val="clear" w:color="auto" w:fill="auto"/>
            <w:noWrap/>
            <w:vAlign w:val="center"/>
          </w:tcPr>
          <w:p w14:paraId="290A1C08"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tcPr>
          <w:p w14:paraId="03E23228"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tcPr>
          <w:p w14:paraId="17AAD471"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tcPr>
          <w:p w14:paraId="0FA4B777" w14:textId="77777777" w:rsidR="00FC69C6" w:rsidRDefault="00FC69C6">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3D1EFD7D" w14:textId="77777777" w:rsidR="00FC69C6" w:rsidRDefault="00390DC6">
            <w:pPr>
              <w:jc w:val="center"/>
              <w:rPr>
                <w:rFonts w:ascii="Arial" w:eastAsia="Times New Roman" w:hAnsi="Arial" w:cs="Arial"/>
                <w:b/>
                <w:bCs/>
                <w:color w:val="000000"/>
                <w:sz w:val="20"/>
                <w:szCs w:val="20"/>
                <w:lang w:val="en-US"/>
              </w:rPr>
            </w:pPr>
            <w:r>
              <w:rPr>
                <w:rFonts w:ascii="Arial" w:eastAsia="Times New Roman" w:hAnsi="Arial" w:cs="Arial"/>
                <w:b/>
                <w:color w:val="000000"/>
                <w:sz w:val="20"/>
                <w:szCs w:val="20"/>
                <w:lang w:val="en-US"/>
              </w:rPr>
              <w:t>39,406.10</w:t>
            </w:r>
          </w:p>
        </w:tc>
        <w:tc>
          <w:tcPr>
            <w:tcW w:w="1006" w:type="dxa"/>
            <w:tcBorders>
              <w:top w:val="nil"/>
              <w:left w:val="nil"/>
              <w:bottom w:val="single" w:sz="4" w:space="0" w:color="auto"/>
              <w:right w:val="nil"/>
            </w:tcBorders>
            <w:vAlign w:val="center"/>
          </w:tcPr>
          <w:p w14:paraId="68EF7328" w14:textId="77777777" w:rsidR="00FC69C6" w:rsidRDefault="00390DC6">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 </w:t>
            </w:r>
          </w:p>
        </w:tc>
        <w:tc>
          <w:tcPr>
            <w:tcW w:w="1495" w:type="dxa"/>
            <w:tcBorders>
              <w:top w:val="nil"/>
              <w:left w:val="nil"/>
              <w:bottom w:val="single" w:sz="4" w:space="0" w:color="auto"/>
              <w:right w:val="nil"/>
            </w:tcBorders>
            <w:shd w:val="clear" w:color="auto" w:fill="auto"/>
            <w:noWrap/>
            <w:vAlign w:val="center"/>
          </w:tcPr>
          <w:p w14:paraId="4521C210" w14:textId="77777777" w:rsidR="00FC69C6" w:rsidRDefault="00390DC6">
            <w:pPr>
              <w:jc w:val="center"/>
              <w:rPr>
                <w:rFonts w:ascii="Arial" w:eastAsia="Times New Roman" w:hAnsi="Arial" w:cs="Arial"/>
                <w:color w:val="000000"/>
                <w:sz w:val="20"/>
                <w:szCs w:val="20"/>
                <w:lang w:val="en-US"/>
              </w:rPr>
            </w:pPr>
            <w:r>
              <w:rPr>
                <w:rFonts w:ascii="Arial" w:hAnsi="Arial" w:cs="Arial"/>
                <w:color w:val="000000"/>
                <w:sz w:val="20"/>
                <w:szCs w:val="20"/>
              </w:rPr>
              <w:t> </w:t>
            </w:r>
          </w:p>
        </w:tc>
      </w:tr>
      <w:bookmarkEnd w:id="2"/>
    </w:tbl>
    <w:p w14:paraId="4D1C0914" w14:textId="77777777" w:rsidR="00FC69C6" w:rsidRDefault="00FC69C6">
      <w:pPr>
        <w:widowControl/>
        <w:jc w:val="both"/>
        <w:rPr>
          <w:rFonts w:ascii="Arial" w:eastAsia="Arial" w:hAnsi="Arial" w:cs="Arial"/>
          <w:color w:val="000000"/>
          <w:sz w:val="20"/>
          <w:szCs w:val="20"/>
        </w:rPr>
      </w:pPr>
    </w:p>
    <w:p w14:paraId="4A56063C"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 xml:space="preserve">Among the treatments tested, treatment B (transgenic African catfish fed 2% HI-PRO-VITE 781 and 10 g shredded tuna residue) demonstrated the highest feed efficiency, with the lowest feed cost (IDR 17,944.32) and the highest net income (IDR 76,905.68). Conversely, treatment D (non-transgenic catfish fed 2.5% feed and tuna residue) incurred the highest feed cost (IDR 39,406.10) and a negative net income (IDR -3,706.10), indicating poor economic efficiency. Increasing feed dosage in treatment A (2.5%) did not improve economic </w:t>
      </w:r>
    </w:p>
    <w:p w14:paraId="2AA29B0B" w14:textId="77777777" w:rsidR="00FC69C6" w:rsidRDefault="00FC69C6">
      <w:pPr>
        <w:widowControl/>
        <w:jc w:val="both"/>
        <w:rPr>
          <w:rFonts w:ascii="Arial" w:eastAsia="Arial" w:hAnsi="Arial" w:cs="Arial"/>
          <w:color w:val="000000"/>
          <w:sz w:val="20"/>
          <w:szCs w:val="20"/>
        </w:rPr>
      </w:pPr>
    </w:p>
    <w:p w14:paraId="1EBC1942"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returns compared to treatment B (2%), while treatment C (1.5%) reduced feed costs but also resulted in lower biomass and revenue (Table 2).</w:t>
      </w:r>
    </w:p>
    <w:p w14:paraId="050E046D" w14:textId="77777777" w:rsidR="00FC69C6" w:rsidRDefault="00FC69C6">
      <w:pPr>
        <w:widowControl/>
        <w:jc w:val="both"/>
        <w:rPr>
          <w:rFonts w:ascii="Arial" w:eastAsia="Arial" w:hAnsi="Arial" w:cs="Arial"/>
          <w:color w:val="000000"/>
          <w:sz w:val="20"/>
          <w:szCs w:val="20"/>
        </w:rPr>
      </w:pPr>
    </w:p>
    <w:p w14:paraId="24C412D2" w14:textId="77777777" w:rsidR="00FC69C6" w:rsidRDefault="00390DC6">
      <w:pPr>
        <w:widowControl/>
        <w:jc w:val="both"/>
        <w:rPr>
          <w:rFonts w:ascii="Arial" w:eastAsia="Arial" w:hAnsi="Arial" w:cs="Arial"/>
          <w:color w:val="000000"/>
          <w:sz w:val="20"/>
          <w:szCs w:val="20"/>
          <w:lang w:val="id-ID"/>
        </w:rPr>
      </w:pPr>
      <w:r>
        <w:rPr>
          <w:rFonts w:ascii="Arial" w:eastAsia="Arial" w:hAnsi="Arial" w:cs="Arial"/>
          <w:color w:val="000000"/>
          <w:sz w:val="20"/>
          <w:szCs w:val="20"/>
        </w:rPr>
        <w:t xml:space="preserve">These findings suggest that transgenic African catfish (G4), when fed at optimal dosages, provide superior economic performance, likely due to exogenous growth hormone (GH) enhancing feed conversion efficiency </w:t>
      </w:r>
      <w:r>
        <w:rPr>
          <w:rFonts w:ascii="Arial" w:eastAsia="Arial" w:hAnsi="Arial" w:cs="Arial"/>
          <w:color w:val="000000"/>
          <w:sz w:val="20"/>
          <w:szCs w:val="20"/>
          <w:lang w:val="id-ID"/>
        </w:rPr>
        <w:t>[25]</w:t>
      </w:r>
      <w:r>
        <w:rPr>
          <w:rFonts w:ascii="Arial" w:eastAsia="Arial" w:hAnsi="Arial" w:cs="Arial"/>
          <w:color w:val="000000"/>
          <w:sz w:val="20"/>
          <w:szCs w:val="20"/>
        </w:rPr>
        <w:t>. G4 transgenic catfish thus offer a promising strategy for sustainable aquaculture by improving growth rates, reducing feed costs, and shortening production cycles.</w:t>
      </w:r>
    </w:p>
    <w:p w14:paraId="15E5311A" w14:textId="77777777" w:rsidR="00FC69C6" w:rsidRDefault="00FC69C6">
      <w:pPr>
        <w:widowControl/>
        <w:jc w:val="both"/>
        <w:rPr>
          <w:rFonts w:ascii="Arial" w:eastAsia="Arial" w:hAnsi="Arial" w:cs="Arial"/>
          <w:color w:val="000000"/>
          <w:sz w:val="20"/>
          <w:szCs w:val="20"/>
          <w:lang w:val="id-ID"/>
        </w:rPr>
      </w:pPr>
    </w:p>
    <w:p w14:paraId="6E660C6D" w14:textId="77777777" w:rsidR="00FC69C6" w:rsidRDefault="00390DC6">
      <w:pPr>
        <w:widowControl/>
        <w:jc w:val="both"/>
        <w:rPr>
          <w:rFonts w:ascii="Arial" w:eastAsia="Arial" w:hAnsi="Arial" w:cs="Arial"/>
          <w:color w:val="000000"/>
          <w:sz w:val="20"/>
          <w:szCs w:val="20"/>
          <w:lang w:val="id-ID"/>
        </w:rPr>
      </w:pPr>
      <w:r>
        <w:rPr>
          <w:rFonts w:ascii="Arial" w:eastAsia="Arial" w:hAnsi="Arial" w:cs="Arial"/>
          <w:color w:val="000000"/>
          <w:sz w:val="20"/>
          <w:szCs w:val="20"/>
          <w:lang w:val="id-ID"/>
        </w:rPr>
        <w:t>3.3 Water Quality</w:t>
      </w:r>
    </w:p>
    <w:p w14:paraId="4B7D64FA" w14:textId="77777777" w:rsidR="00FC69C6" w:rsidRDefault="00FC69C6">
      <w:pPr>
        <w:widowControl/>
        <w:jc w:val="both"/>
        <w:rPr>
          <w:rFonts w:ascii="Arial" w:eastAsia="Arial" w:hAnsi="Arial" w:cs="Arial"/>
          <w:color w:val="000000"/>
          <w:sz w:val="20"/>
          <w:szCs w:val="20"/>
          <w:lang w:val="id-ID"/>
        </w:rPr>
      </w:pPr>
    </w:p>
    <w:p w14:paraId="1450023C" w14:textId="77777777" w:rsidR="00FC69C6" w:rsidRDefault="00390DC6">
      <w:pPr>
        <w:widowControl/>
        <w:jc w:val="both"/>
        <w:rPr>
          <w:rFonts w:ascii="Arial" w:eastAsia="Arial" w:hAnsi="Arial" w:cs="Arial"/>
          <w:color w:val="000000"/>
          <w:sz w:val="20"/>
          <w:szCs w:val="20"/>
          <w:lang w:val="id-ID"/>
        </w:rPr>
      </w:pPr>
      <w:r>
        <w:rPr>
          <w:rFonts w:ascii="Arial" w:eastAsia="Arial" w:hAnsi="Arial" w:cs="Arial"/>
          <w:color w:val="000000"/>
          <w:sz w:val="20"/>
          <w:szCs w:val="20"/>
          <w:lang w:val="id-ID"/>
        </w:rPr>
        <w:lastRenderedPageBreak/>
        <w:t>several water quality parameters—including temperature, pH, and dissolved oxygen (DO)—were measured to support the maintenance of optimal conditions for African catfish rearing. The results of water quality measurements throughout the cultivation period are presented in Table 3.</w:t>
      </w:r>
    </w:p>
    <w:p w14:paraId="431E9A63" w14:textId="77777777" w:rsidR="00FC69C6" w:rsidRDefault="00FC69C6">
      <w:pPr>
        <w:widowControl/>
        <w:jc w:val="both"/>
        <w:rPr>
          <w:rFonts w:ascii="Arial" w:eastAsia="Arial" w:hAnsi="Arial" w:cs="Arial"/>
          <w:color w:val="000000"/>
          <w:sz w:val="20"/>
          <w:szCs w:val="20"/>
          <w:lang w:val="id-ID"/>
        </w:rPr>
      </w:pPr>
    </w:p>
    <w:p w14:paraId="63550E4E" w14:textId="77777777" w:rsidR="00FC69C6" w:rsidRDefault="00390DC6">
      <w:pPr>
        <w:widowControl/>
        <w:jc w:val="center"/>
        <w:rPr>
          <w:rFonts w:ascii="Arial" w:eastAsia="Arial" w:hAnsi="Arial" w:cs="Arial"/>
          <w:color w:val="000000"/>
          <w:sz w:val="20"/>
          <w:szCs w:val="20"/>
          <w:lang w:val="id-ID"/>
        </w:rPr>
      </w:pPr>
      <w:r>
        <w:rPr>
          <w:rFonts w:ascii="Arial" w:eastAsia="Arial" w:hAnsi="Arial" w:cs="Arial"/>
          <w:color w:val="000000"/>
          <w:sz w:val="20"/>
          <w:szCs w:val="20"/>
          <w:lang w:val="id-ID"/>
        </w:rPr>
        <w:t>Table 3. Water Quality</w:t>
      </w:r>
    </w:p>
    <w:p w14:paraId="43F877D4" w14:textId="77777777" w:rsidR="00FC69C6" w:rsidRDefault="00FC69C6">
      <w:pPr>
        <w:widowControl/>
        <w:jc w:val="center"/>
        <w:rPr>
          <w:rFonts w:ascii="Arial" w:eastAsia="Arial" w:hAnsi="Arial" w:cs="Arial"/>
          <w:color w:val="000000"/>
          <w:sz w:val="20"/>
          <w:szCs w:val="20"/>
          <w:lang w:val="id-ID"/>
        </w:rPr>
      </w:pPr>
    </w:p>
    <w:p w14:paraId="3171109A" w14:textId="77777777" w:rsidR="00FC69C6" w:rsidRDefault="00FC69C6">
      <w:pPr>
        <w:widowControl/>
        <w:jc w:val="center"/>
        <w:rPr>
          <w:rFonts w:ascii="Arial" w:eastAsia="Arial" w:hAnsi="Arial" w:cs="Arial"/>
          <w:color w:val="000000"/>
          <w:sz w:val="20"/>
          <w:szCs w:val="20"/>
          <w:lang w:val="id-ID"/>
        </w:rPr>
      </w:pPr>
    </w:p>
    <w:tbl>
      <w:tblPr>
        <w:tblStyle w:val="TableGrid"/>
        <w:tblW w:w="7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840"/>
        <w:gridCol w:w="1559"/>
        <w:gridCol w:w="2244"/>
      </w:tblGrid>
      <w:tr w:rsidR="00FC69C6" w14:paraId="183B78D9" w14:textId="77777777" w:rsidTr="004010A6">
        <w:trPr>
          <w:tblHeader/>
          <w:jc w:val="center"/>
        </w:trPr>
        <w:tc>
          <w:tcPr>
            <w:tcW w:w="2070" w:type="dxa"/>
            <w:tcBorders>
              <w:top w:val="single" w:sz="4" w:space="0" w:color="auto"/>
              <w:left w:val="nil"/>
              <w:bottom w:val="single" w:sz="4" w:space="0" w:color="auto"/>
              <w:right w:val="nil"/>
            </w:tcBorders>
          </w:tcPr>
          <w:p w14:paraId="5EE6470D" w14:textId="77777777" w:rsidR="00FC69C6" w:rsidRDefault="00390DC6">
            <w:pPr>
              <w:widowControl/>
              <w:jc w:val="center"/>
              <w:rPr>
                <w:rFonts w:eastAsia="Calibri"/>
                <w:b/>
                <w:bCs/>
                <w:sz w:val="24"/>
                <w:szCs w:val="24"/>
                <w:lang w:val="en-US" w:eastAsia="en-US"/>
              </w:rPr>
            </w:pPr>
            <w:r>
              <w:rPr>
                <w:b/>
                <w:bCs/>
                <w:sz w:val="24"/>
                <w:szCs w:val="24"/>
                <w:lang w:val="en-US" w:eastAsia="en-US"/>
              </w:rPr>
              <w:t>Water Quality</w:t>
            </w:r>
          </w:p>
        </w:tc>
        <w:tc>
          <w:tcPr>
            <w:tcW w:w="1840" w:type="dxa"/>
            <w:tcBorders>
              <w:top w:val="single" w:sz="4" w:space="0" w:color="auto"/>
              <w:left w:val="nil"/>
              <w:bottom w:val="single" w:sz="4" w:space="0" w:color="auto"/>
              <w:right w:val="nil"/>
            </w:tcBorders>
          </w:tcPr>
          <w:p w14:paraId="43409D1B" w14:textId="77777777" w:rsidR="00FC69C6" w:rsidRDefault="00390DC6">
            <w:pPr>
              <w:widowControl/>
              <w:jc w:val="center"/>
              <w:rPr>
                <w:rFonts w:eastAsia="Calibri"/>
                <w:b/>
                <w:bCs/>
                <w:sz w:val="24"/>
                <w:szCs w:val="24"/>
                <w:lang w:val="en-US" w:eastAsia="en-US"/>
              </w:rPr>
            </w:pPr>
            <w:r>
              <w:rPr>
                <w:b/>
                <w:bCs/>
                <w:sz w:val="24"/>
                <w:szCs w:val="24"/>
                <w:lang w:val="en-US" w:eastAsia="en-US"/>
              </w:rPr>
              <w:t>Result</w:t>
            </w:r>
          </w:p>
        </w:tc>
        <w:tc>
          <w:tcPr>
            <w:tcW w:w="3803" w:type="dxa"/>
            <w:gridSpan w:val="2"/>
            <w:tcBorders>
              <w:top w:val="single" w:sz="4" w:space="0" w:color="auto"/>
              <w:left w:val="nil"/>
              <w:bottom w:val="single" w:sz="4" w:space="0" w:color="auto"/>
              <w:right w:val="nil"/>
            </w:tcBorders>
          </w:tcPr>
          <w:p w14:paraId="20D7F76B" w14:textId="77777777" w:rsidR="00FC69C6" w:rsidRDefault="00390DC6">
            <w:pPr>
              <w:widowControl/>
              <w:jc w:val="center"/>
              <w:rPr>
                <w:rFonts w:eastAsia="Calibri"/>
                <w:b/>
                <w:bCs/>
                <w:sz w:val="24"/>
                <w:szCs w:val="24"/>
                <w:lang w:val="en-US" w:eastAsia="en-US"/>
              </w:rPr>
            </w:pPr>
            <w:proofErr w:type="spellStart"/>
            <w:r>
              <w:rPr>
                <w:b/>
                <w:bCs/>
                <w:sz w:val="24"/>
                <w:szCs w:val="24"/>
                <w:lang w:val="en-US" w:eastAsia="en-US"/>
              </w:rPr>
              <w:t>Standar</w:t>
            </w:r>
            <w:proofErr w:type="spellEnd"/>
          </w:p>
        </w:tc>
      </w:tr>
      <w:tr w:rsidR="00FC69C6" w14:paraId="578A0887" w14:textId="77777777" w:rsidTr="004010A6">
        <w:trPr>
          <w:jc w:val="center"/>
        </w:trPr>
        <w:tc>
          <w:tcPr>
            <w:tcW w:w="2070" w:type="dxa"/>
            <w:tcBorders>
              <w:top w:val="single" w:sz="4" w:space="0" w:color="auto"/>
              <w:left w:val="nil"/>
              <w:bottom w:val="nil"/>
              <w:right w:val="nil"/>
            </w:tcBorders>
          </w:tcPr>
          <w:p w14:paraId="3C97E06B" w14:textId="77777777" w:rsidR="00FC69C6" w:rsidRDefault="00390DC6">
            <w:pPr>
              <w:widowControl/>
              <w:jc w:val="center"/>
              <w:rPr>
                <w:rFonts w:eastAsia="Calibri"/>
                <w:bCs/>
                <w:sz w:val="24"/>
                <w:szCs w:val="24"/>
                <w:lang w:val="en-US" w:eastAsia="en-US"/>
              </w:rPr>
            </w:pPr>
            <w:r>
              <w:rPr>
                <w:bCs/>
                <w:sz w:val="24"/>
                <w:szCs w:val="24"/>
                <w:lang w:val="en-US" w:eastAsia="en-US"/>
              </w:rPr>
              <w:t xml:space="preserve">Temperature (°C) </w:t>
            </w:r>
          </w:p>
        </w:tc>
        <w:tc>
          <w:tcPr>
            <w:tcW w:w="1840" w:type="dxa"/>
            <w:tcBorders>
              <w:top w:val="single" w:sz="4" w:space="0" w:color="auto"/>
              <w:left w:val="nil"/>
              <w:bottom w:val="nil"/>
              <w:right w:val="nil"/>
            </w:tcBorders>
          </w:tcPr>
          <w:p w14:paraId="29893C91" w14:textId="2F28617B" w:rsidR="00FC69C6" w:rsidRDefault="00390DC6">
            <w:pPr>
              <w:widowControl/>
              <w:jc w:val="center"/>
              <w:rPr>
                <w:rFonts w:eastAsia="Calibri"/>
                <w:bCs/>
                <w:sz w:val="24"/>
                <w:szCs w:val="24"/>
                <w:lang w:val="en-US" w:eastAsia="en-US"/>
              </w:rPr>
            </w:pPr>
            <w:r>
              <w:rPr>
                <w:bCs/>
                <w:sz w:val="24"/>
                <w:szCs w:val="24"/>
                <w:lang w:val="en-US" w:eastAsia="en-US"/>
              </w:rPr>
              <w:t>28-29</w:t>
            </w:r>
            <w:r w:rsidR="004010A6">
              <w:rPr>
                <w:bCs/>
                <w:sz w:val="24"/>
                <w:szCs w:val="24"/>
                <w:lang w:val="en-US" w:eastAsia="en-US"/>
              </w:rPr>
              <w:t xml:space="preserve"> </w:t>
            </w:r>
            <w:r w:rsidR="004010A6" w:rsidRPr="004010A6">
              <w:rPr>
                <w:bCs/>
                <w:sz w:val="24"/>
                <w:szCs w:val="24"/>
                <w:highlight w:val="yellow"/>
                <w:lang w:val="en-US" w:eastAsia="en-US"/>
              </w:rPr>
              <w:t>± 0.5</w:t>
            </w:r>
          </w:p>
        </w:tc>
        <w:tc>
          <w:tcPr>
            <w:tcW w:w="1559" w:type="dxa"/>
            <w:tcBorders>
              <w:top w:val="single" w:sz="4" w:space="0" w:color="auto"/>
              <w:left w:val="nil"/>
              <w:bottom w:val="nil"/>
              <w:right w:val="nil"/>
            </w:tcBorders>
          </w:tcPr>
          <w:p w14:paraId="10E55C66" w14:textId="77777777" w:rsidR="00FC69C6" w:rsidRDefault="00390DC6">
            <w:pPr>
              <w:widowControl/>
              <w:jc w:val="center"/>
              <w:rPr>
                <w:rFonts w:eastAsia="Calibri"/>
                <w:bCs/>
                <w:sz w:val="24"/>
                <w:szCs w:val="24"/>
                <w:lang w:val="en-US" w:eastAsia="en-US"/>
              </w:rPr>
            </w:pPr>
            <w:r>
              <w:rPr>
                <w:bCs/>
                <w:sz w:val="24"/>
                <w:szCs w:val="24"/>
                <w:lang w:val="en-US" w:eastAsia="en-US"/>
              </w:rPr>
              <w:t>25-30</w:t>
            </w:r>
          </w:p>
        </w:tc>
        <w:tc>
          <w:tcPr>
            <w:tcW w:w="2244" w:type="dxa"/>
            <w:vMerge w:val="restart"/>
            <w:tcBorders>
              <w:top w:val="single" w:sz="4" w:space="0" w:color="auto"/>
              <w:left w:val="nil"/>
              <w:bottom w:val="single" w:sz="4" w:space="0" w:color="auto"/>
              <w:right w:val="nil"/>
            </w:tcBorders>
            <w:vAlign w:val="center"/>
          </w:tcPr>
          <w:p w14:paraId="4A1660BD" w14:textId="77777777" w:rsidR="00FC69C6" w:rsidRDefault="00390DC6">
            <w:pPr>
              <w:widowControl/>
              <w:jc w:val="center"/>
              <w:rPr>
                <w:rFonts w:eastAsia="Calibri"/>
                <w:bCs/>
                <w:sz w:val="24"/>
                <w:szCs w:val="24"/>
                <w:lang w:val="en-US" w:eastAsia="en-US"/>
              </w:rPr>
            </w:pPr>
            <w:r>
              <w:rPr>
                <w:bCs/>
                <w:sz w:val="24"/>
                <w:szCs w:val="24"/>
                <w:lang w:val="en-US" w:eastAsia="en-US"/>
              </w:rPr>
              <w:t>SNI 6484.3 (2014)</w:t>
            </w:r>
          </w:p>
        </w:tc>
      </w:tr>
      <w:tr w:rsidR="00FC69C6" w14:paraId="4B2E8D55" w14:textId="77777777" w:rsidTr="004010A6">
        <w:trPr>
          <w:jc w:val="center"/>
        </w:trPr>
        <w:tc>
          <w:tcPr>
            <w:tcW w:w="2070" w:type="dxa"/>
          </w:tcPr>
          <w:p w14:paraId="65760306" w14:textId="77777777" w:rsidR="00FC69C6" w:rsidRDefault="00390DC6">
            <w:pPr>
              <w:widowControl/>
              <w:jc w:val="center"/>
              <w:rPr>
                <w:rFonts w:eastAsia="Calibri"/>
                <w:bCs/>
                <w:sz w:val="24"/>
                <w:szCs w:val="24"/>
                <w:lang w:val="en-US" w:eastAsia="en-US"/>
              </w:rPr>
            </w:pPr>
            <w:r>
              <w:rPr>
                <w:bCs/>
                <w:sz w:val="24"/>
                <w:szCs w:val="24"/>
                <w:lang w:val="en-US" w:eastAsia="en-US"/>
              </w:rPr>
              <w:t>pH</w:t>
            </w:r>
          </w:p>
        </w:tc>
        <w:tc>
          <w:tcPr>
            <w:tcW w:w="1840" w:type="dxa"/>
          </w:tcPr>
          <w:p w14:paraId="7B5EF12A" w14:textId="0B47267B" w:rsidR="00FC69C6" w:rsidRDefault="00390DC6">
            <w:pPr>
              <w:widowControl/>
              <w:jc w:val="center"/>
              <w:rPr>
                <w:rFonts w:eastAsia="Calibri"/>
                <w:bCs/>
                <w:sz w:val="24"/>
                <w:szCs w:val="24"/>
                <w:lang w:val="en-US" w:eastAsia="en-US"/>
              </w:rPr>
            </w:pPr>
            <w:r>
              <w:rPr>
                <w:bCs/>
                <w:sz w:val="24"/>
                <w:szCs w:val="24"/>
                <w:lang w:val="en-US" w:eastAsia="en-US"/>
              </w:rPr>
              <w:t>6.7-7.3</w:t>
            </w:r>
            <w:r w:rsidR="004010A6">
              <w:rPr>
                <w:bCs/>
                <w:sz w:val="24"/>
                <w:szCs w:val="24"/>
                <w:lang w:val="en-US" w:eastAsia="en-US"/>
              </w:rPr>
              <w:t xml:space="preserve"> </w:t>
            </w:r>
            <w:r w:rsidR="004010A6" w:rsidRPr="004010A6">
              <w:rPr>
                <w:bCs/>
                <w:sz w:val="24"/>
                <w:szCs w:val="24"/>
                <w:highlight w:val="yellow"/>
                <w:lang w:val="en-US" w:eastAsia="en-US"/>
              </w:rPr>
              <w:t>± 0.3</w:t>
            </w:r>
          </w:p>
        </w:tc>
        <w:tc>
          <w:tcPr>
            <w:tcW w:w="1559" w:type="dxa"/>
          </w:tcPr>
          <w:p w14:paraId="0456DF5C" w14:textId="77777777" w:rsidR="00FC69C6" w:rsidRDefault="00390DC6">
            <w:pPr>
              <w:widowControl/>
              <w:jc w:val="center"/>
              <w:rPr>
                <w:rFonts w:eastAsia="Calibri"/>
                <w:bCs/>
                <w:sz w:val="24"/>
                <w:szCs w:val="24"/>
                <w:lang w:val="en-US" w:eastAsia="en-US"/>
              </w:rPr>
            </w:pPr>
            <w:r>
              <w:rPr>
                <w:bCs/>
                <w:sz w:val="24"/>
                <w:szCs w:val="24"/>
                <w:lang w:val="en-US" w:eastAsia="en-US"/>
              </w:rPr>
              <w:t>6,5-8</w:t>
            </w:r>
          </w:p>
        </w:tc>
        <w:tc>
          <w:tcPr>
            <w:tcW w:w="2244" w:type="dxa"/>
            <w:vMerge/>
            <w:tcBorders>
              <w:top w:val="single" w:sz="4" w:space="0" w:color="auto"/>
              <w:left w:val="nil"/>
              <w:bottom w:val="single" w:sz="4" w:space="0" w:color="auto"/>
              <w:right w:val="nil"/>
            </w:tcBorders>
            <w:vAlign w:val="center"/>
          </w:tcPr>
          <w:p w14:paraId="13C36CB8" w14:textId="77777777" w:rsidR="00FC69C6" w:rsidRDefault="00FC69C6">
            <w:pPr>
              <w:widowControl/>
              <w:rPr>
                <w:rFonts w:eastAsia="Calibri"/>
                <w:bCs/>
                <w:sz w:val="24"/>
                <w:szCs w:val="24"/>
                <w:lang w:val="en-US" w:eastAsia="en-US"/>
              </w:rPr>
            </w:pPr>
          </w:p>
        </w:tc>
      </w:tr>
      <w:tr w:rsidR="00FC69C6" w14:paraId="17933E2B" w14:textId="77777777" w:rsidTr="004010A6">
        <w:trPr>
          <w:jc w:val="center"/>
        </w:trPr>
        <w:tc>
          <w:tcPr>
            <w:tcW w:w="2070" w:type="dxa"/>
            <w:tcBorders>
              <w:top w:val="nil"/>
              <w:left w:val="nil"/>
              <w:bottom w:val="single" w:sz="4" w:space="0" w:color="auto"/>
              <w:right w:val="nil"/>
            </w:tcBorders>
          </w:tcPr>
          <w:p w14:paraId="53F0E273" w14:textId="77777777" w:rsidR="00FC69C6" w:rsidRDefault="00390DC6">
            <w:pPr>
              <w:widowControl/>
              <w:jc w:val="center"/>
              <w:rPr>
                <w:rFonts w:eastAsia="Calibri"/>
                <w:bCs/>
                <w:sz w:val="24"/>
                <w:szCs w:val="24"/>
                <w:lang w:val="en-US" w:eastAsia="en-US"/>
              </w:rPr>
            </w:pPr>
            <w:r>
              <w:rPr>
                <w:bCs/>
                <w:sz w:val="24"/>
                <w:szCs w:val="24"/>
                <w:lang w:val="en-US" w:eastAsia="en-US"/>
              </w:rPr>
              <w:t>DO (mg/L)</w:t>
            </w:r>
          </w:p>
        </w:tc>
        <w:tc>
          <w:tcPr>
            <w:tcW w:w="1840" w:type="dxa"/>
            <w:tcBorders>
              <w:top w:val="nil"/>
              <w:left w:val="nil"/>
              <w:bottom w:val="single" w:sz="4" w:space="0" w:color="auto"/>
              <w:right w:val="nil"/>
            </w:tcBorders>
          </w:tcPr>
          <w:p w14:paraId="5B2C372F" w14:textId="0CBC4A08" w:rsidR="00FC69C6" w:rsidRDefault="00390DC6">
            <w:pPr>
              <w:widowControl/>
              <w:jc w:val="center"/>
              <w:rPr>
                <w:rFonts w:eastAsia="Calibri"/>
                <w:bCs/>
                <w:sz w:val="24"/>
                <w:szCs w:val="24"/>
                <w:lang w:val="en-US" w:eastAsia="en-US"/>
              </w:rPr>
            </w:pPr>
            <w:r>
              <w:rPr>
                <w:bCs/>
                <w:sz w:val="24"/>
                <w:szCs w:val="24"/>
                <w:lang w:val="en-US" w:eastAsia="en-US"/>
              </w:rPr>
              <w:t>3.9-4.2</w:t>
            </w:r>
            <w:r w:rsidR="004010A6">
              <w:rPr>
                <w:bCs/>
                <w:sz w:val="24"/>
                <w:szCs w:val="24"/>
                <w:lang w:val="en-US" w:eastAsia="en-US"/>
              </w:rPr>
              <w:t xml:space="preserve"> </w:t>
            </w:r>
            <w:r w:rsidR="004010A6" w:rsidRPr="004010A6">
              <w:rPr>
                <w:bCs/>
                <w:sz w:val="24"/>
                <w:szCs w:val="24"/>
                <w:highlight w:val="yellow"/>
                <w:lang w:val="en-US" w:eastAsia="en-US"/>
              </w:rPr>
              <w:t>± 0.25</w:t>
            </w:r>
          </w:p>
        </w:tc>
        <w:tc>
          <w:tcPr>
            <w:tcW w:w="1559" w:type="dxa"/>
            <w:tcBorders>
              <w:top w:val="nil"/>
              <w:left w:val="nil"/>
              <w:bottom w:val="single" w:sz="4" w:space="0" w:color="auto"/>
              <w:right w:val="nil"/>
            </w:tcBorders>
          </w:tcPr>
          <w:p w14:paraId="4A4DE502" w14:textId="77777777" w:rsidR="00FC69C6" w:rsidRDefault="00390DC6">
            <w:pPr>
              <w:widowControl/>
              <w:jc w:val="center"/>
              <w:rPr>
                <w:rFonts w:eastAsia="Calibri"/>
                <w:bCs/>
                <w:sz w:val="24"/>
                <w:szCs w:val="24"/>
                <w:lang w:val="en-US" w:eastAsia="en-US"/>
              </w:rPr>
            </w:pPr>
            <w:r>
              <w:rPr>
                <w:bCs/>
                <w:sz w:val="24"/>
                <w:szCs w:val="24"/>
                <w:lang w:val="en-US" w:eastAsia="en-US"/>
              </w:rPr>
              <w:t>&gt;3</w:t>
            </w:r>
          </w:p>
        </w:tc>
        <w:tc>
          <w:tcPr>
            <w:tcW w:w="2244" w:type="dxa"/>
            <w:vMerge/>
            <w:tcBorders>
              <w:top w:val="single" w:sz="4" w:space="0" w:color="auto"/>
              <w:left w:val="nil"/>
              <w:bottom w:val="single" w:sz="4" w:space="0" w:color="auto"/>
              <w:right w:val="nil"/>
            </w:tcBorders>
            <w:vAlign w:val="center"/>
          </w:tcPr>
          <w:p w14:paraId="29575CE3" w14:textId="77777777" w:rsidR="00FC69C6" w:rsidRDefault="00FC69C6">
            <w:pPr>
              <w:widowControl/>
              <w:rPr>
                <w:rFonts w:eastAsia="Calibri"/>
                <w:bCs/>
                <w:sz w:val="24"/>
                <w:szCs w:val="24"/>
                <w:lang w:val="en-US" w:eastAsia="en-US"/>
              </w:rPr>
            </w:pPr>
          </w:p>
        </w:tc>
      </w:tr>
    </w:tbl>
    <w:p w14:paraId="43CE5D83" w14:textId="77777777" w:rsidR="00FC69C6" w:rsidRDefault="00FC69C6">
      <w:pPr>
        <w:widowControl/>
        <w:jc w:val="center"/>
        <w:rPr>
          <w:rFonts w:ascii="Arial" w:eastAsia="Arial" w:hAnsi="Arial" w:cs="Arial"/>
          <w:color w:val="000000"/>
          <w:sz w:val="20"/>
          <w:szCs w:val="20"/>
          <w:lang w:val="id-ID"/>
        </w:rPr>
      </w:pPr>
    </w:p>
    <w:p w14:paraId="7E8BF154" w14:textId="77777777" w:rsidR="00FC69C6" w:rsidRDefault="00FC69C6">
      <w:pPr>
        <w:widowControl/>
        <w:jc w:val="center"/>
        <w:rPr>
          <w:rFonts w:ascii="Arial" w:eastAsia="Arial" w:hAnsi="Arial" w:cs="Arial"/>
          <w:color w:val="000000"/>
          <w:sz w:val="20"/>
          <w:szCs w:val="20"/>
          <w:lang w:val="id-ID"/>
        </w:rPr>
      </w:pPr>
    </w:p>
    <w:p w14:paraId="15138AE8" w14:textId="77777777" w:rsidR="00FC69C6" w:rsidRDefault="00FC69C6">
      <w:pPr>
        <w:widowControl/>
        <w:jc w:val="both"/>
        <w:rPr>
          <w:rFonts w:ascii="Arial" w:eastAsia="Arial" w:hAnsi="Arial" w:cs="Arial"/>
          <w:b/>
          <w:bCs/>
          <w:color w:val="000000"/>
          <w:sz w:val="20"/>
          <w:szCs w:val="20"/>
        </w:rPr>
      </w:pPr>
    </w:p>
    <w:p w14:paraId="58436578" w14:textId="77777777" w:rsidR="00FC69C6" w:rsidRDefault="00390DC6">
      <w:pPr>
        <w:widowControl/>
        <w:jc w:val="both"/>
        <w:rPr>
          <w:rFonts w:ascii="Arial" w:eastAsia="Arial" w:hAnsi="Arial" w:cs="Arial"/>
          <w:color w:val="000000"/>
          <w:sz w:val="20"/>
          <w:szCs w:val="20"/>
        </w:rPr>
      </w:pPr>
      <w:r>
        <w:rPr>
          <w:rFonts w:ascii="Arial" w:eastAsia="Arial" w:hAnsi="Arial" w:cs="Arial"/>
          <w:color w:val="000000"/>
          <w:sz w:val="20"/>
          <w:szCs w:val="20"/>
        </w:rPr>
        <w:t>Table 3 shows that the water quality during the experiment maintained a temperature range of 28-29°C, pH values between 6.7-7.3, and dissolved oxygen levels of 3.9-4.2 mg/L. These results indicate that the water quality during the study remained within the recommended ranges based on the Indonesian National Standard (SNI 6484.3:2014), which specifies ideal conditions of 25-30°C for temperature, pH between 6.5-8.0, and DO levels above 3 mg/L.</w:t>
      </w:r>
    </w:p>
    <w:p w14:paraId="684B9BF9" w14:textId="77777777" w:rsidR="00FC69C6" w:rsidRDefault="00FC69C6" w:rsidP="000E1DB8">
      <w:pPr>
        <w:widowControl/>
        <w:rPr>
          <w:rFonts w:ascii="Arial" w:eastAsia="Arial" w:hAnsi="Arial" w:cs="Arial"/>
          <w:color w:val="000000"/>
          <w:sz w:val="20"/>
          <w:szCs w:val="20"/>
          <w:lang w:val="id-ID"/>
        </w:rPr>
        <w:sectPr w:rsidR="00FC69C6">
          <w:type w:val="continuous"/>
          <w:pgSz w:w="11910" w:h="16840"/>
          <w:pgMar w:top="1140" w:right="1320" w:bottom="280" w:left="1340" w:header="720" w:footer="720" w:gutter="0"/>
          <w:cols w:space="720"/>
        </w:sectPr>
      </w:pPr>
    </w:p>
    <w:p w14:paraId="4AD46DB3" w14:textId="77777777" w:rsidR="00FC69C6" w:rsidRDefault="00FC69C6">
      <w:pPr>
        <w:widowControl/>
        <w:jc w:val="both"/>
        <w:rPr>
          <w:rFonts w:ascii="Arial" w:eastAsia="Arial" w:hAnsi="Arial" w:cs="Arial"/>
          <w:color w:val="000000"/>
          <w:sz w:val="20"/>
          <w:szCs w:val="20"/>
        </w:rPr>
        <w:sectPr w:rsidR="00FC69C6">
          <w:type w:val="continuous"/>
          <w:pgSz w:w="11910" w:h="16840"/>
          <w:pgMar w:top="1140" w:right="1320" w:bottom="280" w:left="1340" w:header="720" w:footer="720" w:gutter="0"/>
          <w:cols w:space="720"/>
        </w:sectPr>
      </w:pPr>
    </w:p>
    <w:p w14:paraId="75BE9F7B" w14:textId="77777777" w:rsidR="00FC69C6" w:rsidRDefault="00FC69C6">
      <w:pPr>
        <w:widowControl/>
        <w:jc w:val="both"/>
        <w:rPr>
          <w:rFonts w:ascii="Arial" w:eastAsia="Arial" w:hAnsi="Arial" w:cs="Arial"/>
          <w:b/>
          <w:bCs/>
          <w:color w:val="000000"/>
          <w:sz w:val="20"/>
          <w:szCs w:val="20"/>
        </w:rPr>
      </w:pPr>
    </w:p>
    <w:p w14:paraId="51E1B77A" w14:textId="77777777" w:rsidR="00FC69C6" w:rsidRDefault="00FC69C6">
      <w:pPr>
        <w:widowControl/>
        <w:jc w:val="both"/>
        <w:rPr>
          <w:rFonts w:ascii="Arial" w:eastAsia="Arial" w:hAnsi="Arial" w:cs="Arial"/>
          <w:b/>
          <w:bCs/>
          <w:color w:val="000000"/>
        </w:rPr>
        <w:sectPr w:rsidR="00FC69C6">
          <w:type w:val="continuous"/>
          <w:pgSz w:w="11910" w:h="16840"/>
          <w:pgMar w:top="1140" w:right="1320" w:bottom="280" w:left="1340" w:header="720" w:footer="720" w:gutter="0"/>
          <w:cols w:space="720"/>
        </w:sectPr>
      </w:pPr>
    </w:p>
    <w:p w14:paraId="3B90F592" w14:textId="77777777" w:rsidR="00FC69C6" w:rsidRDefault="00390DC6">
      <w:pPr>
        <w:pStyle w:val="Heading1"/>
        <w:numPr>
          <w:ilvl w:val="0"/>
          <w:numId w:val="14"/>
        </w:numPr>
        <w:tabs>
          <w:tab w:val="left" w:pos="348"/>
        </w:tabs>
        <w:spacing w:before="164"/>
        <w:ind w:left="347" w:hanging="248"/>
      </w:pPr>
      <w:r>
        <w:t>CONCLUSION</w:t>
      </w:r>
    </w:p>
    <w:p w14:paraId="4329A506" w14:textId="0A747FE3" w:rsidR="00FC69C6" w:rsidRDefault="00390DC6">
      <w:pPr>
        <w:spacing w:before="133"/>
        <w:ind w:right="128"/>
        <w:jc w:val="both"/>
        <w:rPr>
          <w:rFonts w:ascii="Arial" w:eastAsia="Arial" w:hAnsi="Arial" w:cs="Arial"/>
          <w:color w:val="000000"/>
          <w:sz w:val="20"/>
          <w:szCs w:val="20"/>
        </w:rPr>
      </w:pPr>
      <w:r>
        <w:rPr>
          <w:rFonts w:ascii="Arial" w:eastAsia="Arial" w:hAnsi="Arial" w:cs="Arial"/>
          <w:color w:val="000000"/>
          <w:sz w:val="20"/>
          <w:szCs w:val="20"/>
        </w:rPr>
        <w:t xml:space="preserve">This study demonstrated that differences in feed dosage had a significant effect on average weight gain, feed </w:t>
      </w:r>
      <w:proofErr w:type="spellStart"/>
      <w:r>
        <w:rPr>
          <w:rFonts w:ascii="Arial" w:eastAsia="Arial" w:hAnsi="Arial" w:cs="Arial"/>
          <w:color w:val="000000"/>
          <w:sz w:val="20"/>
          <w:szCs w:val="20"/>
        </w:rPr>
        <w:t>conver</w:t>
      </w:r>
      <w:r w:rsidR="0086386C">
        <w:rPr>
          <w:rFonts w:ascii="Arial" w:eastAsia="Arial" w:hAnsi="Arial" w:cs="Arial"/>
          <w:color w:val="000000"/>
          <w:sz w:val="20"/>
          <w:szCs w:val="20"/>
        </w:rPr>
        <w:t>t</w:t>
      </w:r>
      <w:r>
        <w:rPr>
          <w:rFonts w:ascii="Arial" w:eastAsia="Arial" w:hAnsi="Arial" w:cs="Arial"/>
          <w:color w:val="000000"/>
          <w:sz w:val="20"/>
          <w:szCs w:val="20"/>
        </w:rPr>
        <w:t>ion</w:t>
      </w:r>
      <w:proofErr w:type="spellEnd"/>
      <w:r>
        <w:rPr>
          <w:rFonts w:ascii="Arial" w:eastAsia="Arial" w:hAnsi="Arial" w:cs="Arial"/>
          <w:color w:val="000000"/>
          <w:sz w:val="20"/>
          <w:szCs w:val="20"/>
        </w:rPr>
        <w:t xml:space="preserve"> ratio, and feed cost in both G4 transgenic and non</w:t>
      </w:r>
      <w:r w:rsidR="00E51639">
        <w:rPr>
          <w:rFonts w:ascii="Arial" w:eastAsia="Arial" w:hAnsi="Arial" w:cs="Arial"/>
          <w:color w:val="000000"/>
          <w:sz w:val="20"/>
          <w:szCs w:val="20"/>
        </w:rPr>
        <w:t>-</w:t>
      </w:r>
      <w:r>
        <w:rPr>
          <w:rFonts w:ascii="Arial" w:eastAsia="Arial" w:hAnsi="Arial" w:cs="Arial"/>
          <w:color w:val="000000"/>
          <w:sz w:val="20"/>
          <w:szCs w:val="20"/>
        </w:rPr>
        <w:t xml:space="preserve">transgenic </w:t>
      </w:r>
      <w:proofErr w:type="spellStart"/>
      <w:r w:rsidRPr="00E51639">
        <w:rPr>
          <w:rFonts w:ascii="Arial" w:eastAsia="Arial" w:hAnsi="Arial" w:cs="Arial"/>
          <w:i/>
          <w:iCs/>
          <w:color w:val="000000"/>
          <w:sz w:val="20"/>
          <w:szCs w:val="20"/>
          <w:highlight w:val="yellow"/>
        </w:rPr>
        <w:t>mutiara</w:t>
      </w:r>
      <w:proofErr w:type="spellEnd"/>
      <w:r>
        <w:rPr>
          <w:rFonts w:ascii="Arial" w:eastAsia="Arial" w:hAnsi="Arial" w:cs="Arial"/>
          <w:color w:val="000000"/>
          <w:sz w:val="20"/>
          <w:szCs w:val="20"/>
        </w:rPr>
        <w:t xml:space="preserve"> catfish.</w:t>
      </w:r>
      <w:r w:rsidR="00E51639" w:rsidRPr="00E51639">
        <w:rPr>
          <w:rFonts w:asciiTheme="majorBidi" w:hAnsiTheme="majorBidi" w:cstheme="majorBidi"/>
        </w:rPr>
        <w:t xml:space="preserve"> </w:t>
      </w:r>
      <w:r w:rsidR="00E51639" w:rsidRPr="00E51639">
        <w:rPr>
          <w:rStyle w:val="Strong"/>
          <w:rFonts w:ascii="Arial" w:hAnsi="Arial" w:cs="Arial"/>
          <w:b w:val="0"/>
          <w:bCs w:val="0"/>
          <w:sz w:val="20"/>
          <w:szCs w:val="20"/>
          <w:highlight w:val="yellow"/>
        </w:rPr>
        <w:t xml:space="preserve">Stable GH expression in G4 supports long-term use of transgenic </w:t>
      </w:r>
      <w:proofErr w:type="spellStart"/>
      <w:r w:rsidR="00E51639" w:rsidRPr="00E51639">
        <w:rPr>
          <w:rStyle w:val="Strong"/>
          <w:rFonts w:ascii="Arial" w:hAnsi="Arial" w:cs="Arial"/>
          <w:b w:val="0"/>
          <w:bCs w:val="0"/>
          <w:sz w:val="20"/>
          <w:szCs w:val="20"/>
          <w:highlight w:val="yellow"/>
        </w:rPr>
        <w:t>broodstock</w:t>
      </w:r>
      <w:proofErr w:type="spellEnd"/>
      <w:r w:rsidR="00E51639" w:rsidRPr="00E51639">
        <w:rPr>
          <w:rStyle w:val="Strong"/>
          <w:rFonts w:ascii="Arial" w:hAnsi="Arial" w:cs="Arial"/>
          <w:b w:val="0"/>
          <w:bCs w:val="0"/>
          <w:sz w:val="20"/>
          <w:szCs w:val="20"/>
          <w:highlight w:val="yellow"/>
        </w:rPr>
        <w:t>.</w:t>
      </w:r>
      <w:r>
        <w:rPr>
          <w:rFonts w:ascii="Arial" w:eastAsia="Arial" w:hAnsi="Arial" w:cs="Arial"/>
          <w:color w:val="000000"/>
          <w:sz w:val="20"/>
          <w:szCs w:val="20"/>
        </w:rPr>
        <w:t xml:space="preserve"> The best performance was achieved with the combination of 2% body biomass of HI-PRO-VITE 781 pellets supplemented with 10 g of boiled tuna flakes (treatment B), which resulted in the highest weight gain, best feed efficiency, and most economical feed cost. This combination also generated the highest net income, and therefore can be recommended as the optimal feed dosage for the cultivation of G4 transgenic </w:t>
      </w:r>
      <w:proofErr w:type="spellStart"/>
      <w:r>
        <w:rPr>
          <w:rFonts w:ascii="Arial" w:eastAsia="Arial" w:hAnsi="Arial" w:cs="Arial"/>
          <w:color w:val="000000"/>
          <w:sz w:val="20"/>
          <w:szCs w:val="20"/>
        </w:rPr>
        <w:t>mutiara</w:t>
      </w:r>
      <w:proofErr w:type="spellEnd"/>
      <w:r>
        <w:rPr>
          <w:rFonts w:ascii="Arial" w:eastAsia="Arial" w:hAnsi="Arial" w:cs="Arial"/>
          <w:color w:val="000000"/>
          <w:sz w:val="20"/>
          <w:szCs w:val="20"/>
        </w:rPr>
        <w:t xml:space="preserve"> catfish.</w:t>
      </w:r>
    </w:p>
    <w:p w14:paraId="4DB554E3" w14:textId="306EA38A" w:rsidR="00FC69C6" w:rsidRDefault="00FC69C6">
      <w:pPr>
        <w:spacing w:before="133"/>
        <w:ind w:right="128"/>
        <w:jc w:val="both"/>
        <w:rPr>
          <w:rFonts w:ascii="Arial" w:eastAsia="Arial" w:hAnsi="Arial" w:cs="Arial"/>
          <w:color w:val="000000"/>
          <w:sz w:val="20"/>
          <w:szCs w:val="20"/>
        </w:rPr>
      </w:pPr>
    </w:p>
    <w:p w14:paraId="4003B98B" w14:textId="77777777" w:rsidR="00294ECA" w:rsidRPr="00294ECA" w:rsidRDefault="00294ECA" w:rsidP="00294ECA">
      <w:pPr>
        <w:spacing w:before="133"/>
        <w:ind w:right="128"/>
        <w:jc w:val="both"/>
        <w:rPr>
          <w:rFonts w:ascii="Arial" w:eastAsia="Arial" w:hAnsi="Arial" w:cs="Arial"/>
          <w:b/>
          <w:color w:val="000000"/>
          <w:sz w:val="20"/>
          <w:szCs w:val="20"/>
        </w:rPr>
      </w:pPr>
      <w:r w:rsidRPr="00294ECA">
        <w:rPr>
          <w:rFonts w:ascii="Arial" w:eastAsia="Arial" w:hAnsi="Arial" w:cs="Arial"/>
          <w:b/>
          <w:color w:val="000000"/>
          <w:sz w:val="20"/>
          <w:szCs w:val="20"/>
        </w:rPr>
        <w:t>Disclaimer (Artificial intelligence)</w:t>
      </w:r>
    </w:p>
    <w:p w14:paraId="69F1D3E6" w14:textId="77777777" w:rsidR="00294ECA" w:rsidRPr="00294ECA" w:rsidRDefault="00294ECA" w:rsidP="00294ECA">
      <w:pPr>
        <w:spacing w:before="133"/>
        <w:ind w:right="128"/>
        <w:jc w:val="both"/>
        <w:rPr>
          <w:rFonts w:ascii="Arial" w:eastAsia="Arial" w:hAnsi="Arial" w:cs="Arial"/>
          <w:color w:val="000000"/>
          <w:sz w:val="20"/>
          <w:szCs w:val="20"/>
        </w:rPr>
      </w:pPr>
      <w:r w:rsidRPr="00294ECA">
        <w:rPr>
          <w:rFonts w:ascii="Arial" w:eastAsia="Arial" w:hAnsi="Arial" w:cs="Arial"/>
          <w:color w:val="000000"/>
          <w:sz w:val="20"/>
          <w:szCs w:val="20"/>
        </w:rPr>
        <w:t xml:space="preserve">Option 1: </w:t>
      </w:r>
    </w:p>
    <w:p w14:paraId="7D5B068D" w14:textId="77777777" w:rsidR="00294ECA" w:rsidRPr="00294ECA" w:rsidRDefault="00294ECA" w:rsidP="00294ECA">
      <w:pPr>
        <w:spacing w:before="133"/>
        <w:ind w:right="128"/>
        <w:jc w:val="both"/>
        <w:rPr>
          <w:rFonts w:ascii="Arial" w:eastAsia="Arial" w:hAnsi="Arial" w:cs="Arial"/>
          <w:color w:val="000000"/>
          <w:sz w:val="20"/>
          <w:szCs w:val="20"/>
        </w:rPr>
      </w:pPr>
      <w:r w:rsidRPr="00294ECA">
        <w:rPr>
          <w:rFonts w:ascii="Arial" w:eastAsia="Arial" w:hAnsi="Arial" w:cs="Arial"/>
          <w:color w:val="000000"/>
          <w:sz w:val="20"/>
          <w:szCs w:val="20"/>
        </w:rPr>
        <w:t>Author(s) hereby declare that NO generative AI technologies such as Large Language Models (</w:t>
      </w:r>
      <w:proofErr w:type="spellStart"/>
      <w:r w:rsidRPr="00294ECA">
        <w:rPr>
          <w:rFonts w:ascii="Arial" w:eastAsia="Arial" w:hAnsi="Arial" w:cs="Arial"/>
          <w:color w:val="000000"/>
          <w:sz w:val="20"/>
          <w:szCs w:val="20"/>
        </w:rPr>
        <w:t>ChatGPT</w:t>
      </w:r>
      <w:proofErr w:type="spellEnd"/>
      <w:r w:rsidRPr="00294ECA">
        <w:rPr>
          <w:rFonts w:ascii="Arial" w:eastAsia="Arial" w:hAnsi="Arial" w:cs="Arial"/>
          <w:color w:val="000000"/>
          <w:sz w:val="20"/>
          <w:szCs w:val="20"/>
        </w:rPr>
        <w:t xml:space="preserve">, COPILOT, etc.) and text-to-image generators have been used during the writing or editing of this manuscript. </w:t>
      </w:r>
    </w:p>
    <w:p w14:paraId="281753EC" w14:textId="77777777" w:rsidR="00294ECA" w:rsidRPr="00294ECA" w:rsidRDefault="00294ECA" w:rsidP="00294ECA">
      <w:pPr>
        <w:spacing w:before="133"/>
        <w:ind w:right="128"/>
        <w:jc w:val="both"/>
        <w:rPr>
          <w:rFonts w:ascii="Arial" w:eastAsia="Arial" w:hAnsi="Arial" w:cs="Arial"/>
          <w:color w:val="000000"/>
          <w:sz w:val="20"/>
          <w:szCs w:val="20"/>
        </w:rPr>
      </w:pPr>
      <w:r w:rsidRPr="00294ECA">
        <w:rPr>
          <w:rFonts w:ascii="Arial" w:eastAsia="Arial" w:hAnsi="Arial" w:cs="Arial"/>
          <w:color w:val="000000"/>
          <w:sz w:val="20"/>
          <w:szCs w:val="20"/>
        </w:rPr>
        <w:t xml:space="preserve">Option 2: </w:t>
      </w:r>
    </w:p>
    <w:p w14:paraId="21FB5296" w14:textId="77777777" w:rsidR="00294ECA" w:rsidRPr="00294ECA" w:rsidRDefault="00294ECA" w:rsidP="00294ECA">
      <w:pPr>
        <w:spacing w:before="133"/>
        <w:ind w:right="128"/>
        <w:jc w:val="both"/>
        <w:rPr>
          <w:rFonts w:ascii="Arial" w:eastAsia="Arial" w:hAnsi="Arial" w:cs="Arial"/>
          <w:color w:val="000000"/>
          <w:sz w:val="20"/>
          <w:szCs w:val="20"/>
        </w:rPr>
      </w:pPr>
      <w:r w:rsidRPr="00294ECA">
        <w:rPr>
          <w:rFonts w:ascii="Arial" w:eastAsia="Arial" w:hAnsi="Arial" w:cs="Arial"/>
          <w:color w:val="000000"/>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19C13C4" w14:textId="77777777" w:rsidR="00294ECA" w:rsidRPr="00294ECA" w:rsidRDefault="00294ECA" w:rsidP="00294ECA">
      <w:pPr>
        <w:spacing w:before="133"/>
        <w:ind w:right="128"/>
        <w:jc w:val="both"/>
        <w:rPr>
          <w:rFonts w:ascii="Arial" w:eastAsia="Arial" w:hAnsi="Arial" w:cs="Arial"/>
          <w:color w:val="000000"/>
          <w:sz w:val="20"/>
          <w:szCs w:val="20"/>
        </w:rPr>
      </w:pPr>
      <w:r w:rsidRPr="00294ECA">
        <w:rPr>
          <w:rFonts w:ascii="Arial" w:eastAsia="Arial" w:hAnsi="Arial" w:cs="Arial"/>
          <w:color w:val="000000"/>
          <w:sz w:val="20"/>
          <w:szCs w:val="20"/>
        </w:rPr>
        <w:t>Details of the AI usage are given below:</w:t>
      </w:r>
    </w:p>
    <w:p w14:paraId="1BAF26CA" w14:textId="77777777" w:rsidR="00294ECA" w:rsidRPr="00294ECA" w:rsidRDefault="00294ECA" w:rsidP="00294ECA">
      <w:pPr>
        <w:spacing w:before="133"/>
        <w:ind w:right="128"/>
        <w:jc w:val="both"/>
        <w:rPr>
          <w:rFonts w:ascii="Arial" w:eastAsia="Arial" w:hAnsi="Arial" w:cs="Arial"/>
          <w:color w:val="000000"/>
          <w:sz w:val="20"/>
          <w:szCs w:val="20"/>
        </w:rPr>
      </w:pPr>
      <w:r w:rsidRPr="00294ECA">
        <w:rPr>
          <w:rFonts w:ascii="Arial" w:eastAsia="Arial" w:hAnsi="Arial" w:cs="Arial"/>
          <w:color w:val="000000"/>
          <w:sz w:val="20"/>
          <w:szCs w:val="20"/>
        </w:rPr>
        <w:t>1.</w:t>
      </w:r>
    </w:p>
    <w:p w14:paraId="296FCC08" w14:textId="77777777" w:rsidR="00294ECA" w:rsidRPr="00294ECA" w:rsidRDefault="00294ECA" w:rsidP="00294ECA">
      <w:pPr>
        <w:spacing w:before="133"/>
        <w:ind w:right="128"/>
        <w:jc w:val="both"/>
        <w:rPr>
          <w:rFonts w:ascii="Arial" w:eastAsia="Arial" w:hAnsi="Arial" w:cs="Arial"/>
          <w:color w:val="000000"/>
          <w:sz w:val="20"/>
          <w:szCs w:val="20"/>
        </w:rPr>
      </w:pPr>
      <w:r w:rsidRPr="00294ECA">
        <w:rPr>
          <w:rFonts w:ascii="Arial" w:eastAsia="Arial" w:hAnsi="Arial" w:cs="Arial"/>
          <w:color w:val="000000"/>
          <w:sz w:val="20"/>
          <w:szCs w:val="20"/>
        </w:rPr>
        <w:t>2.</w:t>
      </w:r>
    </w:p>
    <w:p w14:paraId="1F84AEA4" w14:textId="40F30EAC" w:rsidR="00294ECA" w:rsidRDefault="00294ECA" w:rsidP="00294ECA">
      <w:pPr>
        <w:spacing w:before="133"/>
        <w:ind w:right="128"/>
        <w:jc w:val="both"/>
        <w:rPr>
          <w:rFonts w:ascii="Arial" w:eastAsia="Arial" w:hAnsi="Arial" w:cs="Arial"/>
          <w:color w:val="000000"/>
          <w:sz w:val="20"/>
          <w:szCs w:val="20"/>
        </w:rPr>
      </w:pPr>
      <w:r w:rsidRPr="00294ECA">
        <w:rPr>
          <w:rFonts w:ascii="Arial" w:eastAsia="Arial" w:hAnsi="Arial" w:cs="Arial"/>
          <w:color w:val="000000"/>
          <w:sz w:val="20"/>
          <w:szCs w:val="20"/>
        </w:rPr>
        <w:t>3.</w:t>
      </w:r>
    </w:p>
    <w:p w14:paraId="5333008B" w14:textId="77777777" w:rsidR="00294ECA" w:rsidRDefault="00294ECA">
      <w:pPr>
        <w:spacing w:before="133"/>
        <w:ind w:right="128"/>
        <w:jc w:val="both"/>
        <w:rPr>
          <w:rFonts w:ascii="Arial" w:eastAsia="Arial" w:hAnsi="Arial" w:cs="Arial"/>
          <w:color w:val="000000"/>
          <w:sz w:val="20"/>
          <w:szCs w:val="20"/>
        </w:rPr>
      </w:pPr>
    </w:p>
    <w:p w14:paraId="2FACBFDB" w14:textId="77777777" w:rsidR="00FC69C6" w:rsidRDefault="00FC69C6">
      <w:pPr>
        <w:spacing w:before="5"/>
        <w:rPr>
          <w:rFonts w:ascii="Arial" w:eastAsia="Arial" w:hAnsi="Arial" w:cs="Arial"/>
          <w:color w:val="000000"/>
          <w:sz w:val="20"/>
          <w:szCs w:val="20"/>
        </w:rPr>
      </w:pPr>
    </w:p>
    <w:p w14:paraId="114904E3" w14:textId="77777777" w:rsidR="00FC69C6" w:rsidRDefault="00390DC6">
      <w:pPr>
        <w:pStyle w:val="Heading1"/>
        <w:ind w:firstLine="100"/>
      </w:pPr>
      <w:r>
        <w:t>REFERENCES</w:t>
      </w:r>
    </w:p>
    <w:p w14:paraId="394D2127" w14:textId="77777777" w:rsidR="00FC69C6" w:rsidRDefault="00FC69C6">
      <w:pPr>
        <w:pStyle w:val="Heading1"/>
        <w:ind w:firstLine="100"/>
      </w:pPr>
    </w:p>
    <w:p w14:paraId="755596B4" w14:textId="3B6E539E" w:rsidR="00FC69C6" w:rsidRDefault="00390DC6">
      <w:pPr>
        <w:pStyle w:val="Heading1"/>
        <w:ind w:left="640"/>
        <w:jc w:val="both"/>
        <w:rPr>
          <w:b w:val="0"/>
          <w:sz w:val="20"/>
          <w:szCs w:val="20"/>
        </w:rPr>
      </w:pPr>
      <w:r>
        <w:rPr>
          <w:b w:val="0"/>
          <w:sz w:val="20"/>
          <w:szCs w:val="20"/>
        </w:rPr>
        <w:t xml:space="preserve">1. Fish Breeding Research Institute. Technical guidelines for </w:t>
      </w:r>
      <w:proofErr w:type="spellStart"/>
      <w:r w:rsidR="00F5462A">
        <w:rPr>
          <w:b w:val="0"/>
          <w:sz w:val="20"/>
          <w:szCs w:val="20"/>
        </w:rPr>
        <w:t>mutiara</w:t>
      </w:r>
      <w:proofErr w:type="spellEnd"/>
      <w:r>
        <w:rPr>
          <w:b w:val="0"/>
          <w:sz w:val="20"/>
          <w:szCs w:val="20"/>
        </w:rPr>
        <w:t xml:space="preserve"> catfish cultivation. Subang; 2014.</w:t>
      </w:r>
    </w:p>
    <w:p w14:paraId="6F836156" w14:textId="6B1DBAD1" w:rsidR="00FC69C6" w:rsidRDefault="00390DC6">
      <w:pPr>
        <w:pStyle w:val="Heading1"/>
        <w:ind w:left="640"/>
        <w:jc w:val="both"/>
        <w:rPr>
          <w:sz w:val="20"/>
          <w:szCs w:val="20"/>
        </w:rPr>
      </w:pPr>
      <w:r>
        <w:rPr>
          <w:b w:val="0"/>
          <w:sz w:val="20"/>
          <w:szCs w:val="20"/>
        </w:rPr>
        <w:t xml:space="preserve">2. </w:t>
      </w:r>
      <w:proofErr w:type="spellStart"/>
      <w:r>
        <w:rPr>
          <w:b w:val="0"/>
          <w:sz w:val="20"/>
          <w:szCs w:val="20"/>
        </w:rPr>
        <w:t>Buwono</w:t>
      </w:r>
      <w:proofErr w:type="spellEnd"/>
      <w:r>
        <w:rPr>
          <w:b w:val="0"/>
          <w:sz w:val="20"/>
          <w:szCs w:val="20"/>
        </w:rPr>
        <w:t xml:space="preserve"> ID, </w:t>
      </w:r>
      <w:proofErr w:type="spellStart"/>
      <w:r>
        <w:rPr>
          <w:b w:val="0"/>
          <w:sz w:val="20"/>
          <w:szCs w:val="20"/>
        </w:rPr>
        <w:t>Junianto</w:t>
      </w:r>
      <w:proofErr w:type="spellEnd"/>
      <w:r>
        <w:rPr>
          <w:b w:val="0"/>
          <w:sz w:val="20"/>
          <w:szCs w:val="20"/>
        </w:rPr>
        <w:t xml:space="preserve"> J, Iskandar I, </w:t>
      </w:r>
      <w:proofErr w:type="spellStart"/>
      <w:r>
        <w:rPr>
          <w:b w:val="0"/>
          <w:sz w:val="20"/>
          <w:szCs w:val="20"/>
        </w:rPr>
        <w:t>Alimuddin</w:t>
      </w:r>
      <w:proofErr w:type="spellEnd"/>
      <w:r>
        <w:rPr>
          <w:b w:val="0"/>
          <w:sz w:val="20"/>
          <w:szCs w:val="20"/>
        </w:rPr>
        <w:t xml:space="preserve"> A. Growth and expression level of growth hormone in transgenic </w:t>
      </w:r>
      <w:proofErr w:type="spellStart"/>
      <w:r w:rsidR="00DF4343">
        <w:rPr>
          <w:b w:val="0"/>
          <w:sz w:val="20"/>
          <w:szCs w:val="20"/>
        </w:rPr>
        <w:t>mutiara</w:t>
      </w:r>
      <w:proofErr w:type="spellEnd"/>
      <w:r>
        <w:rPr>
          <w:b w:val="0"/>
          <w:sz w:val="20"/>
          <w:szCs w:val="20"/>
        </w:rPr>
        <w:t xml:space="preserve"> catfish second generation. Journal of Biotech Research. 2019; 10: 102-109.</w:t>
      </w:r>
    </w:p>
    <w:p w14:paraId="1E3A1A74" w14:textId="22EC239A" w:rsidR="00FC69C6" w:rsidRDefault="00390DC6">
      <w:pPr>
        <w:pStyle w:val="Heading1"/>
        <w:ind w:left="640"/>
        <w:jc w:val="both"/>
        <w:rPr>
          <w:b w:val="0"/>
          <w:sz w:val="20"/>
          <w:szCs w:val="20"/>
        </w:rPr>
      </w:pPr>
      <w:r>
        <w:rPr>
          <w:b w:val="0"/>
          <w:sz w:val="20"/>
          <w:szCs w:val="20"/>
        </w:rPr>
        <w:t xml:space="preserve">3. Iskandar, </w:t>
      </w:r>
      <w:proofErr w:type="spellStart"/>
      <w:r>
        <w:rPr>
          <w:b w:val="0"/>
          <w:sz w:val="20"/>
          <w:szCs w:val="20"/>
        </w:rPr>
        <w:t>Buwono</w:t>
      </w:r>
      <w:proofErr w:type="spellEnd"/>
      <w:r>
        <w:rPr>
          <w:b w:val="0"/>
          <w:sz w:val="20"/>
          <w:szCs w:val="20"/>
        </w:rPr>
        <w:t xml:space="preserve"> ID and Agung MUK. The growth performance of f1 transgenic </w:t>
      </w:r>
      <w:proofErr w:type="spellStart"/>
      <w:r w:rsidR="00DF4343">
        <w:rPr>
          <w:b w:val="0"/>
          <w:sz w:val="20"/>
          <w:szCs w:val="20"/>
        </w:rPr>
        <w:t>mutiara</w:t>
      </w:r>
      <w:proofErr w:type="spellEnd"/>
      <w:r>
        <w:rPr>
          <w:b w:val="0"/>
          <w:sz w:val="20"/>
          <w:szCs w:val="20"/>
        </w:rPr>
        <w:t xml:space="preserve"> catfish. IOP Conference Series: Earth and Environmental Science. 2018; 137: 1-10.</w:t>
      </w:r>
    </w:p>
    <w:p w14:paraId="36159182" w14:textId="00BDC687" w:rsidR="00FC69C6" w:rsidRDefault="00390DC6">
      <w:pPr>
        <w:pStyle w:val="Heading1"/>
        <w:ind w:left="640"/>
        <w:jc w:val="both"/>
        <w:rPr>
          <w:b w:val="0"/>
          <w:sz w:val="20"/>
          <w:szCs w:val="20"/>
        </w:rPr>
      </w:pPr>
      <w:r>
        <w:rPr>
          <w:b w:val="0"/>
          <w:sz w:val="20"/>
          <w:szCs w:val="20"/>
        </w:rPr>
        <w:lastRenderedPageBreak/>
        <w:t xml:space="preserve">4. </w:t>
      </w:r>
      <w:proofErr w:type="spellStart"/>
      <w:r>
        <w:rPr>
          <w:b w:val="0"/>
          <w:sz w:val="20"/>
          <w:szCs w:val="20"/>
        </w:rPr>
        <w:t>Buwono</w:t>
      </w:r>
      <w:proofErr w:type="spellEnd"/>
      <w:r>
        <w:rPr>
          <w:b w:val="0"/>
          <w:sz w:val="20"/>
          <w:szCs w:val="20"/>
        </w:rPr>
        <w:t xml:space="preserve"> ID, Iskandar I, </w:t>
      </w:r>
      <w:proofErr w:type="spellStart"/>
      <w:r>
        <w:rPr>
          <w:b w:val="0"/>
          <w:sz w:val="20"/>
          <w:szCs w:val="20"/>
        </w:rPr>
        <w:t>Grandiosa</w:t>
      </w:r>
      <w:proofErr w:type="spellEnd"/>
      <w:r>
        <w:rPr>
          <w:b w:val="0"/>
          <w:sz w:val="20"/>
          <w:szCs w:val="20"/>
        </w:rPr>
        <w:t xml:space="preserve"> R. Growth hormone transgenesis and feed composition influence growth and protein amino acid content in transgenic </w:t>
      </w:r>
      <w:r w:rsidR="00DF4343">
        <w:rPr>
          <w:b w:val="0"/>
          <w:sz w:val="20"/>
          <w:szCs w:val="20"/>
        </w:rPr>
        <w:t>G</w:t>
      </w:r>
      <w:r>
        <w:rPr>
          <w:b w:val="0"/>
          <w:sz w:val="20"/>
          <w:szCs w:val="20"/>
        </w:rPr>
        <w:t xml:space="preserve">3 </w:t>
      </w:r>
      <w:proofErr w:type="spellStart"/>
      <w:r w:rsidR="00DF4343">
        <w:rPr>
          <w:b w:val="0"/>
          <w:sz w:val="20"/>
          <w:szCs w:val="20"/>
        </w:rPr>
        <w:t>mutiara</w:t>
      </w:r>
      <w:proofErr w:type="spellEnd"/>
      <w:r>
        <w:rPr>
          <w:b w:val="0"/>
          <w:sz w:val="20"/>
          <w:szCs w:val="20"/>
        </w:rPr>
        <w:t xml:space="preserve"> catfish (</w:t>
      </w:r>
      <w:proofErr w:type="spellStart"/>
      <w:r w:rsidRPr="00671E3B">
        <w:rPr>
          <w:b w:val="0"/>
          <w:i/>
          <w:iCs/>
          <w:sz w:val="20"/>
          <w:szCs w:val="20"/>
        </w:rPr>
        <w:t>Clarias</w:t>
      </w:r>
      <w:proofErr w:type="spellEnd"/>
      <w:r w:rsidRPr="00671E3B">
        <w:rPr>
          <w:b w:val="0"/>
          <w:i/>
          <w:iCs/>
          <w:sz w:val="20"/>
          <w:szCs w:val="20"/>
        </w:rPr>
        <w:t xml:space="preserve"> </w:t>
      </w:r>
      <w:proofErr w:type="spellStart"/>
      <w:r w:rsidRPr="00671E3B">
        <w:rPr>
          <w:b w:val="0"/>
          <w:i/>
          <w:iCs/>
          <w:sz w:val="20"/>
          <w:szCs w:val="20"/>
        </w:rPr>
        <w:t>gariepinus</w:t>
      </w:r>
      <w:proofErr w:type="spellEnd"/>
      <w:r>
        <w:rPr>
          <w:b w:val="0"/>
          <w:sz w:val="20"/>
          <w:szCs w:val="20"/>
        </w:rPr>
        <w:t>). Aquaculture International. 2021; 29: 431-451.</w:t>
      </w:r>
    </w:p>
    <w:p w14:paraId="747BF8FF" w14:textId="3D13BA5B" w:rsidR="00FC69C6" w:rsidRDefault="00390DC6">
      <w:pPr>
        <w:pStyle w:val="Heading1"/>
        <w:ind w:left="640"/>
        <w:jc w:val="both"/>
        <w:rPr>
          <w:b w:val="0"/>
          <w:sz w:val="20"/>
          <w:szCs w:val="20"/>
        </w:rPr>
      </w:pPr>
      <w:r>
        <w:rPr>
          <w:b w:val="0"/>
          <w:sz w:val="20"/>
          <w:szCs w:val="20"/>
        </w:rPr>
        <w:t xml:space="preserve">5. </w:t>
      </w:r>
      <w:proofErr w:type="spellStart"/>
      <w:r>
        <w:rPr>
          <w:b w:val="0"/>
          <w:sz w:val="20"/>
          <w:szCs w:val="20"/>
        </w:rPr>
        <w:t>Buwono</w:t>
      </w:r>
      <w:proofErr w:type="spellEnd"/>
      <w:r>
        <w:rPr>
          <w:b w:val="0"/>
          <w:sz w:val="20"/>
          <w:szCs w:val="20"/>
        </w:rPr>
        <w:t xml:space="preserve"> ID, Iskandar I, </w:t>
      </w:r>
      <w:proofErr w:type="spellStart"/>
      <w:r>
        <w:rPr>
          <w:b w:val="0"/>
          <w:sz w:val="20"/>
          <w:szCs w:val="20"/>
        </w:rPr>
        <w:t>Grandiosa</w:t>
      </w:r>
      <w:proofErr w:type="spellEnd"/>
      <w:r>
        <w:rPr>
          <w:b w:val="0"/>
          <w:sz w:val="20"/>
          <w:szCs w:val="20"/>
        </w:rPr>
        <w:t>, R.</w:t>
      </w:r>
      <w:r w:rsidR="00DF4343" w:rsidRPr="00DF4343">
        <w:rPr>
          <w:rFonts w:asciiTheme="majorBidi" w:hAnsiTheme="majorBidi" w:cstheme="majorBidi"/>
          <w:color w:val="404040"/>
          <w:sz w:val="28"/>
          <w:szCs w:val="28"/>
        </w:rPr>
        <w:t xml:space="preserve"> </w:t>
      </w:r>
      <w:r w:rsidR="00DF4343">
        <w:rPr>
          <w:rStyle w:val="Strong"/>
          <w:color w:val="404040"/>
          <w:sz w:val="20"/>
          <w:szCs w:val="20"/>
        </w:rPr>
        <w:t>E</w:t>
      </w:r>
      <w:r w:rsidR="00DF4343" w:rsidRPr="00DF4343">
        <w:rPr>
          <w:rStyle w:val="Strong"/>
          <w:color w:val="404040"/>
          <w:sz w:val="20"/>
          <w:szCs w:val="20"/>
        </w:rPr>
        <w:t>xtension outreach</w:t>
      </w:r>
      <w:r>
        <w:rPr>
          <w:b w:val="0"/>
          <w:sz w:val="20"/>
          <w:szCs w:val="20"/>
        </w:rPr>
        <w:t xml:space="preserve"> of </w:t>
      </w:r>
      <w:proofErr w:type="spellStart"/>
      <w:r w:rsidR="00DF4343">
        <w:rPr>
          <w:b w:val="0"/>
          <w:sz w:val="20"/>
          <w:szCs w:val="20"/>
        </w:rPr>
        <w:t>mutiara</w:t>
      </w:r>
      <w:proofErr w:type="spellEnd"/>
      <w:r>
        <w:rPr>
          <w:b w:val="0"/>
          <w:sz w:val="20"/>
          <w:szCs w:val="20"/>
        </w:rPr>
        <w:t xml:space="preserve"> catfish cultivation at the </w:t>
      </w:r>
      <w:proofErr w:type="spellStart"/>
      <w:r>
        <w:rPr>
          <w:b w:val="0"/>
          <w:sz w:val="20"/>
          <w:szCs w:val="20"/>
        </w:rPr>
        <w:t>Cileunyi</w:t>
      </w:r>
      <w:proofErr w:type="spellEnd"/>
      <w:r>
        <w:rPr>
          <w:b w:val="0"/>
          <w:sz w:val="20"/>
          <w:szCs w:val="20"/>
        </w:rPr>
        <w:t xml:space="preserve"> catfish farmers group. </w:t>
      </w:r>
      <w:proofErr w:type="spellStart"/>
      <w:r>
        <w:rPr>
          <w:b w:val="0"/>
          <w:sz w:val="20"/>
          <w:szCs w:val="20"/>
        </w:rPr>
        <w:t>Dharmakarya</w:t>
      </w:r>
      <w:proofErr w:type="spellEnd"/>
      <w:r>
        <w:rPr>
          <w:b w:val="0"/>
          <w:sz w:val="20"/>
          <w:szCs w:val="20"/>
        </w:rPr>
        <w:t>: Journal of Science and Technology Applications for Society. 2021; 10(4): 273–278.</w:t>
      </w:r>
    </w:p>
    <w:p w14:paraId="530C477F" w14:textId="77777777" w:rsidR="00FC69C6" w:rsidRDefault="00390DC6">
      <w:pPr>
        <w:pStyle w:val="Heading1"/>
        <w:ind w:left="640"/>
        <w:jc w:val="both"/>
        <w:rPr>
          <w:b w:val="0"/>
          <w:sz w:val="20"/>
          <w:szCs w:val="20"/>
        </w:rPr>
      </w:pPr>
      <w:r>
        <w:rPr>
          <w:b w:val="0"/>
          <w:sz w:val="20"/>
          <w:szCs w:val="20"/>
        </w:rPr>
        <w:t xml:space="preserve">6. </w:t>
      </w:r>
      <w:proofErr w:type="spellStart"/>
      <w:r>
        <w:rPr>
          <w:b w:val="0"/>
          <w:sz w:val="20"/>
          <w:szCs w:val="20"/>
        </w:rPr>
        <w:t>Buwono</w:t>
      </w:r>
      <w:proofErr w:type="spellEnd"/>
      <w:r>
        <w:rPr>
          <w:b w:val="0"/>
          <w:sz w:val="20"/>
          <w:szCs w:val="20"/>
        </w:rPr>
        <w:t>, ID, Iskandar, Agung MUK, Subhan U. Development of transgenic catfish (</w:t>
      </w:r>
      <w:proofErr w:type="spellStart"/>
      <w:r w:rsidRPr="00671E3B">
        <w:rPr>
          <w:b w:val="0"/>
          <w:i/>
          <w:iCs/>
          <w:sz w:val="20"/>
          <w:szCs w:val="20"/>
        </w:rPr>
        <w:t>Clarias</w:t>
      </w:r>
      <w:proofErr w:type="spellEnd"/>
      <w:r>
        <w:rPr>
          <w:b w:val="0"/>
          <w:sz w:val="20"/>
          <w:szCs w:val="20"/>
        </w:rPr>
        <w:t xml:space="preserve"> sp.) using sperm electroporation technique. Journal of Biology. 2016; 20(1): 17-28.</w:t>
      </w:r>
    </w:p>
    <w:p w14:paraId="191FAC87" w14:textId="77777777" w:rsidR="00FC69C6" w:rsidRDefault="00390DC6">
      <w:pPr>
        <w:pStyle w:val="Heading1"/>
        <w:ind w:left="640"/>
        <w:jc w:val="both"/>
        <w:rPr>
          <w:b w:val="0"/>
          <w:sz w:val="20"/>
          <w:szCs w:val="20"/>
        </w:rPr>
      </w:pPr>
      <w:r>
        <w:rPr>
          <w:b w:val="0"/>
          <w:sz w:val="20"/>
          <w:szCs w:val="20"/>
        </w:rPr>
        <w:t xml:space="preserve">7. </w:t>
      </w:r>
      <w:proofErr w:type="spellStart"/>
      <w:r>
        <w:rPr>
          <w:b w:val="0"/>
          <w:sz w:val="20"/>
          <w:szCs w:val="20"/>
        </w:rPr>
        <w:t>Marnani</w:t>
      </w:r>
      <w:proofErr w:type="spellEnd"/>
      <w:r>
        <w:rPr>
          <w:b w:val="0"/>
          <w:sz w:val="20"/>
          <w:szCs w:val="20"/>
        </w:rPr>
        <w:t xml:space="preserve"> S, </w:t>
      </w:r>
      <w:proofErr w:type="spellStart"/>
      <w:r>
        <w:rPr>
          <w:b w:val="0"/>
          <w:sz w:val="20"/>
          <w:szCs w:val="20"/>
        </w:rPr>
        <w:t>Pramono</w:t>
      </w:r>
      <w:proofErr w:type="spellEnd"/>
      <w:r>
        <w:rPr>
          <w:b w:val="0"/>
          <w:sz w:val="20"/>
          <w:szCs w:val="20"/>
        </w:rPr>
        <w:t xml:space="preserve"> TB. Alternative fish feed based on local ingredients for gourami (</w:t>
      </w:r>
      <w:proofErr w:type="spellStart"/>
      <w:r w:rsidRPr="0097753C">
        <w:rPr>
          <w:b w:val="0"/>
          <w:i/>
          <w:iCs/>
          <w:sz w:val="20"/>
          <w:szCs w:val="20"/>
        </w:rPr>
        <w:t>Osphronemus</w:t>
      </w:r>
      <w:proofErr w:type="spellEnd"/>
      <w:r w:rsidRPr="0097753C">
        <w:rPr>
          <w:b w:val="0"/>
          <w:i/>
          <w:iCs/>
          <w:sz w:val="20"/>
          <w:szCs w:val="20"/>
        </w:rPr>
        <w:t xml:space="preserve"> </w:t>
      </w:r>
      <w:proofErr w:type="spellStart"/>
      <w:r w:rsidRPr="0097753C">
        <w:rPr>
          <w:b w:val="0"/>
          <w:i/>
          <w:iCs/>
          <w:sz w:val="20"/>
          <w:szCs w:val="20"/>
        </w:rPr>
        <w:t>gouramy</w:t>
      </w:r>
      <w:proofErr w:type="spellEnd"/>
      <w:r w:rsidRPr="0097753C">
        <w:rPr>
          <w:b w:val="0"/>
          <w:i/>
          <w:iCs/>
          <w:sz w:val="20"/>
          <w:szCs w:val="20"/>
        </w:rPr>
        <w:t>)</w:t>
      </w:r>
      <w:r>
        <w:rPr>
          <w:b w:val="0"/>
          <w:sz w:val="20"/>
          <w:szCs w:val="20"/>
        </w:rPr>
        <w:t xml:space="preserve"> </w:t>
      </w:r>
      <w:proofErr w:type="spellStart"/>
      <w:r>
        <w:rPr>
          <w:b w:val="0"/>
          <w:sz w:val="20"/>
          <w:szCs w:val="20"/>
        </w:rPr>
        <w:t>broodstock</w:t>
      </w:r>
      <w:proofErr w:type="spellEnd"/>
      <w:r>
        <w:rPr>
          <w:b w:val="0"/>
          <w:sz w:val="20"/>
          <w:szCs w:val="20"/>
        </w:rPr>
        <w:t>. Omni-Aquatics. 2016; 12(3): 21–28.</w:t>
      </w:r>
    </w:p>
    <w:p w14:paraId="6F2A8544" w14:textId="77777777" w:rsidR="00FC69C6" w:rsidRDefault="00390DC6">
      <w:pPr>
        <w:pStyle w:val="Heading1"/>
        <w:ind w:left="640"/>
        <w:jc w:val="both"/>
        <w:rPr>
          <w:b w:val="0"/>
          <w:sz w:val="20"/>
          <w:szCs w:val="20"/>
        </w:rPr>
      </w:pPr>
      <w:r>
        <w:rPr>
          <w:b w:val="0"/>
          <w:sz w:val="20"/>
          <w:szCs w:val="20"/>
        </w:rPr>
        <w:t xml:space="preserve">8. </w:t>
      </w:r>
      <w:proofErr w:type="spellStart"/>
      <w:r>
        <w:rPr>
          <w:b w:val="0"/>
          <w:sz w:val="20"/>
          <w:szCs w:val="20"/>
        </w:rPr>
        <w:t>Sidharta</w:t>
      </w:r>
      <w:proofErr w:type="spellEnd"/>
      <w:r>
        <w:rPr>
          <w:b w:val="0"/>
          <w:sz w:val="20"/>
          <w:szCs w:val="20"/>
        </w:rPr>
        <w:t xml:space="preserve"> V, </w:t>
      </w:r>
      <w:proofErr w:type="spellStart"/>
      <w:r>
        <w:rPr>
          <w:b w:val="0"/>
          <w:sz w:val="20"/>
          <w:szCs w:val="20"/>
        </w:rPr>
        <w:t>Pinandoyo</w:t>
      </w:r>
      <w:proofErr w:type="spellEnd"/>
      <w:r>
        <w:rPr>
          <w:b w:val="0"/>
          <w:sz w:val="20"/>
          <w:szCs w:val="20"/>
        </w:rPr>
        <w:t xml:space="preserve">, </w:t>
      </w:r>
      <w:proofErr w:type="spellStart"/>
      <w:r>
        <w:rPr>
          <w:b w:val="0"/>
          <w:sz w:val="20"/>
          <w:szCs w:val="20"/>
        </w:rPr>
        <w:t>Nugroho</w:t>
      </w:r>
      <w:proofErr w:type="spellEnd"/>
      <w:r>
        <w:rPr>
          <w:b w:val="0"/>
          <w:sz w:val="20"/>
          <w:szCs w:val="20"/>
        </w:rPr>
        <w:t xml:space="preserve"> R. Gonad maturity, fecundity, and hatching rate performance through different natural feed strategies in freshwater crayfish (</w:t>
      </w:r>
      <w:proofErr w:type="spellStart"/>
      <w:r w:rsidRPr="00F20AA0">
        <w:rPr>
          <w:b w:val="0"/>
          <w:i/>
          <w:iCs/>
          <w:sz w:val="20"/>
          <w:szCs w:val="20"/>
        </w:rPr>
        <w:t>Cherax</w:t>
      </w:r>
      <w:proofErr w:type="spellEnd"/>
      <w:r w:rsidRPr="00F20AA0">
        <w:rPr>
          <w:b w:val="0"/>
          <w:i/>
          <w:iCs/>
          <w:sz w:val="20"/>
          <w:szCs w:val="20"/>
        </w:rPr>
        <w:t xml:space="preserve"> </w:t>
      </w:r>
      <w:proofErr w:type="spellStart"/>
      <w:r w:rsidRPr="00F20AA0">
        <w:rPr>
          <w:b w:val="0"/>
          <w:i/>
          <w:iCs/>
          <w:sz w:val="20"/>
          <w:szCs w:val="20"/>
        </w:rPr>
        <w:t>quadricarinatus</w:t>
      </w:r>
      <w:proofErr w:type="spellEnd"/>
      <w:r>
        <w:rPr>
          <w:b w:val="0"/>
          <w:sz w:val="20"/>
          <w:szCs w:val="20"/>
        </w:rPr>
        <w:t xml:space="preserve">) </w:t>
      </w:r>
      <w:proofErr w:type="spellStart"/>
      <w:r>
        <w:rPr>
          <w:b w:val="0"/>
          <w:sz w:val="20"/>
          <w:szCs w:val="20"/>
        </w:rPr>
        <w:t>broodstock</w:t>
      </w:r>
      <w:proofErr w:type="spellEnd"/>
      <w:r>
        <w:rPr>
          <w:b w:val="0"/>
          <w:sz w:val="20"/>
          <w:szCs w:val="20"/>
        </w:rPr>
        <w:t>. Journal of Tropical Aquaculture Science. 2018; 2(2): 64–74.</w:t>
      </w:r>
    </w:p>
    <w:p w14:paraId="4D4773D2" w14:textId="77A89FD2" w:rsidR="00FC69C6" w:rsidRDefault="00390DC6">
      <w:pPr>
        <w:pStyle w:val="Heading1"/>
        <w:ind w:left="640"/>
        <w:jc w:val="both"/>
        <w:rPr>
          <w:b w:val="0"/>
          <w:sz w:val="20"/>
          <w:szCs w:val="20"/>
        </w:rPr>
      </w:pPr>
      <w:r>
        <w:rPr>
          <w:b w:val="0"/>
          <w:sz w:val="20"/>
          <w:szCs w:val="20"/>
        </w:rPr>
        <w:t xml:space="preserve">9. Ramadhan S. 2017. Alternative feed of </w:t>
      </w:r>
      <w:proofErr w:type="spellStart"/>
      <w:r>
        <w:rPr>
          <w:b w:val="0"/>
          <w:sz w:val="20"/>
          <w:szCs w:val="20"/>
        </w:rPr>
        <w:t>pindang</w:t>
      </w:r>
      <w:proofErr w:type="spellEnd"/>
      <w:r>
        <w:rPr>
          <w:b w:val="0"/>
          <w:sz w:val="20"/>
          <w:szCs w:val="20"/>
        </w:rPr>
        <w:t xml:space="preserve"> </w:t>
      </w:r>
      <w:proofErr w:type="spellStart"/>
      <w:r>
        <w:rPr>
          <w:b w:val="0"/>
          <w:sz w:val="20"/>
          <w:szCs w:val="20"/>
        </w:rPr>
        <w:t>tongkol</w:t>
      </w:r>
      <w:proofErr w:type="spellEnd"/>
      <w:r>
        <w:rPr>
          <w:b w:val="0"/>
          <w:sz w:val="20"/>
          <w:szCs w:val="20"/>
        </w:rPr>
        <w:t xml:space="preserve"> crumbs on the growth of F1 hybrid offspring of </w:t>
      </w:r>
      <w:proofErr w:type="spellStart"/>
      <w:r w:rsidR="00D017FC">
        <w:rPr>
          <w:b w:val="0"/>
          <w:sz w:val="20"/>
          <w:szCs w:val="20"/>
        </w:rPr>
        <w:t>mutiara</w:t>
      </w:r>
      <w:proofErr w:type="spellEnd"/>
      <w:r>
        <w:rPr>
          <w:b w:val="0"/>
          <w:sz w:val="20"/>
          <w:szCs w:val="20"/>
        </w:rPr>
        <w:t xml:space="preserve"> catfish (</w:t>
      </w:r>
      <w:proofErr w:type="spellStart"/>
      <w:r w:rsidRPr="00671E3B">
        <w:rPr>
          <w:b w:val="0"/>
          <w:i/>
          <w:iCs/>
          <w:sz w:val="20"/>
          <w:szCs w:val="20"/>
        </w:rPr>
        <w:t>Clarias</w:t>
      </w:r>
      <w:proofErr w:type="spellEnd"/>
      <w:r w:rsidRPr="00671E3B">
        <w:rPr>
          <w:b w:val="0"/>
          <w:i/>
          <w:iCs/>
          <w:sz w:val="20"/>
          <w:szCs w:val="20"/>
        </w:rPr>
        <w:t xml:space="preserve"> </w:t>
      </w:r>
      <w:r>
        <w:rPr>
          <w:b w:val="0"/>
          <w:sz w:val="20"/>
          <w:szCs w:val="20"/>
        </w:rPr>
        <w:t xml:space="preserve">sp.) [The use of boiled </w:t>
      </w:r>
      <w:proofErr w:type="spellStart"/>
      <w:r w:rsidR="00671E3B" w:rsidRPr="00671E3B">
        <w:rPr>
          <w:b w:val="0"/>
          <w:bCs/>
          <w:i/>
          <w:iCs/>
          <w:color w:val="000000"/>
          <w:sz w:val="20"/>
          <w:szCs w:val="20"/>
        </w:rPr>
        <w:t>Euthynnus</w:t>
      </w:r>
      <w:proofErr w:type="spellEnd"/>
      <w:r w:rsidRPr="00671E3B">
        <w:rPr>
          <w:b w:val="0"/>
          <w:i/>
          <w:iCs/>
          <w:sz w:val="20"/>
          <w:szCs w:val="20"/>
        </w:rPr>
        <w:t xml:space="preserve"> </w:t>
      </w:r>
      <w:proofErr w:type="spellStart"/>
      <w:r w:rsidRPr="00671E3B">
        <w:rPr>
          <w:b w:val="0"/>
          <w:i/>
          <w:iCs/>
          <w:sz w:val="20"/>
          <w:szCs w:val="20"/>
        </w:rPr>
        <w:t>affinis</w:t>
      </w:r>
      <w:proofErr w:type="spellEnd"/>
      <w:r>
        <w:rPr>
          <w:b w:val="0"/>
          <w:sz w:val="20"/>
          <w:szCs w:val="20"/>
        </w:rPr>
        <w:t xml:space="preserve"> tuna crumbs as alternative feed for the growth of F1 hybrid offspring of </w:t>
      </w:r>
      <w:proofErr w:type="spellStart"/>
      <w:r w:rsidR="00D017FC">
        <w:rPr>
          <w:b w:val="0"/>
          <w:sz w:val="20"/>
          <w:szCs w:val="20"/>
        </w:rPr>
        <w:t>m</w:t>
      </w:r>
      <w:r>
        <w:rPr>
          <w:b w:val="0"/>
          <w:sz w:val="20"/>
          <w:szCs w:val="20"/>
        </w:rPr>
        <w:t>utiara</w:t>
      </w:r>
      <w:proofErr w:type="spellEnd"/>
      <w:r>
        <w:rPr>
          <w:b w:val="0"/>
          <w:sz w:val="20"/>
          <w:szCs w:val="20"/>
        </w:rPr>
        <w:t xml:space="preserve"> catfish (</w:t>
      </w:r>
      <w:proofErr w:type="spellStart"/>
      <w:r>
        <w:rPr>
          <w:b w:val="0"/>
          <w:sz w:val="20"/>
          <w:szCs w:val="20"/>
        </w:rPr>
        <w:t>Clarias</w:t>
      </w:r>
      <w:proofErr w:type="spellEnd"/>
      <w:r>
        <w:rPr>
          <w:b w:val="0"/>
          <w:sz w:val="20"/>
          <w:szCs w:val="20"/>
        </w:rPr>
        <w:t xml:space="preserve"> sp.)]. Undergraduate thesis. Faculty of Fisheries and Marine Sciences, </w:t>
      </w:r>
      <w:proofErr w:type="spellStart"/>
      <w:r>
        <w:rPr>
          <w:b w:val="0"/>
          <w:sz w:val="20"/>
          <w:szCs w:val="20"/>
        </w:rPr>
        <w:t>Universitas</w:t>
      </w:r>
      <w:proofErr w:type="spellEnd"/>
      <w:r>
        <w:rPr>
          <w:b w:val="0"/>
          <w:sz w:val="20"/>
          <w:szCs w:val="20"/>
        </w:rPr>
        <w:t xml:space="preserve"> </w:t>
      </w:r>
      <w:proofErr w:type="spellStart"/>
      <w:r>
        <w:rPr>
          <w:b w:val="0"/>
          <w:sz w:val="20"/>
          <w:szCs w:val="20"/>
        </w:rPr>
        <w:t>Padjadjaran</w:t>
      </w:r>
      <w:proofErr w:type="spellEnd"/>
      <w:r>
        <w:rPr>
          <w:b w:val="0"/>
          <w:sz w:val="20"/>
          <w:szCs w:val="20"/>
        </w:rPr>
        <w:t>.</w:t>
      </w:r>
    </w:p>
    <w:p w14:paraId="26F00543" w14:textId="005354E2" w:rsidR="00D017FC" w:rsidRPr="00E25139" w:rsidRDefault="00D017FC" w:rsidP="00D017FC">
      <w:pPr>
        <w:widowControl/>
        <w:autoSpaceDE w:val="0"/>
        <w:autoSpaceDN w:val="0"/>
        <w:adjustRightInd w:val="0"/>
        <w:ind w:left="640"/>
        <w:jc w:val="both"/>
        <w:rPr>
          <w:rFonts w:ascii="Arial" w:hAnsi="Arial" w:cs="Arial"/>
          <w:color w:val="131413"/>
          <w:sz w:val="20"/>
          <w:szCs w:val="20"/>
          <w:lang w:val="en-ID" w:eastAsia="en-US"/>
        </w:rPr>
      </w:pPr>
      <w:r>
        <w:rPr>
          <w:rFonts w:ascii="Arial" w:hAnsi="Arial" w:cs="Arial"/>
          <w:color w:val="131413"/>
          <w:sz w:val="20"/>
          <w:szCs w:val="20"/>
          <w:lang w:val="en-ID" w:eastAsia="en-US"/>
        </w:rPr>
        <w:t xml:space="preserve">10. </w:t>
      </w:r>
      <w:proofErr w:type="spellStart"/>
      <w:r w:rsidRPr="00E25139">
        <w:rPr>
          <w:rFonts w:ascii="Arial" w:hAnsi="Arial" w:cs="Arial"/>
          <w:color w:val="131413"/>
          <w:sz w:val="20"/>
          <w:szCs w:val="20"/>
          <w:lang w:val="en-ID" w:eastAsia="en-US"/>
        </w:rPr>
        <w:t>Uju</w:t>
      </w:r>
      <w:proofErr w:type="spellEnd"/>
      <w:r w:rsidRPr="00E25139">
        <w:rPr>
          <w:rFonts w:ascii="Arial" w:hAnsi="Arial" w:cs="Arial"/>
          <w:color w:val="131413"/>
          <w:sz w:val="20"/>
          <w:szCs w:val="20"/>
          <w:lang w:val="en-ID" w:eastAsia="en-US"/>
        </w:rPr>
        <w:t xml:space="preserve"> BR, Ibrahim B, Ramadhan W, </w:t>
      </w:r>
      <w:proofErr w:type="spellStart"/>
      <w:r w:rsidRPr="00E25139">
        <w:rPr>
          <w:rFonts w:ascii="Arial" w:hAnsi="Arial" w:cs="Arial"/>
          <w:color w:val="131413"/>
          <w:sz w:val="20"/>
          <w:szCs w:val="20"/>
          <w:lang w:val="en-ID" w:eastAsia="en-US"/>
        </w:rPr>
        <w:t>Tanjung</w:t>
      </w:r>
      <w:proofErr w:type="spellEnd"/>
      <w:r w:rsidRPr="00E25139">
        <w:rPr>
          <w:rFonts w:ascii="Arial" w:hAnsi="Arial" w:cs="Arial"/>
          <w:color w:val="131413"/>
          <w:sz w:val="20"/>
          <w:szCs w:val="20"/>
          <w:lang w:val="en-ID" w:eastAsia="en-US"/>
        </w:rPr>
        <w:t xml:space="preserve"> IS</w:t>
      </w:r>
      <w:r>
        <w:rPr>
          <w:rFonts w:ascii="Arial" w:hAnsi="Arial" w:cs="Arial"/>
          <w:color w:val="131413"/>
          <w:sz w:val="20"/>
          <w:szCs w:val="20"/>
          <w:lang w:val="en-ID" w:eastAsia="en-US"/>
        </w:rPr>
        <w:t>.</w:t>
      </w:r>
      <w:r w:rsidRPr="00E25139">
        <w:rPr>
          <w:rFonts w:ascii="Arial" w:hAnsi="Arial" w:cs="Arial"/>
          <w:color w:val="131413"/>
          <w:sz w:val="20"/>
          <w:szCs w:val="20"/>
          <w:lang w:val="en-ID" w:eastAsia="en-US"/>
        </w:rPr>
        <w:t xml:space="preserve"> Recovery process and concentration of drinking water</w:t>
      </w:r>
      <w:r>
        <w:rPr>
          <w:rFonts w:ascii="Arial" w:hAnsi="Arial" w:cs="Arial"/>
          <w:color w:val="131413"/>
          <w:sz w:val="20"/>
          <w:szCs w:val="20"/>
          <w:lang w:val="en-ID" w:eastAsia="en-US"/>
        </w:rPr>
        <w:t xml:space="preserve"> </w:t>
      </w:r>
      <w:r w:rsidRPr="00E25139">
        <w:rPr>
          <w:rFonts w:ascii="Arial" w:hAnsi="Arial" w:cs="Arial"/>
          <w:color w:val="131413"/>
          <w:sz w:val="20"/>
          <w:szCs w:val="20"/>
          <w:lang w:val="en-ID" w:eastAsia="en-US"/>
        </w:rPr>
        <w:t xml:space="preserve">protein </w:t>
      </w:r>
      <w:r w:rsidRPr="00E25139">
        <w:rPr>
          <w:rFonts w:ascii="Arial" w:eastAsia="QgwdpmAdvTT3713a231+20" w:hAnsi="Arial" w:cs="Arial"/>
          <w:color w:val="131413"/>
          <w:sz w:val="20"/>
          <w:szCs w:val="20"/>
          <w:lang w:val="en-ID" w:eastAsia="en-US"/>
        </w:rPr>
        <w:t>“</w:t>
      </w:r>
      <w:proofErr w:type="spellStart"/>
      <w:r w:rsidRPr="00E25139">
        <w:rPr>
          <w:rFonts w:ascii="Arial" w:hAnsi="Arial" w:cs="Arial"/>
          <w:color w:val="131413"/>
          <w:sz w:val="20"/>
          <w:szCs w:val="20"/>
          <w:lang w:val="en-ID" w:eastAsia="en-US"/>
        </w:rPr>
        <w:t>pindang</w:t>
      </w:r>
      <w:proofErr w:type="spellEnd"/>
      <w:r w:rsidRPr="00E25139">
        <w:rPr>
          <w:rFonts w:ascii="Arial" w:hAnsi="Arial" w:cs="Arial"/>
          <w:color w:val="131413"/>
          <w:sz w:val="20"/>
          <w:szCs w:val="20"/>
          <w:lang w:val="en-ID" w:eastAsia="en-US"/>
        </w:rPr>
        <w:t xml:space="preserve"> </w:t>
      </w:r>
      <w:proofErr w:type="spellStart"/>
      <w:r w:rsidRPr="00E25139">
        <w:rPr>
          <w:rFonts w:ascii="Arial" w:hAnsi="Arial" w:cs="Arial"/>
          <w:color w:val="131413"/>
          <w:sz w:val="20"/>
          <w:szCs w:val="20"/>
          <w:lang w:val="en-ID" w:eastAsia="en-US"/>
        </w:rPr>
        <w:t>tongkol</w:t>
      </w:r>
      <w:proofErr w:type="spellEnd"/>
      <w:r w:rsidRPr="00E25139">
        <w:rPr>
          <w:rFonts w:ascii="Arial" w:eastAsia="QgwdpmAdvTT3713a231+20" w:hAnsi="Arial" w:cs="Arial"/>
          <w:color w:val="131413"/>
          <w:sz w:val="20"/>
          <w:szCs w:val="20"/>
          <w:lang w:val="en-ID" w:eastAsia="en-US"/>
        </w:rPr>
        <w:t xml:space="preserve">” </w:t>
      </w:r>
      <w:r w:rsidRPr="00E25139">
        <w:rPr>
          <w:rFonts w:ascii="Arial" w:hAnsi="Arial" w:cs="Arial"/>
          <w:color w:val="131413"/>
          <w:sz w:val="20"/>
          <w:szCs w:val="20"/>
          <w:lang w:val="en-ID" w:eastAsia="en-US"/>
        </w:rPr>
        <w:t>(</w:t>
      </w:r>
      <w:proofErr w:type="spellStart"/>
      <w:r w:rsidRPr="00D017FC">
        <w:rPr>
          <w:rFonts w:ascii="Arial" w:hAnsi="Arial" w:cs="Arial"/>
          <w:i/>
          <w:iCs/>
          <w:color w:val="131413"/>
          <w:sz w:val="20"/>
          <w:szCs w:val="20"/>
          <w:lang w:val="en-ID" w:eastAsia="en-US"/>
        </w:rPr>
        <w:t>Euthynnus</w:t>
      </w:r>
      <w:proofErr w:type="spellEnd"/>
      <w:r w:rsidRPr="00D017FC">
        <w:rPr>
          <w:rFonts w:ascii="Arial" w:hAnsi="Arial" w:cs="Arial"/>
          <w:i/>
          <w:iCs/>
          <w:color w:val="131413"/>
          <w:sz w:val="20"/>
          <w:szCs w:val="20"/>
          <w:lang w:val="en-ID" w:eastAsia="en-US"/>
        </w:rPr>
        <w:t xml:space="preserve"> </w:t>
      </w:r>
      <w:proofErr w:type="spellStart"/>
      <w:r w:rsidRPr="00D017FC">
        <w:rPr>
          <w:rFonts w:ascii="Arial" w:hAnsi="Arial" w:cs="Arial"/>
          <w:i/>
          <w:iCs/>
          <w:color w:val="131413"/>
          <w:sz w:val="20"/>
          <w:szCs w:val="20"/>
          <w:lang w:val="en-ID" w:eastAsia="en-US"/>
        </w:rPr>
        <w:t>affinis</w:t>
      </w:r>
      <w:proofErr w:type="spellEnd"/>
      <w:r w:rsidRPr="00E25139">
        <w:rPr>
          <w:rFonts w:ascii="Arial" w:hAnsi="Arial" w:cs="Arial"/>
          <w:color w:val="131413"/>
          <w:sz w:val="20"/>
          <w:szCs w:val="20"/>
          <w:lang w:val="en-ID" w:eastAsia="en-US"/>
        </w:rPr>
        <w:t xml:space="preserve">) through ultrafiltration. J </w:t>
      </w:r>
      <w:proofErr w:type="spellStart"/>
      <w:r w:rsidRPr="00E25139">
        <w:rPr>
          <w:rFonts w:ascii="Arial" w:hAnsi="Arial" w:cs="Arial"/>
          <w:color w:val="131413"/>
          <w:sz w:val="20"/>
          <w:szCs w:val="20"/>
          <w:lang w:val="en-ID" w:eastAsia="en-US"/>
        </w:rPr>
        <w:t>Agroind</w:t>
      </w:r>
      <w:proofErr w:type="spellEnd"/>
      <w:r w:rsidRPr="00E25139">
        <w:rPr>
          <w:rFonts w:ascii="Arial" w:hAnsi="Arial" w:cs="Arial"/>
          <w:color w:val="131413"/>
          <w:sz w:val="20"/>
          <w:szCs w:val="20"/>
          <w:lang w:val="en-ID" w:eastAsia="en-US"/>
        </w:rPr>
        <w:t xml:space="preserve"> Technol</w:t>
      </w:r>
      <w:r w:rsidR="00A276D2">
        <w:rPr>
          <w:rFonts w:ascii="Arial" w:hAnsi="Arial" w:cs="Arial"/>
          <w:color w:val="131413"/>
          <w:sz w:val="20"/>
          <w:szCs w:val="20"/>
          <w:lang w:val="en-ID" w:eastAsia="en-US"/>
        </w:rPr>
        <w:t>. 2017;</w:t>
      </w:r>
      <w:r w:rsidRPr="00E25139">
        <w:rPr>
          <w:rFonts w:ascii="Arial" w:hAnsi="Arial" w:cs="Arial"/>
          <w:color w:val="131413"/>
          <w:sz w:val="20"/>
          <w:szCs w:val="20"/>
          <w:lang w:val="en-ID" w:eastAsia="en-US"/>
        </w:rPr>
        <w:t xml:space="preserve"> 27:281</w:t>
      </w:r>
      <w:r w:rsidRPr="00E25139">
        <w:rPr>
          <w:rFonts w:ascii="Arial" w:eastAsia="QgwdpmAdvTT3713a231+20" w:hAnsi="Arial" w:cs="Arial"/>
          <w:color w:val="131413"/>
          <w:sz w:val="20"/>
          <w:szCs w:val="20"/>
          <w:lang w:val="en-ID" w:eastAsia="en-US"/>
        </w:rPr>
        <w:t>–</w:t>
      </w:r>
      <w:r w:rsidRPr="00E25139">
        <w:rPr>
          <w:rFonts w:ascii="Arial" w:hAnsi="Arial" w:cs="Arial"/>
          <w:color w:val="131413"/>
          <w:sz w:val="20"/>
          <w:szCs w:val="20"/>
          <w:lang w:val="en-ID" w:eastAsia="en-US"/>
        </w:rPr>
        <w:t xml:space="preserve">290. </w:t>
      </w:r>
    </w:p>
    <w:p w14:paraId="49330B57" w14:textId="0C57D9F8" w:rsidR="00FC69C6" w:rsidRDefault="00390DC6">
      <w:pPr>
        <w:pStyle w:val="Heading1"/>
        <w:ind w:left="640"/>
        <w:jc w:val="both"/>
        <w:rPr>
          <w:b w:val="0"/>
          <w:sz w:val="20"/>
          <w:szCs w:val="20"/>
        </w:rPr>
      </w:pPr>
      <w:r>
        <w:rPr>
          <w:b w:val="0"/>
          <w:sz w:val="20"/>
          <w:szCs w:val="20"/>
        </w:rPr>
        <w:t>1</w:t>
      </w:r>
      <w:r w:rsidR="00A276D2">
        <w:rPr>
          <w:b w:val="0"/>
          <w:sz w:val="20"/>
          <w:szCs w:val="20"/>
        </w:rPr>
        <w:t>1</w:t>
      </w:r>
      <w:r>
        <w:rPr>
          <w:b w:val="0"/>
          <w:sz w:val="20"/>
          <w:szCs w:val="20"/>
        </w:rPr>
        <w:t xml:space="preserve">. Amalia R, </w:t>
      </w:r>
      <w:proofErr w:type="spellStart"/>
      <w:r>
        <w:rPr>
          <w:b w:val="0"/>
          <w:sz w:val="20"/>
          <w:szCs w:val="20"/>
        </w:rPr>
        <w:t>Amrullah</w:t>
      </w:r>
      <w:proofErr w:type="spellEnd"/>
      <w:r>
        <w:rPr>
          <w:b w:val="0"/>
          <w:sz w:val="20"/>
          <w:szCs w:val="20"/>
        </w:rPr>
        <w:t xml:space="preserve">, </w:t>
      </w:r>
      <w:proofErr w:type="spellStart"/>
      <w:r>
        <w:rPr>
          <w:b w:val="0"/>
          <w:sz w:val="20"/>
          <w:szCs w:val="20"/>
        </w:rPr>
        <w:t>Suriati</w:t>
      </w:r>
      <w:proofErr w:type="spellEnd"/>
      <w:r>
        <w:rPr>
          <w:b w:val="0"/>
          <w:sz w:val="20"/>
          <w:szCs w:val="20"/>
        </w:rPr>
        <w:t xml:space="preserve">. Feed management in Nile tilapia (Oreochromis </w:t>
      </w:r>
      <w:proofErr w:type="spellStart"/>
      <w:r>
        <w:rPr>
          <w:b w:val="0"/>
          <w:sz w:val="20"/>
          <w:szCs w:val="20"/>
        </w:rPr>
        <w:t>niloticus</w:t>
      </w:r>
      <w:proofErr w:type="spellEnd"/>
      <w:r>
        <w:rPr>
          <w:b w:val="0"/>
          <w:sz w:val="20"/>
          <w:szCs w:val="20"/>
        </w:rPr>
        <w:t>) farming]. Proceedings of the National Seminar. 2018 April 9-10, Synergy of Multidisciplinary Science and Technology, pp. 252-257.</w:t>
      </w:r>
    </w:p>
    <w:p w14:paraId="4646F075" w14:textId="56A3D80E" w:rsidR="00FC69C6" w:rsidRDefault="00390DC6">
      <w:pPr>
        <w:pStyle w:val="Heading1"/>
        <w:ind w:left="640"/>
        <w:jc w:val="both"/>
        <w:rPr>
          <w:b w:val="0"/>
          <w:sz w:val="20"/>
          <w:szCs w:val="20"/>
        </w:rPr>
      </w:pPr>
      <w:r>
        <w:rPr>
          <w:b w:val="0"/>
          <w:sz w:val="20"/>
          <w:szCs w:val="20"/>
        </w:rPr>
        <w:t>1</w:t>
      </w:r>
      <w:r w:rsidR="00A276D2">
        <w:rPr>
          <w:b w:val="0"/>
          <w:sz w:val="20"/>
          <w:szCs w:val="20"/>
        </w:rPr>
        <w:t>2</w:t>
      </w:r>
      <w:r>
        <w:rPr>
          <w:b w:val="0"/>
          <w:sz w:val="20"/>
          <w:szCs w:val="20"/>
        </w:rPr>
        <w:t xml:space="preserve">. </w:t>
      </w:r>
      <w:proofErr w:type="spellStart"/>
      <w:r>
        <w:rPr>
          <w:b w:val="0"/>
          <w:sz w:val="20"/>
          <w:szCs w:val="20"/>
        </w:rPr>
        <w:t>Zulkhasyni</w:t>
      </w:r>
      <w:proofErr w:type="spellEnd"/>
      <w:r>
        <w:rPr>
          <w:b w:val="0"/>
          <w:sz w:val="20"/>
          <w:szCs w:val="20"/>
        </w:rPr>
        <w:t xml:space="preserve">, </w:t>
      </w:r>
      <w:proofErr w:type="spellStart"/>
      <w:r>
        <w:rPr>
          <w:b w:val="0"/>
          <w:sz w:val="20"/>
          <w:szCs w:val="20"/>
        </w:rPr>
        <w:t>Firman</w:t>
      </w:r>
      <w:proofErr w:type="spellEnd"/>
      <w:r>
        <w:rPr>
          <w:b w:val="0"/>
          <w:sz w:val="20"/>
          <w:szCs w:val="20"/>
        </w:rPr>
        <w:t xml:space="preserve">, Sari R. Artificial feed administration at different doses for growth and survival of white fish (Tor </w:t>
      </w:r>
      <w:proofErr w:type="spellStart"/>
      <w:r>
        <w:rPr>
          <w:b w:val="0"/>
          <w:sz w:val="20"/>
          <w:szCs w:val="20"/>
        </w:rPr>
        <w:t>sp</w:t>
      </w:r>
      <w:proofErr w:type="spellEnd"/>
      <w:r>
        <w:rPr>
          <w:b w:val="0"/>
          <w:sz w:val="20"/>
          <w:szCs w:val="20"/>
        </w:rPr>
        <w:t xml:space="preserve">) fry. </w:t>
      </w:r>
      <w:proofErr w:type="spellStart"/>
      <w:r>
        <w:rPr>
          <w:b w:val="0"/>
          <w:sz w:val="20"/>
          <w:szCs w:val="20"/>
        </w:rPr>
        <w:t>Jurnal</w:t>
      </w:r>
      <w:proofErr w:type="spellEnd"/>
      <w:r>
        <w:rPr>
          <w:b w:val="0"/>
          <w:sz w:val="20"/>
          <w:szCs w:val="20"/>
        </w:rPr>
        <w:t xml:space="preserve"> </w:t>
      </w:r>
      <w:proofErr w:type="spellStart"/>
      <w:r>
        <w:rPr>
          <w:b w:val="0"/>
          <w:sz w:val="20"/>
          <w:szCs w:val="20"/>
        </w:rPr>
        <w:t>Agroqua</w:t>
      </w:r>
      <w:proofErr w:type="spellEnd"/>
      <w:r>
        <w:rPr>
          <w:b w:val="0"/>
          <w:sz w:val="20"/>
          <w:szCs w:val="20"/>
        </w:rPr>
        <w:t>. 2016; 14(2): 49–55.</w:t>
      </w:r>
    </w:p>
    <w:p w14:paraId="2A8388E7" w14:textId="4D590FC0" w:rsidR="00FC69C6" w:rsidRDefault="00390DC6">
      <w:pPr>
        <w:pStyle w:val="Heading1"/>
        <w:ind w:left="640"/>
        <w:jc w:val="both"/>
        <w:rPr>
          <w:b w:val="0"/>
          <w:sz w:val="20"/>
          <w:szCs w:val="20"/>
        </w:rPr>
      </w:pPr>
      <w:r>
        <w:rPr>
          <w:b w:val="0"/>
          <w:sz w:val="20"/>
          <w:szCs w:val="20"/>
        </w:rPr>
        <w:t>1</w:t>
      </w:r>
      <w:r w:rsidR="00A276D2">
        <w:rPr>
          <w:b w:val="0"/>
          <w:sz w:val="20"/>
          <w:szCs w:val="20"/>
        </w:rPr>
        <w:t>3</w:t>
      </w:r>
      <w:r>
        <w:rPr>
          <w:b w:val="0"/>
          <w:sz w:val="20"/>
          <w:szCs w:val="20"/>
        </w:rPr>
        <w:t xml:space="preserve">. </w:t>
      </w:r>
      <w:proofErr w:type="spellStart"/>
      <w:r>
        <w:rPr>
          <w:b w:val="0"/>
          <w:sz w:val="20"/>
          <w:szCs w:val="20"/>
        </w:rPr>
        <w:t>Karimah</w:t>
      </w:r>
      <w:proofErr w:type="spellEnd"/>
      <w:r>
        <w:rPr>
          <w:b w:val="0"/>
          <w:sz w:val="20"/>
          <w:szCs w:val="20"/>
        </w:rPr>
        <w:t xml:space="preserve"> U, </w:t>
      </w:r>
      <w:proofErr w:type="spellStart"/>
      <w:r>
        <w:rPr>
          <w:b w:val="0"/>
          <w:sz w:val="20"/>
          <w:szCs w:val="20"/>
        </w:rPr>
        <w:t>Samidjan</w:t>
      </w:r>
      <w:proofErr w:type="spellEnd"/>
      <w:r>
        <w:rPr>
          <w:b w:val="0"/>
          <w:sz w:val="20"/>
          <w:szCs w:val="20"/>
        </w:rPr>
        <w:t xml:space="preserve"> I, </w:t>
      </w:r>
      <w:proofErr w:type="spellStart"/>
      <w:r>
        <w:rPr>
          <w:b w:val="0"/>
          <w:sz w:val="20"/>
          <w:szCs w:val="20"/>
        </w:rPr>
        <w:t>Pinandoyo</w:t>
      </w:r>
      <w:proofErr w:type="spellEnd"/>
      <w:r>
        <w:rPr>
          <w:b w:val="0"/>
          <w:sz w:val="20"/>
          <w:szCs w:val="20"/>
        </w:rPr>
        <w:t>. Growth performance and survival rate of GIFT Nile tilapia (</w:t>
      </w:r>
      <w:r w:rsidRPr="00A276D2">
        <w:rPr>
          <w:b w:val="0"/>
          <w:i/>
          <w:iCs/>
          <w:sz w:val="20"/>
          <w:szCs w:val="20"/>
        </w:rPr>
        <w:t xml:space="preserve">Oreochromis </w:t>
      </w:r>
      <w:proofErr w:type="spellStart"/>
      <w:r w:rsidRPr="00A276D2">
        <w:rPr>
          <w:b w:val="0"/>
          <w:i/>
          <w:iCs/>
          <w:sz w:val="20"/>
          <w:szCs w:val="20"/>
        </w:rPr>
        <w:t>niloticus</w:t>
      </w:r>
      <w:proofErr w:type="spellEnd"/>
      <w:r>
        <w:rPr>
          <w:b w:val="0"/>
          <w:sz w:val="20"/>
          <w:szCs w:val="20"/>
        </w:rPr>
        <w:t>) fed different feed amounts. Journal of Aquaculture Management and Technology. 2018; 7(1): 128–135.</w:t>
      </w:r>
    </w:p>
    <w:p w14:paraId="1327DBF0" w14:textId="04F8F25C" w:rsidR="00FC69C6" w:rsidRDefault="00390DC6">
      <w:pPr>
        <w:pStyle w:val="Heading1"/>
        <w:ind w:left="640"/>
        <w:jc w:val="both"/>
        <w:rPr>
          <w:b w:val="0"/>
          <w:sz w:val="20"/>
          <w:szCs w:val="20"/>
        </w:rPr>
      </w:pPr>
      <w:r>
        <w:rPr>
          <w:b w:val="0"/>
          <w:sz w:val="20"/>
          <w:szCs w:val="20"/>
        </w:rPr>
        <w:t>1</w:t>
      </w:r>
      <w:r w:rsidR="00A276D2">
        <w:rPr>
          <w:b w:val="0"/>
          <w:sz w:val="20"/>
          <w:szCs w:val="20"/>
        </w:rPr>
        <w:t>4</w:t>
      </w:r>
      <w:r>
        <w:rPr>
          <w:b w:val="0"/>
          <w:sz w:val="20"/>
          <w:szCs w:val="20"/>
        </w:rPr>
        <w:t xml:space="preserve">. </w:t>
      </w:r>
      <w:proofErr w:type="spellStart"/>
      <w:r>
        <w:rPr>
          <w:b w:val="0"/>
          <w:sz w:val="20"/>
          <w:szCs w:val="20"/>
        </w:rPr>
        <w:t>Buwono</w:t>
      </w:r>
      <w:proofErr w:type="spellEnd"/>
      <w:r>
        <w:rPr>
          <w:b w:val="0"/>
          <w:sz w:val="20"/>
          <w:szCs w:val="20"/>
        </w:rPr>
        <w:t xml:space="preserve"> ID, Iskandar I, </w:t>
      </w:r>
      <w:proofErr w:type="spellStart"/>
      <w:r>
        <w:rPr>
          <w:b w:val="0"/>
          <w:sz w:val="20"/>
          <w:szCs w:val="20"/>
        </w:rPr>
        <w:t>Grandiosa</w:t>
      </w:r>
      <w:proofErr w:type="spellEnd"/>
      <w:r>
        <w:rPr>
          <w:b w:val="0"/>
          <w:sz w:val="20"/>
          <w:szCs w:val="20"/>
        </w:rPr>
        <w:t xml:space="preserve"> R. Growth hormone transgenesis and feed composition influence growth and protein amino acid content in transgenic </w:t>
      </w:r>
      <w:r w:rsidR="00A276D2">
        <w:rPr>
          <w:b w:val="0"/>
          <w:sz w:val="20"/>
          <w:szCs w:val="20"/>
        </w:rPr>
        <w:t>G</w:t>
      </w:r>
      <w:r>
        <w:rPr>
          <w:b w:val="0"/>
          <w:sz w:val="20"/>
          <w:szCs w:val="20"/>
        </w:rPr>
        <w:t xml:space="preserve">3 </w:t>
      </w:r>
      <w:proofErr w:type="spellStart"/>
      <w:r>
        <w:rPr>
          <w:b w:val="0"/>
          <w:sz w:val="20"/>
          <w:szCs w:val="20"/>
        </w:rPr>
        <w:t>mutiara</w:t>
      </w:r>
      <w:proofErr w:type="spellEnd"/>
      <w:r>
        <w:rPr>
          <w:b w:val="0"/>
          <w:sz w:val="20"/>
          <w:szCs w:val="20"/>
        </w:rPr>
        <w:t xml:space="preserve"> catfish (</w:t>
      </w:r>
      <w:proofErr w:type="spellStart"/>
      <w:r w:rsidRPr="00A276D2">
        <w:rPr>
          <w:b w:val="0"/>
          <w:i/>
          <w:iCs/>
          <w:sz w:val="20"/>
          <w:szCs w:val="20"/>
        </w:rPr>
        <w:t>Clarias</w:t>
      </w:r>
      <w:proofErr w:type="spellEnd"/>
      <w:r w:rsidRPr="00A276D2">
        <w:rPr>
          <w:b w:val="0"/>
          <w:i/>
          <w:iCs/>
          <w:sz w:val="20"/>
          <w:szCs w:val="20"/>
        </w:rPr>
        <w:t xml:space="preserve"> </w:t>
      </w:r>
      <w:proofErr w:type="spellStart"/>
      <w:r w:rsidRPr="00A276D2">
        <w:rPr>
          <w:b w:val="0"/>
          <w:i/>
          <w:iCs/>
          <w:sz w:val="20"/>
          <w:szCs w:val="20"/>
        </w:rPr>
        <w:t>gariepinus</w:t>
      </w:r>
      <w:proofErr w:type="spellEnd"/>
      <w:r>
        <w:rPr>
          <w:b w:val="0"/>
          <w:sz w:val="20"/>
          <w:szCs w:val="20"/>
        </w:rPr>
        <w:t>). Aquaculture International. 2021; 29: 431-451</w:t>
      </w:r>
    </w:p>
    <w:p w14:paraId="7B2D4DBE" w14:textId="58A575FD" w:rsidR="00FC69C6" w:rsidRDefault="00390DC6">
      <w:pPr>
        <w:pStyle w:val="Heading1"/>
        <w:ind w:left="640"/>
        <w:jc w:val="both"/>
        <w:rPr>
          <w:b w:val="0"/>
          <w:sz w:val="20"/>
          <w:szCs w:val="20"/>
        </w:rPr>
      </w:pPr>
      <w:r>
        <w:rPr>
          <w:b w:val="0"/>
          <w:sz w:val="20"/>
          <w:szCs w:val="20"/>
        </w:rPr>
        <w:t>1</w:t>
      </w:r>
      <w:r w:rsidR="00A276D2">
        <w:rPr>
          <w:b w:val="0"/>
          <w:sz w:val="20"/>
          <w:szCs w:val="20"/>
        </w:rPr>
        <w:t>5</w:t>
      </w:r>
      <w:r>
        <w:rPr>
          <w:b w:val="0"/>
          <w:sz w:val="20"/>
          <w:szCs w:val="20"/>
        </w:rPr>
        <w:t xml:space="preserve">. </w:t>
      </w:r>
      <w:proofErr w:type="spellStart"/>
      <w:r>
        <w:rPr>
          <w:b w:val="0"/>
          <w:sz w:val="20"/>
          <w:szCs w:val="20"/>
        </w:rPr>
        <w:t>Rarassari</w:t>
      </w:r>
      <w:proofErr w:type="spellEnd"/>
      <w:r>
        <w:rPr>
          <w:b w:val="0"/>
          <w:sz w:val="20"/>
          <w:szCs w:val="20"/>
        </w:rPr>
        <w:t xml:space="preserve"> MA, </w:t>
      </w:r>
      <w:proofErr w:type="spellStart"/>
      <w:r>
        <w:rPr>
          <w:b w:val="0"/>
          <w:sz w:val="20"/>
          <w:szCs w:val="20"/>
        </w:rPr>
        <w:t>Dwinanti</w:t>
      </w:r>
      <w:proofErr w:type="spellEnd"/>
      <w:r>
        <w:rPr>
          <w:b w:val="0"/>
          <w:sz w:val="20"/>
          <w:szCs w:val="20"/>
        </w:rPr>
        <w:t xml:space="preserve"> SH, </w:t>
      </w:r>
      <w:proofErr w:type="spellStart"/>
      <w:r>
        <w:rPr>
          <w:b w:val="0"/>
          <w:sz w:val="20"/>
          <w:szCs w:val="20"/>
        </w:rPr>
        <w:t>Absharina</w:t>
      </w:r>
      <w:proofErr w:type="spellEnd"/>
      <w:r>
        <w:rPr>
          <w:b w:val="0"/>
          <w:sz w:val="20"/>
          <w:szCs w:val="20"/>
        </w:rPr>
        <w:t xml:space="preserve"> FD, </w:t>
      </w:r>
      <w:proofErr w:type="spellStart"/>
      <w:r>
        <w:rPr>
          <w:b w:val="0"/>
          <w:sz w:val="20"/>
          <w:szCs w:val="20"/>
        </w:rPr>
        <w:t>Gevira</w:t>
      </w:r>
      <w:proofErr w:type="spellEnd"/>
      <w:r>
        <w:rPr>
          <w:b w:val="0"/>
          <w:sz w:val="20"/>
          <w:szCs w:val="20"/>
        </w:rPr>
        <w:t xml:space="preserve"> Z. Application of </w:t>
      </w:r>
      <w:proofErr w:type="spellStart"/>
      <w:r>
        <w:rPr>
          <w:b w:val="0"/>
          <w:sz w:val="20"/>
          <w:szCs w:val="20"/>
        </w:rPr>
        <w:t>biofloc</w:t>
      </w:r>
      <w:proofErr w:type="spellEnd"/>
      <w:r>
        <w:rPr>
          <w:b w:val="0"/>
          <w:sz w:val="20"/>
          <w:szCs w:val="20"/>
        </w:rPr>
        <w:t xml:space="preserve"> and probiotics in feed for the cultivation of </w:t>
      </w:r>
      <w:proofErr w:type="spellStart"/>
      <w:r w:rsidR="005C4098">
        <w:rPr>
          <w:b w:val="0"/>
          <w:sz w:val="20"/>
          <w:szCs w:val="20"/>
        </w:rPr>
        <w:t>mutiara</w:t>
      </w:r>
      <w:proofErr w:type="spellEnd"/>
      <w:r>
        <w:rPr>
          <w:b w:val="0"/>
          <w:sz w:val="20"/>
          <w:szCs w:val="20"/>
        </w:rPr>
        <w:t xml:space="preserve"> catfish (</w:t>
      </w:r>
      <w:proofErr w:type="spellStart"/>
      <w:r w:rsidRPr="005C4098">
        <w:rPr>
          <w:b w:val="0"/>
          <w:i/>
          <w:iCs/>
          <w:sz w:val="20"/>
          <w:szCs w:val="20"/>
        </w:rPr>
        <w:t>Clarias</w:t>
      </w:r>
      <w:proofErr w:type="spellEnd"/>
      <w:r w:rsidRPr="005C4098">
        <w:rPr>
          <w:b w:val="0"/>
          <w:i/>
          <w:iCs/>
          <w:sz w:val="20"/>
          <w:szCs w:val="20"/>
        </w:rPr>
        <w:t xml:space="preserve"> </w:t>
      </w:r>
      <w:proofErr w:type="spellStart"/>
      <w:r w:rsidRPr="005C4098">
        <w:rPr>
          <w:b w:val="0"/>
          <w:i/>
          <w:iCs/>
          <w:sz w:val="20"/>
          <w:szCs w:val="20"/>
        </w:rPr>
        <w:t>gariepinus</w:t>
      </w:r>
      <w:proofErr w:type="spellEnd"/>
      <w:r>
        <w:rPr>
          <w:b w:val="0"/>
          <w:sz w:val="20"/>
          <w:szCs w:val="20"/>
        </w:rPr>
        <w:t xml:space="preserve">) [Application of </w:t>
      </w:r>
      <w:proofErr w:type="spellStart"/>
      <w:r>
        <w:rPr>
          <w:b w:val="0"/>
          <w:sz w:val="20"/>
          <w:szCs w:val="20"/>
        </w:rPr>
        <w:t>biofloc</w:t>
      </w:r>
      <w:proofErr w:type="spellEnd"/>
      <w:r>
        <w:rPr>
          <w:b w:val="0"/>
          <w:sz w:val="20"/>
          <w:szCs w:val="20"/>
        </w:rPr>
        <w:t xml:space="preserve"> and probiotics in feed for the cultivation of </w:t>
      </w:r>
      <w:proofErr w:type="spellStart"/>
      <w:r w:rsidR="005C4098">
        <w:rPr>
          <w:b w:val="0"/>
          <w:sz w:val="20"/>
          <w:szCs w:val="20"/>
        </w:rPr>
        <w:t>mutiara</w:t>
      </w:r>
      <w:proofErr w:type="spellEnd"/>
      <w:r>
        <w:rPr>
          <w:b w:val="0"/>
          <w:sz w:val="20"/>
          <w:szCs w:val="20"/>
        </w:rPr>
        <w:t xml:space="preserve"> catfish (</w:t>
      </w:r>
      <w:proofErr w:type="spellStart"/>
      <w:r w:rsidRPr="005C4098">
        <w:rPr>
          <w:b w:val="0"/>
          <w:i/>
          <w:iCs/>
          <w:sz w:val="20"/>
          <w:szCs w:val="20"/>
        </w:rPr>
        <w:t>Clarias</w:t>
      </w:r>
      <w:proofErr w:type="spellEnd"/>
      <w:r w:rsidRPr="005C4098">
        <w:rPr>
          <w:b w:val="0"/>
          <w:i/>
          <w:iCs/>
          <w:sz w:val="20"/>
          <w:szCs w:val="20"/>
        </w:rPr>
        <w:t xml:space="preserve"> </w:t>
      </w:r>
      <w:proofErr w:type="spellStart"/>
      <w:r w:rsidRPr="005C4098">
        <w:rPr>
          <w:b w:val="0"/>
          <w:i/>
          <w:iCs/>
          <w:sz w:val="20"/>
          <w:szCs w:val="20"/>
        </w:rPr>
        <w:t>gariepinus</w:t>
      </w:r>
      <w:proofErr w:type="spellEnd"/>
      <w:r>
        <w:rPr>
          <w:b w:val="0"/>
          <w:sz w:val="20"/>
          <w:szCs w:val="20"/>
        </w:rPr>
        <w:t>)]. Journal of Fisheries Marine Research. 2021; 5(2): 329–334.</w:t>
      </w:r>
    </w:p>
    <w:p w14:paraId="140C5DC6" w14:textId="11EA6A85" w:rsidR="00FC69C6" w:rsidRDefault="00390DC6">
      <w:pPr>
        <w:pStyle w:val="Heading1"/>
        <w:ind w:left="640"/>
        <w:jc w:val="both"/>
        <w:rPr>
          <w:b w:val="0"/>
          <w:sz w:val="20"/>
          <w:szCs w:val="20"/>
        </w:rPr>
      </w:pPr>
      <w:r>
        <w:rPr>
          <w:b w:val="0"/>
          <w:sz w:val="20"/>
          <w:szCs w:val="20"/>
        </w:rPr>
        <w:t>1</w:t>
      </w:r>
      <w:r w:rsidR="005C4098">
        <w:rPr>
          <w:b w:val="0"/>
          <w:sz w:val="20"/>
          <w:szCs w:val="20"/>
        </w:rPr>
        <w:t>6</w:t>
      </w:r>
      <w:r>
        <w:rPr>
          <w:b w:val="0"/>
          <w:sz w:val="20"/>
          <w:szCs w:val="20"/>
        </w:rPr>
        <w:t xml:space="preserve">. </w:t>
      </w:r>
      <w:proofErr w:type="spellStart"/>
      <w:r>
        <w:rPr>
          <w:b w:val="0"/>
          <w:sz w:val="20"/>
          <w:szCs w:val="20"/>
        </w:rPr>
        <w:t>Buwono</w:t>
      </w:r>
      <w:proofErr w:type="spellEnd"/>
      <w:r>
        <w:rPr>
          <w:b w:val="0"/>
          <w:sz w:val="20"/>
          <w:szCs w:val="20"/>
        </w:rPr>
        <w:t xml:space="preserve"> ID. Essential amino acid requirements in fish diets. </w:t>
      </w:r>
      <w:proofErr w:type="spellStart"/>
      <w:r>
        <w:rPr>
          <w:b w:val="0"/>
          <w:sz w:val="20"/>
          <w:szCs w:val="20"/>
        </w:rPr>
        <w:t>Kanisius</w:t>
      </w:r>
      <w:proofErr w:type="spellEnd"/>
      <w:r>
        <w:rPr>
          <w:b w:val="0"/>
          <w:sz w:val="20"/>
          <w:szCs w:val="20"/>
        </w:rPr>
        <w:t>. Yogyakarta; 2000.</w:t>
      </w:r>
    </w:p>
    <w:p w14:paraId="39763033" w14:textId="0696C4C6" w:rsidR="00FC69C6" w:rsidRDefault="00390DC6">
      <w:pPr>
        <w:pStyle w:val="Heading1"/>
        <w:ind w:left="640"/>
        <w:jc w:val="both"/>
        <w:rPr>
          <w:b w:val="0"/>
          <w:sz w:val="20"/>
          <w:szCs w:val="20"/>
        </w:rPr>
      </w:pPr>
      <w:r>
        <w:rPr>
          <w:b w:val="0"/>
          <w:sz w:val="20"/>
          <w:szCs w:val="20"/>
        </w:rPr>
        <w:t>1</w:t>
      </w:r>
      <w:r w:rsidR="005C4098">
        <w:rPr>
          <w:b w:val="0"/>
          <w:sz w:val="20"/>
          <w:szCs w:val="20"/>
        </w:rPr>
        <w:t>7</w:t>
      </w:r>
      <w:r>
        <w:rPr>
          <w:b w:val="0"/>
          <w:sz w:val="20"/>
          <w:szCs w:val="20"/>
        </w:rPr>
        <w:t xml:space="preserve">. </w:t>
      </w:r>
      <w:proofErr w:type="spellStart"/>
      <w:r>
        <w:rPr>
          <w:b w:val="0"/>
          <w:sz w:val="20"/>
          <w:szCs w:val="20"/>
        </w:rPr>
        <w:t>Tribina</w:t>
      </w:r>
      <w:proofErr w:type="spellEnd"/>
      <w:r>
        <w:rPr>
          <w:b w:val="0"/>
          <w:sz w:val="20"/>
          <w:szCs w:val="20"/>
        </w:rPr>
        <w:t xml:space="preserve"> A. Utilization of dry tofu waste silage as feed for red tilapia (</w:t>
      </w:r>
      <w:r w:rsidRPr="00561691">
        <w:rPr>
          <w:b w:val="0"/>
          <w:i/>
          <w:iCs/>
          <w:sz w:val="20"/>
          <w:szCs w:val="20"/>
        </w:rPr>
        <w:t xml:space="preserve">Oreochromis </w:t>
      </w:r>
      <w:proofErr w:type="spellStart"/>
      <w:r w:rsidRPr="00561691">
        <w:rPr>
          <w:b w:val="0"/>
          <w:i/>
          <w:iCs/>
          <w:sz w:val="20"/>
          <w:szCs w:val="20"/>
        </w:rPr>
        <w:t>niloticus</w:t>
      </w:r>
      <w:proofErr w:type="spellEnd"/>
      <w:r>
        <w:rPr>
          <w:b w:val="0"/>
          <w:sz w:val="20"/>
          <w:szCs w:val="20"/>
        </w:rPr>
        <w:t>)]. Journal of Fisheries and Marine Technology. 2012; 3(1): 27–33.</w:t>
      </w:r>
    </w:p>
    <w:p w14:paraId="0623E202" w14:textId="7AA06F19" w:rsidR="00FC69C6" w:rsidRDefault="00390DC6">
      <w:pPr>
        <w:pStyle w:val="Heading1"/>
        <w:ind w:left="640"/>
        <w:jc w:val="both"/>
        <w:rPr>
          <w:b w:val="0"/>
          <w:sz w:val="20"/>
          <w:szCs w:val="20"/>
        </w:rPr>
      </w:pPr>
      <w:r>
        <w:rPr>
          <w:b w:val="0"/>
          <w:sz w:val="20"/>
          <w:szCs w:val="20"/>
        </w:rPr>
        <w:t>1</w:t>
      </w:r>
      <w:r w:rsidR="005C4098">
        <w:rPr>
          <w:b w:val="0"/>
          <w:sz w:val="20"/>
          <w:szCs w:val="20"/>
        </w:rPr>
        <w:t>8</w:t>
      </w:r>
      <w:r>
        <w:rPr>
          <w:b w:val="0"/>
          <w:sz w:val="20"/>
          <w:szCs w:val="20"/>
        </w:rPr>
        <w:t xml:space="preserve">. </w:t>
      </w:r>
      <w:proofErr w:type="spellStart"/>
      <w:r>
        <w:rPr>
          <w:b w:val="0"/>
          <w:sz w:val="20"/>
          <w:szCs w:val="20"/>
        </w:rPr>
        <w:t>Dewi</w:t>
      </w:r>
      <w:proofErr w:type="spellEnd"/>
      <w:r>
        <w:rPr>
          <w:b w:val="0"/>
          <w:sz w:val="20"/>
          <w:szCs w:val="20"/>
        </w:rPr>
        <w:t xml:space="preserve"> RRSPS, </w:t>
      </w:r>
      <w:proofErr w:type="spellStart"/>
      <w:r>
        <w:rPr>
          <w:b w:val="0"/>
          <w:sz w:val="20"/>
          <w:szCs w:val="20"/>
        </w:rPr>
        <w:t>Darmawan</w:t>
      </w:r>
      <w:proofErr w:type="spellEnd"/>
      <w:r>
        <w:rPr>
          <w:b w:val="0"/>
          <w:sz w:val="20"/>
          <w:szCs w:val="20"/>
        </w:rPr>
        <w:t xml:space="preserve"> J, </w:t>
      </w:r>
      <w:proofErr w:type="spellStart"/>
      <w:r>
        <w:rPr>
          <w:b w:val="0"/>
          <w:sz w:val="20"/>
          <w:szCs w:val="20"/>
        </w:rPr>
        <w:t>Nurlaela</w:t>
      </w:r>
      <w:proofErr w:type="spellEnd"/>
      <w:r>
        <w:rPr>
          <w:b w:val="0"/>
          <w:sz w:val="20"/>
          <w:szCs w:val="20"/>
        </w:rPr>
        <w:t xml:space="preserve"> I. Transmission and phenotypic expression of the growth hormone-encoding gene in </w:t>
      </w:r>
      <w:proofErr w:type="spellStart"/>
      <w:r>
        <w:rPr>
          <w:b w:val="0"/>
          <w:sz w:val="20"/>
          <w:szCs w:val="20"/>
        </w:rPr>
        <w:t>siamese</w:t>
      </w:r>
      <w:proofErr w:type="spellEnd"/>
      <w:r>
        <w:rPr>
          <w:b w:val="0"/>
          <w:sz w:val="20"/>
          <w:szCs w:val="20"/>
        </w:rPr>
        <w:t xml:space="preserve"> catfish. Journal of Aquaculture Research. 2014; 9 (1): 31–37.</w:t>
      </w:r>
    </w:p>
    <w:p w14:paraId="29A21329" w14:textId="74B6CB9D" w:rsidR="00FC69C6" w:rsidRDefault="00390DC6">
      <w:pPr>
        <w:pStyle w:val="Heading1"/>
        <w:ind w:left="640"/>
        <w:jc w:val="both"/>
        <w:rPr>
          <w:b w:val="0"/>
          <w:sz w:val="20"/>
          <w:szCs w:val="20"/>
        </w:rPr>
      </w:pPr>
      <w:r>
        <w:rPr>
          <w:b w:val="0"/>
          <w:sz w:val="20"/>
          <w:szCs w:val="20"/>
        </w:rPr>
        <w:t>1</w:t>
      </w:r>
      <w:r w:rsidR="005C4098">
        <w:rPr>
          <w:b w:val="0"/>
          <w:sz w:val="20"/>
          <w:szCs w:val="20"/>
        </w:rPr>
        <w:t>9</w:t>
      </w:r>
      <w:r>
        <w:rPr>
          <w:b w:val="0"/>
          <w:sz w:val="20"/>
          <w:szCs w:val="20"/>
        </w:rPr>
        <w:t xml:space="preserve">. </w:t>
      </w:r>
      <w:proofErr w:type="spellStart"/>
      <w:r>
        <w:rPr>
          <w:b w:val="0"/>
          <w:sz w:val="20"/>
          <w:szCs w:val="20"/>
        </w:rPr>
        <w:t>Indrawan</w:t>
      </w:r>
      <w:proofErr w:type="spellEnd"/>
      <w:r>
        <w:rPr>
          <w:b w:val="0"/>
          <w:sz w:val="20"/>
          <w:szCs w:val="20"/>
        </w:rPr>
        <w:t xml:space="preserve"> MA, Idris M </w:t>
      </w:r>
      <w:proofErr w:type="spellStart"/>
      <w:r>
        <w:rPr>
          <w:b w:val="0"/>
          <w:sz w:val="20"/>
          <w:szCs w:val="20"/>
        </w:rPr>
        <w:t>Pangerang</w:t>
      </w:r>
      <w:proofErr w:type="spellEnd"/>
      <w:r>
        <w:rPr>
          <w:b w:val="0"/>
          <w:sz w:val="20"/>
          <w:szCs w:val="20"/>
        </w:rPr>
        <w:t xml:space="preserve"> UK. The effect of feeding with different protein levels on the growth and survival of </w:t>
      </w:r>
      <w:proofErr w:type="spellStart"/>
      <w:r>
        <w:rPr>
          <w:b w:val="0"/>
          <w:sz w:val="20"/>
          <w:szCs w:val="20"/>
        </w:rPr>
        <w:t>asian</w:t>
      </w:r>
      <w:proofErr w:type="spellEnd"/>
      <w:r>
        <w:rPr>
          <w:b w:val="0"/>
          <w:sz w:val="20"/>
          <w:szCs w:val="20"/>
        </w:rPr>
        <w:t xml:space="preserve"> swamp eel (</w:t>
      </w:r>
      <w:proofErr w:type="spellStart"/>
      <w:r w:rsidRPr="005C4098">
        <w:rPr>
          <w:b w:val="0"/>
          <w:i/>
          <w:iCs/>
          <w:sz w:val="20"/>
          <w:szCs w:val="20"/>
        </w:rPr>
        <w:t>Monopterus</w:t>
      </w:r>
      <w:proofErr w:type="spellEnd"/>
      <w:r w:rsidRPr="005C4098">
        <w:rPr>
          <w:b w:val="0"/>
          <w:i/>
          <w:iCs/>
          <w:sz w:val="20"/>
          <w:szCs w:val="20"/>
        </w:rPr>
        <w:t xml:space="preserve"> </w:t>
      </w:r>
      <w:proofErr w:type="spellStart"/>
      <w:r w:rsidRPr="005C4098">
        <w:rPr>
          <w:b w:val="0"/>
          <w:i/>
          <w:iCs/>
          <w:sz w:val="20"/>
          <w:szCs w:val="20"/>
        </w:rPr>
        <w:t>albus</w:t>
      </w:r>
      <w:proofErr w:type="spellEnd"/>
      <w:r>
        <w:rPr>
          <w:b w:val="0"/>
          <w:sz w:val="20"/>
          <w:szCs w:val="20"/>
        </w:rPr>
        <w:t xml:space="preserve">) in a mud-free culture system. Media </w:t>
      </w:r>
      <w:proofErr w:type="spellStart"/>
      <w:r>
        <w:rPr>
          <w:b w:val="0"/>
          <w:sz w:val="20"/>
          <w:szCs w:val="20"/>
        </w:rPr>
        <w:t>Aquatika</w:t>
      </w:r>
      <w:proofErr w:type="spellEnd"/>
      <w:r>
        <w:rPr>
          <w:b w:val="0"/>
          <w:sz w:val="20"/>
          <w:szCs w:val="20"/>
        </w:rPr>
        <w:t>. 2016; 1 (3): 161-169.</w:t>
      </w:r>
    </w:p>
    <w:p w14:paraId="2504B797" w14:textId="7C50B690" w:rsidR="00FC69C6" w:rsidRDefault="005C4098">
      <w:pPr>
        <w:pStyle w:val="Heading1"/>
        <w:ind w:left="640"/>
        <w:jc w:val="both"/>
        <w:rPr>
          <w:b w:val="0"/>
          <w:sz w:val="20"/>
          <w:szCs w:val="20"/>
        </w:rPr>
      </w:pPr>
      <w:r>
        <w:rPr>
          <w:b w:val="0"/>
          <w:sz w:val="20"/>
          <w:szCs w:val="20"/>
        </w:rPr>
        <w:t>20</w:t>
      </w:r>
      <w:r w:rsidR="00390DC6">
        <w:rPr>
          <w:b w:val="0"/>
          <w:sz w:val="20"/>
          <w:szCs w:val="20"/>
        </w:rPr>
        <w:t xml:space="preserve">. </w:t>
      </w:r>
      <w:proofErr w:type="spellStart"/>
      <w:r w:rsidR="00390DC6">
        <w:rPr>
          <w:b w:val="0"/>
          <w:sz w:val="20"/>
          <w:szCs w:val="20"/>
        </w:rPr>
        <w:t>Buwono</w:t>
      </w:r>
      <w:proofErr w:type="spellEnd"/>
      <w:r w:rsidR="00390DC6">
        <w:rPr>
          <w:b w:val="0"/>
          <w:sz w:val="20"/>
          <w:szCs w:val="20"/>
        </w:rPr>
        <w:t xml:space="preserve"> ID, </w:t>
      </w:r>
      <w:proofErr w:type="spellStart"/>
      <w:r w:rsidR="00390DC6">
        <w:rPr>
          <w:b w:val="0"/>
          <w:sz w:val="20"/>
          <w:szCs w:val="20"/>
        </w:rPr>
        <w:t>Junianto</w:t>
      </w:r>
      <w:proofErr w:type="spellEnd"/>
      <w:r w:rsidR="00390DC6">
        <w:rPr>
          <w:b w:val="0"/>
          <w:sz w:val="20"/>
          <w:szCs w:val="20"/>
        </w:rPr>
        <w:t xml:space="preserve">, Iskandar, </w:t>
      </w:r>
      <w:proofErr w:type="spellStart"/>
      <w:r w:rsidR="00390DC6">
        <w:rPr>
          <w:b w:val="0"/>
          <w:sz w:val="20"/>
          <w:szCs w:val="20"/>
        </w:rPr>
        <w:t>Alimuddin</w:t>
      </w:r>
      <w:proofErr w:type="spellEnd"/>
      <w:r w:rsidR="00390DC6">
        <w:rPr>
          <w:b w:val="0"/>
          <w:sz w:val="20"/>
          <w:szCs w:val="20"/>
        </w:rPr>
        <w:t xml:space="preserve">, </w:t>
      </w:r>
      <w:proofErr w:type="spellStart"/>
      <w:r w:rsidR="00390DC6">
        <w:rPr>
          <w:b w:val="0"/>
          <w:sz w:val="20"/>
          <w:szCs w:val="20"/>
        </w:rPr>
        <w:t>Yustiati</w:t>
      </w:r>
      <w:proofErr w:type="spellEnd"/>
      <w:r w:rsidR="00390DC6">
        <w:rPr>
          <w:b w:val="0"/>
          <w:sz w:val="20"/>
          <w:szCs w:val="20"/>
        </w:rPr>
        <w:t xml:space="preserve"> A. Application of transgenesis technology for the production of transgenic catfish [Application of transgenesis technology for the production of transgenic catfish</w:t>
      </w:r>
      <w:r w:rsidR="00390DC6">
        <w:t xml:space="preserve"> </w:t>
      </w:r>
      <w:r w:rsidR="00390DC6">
        <w:rPr>
          <w:b w:val="0"/>
          <w:sz w:val="20"/>
          <w:szCs w:val="20"/>
        </w:rPr>
        <w:t xml:space="preserve">technology for the production of transgenic catfish]. </w:t>
      </w:r>
      <w:proofErr w:type="spellStart"/>
      <w:r w:rsidR="00390DC6">
        <w:rPr>
          <w:b w:val="0"/>
          <w:sz w:val="20"/>
          <w:szCs w:val="20"/>
        </w:rPr>
        <w:t>Deepublish</w:t>
      </w:r>
      <w:proofErr w:type="spellEnd"/>
      <w:r w:rsidR="00390DC6">
        <w:rPr>
          <w:b w:val="0"/>
          <w:sz w:val="20"/>
          <w:szCs w:val="20"/>
        </w:rPr>
        <w:t>, Yogyakarta; 2019.</w:t>
      </w:r>
    </w:p>
    <w:p w14:paraId="4103DD1E" w14:textId="6A3C7264" w:rsidR="00FC69C6" w:rsidRDefault="00390DC6">
      <w:pPr>
        <w:pStyle w:val="Heading1"/>
        <w:ind w:left="640"/>
        <w:jc w:val="both"/>
        <w:rPr>
          <w:b w:val="0"/>
          <w:sz w:val="20"/>
          <w:szCs w:val="20"/>
        </w:rPr>
      </w:pPr>
      <w:r>
        <w:rPr>
          <w:b w:val="0"/>
          <w:sz w:val="20"/>
          <w:szCs w:val="20"/>
        </w:rPr>
        <w:t>2</w:t>
      </w:r>
      <w:r w:rsidR="005C4098">
        <w:rPr>
          <w:b w:val="0"/>
          <w:sz w:val="20"/>
          <w:szCs w:val="20"/>
        </w:rPr>
        <w:t>1</w:t>
      </w:r>
      <w:r>
        <w:rPr>
          <w:b w:val="0"/>
          <w:sz w:val="20"/>
          <w:szCs w:val="20"/>
        </w:rPr>
        <w:t>.</w:t>
      </w:r>
      <w:r w:rsidR="005C4098">
        <w:rPr>
          <w:b w:val="0"/>
          <w:sz w:val="20"/>
          <w:szCs w:val="20"/>
        </w:rPr>
        <w:t xml:space="preserve"> </w:t>
      </w:r>
      <w:r>
        <w:rPr>
          <w:b w:val="0"/>
          <w:sz w:val="20"/>
          <w:szCs w:val="20"/>
        </w:rPr>
        <w:t xml:space="preserve">Robinson, Li. Low protein diets for channel catfish </w:t>
      </w:r>
      <w:proofErr w:type="spellStart"/>
      <w:r w:rsidRPr="005C4098">
        <w:rPr>
          <w:b w:val="0"/>
          <w:i/>
          <w:iCs/>
          <w:sz w:val="20"/>
          <w:szCs w:val="20"/>
        </w:rPr>
        <w:t>Ictalurus</w:t>
      </w:r>
      <w:proofErr w:type="spellEnd"/>
      <w:r w:rsidRPr="005C4098">
        <w:rPr>
          <w:b w:val="0"/>
          <w:i/>
          <w:iCs/>
          <w:sz w:val="20"/>
          <w:szCs w:val="20"/>
        </w:rPr>
        <w:t xml:space="preserve"> punctatus</w:t>
      </w:r>
      <w:r>
        <w:rPr>
          <w:b w:val="0"/>
          <w:sz w:val="20"/>
          <w:szCs w:val="20"/>
        </w:rPr>
        <w:t xml:space="preserve"> raised in earthen ponds at high </w:t>
      </w:r>
      <w:proofErr w:type="spellStart"/>
      <w:r>
        <w:rPr>
          <w:b w:val="0"/>
          <w:sz w:val="20"/>
          <w:szCs w:val="20"/>
        </w:rPr>
        <w:t>dencity</w:t>
      </w:r>
      <w:proofErr w:type="spellEnd"/>
      <w:r>
        <w:rPr>
          <w:b w:val="0"/>
          <w:sz w:val="20"/>
          <w:szCs w:val="20"/>
        </w:rPr>
        <w:t>. Journal of the World Aquaculture Society. 1997; 28 (3): 224-229.</w:t>
      </w:r>
    </w:p>
    <w:p w14:paraId="4C46A9C1" w14:textId="426EED44" w:rsidR="00FC69C6" w:rsidRDefault="00390DC6">
      <w:pPr>
        <w:pStyle w:val="Heading1"/>
        <w:ind w:left="640"/>
        <w:jc w:val="both"/>
        <w:rPr>
          <w:b w:val="0"/>
          <w:sz w:val="20"/>
          <w:szCs w:val="20"/>
        </w:rPr>
      </w:pPr>
      <w:r>
        <w:rPr>
          <w:b w:val="0"/>
          <w:sz w:val="20"/>
          <w:szCs w:val="20"/>
        </w:rPr>
        <w:t>2</w:t>
      </w:r>
      <w:r w:rsidR="005C4098">
        <w:rPr>
          <w:b w:val="0"/>
          <w:sz w:val="20"/>
          <w:szCs w:val="20"/>
        </w:rPr>
        <w:t>2</w:t>
      </w:r>
      <w:r>
        <w:rPr>
          <w:b w:val="0"/>
          <w:sz w:val="20"/>
          <w:szCs w:val="20"/>
        </w:rPr>
        <w:t xml:space="preserve">.Iswanto B, </w:t>
      </w:r>
      <w:proofErr w:type="spellStart"/>
      <w:r>
        <w:rPr>
          <w:b w:val="0"/>
          <w:sz w:val="20"/>
          <w:szCs w:val="20"/>
        </w:rPr>
        <w:t>Suprapto</w:t>
      </w:r>
      <w:proofErr w:type="spellEnd"/>
      <w:r>
        <w:rPr>
          <w:b w:val="0"/>
          <w:sz w:val="20"/>
          <w:szCs w:val="20"/>
        </w:rPr>
        <w:t xml:space="preserve"> R, </w:t>
      </w:r>
      <w:proofErr w:type="spellStart"/>
      <w:r>
        <w:rPr>
          <w:b w:val="0"/>
          <w:sz w:val="20"/>
          <w:szCs w:val="20"/>
        </w:rPr>
        <w:t>Marnis</w:t>
      </w:r>
      <w:proofErr w:type="spellEnd"/>
      <w:r>
        <w:rPr>
          <w:b w:val="0"/>
          <w:sz w:val="20"/>
          <w:szCs w:val="20"/>
        </w:rPr>
        <w:t xml:space="preserve"> H, </w:t>
      </w:r>
      <w:proofErr w:type="spellStart"/>
      <w:r>
        <w:rPr>
          <w:b w:val="0"/>
          <w:sz w:val="20"/>
          <w:szCs w:val="20"/>
        </w:rPr>
        <w:t>Imron</w:t>
      </w:r>
      <w:proofErr w:type="spellEnd"/>
      <w:r>
        <w:rPr>
          <w:b w:val="0"/>
          <w:sz w:val="20"/>
          <w:szCs w:val="20"/>
        </w:rPr>
        <w:t xml:space="preserve">. Reproductive performance of </w:t>
      </w:r>
      <w:proofErr w:type="spellStart"/>
      <w:r>
        <w:rPr>
          <w:b w:val="0"/>
          <w:sz w:val="20"/>
          <w:szCs w:val="20"/>
        </w:rPr>
        <w:t>mutiara</w:t>
      </w:r>
      <w:proofErr w:type="spellEnd"/>
      <w:r>
        <w:rPr>
          <w:b w:val="0"/>
          <w:sz w:val="20"/>
          <w:szCs w:val="20"/>
        </w:rPr>
        <w:t xml:space="preserve"> catfish (</w:t>
      </w:r>
      <w:proofErr w:type="spellStart"/>
      <w:r w:rsidRPr="005C4098">
        <w:rPr>
          <w:b w:val="0"/>
          <w:i/>
          <w:iCs/>
          <w:sz w:val="20"/>
          <w:szCs w:val="20"/>
        </w:rPr>
        <w:t>Clarias</w:t>
      </w:r>
      <w:proofErr w:type="spellEnd"/>
      <w:r w:rsidRPr="005C4098">
        <w:rPr>
          <w:b w:val="0"/>
          <w:i/>
          <w:iCs/>
          <w:sz w:val="20"/>
          <w:szCs w:val="20"/>
        </w:rPr>
        <w:t xml:space="preserve"> </w:t>
      </w:r>
      <w:proofErr w:type="spellStart"/>
      <w:r w:rsidRPr="005C4098">
        <w:rPr>
          <w:b w:val="0"/>
          <w:i/>
          <w:iCs/>
          <w:sz w:val="20"/>
          <w:szCs w:val="20"/>
        </w:rPr>
        <w:t>gariepinus</w:t>
      </w:r>
      <w:proofErr w:type="spellEnd"/>
      <w:r>
        <w:rPr>
          <w:b w:val="0"/>
          <w:sz w:val="20"/>
          <w:szCs w:val="20"/>
        </w:rPr>
        <w:t xml:space="preserve">). Media </w:t>
      </w:r>
      <w:proofErr w:type="spellStart"/>
      <w:r>
        <w:rPr>
          <w:b w:val="0"/>
          <w:sz w:val="20"/>
          <w:szCs w:val="20"/>
        </w:rPr>
        <w:t>Akuakultur</w:t>
      </w:r>
      <w:proofErr w:type="spellEnd"/>
      <w:r>
        <w:rPr>
          <w:b w:val="0"/>
          <w:sz w:val="20"/>
          <w:szCs w:val="20"/>
        </w:rPr>
        <w:t>. 2016; 11 (1): 1-9.</w:t>
      </w:r>
    </w:p>
    <w:p w14:paraId="4DEB337E" w14:textId="39DBBCBF" w:rsidR="00FC69C6" w:rsidRDefault="00390DC6">
      <w:pPr>
        <w:pStyle w:val="Heading1"/>
        <w:ind w:left="640"/>
        <w:jc w:val="both"/>
        <w:rPr>
          <w:b w:val="0"/>
          <w:sz w:val="20"/>
          <w:szCs w:val="20"/>
        </w:rPr>
      </w:pPr>
      <w:r>
        <w:rPr>
          <w:b w:val="0"/>
          <w:sz w:val="20"/>
          <w:szCs w:val="20"/>
        </w:rPr>
        <w:t>2</w:t>
      </w:r>
      <w:r w:rsidR="005C4098">
        <w:rPr>
          <w:b w:val="0"/>
          <w:sz w:val="20"/>
          <w:szCs w:val="20"/>
        </w:rPr>
        <w:t>3</w:t>
      </w:r>
      <w:r>
        <w:rPr>
          <w:b w:val="0"/>
          <w:sz w:val="20"/>
          <w:szCs w:val="20"/>
        </w:rPr>
        <w:t xml:space="preserve">.Buwono ID, </w:t>
      </w:r>
      <w:proofErr w:type="spellStart"/>
      <w:r>
        <w:rPr>
          <w:b w:val="0"/>
          <w:sz w:val="20"/>
          <w:szCs w:val="20"/>
        </w:rPr>
        <w:t>Junianto</w:t>
      </w:r>
      <w:proofErr w:type="spellEnd"/>
      <w:r>
        <w:rPr>
          <w:b w:val="0"/>
          <w:sz w:val="20"/>
          <w:szCs w:val="20"/>
        </w:rPr>
        <w:t xml:space="preserve"> J, Iskandar I, </w:t>
      </w:r>
      <w:proofErr w:type="spellStart"/>
      <w:r>
        <w:rPr>
          <w:b w:val="0"/>
          <w:sz w:val="20"/>
          <w:szCs w:val="20"/>
        </w:rPr>
        <w:t>Alimuddin</w:t>
      </w:r>
      <w:proofErr w:type="spellEnd"/>
      <w:r>
        <w:rPr>
          <w:b w:val="0"/>
          <w:sz w:val="20"/>
          <w:szCs w:val="20"/>
        </w:rPr>
        <w:t xml:space="preserve"> A. Growth and expression level of growth hormone in transgenic </w:t>
      </w:r>
      <w:proofErr w:type="spellStart"/>
      <w:r>
        <w:rPr>
          <w:b w:val="0"/>
          <w:sz w:val="20"/>
          <w:szCs w:val="20"/>
        </w:rPr>
        <w:t>mutiara</w:t>
      </w:r>
      <w:proofErr w:type="spellEnd"/>
      <w:r>
        <w:rPr>
          <w:b w:val="0"/>
          <w:sz w:val="20"/>
          <w:szCs w:val="20"/>
        </w:rPr>
        <w:t xml:space="preserve"> catfish </w:t>
      </w:r>
      <w:r>
        <w:rPr>
          <w:b w:val="0"/>
          <w:sz w:val="20"/>
          <w:szCs w:val="20"/>
        </w:rPr>
        <w:tab/>
        <w:t>second generation. Journal of Biotech Research. 2019; 10: 102-109.</w:t>
      </w:r>
    </w:p>
    <w:p w14:paraId="53235592" w14:textId="7F516806" w:rsidR="00FC69C6" w:rsidRDefault="00390DC6">
      <w:pPr>
        <w:pStyle w:val="Heading1"/>
        <w:ind w:left="640"/>
        <w:jc w:val="both"/>
        <w:rPr>
          <w:b w:val="0"/>
          <w:sz w:val="20"/>
          <w:szCs w:val="20"/>
        </w:rPr>
      </w:pPr>
      <w:r>
        <w:rPr>
          <w:b w:val="0"/>
          <w:sz w:val="20"/>
          <w:szCs w:val="20"/>
        </w:rPr>
        <w:t>2</w:t>
      </w:r>
      <w:r w:rsidR="005C4098">
        <w:rPr>
          <w:b w:val="0"/>
          <w:sz w:val="20"/>
          <w:szCs w:val="20"/>
        </w:rPr>
        <w:t>4</w:t>
      </w:r>
      <w:r>
        <w:rPr>
          <w:b w:val="0"/>
          <w:sz w:val="20"/>
          <w:szCs w:val="20"/>
        </w:rPr>
        <w:t xml:space="preserve">.Walker RL, </w:t>
      </w:r>
      <w:proofErr w:type="spellStart"/>
      <w:r>
        <w:rPr>
          <w:b w:val="0"/>
          <w:sz w:val="20"/>
          <w:szCs w:val="20"/>
        </w:rPr>
        <w:t>Buret</w:t>
      </w:r>
      <w:proofErr w:type="spellEnd"/>
      <w:r>
        <w:rPr>
          <w:b w:val="0"/>
          <w:sz w:val="20"/>
          <w:szCs w:val="20"/>
        </w:rPr>
        <w:t xml:space="preserve"> AG, Jackson CL, E Scott KG, </w:t>
      </w:r>
      <w:proofErr w:type="spellStart"/>
      <w:r>
        <w:rPr>
          <w:b w:val="0"/>
          <w:sz w:val="20"/>
          <w:szCs w:val="20"/>
        </w:rPr>
        <w:t>Bajwa</w:t>
      </w:r>
      <w:proofErr w:type="spellEnd"/>
      <w:r>
        <w:rPr>
          <w:b w:val="0"/>
          <w:sz w:val="20"/>
          <w:szCs w:val="20"/>
        </w:rPr>
        <w:t xml:space="preserve"> R, Habibi HR. Effects of growth hormone on leucine absorption, intestinal morphology, and ultrastructure of the goldish intestine. Canadian Journal of </w:t>
      </w:r>
      <w:proofErr w:type="spellStart"/>
      <w:r>
        <w:rPr>
          <w:b w:val="0"/>
          <w:sz w:val="20"/>
          <w:szCs w:val="20"/>
        </w:rPr>
        <w:t>Physicology</w:t>
      </w:r>
      <w:proofErr w:type="spellEnd"/>
      <w:r>
        <w:rPr>
          <w:b w:val="0"/>
          <w:sz w:val="20"/>
          <w:szCs w:val="20"/>
        </w:rPr>
        <w:t xml:space="preserve"> and </w:t>
      </w:r>
      <w:proofErr w:type="spellStart"/>
      <w:r>
        <w:rPr>
          <w:b w:val="0"/>
          <w:sz w:val="20"/>
          <w:szCs w:val="20"/>
        </w:rPr>
        <w:t>Pharmalogy</w:t>
      </w:r>
      <w:proofErr w:type="spellEnd"/>
      <w:r>
        <w:rPr>
          <w:b w:val="0"/>
          <w:sz w:val="20"/>
          <w:szCs w:val="20"/>
        </w:rPr>
        <w:t>. 2004; 82(11): 951-959.</w:t>
      </w:r>
    </w:p>
    <w:p w14:paraId="4BA682DE" w14:textId="428FF5F9" w:rsidR="00FC69C6" w:rsidRDefault="00390DC6">
      <w:pPr>
        <w:pStyle w:val="Heading1"/>
        <w:ind w:left="640"/>
        <w:jc w:val="both"/>
        <w:rPr>
          <w:b w:val="0"/>
          <w:sz w:val="20"/>
          <w:szCs w:val="20"/>
        </w:rPr>
      </w:pPr>
      <w:r>
        <w:rPr>
          <w:b w:val="0"/>
          <w:sz w:val="20"/>
          <w:szCs w:val="20"/>
        </w:rPr>
        <w:t>2</w:t>
      </w:r>
      <w:r w:rsidR="005C4098">
        <w:rPr>
          <w:b w:val="0"/>
          <w:sz w:val="20"/>
          <w:szCs w:val="20"/>
        </w:rPr>
        <w:t>5</w:t>
      </w:r>
      <w:r>
        <w:rPr>
          <w:b w:val="0"/>
          <w:sz w:val="20"/>
          <w:szCs w:val="20"/>
        </w:rPr>
        <w:t xml:space="preserve">.Selawati, N, </w:t>
      </w:r>
      <w:proofErr w:type="spellStart"/>
      <w:r>
        <w:rPr>
          <w:b w:val="0"/>
          <w:sz w:val="20"/>
          <w:szCs w:val="20"/>
        </w:rPr>
        <w:t>Yudha</w:t>
      </w:r>
      <w:proofErr w:type="spellEnd"/>
      <w:r>
        <w:rPr>
          <w:b w:val="0"/>
          <w:sz w:val="20"/>
          <w:szCs w:val="20"/>
        </w:rPr>
        <w:t xml:space="preserve"> IG, </w:t>
      </w:r>
      <w:proofErr w:type="spellStart"/>
      <w:r>
        <w:rPr>
          <w:b w:val="0"/>
          <w:sz w:val="20"/>
          <w:szCs w:val="20"/>
        </w:rPr>
        <w:t>Utomo</w:t>
      </w:r>
      <w:proofErr w:type="spellEnd"/>
      <w:r>
        <w:rPr>
          <w:b w:val="0"/>
          <w:sz w:val="20"/>
          <w:szCs w:val="20"/>
        </w:rPr>
        <w:t xml:space="preserve"> DSC. The effect of </w:t>
      </w:r>
      <w:proofErr w:type="spellStart"/>
      <w:r>
        <w:rPr>
          <w:b w:val="0"/>
          <w:sz w:val="20"/>
          <w:szCs w:val="20"/>
        </w:rPr>
        <w:t>rgh</w:t>
      </w:r>
      <w:proofErr w:type="spellEnd"/>
      <w:r>
        <w:rPr>
          <w:b w:val="0"/>
          <w:sz w:val="20"/>
          <w:szCs w:val="20"/>
        </w:rPr>
        <w:t xml:space="preserve"> addition on artificial feed on </w:t>
      </w:r>
      <w:proofErr w:type="spellStart"/>
      <w:r>
        <w:rPr>
          <w:b w:val="0"/>
          <w:sz w:val="20"/>
          <w:szCs w:val="20"/>
        </w:rPr>
        <w:t>hoven’s</w:t>
      </w:r>
      <w:proofErr w:type="spellEnd"/>
      <w:r>
        <w:rPr>
          <w:b w:val="0"/>
          <w:sz w:val="20"/>
          <w:szCs w:val="20"/>
        </w:rPr>
        <w:t xml:space="preserve"> carp growth. e-</w:t>
      </w:r>
      <w:proofErr w:type="spellStart"/>
      <w:r>
        <w:rPr>
          <w:b w:val="0"/>
          <w:sz w:val="20"/>
          <w:szCs w:val="20"/>
        </w:rPr>
        <w:t>Jurnal</w:t>
      </w:r>
      <w:proofErr w:type="spellEnd"/>
      <w:r>
        <w:rPr>
          <w:b w:val="0"/>
          <w:sz w:val="20"/>
          <w:szCs w:val="20"/>
        </w:rPr>
        <w:t xml:space="preserve"> </w:t>
      </w:r>
      <w:proofErr w:type="spellStart"/>
      <w:r>
        <w:rPr>
          <w:b w:val="0"/>
          <w:sz w:val="20"/>
          <w:szCs w:val="20"/>
        </w:rPr>
        <w:t>Rekayasa</w:t>
      </w:r>
      <w:proofErr w:type="spellEnd"/>
      <w:r>
        <w:rPr>
          <w:b w:val="0"/>
          <w:sz w:val="20"/>
          <w:szCs w:val="20"/>
        </w:rPr>
        <w:t xml:space="preserve"> dan </w:t>
      </w:r>
      <w:proofErr w:type="spellStart"/>
      <w:r>
        <w:rPr>
          <w:b w:val="0"/>
          <w:sz w:val="20"/>
          <w:szCs w:val="20"/>
        </w:rPr>
        <w:t>Teknologi</w:t>
      </w:r>
      <w:proofErr w:type="spellEnd"/>
      <w:r>
        <w:rPr>
          <w:b w:val="0"/>
          <w:sz w:val="20"/>
          <w:szCs w:val="20"/>
        </w:rPr>
        <w:t xml:space="preserve"> </w:t>
      </w:r>
      <w:proofErr w:type="spellStart"/>
      <w:r>
        <w:rPr>
          <w:b w:val="0"/>
          <w:sz w:val="20"/>
          <w:szCs w:val="20"/>
        </w:rPr>
        <w:t>Budidaya</w:t>
      </w:r>
      <w:proofErr w:type="spellEnd"/>
      <w:r>
        <w:rPr>
          <w:b w:val="0"/>
          <w:sz w:val="20"/>
          <w:szCs w:val="20"/>
        </w:rPr>
        <w:t xml:space="preserve"> </w:t>
      </w:r>
      <w:proofErr w:type="spellStart"/>
      <w:r>
        <w:rPr>
          <w:b w:val="0"/>
          <w:sz w:val="20"/>
          <w:szCs w:val="20"/>
        </w:rPr>
        <w:t>Perairan</w:t>
      </w:r>
      <w:proofErr w:type="spellEnd"/>
      <w:r>
        <w:rPr>
          <w:b w:val="0"/>
          <w:sz w:val="20"/>
          <w:szCs w:val="20"/>
        </w:rPr>
        <w:t>. 2019; 7(2): 823-834.</w:t>
      </w:r>
    </w:p>
    <w:sectPr w:rsidR="00FC69C6">
      <w:headerReference w:type="even" r:id="rId22"/>
      <w:headerReference w:type="default" r:id="rId23"/>
      <w:footerReference w:type="default" r:id="rId24"/>
      <w:headerReference w:type="first" r:id="rId25"/>
      <w:type w:val="continuous"/>
      <w:pgSz w:w="11910" w:h="16840"/>
      <w:pgMar w:top="11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6698B" w14:textId="77777777" w:rsidR="003323B2" w:rsidRDefault="003323B2">
      <w:r>
        <w:separator/>
      </w:r>
    </w:p>
  </w:endnote>
  <w:endnote w:type="continuationSeparator" w:id="0">
    <w:p w14:paraId="22791BD8" w14:textId="77777777" w:rsidR="003323B2" w:rsidRDefault="0033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imSun"/>
    <w:charset w:val="86"/>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QgwdpmAdvTT3713a231+2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9F60E" w14:textId="77777777" w:rsidR="00FC69C6" w:rsidRDefault="00FC6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1181F" w14:textId="77777777" w:rsidR="00FC69C6" w:rsidRDefault="00FC6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2E63" w14:textId="77777777" w:rsidR="00FC69C6" w:rsidRDefault="00FC69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5FFD" w14:textId="77777777" w:rsidR="00FC69C6" w:rsidRDefault="00390DC6">
    <w:pPr>
      <w:spacing w:line="14" w:lineRule="auto"/>
      <w:rPr>
        <w:color w:val="000000"/>
        <w:sz w:val="20"/>
        <w:szCs w:val="20"/>
      </w:rPr>
    </w:pPr>
    <w:r>
      <w:rPr>
        <w:noProof/>
        <w:lang w:val="en-US" w:eastAsia="en-US"/>
      </w:rPr>
      <mc:AlternateContent>
        <mc:Choice Requires="wps">
          <w:drawing>
            <wp:anchor distT="0" distB="0" distL="0" distR="0" simplePos="0" relativeHeight="251659264" behindDoc="1" locked="0" layoutInCell="1" allowOverlap="1" wp14:anchorId="2AD4AEA5" wp14:editId="3C3CB4A7">
              <wp:simplePos x="0" y="0"/>
              <wp:positionH relativeFrom="column">
                <wp:posOffset>2844800</wp:posOffset>
              </wp:positionH>
              <wp:positionV relativeFrom="paragraph">
                <wp:posOffset>9855200</wp:posOffset>
              </wp:positionV>
              <wp:extent cx="156210" cy="176530"/>
              <wp:effectExtent l="0" t="0" r="0" b="0"/>
              <wp:wrapNone/>
              <wp:docPr id="3" name="Rectangle 3"/>
              <wp:cNvGraphicFramePr/>
              <a:graphic xmlns:a="http://schemas.openxmlformats.org/drawingml/2006/main">
                <a:graphicData uri="http://schemas.microsoft.com/office/word/2010/wordprocessingShape">
                  <wps:wsp>
                    <wps:cNvSpPr/>
                    <wps:spPr>
                      <a:xfrm>
                        <a:off x="5272658" y="3696498"/>
                        <a:ext cx="146685" cy="167005"/>
                      </a:xfrm>
                      <a:prstGeom prst="rect">
                        <a:avLst/>
                      </a:prstGeom>
                      <a:noFill/>
                      <a:ln>
                        <a:noFill/>
                      </a:ln>
                    </wps:spPr>
                    <wps:txbx>
                      <w:txbxContent>
                        <w:p w14:paraId="7E2421C4" w14:textId="77777777" w:rsidR="00FC69C6" w:rsidRDefault="00FC69C6">
                          <w:pPr>
                            <w:spacing w:before="16"/>
                            <w:ind w:left="60"/>
                          </w:pPr>
                        </w:p>
                      </w:txbxContent>
                    </wps:txbx>
                    <wps:bodyPr spcFirstLastPara="1" wrap="square" lIns="0" tIns="0" rIns="0" bIns="0" anchor="t" anchorCtr="0">
                      <a:noAutofit/>
                    </wps:bodyPr>
                  </wps:wsp>
                </a:graphicData>
              </a:graphic>
            </wp:anchor>
          </w:drawing>
        </mc:Choice>
        <mc:Fallback>
          <w:pict>
            <v:rect w14:anchorId="2AD4AEA5" id="Rectangle 3" o:spid="_x0000_s1027" style="position:absolute;margin-left:224pt;margin-top:776pt;width:12.3pt;height:13.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" filled="f" stroked="f">
              <v:textbox inset="0,0,0,0">
                <w:txbxContent>
                  <w:p w14:paraId="7E2421C4" w14:textId="77777777" w:rsidR="00FC69C6" w:rsidRDefault="00FC69C6">
                    <w:pPr>
                      <w:spacing w:before="16"/>
                      <w:ind w:left="60"/>
                    </w:pP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C7116" w14:textId="77777777" w:rsidR="00FC69C6" w:rsidRDefault="00FC69C6">
    <w:pP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664D6" w14:textId="77777777" w:rsidR="003323B2" w:rsidRDefault="003323B2">
      <w:r>
        <w:separator/>
      </w:r>
    </w:p>
  </w:footnote>
  <w:footnote w:type="continuationSeparator" w:id="0">
    <w:p w14:paraId="5CB5AC7E" w14:textId="77777777" w:rsidR="003323B2" w:rsidRDefault="00332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4FBB" w14:textId="77777777" w:rsidR="00FC69C6" w:rsidRDefault="003323B2">
    <w:pPr>
      <w:pStyle w:val="Header"/>
    </w:pPr>
    <w:r>
      <w:pict w14:anchorId="02104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6" o:spid="_x0000_s2050" type="#_x0000_t136" style="position:absolute;margin-left:0;margin-top:0;width:586.8pt;height:65.2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D55E" w14:textId="77777777" w:rsidR="00FC69C6" w:rsidRDefault="003323B2">
    <w:pPr>
      <w:pStyle w:val="Header"/>
    </w:pPr>
    <w:r>
      <w:pict w14:anchorId="22D11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7" o:spid="_x0000_s2051" type="#_x0000_t136" style="position:absolute;margin-left:0;margin-top:0;width:586.8pt;height:65.2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8FCF" w14:textId="77777777" w:rsidR="00FC69C6" w:rsidRDefault="003323B2">
    <w:pPr>
      <w:pStyle w:val="Header"/>
    </w:pPr>
    <w:r>
      <w:pict w14:anchorId="1FD6B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5" o:spid="_x0000_s2049" type="#_x0000_t136" style="position:absolute;margin-left:0;margin-top:0;width:586.8pt;height:65.2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F9BA" w14:textId="77777777" w:rsidR="00FC69C6" w:rsidRDefault="003323B2">
    <w:pPr>
      <w:pStyle w:val="Header"/>
    </w:pPr>
    <w:r>
      <w:pict w14:anchorId="7BB1E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9" o:spid="_x0000_s2053" type="#_x0000_t136" style="position:absolute;margin-left:0;margin-top:0;width:586.8pt;height:65.2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8102" w14:textId="77777777" w:rsidR="00FC69C6" w:rsidRDefault="003323B2">
    <w:pPr>
      <w:spacing w:line="14" w:lineRule="auto"/>
      <w:rPr>
        <w:color w:val="000000"/>
        <w:sz w:val="20"/>
        <w:szCs w:val="20"/>
      </w:rPr>
    </w:pPr>
    <w:r>
      <w:pict w14:anchorId="1BF15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0" o:spid="_x0000_s2054" type="#_x0000_t136" style="position:absolute;margin-left:0;margin-top:0;width:586.8pt;height:65.2pt;rotation:315;z-index:-251650048;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DEE7" w14:textId="77777777" w:rsidR="00FC69C6" w:rsidRDefault="003323B2">
    <w:pPr>
      <w:pStyle w:val="Header"/>
    </w:pPr>
    <w:r>
      <w:pict w14:anchorId="66A7B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8" o:spid="_x0000_s2052" type="#_x0000_t136" style="position:absolute;margin-left:0;margin-top:0;width:586.8pt;height:65.2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25E3" w14:textId="77777777" w:rsidR="00FC69C6" w:rsidRDefault="003323B2">
    <w:pPr>
      <w:pStyle w:val="Header"/>
    </w:pPr>
    <w:r>
      <w:pict w14:anchorId="51DED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2" o:spid="_x0000_s2056" type="#_x0000_t136" style="position:absolute;margin-left:0;margin-top:0;width:586.8pt;height:65.2pt;rotation:315;z-index:-251648000;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7EB6" w14:textId="77777777" w:rsidR="00FC69C6" w:rsidRDefault="003323B2">
    <w:pPr>
      <w:tabs>
        <w:tab w:val="center" w:pos="4513"/>
        <w:tab w:val="right" w:pos="9026"/>
      </w:tabs>
      <w:rPr>
        <w:color w:val="000000"/>
      </w:rPr>
    </w:pPr>
    <w:r>
      <w:pict w14:anchorId="64023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3" o:spid="_x0000_s2057" type="#_x0000_t136" style="position:absolute;margin-left:0;margin-top:0;width:586.8pt;height:65.2pt;rotation:315;z-index:-251646976;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27B5" w14:textId="77777777" w:rsidR="00FC69C6" w:rsidRDefault="003323B2">
    <w:pPr>
      <w:pStyle w:val="Header"/>
    </w:pPr>
    <w:r>
      <w:pict w14:anchorId="24079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1" o:spid="_x0000_s2055" type="#_x0000_t136" style="position:absolute;margin-left:0;margin-top:0;width:586.8pt;height:65.2pt;rotation:315;z-index:-251649024;mso-position-horizontal:center;mso-position-horizontal-relative:margin;mso-position-vertical:center;mso-position-vertical-relative:margin;mso-width-relative:page;mso-height-relative:page" o:allowincell="f" fillcolor="silver" stroked="f">
          <v:fill opacity=".5"/>
          <v:textpath style="font-family:&quot;Helvetica Neue&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247"/>
    <w:multiLevelType w:val="multilevel"/>
    <w:tmpl w:val="042242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A4A6A0E"/>
    <w:multiLevelType w:val="multilevel"/>
    <w:tmpl w:val="0A4A6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22184"/>
    <w:multiLevelType w:val="multilevel"/>
    <w:tmpl w:val="106221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4746315"/>
    <w:multiLevelType w:val="multilevel"/>
    <w:tmpl w:val="147463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434E17"/>
    <w:multiLevelType w:val="multilevel"/>
    <w:tmpl w:val="1D434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0B087C"/>
    <w:multiLevelType w:val="multilevel"/>
    <w:tmpl w:val="200B0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FE1523"/>
    <w:multiLevelType w:val="multilevel"/>
    <w:tmpl w:val="22FE15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51D6FC5"/>
    <w:multiLevelType w:val="multilevel"/>
    <w:tmpl w:val="551D6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12539D"/>
    <w:multiLevelType w:val="multilevel"/>
    <w:tmpl w:val="59125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B911EC7"/>
    <w:multiLevelType w:val="multilevel"/>
    <w:tmpl w:val="5B911EC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5D1372A4"/>
    <w:multiLevelType w:val="multilevel"/>
    <w:tmpl w:val="5D137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D47AD8"/>
    <w:multiLevelType w:val="multilevel"/>
    <w:tmpl w:val="60D47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C287749"/>
    <w:multiLevelType w:val="multilevel"/>
    <w:tmpl w:val="6C28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49201F"/>
    <w:multiLevelType w:val="multilevel"/>
    <w:tmpl w:val="7A492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3"/>
  </w:num>
  <w:num w:numId="5">
    <w:abstractNumId w:val="6"/>
  </w:num>
  <w:num w:numId="6">
    <w:abstractNumId w:val="11"/>
  </w:num>
  <w:num w:numId="7">
    <w:abstractNumId w:val="5"/>
  </w:num>
  <w:num w:numId="8">
    <w:abstractNumId w:val="10"/>
  </w:num>
  <w:num w:numId="9">
    <w:abstractNumId w:val="1"/>
  </w:num>
  <w:num w:numId="10">
    <w:abstractNumId w:val="13"/>
  </w:num>
  <w:num w:numId="11">
    <w:abstractNumId w:val="7"/>
  </w:num>
  <w:num w:numId="12">
    <w:abstractNumId w:val="9"/>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517"/>
    <w:rsid w:val="00000EDB"/>
    <w:rsid w:val="000064BA"/>
    <w:rsid w:val="00006625"/>
    <w:rsid w:val="00017C7A"/>
    <w:rsid w:val="00021C4C"/>
    <w:rsid w:val="0002580F"/>
    <w:rsid w:val="00027A5D"/>
    <w:rsid w:val="000310C0"/>
    <w:rsid w:val="00031658"/>
    <w:rsid w:val="000361DA"/>
    <w:rsid w:val="00037EB2"/>
    <w:rsid w:val="00040E97"/>
    <w:rsid w:val="000415C2"/>
    <w:rsid w:val="000445A5"/>
    <w:rsid w:val="000511B8"/>
    <w:rsid w:val="00051505"/>
    <w:rsid w:val="00051A8D"/>
    <w:rsid w:val="00060AAF"/>
    <w:rsid w:val="00066297"/>
    <w:rsid w:val="00070F73"/>
    <w:rsid w:val="00075820"/>
    <w:rsid w:val="000840BD"/>
    <w:rsid w:val="000848DB"/>
    <w:rsid w:val="000866F5"/>
    <w:rsid w:val="000904E0"/>
    <w:rsid w:val="0009088D"/>
    <w:rsid w:val="000945C2"/>
    <w:rsid w:val="00097F51"/>
    <w:rsid w:val="000A1A5D"/>
    <w:rsid w:val="000A7598"/>
    <w:rsid w:val="000B11A4"/>
    <w:rsid w:val="000B1EF6"/>
    <w:rsid w:val="000B23CF"/>
    <w:rsid w:val="000B28E5"/>
    <w:rsid w:val="000C1C66"/>
    <w:rsid w:val="000C27C6"/>
    <w:rsid w:val="000C3A1B"/>
    <w:rsid w:val="000C7C8F"/>
    <w:rsid w:val="000D2D4E"/>
    <w:rsid w:val="000D7A03"/>
    <w:rsid w:val="000E1DB8"/>
    <w:rsid w:val="000E4587"/>
    <w:rsid w:val="000E7D42"/>
    <w:rsid w:val="000F24AF"/>
    <w:rsid w:val="000F5E1F"/>
    <w:rsid w:val="001220DB"/>
    <w:rsid w:val="00122174"/>
    <w:rsid w:val="00126A05"/>
    <w:rsid w:val="00126A25"/>
    <w:rsid w:val="00140920"/>
    <w:rsid w:val="001430CC"/>
    <w:rsid w:val="00144994"/>
    <w:rsid w:val="001459E4"/>
    <w:rsid w:val="00147194"/>
    <w:rsid w:val="001502F4"/>
    <w:rsid w:val="00151379"/>
    <w:rsid w:val="00161B37"/>
    <w:rsid w:val="001643F7"/>
    <w:rsid w:val="00167CF0"/>
    <w:rsid w:val="0017208A"/>
    <w:rsid w:val="001737BC"/>
    <w:rsid w:val="00174D02"/>
    <w:rsid w:val="00175D6D"/>
    <w:rsid w:val="00187B49"/>
    <w:rsid w:val="001A0CE2"/>
    <w:rsid w:val="001A123A"/>
    <w:rsid w:val="001A14CD"/>
    <w:rsid w:val="001A31CC"/>
    <w:rsid w:val="001A33D6"/>
    <w:rsid w:val="001B1941"/>
    <w:rsid w:val="001B3244"/>
    <w:rsid w:val="001B4AF6"/>
    <w:rsid w:val="001C0C6A"/>
    <w:rsid w:val="001C1FAC"/>
    <w:rsid w:val="001D263C"/>
    <w:rsid w:val="001D2707"/>
    <w:rsid w:val="001E0785"/>
    <w:rsid w:val="001E09C7"/>
    <w:rsid w:val="001E1892"/>
    <w:rsid w:val="001E3A62"/>
    <w:rsid w:val="001F037F"/>
    <w:rsid w:val="001F1547"/>
    <w:rsid w:val="001F58FF"/>
    <w:rsid w:val="001F6640"/>
    <w:rsid w:val="00203A84"/>
    <w:rsid w:val="00232756"/>
    <w:rsid w:val="00232D4F"/>
    <w:rsid w:val="00236A92"/>
    <w:rsid w:val="00241D5D"/>
    <w:rsid w:val="00243333"/>
    <w:rsid w:val="00244C7C"/>
    <w:rsid w:val="00247D51"/>
    <w:rsid w:val="0025065B"/>
    <w:rsid w:val="0025255C"/>
    <w:rsid w:val="00260D0E"/>
    <w:rsid w:val="00264D1F"/>
    <w:rsid w:val="00267DEE"/>
    <w:rsid w:val="00270480"/>
    <w:rsid w:val="0027067D"/>
    <w:rsid w:val="00271BF6"/>
    <w:rsid w:val="00273D67"/>
    <w:rsid w:val="00277B89"/>
    <w:rsid w:val="00282760"/>
    <w:rsid w:val="00283600"/>
    <w:rsid w:val="00293A51"/>
    <w:rsid w:val="00294A22"/>
    <w:rsid w:val="00294ECA"/>
    <w:rsid w:val="00295F52"/>
    <w:rsid w:val="00297454"/>
    <w:rsid w:val="002A041C"/>
    <w:rsid w:val="002A25BA"/>
    <w:rsid w:val="002A42D7"/>
    <w:rsid w:val="002A4731"/>
    <w:rsid w:val="002B179B"/>
    <w:rsid w:val="002B302E"/>
    <w:rsid w:val="002B4498"/>
    <w:rsid w:val="002B4D9E"/>
    <w:rsid w:val="002C0F1B"/>
    <w:rsid w:val="002C71AE"/>
    <w:rsid w:val="002D640C"/>
    <w:rsid w:val="002D7E49"/>
    <w:rsid w:val="002E4513"/>
    <w:rsid w:val="002E4E36"/>
    <w:rsid w:val="002E648F"/>
    <w:rsid w:val="002E713E"/>
    <w:rsid w:val="002F3FC2"/>
    <w:rsid w:val="002F72A0"/>
    <w:rsid w:val="003019B9"/>
    <w:rsid w:val="00312004"/>
    <w:rsid w:val="00313E2D"/>
    <w:rsid w:val="00317637"/>
    <w:rsid w:val="003219A6"/>
    <w:rsid w:val="00323583"/>
    <w:rsid w:val="00325686"/>
    <w:rsid w:val="003323B2"/>
    <w:rsid w:val="00334AC0"/>
    <w:rsid w:val="00334E55"/>
    <w:rsid w:val="00340ECF"/>
    <w:rsid w:val="00344BA7"/>
    <w:rsid w:val="00346452"/>
    <w:rsid w:val="00355714"/>
    <w:rsid w:val="0036479F"/>
    <w:rsid w:val="00366BD7"/>
    <w:rsid w:val="00370563"/>
    <w:rsid w:val="00374637"/>
    <w:rsid w:val="00382764"/>
    <w:rsid w:val="00390DC6"/>
    <w:rsid w:val="00392AFD"/>
    <w:rsid w:val="00393D92"/>
    <w:rsid w:val="00396669"/>
    <w:rsid w:val="003A6132"/>
    <w:rsid w:val="003A6680"/>
    <w:rsid w:val="003A78DB"/>
    <w:rsid w:val="003B00B6"/>
    <w:rsid w:val="003C03FB"/>
    <w:rsid w:val="003C1433"/>
    <w:rsid w:val="003C2A1F"/>
    <w:rsid w:val="003C3293"/>
    <w:rsid w:val="003C4531"/>
    <w:rsid w:val="003C4B9A"/>
    <w:rsid w:val="003C511E"/>
    <w:rsid w:val="003C7CAF"/>
    <w:rsid w:val="003E1368"/>
    <w:rsid w:val="003E5C7E"/>
    <w:rsid w:val="003E6384"/>
    <w:rsid w:val="003E6392"/>
    <w:rsid w:val="003E7C58"/>
    <w:rsid w:val="003F0E4E"/>
    <w:rsid w:val="003F3DA1"/>
    <w:rsid w:val="003F587E"/>
    <w:rsid w:val="004010A6"/>
    <w:rsid w:val="00405F45"/>
    <w:rsid w:val="004151ED"/>
    <w:rsid w:val="004172E1"/>
    <w:rsid w:val="00422575"/>
    <w:rsid w:val="00422D99"/>
    <w:rsid w:val="004261A8"/>
    <w:rsid w:val="00427C23"/>
    <w:rsid w:val="00433025"/>
    <w:rsid w:val="00436130"/>
    <w:rsid w:val="00447C72"/>
    <w:rsid w:val="00456544"/>
    <w:rsid w:val="00465368"/>
    <w:rsid w:val="004667F2"/>
    <w:rsid w:val="00481F6A"/>
    <w:rsid w:val="00482E05"/>
    <w:rsid w:val="004830C1"/>
    <w:rsid w:val="00483128"/>
    <w:rsid w:val="004873FF"/>
    <w:rsid w:val="00490158"/>
    <w:rsid w:val="00490DAD"/>
    <w:rsid w:val="00494426"/>
    <w:rsid w:val="00496075"/>
    <w:rsid w:val="00497129"/>
    <w:rsid w:val="004A0EBE"/>
    <w:rsid w:val="004A1AE9"/>
    <w:rsid w:val="004A204A"/>
    <w:rsid w:val="004A2713"/>
    <w:rsid w:val="004A3789"/>
    <w:rsid w:val="004A4968"/>
    <w:rsid w:val="004B1F40"/>
    <w:rsid w:val="004B24C8"/>
    <w:rsid w:val="004B35C8"/>
    <w:rsid w:val="004B7875"/>
    <w:rsid w:val="004C1621"/>
    <w:rsid w:val="004C5D38"/>
    <w:rsid w:val="004C7226"/>
    <w:rsid w:val="004D0130"/>
    <w:rsid w:val="004D1308"/>
    <w:rsid w:val="004D479B"/>
    <w:rsid w:val="004D6B57"/>
    <w:rsid w:val="004E1518"/>
    <w:rsid w:val="004E360D"/>
    <w:rsid w:val="004F1878"/>
    <w:rsid w:val="004F3153"/>
    <w:rsid w:val="004F633F"/>
    <w:rsid w:val="004F7099"/>
    <w:rsid w:val="00501BE0"/>
    <w:rsid w:val="00503257"/>
    <w:rsid w:val="005076E3"/>
    <w:rsid w:val="00514294"/>
    <w:rsid w:val="00516D13"/>
    <w:rsid w:val="0052561D"/>
    <w:rsid w:val="0053499F"/>
    <w:rsid w:val="00544814"/>
    <w:rsid w:val="00545F97"/>
    <w:rsid w:val="005505F6"/>
    <w:rsid w:val="00561691"/>
    <w:rsid w:val="00563467"/>
    <w:rsid w:val="00564D60"/>
    <w:rsid w:val="00571D0B"/>
    <w:rsid w:val="00574FFB"/>
    <w:rsid w:val="00576E7F"/>
    <w:rsid w:val="005800C6"/>
    <w:rsid w:val="00583CCE"/>
    <w:rsid w:val="00585E39"/>
    <w:rsid w:val="005865E3"/>
    <w:rsid w:val="005956F4"/>
    <w:rsid w:val="005A0210"/>
    <w:rsid w:val="005A40FC"/>
    <w:rsid w:val="005B3A46"/>
    <w:rsid w:val="005B4A47"/>
    <w:rsid w:val="005B6F29"/>
    <w:rsid w:val="005C4098"/>
    <w:rsid w:val="005C5E6D"/>
    <w:rsid w:val="005C65ED"/>
    <w:rsid w:val="005C72CE"/>
    <w:rsid w:val="005D0BF9"/>
    <w:rsid w:val="005D56B5"/>
    <w:rsid w:val="005E2C2A"/>
    <w:rsid w:val="005E77A9"/>
    <w:rsid w:val="005F447B"/>
    <w:rsid w:val="00603522"/>
    <w:rsid w:val="00603CC4"/>
    <w:rsid w:val="00606E7D"/>
    <w:rsid w:val="006101A3"/>
    <w:rsid w:val="0061050C"/>
    <w:rsid w:val="00610B84"/>
    <w:rsid w:val="00611207"/>
    <w:rsid w:val="006137E3"/>
    <w:rsid w:val="00615662"/>
    <w:rsid w:val="006173A1"/>
    <w:rsid w:val="00617BE6"/>
    <w:rsid w:val="006254E4"/>
    <w:rsid w:val="006269A9"/>
    <w:rsid w:val="00637ED8"/>
    <w:rsid w:val="00641452"/>
    <w:rsid w:val="00643804"/>
    <w:rsid w:val="006466C4"/>
    <w:rsid w:val="00650E10"/>
    <w:rsid w:val="00653391"/>
    <w:rsid w:val="00655B48"/>
    <w:rsid w:val="006575B7"/>
    <w:rsid w:val="00660F92"/>
    <w:rsid w:val="0066206D"/>
    <w:rsid w:val="00662668"/>
    <w:rsid w:val="0066346E"/>
    <w:rsid w:val="006659C9"/>
    <w:rsid w:val="00671E3B"/>
    <w:rsid w:val="00673593"/>
    <w:rsid w:val="0067498B"/>
    <w:rsid w:val="006771A3"/>
    <w:rsid w:val="00680F67"/>
    <w:rsid w:val="006838E6"/>
    <w:rsid w:val="00685704"/>
    <w:rsid w:val="00685EC5"/>
    <w:rsid w:val="00694067"/>
    <w:rsid w:val="006A016A"/>
    <w:rsid w:val="006A3C73"/>
    <w:rsid w:val="006A76D9"/>
    <w:rsid w:val="006B6D8D"/>
    <w:rsid w:val="006C0FB2"/>
    <w:rsid w:val="006C56DF"/>
    <w:rsid w:val="006C6416"/>
    <w:rsid w:val="006D131E"/>
    <w:rsid w:val="006D2C4D"/>
    <w:rsid w:val="006E028E"/>
    <w:rsid w:val="006E4F73"/>
    <w:rsid w:val="006F00E8"/>
    <w:rsid w:val="006F24DB"/>
    <w:rsid w:val="006F4006"/>
    <w:rsid w:val="006F4E54"/>
    <w:rsid w:val="0070062B"/>
    <w:rsid w:val="007052BD"/>
    <w:rsid w:val="00705805"/>
    <w:rsid w:val="00710C0E"/>
    <w:rsid w:val="00711787"/>
    <w:rsid w:val="00711D12"/>
    <w:rsid w:val="007238DC"/>
    <w:rsid w:val="00726ADD"/>
    <w:rsid w:val="00730A74"/>
    <w:rsid w:val="00731A44"/>
    <w:rsid w:val="007336DA"/>
    <w:rsid w:val="007340D9"/>
    <w:rsid w:val="00734C86"/>
    <w:rsid w:val="007356CC"/>
    <w:rsid w:val="00735882"/>
    <w:rsid w:val="00746872"/>
    <w:rsid w:val="007519B5"/>
    <w:rsid w:val="00751AFA"/>
    <w:rsid w:val="00754633"/>
    <w:rsid w:val="00754C51"/>
    <w:rsid w:val="00766697"/>
    <w:rsid w:val="007741F2"/>
    <w:rsid w:val="0078295D"/>
    <w:rsid w:val="00783860"/>
    <w:rsid w:val="00785D93"/>
    <w:rsid w:val="00795889"/>
    <w:rsid w:val="007A5558"/>
    <w:rsid w:val="007A5EFB"/>
    <w:rsid w:val="007A6DAF"/>
    <w:rsid w:val="007A7287"/>
    <w:rsid w:val="007B327A"/>
    <w:rsid w:val="007C3745"/>
    <w:rsid w:val="007D422F"/>
    <w:rsid w:val="007D64E4"/>
    <w:rsid w:val="007D7745"/>
    <w:rsid w:val="007E269C"/>
    <w:rsid w:val="007E4889"/>
    <w:rsid w:val="007E7F53"/>
    <w:rsid w:val="007F212C"/>
    <w:rsid w:val="007F523A"/>
    <w:rsid w:val="00800634"/>
    <w:rsid w:val="008048D1"/>
    <w:rsid w:val="008133BF"/>
    <w:rsid w:val="00813DA0"/>
    <w:rsid w:val="00824422"/>
    <w:rsid w:val="0082611A"/>
    <w:rsid w:val="00830A57"/>
    <w:rsid w:val="00834A3D"/>
    <w:rsid w:val="00836550"/>
    <w:rsid w:val="008403A4"/>
    <w:rsid w:val="0084443A"/>
    <w:rsid w:val="00844BB8"/>
    <w:rsid w:val="008502C4"/>
    <w:rsid w:val="0085057C"/>
    <w:rsid w:val="008507FD"/>
    <w:rsid w:val="0085114C"/>
    <w:rsid w:val="00857950"/>
    <w:rsid w:val="008610D6"/>
    <w:rsid w:val="00861427"/>
    <w:rsid w:val="0086386C"/>
    <w:rsid w:val="008668E4"/>
    <w:rsid w:val="00870AC0"/>
    <w:rsid w:val="00871127"/>
    <w:rsid w:val="00871AF1"/>
    <w:rsid w:val="00874ABE"/>
    <w:rsid w:val="00875280"/>
    <w:rsid w:val="0087773C"/>
    <w:rsid w:val="008805C0"/>
    <w:rsid w:val="0088570F"/>
    <w:rsid w:val="008A1489"/>
    <w:rsid w:val="008A63E7"/>
    <w:rsid w:val="008A7044"/>
    <w:rsid w:val="008A759A"/>
    <w:rsid w:val="008B1A28"/>
    <w:rsid w:val="008B4E14"/>
    <w:rsid w:val="008C31D7"/>
    <w:rsid w:val="008C339E"/>
    <w:rsid w:val="008C3E96"/>
    <w:rsid w:val="008C5BAD"/>
    <w:rsid w:val="008D0250"/>
    <w:rsid w:val="008D0677"/>
    <w:rsid w:val="008D2B30"/>
    <w:rsid w:val="008D4073"/>
    <w:rsid w:val="008D6459"/>
    <w:rsid w:val="008E2029"/>
    <w:rsid w:val="008F01FB"/>
    <w:rsid w:val="008F32CB"/>
    <w:rsid w:val="008F5F0A"/>
    <w:rsid w:val="008F6491"/>
    <w:rsid w:val="00902EDE"/>
    <w:rsid w:val="0090532E"/>
    <w:rsid w:val="00906BBC"/>
    <w:rsid w:val="0091044C"/>
    <w:rsid w:val="00913496"/>
    <w:rsid w:val="009156B6"/>
    <w:rsid w:val="00915C60"/>
    <w:rsid w:val="00915F64"/>
    <w:rsid w:val="009228FC"/>
    <w:rsid w:val="0092755F"/>
    <w:rsid w:val="00930135"/>
    <w:rsid w:val="0093117A"/>
    <w:rsid w:val="00933B67"/>
    <w:rsid w:val="00935BA2"/>
    <w:rsid w:val="00935DA0"/>
    <w:rsid w:val="00941E26"/>
    <w:rsid w:val="00944517"/>
    <w:rsid w:val="00947125"/>
    <w:rsid w:val="009552A7"/>
    <w:rsid w:val="009600F8"/>
    <w:rsid w:val="00962063"/>
    <w:rsid w:val="009629BF"/>
    <w:rsid w:val="0096659F"/>
    <w:rsid w:val="00975132"/>
    <w:rsid w:val="0097753C"/>
    <w:rsid w:val="00983491"/>
    <w:rsid w:val="00985F77"/>
    <w:rsid w:val="0098755E"/>
    <w:rsid w:val="009925C6"/>
    <w:rsid w:val="009A06B1"/>
    <w:rsid w:val="009A0E8F"/>
    <w:rsid w:val="009A631D"/>
    <w:rsid w:val="009A6D4B"/>
    <w:rsid w:val="009A734C"/>
    <w:rsid w:val="009C06FC"/>
    <w:rsid w:val="009C2AE5"/>
    <w:rsid w:val="009C4942"/>
    <w:rsid w:val="009C525D"/>
    <w:rsid w:val="009D2C82"/>
    <w:rsid w:val="009D4BF7"/>
    <w:rsid w:val="009D4DA6"/>
    <w:rsid w:val="009E01E2"/>
    <w:rsid w:val="009E11F5"/>
    <w:rsid w:val="009E4222"/>
    <w:rsid w:val="009E5A74"/>
    <w:rsid w:val="009F4930"/>
    <w:rsid w:val="009F5406"/>
    <w:rsid w:val="00A03564"/>
    <w:rsid w:val="00A061A8"/>
    <w:rsid w:val="00A15BDE"/>
    <w:rsid w:val="00A16EF8"/>
    <w:rsid w:val="00A276D2"/>
    <w:rsid w:val="00A30A3E"/>
    <w:rsid w:val="00A32256"/>
    <w:rsid w:val="00A33DFC"/>
    <w:rsid w:val="00A33E18"/>
    <w:rsid w:val="00A41006"/>
    <w:rsid w:val="00A5361F"/>
    <w:rsid w:val="00A53E83"/>
    <w:rsid w:val="00A543F6"/>
    <w:rsid w:val="00A62AAF"/>
    <w:rsid w:val="00A63734"/>
    <w:rsid w:val="00A72F7E"/>
    <w:rsid w:val="00A73EBD"/>
    <w:rsid w:val="00A75268"/>
    <w:rsid w:val="00A75A01"/>
    <w:rsid w:val="00A83521"/>
    <w:rsid w:val="00A86D91"/>
    <w:rsid w:val="00A90553"/>
    <w:rsid w:val="00A917CF"/>
    <w:rsid w:val="00A93586"/>
    <w:rsid w:val="00AA1AFB"/>
    <w:rsid w:val="00AA4005"/>
    <w:rsid w:val="00AA79FD"/>
    <w:rsid w:val="00AB1355"/>
    <w:rsid w:val="00AB5D0D"/>
    <w:rsid w:val="00AD095B"/>
    <w:rsid w:val="00AD3A39"/>
    <w:rsid w:val="00AD42F1"/>
    <w:rsid w:val="00AD6309"/>
    <w:rsid w:val="00AE19AC"/>
    <w:rsid w:val="00AE557E"/>
    <w:rsid w:val="00AE7367"/>
    <w:rsid w:val="00AF0E9D"/>
    <w:rsid w:val="00AF256D"/>
    <w:rsid w:val="00AF543C"/>
    <w:rsid w:val="00AF6D40"/>
    <w:rsid w:val="00B04FBC"/>
    <w:rsid w:val="00B07035"/>
    <w:rsid w:val="00B117D8"/>
    <w:rsid w:val="00B120A2"/>
    <w:rsid w:val="00B1237F"/>
    <w:rsid w:val="00B16076"/>
    <w:rsid w:val="00B17FEF"/>
    <w:rsid w:val="00B2477D"/>
    <w:rsid w:val="00B27699"/>
    <w:rsid w:val="00B27789"/>
    <w:rsid w:val="00B303C5"/>
    <w:rsid w:val="00B306ED"/>
    <w:rsid w:val="00B30EA5"/>
    <w:rsid w:val="00B31BA8"/>
    <w:rsid w:val="00B362B4"/>
    <w:rsid w:val="00B40065"/>
    <w:rsid w:val="00B42440"/>
    <w:rsid w:val="00B42F12"/>
    <w:rsid w:val="00B433F4"/>
    <w:rsid w:val="00B4391B"/>
    <w:rsid w:val="00B46E33"/>
    <w:rsid w:val="00B47572"/>
    <w:rsid w:val="00B476AD"/>
    <w:rsid w:val="00B50291"/>
    <w:rsid w:val="00B518E2"/>
    <w:rsid w:val="00B52570"/>
    <w:rsid w:val="00B55271"/>
    <w:rsid w:val="00B5573E"/>
    <w:rsid w:val="00B66B3B"/>
    <w:rsid w:val="00B735E2"/>
    <w:rsid w:val="00B75325"/>
    <w:rsid w:val="00B7639E"/>
    <w:rsid w:val="00B7763A"/>
    <w:rsid w:val="00B8053E"/>
    <w:rsid w:val="00B87A87"/>
    <w:rsid w:val="00B92D38"/>
    <w:rsid w:val="00B92E02"/>
    <w:rsid w:val="00B93500"/>
    <w:rsid w:val="00B937BC"/>
    <w:rsid w:val="00B977F1"/>
    <w:rsid w:val="00BA0C70"/>
    <w:rsid w:val="00BA1316"/>
    <w:rsid w:val="00BB4E1C"/>
    <w:rsid w:val="00BB6F0F"/>
    <w:rsid w:val="00BC17B3"/>
    <w:rsid w:val="00BC59B8"/>
    <w:rsid w:val="00BD122C"/>
    <w:rsid w:val="00BD146A"/>
    <w:rsid w:val="00BD2389"/>
    <w:rsid w:val="00BD4B5B"/>
    <w:rsid w:val="00BE092C"/>
    <w:rsid w:val="00BF2A43"/>
    <w:rsid w:val="00BF45D6"/>
    <w:rsid w:val="00BF561D"/>
    <w:rsid w:val="00C02761"/>
    <w:rsid w:val="00C02FC1"/>
    <w:rsid w:val="00C065F7"/>
    <w:rsid w:val="00C07B9D"/>
    <w:rsid w:val="00C10B40"/>
    <w:rsid w:val="00C116C1"/>
    <w:rsid w:val="00C1256E"/>
    <w:rsid w:val="00C13A37"/>
    <w:rsid w:val="00C159E3"/>
    <w:rsid w:val="00C159F3"/>
    <w:rsid w:val="00C167D1"/>
    <w:rsid w:val="00C169D1"/>
    <w:rsid w:val="00C17033"/>
    <w:rsid w:val="00C23122"/>
    <w:rsid w:val="00C23EAD"/>
    <w:rsid w:val="00C303B2"/>
    <w:rsid w:val="00C31795"/>
    <w:rsid w:val="00C37865"/>
    <w:rsid w:val="00C43EB1"/>
    <w:rsid w:val="00C47B83"/>
    <w:rsid w:val="00C47F8C"/>
    <w:rsid w:val="00C50A1D"/>
    <w:rsid w:val="00C51F86"/>
    <w:rsid w:val="00C52282"/>
    <w:rsid w:val="00C57C4E"/>
    <w:rsid w:val="00C64204"/>
    <w:rsid w:val="00C74801"/>
    <w:rsid w:val="00C768FB"/>
    <w:rsid w:val="00C81A27"/>
    <w:rsid w:val="00C83B4F"/>
    <w:rsid w:val="00C84FE3"/>
    <w:rsid w:val="00C86636"/>
    <w:rsid w:val="00C9031D"/>
    <w:rsid w:val="00C918F7"/>
    <w:rsid w:val="00C9518E"/>
    <w:rsid w:val="00CA33CD"/>
    <w:rsid w:val="00CA7B45"/>
    <w:rsid w:val="00CB045D"/>
    <w:rsid w:val="00CB1059"/>
    <w:rsid w:val="00CB60A8"/>
    <w:rsid w:val="00CB6442"/>
    <w:rsid w:val="00CD0E4A"/>
    <w:rsid w:val="00CD3296"/>
    <w:rsid w:val="00CE3270"/>
    <w:rsid w:val="00CE7DA5"/>
    <w:rsid w:val="00CF788E"/>
    <w:rsid w:val="00D00CBB"/>
    <w:rsid w:val="00D017FC"/>
    <w:rsid w:val="00D077CA"/>
    <w:rsid w:val="00D13D0E"/>
    <w:rsid w:val="00D1640F"/>
    <w:rsid w:val="00D1785C"/>
    <w:rsid w:val="00D24C86"/>
    <w:rsid w:val="00D27E22"/>
    <w:rsid w:val="00D3681D"/>
    <w:rsid w:val="00D36FDF"/>
    <w:rsid w:val="00D43E68"/>
    <w:rsid w:val="00D453F6"/>
    <w:rsid w:val="00D5797C"/>
    <w:rsid w:val="00D61F77"/>
    <w:rsid w:val="00D67170"/>
    <w:rsid w:val="00D706B9"/>
    <w:rsid w:val="00D717B5"/>
    <w:rsid w:val="00D7202F"/>
    <w:rsid w:val="00D733C3"/>
    <w:rsid w:val="00D82853"/>
    <w:rsid w:val="00D858E5"/>
    <w:rsid w:val="00D870D1"/>
    <w:rsid w:val="00D90E72"/>
    <w:rsid w:val="00D9189F"/>
    <w:rsid w:val="00D91A78"/>
    <w:rsid w:val="00D9256A"/>
    <w:rsid w:val="00D975EA"/>
    <w:rsid w:val="00DA2684"/>
    <w:rsid w:val="00DA61CE"/>
    <w:rsid w:val="00DB3688"/>
    <w:rsid w:val="00DB3727"/>
    <w:rsid w:val="00DB5C69"/>
    <w:rsid w:val="00DC1F3F"/>
    <w:rsid w:val="00DC43BC"/>
    <w:rsid w:val="00DC5A69"/>
    <w:rsid w:val="00DC629C"/>
    <w:rsid w:val="00DD0F45"/>
    <w:rsid w:val="00DD19B8"/>
    <w:rsid w:val="00DD2BA6"/>
    <w:rsid w:val="00DD372C"/>
    <w:rsid w:val="00DD3E7A"/>
    <w:rsid w:val="00DD4582"/>
    <w:rsid w:val="00DD64A5"/>
    <w:rsid w:val="00DF283F"/>
    <w:rsid w:val="00DF4343"/>
    <w:rsid w:val="00DF6706"/>
    <w:rsid w:val="00E00573"/>
    <w:rsid w:val="00E01B7B"/>
    <w:rsid w:val="00E03D5C"/>
    <w:rsid w:val="00E03EE0"/>
    <w:rsid w:val="00E140F8"/>
    <w:rsid w:val="00E24D4E"/>
    <w:rsid w:val="00E25139"/>
    <w:rsid w:val="00E279C8"/>
    <w:rsid w:val="00E27B54"/>
    <w:rsid w:val="00E34578"/>
    <w:rsid w:val="00E37572"/>
    <w:rsid w:val="00E41324"/>
    <w:rsid w:val="00E46FF0"/>
    <w:rsid w:val="00E50EF7"/>
    <w:rsid w:val="00E51639"/>
    <w:rsid w:val="00E51994"/>
    <w:rsid w:val="00E573D9"/>
    <w:rsid w:val="00E57E71"/>
    <w:rsid w:val="00E60104"/>
    <w:rsid w:val="00E61279"/>
    <w:rsid w:val="00E62034"/>
    <w:rsid w:val="00E6401C"/>
    <w:rsid w:val="00E6738E"/>
    <w:rsid w:val="00E71D47"/>
    <w:rsid w:val="00E722D7"/>
    <w:rsid w:val="00E7333A"/>
    <w:rsid w:val="00E73831"/>
    <w:rsid w:val="00E74D0E"/>
    <w:rsid w:val="00E835B4"/>
    <w:rsid w:val="00E8456B"/>
    <w:rsid w:val="00E8663B"/>
    <w:rsid w:val="00E866BC"/>
    <w:rsid w:val="00E870C7"/>
    <w:rsid w:val="00E918B4"/>
    <w:rsid w:val="00E92289"/>
    <w:rsid w:val="00E965E0"/>
    <w:rsid w:val="00E972E6"/>
    <w:rsid w:val="00EA0085"/>
    <w:rsid w:val="00EA04D6"/>
    <w:rsid w:val="00EA0B0B"/>
    <w:rsid w:val="00EA26E0"/>
    <w:rsid w:val="00EA4602"/>
    <w:rsid w:val="00EA499A"/>
    <w:rsid w:val="00EA4D5C"/>
    <w:rsid w:val="00EA6589"/>
    <w:rsid w:val="00EA73CC"/>
    <w:rsid w:val="00EB470D"/>
    <w:rsid w:val="00EB4D88"/>
    <w:rsid w:val="00EB6DAB"/>
    <w:rsid w:val="00EC368F"/>
    <w:rsid w:val="00EC480C"/>
    <w:rsid w:val="00ED3DEC"/>
    <w:rsid w:val="00EE0F93"/>
    <w:rsid w:val="00EF45CF"/>
    <w:rsid w:val="00EF73C4"/>
    <w:rsid w:val="00F0017D"/>
    <w:rsid w:val="00F022C8"/>
    <w:rsid w:val="00F02E74"/>
    <w:rsid w:val="00F03310"/>
    <w:rsid w:val="00F058DE"/>
    <w:rsid w:val="00F06E7D"/>
    <w:rsid w:val="00F12AE6"/>
    <w:rsid w:val="00F16900"/>
    <w:rsid w:val="00F20AA0"/>
    <w:rsid w:val="00F21729"/>
    <w:rsid w:val="00F24C30"/>
    <w:rsid w:val="00F351CB"/>
    <w:rsid w:val="00F379CC"/>
    <w:rsid w:val="00F418C7"/>
    <w:rsid w:val="00F41E35"/>
    <w:rsid w:val="00F42A19"/>
    <w:rsid w:val="00F50BA2"/>
    <w:rsid w:val="00F53961"/>
    <w:rsid w:val="00F5462A"/>
    <w:rsid w:val="00F55925"/>
    <w:rsid w:val="00F60898"/>
    <w:rsid w:val="00F62C3E"/>
    <w:rsid w:val="00F7073D"/>
    <w:rsid w:val="00F74755"/>
    <w:rsid w:val="00F80F10"/>
    <w:rsid w:val="00F850B4"/>
    <w:rsid w:val="00F91FD1"/>
    <w:rsid w:val="00F943E0"/>
    <w:rsid w:val="00F94AE9"/>
    <w:rsid w:val="00FA7B5C"/>
    <w:rsid w:val="00FB352D"/>
    <w:rsid w:val="00FC0ABB"/>
    <w:rsid w:val="00FC3884"/>
    <w:rsid w:val="00FC69C6"/>
    <w:rsid w:val="00FD05D5"/>
    <w:rsid w:val="00FD0843"/>
    <w:rsid w:val="00FD5D7F"/>
    <w:rsid w:val="00FD5E1F"/>
    <w:rsid w:val="00FE60EB"/>
    <w:rsid w:val="00FF2853"/>
    <w:rsid w:val="00FF4AFF"/>
    <w:rsid w:val="15E42F4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4:docId w14:val="7B1B145B"/>
  <w15:docId w15:val="{55979056-FFDA-478B-BF71-086A9DBE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z w:val="22"/>
      <w:szCs w:val="22"/>
      <w:lang w:val="en" w:eastAsia="zh-CN"/>
    </w:rPr>
  </w:style>
  <w:style w:type="paragraph" w:styleId="Heading1">
    <w:name w:val="heading 1"/>
    <w:basedOn w:val="Normal"/>
    <w:next w:val="Normal"/>
    <w:uiPriority w:val="9"/>
    <w:qFormat/>
    <w:pPr>
      <w:ind w:left="100"/>
      <w:outlineLvl w:val="0"/>
    </w:pPr>
    <w:rPr>
      <w:rFonts w:ascii="Arial" w:eastAsia="Arial" w:hAnsi="Arial" w:cs="Arial"/>
      <w:b/>
    </w:rPr>
  </w:style>
  <w:style w:type="paragraph" w:styleId="Heading2">
    <w:name w:val="heading 2"/>
    <w:basedOn w:val="Normal"/>
    <w:next w:val="Normal"/>
    <w:uiPriority w:val="9"/>
    <w:semiHidden/>
    <w:unhideWhenUsed/>
    <w:qFormat/>
    <w:pPr>
      <w:ind w:left="94" w:right="3296"/>
      <w:jc w:val="center"/>
      <w:outlineLvl w:val="1"/>
    </w:pPr>
    <w:rPr>
      <w:rFonts w:ascii="Arial" w:eastAsia="Arial" w:hAnsi="Arial" w:cs="Arial"/>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spacing w:before="1"/>
      <w:ind w:right="143"/>
      <w:jc w:val="right"/>
    </w:pPr>
    <w:rPr>
      <w:rFonts w:ascii="Arial" w:eastAsia="Arial" w:hAnsi="Arial" w:cs="Arial"/>
      <w:b/>
      <w:sz w:val="48"/>
      <w:szCs w:val="48"/>
    </w:rPr>
  </w:style>
  <w:style w:type="table" w:customStyle="1" w:styleId="Style11">
    <w:name w:val="_Style 11"/>
    <w:basedOn w:val="TableNormal"/>
    <w:qFormat/>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ds-markdown-paragraph">
    <w:name w:val="ds-markdown-paragraph"/>
    <w:basedOn w:val="Normal"/>
    <w:qFormat/>
    <w:pPr>
      <w:widowControl/>
      <w:spacing w:before="100" w:beforeAutospacing="1" w:after="100" w:afterAutospacing="1"/>
    </w:pPr>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semiHidden/>
    <w:unhideWhenUsed/>
    <w:rsid w:val="0039666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96669"/>
    <w:rPr>
      <w:rFonts w:ascii="Consolas" w:hAnsi="Consolas"/>
      <w:lang w:val="en" w:eastAsia="zh-CN"/>
    </w:rPr>
  </w:style>
  <w:style w:type="character" w:styleId="PlaceholderText">
    <w:name w:val="Placeholder Text"/>
    <w:basedOn w:val="DefaultParagraphFont"/>
    <w:uiPriority w:val="99"/>
    <w:semiHidden/>
    <w:rsid w:val="004010A6"/>
    <w:rPr>
      <w:color w:val="666666"/>
    </w:rPr>
  </w:style>
  <w:style w:type="character" w:customStyle="1" w:styleId="y2iqfc">
    <w:name w:val="y2iqfc"/>
    <w:basedOn w:val="DefaultParagraphFont"/>
    <w:rsid w:val="0054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2081">
      <w:bodyDiv w:val="1"/>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0"/>
          <w:marBottom w:val="0"/>
          <w:divBdr>
            <w:top w:val="none" w:sz="0" w:space="0" w:color="auto"/>
            <w:left w:val="none" w:sz="0" w:space="0" w:color="auto"/>
            <w:bottom w:val="none" w:sz="0" w:space="0" w:color="auto"/>
            <w:right w:val="none" w:sz="0" w:space="0" w:color="auto"/>
          </w:divBdr>
        </w:div>
      </w:divsChild>
    </w:div>
    <w:div w:id="1046682782">
      <w:bodyDiv w:val="1"/>
      <w:marLeft w:val="0"/>
      <w:marRight w:val="0"/>
      <w:marTop w:val="0"/>
      <w:marBottom w:val="0"/>
      <w:divBdr>
        <w:top w:val="none" w:sz="0" w:space="0" w:color="auto"/>
        <w:left w:val="none" w:sz="0" w:space="0" w:color="auto"/>
        <w:bottom w:val="none" w:sz="0" w:space="0" w:color="auto"/>
        <w:right w:val="none" w:sz="0" w:space="0" w:color="auto"/>
      </w:divBdr>
    </w:div>
    <w:div w:id="1316640964">
      <w:bodyDiv w:val="1"/>
      <w:marLeft w:val="0"/>
      <w:marRight w:val="0"/>
      <w:marTop w:val="0"/>
      <w:marBottom w:val="0"/>
      <w:divBdr>
        <w:top w:val="none" w:sz="0" w:space="0" w:color="auto"/>
        <w:left w:val="none" w:sz="0" w:space="0" w:color="auto"/>
        <w:bottom w:val="none" w:sz="0" w:space="0" w:color="auto"/>
        <w:right w:val="none" w:sz="0" w:space="0" w:color="auto"/>
      </w:divBdr>
    </w:div>
    <w:div w:id="1474298578">
      <w:bodyDiv w:val="1"/>
      <w:marLeft w:val="0"/>
      <w:marRight w:val="0"/>
      <w:marTop w:val="0"/>
      <w:marBottom w:val="0"/>
      <w:divBdr>
        <w:top w:val="none" w:sz="0" w:space="0" w:color="auto"/>
        <w:left w:val="none" w:sz="0" w:space="0" w:color="auto"/>
        <w:bottom w:val="none" w:sz="0" w:space="0" w:color="auto"/>
        <w:right w:val="none" w:sz="0" w:space="0" w:color="auto"/>
      </w:divBdr>
    </w:div>
    <w:div w:id="170008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NTEL\Downloads\Copy%20of%20NOVITA%20DATA%20YES%20FIX_G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'[Copy of NOVITA DATA YES FIX_G4.xlsx]DATA SEMUA HASIL'!$DC$30</c:f>
              <c:strCache>
                <c:ptCount val="1"/>
                <c:pt idx="0">
                  <c:v>A (2,5% + 10 g)</c:v>
                </c:pt>
              </c:strCache>
            </c:strRef>
          </c:tx>
          <c:dLbls>
            <c:dLbl>
              <c:idx val="0"/>
              <c:layout>
                <c:manualLayout>
                  <c:x val="-3.6819449779226097E-2"/>
                  <c:y val="-4.8853625446067299E-2"/>
                </c:manualLayout>
              </c:layout>
              <c:tx>
                <c:rich>
                  <a:bodyPr/>
                  <a:lstStyle/>
                  <a:p>
                    <a:r>
                      <a:rPr lang="en-US"/>
                      <a:t>1.476,67 kg (A)</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91-4B50-A0AE-0A03FB18E436}"/>
                </c:ext>
              </c:extLst>
            </c:dLbl>
            <c:dLbl>
              <c:idx val="1"/>
              <c:delete val="1"/>
              <c:extLst>
                <c:ext xmlns:c15="http://schemas.microsoft.com/office/drawing/2012/chart" uri="{CE6537A1-D6FC-4f65-9D91-7224C49458BB}"/>
                <c:ext xmlns:c16="http://schemas.microsoft.com/office/drawing/2014/chart" uri="{C3380CC4-5D6E-409C-BE32-E72D297353CC}">
                  <c16:uniqueId val="{00000001-D291-4B50-A0AE-0A03FB18E436}"/>
                </c:ext>
              </c:extLst>
            </c:dLbl>
            <c:dLbl>
              <c:idx val="2"/>
              <c:delete val="1"/>
              <c:extLst>
                <c:ext xmlns:c15="http://schemas.microsoft.com/office/drawing/2012/chart" uri="{CE6537A1-D6FC-4f65-9D91-7224C49458BB}"/>
                <c:ext xmlns:c16="http://schemas.microsoft.com/office/drawing/2014/chart" uri="{C3380CC4-5D6E-409C-BE32-E72D297353CC}">
                  <c16:uniqueId val="{00000002-D291-4B50-A0AE-0A03FB18E436}"/>
                </c:ext>
              </c:extLst>
            </c:dLbl>
            <c:dLbl>
              <c:idx val="3"/>
              <c:delete val="1"/>
              <c:extLst>
                <c:ext xmlns:c15="http://schemas.microsoft.com/office/drawing/2012/chart" uri="{CE6537A1-D6FC-4f65-9D91-7224C49458BB}"/>
                <c:ext xmlns:c16="http://schemas.microsoft.com/office/drawing/2014/chart" uri="{C3380CC4-5D6E-409C-BE32-E72D297353CC}">
                  <c16:uniqueId val="{00000003-D291-4B50-A0AE-0A03FB18E436}"/>
                </c:ext>
              </c:extLst>
            </c:dLbl>
            <c:dLbl>
              <c:idx val="4"/>
              <c:delete val="1"/>
              <c:extLst>
                <c:ext xmlns:c15="http://schemas.microsoft.com/office/drawing/2012/chart" uri="{CE6537A1-D6FC-4f65-9D91-7224C49458BB}"/>
                <c:ext xmlns:c16="http://schemas.microsoft.com/office/drawing/2014/chart" uri="{C3380CC4-5D6E-409C-BE32-E72D297353CC}">
                  <c16:uniqueId val="{00000004-D291-4B50-A0AE-0A03FB18E436}"/>
                </c:ext>
              </c:extLst>
            </c:dLbl>
            <c:dLbl>
              <c:idx val="5"/>
              <c:delete val="1"/>
              <c:extLst>
                <c:ext xmlns:c15="http://schemas.microsoft.com/office/drawing/2012/chart" uri="{CE6537A1-D6FC-4f65-9D91-7224C49458BB}"/>
                <c:ext xmlns:c16="http://schemas.microsoft.com/office/drawing/2014/chart" uri="{C3380CC4-5D6E-409C-BE32-E72D297353CC}">
                  <c16:uniqueId val="{00000005-D291-4B50-A0AE-0A03FB18E436}"/>
                </c:ext>
              </c:extLst>
            </c:dLbl>
            <c:dLbl>
              <c:idx val="6"/>
              <c:layout>
                <c:manualLayout>
                  <c:x val="-9.1578264570147894E-2"/>
                  <c:y val="-3.4949951723783901E-2"/>
                </c:manualLayout>
              </c:layout>
              <c:tx>
                <c:rich>
                  <a:bodyPr/>
                  <a:lstStyle/>
                  <a:p>
                    <a:r>
                      <a:rPr lang="en-US">
                        <a:latin typeface="Times New Roman" panose="02020603050405020304" charset="0"/>
                        <a:cs typeface="Times New Roman" panose="02020603050405020304" charset="0"/>
                      </a:rPr>
                      <a:t>2.735 kg (A)</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91-4B50-A0AE-0A03FB18E436}"/>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dLblPos val="l"/>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HASIL'!$CX$30:$CX$36</c:f>
              <c:numCache>
                <c:formatCode>General</c:formatCode>
                <c:ptCount val="7"/>
                <c:pt idx="0">
                  <c:v>1476.6666666666699</c:v>
                </c:pt>
                <c:pt idx="1">
                  <c:v>1685</c:v>
                </c:pt>
                <c:pt idx="2" formatCode="0.00">
                  <c:v>1888.3333333333301</c:v>
                </c:pt>
                <c:pt idx="3">
                  <c:v>2015</c:v>
                </c:pt>
                <c:pt idx="4">
                  <c:v>2273.3333333333298</c:v>
                </c:pt>
                <c:pt idx="5">
                  <c:v>2483.3333333333298</c:v>
                </c:pt>
                <c:pt idx="6">
                  <c:v>2735</c:v>
                </c:pt>
              </c:numCache>
            </c:numRef>
          </c:val>
          <c:smooth val="0"/>
          <c:extLst>
            <c:ext xmlns:c16="http://schemas.microsoft.com/office/drawing/2014/chart" uri="{C3380CC4-5D6E-409C-BE32-E72D297353CC}">
              <c16:uniqueId val="{00000007-D291-4B50-A0AE-0A03FB18E436}"/>
            </c:ext>
          </c:extLst>
        </c:ser>
        <c:ser>
          <c:idx val="1"/>
          <c:order val="1"/>
          <c:tx>
            <c:strRef>
              <c:f>'[Copy of NOVITA DATA YES FIX_G4.xlsx]DATA SEMUA HASIL'!$DC$31</c:f>
              <c:strCache>
                <c:ptCount val="1"/>
                <c:pt idx="0">
                  <c:v>B (2% + 10 g)</c:v>
                </c:pt>
              </c:strCache>
            </c:strRef>
          </c:tx>
          <c:dLbls>
            <c:dLbl>
              <c:idx val="0"/>
              <c:layout>
                <c:manualLayout>
                  <c:x val="-3.7096508324716199E-2"/>
                  <c:y val="1.9869836588147199E-2"/>
                </c:manualLayout>
              </c:layout>
              <c:tx>
                <c:rich>
                  <a:bodyPr/>
                  <a:lstStyle/>
                  <a:p>
                    <a:r>
                      <a:rPr lang="en-US"/>
                      <a:t>1.191,67 kg (B)</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91-4B50-A0AE-0A03FB18E436}"/>
                </c:ext>
              </c:extLst>
            </c:dLbl>
            <c:dLbl>
              <c:idx val="1"/>
              <c:delete val="1"/>
              <c:extLst>
                <c:ext xmlns:c15="http://schemas.microsoft.com/office/drawing/2012/chart" uri="{CE6537A1-D6FC-4f65-9D91-7224C49458BB}"/>
                <c:ext xmlns:c16="http://schemas.microsoft.com/office/drawing/2014/chart" uri="{C3380CC4-5D6E-409C-BE32-E72D297353CC}">
                  <c16:uniqueId val="{00000009-D291-4B50-A0AE-0A03FB18E436}"/>
                </c:ext>
              </c:extLst>
            </c:dLbl>
            <c:dLbl>
              <c:idx val="2"/>
              <c:delete val="1"/>
              <c:extLst>
                <c:ext xmlns:c15="http://schemas.microsoft.com/office/drawing/2012/chart" uri="{CE6537A1-D6FC-4f65-9D91-7224C49458BB}"/>
                <c:ext xmlns:c16="http://schemas.microsoft.com/office/drawing/2014/chart" uri="{C3380CC4-5D6E-409C-BE32-E72D297353CC}">
                  <c16:uniqueId val="{0000000A-D291-4B50-A0AE-0A03FB18E436}"/>
                </c:ext>
              </c:extLst>
            </c:dLbl>
            <c:dLbl>
              <c:idx val="3"/>
              <c:delete val="1"/>
              <c:extLst>
                <c:ext xmlns:c15="http://schemas.microsoft.com/office/drawing/2012/chart" uri="{CE6537A1-D6FC-4f65-9D91-7224C49458BB}"/>
                <c:ext xmlns:c16="http://schemas.microsoft.com/office/drawing/2014/chart" uri="{C3380CC4-5D6E-409C-BE32-E72D297353CC}">
                  <c16:uniqueId val="{0000000B-D291-4B50-A0AE-0A03FB18E436}"/>
                </c:ext>
              </c:extLst>
            </c:dLbl>
            <c:dLbl>
              <c:idx val="4"/>
              <c:delete val="1"/>
              <c:extLst>
                <c:ext xmlns:c15="http://schemas.microsoft.com/office/drawing/2012/chart" uri="{CE6537A1-D6FC-4f65-9D91-7224C49458BB}"/>
                <c:ext xmlns:c16="http://schemas.microsoft.com/office/drawing/2014/chart" uri="{C3380CC4-5D6E-409C-BE32-E72D297353CC}">
                  <c16:uniqueId val="{0000000C-D291-4B50-A0AE-0A03FB18E436}"/>
                </c:ext>
              </c:extLst>
            </c:dLbl>
            <c:dLbl>
              <c:idx val="5"/>
              <c:delete val="1"/>
              <c:extLst>
                <c:ext xmlns:c15="http://schemas.microsoft.com/office/drawing/2012/chart" uri="{CE6537A1-D6FC-4f65-9D91-7224C49458BB}"/>
                <c:ext xmlns:c16="http://schemas.microsoft.com/office/drawing/2014/chart" uri="{C3380CC4-5D6E-409C-BE32-E72D297353CC}">
                  <c16:uniqueId val="{0000000D-D291-4B50-A0AE-0A03FB18E436}"/>
                </c:ext>
              </c:extLst>
            </c:dLbl>
            <c:dLbl>
              <c:idx val="6"/>
              <c:layout>
                <c:manualLayout>
                  <c:x val="-0.12073015664988899"/>
                  <c:y val="1.13505002343425E-2"/>
                </c:manualLayout>
              </c:layout>
              <c:tx>
                <c:rich>
                  <a:bodyPr/>
                  <a:lstStyle/>
                  <a:p>
                    <a:r>
                      <a:rPr lang="en-US">
                        <a:latin typeface="Times New Roman" panose="02020603050405020304" charset="0"/>
                        <a:cs typeface="Times New Roman" panose="02020603050405020304" charset="0"/>
                      </a:rPr>
                      <a:t>2.706,67 kg (B)</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291-4B50-A0AE-0A03FB18E436}"/>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HASIL'!$CY$30:$CY$36</c:f>
              <c:numCache>
                <c:formatCode>General</c:formatCode>
                <c:ptCount val="7"/>
                <c:pt idx="0">
                  <c:v>1191.6666666666699</c:v>
                </c:pt>
                <c:pt idx="1">
                  <c:v>1608.3333333333301</c:v>
                </c:pt>
                <c:pt idx="2">
                  <c:v>1780</c:v>
                </c:pt>
                <c:pt idx="3">
                  <c:v>1896.6666666666699</c:v>
                </c:pt>
                <c:pt idx="4">
                  <c:v>2200</c:v>
                </c:pt>
                <c:pt idx="5">
                  <c:v>2445</c:v>
                </c:pt>
                <c:pt idx="6">
                  <c:v>2706.6666666666702</c:v>
                </c:pt>
              </c:numCache>
            </c:numRef>
          </c:val>
          <c:smooth val="0"/>
          <c:extLst>
            <c:ext xmlns:c16="http://schemas.microsoft.com/office/drawing/2014/chart" uri="{C3380CC4-5D6E-409C-BE32-E72D297353CC}">
              <c16:uniqueId val="{0000000F-D291-4B50-A0AE-0A03FB18E436}"/>
            </c:ext>
          </c:extLst>
        </c:ser>
        <c:ser>
          <c:idx val="2"/>
          <c:order val="2"/>
          <c:tx>
            <c:strRef>
              <c:f>'[Copy of NOVITA DATA YES FIX_G4.xlsx]DATA SEMUA HASIL'!$DC$32</c:f>
              <c:strCache>
                <c:ptCount val="1"/>
                <c:pt idx="0">
                  <c:v>C (1,5% + 10 g)</c:v>
                </c:pt>
              </c:strCache>
            </c:strRef>
          </c:tx>
          <c:dLbls>
            <c:dLbl>
              <c:idx val="0"/>
              <c:layout>
                <c:manualLayout>
                  <c:x val="-3.7105488739617699E-2"/>
                  <c:y val="-3.4950477034533501E-3"/>
                </c:manualLayout>
              </c:layout>
              <c:tx>
                <c:rich>
                  <a:bodyPr/>
                  <a:lstStyle/>
                  <a:p>
                    <a:r>
                      <a:rPr lang="en-US"/>
                      <a:t>1.403,33</a:t>
                    </a:r>
                    <a:r>
                      <a:rPr lang="en-US" baseline="0"/>
                      <a:t> kg (C)</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291-4B50-A0AE-0A03FB18E436}"/>
                </c:ext>
              </c:extLst>
            </c:dLbl>
            <c:dLbl>
              <c:idx val="1"/>
              <c:delete val="1"/>
              <c:extLst>
                <c:ext xmlns:c15="http://schemas.microsoft.com/office/drawing/2012/chart" uri="{CE6537A1-D6FC-4f65-9D91-7224C49458BB}"/>
                <c:ext xmlns:c16="http://schemas.microsoft.com/office/drawing/2014/chart" uri="{C3380CC4-5D6E-409C-BE32-E72D297353CC}">
                  <c16:uniqueId val="{00000011-D291-4B50-A0AE-0A03FB18E436}"/>
                </c:ext>
              </c:extLst>
            </c:dLbl>
            <c:dLbl>
              <c:idx val="2"/>
              <c:delete val="1"/>
              <c:extLst>
                <c:ext xmlns:c15="http://schemas.microsoft.com/office/drawing/2012/chart" uri="{CE6537A1-D6FC-4f65-9D91-7224C49458BB}"/>
                <c:ext xmlns:c16="http://schemas.microsoft.com/office/drawing/2014/chart" uri="{C3380CC4-5D6E-409C-BE32-E72D297353CC}">
                  <c16:uniqueId val="{00000012-D291-4B50-A0AE-0A03FB18E436}"/>
                </c:ext>
              </c:extLst>
            </c:dLbl>
            <c:dLbl>
              <c:idx val="3"/>
              <c:delete val="1"/>
              <c:extLst>
                <c:ext xmlns:c15="http://schemas.microsoft.com/office/drawing/2012/chart" uri="{CE6537A1-D6FC-4f65-9D91-7224C49458BB}"/>
                <c:ext xmlns:c16="http://schemas.microsoft.com/office/drawing/2014/chart" uri="{C3380CC4-5D6E-409C-BE32-E72D297353CC}">
                  <c16:uniqueId val="{00000013-D291-4B50-A0AE-0A03FB18E436}"/>
                </c:ext>
              </c:extLst>
            </c:dLbl>
            <c:dLbl>
              <c:idx val="4"/>
              <c:delete val="1"/>
              <c:extLst>
                <c:ext xmlns:c15="http://schemas.microsoft.com/office/drawing/2012/chart" uri="{CE6537A1-D6FC-4f65-9D91-7224C49458BB}"/>
                <c:ext xmlns:c16="http://schemas.microsoft.com/office/drawing/2014/chart" uri="{C3380CC4-5D6E-409C-BE32-E72D297353CC}">
                  <c16:uniqueId val="{00000014-D291-4B50-A0AE-0A03FB18E436}"/>
                </c:ext>
              </c:extLst>
            </c:dLbl>
            <c:dLbl>
              <c:idx val="5"/>
              <c:delete val="1"/>
              <c:extLst>
                <c:ext xmlns:c15="http://schemas.microsoft.com/office/drawing/2012/chart" uri="{CE6537A1-D6FC-4f65-9D91-7224C49458BB}"/>
                <c:ext xmlns:c16="http://schemas.microsoft.com/office/drawing/2014/chart" uri="{C3380CC4-5D6E-409C-BE32-E72D297353CC}">
                  <c16:uniqueId val="{00000015-D291-4B50-A0AE-0A03FB18E436}"/>
                </c:ext>
              </c:extLst>
            </c:dLbl>
            <c:dLbl>
              <c:idx val="6"/>
              <c:layout>
                <c:manualLayout>
                  <c:x val="-9.3426325258939805E-2"/>
                  <c:y val="-2.8211442504657002E-7"/>
                </c:manualLayout>
              </c:layout>
              <c:tx>
                <c:rich>
                  <a:bodyPr/>
                  <a:lstStyle/>
                  <a:p>
                    <a:r>
                      <a:rPr lang="en-US">
                        <a:latin typeface="Times New Roman" panose="02020603050405020304" charset="0"/>
                        <a:cs typeface="Times New Roman" panose="02020603050405020304" charset="0"/>
                      </a:rPr>
                      <a:t>2.385 kg (C)</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291-4B50-A0AE-0A03FB18E436}"/>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HASIL'!$CZ$30:$CZ$36</c:f>
              <c:numCache>
                <c:formatCode>General</c:formatCode>
                <c:ptCount val="7"/>
                <c:pt idx="0">
                  <c:v>1403.3333333333301</c:v>
                </c:pt>
                <c:pt idx="1">
                  <c:v>1321.6666666666699</c:v>
                </c:pt>
                <c:pt idx="2">
                  <c:v>1556.6666666666699</c:v>
                </c:pt>
                <c:pt idx="3">
                  <c:v>1778.3333333333301</c:v>
                </c:pt>
                <c:pt idx="4">
                  <c:v>2068.3333333333298</c:v>
                </c:pt>
                <c:pt idx="5">
                  <c:v>2208.3333333333298</c:v>
                </c:pt>
                <c:pt idx="6">
                  <c:v>2385</c:v>
                </c:pt>
              </c:numCache>
            </c:numRef>
          </c:val>
          <c:smooth val="0"/>
          <c:extLst>
            <c:ext xmlns:c16="http://schemas.microsoft.com/office/drawing/2014/chart" uri="{C3380CC4-5D6E-409C-BE32-E72D297353CC}">
              <c16:uniqueId val="{00000017-D291-4B50-A0AE-0A03FB18E436}"/>
            </c:ext>
          </c:extLst>
        </c:ser>
        <c:ser>
          <c:idx val="3"/>
          <c:order val="3"/>
          <c:tx>
            <c:strRef>
              <c:f>'[Copy of NOVITA DATA YES FIX_G4.xlsx]DATA SEMUA HASIL'!$DC$33</c:f>
              <c:strCache>
                <c:ptCount val="1"/>
                <c:pt idx="0">
                  <c:v>D (2,5% + 10 g)</c:v>
                </c:pt>
              </c:strCache>
            </c:strRef>
          </c:tx>
          <c:dLbls>
            <c:dLbl>
              <c:idx val="0"/>
              <c:layout>
                <c:manualLayout>
                  <c:x val="-2.16315026947978E-2"/>
                  <c:y val="-3.8267411185442003E-2"/>
                </c:manualLayout>
              </c:layout>
              <c:tx>
                <c:rich>
                  <a:bodyPr/>
                  <a:lstStyle/>
                  <a:p>
                    <a:r>
                      <a:rPr lang="en-US"/>
                      <a:t>0.567 kg (D)</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291-4B50-A0AE-0A03FB18E436}"/>
                </c:ext>
              </c:extLst>
            </c:dLbl>
            <c:dLbl>
              <c:idx val="1"/>
              <c:delete val="1"/>
              <c:extLst>
                <c:ext xmlns:c15="http://schemas.microsoft.com/office/drawing/2012/chart" uri="{CE6537A1-D6FC-4f65-9D91-7224C49458BB}"/>
                <c:ext xmlns:c16="http://schemas.microsoft.com/office/drawing/2014/chart" uri="{C3380CC4-5D6E-409C-BE32-E72D297353CC}">
                  <c16:uniqueId val="{00000019-D291-4B50-A0AE-0A03FB18E436}"/>
                </c:ext>
              </c:extLst>
            </c:dLbl>
            <c:dLbl>
              <c:idx val="2"/>
              <c:delete val="1"/>
              <c:extLst>
                <c:ext xmlns:c15="http://schemas.microsoft.com/office/drawing/2012/chart" uri="{CE6537A1-D6FC-4f65-9D91-7224C49458BB}"/>
                <c:ext xmlns:c16="http://schemas.microsoft.com/office/drawing/2014/chart" uri="{C3380CC4-5D6E-409C-BE32-E72D297353CC}">
                  <c16:uniqueId val="{0000001A-D291-4B50-A0AE-0A03FB18E436}"/>
                </c:ext>
              </c:extLst>
            </c:dLbl>
            <c:dLbl>
              <c:idx val="3"/>
              <c:delete val="1"/>
              <c:extLst>
                <c:ext xmlns:c15="http://schemas.microsoft.com/office/drawing/2012/chart" uri="{CE6537A1-D6FC-4f65-9D91-7224C49458BB}"/>
                <c:ext xmlns:c16="http://schemas.microsoft.com/office/drawing/2014/chart" uri="{C3380CC4-5D6E-409C-BE32-E72D297353CC}">
                  <c16:uniqueId val="{0000001B-D291-4B50-A0AE-0A03FB18E436}"/>
                </c:ext>
              </c:extLst>
            </c:dLbl>
            <c:dLbl>
              <c:idx val="4"/>
              <c:delete val="1"/>
              <c:extLst>
                <c:ext xmlns:c15="http://schemas.microsoft.com/office/drawing/2012/chart" uri="{CE6537A1-D6FC-4f65-9D91-7224C49458BB}"/>
                <c:ext xmlns:c16="http://schemas.microsoft.com/office/drawing/2014/chart" uri="{C3380CC4-5D6E-409C-BE32-E72D297353CC}">
                  <c16:uniqueId val="{0000001C-D291-4B50-A0AE-0A03FB18E436}"/>
                </c:ext>
              </c:extLst>
            </c:dLbl>
            <c:dLbl>
              <c:idx val="5"/>
              <c:delete val="1"/>
              <c:extLst>
                <c:ext xmlns:c15="http://schemas.microsoft.com/office/drawing/2012/chart" uri="{CE6537A1-D6FC-4f65-9D91-7224C49458BB}"/>
                <c:ext xmlns:c16="http://schemas.microsoft.com/office/drawing/2014/chart" uri="{C3380CC4-5D6E-409C-BE32-E72D297353CC}">
                  <c16:uniqueId val="{0000001D-D291-4B50-A0AE-0A03FB18E436}"/>
                </c:ext>
              </c:extLst>
            </c:dLbl>
            <c:dLbl>
              <c:idx val="6"/>
              <c:layout>
                <c:manualLayout>
                  <c:x val="-0.124431411557163"/>
                  <c:y val="-2.0103980179425201E-2"/>
                </c:manualLayout>
              </c:layout>
              <c:tx>
                <c:rich>
                  <a:bodyPr/>
                  <a:lstStyle/>
                  <a:p>
                    <a:r>
                      <a:rPr lang="en-US">
                        <a:latin typeface="Times New Roman" panose="02020603050405020304" charset="0"/>
                        <a:cs typeface="Times New Roman" panose="02020603050405020304" charset="0"/>
                      </a:rPr>
                      <a:t>1.018,33</a:t>
                    </a:r>
                    <a:r>
                      <a:rPr lang="en-US" baseline="0">
                        <a:latin typeface="Times New Roman" panose="02020603050405020304" charset="0"/>
                        <a:cs typeface="Times New Roman" panose="02020603050405020304" charset="0"/>
                      </a:rPr>
                      <a:t> kg (D)</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291-4B50-A0AE-0A03FB18E436}"/>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HASIL'!$DA$30:$DA$36</c:f>
              <c:numCache>
                <c:formatCode>General</c:formatCode>
                <c:ptCount val="7"/>
                <c:pt idx="0">
                  <c:v>566.66666666666697</c:v>
                </c:pt>
                <c:pt idx="1">
                  <c:v>618.33333333333303</c:v>
                </c:pt>
                <c:pt idx="2">
                  <c:v>663.33333333333303</c:v>
                </c:pt>
                <c:pt idx="3">
                  <c:v>731.66666666666697</c:v>
                </c:pt>
                <c:pt idx="4">
                  <c:v>823.33333333333303</c:v>
                </c:pt>
                <c:pt idx="5">
                  <c:v>916.66666666666697</c:v>
                </c:pt>
                <c:pt idx="6">
                  <c:v>1018.33333333333</c:v>
                </c:pt>
              </c:numCache>
            </c:numRef>
          </c:val>
          <c:smooth val="0"/>
          <c:extLst>
            <c:ext xmlns:c16="http://schemas.microsoft.com/office/drawing/2014/chart" uri="{C3380CC4-5D6E-409C-BE32-E72D297353CC}">
              <c16:uniqueId val="{0000001F-D291-4B50-A0AE-0A03FB18E436}"/>
            </c:ext>
          </c:extLst>
        </c:ser>
        <c:dLbls>
          <c:showLegendKey val="0"/>
          <c:showVal val="0"/>
          <c:showCatName val="0"/>
          <c:showSerName val="0"/>
          <c:showPercent val="0"/>
          <c:showBubbleSize val="0"/>
        </c:dLbls>
        <c:marker val="1"/>
        <c:smooth val="0"/>
        <c:axId val="166038528"/>
        <c:axId val="166249600"/>
      </c:lineChart>
      <c:catAx>
        <c:axId val="16603852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mn-cs"/>
                  </a:defRPr>
                </a:pPr>
                <a:r>
                  <a:rPr lang="id-ID"/>
                  <a:t>Week</a:t>
                </a:r>
                <a:endParaRPr lang="en-US"/>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crossAx val="166249600"/>
        <c:crosses val="autoZero"/>
        <c:auto val="1"/>
        <c:lblAlgn val="ctr"/>
        <c:lblOffset val="100"/>
        <c:noMultiLvlLbl val="0"/>
      </c:catAx>
      <c:valAx>
        <c:axId val="16624960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mn-cs"/>
                  </a:defRPr>
                </a:pPr>
                <a:r>
                  <a:rPr lang="id-ID"/>
                  <a:t>Average Weight (</a:t>
                </a:r>
                <a:r>
                  <a:rPr lang="en-US"/>
                  <a:t>k</a:t>
                </a:r>
                <a:r>
                  <a:rPr lang="id-ID"/>
                  <a:t>g)</a:t>
                </a:r>
                <a:endParaRPr lang="en-US"/>
              </a:p>
            </c:rich>
          </c:tx>
          <c:overlay val="0"/>
        </c:title>
        <c:numFmt formatCode="#,##0"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crossAx val="166038528"/>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mn-cs"/>
            </a:defRPr>
          </a:pPr>
          <a:endParaRPr lang="en-US"/>
        </a:p>
      </c:txPr>
    </c:legend>
    <c:plotVisOnly val="1"/>
    <c:dispBlanksAs val="gap"/>
    <c:showDLblsOverMax val="0"/>
    <c:extLst>
      <c:ext uri="{0b15fc19-7d7d-44ad-8c2d-2c3a37ce22c3}">
        <chartProps xmlns="https://web.wps.cn/et/2018/main" chartId="{0b813ce5-73fd-4a44-8e2f-38bf1ca77139}"/>
      </c:ext>
    </c:extLst>
  </c:chart>
  <c:txPr>
    <a:bodyPr/>
    <a:lstStyle/>
    <a:p>
      <a:pPr>
        <a:defRPr lang="en-US" baseline="0">
          <a:latin typeface="Arial" panose="020B0604020202020204" pitchFamily="2"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Info spid="_x0000_s2057"/>
    <customShpInfo spid="_x0000_s2056"/>
    <customShpInfo spid="_x0000_s205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1C5CB-DD84-4003-885B-34E937E7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10</Pages>
  <Words>4303</Words>
  <Characters>24529</Characters>
  <Application>Microsoft Office Word</Application>
  <DocSecurity>0</DocSecurity>
  <Lines>204</Lines>
  <Paragraphs>57</Paragraphs>
  <ScaleCrop>false</ScaleCrop>
  <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SDI 1183</cp:lastModifiedBy>
  <cp:revision>184</cp:revision>
  <dcterms:created xsi:type="dcterms:W3CDTF">2025-06-03T11:24:00Z</dcterms:created>
  <dcterms:modified xsi:type="dcterms:W3CDTF">2025-06-14T06:13:00Z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F108CEDF4E2B45F5B72187644511D401_12</vt:lpwstr>
  </property>
</Properties>
</file>