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FB9C2F" w14:textId="1F3535F8" w:rsidR="005620FB" w:rsidRPr="005620FB" w:rsidRDefault="005620FB" w:rsidP="005620FB">
      <w:pPr>
        <w:spacing w:line="360" w:lineRule="auto"/>
        <w:jc w:val="both"/>
        <w:rPr>
          <w:rFonts w:ascii="Times New Roman" w:hAnsi="Times New Roman"/>
          <w:b/>
          <w:bCs/>
          <w:sz w:val="36"/>
          <w:szCs w:val="36"/>
        </w:rPr>
      </w:pPr>
      <w:r w:rsidRPr="005620FB">
        <w:rPr>
          <w:rFonts w:ascii="Times New Roman" w:hAnsi="Times New Roman"/>
          <w:b/>
          <w:bCs/>
          <w:sz w:val="36"/>
          <w:szCs w:val="36"/>
        </w:rPr>
        <w:t>A Systematic Review on Prediction Models for Postoperative Delirium in Non-cardiac Surgery Patients</w:t>
      </w:r>
      <w:bookmarkStart w:id="0" w:name="_GoBack"/>
      <w:bookmarkEnd w:id="0"/>
    </w:p>
    <w:p w14:paraId="13AA69F6" w14:textId="77777777" w:rsidR="00D7445C" w:rsidRPr="005620FB" w:rsidRDefault="00D7445C" w:rsidP="005620FB">
      <w:pPr>
        <w:spacing w:after="160" w:line="278" w:lineRule="auto"/>
        <w:rPr>
          <w:rFonts w:asciiTheme="minorHAnsi" w:eastAsiaTheme="minorEastAsia" w:hAnsiTheme="minorHAnsi" w:cstheme="minorBidi"/>
          <w:kern w:val="2"/>
          <w:sz w:val="24"/>
          <w:szCs w:val="24"/>
          <w:lang w:eastAsia="en-GB"/>
          <w14:ligatures w14:val="standardContextual"/>
        </w:rPr>
      </w:pPr>
    </w:p>
    <w:p w14:paraId="4605E51B" w14:textId="3D9AC128" w:rsidR="0048785F" w:rsidRPr="000E3D37" w:rsidRDefault="008D2011" w:rsidP="000E3D37">
      <w:pPr>
        <w:spacing w:line="360" w:lineRule="auto"/>
        <w:jc w:val="both"/>
        <w:rPr>
          <w:rFonts w:asciiTheme="majorBidi" w:hAnsiTheme="majorBidi" w:cstheme="majorBidi"/>
          <w:sz w:val="24"/>
          <w:szCs w:val="24"/>
        </w:rPr>
      </w:pPr>
      <w:r w:rsidRPr="009225BF">
        <w:rPr>
          <w:rFonts w:asciiTheme="majorBidi" w:hAnsiTheme="majorBidi" w:cstheme="majorBidi"/>
          <w:b/>
          <w:bCs/>
          <w:sz w:val="24"/>
          <w:szCs w:val="24"/>
        </w:rPr>
        <w:t>ABSTRACT</w:t>
      </w:r>
      <w:r w:rsidR="0048785F" w:rsidRPr="009225BF">
        <w:rPr>
          <w:rFonts w:asciiTheme="majorBidi" w:hAnsiTheme="majorBidi" w:cstheme="majorBidi"/>
          <w:b/>
          <w:bCs/>
          <w:sz w:val="24"/>
          <w:szCs w:val="24"/>
        </w:rPr>
        <w:t xml:space="preserve"> </w:t>
      </w:r>
    </w:p>
    <w:p w14:paraId="0483814F" w14:textId="4591DCEF" w:rsidR="00A91456" w:rsidRPr="00CE28F4" w:rsidRDefault="008D2011" w:rsidP="00C0633B">
      <w:pPr>
        <w:spacing w:line="360" w:lineRule="auto"/>
        <w:jc w:val="both"/>
        <w:rPr>
          <w:rFonts w:asciiTheme="majorBidi" w:hAnsiTheme="majorBidi" w:cstheme="majorBidi"/>
          <w:sz w:val="24"/>
          <w:szCs w:val="24"/>
        </w:rPr>
      </w:pPr>
      <w:r w:rsidRPr="009225BF">
        <w:rPr>
          <w:rFonts w:asciiTheme="majorBidi" w:hAnsiTheme="majorBidi" w:cstheme="majorBidi"/>
          <w:b/>
          <w:bCs/>
          <w:sz w:val="24"/>
          <w:szCs w:val="24"/>
        </w:rPr>
        <w:t>INTRODUCTION:</w:t>
      </w:r>
      <w:r w:rsidR="00A91456" w:rsidRPr="00CE28F4">
        <w:rPr>
          <w:rFonts w:asciiTheme="majorBidi" w:hAnsiTheme="majorBidi" w:cstheme="majorBidi"/>
          <w:sz w:val="24"/>
          <w:szCs w:val="24"/>
        </w:rPr>
        <w:t xml:space="preserve"> Numerous risk prediction models (RPMs) for postoperative delirium (POD) following non-cardiac surgery have </w:t>
      </w:r>
      <w:bookmarkStart w:id="1" w:name="_Int_d44kmfI2"/>
      <w:r w:rsidR="00A91456" w:rsidRPr="00CE28F4">
        <w:rPr>
          <w:rFonts w:asciiTheme="majorBidi" w:hAnsiTheme="majorBidi" w:cstheme="majorBidi"/>
          <w:sz w:val="24"/>
          <w:szCs w:val="24"/>
        </w:rPr>
        <w:t>been developed</w:t>
      </w:r>
      <w:bookmarkEnd w:id="1"/>
      <w:r w:rsidR="00A91456" w:rsidRPr="00CE28F4">
        <w:rPr>
          <w:rFonts w:asciiTheme="majorBidi" w:hAnsiTheme="majorBidi" w:cstheme="majorBidi"/>
          <w:sz w:val="24"/>
          <w:szCs w:val="24"/>
        </w:rPr>
        <w:t xml:space="preserve"> and </w:t>
      </w:r>
      <w:bookmarkStart w:id="2" w:name="_Int_2w5u3Zg5"/>
      <w:r w:rsidR="00A91456" w:rsidRPr="00CE28F4">
        <w:rPr>
          <w:rFonts w:asciiTheme="majorBidi" w:hAnsiTheme="majorBidi" w:cstheme="majorBidi"/>
          <w:sz w:val="24"/>
          <w:szCs w:val="24"/>
        </w:rPr>
        <w:t>validated</w:t>
      </w:r>
      <w:bookmarkEnd w:id="2"/>
      <w:r w:rsidR="00A91456" w:rsidRPr="00CE28F4">
        <w:rPr>
          <w:rFonts w:asciiTheme="majorBidi" w:hAnsiTheme="majorBidi" w:cstheme="majorBidi"/>
          <w:sz w:val="24"/>
          <w:szCs w:val="24"/>
        </w:rPr>
        <w:t xml:space="preserve"> recently. However, the robustness and applicability of these models require further investigation. </w:t>
      </w:r>
    </w:p>
    <w:p w14:paraId="798DB8B7" w14:textId="6067F425" w:rsidR="00A91456" w:rsidRPr="00CE28F4" w:rsidRDefault="004A4059" w:rsidP="00C0633B">
      <w:pPr>
        <w:spacing w:line="360" w:lineRule="auto"/>
        <w:jc w:val="both"/>
        <w:rPr>
          <w:rFonts w:asciiTheme="majorBidi" w:hAnsiTheme="majorBidi" w:cstheme="majorBidi"/>
          <w:sz w:val="24"/>
          <w:szCs w:val="24"/>
        </w:rPr>
      </w:pPr>
      <w:r>
        <w:rPr>
          <w:rFonts w:asciiTheme="majorBidi" w:hAnsiTheme="majorBidi" w:cstheme="majorBidi"/>
          <w:b/>
          <w:bCs/>
          <w:sz w:val="24"/>
          <w:szCs w:val="24"/>
        </w:rPr>
        <w:t>ME</w:t>
      </w:r>
      <w:r w:rsidR="00AE69DE">
        <w:rPr>
          <w:rFonts w:asciiTheme="majorBidi" w:hAnsiTheme="majorBidi" w:cstheme="majorBidi"/>
          <w:b/>
          <w:bCs/>
          <w:sz w:val="24"/>
          <w:szCs w:val="24"/>
        </w:rPr>
        <w:t>THOD</w:t>
      </w:r>
      <w:r w:rsidR="008D2011" w:rsidRPr="009225BF">
        <w:rPr>
          <w:rFonts w:asciiTheme="majorBidi" w:hAnsiTheme="majorBidi" w:cstheme="majorBidi"/>
          <w:b/>
          <w:bCs/>
          <w:sz w:val="24"/>
          <w:szCs w:val="24"/>
        </w:rPr>
        <w:t>:</w:t>
      </w:r>
      <w:r w:rsidR="00A91456" w:rsidRPr="009225BF">
        <w:rPr>
          <w:rFonts w:asciiTheme="majorBidi" w:hAnsiTheme="majorBidi" w:cstheme="majorBidi"/>
          <w:b/>
          <w:bCs/>
          <w:sz w:val="24"/>
          <w:szCs w:val="24"/>
        </w:rPr>
        <w:t xml:space="preserve"> </w:t>
      </w:r>
      <w:r w:rsidR="00A91456" w:rsidRPr="00CE28F4">
        <w:rPr>
          <w:rFonts w:asciiTheme="majorBidi" w:hAnsiTheme="majorBidi" w:cstheme="majorBidi"/>
          <w:sz w:val="24"/>
          <w:szCs w:val="24"/>
        </w:rPr>
        <w:t xml:space="preserve">Using PRISMA-2020 guidelines and PROBAST checklist, studies on POD RPMs in non-cardiac surgery patients </w:t>
      </w:r>
      <w:bookmarkStart w:id="3" w:name="_Int_yUSqvMm4"/>
      <w:r w:rsidR="00A91456" w:rsidRPr="00CE28F4">
        <w:rPr>
          <w:rFonts w:asciiTheme="majorBidi" w:hAnsiTheme="majorBidi" w:cstheme="majorBidi"/>
          <w:sz w:val="24"/>
          <w:szCs w:val="24"/>
        </w:rPr>
        <w:t>were searched</w:t>
      </w:r>
      <w:bookmarkEnd w:id="3"/>
      <w:r w:rsidR="00A91456" w:rsidRPr="00CE28F4">
        <w:rPr>
          <w:rFonts w:asciiTheme="majorBidi" w:hAnsiTheme="majorBidi" w:cstheme="majorBidi"/>
          <w:sz w:val="24"/>
          <w:szCs w:val="24"/>
        </w:rPr>
        <w:t xml:space="preserve"> from PubMed and Google Scholar from January 2021 to December 2023. Inclusion criteria were: (a) adults (aged ≥18 years), (b) non-cardiac surgery patients, (c) development and/or validation of delirium RPMs, and (d) full papers in English. Exclusion criteria were studies not meeting these inclusion parameters. </w:t>
      </w:r>
    </w:p>
    <w:p w14:paraId="4CF44FC6" w14:textId="2DDCF8E0" w:rsidR="00A91456" w:rsidRPr="00CE28F4" w:rsidRDefault="00AE69DE" w:rsidP="00C0633B">
      <w:pPr>
        <w:spacing w:line="360" w:lineRule="auto"/>
        <w:jc w:val="both"/>
        <w:rPr>
          <w:rFonts w:asciiTheme="majorBidi" w:hAnsiTheme="majorBidi" w:cstheme="majorBidi"/>
          <w:sz w:val="24"/>
          <w:szCs w:val="24"/>
        </w:rPr>
      </w:pPr>
      <w:r>
        <w:rPr>
          <w:rFonts w:asciiTheme="majorBidi" w:hAnsiTheme="majorBidi" w:cstheme="majorBidi"/>
          <w:b/>
          <w:bCs/>
          <w:sz w:val="24"/>
          <w:szCs w:val="24"/>
        </w:rPr>
        <w:t>RESULTS</w:t>
      </w:r>
      <w:r w:rsidR="00303AB4" w:rsidRPr="009225BF">
        <w:rPr>
          <w:rFonts w:asciiTheme="majorBidi" w:hAnsiTheme="majorBidi" w:cstheme="majorBidi"/>
          <w:b/>
          <w:bCs/>
          <w:sz w:val="24"/>
          <w:szCs w:val="24"/>
        </w:rPr>
        <w:t>:</w:t>
      </w:r>
      <w:r w:rsidR="00A91456" w:rsidRPr="00CE28F4">
        <w:rPr>
          <w:rFonts w:asciiTheme="majorBidi" w:hAnsiTheme="majorBidi" w:cstheme="majorBidi"/>
          <w:sz w:val="24"/>
          <w:szCs w:val="24"/>
        </w:rPr>
        <w:t xml:space="preserve"> Twelve studies included non-cardiac surgery patients with varying rates of POD (3.22% to 38.30%). The Confusion Assessment Method (CAM) </w:t>
      </w:r>
      <w:bookmarkStart w:id="4" w:name="_Int_1EPTl1XJ"/>
      <w:r w:rsidR="00A91456" w:rsidRPr="00CE28F4">
        <w:rPr>
          <w:rFonts w:asciiTheme="majorBidi" w:hAnsiTheme="majorBidi" w:cstheme="majorBidi"/>
          <w:sz w:val="24"/>
          <w:szCs w:val="24"/>
        </w:rPr>
        <w:t>was commonly used</w:t>
      </w:r>
      <w:bookmarkEnd w:id="4"/>
      <w:r w:rsidR="00A91456" w:rsidRPr="00CE28F4">
        <w:rPr>
          <w:rFonts w:asciiTheme="majorBidi" w:hAnsiTheme="majorBidi" w:cstheme="majorBidi"/>
          <w:sz w:val="24"/>
          <w:szCs w:val="24"/>
        </w:rPr>
        <w:t xml:space="preserve"> for assessing POD risk, with logistic regression being the most employed prediction model. Predictors </w:t>
      </w:r>
      <w:r w:rsidR="000F6551" w:rsidRPr="00CE28F4">
        <w:rPr>
          <w:rFonts w:asciiTheme="majorBidi" w:hAnsiTheme="majorBidi" w:cstheme="majorBidi"/>
          <w:sz w:val="24"/>
          <w:szCs w:val="24"/>
        </w:rPr>
        <w:t>often</w:t>
      </w:r>
      <w:r w:rsidR="00A91456" w:rsidRPr="00CE28F4">
        <w:rPr>
          <w:rFonts w:asciiTheme="majorBidi" w:hAnsiTheme="majorBidi" w:cstheme="majorBidi"/>
          <w:sz w:val="24"/>
          <w:szCs w:val="24"/>
        </w:rPr>
        <w:t xml:space="preserve"> </w:t>
      </w:r>
      <w:r w:rsidR="00A63DF2" w:rsidRPr="00CE28F4">
        <w:rPr>
          <w:rFonts w:asciiTheme="majorBidi" w:hAnsiTheme="majorBidi" w:cstheme="majorBidi"/>
          <w:sz w:val="24"/>
          <w:szCs w:val="24"/>
        </w:rPr>
        <w:t>found</w:t>
      </w:r>
      <w:r w:rsidR="00A91456" w:rsidRPr="00CE28F4">
        <w:rPr>
          <w:rFonts w:asciiTheme="majorBidi" w:hAnsiTheme="majorBidi" w:cstheme="majorBidi"/>
          <w:sz w:val="24"/>
          <w:szCs w:val="24"/>
        </w:rPr>
        <w:t xml:space="preserve"> were age, intraoperative blood loss, albumin levels, anesthesia duration, and ICU stays. Internal validation </w:t>
      </w:r>
      <w:bookmarkStart w:id="5" w:name="_Int_a68ueiQc"/>
      <w:r w:rsidR="00A91456" w:rsidRPr="00CE28F4">
        <w:rPr>
          <w:rFonts w:asciiTheme="majorBidi" w:hAnsiTheme="majorBidi" w:cstheme="majorBidi"/>
          <w:sz w:val="24"/>
          <w:szCs w:val="24"/>
        </w:rPr>
        <w:t>was done</w:t>
      </w:r>
      <w:bookmarkEnd w:id="5"/>
      <w:r w:rsidR="00A91456" w:rsidRPr="00CE28F4">
        <w:rPr>
          <w:rFonts w:asciiTheme="majorBidi" w:hAnsiTheme="majorBidi" w:cstheme="majorBidi"/>
          <w:sz w:val="24"/>
          <w:szCs w:val="24"/>
        </w:rPr>
        <w:t xml:space="preserve"> in 75% of all the models included. The area under the curve (AUC) ranged from 0.68 to 0.94 for internal validation and from 0.630 to 0.880 for external validation sets. Additionally, </w:t>
      </w:r>
      <w:r w:rsidR="005F7CCE" w:rsidRPr="00CE28F4">
        <w:rPr>
          <w:rFonts w:asciiTheme="majorBidi" w:hAnsiTheme="majorBidi" w:cstheme="majorBidi"/>
          <w:sz w:val="24"/>
          <w:szCs w:val="24"/>
        </w:rPr>
        <w:t>most of</w:t>
      </w:r>
      <w:r w:rsidR="00A91456" w:rsidRPr="00CE28F4">
        <w:rPr>
          <w:rFonts w:asciiTheme="majorBidi" w:hAnsiTheme="majorBidi" w:cstheme="majorBidi"/>
          <w:sz w:val="24"/>
          <w:szCs w:val="24"/>
        </w:rPr>
        <w:t xml:space="preserve"> the models </w:t>
      </w:r>
      <w:r w:rsidR="005F7CCE" w:rsidRPr="00CE28F4">
        <w:rPr>
          <w:rFonts w:asciiTheme="majorBidi" w:hAnsiTheme="majorBidi" w:cstheme="majorBidi"/>
          <w:sz w:val="24"/>
          <w:szCs w:val="24"/>
        </w:rPr>
        <w:t>showed</w:t>
      </w:r>
      <w:r w:rsidR="00A91456" w:rsidRPr="00CE28F4">
        <w:rPr>
          <w:rFonts w:asciiTheme="majorBidi" w:hAnsiTheme="majorBidi" w:cstheme="majorBidi"/>
          <w:sz w:val="24"/>
          <w:szCs w:val="24"/>
        </w:rPr>
        <w:t xml:space="preserve"> </w:t>
      </w:r>
      <w:r w:rsidR="00F84116" w:rsidRPr="00CE28F4">
        <w:rPr>
          <w:rFonts w:asciiTheme="majorBidi" w:hAnsiTheme="majorBidi" w:cstheme="majorBidi"/>
          <w:sz w:val="24"/>
          <w:szCs w:val="24"/>
        </w:rPr>
        <w:t>a minimal risk</w:t>
      </w:r>
      <w:r w:rsidR="00A91456" w:rsidRPr="00CE28F4">
        <w:rPr>
          <w:rFonts w:asciiTheme="majorBidi" w:hAnsiTheme="majorBidi" w:cstheme="majorBidi"/>
          <w:sz w:val="24"/>
          <w:szCs w:val="24"/>
        </w:rPr>
        <w:t xml:space="preserve"> of bias (83.3%) and </w:t>
      </w:r>
      <w:bookmarkStart w:id="6" w:name="_Int_ew6OIGN5"/>
      <w:r w:rsidR="00A91456" w:rsidRPr="00CE28F4">
        <w:rPr>
          <w:rFonts w:asciiTheme="majorBidi" w:hAnsiTheme="majorBidi" w:cstheme="majorBidi"/>
          <w:sz w:val="24"/>
          <w:szCs w:val="24"/>
        </w:rPr>
        <w:t xml:space="preserve">were </w:t>
      </w:r>
      <w:r w:rsidR="00F84116" w:rsidRPr="00CE28F4">
        <w:rPr>
          <w:rFonts w:asciiTheme="majorBidi" w:hAnsiTheme="majorBidi" w:cstheme="majorBidi"/>
          <w:sz w:val="24"/>
          <w:szCs w:val="24"/>
        </w:rPr>
        <w:t>considered</w:t>
      </w:r>
      <w:bookmarkEnd w:id="6"/>
      <w:r w:rsidR="00A91456" w:rsidRPr="00CE28F4">
        <w:rPr>
          <w:rFonts w:asciiTheme="majorBidi" w:hAnsiTheme="majorBidi" w:cstheme="majorBidi"/>
          <w:sz w:val="24"/>
          <w:szCs w:val="24"/>
        </w:rPr>
        <w:t xml:space="preserve"> to have a low concern </w:t>
      </w:r>
      <w:bookmarkStart w:id="7" w:name="_Int_hnvyiQeP"/>
      <w:r w:rsidR="00A91456" w:rsidRPr="00CE28F4">
        <w:rPr>
          <w:rFonts w:asciiTheme="majorBidi" w:hAnsiTheme="majorBidi" w:cstheme="majorBidi"/>
          <w:sz w:val="24"/>
          <w:szCs w:val="24"/>
        </w:rPr>
        <w:t>regarding</w:t>
      </w:r>
      <w:bookmarkEnd w:id="7"/>
      <w:r w:rsidR="00A91456" w:rsidRPr="00CE28F4">
        <w:rPr>
          <w:rFonts w:asciiTheme="majorBidi" w:hAnsiTheme="majorBidi" w:cstheme="majorBidi"/>
          <w:sz w:val="24"/>
          <w:szCs w:val="24"/>
        </w:rPr>
        <w:t xml:space="preserve"> their applicability (75%). </w:t>
      </w:r>
    </w:p>
    <w:p w14:paraId="53A52C2E" w14:textId="25170181" w:rsidR="00A91456" w:rsidRPr="00CE28F4" w:rsidRDefault="00303AB4" w:rsidP="00C0633B">
      <w:pPr>
        <w:spacing w:line="360" w:lineRule="auto"/>
        <w:jc w:val="both"/>
        <w:rPr>
          <w:rFonts w:asciiTheme="majorBidi" w:hAnsiTheme="majorBidi" w:cstheme="majorBidi"/>
          <w:sz w:val="24"/>
          <w:szCs w:val="24"/>
        </w:rPr>
      </w:pPr>
      <w:r w:rsidRPr="009225BF">
        <w:rPr>
          <w:rFonts w:asciiTheme="majorBidi" w:hAnsiTheme="majorBidi" w:cstheme="majorBidi"/>
          <w:b/>
          <w:bCs/>
          <w:sz w:val="24"/>
          <w:szCs w:val="24"/>
        </w:rPr>
        <w:t>CONCLUSION:</w:t>
      </w:r>
      <w:r w:rsidRPr="00CE28F4">
        <w:rPr>
          <w:rFonts w:asciiTheme="majorBidi" w:hAnsiTheme="majorBidi" w:cstheme="majorBidi"/>
          <w:sz w:val="24"/>
          <w:szCs w:val="24"/>
        </w:rPr>
        <w:t xml:space="preserve"> </w:t>
      </w:r>
      <w:r w:rsidR="00A91456" w:rsidRPr="00CE28F4">
        <w:rPr>
          <w:rFonts w:asciiTheme="majorBidi" w:hAnsiTheme="majorBidi" w:cstheme="majorBidi"/>
          <w:sz w:val="24"/>
          <w:szCs w:val="24"/>
        </w:rPr>
        <w:t xml:space="preserve">Based on this review, current RPMs for POD among non-cardiac surgery patients </w:t>
      </w:r>
      <w:bookmarkStart w:id="8" w:name="_Int_Bx5bnOj6"/>
      <w:r w:rsidR="00A91456" w:rsidRPr="00CE28F4">
        <w:rPr>
          <w:rFonts w:asciiTheme="majorBidi" w:hAnsiTheme="majorBidi" w:cstheme="majorBidi"/>
          <w:sz w:val="24"/>
          <w:szCs w:val="24"/>
        </w:rPr>
        <w:t>exhibit</w:t>
      </w:r>
      <w:bookmarkEnd w:id="8"/>
      <w:r w:rsidR="00A91456" w:rsidRPr="00CE28F4">
        <w:rPr>
          <w:rFonts w:asciiTheme="majorBidi" w:hAnsiTheme="majorBidi" w:cstheme="majorBidi"/>
          <w:sz w:val="24"/>
          <w:szCs w:val="24"/>
        </w:rPr>
        <w:t xml:space="preserve"> high accuracy, low risk of bias, and minimal concerns regarding their applicability. We recommend that future research prioritize the external validation of existing models to improve their clinical utility. </w:t>
      </w:r>
    </w:p>
    <w:p w14:paraId="2A7BE3EA" w14:textId="77777777" w:rsidR="006C0DAC" w:rsidRPr="00CE28F4" w:rsidRDefault="006C0DAC" w:rsidP="00C0633B">
      <w:pPr>
        <w:spacing w:line="360" w:lineRule="auto"/>
        <w:jc w:val="both"/>
        <w:rPr>
          <w:rFonts w:asciiTheme="majorBidi" w:hAnsiTheme="majorBidi" w:cstheme="majorBidi"/>
          <w:sz w:val="24"/>
          <w:szCs w:val="24"/>
        </w:rPr>
      </w:pPr>
    </w:p>
    <w:p w14:paraId="7056829E" w14:textId="77777777" w:rsidR="00494234" w:rsidRDefault="006C0DAC" w:rsidP="00494234">
      <w:pPr>
        <w:spacing w:line="360" w:lineRule="auto"/>
        <w:jc w:val="both"/>
        <w:rPr>
          <w:rFonts w:asciiTheme="majorBidi" w:hAnsiTheme="majorBidi" w:cstheme="majorBidi"/>
          <w:sz w:val="24"/>
          <w:szCs w:val="24"/>
        </w:rPr>
      </w:pPr>
      <w:r w:rsidRPr="00031337">
        <w:rPr>
          <w:rFonts w:asciiTheme="majorBidi" w:hAnsiTheme="majorBidi" w:cstheme="majorBidi"/>
          <w:b/>
          <w:bCs/>
          <w:sz w:val="24"/>
          <w:szCs w:val="24"/>
        </w:rPr>
        <w:t xml:space="preserve">Keywords: </w:t>
      </w:r>
      <w:r w:rsidRPr="00CE28F4">
        <w:rPr>
          <w:rFonts w:asciiTheme="majorBidi" w:hAnsiTheme="majorBidi" w:cstheme="majorBidi"/>
          <w:sz w:val="24"/>
          <w:szCs w:val="24"/>
        </w:rPr>
        <w:t>non-cardiac surgery; postoperative delirium; risk predictive models; systemic review.</w:t>
      </w:r>
    </w:p>
    <w:p w14:paraId="2AA4ADC4" w14:textId="77777777" w:rsidR="00D36A41" w:rsidRDefault="00D36A41" w:rsidP="001F640C">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 xml:space="preserve">KEY MESSAGES </w:t>
      </w:r>
    </w:p>
    <w:p w14:paraId="0AAB0C6D" w14:textId="77777777" w:rsidR="00D36A41" w:rsidRPr="008F045B" w:rsidRDefault="00D36A41" w:rsidP="00D36A41">
      <w:pPr>
        <w:numPr>
          <w:ilvl w:val="0"/>
          <w:numId w:val="4"/>
        </w:numPr>
        <w:spacing w:after="160" w:line="278" w:lineRule="auto"/>
        <w:contextualSpacing/>
        <w:jc w:val="both"/>
        <w:rPr>
          <w:rFonts w:asciiTheme="majorBidi" w:eastAsiaTheme="minorEastAsia" w:hAnsiTheme="majorBidi" w:cstheme="majorBidi"/>
          <w:kern w:val="2"/>
          <w:sz w:val="24"/>
          <w:szCs w:val="24"/>
          <w14:ligatures w14:val="standardContextual"/>
        </w:rPr>
      </w:pPr>
      <w:r w:rsidRPr="009D39B3">
        <w:rPr>
          <w:rFonts w:asciiTheme="majorBidi" w:eastAsiaTheme="minorEastAsia" w:hAnsiTheme="majorBidi" w:cstheme="majorBidi"/>
          <w:kern w:val="2"/>
          <w:sz w:val="24"/>
          <w:szCs w:val="24"/>
          <w14:ligatures w14:val="standardContextual"/>
        </w:rPr>
        <w:t xml:space="preserve">Comprehensive Analysis: This study systematically reviewed various prediction models for postoperative delirium in non-cardiac surgery patients, assessing model performance and clinical utility. </w:t>
      </w:r>
    </w:p>
    <w:p w14:paraId="5F086B5E" w14:textId="77777777" w:rsidR="00D36A41" w:rsidRPr="008F045B" w:rsidRDefault="00D36A41" w:rsidP="00D36A41">
      <w:pPr>
        <w:numPr>
          <w:ilvl w:val="0"/>
          <w:numId w:val="4"/>
        </w:numPr>
        <w:spacing w:after="160" w:line="278" w:lineRule="auto"/>
        <w:contextualSpacing/>
        <w:jc w:val="both"/>
        <w:rPr>
          <w:rFonts w:asciiTheme="majorBidi" w:eastAsiaTheme="minorEastAsia" w:hAnsiTheme="majorBidi" w:cstheme="majorBidi"/>
          <w:kern w:val="2"/>
          <w:sz w:val="24"/>
          <w:szCs w:val="24"/>
          <w14:ligatures w14:val="standardContextual"/>
        </w:rPr>
      </w:pPr>
      <w:r w:rsidRPr="009D39B3">
        <w:rPr>
          <w:rFonts w:asciiTheme="majorBidi" w:eastAsiaTheme="minorEastAsia" w:hAnsiTheme="majorBidi" w:cstheme="majorBidi"/>
          <w:kern w:val="2"/>
          <w:sz w:val="24"/>
          <w:szCs w:val="24"/>
          <w14:ligatures w14:val="standardContextual"/>
        </w:rPr>
        <w:t xml:space="preserve">Model Diversity: It </w:t>
      </w:r>
      <w:bookmarkStart w:id="9" w:name="_Int_6tjcoO4l"/>
      <w:r w:rsidRPr="009D39B3">
        <w:rPr>
          <w:rFonts w:asciiTheme="majorBidi" w:eastAsiaTheme="minorEastAsia" w:hAnsiTheme="majorBidi" w:cstheme="majorBidi"/>
          <w:kern w:val="2"/>
          <w:sz w:val="24"/>
          <w:szCs w:val="24"/>
          <w14:ligatures w14:val="standardContextual"/>
        </w:rPr>
        <w:t>identified</w:t>
      </w:r>
      <w:bookmarkEnd w:id="9"/>
      <w:r w:rsidRPr="009D39B3">
        <w:rPr>
          <w:rFonts w:asciiTheme="majorBidi" w:eastAsiaTheme="minorEastAsia" w:hAnsiTheme="majorBidi" w:cstheme="majorBidi"/>
          <w:kern w:val="2"/>
          <w:sz w:val="24"/>
          <w:szCs w:val="24"/>
          <w14:ligatures w14:val="standardContextual"/>
        </w:rPr>
        <w:t xml:space="preserve"> diverse models with varying predictors, such as age, cognitive impairment, and surgery type, reflecting the complexity of postoperative delirium risk factors. </w:t>
      </w:r>
    </w:p>
    <w:p w14:paraId="610BD0B6" w14:textId="77777777" w:rsidR="00D36A41" w:rsidRPr="008F045B" w:rsidRDefault="00D36A41" w:rsidP="00D36A41">
      <w:pPr>
        <w:numPr>
          <w:ilvl w:val="0"/>
          <w:numId w:val="4"/>
        </w:numPr>
        <w:spacing w:after="160" w:line="278" w:lineRule="auto"/>
        <w:contextualSpacing/>
        <w:jc w:val="both"/>
        <w:rPr>
          <w:rFonts w:asciiTheme="majorBidi" w:eastAsiaTheme="minorEastAsia" w:hAnsiTheme="majorBidi" w:cstheme="majorBidi"/>
          <w:kern w:val="2"/>
          <w:sz w:val="24"/>
          <w:szCs w:val="24"/>
          <w14:ligatures w14:val="standardContextual"/>
        </w:rPr>
      </w:pPr>
      <w:r w:rsidRPr="009D39B3">
        <w:rPr>
          <w:rFonts w:asciiTheme="majorBidi" w:eastAsiaTheme="minorEastAsia" w:hAnsiTheme="majorBidi" w:cstheme="majorBidi"/>
          <w:kern w:val="2"/>
          <w:sz w:val="24"/>
          <w:szCs w:val="24"/>
          <w14:ligatures w14:val="standardContextual"/>
        </w:rPr>
        <w:t xml:space="preserve">Clinical Implications: The review emphasizes the need for improved, standardized models to enhance postoperative delirium prediction and management. This is due to differences in patient populations and predictor variables used. </w:t>
      </w:r>
    </w:p>
    <w:p w14:paraId="1D52AE9C" w14:textId="77777777" w:rsidR="00D36A41" w:rsidRPr="008F045B" w:rsidRDefault="00D36A41" w:rsidP="00D36A41">
      <w:pPr>
        <w:numPr>
          <w:ilvl w:val="0"/>
          <w:numId w:val="4"/>
        </w:numPr>
        <w:spacing w:after="160" w:line="278" w:lineRule="auto"/>
        <w:contextualSpacing/>
        <w:jc w:val="both"/>
        <w:rPr>
          <w:rFonts w:asciiTheme="majorBidi" w:eastAsiaTheme="minorEastAsia" w:hAnsiTheme="majorBidi" w:cstheme="majorBidi"/>
          <w:kern w:val="2"/>
          <w:sz w:val="24"/>
          <w:szCs w:val="24"/>
          <w14:ligatures w14:val="standardContextual"/>
        </w:rPr>
      </w:pPr>
      <w:r w:rsidRPr="009D39B3">
        <w:rPr>
          <w:rFonts w:asciiTheme="majorBidi" w:eastAsiaTheme="minorEastAsia" w:hAnsiTheme="majorBidi" w:cstheme="majorBidi"/>
          <w:kern w:val="2"/>
          <w:sz w:val="24"/>
          <w:szCs w:val="24"/>
          <w14:ligatures w14:val="standardContextual"/>
        </w:rPr>
        <w:t xml:space="preserve">Research Gaps: Highlighted gaps include inconsistent model validation and limited external validation. </w:t>
      </w:r>
    </w:p>
    <w:p w14:paraId="08015E02" w14:textId="77777777" w:rsidR="00D36A41" w:rsidRPr="007F1486" w:rsidRDefault="00D36A41" w:rsidP="00D36A41">
      <w:pPr>
        <w:numPr>
          <w:ilvl w:val="0"/>
          <w:numId w:val="4"/>
        </w:numPr>
        <w:spacing w:after="160" w:line="278" w:lineRule="auto"/>
        <w:contextualSpacing/>
        <w:jc w:val="both"/>
        <w:rPr>
          <w:rFonts w:asciiTheme="majorBidi" w:eastAsiaTheme="minorEastAsia" w:hAnsiTheme="majorBidi" w:cstheme="majorBidi"/>
          <w:kern w:val="2"/>
          <w:sz w:val="24"/>
          <w:szCs w:val="24"/>
          <w14:ligatures w14:val="standardContextual"/>
        </w:rPr>
      </w:pPr>
      <w:r w:rsidRPr="009D39B3">
        <w:rPr>
          <w:rFonts w:asciiTheme="majorBidi" w:eastAsiaTheme="minorEastAsia" w:hAnsiTheme="majorBidi" w:cstheme="majorBidi"/>
          <w:kern w:val="2"/>
          <w:sz w:val="24"/>
          <w:szCs w:val="24"/>
          <w14:ligatures w14:val="standardContextual"/>
        </w:rPr>
        <w:t>Future Directions:</w:t>
      </w:r>
      <w:r w:rsidRPr="009D39B3">
        <w:rPr>
          <w:rFonts w:asciiTheme="majorBidi" w:eastAsiaTheme="minorEastAsia" w:hAnsiTheme="majorBidi" w:cstheme="majorBidi"/>
          <w:b/>
          <w:bCs/>
          <w:kern w:val="2"/>
          <w:sz w:val="24"/>
          <w:szCs w:val="24"/>
          <w14:ligatures w14:val="standardContextual"/>
        </w:rPr>
        <w:t xml:space="preserve"> </w:t>
      </w:r>
      <w:r w:rsidRPr="009D39B3">
        <w:rPr>
          <w:rFonts w:asciiTheme="majorBidi" w:eastAsiaTheme="minorEastAsia" w:hAnsiTheme="majorBidi" w:cstheme="majorBidi"/>
          <w:kern w:val="2"/>
          <w:sz w:val="24"/>
          <w:szCs w:val="24"/>
          <w14:ligatures w14:val="standardContextual"/>
        </w:rPr>
        <w:t xml:space="preserve">Review suggests further research to refine, robust, and enhance generalizability of the prediction models, to ensure better patient outcomes post-surgery. </w:t>
      </w:r>
    </w:p>
    <w:p w14:paraId="2137DADB" w14:textId="2570B82E" w:rsidR="00F84D61" w:rsidRPr="00CE28F4" w:rsidRDefault="00F84D61" w:rsidP="00494234">
      <w:pPr>
        <w:spacing w:line="360" w:lineRule="auto"/>
        <w:jc w:val="both"/>
        <w:rPr>
          <w:rFonts w:asciiTheme="majorBidi" w:hAnsiTheme="majorBidi" w:cstheme="majorBidi"/>
          <w:sz w:val="24"/>
          <w:szCs w:val="24"/>
        </w:rPr>
      </w:pPr>
      <w:r w:rsidRPr="00CE28F4">
        <w:rPr>
          <w:rFonts w:asciiTheme="majorBidi" w:hAnsiTheme="majorBidi" w:cstheme="majorBidi"/>
          <w:sz w:val="24"/>
          <w:szCs w:val="24"/>
        </w:rPr>
        <w:br w:type="page"/>
      </w:r>
    </w:p>
    <w:p w14:paraId="0E538A5E" w14:textId="1161DF19" w:rsidR="006125CE" w:rsidRPr="00031337" w:rsidRDefault="006125CE" w:rsidP="00C0633B">
      <w:pPr>
        <w:pStyle w:val="ListParagraph"/>
        <w:numPr>
          <w:ilvl w:val="0"/>
          <w:numId w:val="3"/>
        </w:numPr>
        <w:spacing w:line="360" w:lineRule="auto"/>
        <w:jc w:val="both"/>
        <w:rPr>
          <w:rFonts w:asciiTheme="majorBidi" w:hAnsiTheme="majorBidi" w:cstheme="majorBidi"/>
          <w:b/>
          <w:bCs/>
          <w:sz w:val="24"/>
          <w:szCs w:val="24"/>
        </w:rPr>
      </w:pPr>
      <w:r w:rsidRPr="00031337">
        <w:rPr>
          <w:rFonts w:asciiTheme="majorBidi" w:hAnsiTheme="majorBidi" w:cstheme="majorBidi"/>
          <w:b/>
          <w:bCs/>
          <w:sz w:val="24"/>
          <w:szCs w:val="24"/>
        </w:rPr>
        <w:lastRenderedPageBreak/>
        <w:t xml:space="preserve">INTRODUCTION </w:t>
      </w:r>
    </w:p>
    <w:p w14:paraId="4EA0B3E2" w14:textId="503FF9C0" w:rsidR="005D7F60" w:rsidRPr="00CE28F4" w:rsidRDefault="005D7F60" w:rsidP="00C0633B">
      <w:pPr>
        <w:spacing w:line="360" w:lineRule="auto"/>
        <w:ind w:firstLine="420"/>
        <w:jc w:val="both"/>
        <w:rPr>
          <w:rFonts w:asciiTheme="majorBidi" w:hAnsiTheme="majorBidi" w:cstheme="majorBidi"/>
          <w:sz w:val="24"/>
          <w:szCs w:val="24"/>
        </w:rPr>
      </w:pPr>
      <w:r w:rsidRPr="00CE28F4">
        <w:rPr>
          <w:rFonts w:asciiTheme="majorBidi" w:hAnsiTheme="majorBidi" w:cstheme="majorBidi"/>
          <w:sz w:val="24"/>
          <w:szCs w:val="24"/>
        </w:rPr>
        <w:t>Postoperative delirium (POD) represents a prevalent neuropsychiatric condition distinguished by sudden alterations in cognition and attention, variable consciousness levels, and disorganized thought processes</w:t>
      </w:r>
      <w:r w:rsidR="003C35D3">
        <w:rPr>
          <w:rFonts w:asciiTheme="majorBidi" w:hAnsiTheme="majorBidi" w:cstheme="majorBidi"/>
          <w:sz w:val="24"/>
          <w:szCs w:val="24"/>
        </w:rPr>
        <w:t xml:space="preserve"> [</w:t>
      </w:r>
      <w:r w:rsidR="004525E8">
        <w:rPr>
          <w:rFonts w:asciiTheme="majorBidi" w:hAnsiTheme="majorBidi" w:cstheme="majorBidi"/>
          <w:sz w:val="24"/>
          <w:szCs w:val="24"/>
        </w:rPr>
        <w:t>1</w:t>
      </w:r>
      <w:r w:rsidR="003C35D3">
        <w:rPr>
          <w:rFonts w:asciiTheme="majorBidi" w:hAnsiTheme="majorBidi" w:cstheme="majorBidi"/>
          <w:sz w:val="24"/>
          <w:szCs w:val="24"/>
        </w:rPr>
        <w:t>]</w:t>
      </w:r>
      <w:r w:rsidRPr="00CE28F4">
        <w:rPr>
          <w:rFonts w:asciiTheme="majorBidi" w:hAnsiTheme="majorBidi" w:cstheme="majorBidi"/>
          <w:sz w:val="24"/>
          <w:szCs w:val="24"/>
        </w:rPr>
        <w:t xml:space="preserve">. The incidence of POD among </w:t>
      </w:r>
      <w:r w:rsidR="002C03E6" w:rsidRPr="00CE28F4">
        <w:rPr>
          <w:rFonts w:asciiTheme="majorBidi" w:hAnsiTheme="majorBidi" w:cstheme="majorBidi"/>
          <w:sz w:val="24"/>
          <w:szCs w:val="24"/>
        </w:rPr>
        <w:t>patients undergoing</w:t>
      </w:r>
      <w:r w:rsidRPr="00CE28F4">
        <w:rPr>
          <w:rFonts w:asciiTheme="majorBidi" w:hAnsiTheme="majorBidi" w:cstheme="majorBidi"/>
          <w:sz w:val="24"/>
          <w:szCs w:val="24"/>
        </w:rPr>
        <w:t xml:space="preserve"> non-cardiac surgery ranges from 5% to 53%</w:t>
      </w:r>
      <w:r w:rsidR="002C03E6">
        <w:rPr>
          <w:rFonts w:asciiTheme="majorBidi" w:hAnsiTheme="majorBidi" w:cstheme="majorBidi"/>
          <w:sz w:val="24"/>
          <w:szCs w:val="24"/>
        </w:rPr>
        <w:t xml:space="preserve"> [2, 3]</w:t>
      </w:r>
      <w:r w:rsidRPr="00CE28F4">
        <w:rPr>
          <w:rFonts w:asciiTheme="majorBidi" w:hAnsiTheme="majorBidi" w:cstheme="majorBidi"/>
          <w:sz w:val="24"/>
          <w:szCs w:val="24"/>
        </w:rPr>
        <w:t>. POD is associated with increased morbidity and mortality rates, delayed recovery, longer hospital stays, escalated healthcare costs, and a greater burden on healthcare systems, patients, and their families</w:t>
      </w:r>
      <w:r w:rsidR="00031337">
        <w:rPr>
          <w:rFonts w:asciiTheme="majorBidi" w:hAnsiTheme="majorBidi" w:cstheme="majorBidi"/>
          <w:sz w:val="24"/>
          <w:szCs w:val="24"/>
        </w:rPr>
        <w:t xml:space="preserve"> [4-6]</w:t>
      </w:r>
      <w:r w:rsidRPr="00CE28F4">
        <w:rPr>
          <w:rFonts w:asciiTheme="majorBidi" w:hAnsiTheme="majorBidi" w:cstheme="majorBidi"/>
          <w:sz w:val="24"/>
          <w:szCs w:val="24"/>
        </w:rPr>
        <w:t xml:space="preserve">. </w:t>
      </w:r>
    </w:p>
    <w:p w14:paraId="0621BAF9" w14:textId="6A804828" w:rsidR="005D7F60" w:rsidRPr="00CE28F4" w:rsidRDefault="005D7F60" w:rsidP="00C0633B">
      <w:pPr>
        <w:spacing w:line="360" w:lineRule="auto"/>
        <w:ind w:firstLineChars="200" w:firstLine="480"/>
        <w:jc w:val="both"/>
        <w:rPr>
          <w:rFonts w:asciiTheme="majorBidi" w:hAnsiTheme="majorBidi" w:cstheme="majorBidi"/>
          <w:sz w:val="24"/>
          <w:szCs w:val="24"/>
        </w:rPr>
      </w:pPr>
      <w:r w:rsidRPr="00CE28F4">
        <w:rPr>
          <w:rFonts w:asciiTheme="majorBidi" w:hAnsiTheme="majorBidi" w:cstheme="majorBidi"/>
          <w:sz w:val="24"/>
          <w:szCs w:val="24"/>
        </w:rPr>
        <w:t xml:space="preserve"> Forecasting the probability of POD has become vital for delivering optimal patient care. Risk prediction models (RPMs) serve as essential tools for healthcare providers to identify patients at high risk and implement early interventions. An RPM is a statistical model that amalgamates data from multiple indicators</w:t>
      </w:r>
      <w:r w:rsidR="006111AE">
        <w:rPr>
          <w:rFonts w:asciiTheme="majorBidi" w:hAnsiTheme="majorBidi" w:cstheme="majorBidi"/>
          <w:sz w:val="24"/>
          <w:szCs w:val="24"/>
        </w:rPr>
        <w:t xml:space="preserve"> [7]</w:t>
      </w:r>
      <w:r w:rsidRPr="00CE28F4">
        <w:rPr>
          <w:rFonts w:asciiTheme="majorBidi" w:hAnsiTheme="majorBidi" w:cstheme="majorBidi"/>
          <w:sz w:val="24"/>
          <w:szCs w:val="24"/>
        </w:rPr>
        <w:t xml:space="preserve">. These models present numerous benefits and can markedly enhance patient outcomes through prompt intervention. </w:t>
      </w:r>
    </w:p>
    <w:p w14:paraId="570E9C13" w14:textId="05A5A59B" w:rsidR="005D7F60" w:rsidRPr="00CE28F4" w:rsidRDefault="005D7F60" w:rsidP="00C0633B">
      <w:pPr>
        <w:spacing w:line="360" w:lineRule="auto"/>
        <w:ind w:firstLineChars="200" w:firstLine="480"/>
        <w:jc w:val="both"/>
        <w:rPr>
          <w:rFonts w:asciiTheme="majorBidi" w:hAnsiTheme="majorBidi" w:cstheme="majorBidi"/>
          <w:sz w:val="24"/>
          <w:szCs w:val="24"/>
        </w:rPr>
      </w:pPr>
      <w:r w:rsidRPr="00CE28F4">
        <w:rPr>
          <w:rFonts w:asciiTheme="majorBidi" w:hAnsiTheme="majorBidi" w:cstheme="majorBidi"/>
          <w:sz w:val="24"/>
          <w:szCs w:val="24"/>
        </w:rPr>
        <w:t xml:space="preserve">Numerous RPMs for predicting the risk of POD in patients undergoing non-cardiac surgery have </w:t>
      </w:r>
      <w:bookmarkStart w:id="10" w:name="_Int_eacCDMKx"/>
      <w:r w:rsidRPr="00CE28F4">
        <w:rPr>
          <w:rFonts w:asciiTheme="majorBidi" w:hAnsiTheme="majorBidi" w:cstheme="majorBidi"/>
          <w:sz w:val="24"/>
          <w:szCs w:val="24"/>
        </w:rPr>
        <w:t>been recently developed</w:t>
      </w:r>
      <w:r w:rsidR="006111AE">
        <w:rPr>
          <w:rFonts w:asciiTheme="majorBidi" w:hAnsiTheme="majorBidi" w:cstheme="majorBidi"/>
          <w:sz w:val="24"/>
          <w:szCs w:val="24"/>
        </w:rPr>
        <w:t xml:space="preserve"> [8-19]</w:t>
      </w:r>
      <w:bookmarkEnd w:id="10"/>
      <w:r w:rsidRPr="00CE28F4">
        <w:rPr>
          <w:rFonts w:asciiTheme="majorBidi" w:hAnsiTheme="majorBidi" w:cstheme="majorBidi"/>
          <w:sz w:val="24"/>
          <w:szCs w:val="24"/>
        </w:rPr>
        <w:t>. Although these models utilize a range of risk factors, there exists uncertainty regarding their proper development and validation, as well as their applicability for screening the general population. Hence, it is critical to assess the methodologies employed in the development and validation of these models, alongside the predictors and performance, to facilitate informed decisions regarding their application and selection.</w:t>
      </w:r>
    </w:p>
    <w:p w14:paraId="668678E4" w14:textId="77777777" w:rsidR="005D7F60" w:rsidRPr="00CE28F4" w:rsidRDefault="005D7F60" w:rsidP="00C0633B">
      <w:pPr>
        <w:spacing w:line="360" w:lineRule="auto"/>
        <w:ind w:firstLine="420"/>
        <w:jc w:val="both"/>
        <w:rPr>
          <w:rFonts w:asciiTheme="majorBidi" w:hAnsiTheme="majorBidi" w:cstheme="majorBidi"/>
          <w:sz w:val="24"/>
          <w:szCs w:val="24"/>
        </w:rPr>
      </w:pPr>
      <w:r w:rsidRPr="00CE28F4">
        <w:rPr>
          <w:rFonts w:asciiTheme="majorBidi" w:hAnsiTheme="majorBidi" w:cstheme="majorBidi"/>
          <w:sz w:val="24"/>
          <w:szCs w:val="24"/>
        </w:rPr>
        <w:t xml:space="preserve"> To this end, we sought to perform a systematic review (SR) to offer a thorough analysis of the models devised for POD risk prediction, encompassing their methodological traits, utilized predictors, model efficacy, and possible bias risks. This endeavor aims to consolidate existing evidence and furnish crucial insights for subsequent research and clinical decision-making processes. </w:t>
      </w:r>
    </w:p>
    <w:p w14:paraId="4FD8A38F" w14:textId="77777777" w:rsidR="005D7F60" w:rsidRPr="00CE28F4" w:rsidRDefault="005D7F60" w:rsidP="00C0633B">
      <w:pPr>
        <w:spacing w:line="360" w:lineRule="auto"/>
        <w:jc w:val="both"/>
        <w:rPr>
          <w:rFonts w:asciiTheme="majorBidi" w:hAnsiTheme="majorBidi" w:cstheme="majorBidi"/>
          <w:sz w:val="24"/>
          <w:szCs w:val="24"/>
        </w:rPr>
      </w:pPr>
    </w:p>
    <w:p w14:paraId="450791E5" w14:textId="77777777" w:rsidR="005D7F60" w:rsidRPr="00F10823" w:rsidRDefault="005D7F60" w:rsidP="00C0633B">
      <w:pPr>
        <w:spacing w:line="360" w:lineRule="auto"/>
        <w:ind w:firstLine="420"/>
        <w:jc w:val="both"/>
        <w:rPr>
          <w:rFonts w:asciiTheme="majorBidi" w:hAnsiTheme="majorBidi" w:cstheme="majorBidi"/>
          <w:b/>
          <w:bCs/>
          <w:sz w:val="24"/>
          <w:szCs w:val="24"/>
        </w:rPr>
      </w:pPr>
      <w:r w:rsidRPr="00F10823">
        <w:rPr>
          <w:rFonts w:asciiTheme="majorBidi" w:hAnsiTheme="majorBidi" w:cstheme="majorBidi"/>
          <w:b/>
          <w:bCs/>
          <w:sz w:val="24"/>
          <w:szCs w:val="24"/>
        </w:rPr>
        <w:t xml:space="preserve">2. MATERIALS AND METHODS </w:t>
      </w:r>
    </w:p>
    <w:p w14:paraId="4E74DC13" w14:textId="77777777" w:rsidR="005D7F60" w:rsidRPr="00F10823" w:rsidRDefault="005D7F60" w:rsidP="00C0633B">
      <w:pPr>
        <w:spacing w:line="360" w:lineRule="auto"/>
        <w:jc w:val="both"/>
        <w:rPr>
          <w:rFonts w:asciiTheme="majorBidi" w:hAnsiTheme="majorBidi" w:cstheme="majorBidi"/>
          <w:b/>
          <w:bCs/>
          <w:sz w:val="24"/>
          <w:szCs w:val="24"/>
        </w:rPr>
      </w:pPr>
      <w:r w:rsidRPr="00F10823">
        <w:rPr>
          <w:rFonts w:asciiTheme="majorBidi" w:hAnsiTheme="majorBidi" w:cstheme="majorBidi"/>
          <w:b/>
          <w:bCs/>
          <w:sz w:val="24"/>
          <w:szCs w:val="24"/>
        </w:rPr>
        <w:t xml:space="preserve">2.1 Literature Sources and Extraction </w:t>
      </w:r>
    </w:p>
    <w:p w14:paraId="742BB597" w14:textId="00BAC0FA" w:rsidR="005D7F60" w:rsidRPr="00CE28F4" w:rsidRDefault="005D7F60" w:rsidP="00C0633B">
      <w:pPr>
        <w:spacing w:line="360" w:lineRule="auto"/>
        <w:ind w:firstLine="420"/>
        <w:jc w:val="both"/>
        <w:rPr>
          <w:rFonts w:asciiTheme="majorBidi" w:hAnsiTheme="majorBidi" w:cstheme="majorBidi"/>
          <w:sz w:val="24"/>
          <w:szCs w:val="24"/>
        </w:rPr>
      </w:pPr>
      <w:r w:rsidRPr="00CE28F4">
        <w:rPr>
          <w:rFonts w:asciiTheme="majorBidi" w:hAnsiTheme="majorBidi" w:cstheme="majorBidi"/>
          <w:sz w:val="24"/>
          <w:szCs w:val="24"/>
        </w:rPr>
        <w:lastRenderedPageBreak/>
        <w:t>Guided by the Preferred Reporting Items for Systematic Reviews and Meta-Analyses (PRISMA 2020) guidelines</w:t>
      </w:r>
      <w:r w:rsidR="00F10823">
        <w:rPr>
          <w:rFonts w:asciiTheme="majorBidi" w:hAnsiTheme="majorBidi" w:cstheme="majorBidi"/>
          <w:sz w:val="24"/>
          <w:szCs w:val="24"/>
        </w:rPr>
        <w:t xml:space="preserve"> [20]</w:t>
      </w:r>
      <w:r w:rsidRPr="00CE28F4">
        <w:rPr>
          <w:rFonts w:asciiTheme="majorBidi" w:hAnsiTheme="majorBidi" w:cstheme="majorBidi"/>
          <w:sz w:val="24"/>
          <w:szCs w:val="24"/>
        </w:rPr>
        <w:t xml:space="preserve">, this study was conducted. Searches were performed in the PubMed and Google Scholar databases to identify studies pertaining to prediction models for postoperative delirium in patients who have undergone non-cardiac surgery. The literature was extracted using keywords such as “postoperative delirium,” “older patients,” “non-cardiac surgery,” and “prediction models.”  Following the removal of duplicates both automatically and manually, the selected papers underwent evaluation through two screening phases. To </w:t>
      </w:r>
      <w:bookmarkStart w:id="11" w:name="_Int_zUxnZqRo"/>
      <w:r w:rsidRPr="00CE28F4">
        <w:rPr>
          <w:rFonts w:asciiTheme="majorBidi" w:hAnsiTheme="majorBidi" w:cstheme="majorBidi"/>
          <w:sz w:val="24"/>
          <w:szCs w:val="24"/>
        </w:rPr>
        <w:t>optimize</w:t>
      </w:r>
      <w:bookmarkEnd w:id="11"/>
      <w:r w:rsidRPr="00CE28F4">
        <w:rPr>
          <w:rFonts w:asciiTheme="majorBidi" w:hAnsiTheme="majorBidi" w:cstheme="majorBidi"/>
          <w:sz w:val="24"/>
          <w:szCs w:val="24"/>
        </w:rPr>
        <w:t xml:space="preserve"> inter-rater reliability, frequent communication was maintained among three researchers (</w:t>
      </w:r>
      <w:r w:rsidR="006C361E">
        <w:rPr>
          <w:rFonts w:asciiTheme="majorBidi" w:hAnsiTheme="majorBidi" w:cstheme="majorBidi"/>
          <w:sz w:val="24"/>
          <w:szCs w:val="24"/>
        </w:rPr>
        <w:t>ano</w:t>
      </w:r>
      <w:r w:rsidR="00324D6C">
        <w:rPr>
          <w:rFonts w:asciiTheme="majorBidi" w:hAnsiTheme="majorBidi" w:cstheme="majorBidi"/>
          <w:sz w:val="24"/>
          <w:szCs w:val="24"/>
        </w:rPr>
        <w:t>nymous</w:t>
      </w:r>
      <w:r w:rsidRPr="00CE28F4">
        <w:rPr>
          <w:rFonts w:asciiTheme="majorBidi" w:hAnsiTheme="majorBidi" w:cstheme="majorBidi"/>
          <w:sz w:val="24"/>
          <w:szCs w:val="24"/>
        </w:rPr>
        <w:t xml:space="preserve">). Discrepancies were resolved through consultation within the study group. </w:t>
      </w:r>
    </w:p>
    <w:p w14:paraId="4BE26940" w14:textId="77777777" w:rsidR="005D7F60" w:rsidRPr="00D91287" w:rsidRDefault="005D7F60" w:rsidP="00C0633B">
      <w:pPr>
        <w:spacing w:line="360" w:lineRule="auto"/>
        <w:jc w:val="both"/>
        <w:rPr>
          <w:rFonts w:asciiTheme="majorBidi" w:hAnsiTheme="majorBidi" w:cstheme="majorBidi"/>
          <w:b/>
          <w:bCs/>
          <w:sz w:val="24"/>
          <w:szCs w:val="24"/>
        </w:rPr>
      </w:pPr>
      <w:r w:rsidRPr="00D91287">
        <w:rPr>
          <w:rFonts w:asciiTheme="majorBidi" w:hAnsiTheme="majorBidi" w:cstheme="majorBidi"/>
          <w:b/>
          <w:bCs/>
          <w:sz w:val="24"/>
          <w:szCs w:val="24"/>
        </w:rPr>
        <w:t xml:space="preserve">2.2 Selection of Studies </w:t>
      </w:r>
    </w:p>
    <w:p w14:paraId="47EC9EC8" w14:textId="77777777" w:rsidR="005D7F60" w:rsidRPr="00CE28F4" w:rsidRDefault="005D7F60" w:rsidP="00C0633B">
      <w:pPr>
        <w:spacing w:line="360" w:lineRule="auto"/>
        <w:ind w:firstLineChars="200" w:firstLine="480"/>
        <w:jc w:val="both"/>
        <w:rPr>
          <w:rFonts w:asciiTheme="majorBidi" w:hAnsiTheme="majorBidi" w:cstheme="majorBidi"/>
          <w:sz w:val="24"/>
          <w:szCs w:val="24"/>
        </w:rPr>
      </w:pPr>
      <w:r w:rsidRPr="00CE28F4">
        <w:rPr>
          <w:rFonts w:asciiTheme="majorBidi" w:hAnsiTheme="majorBidi" w:cstheme="majorBidi"/>
          <w:sz w:val="24"/>
          <w:szCs w:val="24"/>
        </w:rPr>
        <w:t xml:space="preserve">Studies were included in this systematic review (SR) if they focused on: (a) the adult population (aged ≥18 years), (b) patients who underwent non-cardiac surgery, (c) were published between 1 January 2021 and 31 December 2023, (d) involved the development and/or validation of delirium prediction models, and (e) were full papers written in English. Exclusion criteria were: (a) studies on cardiac surgery, (b) studies that did not develop or validate prediction models, (c) papers not reporting on an original patient dataset (including editorials, commentaries, reviews, and meta-analyses), and (d) studies published in languages other than English. All types of study designs were considered, including randomized clinical trials (RCTs), prospective and retrospective studies, cohort studies, among others. Patients were monitored or tested in the postoperative period for over 24 hours using a validated POD scale. The timeframe of delirium development (prevalent vs. incident) was not a limiting factor; however, only prognostic statistics were discussed. </w:t>
      </w:r>
    </w:p>
    <w:p w14:paraId="5B943306" w14:textId="77777777" w:rsidR="005D7F60" w:rsidRPr="00903D6F" w:rsidRDefault="005D7F60" w:rsidP="00C0633B">
      <w:pPr>
        <w:spacing w:line="360" w:lineRule="auto"/>
        <w:jc w:val="both"/>
        <w:rPr>
          <w:rFonts w:asciiTheme="majorBidi" w:hAnsiTheme="majorBidi" w:cstheme="majorBidi"/>
          <w:b/>
          <w:bCs/>
          <w:sz w:val="24"/>
          <w:szCs w:val="24"/>
        </w:rPr>
      </w:pPr>
      <w:r w:rsidRPr="00903D6F">
        <w:rPr>
          <w:rFonts w:asciiTheme="majorBidi" w:hAnsiTheme="majorBidi" w:cstheme="majorBidi"/>
          <w:b/>
          <w:bCs/>
          <w:sz w:val="24"/>
          <w:szCs w:val="24"/>
        </w:rPr>
        <w:t xml:space="preserve">2.2.1 First Screening Phase </w:t>
      </w:r>
    </w:p>
    <w:p w14:paraId="5F765B3F" w14:textId="41E51379" w:rsidR="005D7F60" w:rsidRPr="00CE28F4" w:rsidRDefault="005D7F60" w:rsidP="00C0633B">
      <w:pPr>
        <w:spacing w:line="360" w:lineRule="auto"/>
        <w:ind w:firstLine="420"/>
        <w:jc w:val="both"/>
        <w:rPr>
          <w:rFonts w:asciiTheme="majorBidi" w:hAnsiTheme="majorBidi" w:cstheme="majorBidi"/>
          <w:sz w:val="24"/>
          <w:szCs w:val="24"/>
        </w:rPr>
      </w:pPr>
      <w:r w:rsidRPr="00CE28F4">
        <w:rPr>
          <w:rFonts w:asciiTheme="majorBidi" w:hAnsiTheme="majorBidi" w:cstheme="majorBidi"/>
          <w:sz w:val="24"/>
          <w:szCs w:val="24"/>
        </w:rPr>
        <w:t>Through database searching, a total of 258 records were identified. Three researchers (</w:t>
      </w:r>
      <w:r w:rsidR="00324D6C">
        <w:rPr>
          <w:rFonts w:asciiTheme="majorBidi" w:hAnsiTheme="majorBidi" w:cstheme="majorBidi"/>
          <w:sz w:val="24"/>
          <w:szCs w:val="24"/>
        </w:rPr>
        <w:t>anonymo</w:t>
      </w:r>
      <w:r w:rsidR="00B02218">
        <w:rPr>
          <w:rFonts w:asciiTheme="majorBidi" w:hAnsiTheme="majorBidi" w:cstheme="majorBidi"/>
          <w:sz w:val="24"/>
          <w:szCs w:val="24"/>
        </w:rPr>
        <w:t>us</w:t>
      </w:r>
      <w:r w:rsidRPr="00CE28F4">
        <w:rPr>
          <w:rFonts w:asciiTheme="majorBidi" w:hAnsiTheme="majorBidi" w:cstheme="majorBidi"/>
          <w:sz w:val="24"/>
          <w:szCs w:val="24"/>
        </w:rPr>
        <w:t>) independently screened the titles, publication details, and abstracts using EndNote to identify papers that met the inclusion criteria, with POD recording as a primary or secondary outcome. A total of 205 studies were excluded because they did not specifically address delirium in the postoperative setting or due to reasons such as age under 18 years, irrelevance to the study’s focus, review studies, among others.</w:t>
      </w:r>
    </w:p>
    <w:p w14:paraId="5A977992" w14:textId="77777777" w:rsidR="005D7F60" w:rsidRPr="003D176B" w:rsidRDefault="005D7F60" w:rsidP="00C0633B">
      <w:pPr>
        <w:spacing w:line="360" w:lineRule="auto"/>
        <w:jc w:val="both"/>
        <w:rPr>
          <w:rFonts w:asciiTheme="majorBidi" w:hAnsiTheme="majorBidi" w:cstheme="majorBidi"/>
          <w:b/>
          <w:bCs/>
          <w:sz w:val="24"/>
          <w:szCs w:val="24"/>
        </w:rPr>
      </w:pPr>
      <w:r w:rsidRPr="003D176B">
        <w:rPr>
          <w:rFonts w:asciiTheme="majorBidi" w:hAnsiTheme="majorBidi" w:cstheme="majorBidi"/>
          <w:b/>
          <w:bCs/>
          <w:sz w:val="24"/>
          <w:szCs w:val="24"/>
        </w:rPr>
        <w:lastRenderedPageBreak/>
        <w:t xml:space="preserve">2.2.2 Second Screening Phase </w:t>
      </w:r>
    </w:p>
    <w:p w14:paraId="001FAF48" w14:textId="7844232C" w:rsidR="005D7F60" w:rsidRPr="00CE28F4" w:rsidRDefault="005D7F60" w:rsidP="00C0633B">
      <w:pPr>
        <w:spacing w:line="360" w:lineRule="auto"/>
        <w:ind w:firstLine="420"/>
        <w:jc w:val="both"/>
        <w:rPr>
          <w:rFonts w:asciiTheme="majorBidi" w:hAnsiTheme="majorBidi" w:cstheme="majorBidi"/>
          <w:sz w:val="24"/>
          <w:szCs w:val="24"/>
        </w:rPr>
      </w:pPr>
      <w:r w:rsidRPr="00CE28F4">
        <w:rPr>
          <w:rFonts w:asciiTheme="majorBidi" w:hAnsiTheme="majorBidi" w:cstheme="majorBidi"/>
          <w:sz w:val="24"/>
          <w:szCs w:val="24"/>
        </w:rPr>
        <w:t>For the second screening phase, qualified studies underwent full-text analysis concerning the type and timing of POD monitoring, conducted by the same researchers (</w:t>
      </w:r>
      <w:r w:rsidR="00B02218">
        <w:rPr>
          <w:rFonts w:asciiTheme="majorBidi" w:hAnsiTheme="majorBidi" w:cstheme="majorBidi"/>
          <w:sz w:val="24"/>
          <w:szCs w:val="24"/>
        </w:rPr>
        <w:t>anonymous</w:t>
      </w:r>
      <w:r w:rsidRPr="00CE28F4">
        <w:rPr>
          <w:rFonts w:asciiTheme="majorBidi" w:hAnsiTheme="majorBidi" w:cstheme="majorBidi"/>
          <w:sz w:val="24"/>
          <w:szCs w:val="24"/>
        </w:rPr>
        <w:t xml:space="preserve">). Eligibility was conferred only to studies that employed a POD-validated scale for over 24 hours in non-selectively presenting patients with delirium and reported quantitative data on POD incidence. A standardized data extraction form was used to analyze the selected studies. Variables extrapolated included: the validated diagnostic POD scale employed, number of recruited patients, overall incidence of POD, study design and structure (such as RCTs, prospective, retrospective, observational, and secondary analysis based on an observational study), type of surgery (categorized into non-cardiac, general surgery, general abdominal, hip fracture, non-neurology, degenerative spinal, non-brain, laparoscopic gastrectomy, major limb amputation), and the country of study conducted. Upon full-text article assessment for eligibility according to predefined criteria, three studies were excluded for not developing a prediction model. Ultimately, 12 studies specifically focusing on prediction models for postoperative delirium comprised the final count for this systematic review. </w:t>
      </w:r>
    </w:p>
    <w:p w14:paraId="5A941D72" w14:textId="77777777" w:rsidR="005D7F60" w:rsidRPr="003D176B" w:rsidRDefault="005D7F60" w:rsidP="00C0633B">
      <w:pPr>
        <w:spacing w:line="360" w:lineRule="auto"/>
        <w:jc w:val="both"/>
        <w:rPr>
          <w:rFonts w:asciiTheme="majorBidi" w:hAnsiTheme="majorBidi" w:cstheme="majorBidi"/>
          <w:b/>
          <w:bCs/>
          <w:sz w:val="24"/>
          <w:szCs w:val="24"/>
        </w:rPr>
      </w:pPr>
      <w:r w:rsidRPr="003D176B">
        <w:rPr>
          <w:rFonts w:asciiTheme="majorBidi" w:hAnsiTheme="majorBidi" w:cstheme="majorBidi"/>
          <w:b/>
          <w:bCs/>
          <w:sz w:val="24"/>
          <w:szCs w:val="24"/>
        </w:rPr>
        <w:t xml:space="preserve">2.3 Risk of Bias </w:t>
      </w:r>
    </w:p>
    <w:p w14:paraId="7F3A7268" w14:textId="435FC14A" w:rsidR="005D7F60" w:rsidRPr="00CE28F4" w:rsidRDefault="005D7F60" w:rsidP="00C0633B">
      <w:pPr>
        <w:spacing w:line="360" w:lineRule="auto"/>
        <w:ind w:firstLineChars="200" w:firstLine="480"/>
        <w:jc w:val="both"/>
        <w:rPr>
          <w:rFonts w:asciiTheme="majorBidi" w:hAnsiTheme="majorBidi" w:cstheme="majorBidi"/>
          <w:sz w:val="24"/>
          <w:szCs w:val="24"/>
        </w:rPr>
      </w:pPr>
      <w:r w:rsidRPr="00CE28F4">
        <w:rPr>
          <w:rFonts w:asciiTheme="majorBidi" w:hAnsiTheme="majorBidi" w:cstheme="majorBidi"/>
          <w:sz w:val="24"/>
          <w:szCs w:val="24"/>
        </w:rPr>
        <w:t xml:space="preserve">Using the Prediction model Risk </w:t>
      </w:r>
      <w:proofErr w:type="gramStart"/>
      <w:r w:rsidRPr="00CE28F4">
        <w:rPr>
          <w:rFonts w:asciiTheme="majorBidi" w:hAnsiTheme="majorBidi" w:cstheme="majorBidi"/>
          <w:sz w:val="24"/>
          <w:szCs w:val="24"/>
        </w:rPr>
        <w:t>Of</w:t>
      </w:r>
      <w:proofErr w:type="gramEnd"/>
      <w:r w:rsidRPr="00CE28F4">
        <w:rPr>
          <w:rFonts w:asciiTheme="majorBidi" w:hAnsiTheme="majorBidi" w:cstheme="majorBidi"/>
          <w:sz w:val="24"/>
          <w:szCs w:val="24"/>
        </w:rPr>
        <w:t xml:space="preserve"> Bias Assessment Tool (PROBAST)</w:t>
      </w:r>
      <w:r w:rsidR="003D176B">
        <w:rPr>
          <w:rFonts w:asciiTheme="majorBidi" w:hAnsiTheme="majorBidi" w:cstheme="majorBidi"/>
          <w:sz w:val="24"/>
          <w:szCs w:val="24"/>
        </w:rPr>
        <w:t xml:space="preserve"> [21]</w:t>
      </w:r>
      <w:r w:rsidRPr="00CE28F4">
        <w:rPr>
          <w:rFonts w:asciiTheme="majorBidi" w:hAnsiTheme="majorBidi" w:cstheme="majorBidi"/>
          <w:sz w:val="24"/>
          <w:szCs w:val="24"/>
        </w:rPr>
        <w:t>, the three authors evaluated the methodological quality of each included study. This tool encompasses four domains: patient selection, predictors, outcome, and analysis. Featuring 20 signaling questions, it aids in the structured evaluation of bias risk (ROB) and the applicability of diagnostic and prognostic prediction studies. The overall risk of bias (ROB) for each study was categorized as low when all domains were assessed as such, high if one or more domains were deemed high, and unclear if any domains were assessed as unclear. Disagreements were resolved through discussion among the authors.</w:t>
      </w:r>
    </w:p>
    <w:p w14:paraId="0043FFC3" w14:textId="77777777" w:rsidR="005D7F60" w:rsidRPr="008F1C17" w:rsidRDefault="005D7F60" w:rsidP="00C0633B">
      <w:pPr>
        <w:spacing w:line="360" w:lineRule="auto"/>
        <w:jc w:val="both"/>
        <w:rPr>
          <w:rFonts w:asciiTheme="majorBidi" w:hAnsiTheme="majorBidi" w:cstheme="majorBidi"/>
          <w:b/>
          <w:bCs/>
          <w:color w:val="000000" w:themeColor="text1"/>
          <w:sz w:val="24"/>
          <w:szCs w:val="24"/>
        </w:rPr>
      </w:pPr>
      <w:r w:rsidRPr="008F1C17">
        <w:rPr>
          <w:rFonts w:asciiTheme="majorBidi" w:hAnsiTheme="majorBidi" w:cstheme="majorBidi"/>
          <w:b/>
          <w:bCs/>
          <w:sz w:val="24"/>
          <w:szCs w:val="24"/>
        </w:rPr>
        <w:t xml:space="preserve">2.4   </w:t>
      </w:r>
      <w:r w:rsidRPr="008F1C17">
        <w:rPr>
          <w:rFonts w:asciiTheme="majorBidi" w:hAnsiTheme="majorBidi" w:cstheme="majorBidi"/>
          <w:b/>
          <w:bCs/>
          <w:color w:val="000000" w:themeColor="text1"/>
          <w:sz w:val="24"/>
          <w:szCs w:val="24"/>
        </w:rPr>
        <w:t xml:space="preserve">Data Synthesis and Analysis </w:t>
      </w:r>
    </w:p>
    <w:p w14:paraId="4BB7989B" w14:textId="18C06787" w:rsidR="005D7F60" w:rsidRPr="00CE28F4" w:rsidRDefault="005D7F60" w:rsidP="00C0633B">
      <w:pPr>
        <w:spacing w:line="360" w:lineRule="auto"/>
        <w:ind w:firstLineChars="200" w:firstLine="480"/>
        <w:jc w:val="both"/>
        <w:rPr>
          <w:rFonts w:asciiTheme="majorBidi" w:hAnsiTheme="majorBidi" w:cstheme="majorBidi"/>
          <w:color w:val="000000" w:themeColor="text1"/>
          <w:sz w:val="24"/>
          <w:szCs w:val="24"/>
        </w:rPr>
      </w:pPr>
      <w:r w:rsidRPr="00CE28F4">
        <w:rPr>
          <w:rFonts w:asciiTheme="majorBidi" w:hAnsiTheme="majorBidi" w:cstheme="majorBidi"/>
          <w:color w:val="000000" w:themeColor="text1"/>
          <w:sz w:val="24"/>
          <w:szCs w:val="24"/>
        </w:rPr>
        <w:t xml:space="preserve">The meta-analysis for this SR was not feasible due to several factors. These reasons include: (a) significant variations in study design, patient populations, and predictor variables among the 12 included studies, as evident in </w:t>
      </w:r>
      <w:r w:rsidRPr="008C0EE6">
        <w:rPr>
          <w:rFonts w:asciiTheme="majorBidi" w:hAnsiTheme="majorBidi" w:cstheme="majorBidi"/>
          <w:b/>
          <w:bCs/>
          <w:color w:val="000000" w:themeColor="text1"/>
          <w:sz w:val="24"/>
          <w:szCs w:val="24"/>
        </w:rPr>
        <w:t>Table 1</w:t>
      </w:r>
      <w:r w:rsidRPr="00CE28F4">
        <w:rPr>
          <w:rFonts w:asciiTheme="majorBidi" w:hAnsiTheme="majorBidi" w:cstheme="majorBidi"/>
          <w:color w:val="000000" w:themeColor="text1"/>
          <w:sz w:val="24"/>
          <w:szCs w:val="24"/>
        </w:rPr>
        <w:t xml:space="preserve">. The absence of standardized variables and patient populations posed challenges in drawing meaningful conclusions. (b) Some of the included studies </w:t>
      </w:r>
      <w:r w:rsidRPr="00CE28F4">
        <w:rPr>
          <w:rFonts w:asciiTheme="majorBidi" w:hAnsiTheme="majorBidi" w:cstheme="majorBidi"/>
          <w:color w:val="000000" w:themeColor="text1"/>
          <w:sz w:val="24"/>
          <w:szCs w:val="24"/>
        </w:rPr>
        <w:lastRenderedPageBreak/>
        <w:t>exhibited methodological limitations or biases, such as small sample size</w:t>
      </w:r>
      <w:r w:rsidR="008F1C17">
        <w:rPr>
          <w:rFonts w:asciiTheme="majorBidi" w:hAnsiTheme="majorBidi" w:cstheme="majorBidi"/>
          <w:color w:val="000000" w:themeColor="text1"/>
          <w:sz w:val="24"/>
          <w:szCs w:val="24"/>
        </w:rPr>
        <w:t xml:space="preserve"> [16, 17]</w:t>
      </w:r>
      <w:r w:rsidRPr="00CE28F4">
        <w:rPr>
          <w:rFonts w:asciiTheme="majorBidi" w:hAnsiTheme="majorBidi" w:cstheme="majorBidi"/>
          <w:color w:val="000000" w:themeColor="text1"/>
          <w:sz w:val="24"/>
          <w:szCs w:val="24"/>
        </w:rPr>
        <w:t>, inadequate control for confounding factors, or a high risk of bias</w:t>
      </w:r>
      <w:r w:rsidR="000E570F">
        <w:rPr>
          <w:rFonts w:asciiTheme="majorBidi" w:hAnsiTheme="majorBidi" w:cstheme="majorBidi"/>
          <w:color w:val="000000" w:themeColor="text1"/>
          <w:sz w:val="24"/>
          <w:szCs w:val="24"/>
        </w:rPr>
        <w:t xml:space="preserve"> [12, 17]</w:t>
      </w:r>
      <w:r w:rsidRPr="00CE28F4">
        <w:rPr>
          <w:rFonts w:asciiTheme="majorBidi" w:hAnsiTheme="majorBidi" w:cstheme="majorBidi"/>
          <w:color w:val="000000" w:themeColor="text1"/>
          <w:sz w:val="24"/>
          <w:szCs w:val="24"/>
        </w:rPr>
        <w:t>, rendering it inappropriate to aggregate their results in a meta-analysis. Combining flawed studies could lead to misleading conclusions. (c) The heterogeneity in clinical factors, including patient characteristics, surgical procedures, or other clinical variables, made it difficult to interpret and aggregate the pooled results in a meta-analysis. Therefore, we qualitatively synthesized results focusing on the predictors included in each model, model performance, and methodological quality. (</w:t>
      </w:r>
      <w:r w:rsidRPr="006E64E8">
        <w:rPr>
          <w:rFonts w:asciiTheme="majorBidi" w:hAnsiTheme="majorBidi" w:cstheme="majorBidi"/>
          <w:b/>
          <w:bCs/>
          <w:color w:val="000000" w:themeColor="text1"/>
          <w:sz w:val="24"/>
          <w:szCs w:val="24"/>
        </w:rPr>
        <w:t>Supplementary material</w:t>
      </w:r>
      <w:r w:rsidRPr="00CE28F4">
        <w:rPr>
          <w:rFonts w:asciiTheme="majorBidi" w:hAnsiTheme="majorBidi" w:cstheme="majorBidi"/>
          <w:color w:val="000000" w:themeColor="text1"/>
          <w:sz w:val="24"/>
          <w:szCs w:val="24"/>
        </w:rPr>
        <w:t xml:space="preserve">) </w:t>
      </w:r>
    </w:p>
    <w:p w14:paraId="5D665810" w14:textId="77777777" w:rsidR="005D7F60" w:rsidRPr="00CE28F4" w:rsidRDefault="005D7F60" w:rsidP="00C0633B">
      <w:pPr>
        <w:spacing w:line="360" w:lineRule="auto"/>
        <w:jc w:val="both"/>
        <w:rPr>
          <w:rFonts w:asciiTheme="majorBidi" w:hAnsiTheme="majorBidi" w:cstheme="majorBidi"/>
          <w:sz w:val="24"/>
          <w:szCs w:val="24"/>
        </w:rPr>
      </w:pPr>
    </w:p>
    <w:p w14:paraId="3A4D394D" w14:textId="77777777" w:rsidR="005D7F60" w:rsidRPr="006E64E8" w:rsidRDefault="005D7F60" w:rsidP="00C0633B">
      <w:pPr>
        <w:pStyle w:val="ListParagraph"/>
        <w:numPr>
          <w:ilvl w:val="0"/>
          <w:numId w:val="1"/>
        </w:numPr>
        <w:spacing w:line="360" w:lineRule="auto"/>
        <w:jc w:val="both"/>
        <w:rPr>
          <w:rFonts w:asciiTheme="majorBidi" w:hAnsiTheme="majorBidi" w:cstheme="majorBidi"/>
          <w:b/>
          <w:bCs/>
          <w:sz w:val="24"/>
          <w:szCs w:val="24"/>
        </w:rPr>
      </w:pPr>
      <w:r w:rsidRPr="006E64E8">
        <w:rPr>
          <w:rFonts w:asciiTheme="majorBidi" w:hAnsiTheme="majorBidi" w:cstheme="majorBidi"/>
          <w:b/>
          <w:bCs/>
          <w:sz w:val="24"/>
          <w:szCs w:val="24"/>
        </w:rPr>
        <w:t>RESULTS</w:t>
      </w:r>
    </w:p>
    <w:p w14:paraId="3F9C107F" w14:textId="77777777" w:rsidR="005D7F60" w:rsidRPr="006E64E8" w:rsidRDefault="005D7F60" w:rsidP="00C0633B">
      <w:pPr>
        <w:pStyle w:val="ListParagraph"/>
        <w:numPr>
          <w:ilvl w:val="1"/>
          <w:numId w:val="2"/>
        </w:numPr>
        <w:spacing w:line="360" w:lineRule="auto"/>
        <w:jc w:val="both"/>
        <w:rPr>
          <w:rFonts w:asciiTheme="majorBidi" w:hAnsiTheme="majorBidi" w:cstheme="majorBidi"/>
          <w:b/>
          <w:bCs/>
          <w:sz w:val="24"/>
          <w:szCs w:val="24"/>
        </w:rPr>
      </w:pPr>
      <w:r w:rsidRPr="006E64E8">
        <w:rPr>
          <w:rFonts w:asciiTheme="majorBidi" w:hAnsiTheme="majorBidi" w:cstheme="majorBidi"/>
          <w:b/>
          <w:bCs/>
          <w:sz w:val="24"/>
          <w:szCs w:val="24"/>
        </w:rPr>
        <w:t xml:space="preserve">Study Selection </w:t>
      </w:r>
    </w:p>
    <w:p w14:paraId="6131A396" w14:textId="77777777" w:rsidR="005D7F60" w:rsidRPr="00CE28F4" w:rsidRDefault="005D7F60" w:rsidP="00C0633B">
      <w:pPr>
        <w:spacing w:line="360" w:lineRule="auto"/>
        <w:jc w:val="both"/>
        <w:rPr>
          <w:rFonts w:asciiTheme="majorBidi" w:hAnsiTheme="majorBidi" w:cstheme="majorBidi"/>
          <w:sz w:val="24"/>
          <w:szCs w:val="24"/>
        </w:rPr>
      </w:pPr>
      <w:r w:rsidRPr="00CE28F4">
        <w:rPr>
          <w:rFonts w:asciiTheme="majorBidi" w:hAnsiTheme="majorBidi" w:cstheme="majorBidi"/>
          <w:sz w:val="24"/>
          <w:szCs w:val="24"/>
        </w:rPr>
        <w:t xml:space="preserve"> </w:t>
      </w:r>
      <w:r w:rsidRPr="00CE28F4">
        <w:rPr>
          <w:rFonts w:asciiTheme="majorBidi" w:hAnsiTheme="majorBidi" w:cstheme="majorBidi"/>
          <w:sz w:val="24"/>
          <w:szCs w:val="24"/>
        </w:rPr>
        <w:tab/>
        <w:t xml:space="preserve">From the initial literature search across two databases, 258 records were identified, with 38 duplicates subsequently removed. Screening of the remaining studies based on titles and abstracts revealed 15 eligible for full-text evaluation. Due to reasons including irrelevance (n=142), age under 18 years (n=7), non-original research (n=15), and others (n=41), a total of 205 studies were excluded from the review. Upon detailed full-text evaluation, 3 studies were excluded for lacking prediction model development. Ultimately, our systematic review (SR) included 12 studies. </w:t>
      </w:r>
      <w:r w:rsidRPr="006E31D6">
        <w:rPr>
          <w:rFonts w:asciiTheme="majorBidi" w:hAnsiTheme="majorBidi" w:cstheme="majorBidi"/>
          <w:b/>
          <w:bCs/>
          <w:sz w:val="24"/>
          <w:szCs w:val="24"/>
        </w:rPr>
        <w:t>Figure 1</w:t>
      </w:r>
      <w:r w:rsidRPr="00CE28F4">
        <w:rPr>
          <w:rFonts w:asciiTheme="majorBidi" w:hAnsiTheme="majorBidi" w:cstheme="majorBidi"/>
          <w:sz w:val="24"/>
          <w:szCs w:val="24"/>
        </w:rPr>
        <w:t xml:space="preserve"> depicts the selection and inclusion process for this review. </w:t>
      </w:r>
    </w:p>
    <w:p w14:paraId="485DAE53" w14:textId="77777777" w:rsidR="005D7F60" w:rsidRPr="000450E5" w:rsidRDefault="005D7F60" w:rsidP="00C0633B">
      <w:pPr>
        <w:spacing w:line="360" w:lineRule="auto"/>
        <w:jc w:val="both"/>
        <w:rPr>
          <w:rFonts w:asciiTheme="majorBidi" w:hAnsiTheme="majorBidi" w:cstheme="majorBidi"/>
          <w:b/>
          <w:bCs/>
          <w:sz w:val="24"/>
          <w:szCs w:val="24"/>
        </w:rPr>
      </w:pPr>
      <w:r w:rsidRPr="000450E5">
        <w:rPr>
          <w:rFonts w:asciiTheme="majorBidi" w:hAnsiTheme="majorBidi" w:cstheme="majorBidi"/>
          <w:b/>
          <w:bCs/>
          <w:sz w:val="24"/>
          <w:szCs w:val="24"/>
        </w:rPr>
        <w:t xml:space="preserve"> 3.2 </w:t>
      </w:r>
      <w:r w:rsidRPr="000450E5">
        <w:rPr>
          <w:rFonts w:asciiTheme="majorBidi" w:hAnsiTheme="majorBidi" w:cstheme="majorBidi"/>
          <w:b/>
          <w:bCs/>
          <w:kern w:val="2"/>
          <w:sz w:val="24"/>
          <w:szCs w:val="24"/>
        </w:rPr>
        <w:t xml:space="preserve">Study Characteristics </w:t>
      </w:r>
    </w:p>
    <w:p w14:paraId="4CF57128" w14:textId="43F87D02" w:rsidR="005D7F60" w:rsidRPr="00CE28F4" w:rsidRDefault="005D7F60" w:rsidP="00C0633B">
      <w:pPr>
        <w:spacing w:line="360" w:lineRule="auto"/>
        <w:jc w:val="both"/>
        <w:rPr>
          <w:rFonts w:asciiTheme="majorBidi" w:hAnsiTheme="majorBidi" w:cstheme="majorBidi"/>
          <w:sz w:val="24"/>
          <w:szCs w:val="24"/>
        </w:rPr>
      </w:pPr>
      <w:r w:rsidRPr="00CE28F4">
        <w:rPr>
          <w:rFonts w:asciiTheme="majorBidi" w:hAnsiTheme="majorBidi" w:cstheme="majorBidi"/>
          <w:sz w:val="24"/>
          <w:szCs w:val="24"/>
        </w:rPr>
        <w:t xml:space="preserve"> </w:t>
      </w:r>
      <w:r w:rsidRPr="00CE28F4">
        <w:rPr>
          <w:rFonts w:asciiTheme="majorBidi" w:hAnsiTheme="majorBidi" w:cstheme="majorBidi"/>
          <w:sz w:val="24"/>
          <w:szCs w:val="24"/>
        </w:rPr>
        <w:tab/>
        <w:t>Twelve models predicting the risk of POD in patients undergoing non-cardiac surgery were identified. Among these, ten were retrospective cohort studies, one was a prospective study, and</w:t>
      </w:r>
      <w:r w:rsidR="00567D4B">
        <w:rPr>
          <w:rFonts w:asciiTheme="majorBidi" w:hAnsiTheme="majorBidi" w:cstheme="majorBidi"/>
          <w:sz w:val="24"/>
          <w:szCs w:val="24"/>
        </w:rPr>
        <w:t xml:space="preserve"> </w:t>
      </w:r>
      <w:r w:rsidR="00567D4B" w:rsidRPr="00567D4B">
        <w:rPr>
          <w:rFonts w:asciiTheme="majorBidi" w:hAnsiTheme="majorBidi" w:cstheme="majorBidi"/>
          <w:sz w:val="24"/>
          <w:szCs w:val="24"/>
        </w:rPr>
        <w:t xml:space="preserve">one utilized secondary analysis of observational study data for prediction model construction. The </w:t>
      </w:r>
      <w:r w:rsidRPr="00CE28F4">
        <w:rPr>
          <w:rFonts w:asciiTheme="majorBidi" w:hAnsiTheme="majorBidi" w:cstheme="majorBidi"/>
          <w:sz w:val="24"/>
          <w:szCs w:val="24"/>
        </w:rPr>
        <w:t>studies, published between January 2021 and December 2023, had a combined sample size of 47,816 patients, with individual studies ranging from 120 to 29,756 patients (</w:t>
      </w:r>
      <w:r w:rsidRPr="00F5631F">
        <w:rPr>
          <w:rFonts w:asciiTheme="majorBidi" w:hAnsiTheme="majorBidi" w:cstheme="majorBidi"/>
          <w:b/>
          <w:bCs/>
          <w:sz w:val="24"/>
          <w:szCs w:val="24"/>
        </w:rPr>
        <w:t>Table 1</w:t>
      </w:r>
      <w:r w:rsidRPr="00CE28F4">
        <w:rPr>
          <w:rFonts w:asciiTheme="majorBidi" w:hAnsiTheme="majorBidi" w:cstheme="majorBidi"/>
          <w:sz w:val="24"/>
          <w:szCs w:val="24"/>
        </w:rPr>
        <w:t xml:space="preserve">). In these models, Chinese patients constituted 91% of the study population. The type of surgery, study type, and validation type are detailed in </w:t>
      </w:r>
      <w:r w:rsidRPr="00F5631F">
        <w:rPr>
          <w:rFonts w:asciiTheme="majorBidi" w:hAnsiTheme="majorBidi" w:cstheme="majorBidi"/>
          <w:b/>
          <w:bCs/>
          <w:sz w:val="24"/>
          <w:szCs w:val="24"/>
        </w:rPr>
        <w:t>Table 2</w:t>
      </w:r>
      <w:r w:rsidRPr="00CE28F4">
        <w:rPr>
          <w:rFonts w:asciiTheme="majorBidi" w:hAnsiTheme="majorBidi" w:cstheme="majorBidi"/>
          <w:sz w:val="24"/>
          <w:szCs w:val="24"/>
        </w:rPr>
        <w:t xml:space="preserve">. </w:t>
      </w:r>
    </w:p>
    <w:p w14:paraId="7F02DE8C" w14:textId="77777777" w:rsidR="005D7F60" w:rsidRPr="006E31D6" w:rsidRDefault="005D7F60" w:rsidP="00C0633B">
      <w:pPr>
        <w:spacing w:line="360" w:lineRule="auto"/>
        <w:jc w:val="both"/>
        <w:rPr>
          <w:rFonts w:asciiTheme="majorBidi" w:hAnsiTheme="majorBidi" w:cstheme="majorBidi"/>
          <w:b/>
          <w:bCs/>
          <w:sz w:val="24"/>
          <w:szCs w:val="24"/>
        </w:rPr>
      </w:pPr>
      <w:r w:rsidRPr="006E31D6">
        <w:rPr>
          <w:rFonts w:asciiTheme="majorBidi" w:hAnsiTheme="majorBidi" w:cstheme="majorBidi"/>
          <w:b/>
          <w:bCs/>
          <w:sz w:val="24"/>
          <w:szCs w:val="24"/>
        </w:rPr>
        <w:t xml:space="preserve">3.3 </w:t>
      </w:r>
      <w:r w:rsidRPr="006E31D6">
        <w:rPr>
          <w:rFonts w:asciiTheme="majorBidi" w:hAnsiTheme="majorBidi" w:cstheme="majorBidi"/>
          <w:b/>
          <w:bCs/>
          <w:kern w:val="2"/>
          <w:sz w:val="24"/>
          <w:szCs w:val="24"/>
        </w:rPr>
        <w:t>Predictive Factors</w:t>
      </w:r>
    </w:p>
    <w:p w14:paraId="2C20AAF4" w14:textId="178D1185" w:rsidR="005D7F60" w:rsidRPr="00CE28F4" w:rsidRDefault="005D7F60" w:rsidP="00C0633B">
      <w:pPr>
        <w:spacing w:line="360" w:lineRule="auto"/>
        <w:ind w:firstLineChars="200" w:firstLine="480"/>
        <w:jc w:val="both"/>
        <w:rPr>
          <w:rFonts w:asciiTheme="majorBidi" w:hAnsiTheme="majorBidi" w:cstheme="majorBidi"/>
          <w:sz w:val="24"/>
          <w:szCs w:val="24"/>
        </w:rPr>
      </w:pPr>
      <w:r w:rsidRPr="00CE28F4">
        <w:rPr>
          <w:rFonts w:asciiTheme="majorBidi" w:hAnsiTheme="majorBidi" w:cstheme="majorBidi"/>
          <w:sz w:val="24"/>
          <w:szCs w:val="24"/>
        </w:rPr>
        <w:lastRenderedPageBreak/>
        <w:t xml:space="preserve"> </w:t>
      </w:r>
      <w:r w:rsidRPr="00E12A28">
        <w:rPr>
          <w:rFonts w:asciiTheme="majorBidi" w:hAnsiTheme="majorBidi" w:cstheme="majorBidi"/>
          <w:b/>
          <w:bCs/>
          <w:sz w:val="24"/>
          <w:szCs w:val="24"/>
        </w:rPr>
        <w:t xml:space="preserve">Table 3 </w:t>
      </w:r>
      <w:r w:rsidRPr="00CE28F4">
        <w:rPr>
          <w:rFonts w:asciiTheme="majorBidi" w:hAnsiTheme="majorBidi" w:cstheme="majorBidi"/>
          <w:sz w:val="24"/>
          <w:szCs w:val="24"/>
        </w:rPr>
        <w:t xml:space="preserve">offers an overview of the predictive factors incorporated into the RPMs. The number of predictors employed in constructing the models varied from three </w:t>
      </w:r>
      <w:r w:rsidR="00E12A28">
        <w:rPr>
          <w:rFonts w:asciiTheme="majorBidi" w:hAnsiTheme="majorBidi" w:cstheme="majorBidi"/>
          <w:sz w:val="24"/>
          <w:szCs w:val="24"/>
        </w:rPr>
        <w:t>[10]</w:t>
      </w:r>
      <w:r w:rsidRPr="00CE28F4">
        <w:rPr>
          <w:rFonts w:asciiTheme="majorBidi" w:hAnsiTheme="majorBidi" w:cstheme="majorBidi"/>
          <w:sz w:val="24"/>
          <w:szCs w:val="24"/>
        </w:rPr>
        <w:t xml:space="preserve"> to twelve</w:t>
      </w:r>
      <w:r w:rsidR="00E12A28">
        <w:rPr>
          <w:rFonts w:asciiTheme="majorBidi" w:hAnsiTheme="majorBidi" w:cstheme="majorBidi"/>
          <w:sz w:val="24"/>
          <w:szCs w:val="24"/>
        </w:rPr>
        <w:t xml:space="preserve"> [14]</w:t>
      </w:r>
      <w:r w:rsidRPr="00CE28F4">
        <w:rPr>
          <w:rFonts w:asciiTheme="majorBidi" w:hAnsiTheme="majorBidi" w:cstheme="majorBidi"/>
          <w:sz w:val="24"/>
          <w:szCs w:val="24"/>
        </w:rPr>
        <w:t xml:space="preserve">. The most frequently identified predictors, namely age, intraoperative blood loss, albumin levels, duration of anesthesia, and ICU stays, were featured in twelve, four, six, three, and five models, respectively. Mortality among POD patients were not reported in any of the included studies, while comorbidities among POD patients, with diabetes mellitus being the most frequently cited, were reported in two of the studies </w:t>
      </w:r>
      <w:r w:rsidR="003F2E71">
        <w:rPr>
          <w:rFonts w:asciiTheme="majorBidi" w:hAnsiTheme="majorBidi" w:cstheme="majorBidi"/>
          <w:sz w:val="24"/>
          <w:szCs w:val="24"/>
        </w:rPr>
        <w:t xml:space="preserve">[9,11]. </w:t>
      </w:r>
    </w:p>
    <w:p w14:paraId="7C4B237C" w14:textId="77777777" w:rsidR="005D7F60" w:rsidRPr="003F2E71" w:rsidRDefault="005D7F60" w:rsidP="00C0633B">
      <w:pPr>
        <w:spacing w:line="360" w:lineRule="auto"/>
        <w:jc w:val="both"/>
        <w:rPr>
          <w:rFonts w:asciiTheme="majorBidi" w:hAnsiTheme="majorBidi" w:cstheme="majorBidi"/>
          <w:b/>
          <w:bCs/>
          <w:sz w:val="24"/>
          <w:szCs w:val="24"/>
        </w:rPr>
      </w:pPr>
      <w:r w:rsidRPr="003F2E71">
        <w:rPr>
          <w:rFonts w:asciiTheme="majorBidi" w:hAnsiTheme="majorBidi" w:cstheme="majorBidi"/>
          <w:b/>
          <w:bCs/>
          <w:sz w:val="24"/>
          <w:szCs w:val="24"/>
        </w:rPr>
        <w:t xml:space="preserve">3.4 Incidence of POD </w:t>
      </w:r>
    </w:p>
    <w:p w14:paraId="699D4BDF" w14:textId="5284E3ED" w:rsidR="005D7F60" w:rsidRPr="00CE28F4" w:rsidRDefault="005D7F60" w:rsidP="00C0633B">
      <w:pPr>
        <w:spacing w:line="360" w:lineRule="auto"/>
        <w:ind w:firstLineChars="200" w:firstLine="480"/>
        <w:jc w:val="both"/>
        <w:rPr>
          <w:rFonts w:asciiTheme="majorBidi" w:hAnsiTheme="majorBidi" w:cstheme="majorBidi"/>
          <w:sz w:val="24"/>
          <w:szCs w:val="24"/>
        </w:rPr>
      </w:pPr>
      <w:r w:rsidRPr="00CE28F4">
        <w:rPr>
          <w:rFonts w:asciiTheme="majorBidi" w:hAnsiTheme="majorBidi" w:cstheme="majorBidi"/>
          <w:sz w:val="24"/>
          <w:szCs w:val="24"/>
        </w:rPr>
        <w:t>The majority of the included studies (n=11) provided clear diagnostic criteria for delirium, with the Confusion Assessment Method (CAM) being the most prevalent tool for assessing delirium. To assess POD, seven studies (58.3%) utilized the CAM measurement tool, two (16.7%) employed the DSM-V criteria, another two (16.7%) utilized the DSM-IV criteria, and one study (8.3%) used a Chart-based tool</w:t>
      </w:r>
      <w:r w:rsidR="003F2E71">
        <w:rPr>
          <w:rFonts w:asciiTheme="majorBidi" w:hAnsiTheme="majorBidi" w:cstheme="majorBidi"/>
          <w:sz w:val="24"/>
          <w:szCs w:val="24"/>
        </w:rPr>
        <w:t xml:space="preserve"> [11]</w:t>
      </w:r>
      <w:r w:rsidRPr="00CE28F4">
        <w:rPr>
          <w:rFonts w:asciiTheme="majorBidi" w:hAnsiTheme="majorBidi" w:cstheme="majorBidi"/>
          <w:sz w:val="24"/>
          <w:szCs w:val="24"/>
        </w:rPr>
        <w:t xml:space="preserve">. The CAM scale's advantages include its simplicity and straightforwardness, allowing assessments to be completed in less than 5 minutes and applicable in emergency, postoperative, and mixed settings </w:t>
      </w:r>
      <w:r w:rsidR="002F35A1">
        <w:rPr>
          <w:rFonts w:asciiTheme="majorBidi" w:hAnsiTheme="majorBidi" w:cstheme="majorBidi"/>
          <w:sz w:val="24"/>
          <w:szCs w:val="24"/>
        </w:rPr>
        <w:t>[22, 23].</w:t>
      </w:r>
      <w:r w:rsidRPr="00CE28F4">
        <w:rPr>
          <w:rFonts w:asciiTheme="majorBidi" w:hAnsiTheme="majorBidi" w:cstheme="majorBidi"/>
          <w:sz w:val="24"/>
          <w:szCs w:val="24"/>
        </w:rPr>
        <w:t xml:space="preserve"> Approximately 75% of the studies (n=9) indicated that POD assessments generally occurred between 3–7 days post-surgery, while 25% (n=3) did not specify a time frame. The incidence of POD among non-cardiac surgery patients was reported to vary between 3.22% and 38.30% (</w:t>
      </w:r>
      <w:r w:rsidRPr="002F35A1">
        <w:rPr>
          <w:rFonts w:asciiTheme="majorBidi" w:hAnsiTheme="majorBidi" w:cstheme="majorBidi"/>
          <w:b/>
          <w:bCs/>
          <w:sz w:val="24"/>
          <w:szCs w:val="24"/>
        </w:rPr>
        <w:t>Table 1</w:t>
      </w:r>
      <w:r w:rsidRPr="00CE28F4">
        <w:rPr>
          <w:rFonts w:asciiTheme="majorBidi" w:hAnsiTheme="majorBidi" w:cstheme="majorBidi"/>
          <w:sz w:val="24"/>
          <w:szCs w:val="24"/>
        </w:rPr>
        <w:t xml:space="preserve">). </w:t>
      </w:r>
    </w:p>
    <w:p w14:paraId="5274A5B8" w14:textId="77777777" w:rsidR="005D7F60" w:rsidRPr="002F35A1" w:rsidRDefault="005D7F60" w:rsidP="00C0633B">
      <w:pPr>
        <w:spacing w:line="360" w:lineRule="auto"/>
        <w:jc w:val="both"/>
        <w:rPr>
          <w:rFonts w:asciiTheme="majorBidi" w:hAnsiTheme="majorBidi" w:cstheme="majorBidi"/>
          <w:b/>
          <w:bCs/>
          <w:sz w:val="24"/>
          <w:szCs w:val="24"/>
        </w:rPr>
      </w:pPr>
      <w:r w:rsidRPr="002F35A1">
        <w:rPr>
          <w:rFonts w:asciiTheme="majorBidi" w:hAnsiTheme="majorBidi" w:cstheme="majorBidi"/>
          <w:b/>
          <w:bCs/>
          <w:sz w:val="24"/>
          <w:szCs w:val="24"/>
        </w:rPr>
        <w:t xml:space="preserve">3.5 Models Performances and Validations </w:t>
      </w:r>
    </w:p>
    <w:p w14:paraId="60065969" w14:textId="77777777" w:rsidR="005D7F60" w:rsidRPr="00CE28F4" w:rsidRDefault="005D7F60" w:rsidP="00C0633B">
      <w:pPr>
        <w:spacing w:line="360" w:lineRule="auto"/>
        <w:ind w:firstLineChars="200" w:firstLine="480"/>
        <w:jc w:val="both"/>
        <w:rPr>
          <w:rFonts w:asciiTheme="majorBidi" w:hAnsiTheme="majorBidi" w:cstheme="majorBidi"/>
          <w:sz w:val="24"/>
          <w:szCs w:val="24"/>
        </w:rPr>
      </w:pPr>
      <w:r w:rsidRPr="00CE28F4">
        <w:rPr>
          <w:rFonts w:asciiTheme="majorBidi" w:hAnsiTheme="majorBidi" w:cstheme="majorBidi"/>
          <w:sz w:val="24"/>
          <w:szCs w:val="24"/>
        </w:rPr>
        <w:t>Logistic Regression (LR) (n=10) and XGBOOST (n=5) emerged as the most frequently utilized models. Additional common models included LASSO, Nomogram, KNN, MLP, RF, AdaBoost, GNB, CNB, SVM, and the Stacking ensemble model. Every model included in this systematic review has undergone both development and validation. Moreover, nine models underwent only internal validation, whereas three received both internal and external validations. The area under the curve (AUC) values reported ranged from 0.684 to 0.94 for internal validations and from 0.630 to 0.880 for external validations, respectively (</w:t>
      </w:r>
      <w:r w:rsidRPr="002A44CC">
        <w:rPr>
          <w:rFonts w:asciiTheme="majorBidi" w:hAnsiTheme="majorBidi" w:cstheme="majorBidi"/>
          <w:b/>
          <w:bCs/>
          <w:sz w:val="24"/>
          <w:szCs w:val="24"/>
        </w:rPr>
        <w:t>Figure 2</w:t>
      </w:r>
      <w:r w:rsidRPr="00CE28F4">
        <w:rPr>
          <w:rFonts w:asciiTheme="majorBidi" w:hAnsiTheme="majorBidi" w:cstheme="majorBidi"/>
          <w:sz w:val="24"/>
          <w:szCs w:val="24"/>
        </w:rPr>
        <w:t xml:space="preserve">). Good performance was demonstrated through reported calibration for ten models. </w:t>
      </w:r>
      <w:r w:rsidRPr="002A44CC">
        <w:rPr>
          <w:rFonts w:asciiTheme="majorBidi" w:hAnsiTheme="majorBidi" w:cstheme="majorBidi"/>
          <w:b/>
          <w:bCs/>
          <w:sz w:val="24"/>
          <w:szCs w:val="24"/>
        </w:rPr>
        <w:t>Table 4</w:t>
      </w:r>
      <w:r w:rsidRPr="00CE28F4">
        <w:rPr>
          <w:rFonts w:asciiTheme="majorBidi" w:hAnsiTheme="majorBidi" w:cstheme="majorBidi"/>
          <w:sz w:val="24"/>
          <w:szCs w:val="24"/>
        </w:rPr>
        <w:t xml:space="preserve"> indicates no significant correlation between the AUC values and the number of variables utilized in the development of </w:t>
      </w:r>
      <w:r w:rsidRPr="00CE28F4">
        <w:rPr>
          <w:rFonts w:asciiTheme="majorBidi" w:hAnsiTheme="majorBidi" w:cstheme="majorBidi"/>
          <w:sz w:val="24"/>
          <w:szCs w:val="24"/>
        </w:rPr>
        <w:lastRenderedPageBreak/>
        <w:t xml:space="preserve">the RPMs. This suggests that the quantity of predictors employed does not strongly influence the discriminatory capabilities of the developed models. </w:t>
      </w:r>
    </w:p>
    <w:p w14:paraId="6EA0FB9D" w14:textId="77777777" w:rsidR="005D7F60" w:rsidRPr="002A44CC" w:rsidRDefault="005D7F60" w:rsidP="00C0633B">
      <w:pPr>
        <w:spacing w:line="360" w:lineRule="auto"/>
        <w:jc w:val="both"/>
        <w:rPr>
          <w:rFonts w:asciiTheme="majorBidi" w:hAnsiTheme="majorBidi" w:cstheme="majorBidi"/>
          <w:b/>
          <w:bCs/>
          <w:sz w:val="24"/>
          <w:szCs w:val="24"/>
        </w:rPr>
      </w:pPr>
      <w:r w:rsidRPr="002A44CC">
        <w:rPr>
          <w:rFonts w:asciiTheme="majorBidi" w:hAnsiTheme="majorBidi" w:cstheme="majorBidi"/>
          <w:b/>
          <w:bCs/>
          <w:sz w:val="24"/>
          <w:szCs w:val="24"/>
        </w:rPr>
        <w:t xml:space="preserve">3.6 Risk of Bias Assessment </w:t>
      </w:r>
    </w:p>
    <w:p w14:paraId="30E1BA82" w14:textId="244D0FFE" w:rsidR="005D7F60" w:rsidRPr="00CE28F4" w:rsidRDefault="005D7F60" w:rsidP="00C0633B">
      <w:pPr>
        <w:spacing w:line="360" w:lineRule="auto"/>
        <w:ind w:firstLineChars="200" w:firstLine="480"/>
        <w:jc w:val="both"/>
        <w:rPr>
          <w:rFonts w:asciiTheme="majorBidi" w:hAnsiTheme="majorBidi" w:cstheme="majorBidi"/>
          <w:sz w:val="24"/>
          <w:szCs w:val="24"/>
        </w:rPr>
      </w:pPr>
      <w:r w:rsidRPr="00CE28F4">
        <w:rPr>
          <w:rFonts w:asciiTheme="majorBidi" w:hAnsiTheme="majorBidi" w:cstheme="majorBidi"/>
          <w:sz w:val="24"/>
          <w:szCs w:val="24"/>
        </w:rPr>
        <w:t xml:space="preserve">Using the PROBAST guide, the twelve included studies underwent risk of bias (ROB) assessment to evaluate their quality. ROB was categorized as high, low, or unclear. Within this SR, a majority of the studies (n=9, 75%) were deemed high quality with a low risk of bias. However, one study </w:t>
      </w:r>
      <w:r w:rsidR="002A44CC">
        <w:rPr>
          <w:rFonts w:asciiTheme="majorBidi" w:hAnsiTheme="majorBidi" w:cstheme="majorBidi"/>
          <w:sz w:val="24"/>
          <w:szCs w:val="24"/>
        </w:rPr>
        <w:t>[12]</w:t>
      </w:r>
      <w:r w:rsidRPr="00CE28F4">
        <w:rPr>
          <w:rFonts w:asciiTheme="majorBidi" w:hAnsiTheme="majorBidi" w:cstheme="majorBidi"/>
          <w:sz w:val="24"/>
          <w:szCs w:val="24"/>
        </w:rPr>
        <w:t xml:space="preserve"> was found to have a high ROB, and another study </w:t>
      </w:r>
      <w:r w:rsidR="002A44CC">
        <w:rPr>
          <w:rFonts w:asciiTheme="majorBidi" w:hAnsiTheme="majorBidi" w:cstheme="majorBidi"/>
          <w:sz w:val="24"/>
          <w:szCs w:val="24"/>
        </w:rPr>
        <w:t>[17]</w:t>
      </w:r>
      <w:r w:rsidRPr="00CE28F4">
        <w:rPr>
          <w:rFonts w:asciiTheme="majorBidi" w:hAnsiTheme="majorBidi" w:cstheme="majorBidi"/>
          <w:sz w:val="24"/>
          <w:szCs w:val="24"/>
        </w:rPr>
        <w:t xml:space="preserve"> had an unclear ROB. Concerning applicability, three studies were classified with a high risk of bias. Overall, the studies exhibited a low ROB (83.3%, n=10) and low applicability concerns (75%, n=9) (</w:t>
      </w:r>
      <w:r w:rsidRPr="001C19CE">
        <w:rPr>
          <w:rFonts w:asciiTheme="majorBidi" w:hAnsiTheme="majorBidi" w:cstheme="majorBidi"/>
          <w:b/>
          <w:bCs/>
          <w:sz w:val="24"/>
          <w:szCs w:val="24"/>
        </w:rPr>
        <w:t>Table 5</w:t>
      </w:r>
      <w:r w:rsidRPr="00CE28F4">
        <w:rPr>
          <w:rFonts w:asciiTheme="majorBidi" w:hAnsiTheme="majorBidi" w:cstheme="majorBidi"/>
          <w:sz w:val="24"/>
          <w:szCs w:val="24"/>
        </w:rPr>
        <w:t xml:space="preserve">). This demonstrates that the methodologies and designs of the included studies were robust. Such robustness is critical in securing the findings' validity and reliability, thus improving the generated evidence's overall quality. </w:t>
      </w:r>
    </w:p>
    <w:p w14:paraId="5EBCEC75" w14:textId="77777777" w:rsidR="005D7F60" w:rsidRPr="00CE28F4" w:rsidRDefault="005D7F60" w:rsidP="00C0633B">
      <w:pPr>
        <w:spacing w:line="360" w:lineRule="auto"/>
        <w:jc w:val="both"/>
        <w:rPr>
          <w:rFonts w:asciiTheme="majorBidi" w:hAnsiTheme="majorBidi" w:cstheme="majorBidi"/>
          <w:sz w:val="24"/>
          <w:szCs w:val="24"/>
        </w:rPr>
      </w:pPr>
    </w:p>
    <w:p w14:paraId="10C83F8A" w14:textId="77777777" w:rsidR="005D7F60" w:rsidRPr="001C19CE" w:rsidRDefault="005D7F60" w:rsidP="00C0633B">
      <w:pPr>
        <w:pStyle w:val="ListParagraph"/>
        <w:numPr>
          <w:ilvl w:val="0"/>
          <w:numId w:val="1"/>
        </w:numPr>
        <w:spacing w:line="360" w:lineRule="auto"/>
        <w:ind w:firstLine="0"/>
        <w:jc w:val="both"/>
        <w:rPr>
          <w:rFonts w:asciiTheme="majorBidi" w:hAnsiTheme="majorBidi" w:cstheme="majorBidi"/>
          <w:b/>
          <w:bCs/>
          <w:sz w:val="24"/>
          <w:szCs w:val="24"/>
        </w:rPr>
      </w:pPr>
      <w:r w:rsidRPr="001C19CE">
        <w:rPr>
          <w:rFonts w:asciiTheme="majorBidi" w:hAnsiTheme="majorBidi" w:cstheme="majorBidi"/>
          <w:b/>
          <w:bCs/>
          <w:sz w:val="24"/>
          <w:szCs w:val="24"/>
        </w:rPr>
        <w:t xml:space="preserve">DISCUSSION </w:t>
      </w:r>
    </w:p>
    <w:p w14:paraId="6D3A4E59" w14:textId="77777777" w:rsidR="005D7F60" w:rsidRPr="00CE28F4" w:rsidRDefault="005D7F60" w:rsidP="00C0633B">
      <w:pPr>
        <w:spacing w:line="360" w:lineRule="auto"/>
        <w:ind w:firstLineChars="200" w:firstLine="480"/>
        <w:jc w:val="both"/>
        <w:rPr>
          <w:rFonts w:asciiTheme="majorBidi" w:hAnsiTheme="majorBidi" w:cstheme="majorBidi"/>
          <w:sz w:val="24"/>
          <w:szCs w:val="24"/>
        </w:rPr>
      </w:pPr>
      <w:r w:rsidRPr="00CE28F4">
        <w:rPr>
          <w:rFonts w:asciiTheme="majorBidi" w:hAnsiTheme="majorBidi" w:cstheme="majorBidi"/>
          <w:sz w:val="24"/>
          <w:szCs w:val="24"/>
        </w:rPr>
        <w:t>This study constitutes a comprehensive examination of the most recent evidence on predicting postoperative delirium (POD) risk in patients undergoing non-cardiac surgery. It encompasses a detailed analysis of the methodologies employed in the twelve included risk prediction models (RPMs) developed between 2021 and 2023, of which three models underwent external validation, while the others were validated internally. Our investigation revealed a generally low risk of bias in most RPMs; however, we noted a significant inconsistency in both the number and the types of risk factors incorporated within these models.</w:t>
      </w:r>
    </w:p>
    <w:p w14:paraId="70DC9587" w14:textId="1CC43047" w:rsidR="005D7F60" w:rsidRPr="00CE28F4" w:rsidRDefault="005D7F60" w:rsidP="00C0633B">
      <w:pPr>
        <w:spacing w:line="360" w:lineRule="auto"/>
        <w:ind w:firstLineChars="200" w:firstLine="480"/>
        <w:jc w:val="both"/>
        <w:rPr>
          <w:rFonts w:asciiTheme="majorBidi" w:hAnsiTheme="majorBidi" w:cstheme="majorBidi"/>
          <w:sz w:val="24"/>
          <w:szCs w:val="24"/>
        </w:rPr>
      </w:pPr>
      <w:r w:rsidRPr="00CE28F4">
        <w:rPr>
          <w:rFonts w:asciiTheme="majorBidi" w:hAnsiTheme="majorBidi" w:cstheme="majorBidi"/>
          <w:sz w:val="24"/>
          <w:szCs w:val="24"/>
        </w:rPr>
        <w:t>Given the proliferation of RPMs in recent years, concerns have primarily centered on their accuracy and clinical utility for predicting outcomes across various diseases. All models evaluated in this systematic review demonstrated commendable accuracy in predicting POD risk following non-cardiac surgery, with most models achieving an Area Under the Curve (AUC) greater than 80%. Nevertheless, relying solely on accuracy might be misleading if the distribution of observations across sets is uneven</w:t>
      </w:r>
      <w:r w:rsidR="001C19CE">
        <w:rPr>
          <w:rFonts w:asciiTheme="majorBidi" w:hAnsiTheme="majorBidi" w:cstheme="majorBidi"/>
          <w:sz w:val="24"/>
          <w:szCs w:val="24"/>
        </w:rPr>
        <w:t xml:space="preserve"> [24]</w:t>
      </w:r>
      <w:r w:rsidRPr="00CE28F4">
        <w:rPr>
          <w:rFonts w:asciiTheme="majorBidi" w:hAnsiTheme="majorBidi" w:cstheme="majorBidi"/>
          <w:sz w:val="24"/>
          <w:szCs w:val="24"/>
        </w:rPr>
        <w:t xml:space="preserve">. To ascertain the clinical utility of these RPMs, it is imperative to calculate their net benefit, which will clarify the accuracy of the classifications, and </w:t>
      </w:r>
      <w:r w:rsidRPr="00CE28F4">
        <w:rPr>
          <w:rFonts w:asciiTheme="majorBidi" w:hAnsiTheme="majorBidi" w:cstheme="majorBidi"/>
          <w:sz w:val="24"/>
          <w:szCs w:val="24"/>
        </w:rPr>
        <w:lastRenderedPageBreak/>
        <w:t xml:space="preserve">the nature of any errors made. Out of the twelve included studies only six (50%) </w:t>
      </w:r>
      <w:r w:rsidR="007D429F">
        <w:rPr>
          <w:rFonts w:asciiTheme="majorBidi" w:hAnsiTheme="majorBidi" w:cstheme="majorBidi"/>
          <w:sz w:val="24"/>
          <w:szCs w:val="24"/>
        </w:rPr>
        <w:t>[10, 12, 14-16]</w:t>
      </w:r>
      <w:r w:rsidRPr="00CE28F4">
        <w:rPr>
          <w:rFonts w:asciiTheme="majorBidi" w:hAnsiTheme="majorBidi" w:cstheme="majorBidi"/>
          <w:sz w:val="24"/>
          <w:szCs w:val="24"/>
        </w:rPr>
        <w:t xml:space="preserve"> calculated the net benefits of their developed RPMs, leaving the other 6 RPMs’ clinical usefulness in question. </w:t>
      </w:r>
    </w:p>
    <w:p w14:paraId="59615D25" w14:textId="1A8C0021" w:rsidR="005D7F60" w:rsidRPr="00CE28F4" w:rsidRDefault="005D7F60" w:rsidP="00C0633B">
      <w:pPr>
        <w:spacing w:line="360" w:lineRule="auto"/>
        <w:ind w:firstLineChars="200" w:firstLine="480"/>
        <w:jc w:val="both"/>
        <w:rPr>
          <w:rFonts w:asciiTheme="majorBidi" w:hAnsiTheme="majorBidi" w:cstheme="majorBidi"/>
          <w:color w:val="000000" w:themeColor="text1"/>
          <w:sz w:val="24"/>
          <w:szCs w:val="24"/>
        </w:rPr>
      </w:pPr>
      <w:r w:rsidRPr="00CE28F4">
        <w:rPr>
          <w:rFonts w:asciiTheme="majorBidi" w:hAnsiTheme="majorBidi" w:cstheme="majorBidi"/>
          <w:color w:val="000000" w:themeColor="text1"/>
          <w:sz w:val="24"/>
          <w:szCs w:val="24"/>
        </w:rPr>
        <w:t>We identified a diverse range of RPMs for POD in non-cardiac surgery patients. While these models show promise in identifying patients at risk, several observations were made. First, considerable heterogeneity in predictor variables and model development methods across studies made it challenging to compare model performance. Second, external validation of RPMs was limited, raising concerns about their generalizability to different patient populations and healthcare settings. Third, studies didn’t report the implementation of RPMs in clinical practice, highlighting the gap between research and translation into real-world settings. Future research should focus on external validation and implementation studies to enhance the clinical utility of RPMs for POD. Fourth, some well-known risk factors were not included in all models (chronic medical conditions such as kidney diseases; polypharmacy, especially those with anticholinergic properties; sedative-hypnotics or narcotics, and even sleep disturbances before or after surgery can contribute to the development of delirium)</w:t>
      </w:r>
      <w:r w:rsidR="00CA32D0">
        <w:rPr>
          <w:rFonts w:asciiTheme="majorBidi" w:hAnsiTheme="majorBidi" w:cstheme="majorBidi"/>
          <w:color w:val="000000" w:themeColor="text1"/>
          <w:sz w:val="24"/>
          <w:szCs w:val="24"/>
        </w:rPr>
        <w:t xml:space="preserve"> [25]</w:t>
      </w:r>
      <w:r w:rsidRPr="00CE28F4">
        <w:rPr>
          <w:rFonts w:asciiTheme="majorBidi" w:hAnsiTheme="majorBidi" w:cstheme="majorBidi"/>
          <w:color w:val="000000" w:themeColor="text1"/>
          <w:sz w:val="24"/>
          <w:szCs w:val="24"/>
        </w:rPr>
        <w:t xml:space="preserve">. This may be because they were not found to be significant after analysis. However, Moon et al. </w:t>
      </w:r>
      <w:r w:rsidR="00CA32D0">
        <w:rPr>
          <w:rFonts w:asciiTheme="majorBidi" w:hAnsiTheme="majorBidi" w:cstheme="majorBidi"/>
          <w:color w:val="000000" w:themeColor="text1"/>
          <w:sz w:val="24"/>
          <w:szCs w:val="24"/>
        </w:rPr>
        <w:t xml:space="preserve">[26] have </w:t>
      </w:r>
      <w:r w:rsidRPr="00CE28F4">
        <w:rPr>
          <w:rFonts w:asciiTheme="majorBidi" w:hAnsiTheme="majorBidi" w:cstheme="majorBidi"/>
          <w:color w:val="000000" w:themeColor="text1"/>
          <w:sz w:val="24"/>
          <w:szCs w:val="24"/>
        </w:rPr>
        <w:t xml:space="preserve">proposed that these established risk factors with clinical credibility should still be included in the models, even if they do not show significance in the analysis. We strongly support this proposal as it would prevent the exclusion of the known predictors and further improve the generalization of the RPMs. </w:t>
      </w:r>
    </w:p>
    <w:p w14:paraId="073F2D16" w14:textId="2865D34E" w:rsidR="005D7F60" w:rsidRPr="00CE28F4" w:rsidRDefault="005D7F60" w:rsidP="00C0633B">
      <w:pPr>
        <w:spacing w:line="360" w:lineRule="auto"/>
        <w:ind w:firstLineChars="200" w:firstLine="480"/>
        <w:jc w:val="both"/>
        <w:rPr>
          <w:rFonts w:asciiTheme="majorBidi" w:hAnsiTheme="majorBidi" w:cstheme="majorBidi"/>
          <w:sz w:val="24"/>
          <w:szCs w:val="24"/>
        </w:rPr>
      </w:pPr>
      <w:r w:rsidRPr="00CE28F4">
        <w:rPr>
          <w:rFonts w:asciiTheme="majorBidi" w:hAnsiTheme="majorBidi" w:cstheme="majorBidi"/>
          <w:sz w:val="24"/>
          <w:szCs w:val="24"/>
        </w:rPr>
        <w:t>Furthermore, research has shown a strong correlation between the incidence of POD and the type of surgery performed. The twelve studies encompassed in this SR presented data from patients who underwent a single type of surgery in seven cases (58.3%), whereas five instances (41.7%) involved data from multiple surgical procedures; four studies (33.3%) included patients subjected to non-brain and non-cardiac surgeries without detailing the specific type of surgery. POD incidence typically escalates with the complexity of the surgery</w:t>
      </w:r>
      <w:r w:rsidR="00750849">
        <w:rPr>
          <w:rFonts w:asciiTheme="majorBidi" w:hAnsiTheme="majorBidi" w:cstheme="majorBidi"/>
          <w:sz w:val="24"/>
          <w:szCs w:val="24"/>
        </w:rPr>
        <w:t xml:space="preserve"> [17]</w:t>
      </w:r>
      <w:r w:rsidRPr="00CE28F4">
        <w:rPr>
          <w:rFonts w:asciiTheme="majorBidi" w:hAnsiTheme="majorBidi" w:cstheme="majorBidi"/>
          <w:sz w:val="24"/>
          <w:szCs w:val="24"/>
        </w:rPr>
        <w:t>, and the converse is also accurate</w:t>
      </w:r>
      <w:r w:rsidR="00750849">
        <w:rPr>
          <w:rFonts w:asciiTheme="majorBidi" w:hAnsiTheme="majorBidi" w:cstheme="majorBidi"/>
          <w:sz w:val="24"/>
          <w:szCs w:val="24"/>
        </w:rPr>
        <w:t xml:space="preserve"> [12]</w:t>
      </w:r>
      <w:r w:rsidRPr="00CE28F4">
        <w:rPr>
          <w:rFonts w:asciiTheme="majorBidi" w:hAnsiTheme="majorBidi" w:cstheme="majorBidi"/>
          <w:sz w:val="24"/>
          <w:szCs w:val="24"/>
        </w:rPr>
        <w:t>. Additionally, hip fracture surgery emerged as the most prevalent type of surgery across the twelve studies. Elderly individuals with osteoporosis are particularly susceptible to hip fractures following falls, a condition that is both highly debilitating and potentially lethal</w:t>
      </w:r>
      <w:r w:rsidR="00750849">
        <w:rPr>
          <w:rFonts w:asciiTheme="majorBidi" w:hAnsiTheme="majorBidi" w:cstheme="majorBidi"/>
          <w:sz w:val="24"/>
          <w:szCs w:val="24"/>
        </w:rPr>
        <w:t xml:space="preserve"> [27]</w:t>
      </w:r>
      <w:r w:rsidRPr="00CE28F4">
        <w:rPr>
          <w:rFonts w:asciiTheme="majorBidi" w:hAnsiTheme="majorBidi" w:cstheme="majorBidi"/>
          <w:sz w:val="24"/>
          <w:szCs w:val="24"/>
        </w:rPr>
        <w:t>.</w:t>
      </w:r>
    </w:p>
    <w:p w14:paraId="1DB153E6" w14:textId="3B99FD89" w:rsidR="005D7F60" w:rsidRPr="00CE28F4" w:rsidRDefault="005D7F60" w:rsidP="00C0633B">
      <w:pPr>
        <w:spacing w:line="360" w:lineRule="auto"/>
        <w:ind w:firstLineChars="200" w:firstLine="480"/>
        <w:jc w:val="both"/>
        <w:rPr>
          <w:rFonts w:asciiTheme="majorBidi" w:hAnsiTheme="majorBidi" w:cstheme="majorBidi"/>
          <w:sz w:val="24"/>
          <w:szCs w:val="24"/>
        </w:rPr>
      </w:pPr>
      <w:r w:rsidRPr="00CE28F4">
        <w:rPr>
          <w:rFonts w:asciiTheme="majorBidi" w:hAnsiTheme="majorBidi" w:cstheme="majorBidi"/>
          <w:sz w:val="24"/>
          <w:szCs w:val="24"/>
        </w:rPr>
        <w:t xml:space="preserve">Surgical and physiological factors, such as extended duration of surgery or anesthesia, along with specific comorbidities (notably diabetes), underscore their potential influence on delirium </w:t>
      </w:r>
      <w:r w:rsidRPr="00CE28F4">
        <w:rPr>
          <w:rFonts w:asciiTheme="majorBidi" w:hAnsiTheme="majorBidi" w:cstheme="majorBidi"/>
          <w:sz w:val="24"/>
          <w:szCs w:val="24"/>
        </w:rPr>
        <w:lastRenderedPageBreak/>
        <w:t>development. Moreover, correlations with low body mass index (BMI), diminished serum albumin levels, and elevated postoperative pain scores indicate that nutritional status and effective pain management are pivotal in POD prevention</w:t>
      </w:r>
      <w:r w:rsidR="00750849">
        <w:rPr>
          <w:rFonts w:asciiTheme="majorBidi" w:hAnsiTheme="majorBidi" w:cstheme="majorBidi"/>
          <w:sz w:val="24"/>
          <w:szCs w:val="24"/>
        </w:rPr>
        <w:t xml:space="preserve"> [28]</w:t>
      </w:r>
      <w:r w:rsidRPr="00CE28F4">
        <w:rPr>
          <w:rFonts w:asciiTheme="majorBidi" w:hAnsiTheme="majorBidi" w:cstheme="majorBidi"/>
          <w:sz w:val="24"/>
          <w:szCs w:val="24"/>
        </w:rPr>
        <w:t xml:space="preserve">. </w:t>
      </w:r>
    </w:p>
    <w:p w14:paraId="36EC6D28" w14:textId="77777777" w:rsidR="005D7F60" w:rsidRPr="00750849" w:rsidRDefault="005D7F60" w:rsidP="00C0633B">
      <w:pPr>
        <w:spacing w:line="360" w:lineRule="auto"/>
        <w:jc w:val="both"/>
        <w:rPr>
          <w:rFonts w:asciiTheme="majorBidi" w:hAnsiTheme="majorBidi" w:cstheme="majorBidi"/>
          <w:b/>
          <w:bCs/>
          <w:sz w:val="24"/>
          <w:szCs w:val="24"/>
        </w:rPr>
      </w:pPr>
      <w:r w:rsidRPr="00750849">
        <w:rPr>
          <w:rFonts w:asciiTheme="majorBidi" w:hAnsiTheme="majorBidi" w:cstheme="majorBidi"/>
          <w:b/>
          <w:bCs/>
          <w:sz w:val="24"/>
          <w:szCs w:val="24"/>
        </w:rPr>
        <w:t>4.1 Strength of this Study</w:t>
      </w:r>
    </w:p>
    <w:p w14:paraId="27245FC4" w14:textId="40CA6BBC" w:rsidR="005D7F60" w:rsidRPr="00CE28F4" w:rsidRDefault="005D7F60" w:rsidP="00C0633B">
      <w:pPr>
        <w:spacing w:line="360" w:lineRule="auto"/>
        <w:ind w:firstLineChars="200" w:firstLine="480"/>
        <w:jc w:val="both"/>
        <w:rPr>
          <w:rFonts w:asciiTheme="majorBidi" w:hAnsiTheme="majorBidi" w:cstheme="majorBidi"/>
          <w:sz w:val="24"/>
          <w:szCs w:val="24"/>
        </w:rPr>
      </w:pPr>
      <w:r w:rsidRPr="00CE28F4">
        <w:rPr>
          <w:rFonts w:asciiTheme="majorBidi" w:hAnsiTheme="majorBidi" w:cstheme="majorBidi"/>
          <w:sz w:val="24"/>
          <w:szCs w:val="24"/>
        </w:rPr>
        <w:t xml:space="preserve">This study possesses several strengths. </w:t>
      </w:r>
      <w:r w:rsidRPr="00CE28F4">
        <w:rPr>
          <w:rFonts w:asciiTheme="majorBidi" w:hAnsiTheme="majorBidi" w:cstheme="majorBidi"/>
          <w:color w:val="000000" w:themeColor="text1"/>
          <w:sz w:val="24"/>
          <w:szCs w:val="24"/>
        </w:rPr>
        <w:t>Firstly</w:t>
      </w:r>
      <w:r w:rsidRPr="00CE28F4">
        <w:rPr>
          <w:rFonts w:asciiTheme="majorBidi" w:hAnsiTheme="majorBidi" w:cstheme="majorBidi"/>
          <w:sz w:val="24"/>
          <w:szCs w:val="24"/>
        </w:rPr>
        <w:t xml:space="preserve">, it conducted a thorough literature review using two predominant scientific databases, PubMed and Google Scholar, focusing on recent studies concerning prediction models for POD, including only those models that underwent internal or external validation. </w:t>
      </w:r>
      <w:r w:rsidRPr="00CE28F4">
        <w:rPr>
          <w:rFonts w:asciiTheme="majorBidi" w:hAnsiTheme="majorBidi" w:cstheme="majorBidi"/>
          <w:color w:val="000000" w:themeColor="text1"/>
          <w:sz w:val="24"/>
          <w:szCs w:val="24"/>
        </w:rPr>
        <w:t>Additionally, data collection was restricted to studies published between 2021 and 2023, reflecting the period during which most recent studies were conducted; this approach aimed to provide a summary, or an overview based on currently published models. Secondly, the literatures were extracted by three independent authors and reviewing all included studies independently to ensure thoroughness and accuracy.</w:t>
      </w:r>
      <w:r w:rsidRPr="00CE28F4">
        <w:rPr>
          <w:rFonts w:asciiTheme="majorBidi" w:hAnsiTheme="majorBidi" w:cstheme="majorBidi"/>
          <w:color w:val="FF0000"/>
          <w:sz w:val="24"/>
          <w:szCs w:val="24"/>
        </w:rPr>
        <w:t xml:space="preserve"> </w:t>
      </w:r>
      <w:r w:rsidRPr="00CE28F4">
        <w:rPr>
          <w:rFonts w:asciiTheme="majorBidi" w:hAnsiTheme="majorBidi" w:cstheme="majorBidi"/>
          <w:sz w:val="24"/>
          <w:szCs w:val="24"/>
        </w:rPr>
        <w:t xml:space="preserve">Lastly, the recent PRISMA checklist was employed to conduct this review, followed by an assessment of the quality and risk of bias (ROB) of the included studies using the PROBAST checklist, ensuring adherence to current best practices in research methodology. </w:t>
      </w:r>
    </w:p>
    <w:p w14:paraId="397A9993" w14:textId="77777777" w:rsidR="005D7F60" w:rsidRPr="00954178" w:rsidRDefault="005D7F60" w:rsidP="00C0633B">
      <w:pPr>
        <w:spacing w:line="360" w:lineRule="auto"/>
        <w:jc w:val="both"/>
        <w:rPr>
          <w:rFonts w:asciiTheme="majorBidi" w:hAnsiTheme="majorBidi" w:cstheme="majorBidi"/>
          <w:b/>
          <w:bCs/>
          <w:sz w:val="24"/>
          <w:szCs w:val="24"/>
        </w:rPr>
      </w:pPr>
      <w:r w:rsidRPr="00954178">
        <w:rPr>
          <w:rFonts w:asciiTheme="majorBidi" w:hAnsiTheme="majorBidi" w:cstheme="majorBidi"/>
          <w:b/>
          <w:bCs/>
          <w:sz w:val="24"/>
          <w:szCs w:val="24"/>
        </w:rPr>
        <w:t>4.2 Limitations of this Study</w:t>
      </w:r>
    </w:p>
    <w:p w14:paraId="2F627F29" w14:textId="77777777" w:rsidR="005D7F60" w:rsidRPr="00CE28F4" w:rsidRDefault="005D7F60" w:rsidP="00C0633B">
      <w:pPr>
        <w:spacing w:line="360" w:lineRule="auto"/>
        <w:ind w:firstLine="420"/>
        <w:jc w:val="both"/>
        <w:rPr>
          <w:rFonts w:asciiTheme="majorBidi" w:hAnsiTheme="majorBidi" w:cstheme="majorBidi"/>
          <w:sz w:val="24"/>
          <w:szCs w:val="24"/>
        </w:rPr>
      </w:pPr>
      <w:r w:rsidRPr="00CE28F4">
        <w:rPr>
          <w:rFonts w:asciiTheme="majorBidi" w:hAnsiTheme="majorBidi" w:cstheme="majorBidi"/>
          <w:sz w:val="24"/>
          <w:szCs w:val="24"/>
        </w:rPr>
        <w:t xml:space="preserve">A primary limitation of our review is its exclusive focus on studies about non-cardiac surgery. The inclusion of a variety of non-cardiac surgeries introduces variability in the findings, potentially constraining the capacity to derive specific and actionable insights for particular surgical interventions. Consequently, a nuanced approach to interpreting and applying the findings is required to ensure their applicability in varied surgical scenarios. However, this temporal limitation implies the possibility of overlooking certain studies that could offer significant insights. </w:t>
      </w:r>
    </w:p>
    <w:p w14:paraId="70B50ACE" w14:textId="77777777" w:rsidR="005D7F60" w:rsidRPr="00CE28F4" w:rsidRDefault="005D7F60" w:rsidP="00C0633B">
      <w:pPr>
        <w:spacing w:line="360" w:lineRule="auto"/>
        <w:jc w:val="both"/>
        <w:rPr>
          <w:rFonts w:asciiTheme="majorBidi" w:hAnsiTheme="majorBidi" w:cstheme="majorBidi"/>
          <w:sz w:val="24"/>
          <w:szCs w:val="24"/>
        </w:rPr>
      </w:pPr>
    </w:p>
    <w:p w14:paraId="6C6C628A" w14:textId="77777777" w:rsidR="005D7F60" w:rsidRPr="00954178" w:rsidRDefault="005D7F60" w:rsidP="00C0633B">
      <w:pPr>
        <w:pStyle w:val="ListParagraph"/>
        <w:numPr>
          <w:ilvl w:val="0"/>
          <w:numId w:val="1"/>
        </w:numPr>
        <w:spacing w:line="360" w:lineRule="auto"/>
        <w:ind w:firstLine="0"/>
        <w:jc w:val="both"/>
        <w:rPr>
          <w:rFonts w:asciiTheme="majorBidi" w:hAnsiTheme="majorBidi" w:cstheme="majorBidi"/>
          <w:b/>
          <w:bCs/>
          <w:sz w:val="24"/>
          <w:szCs w:val="24"/>
        </w:rPr>
      </w:pPr>
      <w:r w:rsidRPr="00954178">
        <w:rPr>
          <w:rFonts w:asciiTheme="majorBidi" w:hAnsiTheme="majorBidi" w:cstheme="majorBidi"/>
          <w:b/>
          <w:bCs/>
          <w:sz w:val="24"/>
          <w:szCs w:val="24"/>
        </w:rPr>
        <w:t xml:space="preserve">CONCLUSION </w:t>
      </w:r>
    </w:p>
    <w:p w14:paraId="150D42F1" w14:textId="77777777" w:rsidR="005D7F60" w:rsidRPr="00CE28F4" w:rsidRDefault="005D7F60" w:rsidP="00C0633B">
      <w:pPr>
        <w:spacing w:line="360" w:lineRule="auto"/>
        <w:ind w:firstLineChars="200" w:firstLine="480"/>
        <w:jc w:val="both"/>
        <w:rPr>
          <w:rFonts w:asciiTheme="majorBidi" w:hAnsiTheme="majorBidi" w:cstheme="majorBidi"/>
          <w:sz w:val="24"/>
          <w:szCs w:val="24"/>
        </w:rPr>
      </w:pPr>
      <w:r w:rsidRPr="00CE28F4">
        <w:rPr>
          <w:rFonts w:asciiTheme="majorBidi" w:hAnsiTheme="majorBidi" w:cstheme="majorBidi"/>
          <w:sz w:val="24"/>
          <w:szCs w:val="24"/>
        </w:rPr>
        <w:t xml:space="preserve">This systematic review (SR) has pinpointed the twelve most effective risk prediction models (RPMs) derived from studies that involved patients undergoing non-cardiac surgery. In surgical patients, postoperative delirium (POD) exhibits a strong association with various modifiable risk factors. The findings of this SR indicate that the incidence of POD following non-cardiac surgery </w:t>
      </w:r>
      <w:r w:rsidRPr="00CE28F4">
        <w:rPr>
          <w:rFonts w:asciiTheme="majorBidi" w:hAnsiTheme="majorBidi" w:cstheme="majorBidi"/>
          <w:sz w:val="24"/>
          <w:szCs w:val="24"/>
        </w:rPr>
        <w:lastRenderedPageBreak/>
        <w:t>in adult patients is notably high, imposing a substantial burden on the healthcare system. A scant number of models specifically target non-cardiac surgery patients across all age groups. According to the PROBAST criteria, all included studies that developed or validated prediction models were assessed to exhibit a low risk of bias. Future research endeavors should concentrate on enhancing existing prediction models or formulating new models through rigorous methodologies.</w:t>
      </w:r>
    </w:p>
    <w:p w14:paraId="280034C8" w14:textId="77777777" w:rsidR="008604AC" w:rsidRPr="006E3833" w:rsidRDefault="008604AC" w:rsidP="001F640C">
      <w:pPr>
        <w:spacing w:line="360" w:lineRule="auto"/>
        <w:jc w:val="both"/>
        <w:rPr>
          <w:rFonts w:asciiTheme="majorBidi" w:hAnsiTheme="majorBidi" w:cstheme="majorBidi"/>
          <w:sz w:val="24"/>
          <w:szCs w:val="24"/>
        </w:rPr>
      </w:pPr>
    </w:p>
    <w:p w14:paraId="2AF5A33E" w14:textId="77777777" w:rsidR="008604AC" w:rsidRPr="006E3833" w:rsidRDefault="008604AC" w:rsidP="001F640C">
      <w:pPr>
        <w:spacing w:line="360" w:lineRule="auto"/>
        <w:jc w:val="both"/>
        <w:rPr>
          <w:rFonts w:asciiTheme="majorBidi" w:hAnsiTheme="majorBidi" w:cstheme="majorBidi"/>
          <w:b/>
          <w:bCs/>
          <w:sz w:val="24"/>
          <w:szCs w:val="24"/>
        </w:rPr>
      </w:pPr>
      <w:r w:rsidRPr="006E3833">
        <w:rPr>
          <w:rFonts w:asciiTheme="majorBidi" w:hAnsiTheme="majorBidi" w:cstheme="majorBidi"/>
          <w:b/>
          <w:bCs/>
          <w:sz w:val="24"/>
          <w:szCs w:val="24"/>
        </w:rPr>
        <w:t xml:space="preserve">ETHICAL APPROVAL </w:t>
      </w:r>
    </w:p>
    <w:p w14:paraId="2C84390C" w14:textId="77777777" w:rsidR="008604AC" w:rsidRDefault="008604AC" w:rsidP="001F640C">
      <w:pPr>
        <w:spacing w:line="360" w:lineRule="auto"/>
        <w:jc w:val="both"/>
        <w:rPr>
          <w:rFonts w:asciiTheme="majorBidi" w:hAnsiTheme="majorBidi" w:cstheme="majorBidi"/>
          <w:sz w:val="24"/>
          <w:szCs w:val="24"/>
        </w:rPr>
      </w:pPr>
      <w:r w:rsidRPr="006E3833">
        <w:rPr>
          <w:rFonts w:asciiTheme="majorBidi" w:hAnsiTheme="majorBidi" w:cstheme="majorBidi"/>
          <w:sz w:val="24"/>
          <w:szCs w:val="24"/>
        </w:rPr>
        <w:t>It is not applicable as this is a systematic rev</w:t>
      </w:r>
      <w:r>
        <w:rPr>
          <w:rFonts w:asciiTheme="majorBidi" w:hAnsiTheme="majorBidi" w:cstheme="majorBidi"/>
          <w:sz w:val="24"/>
          <w:szCs w:val="24"/>
        </w:rPr>
        <w:t xml:space="preserve">iew. </w:t>
      </w:r>
    </w:p>
    <w:p w14:paraId="202CDB92" w14:textId="77777777" w:rsidR="00B613FE" w:rsidRDefault="00B613FE" w:rsidP="00C0633B">
      <w:pPr>
        <w:spacing w:line="360" w:lineRule="auto"/>
        <w:jc w:val="both"/>
        <w:rPr>
          <w:rFonts w:asciiTheme="majorBidi" w:hAnsiTheme="majorBidi" w:cstheme="majorBidi"/>
          <w:b/>
          <w:bCs/>
          <w:sz w:val="24"/>
          <w:szCs w:val="24"/>
        </w:rPr>
      </w:pPr>
    </w:p>
    <w:p w14:paraId="67EFCA31" w14:textId="5589BD37" w:rsidR="00E8239F" w:rsidRPr="00954178" w:rsidRDefault="00E8239F" w:rsidP="00C0633B">
      <w:pPr>
        <w:spacing w:line="360" w:lineRule="auto"/>
        <w:jc w:val="both"/>
        <w:rPr>
          <w:rFonts w:asciiTheme="majorBidi" w:hAnsiTheme="majorBidi" w:cstheme="majorBidi"/>
          <w:b/>
          <w:bCs/>
          <w:sz w:val="24"/>
          <w:szCs w:val="24"/>
        </w:rPr>
      </w:pPr>
      <w:r w:rsidRPr="00954178">
        <w:rPr>
          <w:rFonts w:asciiTheme="majorBidi" w:hAnsiTheme="majorBidi" w:cstheme="majorBidi"/>
          <w:b/>
          <w:bCs/>
          <w:sz w:val="24"/>
          <w:szCs w:val="24"/>
        </w:rPr>
        <w:t xml:space="preserve">ABBREVIATIONS </w:t>
      </w:r>
    </w:p>
    <w:p w14:paraId="752C9F07" w14:textId="77777777" w:rsidR="00E8239F" w:rsidRPr="00CE28F4" w:rsidRDefault="00E8239F" w:rsidP="00C0633B">
      <w:pPr>
        <w:spacing w:line="360" w:lineRule="auto"/>
        <w:jc w:val="both"/>
        <w:rPr>
          <w:rFonts w:asciiTheme="majorBidi" w:hAnsiTheme="majorBidi" w:cstheme="majorBidi"/>
          <w:sz w:val="24"/>
          <w:szCs w:val="24"/>
        </w:rPr>
      </w:pPr>
      <w:r w:rsidRPr="00CE28F4">
        <w:rPr>
          <w:rFonts w:asciiTheme="majorBidi" w:hAnsiTheme="majorBidi" w:cstheme="majorBidi"/>
          <w:sz w:val="24"/>
          <w:szCs w:val="24"/>
        </w:rPr>
        <w:t xml:space="preserve">POD: Postoperative Delirium </w:t>
      </w:r>
    </w:p>
    <w:p w14:paraId="4BDDB898" w14:textId="77777777" w:rsidR="00E8239F" w:rsidRPr="00CE28F4" w:rsidRDefault="00E8239F" w:rsidP="00C0633B">
      <w:pPr>
        <w:spacing w:line="360" w:lineRule="auto"/>
        <w:jc w:val="both"/>
        <w:rPr>
          <w:rFonts w:asciiTheme="majorBidi" w:hAnsiTheme="majorBidi" w:cstheme="majorBidi"/>
          <w:sz w:val="24"/>
          <w:szCs w:val="24"/>
        </w:rPr>
      </w:pPr>
      <w:r w:rsidRPr="00CE28F4">
        <w:rPr>
          <w:rFonts w:asciiTheme="majorBidi" w:hAnsiTheme="majorBidi" w:cstheme="majorBidi"/>
          <w:sz w:val="24"/>
          <w:szCs w:val="24"/>
        </w:rPr>
        <w:t xml:space="preserve">RPM: Risk Prediction Model </w:t>
      </w:r>
    </w:p>
    <w:p w14:paraId="13FF6C2C" w14:textId="77777777" w:rsidR="00E8239F" w:rsidRPr="00CE28F4" w:rsidRDefault="00E8239F" w:rsidP="00C0633B">
      <w:pPr>
        <w:spacing w:line="360" w:lineRule="auto"/>
        <w:jc w:val="both"/>
        <w:rPr>
          <w:rFonts w:asciiTheme="majorBidi" w:hAnsiTheme="majorBidi" w:cstheme="majorBidi"/>
          <w:sz w:val="24"/>
          <w:szCs w:val="24"/>
        </w:rPr>
      </w:pPr>
      <w:r w:rsidRPr="00CE28F4">
        <w:rPr>
          <w:rFonts w:asciiTheme="majorBidi" w:hAnsiTheme="majorBidi" w:cstheme="majorBidi"/>
          <w:sz w:val="24"/>
          <w:szCs w:val="24"/>
        </w:rPr>
        <w:t xml:space="preserve">SR: Systematic Review </w:t>
      </w:r>
    </w:p>
    <w:p w14:paraId="48E59C5D" w14:textId="77777777" w:rsidR="00E8239F" w:rsidRPr="00CE28F4" w:rsidRDefault="00E8239F" w:rsidP="00C0633B">
      <w:pPr>
        <w:spacing w:line="360" w:lineRule="auto"/>
        <w:jc w:val="both"/>
        <w:rPr>
          <w:rFonts w:asciiTheme="majorBidi" w:hAnsiTheme="majorBidi" w:cstheme="majorBidi"/>
          <w:sz w:val="24"/>
          <w:szCs w:val="24"/>
        </w:rPr>
      </w:pPr>
      <w:r w:rsidRPr="00CE28F4">
        <w:rPr>
          <w:rFonts w:asciiTheme="majorBidi" w:hAnsiTheme="majorBidi" w:cstheme="majorBidi"/>
          <w:sz w:val="24"/>
          <w:szCs w:val="24"/>
        </w:rPr>
        <w:t xml:space="preserve">PRISMA: </w:t>
      </w:r>
      <w:r w:rsidRPr="00CE28F4">
        <w:rPr>
          <w:rFonts w:asciiTheme="majorBidi" w:hAnsiTheme="majorBidi" w:cstheme="majorBidi"/>
          <w:color w:val="212121"/>
          <w:sz w:val="24"/>
          <w:szCs w:val="24"/>
          <w:shd w:val="clear" w:color="auto" w:fill="FFFFFF"/>
        </w:rPr>
        <w:t xml:space="preserve">Preferred Reporting Items for Systematic Reviews and Meta-Analyses </w:t>
      </w:r>
    </w:p>
    <w:p w14:paraId="2BAC8775" w14:textId="77777777" w:rsidR="00E8239F" w:rsidRPr="00CE28F4" w:rsidRDefault="00E8239F" w:rsidP="00C0633B">
      <w:pPr>
        <w:spacing w:line="360" w:lineRule="auto"/>
        <w:jc w:val="both"/>
        <w:rPr>
          <w:rFonts w:asciiTheme="majorBidi" w:hAnsiTheme="majorBidi" w:cstheme="majorBidi"/>
          <w:sz w:val="24"/>
          <w:szCs w:val="24"/>
        </w:rPr>
      </w:pPr>
      <w:r w:rsidRPr="00CE28F4">
        <w:rPr>
          <w:rFonts w:asciiTheme="majorBidi" w:hAnsiTheme="majorBidi" w:cstheme="majorBidi"/>
          <w:sz w:val="24"/>
          <w:szCs w:val="24"/>
        </w:rPr>
        <w:t xml:space="preserve">RCTs: Randomized Control Trials </w:t>
      </w:r>
    </w:p>
    <w:p w14:paraId="14D56E05" w14:textId="77777777" w:rsidR="00E8239F" w:rsidRPr="00CE28F4" w:rsidRDefault="00E8239F" w:rsidP="00C0633B">
      <w:pPr>
        <w:spacing w:line="360" w:lineRule="auto"/>
        <w:jc w:val="both"/>
        <w:rPr>
          <w:rFonts w:asciiTheme="majorBidi" w:hAnsiTheme="majorBidi" w:cstheme="majorBidi"/>
          <w:sz w:val="24"/>
          <w:szCs w:val="24"/>
        </w:rPr>
      </w:pPr>
      <w:r w:rsidRPr="00CE28F4">
        <w:rPr>
          <w:rFonts w:asciiTheme="majorBidi" w:hAnsiTheme="majorBidi" w:cstheme="majorBidi"/>
          <w:sz w:val="24"/>
          <w:szCs w:val="24"/>
        </w:rPr>
        <w:t xml:space="preserve">LR: Logistic Regression </w:t>
      </w:r>
    </w:p>
    <w:p w14:paraId="5AEA797A" w14:textId="77777777" w:rsidR="00E8239F" w:rsidRPr="00CE28F4" w:rsidRDefault="00E8239F" w:rsidP="00C0633B">
      <w:pPr>
        <w:spacing w:line="360" w:lineRule="auto"/>
        <w:jc w:val="both"/>
        <w:rPr>
          <w:rFonts w:asciiTheme="majorBidi" w:hAnsiTheme="majorBidi" w:cstheme="majorBidi"/>
          <w:sz w:val="24"/>
          <w:szCs w:val="24"/>
        </w:rPr>
      </w:pPr>
      <w:r w:rsidRPr="00CE28F4">
        <w:rPr>
          <w:rFonts w:asciiTheme="majorBidi" w:hAnsiTheme="majorBidi" w:cstheme="majorBidi"/>
          <w:sz w:val="24"/>
          <w:szCs w:val="24"/>
        </w:rPr>
        <w:t xml:space="preserve">XGBoost: eXtreme Gradient Boost  </w:t>
      </w:r>
    </w:p>
    <w:p w14:paraId="704317FB" w14:textId="77777777" w:rsidR="00E8239F" w:rsidRPr="00CE28F4" w:rsidRDefault="00E8239F" w:rsidP="00C0633B">
      <w:pPr>
        <w:spacing w:line="360" w:lineRule="auto"/>
        <w:jc w:val="both"/>
        <w:rPr>
          <w:rFonts w:asciiTheme="majorBidi" w:hAnsiTheme="majorBidi" w:cstheme="majorBidi"/>
          <w:sz w:val="24"/>
          <w:szCs w:val="24"/>
        </w:rPr>
      </w:pPr>
      <w:r w:rsidRPr="00CE28F4">
        <w:rPr>
          <w:rFonts w:asciiTheme="majorBidi" w:hAnsiTheme="majorBidi" w:cstheme="majorBidi"/>
          <w:sz w:val="24"/>
          <w:szCs w:val="24"/>
        </w:rPr>
        <w:t xml:space="preserve">LASSO: Least Absolute Shrinkage and Selection Operator </w:t>
      </w:r>
    </w:p>
    <w:p w14:paraId="58FBF025" w14:textId="77777777" w:rsidR="00E8239F" w:rsidRPr="00CE28F4" w:rsidRDefault="00E8239F" w:rsidP="00C0633B">
      <w:pPr>
        <w:spacing w:line="360" w:lineRule="auto"/>
        <w:jc w:val="both"/>
        <w:rPr>
          <w:rFonts w:asciiTheme="majorBidi" w:hAnsiTheme="majorBidi" w:cstheme="majorBidi"/>
          <w:sz w:val="24"/>
          <w:szCs w:val="24"/>
        </w:rPr>
      </w:pPr>
      <w:r w:rsidRPr="00CE28F4">
        <w:rPr>
          <w:rFonts w:asciiTheme="majorBidi" w:hAnsiTheme="majorBidi" w:cstheme="majorBidi"/>
          <w:sz w:val="24"/>
          <w:szCs w:val="24"/>
        </w:rPr>
        <w:t xml:space="preserve">KNN: K-Nearest Neighbor machine </w:t>
      </w:r>
    </w:p>
    <w:p w14:paraId="54388DF0" w14:textId="77777777" w:rsidR="00E8239F" w:rsidRPr="00CE28F4" w:rsidRDefault="00E8239F" w:rsidP="00C0633B">
      <w:pPr>
        <w:spacing w:line="360" w:lineRule="auto"/>
        <w:jc w:val="both"/>
        <w:rPr>
          <w:rFonts w:asciiTheme="majorBidi" w:hAnsiTheme="majorBidi" w:cstheme="majorBidi"/>
          <w:sz w:val="24"/>
          <w:szCs w:val="24"/>
        </w:rPr>
      </w:pPr>
      <w:r w:rsidRPr="00CE28F4">
        <w:rPr>
          <w:rFonts w:asciiTheme="majorBidi" w:hAnsiTheme="majorBidi" w:cstheme="majorBidi"/>
          <w:sz w:val="24"/>
          <w:szCs w:val="24"/>
        </w:rPr>
        <w:t xml:space="preserve">MLP: Multi-layer Perceptron </w:t>
      </w:r>
    </w:p>
    <w:p w14:paraId="18AA0981" w14:textId="77777777" w:rsidR="00E8239F" w:rsidRPr="00CE28F4" w:rsidRDefault="00E8239F" w:rsidP="00C0633B">
      <w:pPr>
        <w:spacing w:line="360" w:lineRule="auto"/>
        <w:jc w:val="both"/>
        <w:rPr>
          <w:rFonts w:asciiTheme="majorBidi" w:hAnsiTheme="majorBidi" w:cstheme="majorBidi"/>
          <w:sz w:val="24"/>
          <w:szCs w:val="24"/>
        </w:rPr>
      </w:pPr>
      <w:r w:rsidRPr="00CE28F4">
        <w:rPr>
          <w:rFonts w:asciiTheme="majorBidi" w:hAnsiTheme="majorBidi" w:cstheme="majorBidi"/>
          <w:sz w:val="24"/>
          <w:szCs w:val="24"/>
        </w:rPr>
        <w:t xml:space="preserve">RF: Random Forest </w:t>
      </w:r>
    </w:p>
    <w:p w14:paraId="4E3B611F" w14:textId="77777777" w:rsidR="00E8239F" w:rsidRPr="00CE28F4" w:rsidRDefault="00E8239F" w:rsidP="00C0633B">
      <w:pPr>
        <w:spacing w:line="360" w:lineRule="auto"/>
        <w:jc w:val="both"/>
        <w:rPr>
          <w:rFonts w:asciiTheme="majorBidi" w:hAnsiTheme="majorBidi" w:cstheme="majorBidi"/>
          <w:sz w:val="24"/>
          <w:szCs w:val="24"/>
        </w:rPr>
      </w:pPr>
      <w:r w:rsidRPr="00CE28F4">
        <w:rPr>
          <w:rFonts w:asciiTheme="majorBidi" w:hAnsiTheme="majorBidi" w:cstheme="majorBidi"/>
          <w:sz w:val="24"/>
          <w:szCs w:val="24"/>
        </w:rPr>
        <w:t xml:space="preserve">PROBAST: Prediction Model Risk of Bias Assessment Tool </w:t>
      </w:r>
    </w:p>
    <w:p w14:paraId="5709B222" w14:textId="77777777" w:rsidR="00E8239F" w:rsidRPr="00CE28F4" w:rsidRDefault="00E8239F" w:rsidP="00C0633B">
      <w:pPr>
        <w:spacing w:line="360" w:lineRule="auto"/>
        <w:jc w:val="both"/>
        <w:rPr>
          <w:rFonts w:asciiTheme="majorBidi" w:hAnsiTheme="majorBidi" w:cstheme="majorBidi"/>
          <w:sz w:val="24"/>
          <w:szCs w:val="24"/>
        </w:rPr>
      </w:pPr>
      <w:r w:rsidRPr="00CE28F4">
        <w:rPr>
          <w:rFonts w:asciiTheme="majorBidi" w:hAnsiTheme="majorBidi" w:cstheme="majorBidi"/>
          <w:sz w:val="24"/>
          <w:szCs w:val="24"/>
        </w:rPr>
        <w:lastRenderedPageBreak/>
        <w:t>ROB: Risk of Bias</w:t>
      </w:r>
    </w:p>
    <w:p w14:paraId="2A03B452" w14:textId="77777777" w:rsidR="00E8239F" w:rsidRPr="00CE28F4" w:rsidRDefault="00E8239F" w:rsidP="00C0633B">
      <w:pPr>
        <w:spacing w:line="360" w:lineRule="auto"/>
        <w:jc w:val="both"/>
        <w:rPr>
          <w:rFonts w:asciiTheme="majorBidi" w:hAnsiTheme="majorBidi" w:cstheme="majorBidi"/>
          <w:sz w:val="24"/>
          <w:szCs w:val="24"/>
        </w:rPr>
      </w:pPr>
      <w:r w:rsidRPr="00CE28F4">
        <w:rPr>
          <w:rFonts w:asciiTheme="majorBidi" w:hAnsiTheme="majorBidi" w:cstheme="majorBidi"/>
          <w:sz w:val="24"/>
          <w:szCs w:val="24"/>
        </w:rPr>
        <w:t xml:space="preserve">ICU: Intensive Care Unit </w:t>
      </w:r>
    </w:p>
    <w:p w14:paraId="6B296BD4" w14:textId="77777777" w:rsidR="00E8239F" w:rsidRPr="00CE28F4" w:rsidRDefault="00E8239F" w:rsidP="00C0633B">
      <w:pPr>
        <w:spacing w:line="360" w:lineRule="auto"/>
        <w:jc w:val="both"/>
        <w:rPr>
          <w:rFonts w:asciiTheme="majorBidi" w:hAnsiTheme="majorBidi" w:cstheme="majorBidi"/>
          <w:sz w:val="24"/>
          <w:szCs w:val="24"/>
        </w:rPr>
      </w:pPr>
      <w:r w:rsidRPr="00CE28F4">
        <w:rPr>
          <w:rFonts w:asciiTheme="majorBidi" w:hAnsiTheme="majorBidi" w:cstheme="majorBidi"/>
          <w:sz w:val="24"/>
          <w:szCs w:val="24"/>
        </w:rPr>
        <w:t xml:space="preserve">CAM: Confusion Assessment Method </w:t>
      </w:r>
    </w:p>
    <w:p w14:paraId="2F1A8D24" w14:textId="77777777" w:rsidR="00E8239F" w:rsidRPr="00CE28F4" w:rsidRDefault="00E8239F" w:rsidP="00C0633B">
      <w:pPr>
        <w:spacing w:line="360" w:lineRule="auto"/>
        <w:jc w:val="both"/>
        <w:rPr>
          <w:rFonts w:asciiTheme="majorBidi" w:hAnsiTheme="majorBidi" w:cstheme="majorBidi"/>
          <w:sz w:val="24"/>
          <w:szCs w:val="24"/>
        </w:rPr>
      </w:pPr>
      <w:r w:rsidRPr="00CE28F4">
        <w:rPr>
          <w:rFonts w:asciiTheme="majorBidi" w:hAnsiTheme="majorBidi" w:cstheme="majorBidi"/>
          <w:sz w:val="24"/>
          <w:szCs w:val="24"/>
        </w:rPr>
        <w:t xml:space="preserve">DSM-5: Diagnostic and Statistical Manual of Mental Disorders – 5th edition </w:t>
      </w:r>
    </w:p>
    <w:p w14:paraId="28A571ED" w14:textId="77777777" w:rsidR="00E8239F" w:rsidRPr="00CE28F4" w:rsidRDefault="00E8239F" w:rsidP="00C0633B">
      <w:pPr>
        <w:spacing w:line="360" w:lineRule="auto"/>
        <w:jc w:val="both"/>
        <w:rPr>
          <w:rFonts w:asciiTheme="majorBidi" w:hAnsiTheme="majorBidi" w:cstheme="majorBidi"/>
          <w:sz w:val="24"/>
          <w:szCs w:val="24"/>
        </w:rPr>
      </w:pPr>
      <w:r w:rsidRPr="00CE28F4">
        <w:rPr>
          <w:rFonts w:asciiTheme="majorBidi" w:hAnsiTheme="majorBidi" w:cstheme="majorBidi"/>
          <w:sz w:val="24"/>
          <w:szCs w:val="24"/>
        </w:rPr>
        <w:t xml:space="preserve">GNB: Gaussian Naïve Bayes </w:t>
      </w:r>
    </w:p>
    <w:p w14:paraId="6E104E63" w14:textId="77777777" w:rsidR="00E8239F" w:rsidRPr="00CE28F4" w:rsidRDefault="00E8239F" w:rsidP="00C0633B">
      <w:pPr>
        <w:spacing w:line="360" w:lineRule="auto"/>
        <w:jc w:val="both"/>
        <w:rPr>
          <w:rFonts w:asciiTheme="majorBidi" w:hAnsiTheme="majorBidi" w:cstheme="majorBidi"/>
          <w:sz w:val="24"/>
          <w:szCs w:val="24"/>
        </w:rPr>
      </w:pPr>
      <w:r w:rsidRPr="00CE28F4">
        <w:rPr>
          <w:rFonts w:asciiTheme="majorBidi" w:hAnsiTheme="majorBidi" w:cstheme="majorBidi"/>
          <w:sz w:val="24"/>
          <w:szCs w:val="24"/>
        </w:rPr>
        <w:t xml:space="preserve">CNB: Complement Naïve Bayes </w:t>
      </w:r>
    </w:p>
    <w:p w14:paraId="029C1C23" w14:textId="77777777" w:rsidR="00E8239F" w:rsidRPr="00CE28F4" w:rsidRDefault="00E8239F" w:rsidP="00C0633B">
      <w:pPr>
        <w:spacing w:line="360" w:lineRule="auto"/>
        <w:jc w:val="both"/>
        <w:rPr>
          <w:rFonts w:asciiTheme="majorBidi" w:hAnsiTheme="majorBidi" w:cstheme="majorBidi"/>
          <w:sz w:val="24"/>
          <w:szCs w:val="24"/>
        </w:rPr>
      </w:pPr>
      <w:r w:rsidRPr="00CE28F4">
        <w:rPr>
          <w:rFonts w:asciiTheme="majorBidi" w:hAnsiTheme="majorBidi" w:cstheme="majorBidi"/>
          <w:sz w:val="24"/>
          <w:szCs w:val="24"/>
        </w:rPr>
        <w:t xml:space="preserve">SVM: Support Vector Machine </w:t>
      </w:r>
    </w:p>
    <w:p w14:paraId="39F01B0B" w14:textId="77777777" w:rsidR="00E8239F" w:rsidRPr="00CE28F4" w:rsidRDefault="00E8239F" w:rsidP="00C0633B">
      <w:pPr>
        <w:spacing w:line="360" w:lineRule="auto"/>
        <w:jc w:val="both"/>
        <w:rPr>
          <w:rFonts w:asciiTheme="majorBidi" w:hAnsiTheme="majorBidi" w:cstheme="majorBidi"/>
          <w:sz w:val="24"/>
          <w:szCs w:val="24"/>
        </w:rPr>
      </w:pPr>
      <w:r w:rsidRPr="00CE28F4">
        <w:rPr>
          <w:rFonts w:asciiTheme="majorBidi" w:hAnsiTheme="majorBidi" w:cstheme="majorBidi"/>
          <w:sz w:val="24"/>
          <w:szCs w:val="24"/>
        </w:rPr>
        <w:t xml:space="preserve">AUC: Area under the Curve </w:t>
      </w:r>
    </w:p>
    <w:p w14:paraId="4B4A54E8" w14:textId="77777777" w:rsidR="00E8239F" w:rsidRPr="00CE28F4" w:rsidRDefault="00E8239F" w:rsidP="00C0633B">
      <w:pPr>
        <w:spacing w:line="360" w:lineRule="auto"/>
        <w:jc w:val="both"/>
        <w:rPr>
          <w:rFonts w:asciiTheme="majorBidi" w:hAnsiTheme="majorBidi" w:cstheme="majorBidi"/>
          <w:sz w:val="24"/>
          <w:szCs w:val="24"/>
        </w:rPr>
      </w:pPr>
      <w:r w:rsidRPr="00CE28F4">
        <w:rPr>
          <w:rFonts w:asciiTheme="majorBidi" w:hAnsiTheme="majorBidi" w:cstheme="majorBidi"/>
          <w:sz w:val="24"/>
          <w:szCs w:val="24"/>
        </w:rPr>
        <w:t xml:space="preserve">ASA: American Society Anesthesiology </w:t>
      </w:r>
    </w:p>
    <w:p w14:paraId="42CC6E73" w14:textId="77777777" w:rsidR="000B16E0" w:rsidRDefault="00E8239F" w:rsidP="00C0633B">
      <w:pPr>
        <w:spacing w:line="360" w:lineRule="auto"/>
        <w:jc w:val="both"/>
        <w:rPr>
          <w:rFonts w:asciiTheme="majorBidi" w:hAnsiTheme="majorBidi" w:cstheme="majorBidi"/>
          <w:sz w:val="24"/>
          <w:szCs w:val="24"/>
        </w:rPr>
      </w:pPr>
      <w:r w:rsidRPr="00CE28F4">
        <w:rPr>
          <w:rFonts w:asciiTheme="majorBidi" w:hAnsiTheme="majorBidi" w:cstheme="majorBidi"/>
          <w:sz w:val="24"/>
          <w:szCs w:val="24"/>
        </w:rPr>
        <w:t xml:space="preserve">BMI: Body Mass Index </w:t>
      </w:r>
    </w:p>
    <w:p w14:paraId="3DC0CB36" w14:textId="77777777" w:rsidR="000B16E0" w:rsidRDefault="000B16E0" w:rsidP="00C0633B">
      <w:pPr>
        <w:spacing w:line="360" w:lineRule="auto"/>
        <w:jc w:val="both"/>
        <w:rPr>
          <w:rFonts w:asciiTheme="majorBidi" w:hAnsiTheme="majorBidi" w:cstheme="majorBidi"/>
          <w:sz w:val="24"/>
          <w:szCs w:val="24"/>
        </w:rPr>
      </w:pPr>
    </w:p>
    <w:p w14:paraId="08178090" w14:textId="77777777" w:rsidR="000B16E0" w:rsidRDefault="000B16E0" w:rsidP="00C0633B">
      <w:pPr>
        <w:spacing w:line="360" w:lineRule="auto"/>
        <w:jc w:val="both"/>
        <w:rPr>
          <w:rFonts w:asciiTheme="majorBidi" w:hAnsiTheme="majorBidi" w:cstheme="majorBidi"/>
          <w:sz w:val="24"/>
          <w:szCs w:val="24"/>
        </w:rPr>
      </w:pPr>
    </w:p>
    <w:p w14:paraId="554149DE" w14:textId="77777777" w:rsidR="000B16E0" w:rsidRDefault="000B16E0" w:rsidP="00C0633B">
      <w:pPr>
        <w:spacing w:line="360" w:lineRule="auto"/>
        <w:jc w:val="both"/>
        <w:rPr>
          <w:rFonts w:asciiTheme="majorBidi" w:hAnsiTheme="majorBidi" w:cstheme="majorBidi"/>
          <w:sz w:val="24"/>
          <w:szCs w:val="24"/>
        </w:rPr>
      </w:pPr>
    </w:p>
    <w:p w14:paraId="7264F82A" w14:textId="77777777" w:rsidR="000B16E0" w:rsidRPr="00394842" w:rsidRDefault="000B16E0" w:rsidP="000B16E0">
      <w:pPr>
        <w:rPr>
          <w:highlight w:val="yellow"/>
        </w:rPr>
      </w:pPr>
      <w:r w:rsidRPr="00394842">
        <w:rPr>
          <w:highlight w:val="yellow"/>
        </w:rPr>
        <w:t>Disclaimer (Artificial intelligence)</w:t>
      </w:r>
    </w:p>
    <w:p w14:paraId="26914CFC" w14:textId="77777777" w:rsidR="000B16E0" w:rsidRPr="00394842" w:rsidRDefault="000B16E0" w:rsidP="000B16E0">
      <w:pPr>
        <w:rPr>
          <w:highlight w:val="yellow"/>
        </w:rPr>
      </w:pPr>
    </w:p>
    <w:p w14:paraId="2F431E6A" w14:textId="77777777" w:rsidR="000B16E0" w:rsidRPr="00394842" w:rsidRDefault="000B16E0" w:rsidP="000B16E0">
      <w:pPr>
        <w:rPr>
          <w:highlight w:val="yellow"/>
        </w:rPr>
      </w:pPr>
      <w:r w:rsidRPr="00394842">
        <w:rPr>
          <w:highlight w:val="yellow"/>
        </w:rPr>
        <w:t xml:space="preserve">Option 1: </w:t>
      </w:r>
    </w:p>
    <w:p w14:paraId="3CF28B32" w14:textId="77777777" w:rsidR="000B16E0" w:rsidRPr="00394842" w:rsidRDefault="000B16E0" w:rsidP="000B16E0">
      <w:pPr>
        <w:rPr>
          <w:highlight w:val="yellow"/>
        </w:rPr>
      </w:pPr>
    </w:p>
    <w:p w14:paraId="3FD2C9F7" w14:textId="77777777" w:rsidR="000B16E0" w:rsidRPr="00394842" w:rsidRDefault="000B16E0" w:rsidP="000B16E0">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149AE98A" w14:textId="77777777" w:rsidR="000B16E0" w:rsidRPr="00394842" w:rsidRDefault="000B16E0" w:rsidP="000B16E0">
      <w:pPr>
        <w:rPr>
          <w:highlight w:val="yellow"/>
        </w:rPr>
      </w:pPr>
    </w:p>
    <w:p w14:paraId="15FE20B0" w14:textId="77777777" w:rsidR="000B16E0" w:rsidRPr="00394842" w:rsidRDefault="000B16E0" w:rsidP="000B16E0">
      <w:pPr>
        <w:rPr>
          <w:highlight w:val="yellow"/>
        </w:rPr>
      </w:pPr>
      <w:r w:rsidRPr="00394842">
        <w:rPr>
          <w:highlight w:val="yellow"/>
        </w:rPr>
        <w:t xml:space="preserve">Option 2: </w:t>
      </w:r>
    </w:p>
    <w:p w14:paraId="5138B356" w14:textId="77777777" w:rsidR="000B16E0" w:rsidRPr="00394842" w:rsidRDefault="000B16E0" w:rsidP="000B16E0">
      <w:pPr>
        <w:rPr>
          <w:highlight w:val="yellow"/>
        </w:rPr>
      </w:pPr>
    </w:p>
    <w:p w14:paraId="0744DB50" w14:textId="77777777" w:rsidR="000B16E0" w:rsidRPr="00394842" w:rsidRDefault="000B16E0" w:rsidP="000B16E0">
      <w:pPr>
        <w:rPr>
          <w:highlight w:val="yellow"/>
        </w:rPr>
      </w:pPr>
      <w:r w:rsidRPr="00394842">
        <w:rPr>
          <w:highlight w:val="yellow"/>
        </w:rPr>
        <w:lastRenderedPageBreak/>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79E4335" w14:textId="77777777" w:rsidR="000B16E0" w:rsidRPr="00394842" w:rsidRDefault="000B16E0" w:rsidP="000B16E0">
      <w:pPr>
        <w:rPr>
          <w:highlight w:val="yellow"/>
        </w:rPr>
      </w:pPr>
    </w:p>
    <w:p w14:paraId="0D853C79" w14:textId="77777777" w:rsidR="000B16E0" w:rsidRPr="00394842" w:rsidRDefault="000B16E0" w:rsidP="000B16E0">
      <w:pPr>
        <w:rPr>
          <w:highlight w:val="yellow"/>
        </w:rPr>
      </w:pPr>
      <w:r w:rsidRPr="00394842">
        <w:rPr>
          <w:highlight w:val="yellow"/>
        </w:rPr>
        <w:t>Details of the AI usage are given below:</w:t>
      </w:r>
    </w:p>
    <w:p w14:paraId="4B6D96F1" w14:textId="77777777" w:rsidR="000B16E0" w:rsidRPr="00394842" w:rsidRDefault="000B16E0" w:rsidP="000B16E0">
      <w:pPr>
        <w:rPr>
          <w:highlight w:val="yellow"/>
        </w:rPr>
      </w:pPr>
      <w:r w:rsidRPr="00394842">
        <w:rPr>
          <w:highlight w:val="yellow"/>
        </w:rPr>
        <w:t>1.</w:t>
      </w:r>
    </w:p>
    <w:p w14:paraId="4644831A" w14:textId="77777777" w:rsidR="000B16E0" w:rsidRPr="00394842" w:rsidRDefault="000B16E0" w:rsidP="000B16E0">
      <w:pPr>
        <w:rPr>
          <w:highlight w:val="yellow"/>
        </w:rPr>
      </w:pPr>
      <w:r w:rsidRPr="00394842">
        <w:rPr>
          <w:highlight w:val="yellow"/>
        </w:rPr>
        <w:t>2.</w:t>
      </w:r>
    </w:p>
    <w:p w14:paraId="4D665755" w14:textId="77777777" w:rsidR="000B16E0" w:rsidRPr="00165217" w:rsidRDefault="000B16E0" w:rsidP="000B16E0">
      <w:r w:rsidRPr="00394842">
        <w:rPr>
          <w:highlight w:val="yellow"/>
        </w:rPr>
        <w:t>3.</w:t>
      </w:r>
    </w:p>
    <w:p w14:paraId="422C2FDD" w14:textId="746802D3" w:rsidR="00E8239F" w:rsidRPr="00CE28F4" w:rsidRDefault="00E8239F" w:rsidP="00C0633B">
      <w:pPr>
        <w:spacing w:line="360" w:lineRule="auto"/>
        <w:jc w:val="both"/>
        <w:rPr>
          <w:rFonts w:asciiTheme="majorBidi" w:hAnsiTheme="majorBidi" w:cstheme="majorBidi"/>
          <w:sz w:val="24"/>
          <w:szCs w:val="24"/>
        </w:rPr>
      </w:pPr>
      <w:r w:rsidRPr="00CE28F4">
        <w:rPr>
          <w:rFonts w:asciiTheme="majorBidi" w:hAnsiTheme="majorBidi" w:cstheme="majorBidi"/>
          <w:sz w:val="24"/>
          <w:szCs w:val="24"/>
        </w:rPr>
        <w:br w:type="page"/>
      </w:r>
    </w:p>
    <w:p w14:paraId="4213461A" w14:textId="0C4AAFBB" w:rsidR="005D7F60" w:rsidRPr="001A6B2D" w:rsidRDefault="007216BE" w:rsidP="00C0633B">
      <w:pPr>
        <w:spacing w:after="160" w:line="360" w:lineRule="auto"/>
        <w:rPr>
          <w:rFonts w:asciiTheme="majorBidi" w:hAnsiTheme="majorBidi" w:cstheme="majorBidi"/>
          <w:b/>
          <w:bCs/>
          <w:sz w:val="24"/>
          <w:szCs w:val="24"/>
        </w:rPr>
      </w:pPr>
      <w:r w:rsidRPr="001A6B2D">
        <w:rPr>
          <w:rFonts w:asciiTheme="majorBidi" w:hAnsiTheme="majorBidi" w:cstheme="majorBidi"/>
          <w:b/>
          <w:bCs/>
          <w:sz w:val="24"/>
          <w:szCs w:val="24"/>
        </w:rPr>
        <w:lastRenderedPageBreak/>
        <w:t xml:space="preserve">REFERENCES </w:t>
      </w:r>
    </w:p>
    <w:p w14:paraId="1849F063" w14:textId="6FCCC3BE" w:rsidR="00F63E5D" w:rsidRPr="00CB4A4E" w:rsidRDefault="00793B74" w:rsidP="00F63E5D">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[1] </w:t>
      </w:r>
      <w:r w:rsidR="00CB4A4E" w:rsidRPr="00CB4A4E">
        <w:rPr>
          <w:rFonts w:asciiTheme="majorBidi" w:hAnsiTheme="majorBidi" w:cstheme="majorBidi"/>
          <w:sz w:val="24"/>
          <w:szCs w:val="24"/>
        </w:rPr>
        <w:t xml:space="preserve">van </w:t>
      </w:r>
      <w:proofErr w:type="spellStart"/>
      <w:r w:rsidR="00CB4A4E" w:rsidRPr="00CB4A4E">
        <w:rPr>
          <w:rFonts w:asciiTheme="majorBidi" w:hAnsiTheme="majorBidi" w:cstheme="majorBidi"/>
          <w:sz w:val="24"/>
          <w:szCs w:val="24"/>
        </w:rPr>
        <w:t>Meenen</w:t>
      </w:r>
      <w:proofErr w:type="spellEnd"/>
      <w:r w:rsidR="00CB4A4E" w:rsidRPr="00CB4A4E">
        <w:rPr>
          <w:rFonts w:asciiTheme="majorBidi" w:hAnsiTheme="majorBidi" w:cstheme="majorBidi"/>
          <w:sz w:val="24"/>
          <w:szCs w:val="24"/>
        </w:rPr>
        <w:t xml:space="preserve"> LC, van </w:t>
      </w:r>
      <w:proofErr w:type="spellStart"/>
      <w:r w:rsidR="00CB4A4E" w:rsidRPr="00CB4A4E">
        <w:rPr>
          <w:rFonts w:asciiTheme="majorBidi" w:hAnsiTheme="majorBidi" w:cstheme="majorBidi"/>
          <w:sz w:val="24"/>
          <w:szCs w:val="24"/>
        </w:rPr>
        <w:t>Meenen</w:t>
      </w:r>
      <w:proofErr w:type="spellEnd"/>
      <w:r w:rsidR="00CB4A4E" w:rsidRPr="00CB4A4E">
        <w:rPr>
          <w:rFonts w:asciiTheme="majorBidi" w:hAnsiTheme="majorBidi" w:cstheme="majorBidi"/>
          <w:sz w:val="24"/>
          <w:szCs w:val="24"/>
        </w:rPr>
        <w:t xml:space="preserve"> DM, de </w:t>
      </w:r>
      <w:proofErr w:type="spellStart"/>
      <w:r w:rsidR="00CB4A4E" w:rsidRPr="00CB4A4E">
        <w:rPr>
          <w:rFonts w:asciiTheme="majorBidi" w:hAnsiTheme="majorBidi" w:cstheme="majorBidi"/>
          <w:sz w:val="24"/>
          <w:szCs w:val="24"/>
        </w:rPr>
        <w:t>Rooij</w:t>
      </w:r>
      <w:proofErr w:type="spellEnd"/>
      <w:r w:rsidR="00CB4A4E" w:rsidRPr="00CB4A4E">
        <w:rPr>
          <w:rFonts w:asciiTheme="majorBidi" w:hAnsiTheme="majorBidi" w:cstheme="majorBidi"/>
          <w:sz w:val="24"/>
          <w:szCs w:val="24"/>
        </w:rPr>
        <w:t xml:space="preserve"> SE, </w:t>
      </w:r>
      <w:proofErr w:type="spellStart"/>
      <w:r w:rsidR="00CB4A4E" w:rsidRPr="00CB4A4E">
        <w:rPr>
          <w:rFonts w:asciiTheme="majorBidi" w:hAnsiTheme="majorBidi" w:cstheme="majorBidi"/>
          <w:sz w:val="24"/>
          <w:szCs w:val="24"/>
        </w:rPr>
        <w:t>ter</w:t>
      </w:r>
      <w:proofErr w:type="spellEnd"/>
      <w:r w:rsidR="00CB4A4E" w:rsidRPr="00CB4A4E">
        <w:rPr>
          <w:rFonts w:asciiTheme="majorBidi" w:hAnsiTheme="majorBidi" w:cstheme="majorBidi"/>
          <w:sz w:val="24"/>
          <w:szCs w:val="24"/>
        </w:rPr>
        <w:t xml:space="preserve"> Riet G. Risk prediction models for postoperative delirium: a systematic review and meta-analysis. J Am </w:t>
      </w:r>
      <w:proofErr w:type="spellStart"/>
      <w:r w:rsidR="00CB4A4E" w:rsidRPr="00CB4A4E">
        <w:rPr>
          <w:rFonts w:asciiTheme="majorBidi" w:hAnsiTheme="majorBidi" w:cstheme="majorBidi"/>
          <w:sz w:val="24"/>
          <w:szCs w:val="24"/>
        </w:rPr>
        <w:t>Geriatr</w:t>
      </w:r>
      <w:proofErr w:type="spellEnd"/>
      <w:r w:rsidR="00CB4A4E" w:rsidRPr="00CB4A4E">
        <w:rPr>
          <w:rFonts w:asciiTheme="majorBidi" w:hAnsiTheme="majorBidi" w:cstheme="majorBidi"/>
          <w:sz w:val="24"/>
          <w:szCs w:val="24"/>
        </w:rPr>
        <w:t xml:space="preserve"> Soc. 2014 Dec;62(12):2383-90. PubMed PMID: 25516034. eng.</w:t>
      </w:r>
      <w:r w:rsidR="00F63E5D">
        <w:rPr>
          <w:rFonts w:asciiTheme="majorBidi" w:hAnsiTheme="majorBidi" w:cstheme="majorBidi"/>
          <w:sz w:val="24"/>
          <w:szCs w:val="24"/>
        </w:rPr>
        <w:t xml:space="preserve"> </w:t>
      </w:r>
    </w:p>
    <w:p w14:paraId="783BF2A6" w14:textId="7DA9F4E8" w:rsidR="00CB4A4E" w:rsidRPr="00CB4A4E" w:rsidRDefault="00F63E5D" w:rsidP="00CB4A4E">
      <w:pPr>
        <w:spacing w:line="360" w:lineRule="auto"/>
        <w:jc w:val="both"/>
        <w:rPr>
          <w:rFonts w:asciiTheme="majorBidi" w:hAnsiTheme="majorBidi" w:cstheme="majorBidi"/>
          <w:sz w:val="24"/>
          <w:szCs w:val="24"/>
        </w:rPr>
      </w:pPr>
      <w:r>
        <w:rPr>
          <w:rFonts w:asciiTheme="majorBidi" w:hAnsiTheme="majorBidi" w:cstheme="majorBidi"/>
          <w:sz w:val="24"/>
          <w:szCs w:val="24"/>
        </w:rPr>
        <w:t>[</w:t>
      </w:r>
      <w:r w:rsidR="00CB4A4E" w:rsidRPr="00CB4A4E">
        <w:rPr>
          <w:rFonts w:asciiTheme="majorBidi" w:hAnsiTheme="majorBidi" w:cstheme="majorBidi"/>
          <w:sz w:val="24"/>
          <w:szCs w:val="24"/>
        </w:rPr>
        <w:t>2</w:t>
      </w:r>
      <w:r>
        <w:rPr>
          <w:rFonts w:asciiTheme="majorBidi" w:hAnsiTheme="majorBidi" w:cstheme="majorBidi"/>
          <w:sz w:val="24"/>
          <w:szCs w:val="24"/>
        </w:rPr>
        <w:t xml:space="preserve">] </w:t>
      </w:r>
      <w:r w:rsidR="00CB4A4E" w:rsidRPr="00CB4A4E">
        <w:rPr>
          <w:rFonts w:asciiTheme="majorBidi" w:hAnsiTheme="majorBidi" w:cstheme="majorBidi"/>
          <w:sz w:val="24"/>
          <w:szCs w:val="24"/>
        </w:rPr>
        <w:t xml:space="preserve">Dasgupta M DA-. Preoperative risk assessment for delirium after non-cardiac surgery: a systematic review. J Am </w:t>
      </w:r>
      <w:proofErr w:type="spellStart"/>
      <w:r w:rsidR="00CB4A4E" w:rsidRPr="00CB4A4E">
        <w:rPr>
          <w:rFonts w:asciiTheme="majorBidi" w:hAnsiTheme="majorBidi" w:cstheme="majorBidi"/>
          <w:sz w:val="24"/>
          <w:szCs w:val="24"/>
        </w:rPr>
        <w:t>Geriatr</w:t>
      </w:r>
      <w:proofErr w:type="spellEnd"/>
      <w:r w:rsidR="00CB4A4E" w:rsidRPr="00CB4A4E">
        <w:rPr>
          <w:rFonts w:asciiTheme="majorBidi" w:hAnsiTheme="majorBidi" w:cstheme="majorBidi"/>
          <w:sz w:val="24"/>
          <w:szCs w:val="24"/>
        </w:rPr>
        <w:t xml:space="preserve"> Soc. 2006.</w:t>
      </w:r>
    </w:p>
    <w:p w14:paraId="2ED8CB1C" w14:textId="23B81A5C" w:rsidR="00CB4A4E" w:rsidRPr="00CB4A4E" w:rsidRDefault="00F63E5D" w:rsidP="00CB4A4E">
      <w:pPr>
        <w:spacing w:line="360" w:lineRule="auto"/>
        <w:jc w:val="both"/>
        <w:rPr>
          <w:rFonts w:asciiTheme="majorBidi" w:hAnsiTheme="majorBidi" w:cstheme="majorBidi"/>
          <w:sz w:val="24"/>
          <w:szCs w:val="24"/>
        </w:rPr>
      </w:pPr>
      <w:r>
        <w:rPr>
          <w:rFonts w:asciiTheme="majorBidi" w:hAnsiTheme="majorBidi" w:cstheme="majorBidi"/>
          <w:sz w:val="24"/>
          <w:szCs w:val="24"/>
        </w:rPr>
        <w:t>[</w:t>
      </w:r>
      <w:r w:rsidR="00CB4A4E" w:rsidRPr="00CB4A4E">
        <w:rPr>
          <w:rFonts w:asciiTheme="majorBidi" w:hAnsiTheme="majorBidi" w:cstheme="majorBidi"/>
          <w:sz w:val="24"/>
          <w:szCs w:val="24"/>
        </w:rPr>
        <w:t>3</w:t>
      </w:r>
      <w:r>
        <w:rPr>
          <w:rFonts w:asciiTheme="majorBidi" w:hAnsiTheme="majorBidi" w:cstheme="majorBidi"/>
          <w:sz w:val="24"/>
          <w:szCs w:val="24"/>
        </w:rPr>
        <w:t xml:space="preserve">] </w:t>
      </w:r>
      <w:r w:rsidR="00CB4A4E" w:rsidRPr="00CB4A4E">
        <w:rPr>
          <w:rFonts w:asciiTheme="majorBidi" w:hAnsiTheme="majorBidi" w:cstheme="majorBidi"/>
          <w:sz w:val="24"/>
          <w:szCs w:val="24"/>
        </w:rPr>
        <w:t xml:space="preserve">​Inouye SK WR, </w:t>
      </w:r>
      <w:proofErr w:type="spellStart"/>
      <w:r w:rsidR="00CB4A4E" w:rsidRPr="00CB4A4E">
        <w:rPr>
          <w:rFonts w:asciiTheme="majorBidi" w:hAnsiTheme="majorBidi" w:cstheme="majorBidi"/>
          <w:sz w:val="24"/>
          <w:szCs w:val="24"/>
        </w:rPr>
        <w:t>Saczynski</w:t>
      </w:r>
      <w:proofErr w:type="spellEnd"/>
      <w:r w:rsidR="00CB4A4E" w:rsidRPr="00CB4A4E">
        <w:rPr>
          <w:rFonts w:asciiTheme="majorBidi" w:hAnsiTheme="majorBidi" w:cstheme="majorBidi"/>
          <w:sz w:val="24"/>
          <w:szCs w:val="24"/>
        </w:rPr>
        <w:t xml:space="preserve"> JS</w:t>
      </w:r>
      <w:proofErr w:type="gramStart"/>
      <w:r w:rsidR="00CB4A4E" w:rsidRPr="00CB4A4E">
        <w:rPr>
          <w:rFonts w:asciiTheme="majorBidi" w:hAnsiTheme="majorBidi" w:cstheme="majorBidi"/>
          <w:sz w:val="24"/>
          <w:szCs w:val="24"/>
        </w:rPr>
        <w:t>. .</w:t>
      </w:r>
      <w:proofErr w:type="gramEnd"/>
      <w:r w:rsidR="00CB4A4E" w:rsidRPr="00CB4A4E">
        <w:rPr>
          <w:rFonts w:asciiTheme="majorBidi" w:hAnsiTheme="majorBidi" w:cstheme="majorBidi"/>
          <w:sz w:val="24"/>
          <w:szCs w:val="24"/>
        </w:rPr>
        <w:t xml:space="preserve"> 2014;383(9920):911-22</w:t>
      </w:r>
      <w:proofErr w:type="gramStart"/>
      <w:r w:rsidR="00CB4A4E" w:rsidRPr="00CB4A4E">
        <w:rPr>
          <w:rFonts w:asciiTheme="majorBidi" w:hAnsiTheme="majorBidi" w:cstheme="majorBidi"/>
          <w:sz w:val="24"/>
          <w:szCs w:val="24"/>
        </w:rPr>
        <w:t>. .</w:t>
      </w:r>
      <w:proofErr w:type="gramEnd"/>
      <w:r w:rsidR="00CB4A4E" w:rsidRPr="00CB4A4E">
        <w:rPr>
          <w:rFonts w:asciiTheme="majorBidi" w:hAnsiTheme="majorBidi" w:cstheme="majorBidi"/>
          <w:sz w:val="24"/>
          <w:szCs w:val="24"/>
        </w:rPr>
        <w:t xml:space="preserve"> Delirium in elderly people. Lancet. 2014.</w:t>
      </w:r>
    </w:p>
    <w:p w14:paraId="4DF4ADF0" w14:textId="64B4C1D8" w:rsidR="00CB4A4E" w:rsidRPr="00CB4A4E" w:rsidRDefault="00F63E5D" w:rsidP="00CB4A4E">
      <w:pPr>
        <w:spacing w:line="360" w:lineRule="auto"/>
        <w:jc w:val="both"/>
        <w:rPr>
          <w:rFonts w:asciiTheme="majorBidi" w:hAnsiTheme="majorBidi" w:cstheme="majorBidi"/>
          <w:sz w:val="24"/>
          <w:szCs w:val="24"/>
        </w:rPr>
      </w:pPr>
      <w:r>
        <w:rPr>
          <w:rFonts w:asciiTheme="majorBidi" w:hAnsiTheme="majorBidi" w:cstheme="majorBidi"/>
          <w:sz w:val="24"/>
          <w:szCs w:val="24"/>
        </w:rPr>
        <w:t>[</w:t>
      </w:r>
      <w:r w:rsidR="00CB4A4E" w:rsidRPr="00CB4A4E">
        <w:rPr>
          <w:rFonts w:asciiTheme="majorBidi" w:hAnsiTheme="majorBidi" w:cstheme="majorBidi"/>
          <w:sz w:val="24"/>
          <w:szCs w:val="24"/>
        </w:rPr>
        <w:t>4</w:t>
      </w:r>
      <w:r>
        <w:rPr>
          <w:rFonts w:asciiTheme="majorBidi" w:hAnsiTheme="majorBidi" w:cstheme="majorBidi"/>
          <w:sz w:val="24"/>
          <w:szCs w:val="24"/>
        </w:rPr>
        <w:t xml:space="preserve">] </w:t>
      </w:r>
      <w:r w:rsidR="00CB4A4E" w:rsidRPr="00CB4A4E">
        <w:rPr>
          <w:rFonts w:asciiTheme="majorBidi" w:hAnsiTheme="majorBidi" w:cstheme="majorBidi"/>
          <w:sz w:val="24"/>
          <w:szCs w:val="24"/>
        </w:rPr>
        <w:t>​</w:t>
      </w:r>
      <w:proofErr w:type="spellStart"/>
      <w:r w:rsidR="00CB4A4E" w:rsidRPr="00CB4A4E">
        <w:rPr>
          <w:rFonts w:asciiTheme="majorBidi" w:hAnsiTheme="majorBidi" w:cstheme="majorBidi"/>
          <w:sz w:val="24"/>
          <w:szCs w:val="24"/>
        </w:rPr>
        <w:t>Heyland</w:t>
      </w:r>
      <w:proofErr w:type="spellEnd"/>
      <w:r w:rsidR="00CB4A4E" w:rsidRPr="00CB4A4E">
        <w:rPr>
          <w:rFonts w:asciiTheme="majorBidi" w:hAnsiTheme="majorBidi" w:cstheme="majorBidi"/>
          <w:sz w:val="24"/>
          <w:szCs w:val="24"/>
        </w:rPr>
        <w:t xml:space="preserve"> DK, </w:t>
      </w:r>
      <w:proofErr w:type="spellStart"/>
      <w:r w:rsidR="00CB4A4E" w:rsidRPr="00CB4A4E">
        <w:rPr>
          <w:rFonts w:asciiTheme="majorBidi" w:hAnsiTheme="majorBidi" w:cstheme="majorBidi"/>
          <w:sz w:val="24"/>
          <w:szCs w:val="24"/>
        </w:rPr>
        <w:t>Muscedere</w:t>
      </w:r>
      <w:proofErr w:type="spellEnd"/>
      <w:r w:rsidR="00CB4A4E" w:rsidRPr="00CB4A4E">
        <w:rPr>
          <w:rFonts w:asciiTheme="majorBidi" w:hAnsiTheme="majorBidi" w:cstheme="majorBidi"/>
          <w:sz w:val="24"/>
          <w:szCs w:val="24"/>
        </w:rPr>
        <w:t xml:space="preserve"> J, Drover J, et al. Persistent organ dysfunction plus death: a novel, composite outcome measure for critical care trials. </w:t>
      </w:r>
      <w:proofErr w:type="spellStart"/>
      <w:r w:rsidR="00CB4A4E" w:rsidRPr="00CB4A4E">
        <w:rPr>
          <w:rFonts w:asciiTheme="majorBidi" w:hAnsiTheme="majorBidi" w:cstheme="majorBidi"/>
          <w:sz w:val="24"/>
          <w:szCs w:val="24"/>
        </w:rPr>
        <w:t>Crit</w:t>
      </w:r>
      <w:proofErr w:type="spellEnd"/>
      <w:r w:rsidR="00CB4A4E" w:rsidRPr="00CB4A4E">
        <w:rPr>
          <w:rFonts w:asciiTheme="majorBidi" w:hAnsiTheme="majorBidi" w:cstheme="majorBidi"/>
          <w:sz w:val="24"/>
          <w:szCs w:val="24"/>
        </w:rPr>
        <w:t xml:space="preserve"> Care. 2011;15(2</w:t>
      </w:r>
      <w:proofErr w:type="gramStart"/>
      <w:r w:rsidR="00CB4A4E" w:rsidRPr="00CB4A4E">
        <w:rPr>
          <w:rFonts w:asciiTheme="majorBidi" w:hAnsiTheme="majorBidi" w:cstheme="majorBidi"/>
          <w:sz w:val="24"/>
          <w:szCs w:val="24"/>
        </w:rPr>
        <w:t>):R</w:t>
      </w:r>
      <w:proofErr w:type="gramEnd"/>
      <w:r w:rsidR="00CB4A4E" w:rsidRPr="00CB4A4E">
        <w:rPr>
          <w:rFonts w:asciiTheme="majorBidi" w:hAnsiTheme="majorBidi" w:cstheme="majorBidi"/>
          <w:sz w:val="24"/>
          <w:szCs w:val="24"/>
        </w:rPr>
        <w:t xml:space="preserve">98. PubMed PMID: 21418560. </w:t>
      </w:r>
      <w:proofErr w:type="spellStart"/>
      <w:r w:rsidR="00CB4A4E" w:rsidRPr="00CB4A4E">
        <w:rPr>
          <w:rFonts w:asciiTheme="majorBidi" w:hAnsiTheme="majorBidi" w:cstheme="majorBidi"/>
          <w:sz w:val="24"/>
          <w:szCs w:val="24"/>
        </w:rPr>
        <w:t>Pubmed</w:t>
      </w:r>
      <w:proofErr w:type="spellEnd"/>
      <w:r w:rsidR="00CB4A4E" w:rsidRPr="00CB4A4E">
        <w:rPr>
          <w:rFonts w:asciiTheme="majorBidi" w:hAnsiTheme="majorBidi" w:cstheme="majorBidi"/>
          <w:sz w:val="24"/>
          <w:szCs w:val="24"/>
        </w:rPr>
        <w:t xml:space="preserve"> Central PMCID: PMC3219367. </w:t>
      </w:r>
      <w:proofErr w:type="spellStart"/>
      <w:r w:rsidR="00CB4A4E" w:rsidRPr="00CB4A4E">
        <w:rPr>
          <w:rFonts w:asciiTheme="majorBidi" w:hAnsiTheme="majorBidi" w:cstheme="majorBidi"/>
          <w:sz w:val="24"/>
          <w:szCs w:val="24"/>
        </w:rPr>
        <w:t>Epub</w:t>
      </w:r>
      <w:proofErr w:type="spellEnd"/>
      <w:r w:rsidR="00CB4A4E" w:rsidRPr="00CB4A4E">
        <w:rPr>
          <w:rFonts w:asciiTheme="majorBidi" w:hAnsiTheme="majorBidi" w:cstheme="majorBidi"/>
          <w:sz w:val="24"/>
          <w:szCs w:val="24"/>
        </w:rPr>
        <w:t xml:space="preserve"> 20110318.</w:t>
      </w:r>
    </w:p>
    <w:p w14:paraId="3EC1B5F1" w14:textId="27C77504" w:rsidR="00CB4A4E" w:rsidRPr="00CB4A4E" w:rsidRDefault="00F63E5D" w:rsidP="00CB4A4E">
      <w:pPr>
        <w:spacing w:line="360" w:lineRule="auto"/>
        <w:jc w:val="both"/>
        <w:rPr>
          <w:rFonts w:asciiTheme="majorBidi" w:hAnsiTheme="majorBidi" w:cstheme="majorBidi"/>
          <w:sz w:val="24"/>
          <w:szCs w:val="24"/>
        </w:rPr>
      </w:pPr>
      <w:r>
        <w:rPr>
          <w:rFonts w:asciiTheme="majorBidi" w:hAnsiTheme="majorBidi" w:cstheme="majorBidi"/>
          <w:sz w:val="24"/>
          <w:szCs w:val="24"/>
        </w:rPr>
        <w:t>[</w:t>
      </w:r>
      <w:r w:rsidR="00CB4A4E" w:rsidRPr="00CB4A4E">
        <w:rPr>
          <w:rFonts w:asciiTheme="majorBidi" w:hAnsiTheme="majorBidi" w:cstheme="majorBidi"/>
          <w:sz w:val="24"/>
          <w:szCs w:val="24"/>
        </w:rPr>
        <w:t>5</w:t>
      </w:r>
      <w:r>
        <w:rPr>
          <w:rFonts w:asciiTheme="majorBidi" w:hAnsiTheme="majorBidi" w:cstheme="majorBidi"/>
          <w:sz w:val="24"/>
          <w:szCs w:val="24"/>
        </w:rPr>
        <w:t xml:space="preserve">] </w:t>
      </w:r>
      <w:r w:rsidR="00CB4A4E" w:rsidRPr="00CB4A4E">
        <w:rPr>
          <w:rFonts w:asciiTheme="majorBidi" w:hAnsiTheme="majorBidi" w:cstheme="majorBidi"/>
          <w:sz w:val="24"/>
          <w:szCs w:val="24"/>
        </w:rPr>
        <w:t xml:space="preserve">​JR. M. Acute Brain Failure: Pathophysiology, Diagnosis, Management, and Sequelae of Delirium. </w:t>
      </w:r>
      <w:proofErr w:type="spellStart"/>
      <w:r w:rsidR="00CB4A4E" w:rsidRPr="00CB4A4E">
        <w:rPr>
          <w:rFonts w:asciiTheme="majorBidi" w:hAnsiTheme="majorBidi" w:cstheme="majorBidi"/>
          <w:sz w:val="24"/>
          <w:szCs w:val="24"/>
        </w:rPr>
        <w:t>Crit</w:t>
      </w:r>
      <w:proofErr w:type="spellEnd"/>
      <w:r w:rsidR="00CB4A4E" w:rsidRPr="00CB4A4E">
        <w:rPr>
          <w:rFonts w:asciiTheme="majorBidi" w:hAnsiTheme="majorBidi" w:cstheme="majorBidi"/>
          <w:sz w:val="24"/>
          <w:szCs w:val="24"/>
        </w:rPr>
        <w:t xml:space="preserve"> Care Clin 2017.</w:t>
      </w:r>
    </w:p>
    <w:p w14:paraId="286DABA7" w14:textId="01FDBB4A" w:rsidR="00CB4A4E" w:rsidRPr="00CB4A4E" w:rsidRDefault="00F63E5D" w:rsidP="00CB4A4E">
      <w:pPr>
        <w:spacing w:line="360" w:lineRule="auto"/>
        <w:jc w:val="both"/>
        <w:rPr>
          <w:rFonts w:asciiTheme="majorBidi" w:hAnsiTheme="majorBidi" w:cstheme="majorBidi"/>
          <w:sz w:val="24"/>
          <w:szCs w:val="24"/>
        </w:rPr>
      </w:pPr>
      <w:r>
        <w:rPr>
          <w:rFonts w:asciiTheme="majorBidi" w:hAnsiTheme="majorBidi" w:cstheme="majorBidi"/>
          <w:sz w:val="24"/>
          <w:szCs w:val="24"/>
        </w:rPr>
        <w:t>[</w:t>
      </w:r>
      <w:r w:rsidR="00CB4A4E" w:rsidRPr="00CB4A4E">
        <w:rPr>
          <w:rFonts w:asciiTheme="majorBidi" w:hAnsiTheme="majorBidi" w:cstheme="majorBidi"/>
          <w:sz w:val="24"/>
          <w:szCs w:val="24"/>
        </w:rPr>
        <w:t>6</w:t>
      </w:r>
      <w:r>
        <w:rPr>
          <w:rFonts w:asciiTheme="majorBidi" w:hAnsiTheme="majorBidi" w:cstheme="majorBidi"/>
          <w:sz w:val="24"/>
          <w:szCs w:val="24"/>
        </w:rPr>
        <w:t xml:space="preserve">] </w:t>
      </w:r>
      <w:r w:rsidR="00CB4A4E" w:rsidRPr="00CB4A4E">
        <w:rPr>
          <w:rFonts w:asciiTheme="majorBidi" w:hAnsiTheme="majorBidi" w:cstheme="majorBidi"/>
          <w:sz w:val="24"/>
          <w:szCs w:val="24"/>
        </w:rPr>
        <w:t xml:space="preserve">​McCullagh IJ SB, </w:t>
      </w:r>
      <w:proofErr w:type="spellStart"/>
      <w:r w:rsidR="00CB4A4E" w:rsidRPr="00CB4A4E">
        <w:rPr>
          <w:rFonts w:asciiTheme="majorBidi" w:hAnsiTheme="majorBidi" w:cstheme="majorBidi"/>
          <w:sz w:val="24"/>
          <w:szCs w:val="24"/>
        </w:rPr>
        <w:t>Teodorczuk</w:t>
      </w:r>
      <w:proofErr w:type="spellEnd"/>
      <w:r w:rsidR="00CB4A4E" w:rsidRPr="00CB4A4E">
        <w:rPr>
          <w:rFonts w:asciiTheme="majorBidi" w:hAnsiTheme="majorBidi" w:cstheme="majorBidi"/>
          <w:sz w:val="24"/>
          <w:szCs w:val="24"/>
        </w:rPr>
        <w:t xml:space="preserve"> A, Callaghan M, INCARN.net </w:t>
      </w:r>
      <w:proofErr w:type="spellStart"/>
      <w:r w:rsidR="00CB4A4E" w:rsidRPr="00CB4A4E">
        <w:rPr>
          <w:rFonts w:asciiTheme="majorBidi" w:hAnsiTheme="majorBidi" w:cstheme="majorBidi"/>
          <w:sz w:val="24"/>
          <w:szCs w:val="24"/>
        </w:rPr>
        <w:t>Psif</w:t>
      </w:r>
      <w:proofErr w:type="spellEnd"/>
      <w:r w:rsidR="00CB4A4E" w:rsidRPr="00CB4A4E">
        <w:rPr>
          <w:rFonts w:asciiTheme="majorBidi" w:hAnsiTheme="majorBidi" w:cstheme="majorBidi"/>
          <w:sz w:val="24"/>
          <w:szCs w:val="24"/>
        </w:rPr>
        <w:t xml:space="preserve">.   2023;23(1):436. Modifiable risk factors for postoperative delirium in older adults undergoing major non-cardiac elective surgery: a multi-center, trainee-delivered observational cohort feasibility study, and trainee survey. BMC </w:t>
      </w:r>
      <w:proofErr w:type="spellStart"/>
      <w:r w:rsidR="00CB4A4E" w:rsidRPr="00CB4A4E">
        <w:rPr>
          <w:rFonts w:asciiTheme="majorBidi" w:hAnsiTheme="majorBidi" w:cstheme="majorBidi"/>
          <w:sz w:val="24"/>
          <w:szCs w:val="24"/>
        </w:rPr>
        <w:t>Geriatr</w:t>
      </w:r>
      <w:proofErr w:type="spellEnd"/>
      <w:r w:rsidR="00CB4A4E" w:rsidRPr="00CB4A4E">
        <w:rPr>
          <w:rFonts w:asciiTheme="majorBidi" w:hAnsiTheme="majorBidi" w:cstheme="majorBidi"/>
          <w:sz w:val="24"/>
          <w:szCs w:val="24"/>
        </w:rPr>
        <w:t>. 2023.</w:t>
      </w:r>
    </w:p>
    <w:p w14:paraId="125EFBFD" w14:textId="334402EB" w:rsidR="00CB4A4E" w:rsidRPr="00CB4A4E" w:rsidRDefault="00F63E5D" w:rsidP="00CB4A4E">
      <w:pPr>
        <w:spacing w:line="360" w:lineRule="auto"/>
        <w:jc w:val="both"/>
        <w:rPr>
          <w:rFonts w:asciiTheme="majorBidi" w:hAnsiTheme="majorBidi" w:cstheme="majorBidi"/>
          <w:sz w:val="24"/>
          <w:szCs w:val="24"/>
        </w:rPr>
      </w:pPr>
      <w:r>
        <w:rPr>
          <w:rFonts w:asciiTheme="majorBidi" w:hAnsiTheme="majorBidi" w:cstheme="majorBidi"/>
          <w:sz w:val="24"/>
          <w:szCs w:val="24"/>
        </w:rPr>
        <w:t>[</w:t>
      </w:r>
      <w:r w:rsidR="00CB4A4E" w:rsidRPr="00CB4A4E">
        <w:rPr>
          <w:rFonts w:asciiTheme="majorBidi" w:hAnsiTheme="majorBidi" w:cstheme="majorBidi"/>
          <w:sz w:val="24"/>
          <w:szCs w:val="24"/>
        </w:rPr>
        <w:t>7</w:t>
      </w:r>
      <w:r>
        <w:rPr>
          <w:rFonts w:asciiTheme="majorBidi" w:hAnsiTheme="majorBidi" w:cstheme="majorBidi"/>
          <w:sz w:val="24"/>
          <w:szCs w:val="24"/>
        </w:rPr>
        <w:t xml:space="preserve">] </w:t>
      </w:r>
      <w:r w:rsidR="00CB4A4E" w:rsidRPr="00CB4A4E">
        <w:rPr>
          <w:rFonts w:asciiTheme="majorBidi" w:hAnsiTheme="majorBidi" w:cstheme="majorBidi"/>
          <w:sz w:val="24"/>
          <w:szCs w:val="24"/>
        </w:rPr>
        <w:t xml:space="preserve">​Janes H, Pepe MS, Gu W. Assessing the value of risk predictions by using risk stratification tables. Ann Intern Med. 2008 Nov 18;149(10):751-60. PubMed PMID: 19017593. </w:t>
      </w:r>
      <w:proofErr w:type="spellStart"/>
      <w:r w:rsidR="00CB4A4E" w:rsidRPr="00CB4A4E">
        <w:rPr>
          <w:rFonts w:asciiTheme="majorBidi" w:hAnsiTheme="majorBidi" w:cstheme="majorBidi"/>
          <w:sz w:val="24"/>
          <w:szCs w:val="24"/>
        </w:rPr>
        <w:t>Pubmed</w:t>
      </w:r>
      <w:proofErr w:type="spellEnd"/>
      <w:r w:rsidR="00CB4A4E" w:rsidRPr="00CB4A4E">
        <w:rPr>
          <w:rFonts w:asciiTheme="majorBidi" w:hAnsiTheme="majorBidi" w:cstheme="majorBidi"/>
          <w:sz w:val="24"/>
          <w:szCs w:val="24"/>
        </w:rPr>
        <w:t xml:space="preserve"> Central PMCID: PMC3091826. eng.</w:t>
      </w:r>
    </w:p>
    <w:p w14:paraId="60F5D5FA" w14:textId="283682AA" w:rsidR="00CB4A4E" w:rsidRPr="00CB4A4E" w:rsidRDefault="00F63E5D" w:rsidP="00CB4A4E">
      <w:pPr>
        <w:spacing w:line="360" w:lineRule="auto"/>
        <w:jc w:val="both"/>
        <w:rPr>
          <w:rFonts w:asciiTheme="majorBidi" w:hAnsiTheme="majorBidi" w:cstheme="majorBidi"/>
          <w:sz w:val="24"/>
          <w:szCs w:val="24"/>
        </w:rPr>
      </w:pPr>
      <w:r>
        <w:rPr>
          <w:rFonts w:asciiTheme="majorBidi" w:hAnsiTheme="majorBidi" w:cstheme="majorBidi"/>
          <w:sz w:val="24"/>
          <w:szCs w:val="24"/>
        </w:rPr>
        <w:t>[</w:t>
      </w:r>
      <w:r w:rsidR="00CB4A4E" w:rsidRPr="00CB4A4E">
        <w:rPr>
          <w:rFonts w:asciiTheme="majorBidi" w:hAnsiTheme="majorBidi" w:cstheme="majorBidi"/>
          <w:sz w:val="24"/>
          <w:szCs w:val="24"/>
        </w:rPr>
        <w:t>8</w:t>
      </w:r>
      <w:r>
        <w:rPr>
          <w:rFonts w:asciiTheme="majorBidi" w:hAnsiTheme="majorBidi" w:cstheme="majorBidi"/>
          <w:sz w:val="24"/>
          <w:szCs w:val="24"/>
        </w:rPr>
        <w:t xml:space="preserve">] </w:t>
      </w:r>
      <w:r w:rsidR="00CB4A4E" w:rsidRPr="00CB4A4E">
        <w:rPr>
          <w:rFonts w:asciiTheme="majorBidi" w:hAnsiTheme="majorBidi" w:cstheme="majorBidi"/>
          <w:sz w:val="24"/>
          <w:szCs w:val="24"/>
        </w:rPr>
        <w:t xml:space="preserve">​Xu Lin NT </w:t>
      </w:r>
      <w:proofErr w:type="spellStart"/>
      <w:r w:rsidR="00CB4A4E" w:rsidRPr="00CB4A4E">
        <w:rPr>
          <w:rFonts w:asciiTheme="majorBidi" w:hAnsiTheme="majorBidi" w:cstheme="majorBidi"/>
          <w:sz w:val="24"/>
          <w:szCs w:val="24"/>
        </w:rPr>
        <w:t>YWeaS</w:t>
      </w:r>
      <w:proofErr w:type="spellEnd"/>
      <w:r w:rsidR="00CB4A4E" w:rsidRPr="00CB4A4E">
        <w:rPr>
          <w:rFonts w:asciiTheme="majorBidi" w:hAnsiTheme="majorBidi" w:cstheme="majorBidi"/>
          <w:sz w:val="24"/>
          <w:szCs w:val="24"/>
        </w:rPr>
        <w:t>. Development and validation of a postoperative delirium risk prediction model for non-cardiac surgery in elderly patients: The PNDABLE Study. 2023.</w:t>
      </w:r>
    </w:p>
    <w:p w14:paraId="521EB315" w14:textId="096B4214" w:rsidR="00CB4A4E" w:rsidRPr="00CB4A4E" w:rsidRDefault="00F63E5D" w:rsidP="00CB4A4E">
      <w:pPr>
        <w:spacing w:line="360" w:lineRule="auto"/>
        <w:jc w:val="both"/>
        <w:rPr>
          <w:rFonts w:asciiTheme="majorBidi" w:hAnsiTheme="majorBidi" w:cstheme="majorBidi"/>
          <w:sz w:val="24"/>
          <w:szCs w:val="24"/>
        </w:rPr>
      </w:pPr>
      <w:r>
        <w:rPr>
          <w:rFonts w:asciiTheme="majorBidi" w:hAnsiTheme="majorBidi" w:cstheme="majorBidi"/>
          <w:sz w:val="24"/>
          <w:szCs w:val="24"/>
        </w:rPr>
        <w:t>[</w:t>
      </w:r>
      <w:r w:rsidR="00CB4A4E" w:rsidRPr="00CB4A4E">
        <w:rPr>
          <w:rFonts w:asciiTheme="majorBidi" w:hAnsiTheme="majorBidi" w:cstheme="majorBidi"/>
          <w:sz w:val="24"/>
          <w:szCs w:val="24"/>
        </w:rPr>
        <w:t>9</w:t>
      </w:r>
      <w:r>
        <w:rPr>
          <w:rFonts w:asciiTheme="majorBidi" w:hAnsiTheme="majorBidi" w:cstheme="majorBidi"/>
          <w:sz w:val="24"/>
          <w:szCs w:val="24"/>
        </w:rPr>
        <w:t xml:space="preserve">] </w:t>
      </w:r>
      <w:r w:rsidR="00CB4A4E" w:rsidRPr="00CB4A4E">
        <w:rPr>
          <w:rFonts w:asciiTheme="majorBidi" w:hAnsiTheme="majorBidi" w:cstheme="majorBidi"/>
          <w:sz w:val="24"/>
          <w:szCs w:val="24"/>
        </w:rPr>
        <w:t>​</w:t>
      </w:r>
      <w:proofErr w:type="spellStart"/>
      <w:r w:rsidR="00CB4A4E" w:rsidRPr="00CB4A4E">
        <w:rPr>
          <w:rFonts w:asciiTheme="majorBidi" w:hAnsiTheme="majorBidi" w:cstheme="majorBidi"/>
          <w:sz w:val="24"/>
          <w:szCs w:val="24"/>
        </w:rPr>
        <w:t>Zhi</w:t>
      </w:r>
      <w:proofErr w:type="spellEnd"/>
      <w:r w:rsidR="00CB4A4E" w:rsidRPr="00CB4A4E">
        <w:rPr>
          <w:rFonts w:asciiTheme="majorBidi" w:hAnsiTheme="majorBidi" w:cstheme="majorBidi"/>
          <w:sz w:val="24"/>
          <w:szCs w:val="24"/>
        </w:rPr>
        <w:t>-Hua Huang MKB X-</w:t>
      </w:r>
      <w:proofErr w:type="spellStart"/>
      <w:r w:rsidR="00CB4A4E" w:rsidRPr="00CB4A4E">
        <w:rPr>
          <w:rFonts w:asciiTheme="majorBidi" w:hAnsiTheme="majorBidi" w:cstheme="majorBidi"/>
          <w:sz w:val="24"/>
          <w:szCs w:val="24"/>
        </w:rPr>
        <w:t>YXeaA</w:t>
      </w:r>
      <w:proofErr w:type="spellEnd"/>
      <w:r w:rsidR="00CB4A4E" w:rsidRPr="00CB4A4E">
        <w:rPr>
          <w:rFonts w:asciiTheme="majorBidi" w:hAnsiTheme="majorBidi" w:cstheme="majorBidi"/>
          <w:sz w:val="24"/>
          <w:szCs w:val="24"/>
        </w:rPr>
        <w:t>. Development and validation of a postoperative delirium prediction model for patients undergoing abdominal surgery: A retrospective, observational, single-center study. 2023.</w:t>
      </w:r>
    </w:p>
    <w:p w14:paraId="43E52682" w14:textId="7A36EECE" w:rsidR="00E8239F" w:rsidRPr="00793B74" w:rsidRDefault="00F63E5D" w:rsidP="00793B74">
      <w:pPr>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w:t>
      </w:r>
      <w:r w:rsidR="00CB4A4E" w:rsidRPr="00CB4A4E">
        <w:rPr>
          <w:rFonts w:asciiTheme="majorBidi" w:hAnsiTheme="majorBidi" w:cstheme="majorBidi"/>
          <w:sz w:val="24"/>
          <w:szCs w:val="24"/>
        </w:rPr>
        <w:t>10</w:t>
      </w:r>
      <w:r>
        <w:rPr>
          <w:rFonts w:asciiTheme="majorBidi" w:hAnsiTheme="majorBidi" w:cstheme="majorBidi"/>
          <w:sz w:val="24"/>
          <w:szCs w:val="24"/>
        </w:rPr>
        <w:t xml:space="preserve">] </w:t>
      </w:r>
      <w:r w:rsidR="00CB4A4E" w:rsidRPr="00CB4A4E">
        <w:rPr>
          <w:rFonts w:asciiTheme="majorBidi" w:hAnsiTheme="majorBidi" w:cstheme="majorBidi"/>
          <w:sz w:val="24"/>
          <w:szCs w:val="24"/>
        </w:rPr>
        <w:t xml:space="preserve">​Yang Y, Wang T, Guo H, et al. Development and Validation of a Nomogram for Predicting Postoperative Delirium in Patients </w:t>
      </w:r>
      <w:proofErr w:type="gramStart"/>
      <w:r w:rsidR="00CB4A4E" w:rsidRPr="00CB4A4E">
        <w:rPr>
          <w:rFonts w:asciiTheme="majorBidi" w:hAnsiTheme="majorBidi" w:cstheme="majorBidi"/>
          <w:sz w:val="24"/>
          <w:szCs w:val="24"/>
        </w:rPr>
        <w:t>With</w:t>
      </w:r>
      <w:proofErr w:type="gramEnd"/>
      <w:r w:rsidR="00CB4A4E" w:rsidRPr="00CB4A4E">
        <w:rPr>
          <w:rFonts w:asciiTheme="majorBidi" w:hAnsiTheme="majorBidi" w:cstheme="majorBidi"/>
          <w:sz w:val="24"/>
          <w:szCs w:val="24"/>
        </w:rPr>
        <w:t xml:space="preserve"> Elderly Hip Fracture Based on Data Collected on Admission. Front Aging </w:t>
      </w:r>
      <w:proofErr w:type="spellStart"/>
      <w:r w:rsidR="00CB4A4E" w:rsidRPr="00CB4A4E">
        <w:rPr>
          <w:rFonts w:asciiTheme="majorBidi" w:hAnsiTheme="majorBidi" w:cstheme="majorBidi"/>
          <w:sz w:val="24"/>
          <w:szCs w:val="24"/>
        </w:rPr>
        <w:t>Neurosci</w:t>
      </w:r>
      <w:proofErr w:type="spellEnd"/>
      <w:r w:rsidR="00CB4A4E" w:rsidRPr="00CB4A4E">
        <w:rPr>
          <w:rFonts w:asciiTheme="majorBidi" w:hAnsiTheme="majorBidi" w:cstheme="majorBidi"/>
          <w:sz w:val="24"/>
          <w:szCs w:val="24"/>
        </w:rPr>
        <w:t xml:space="preserve">. </w:t>
      </w:r>
      <w:proofErr w:type="gramStart"/>
      <w:r w:rsidR="00CB4A4E" w:rsidRPr="00CB4A4E">
        <w:rPr>
          <w:rFonts w:asciiTheme="majorBidi" w:hAnsiTheme="majorBidi" w:cstheme="majorBidi"/>
          <w:sz w:val="24"/>
          <w:szCs w:val="24"/>
        </w:rPr>
        <w:t>2022;14:914002</w:t>
      </w:r>
      <w:proofErr w:type="gramEnd"/>
      <w:r w:rsidR="00CB4A4E" w:rsidRPr="00CB4A4E">
        <w:rPr>
          <w:rFonts w:asciiTheme="majorBidi" w:hAnsiTheme="majorBidi" w:cstheme="majorBidi"/>
          <w:sz w:val="24"/>
          <w:szCs w:val="24"/>
        </w:rPr>
        <w:t xml:space="preserve">. PubMed PMID: 35783136. </w:t>
      </w:r>
      <w:proofErr w:type="spellStart"/>
      <w:r w:rsidR="00CB4A4E" w:rsidRPr="00CB4A4E">
        <w:rPr>
          <w:rFonts w:asciiTheme="majorBidi" w:hAnsiTheme="majorBidi" w:cstheme="majorBidi"/>
          <w:sz w:val="24"/>
          <w:szCs w:val="24"/>
        </w:rPr>
        <w:t>Pubmed</w:t>
      </w:r>
      <w:proofErr w:type="spellEnd"/>
      <w:r w:rsidR="00CB4A4E" w:rsidRPr="00CB4A4E">
        <w:rPr>
          <w:rFonts w:asciiTheme="majorBidi" w:hAnsiTheme="majorBidi" w:cstheme="majorBidi"/>
          <w:sz w:val="24"/>
          <w:szCs w:val="24"/>
        </w:rPr>
        <w:t xml:space="preserve"> Central PMCID: PMC9243358. </w:t>
      </w:r>
      <w:proofErr w:type="spellStart"/>
      <w:r w:rsidR="00CB4A4E" w:rsidRPr="00CB4A4E">
        <w:rPr>
          <w:rFonts w:asciiTheme="majorBidi" w:hAnsiTheme="majorBidi" w:cstheme="majorBidi"/>
          <w:sz w:val="24"/>
          <w:szCs w:val="24"/>
        </w:rPr>
        <w:t>Epub</w:t>
      </w:r>
      <w:proofErr w:type="spellEnd"/>
      <w:r w:rsidR="00CB4A4E" w:rsidRPr="00CB4A4E">
        <w:rPr>
          <w:rFonts w:asciiTheme="majorBidi" w:hAnsiTheme="majorBidi" w:cstheme="majorBidi"/>
          <w:sz w:val="24"/>
          <w:szCs w:val="24"/>
        </w:rPr>
        <w:t xml:space="preserve"> 20220616. eng.</w:t>
      </w:r>
    </w:p>
    <w:p w14:paraId="1BE29B85" w14:textId="21415F8D" w:rsidR="00F51231" w:rsidRPr="00F51231" w:rsidRDefault="008D1BB5" w:rsidP="00F51231">
      <w:pPr>
        <w:spacing w:after="160" w:line="36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[11] </w:t>
      </w:r>
      <w:r w:rsidR="00F51231" w:rsidRPr="00F51231">
        <w:rPr>
          <w:rFonts w:asciiTheme="majorBidi" w:eastAsia="Times New Roman" w:hAnsiTheme="majorBidi" w:cstheme="majorBidi"/>
          <w:color w:val="000000"/>
          <w:sz w:val="24"/>
          <w:szCs w:val="24"/>
        </w:rPr>
        <w:t xml:space="preserve">Shen J, </w:t>
      </w:r>
      <w:proofErr w:type="gramStart"/>
      <w:r w:rsidR="00F51231" w:rsidRPr="00F51231">
        <w:rPr>
          <w:rFonts w:asciiTheme="majorBidi" w:eastAsia="Times New Roman" w:hAnsiTheme="majorBidi" w:cstheme="majorBidi"/>
          <w:color w:val="000000"/>
          <w:sz w:val="24"/>
          <w:szCs w:val="24"/>
        </w:rPr>
        <w:t>An</w:t>
      </w:r>
      <w:proofErr w:type="gramEnd"/>
      <w:r w:rsidR="00F51231" w:rsidRPr="00F51231">
        <w:rPr>
          <w:rFonts w:asciiTheme="majorBidi" w:eastAsia="Times New Roman" w:hAnsiTheme="majorBidi" w:cstheme="majorBidi"/>
          <w:color w:val="000000"/>
          <w:sz w:val="24"/>
          <w:szCs w:val="24"/>
        </w:rPr>
        <w:t xml:space="preserve"> Y, Jiang B, Zhang P. Derivation and validation of a prediction score for postoperative delirium in geriatric patients undergoing hip fracture surgery or hip arthroplasty. Front Surg. </w:t>
      </w:r>
      <w:proofErr w:type="gramStart"/>
      <w:r w:rsidR="00F51231" w:rsidRPr="00F51231">
        <w:rPr>
          <w:rFonts w:asciiTheme="majorBidi" w:eastAsia="Times New Roman" w:hAnsiTheme="majorBidi" w:cstheme="majorBidi"/>
          <w:color w:val="000000"/>
          <w:sz w:val="24"/>
          <w:szCs w:val="24"/>
        </w:rPr>
        <w:t>2022;9:919886</w:t>
      </w:r>
      <w:proofErr w:type="gramEnd"/>
      <w:r w:rsidR="00F51231" w:rsidRPr="00F51231">
        <w:rPr>
          <w:rFonts w:asciiTheme="majorBidi" w:eastAsia="Times New Roman" w:hAnsiTheme="majorBidi" w:cstheme="majorBidi"/>
          <w:color w:val="000000"/>
          <w:sz w:val="24"/>
          <w:szCs w:val="24"/>
        </w:rPr>
        <w:t xml:space="preserve">. PubMed PMID: 36061065. </w:t>
      </w:r>
      <w:proofErr w:type="spellStart"/>
      <w:r w:rsidR="00F51231" w:rsidRPr="00F51231">
        <w:rPr>
          <w:rFonts w:asciiTheme="majorBidi" w:eastAsia="Times New Roman" w:hAnsiTheme="majorBidi" w:cstheme="majorBidi"/>
          <w:color w:val="000000"/>
          <w:sz w:val="24"/>
          <w:szCs w:val="24"/>
        </w:rPr>
        <w:t>Pubmed</w:t>
      </w:r>
      <w:proofErr w:type="spellEnd"/>
      <w:r w:rsidR="00F51231" w:rsidRPr="00F51231">
        <w:rPr>
          <w:rFonts w:asciiTheme="majorBidi" w:eastAsia="Times New Roman" w:hAnsiTheme="majorBidi" w:cstheme="majorBidi"/>
          <w:color w:val="000000"/>
          <w:sz w:val="24"/>
          <w:szCs w:val="24"/>
        </w:rPr>
        <w:t xml:space="preserve"> Central PMCID: PMC9437918. </w:t>
      </w:r>
      <w:proofErr w:type="spellStart"/>
      <w:r w:rsidR="00F51231" w:rsidRPr="00F51231">
        <w:rPr>
          <w:rFonts w:asciiTheme="majorBidi" w:eastAsia="Times New Roman" w:hAnsiTheme="majorBidi" w:cstheme="majorBidi"/>
          <w:color w:val="000000"/>
          <w:sz w:val="24"/>
          <w:szCs w:val="24"/>
        </w:rPr>
        <w:t>Epub</w:t>
      </w:r>
      <w:proofErr w:type="spellEnd"/>
      <w:r w:rsidR="00F51231" w:rsidRPr="00F51231">
        <w:rPr>
          <w:rFonts w:asciiTheme="majorBidi" w:eastAsia="Times New Roman" w:hAnsiTheme="majorBidi" w:cstheme="majorBidi"/>
          <w:color w:val="000000"/>
          <w:sz w:val="24"/>
          <w:szCs w:val="24"/>
        </w:rPr>
        <w:t xml:space="preserve"> 20220819. eng.</w:t>
      </w:r>
    </w:p>
    <w:p w14:paraId="5F7501F3" w14:textId="0E076AC9" w:rsidR="00F51231" w:rsidRPr="00F51231" w:rsidRDefault="008D1BB5" w:rsidP="00F51231">
      <w:pPr>
        <w:spacing w:after="160" w:line="36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w:t>
      </w:r>
      <w:r w:rsidR="00F51231" w:rsidRPr="00F51231">
        <w:rPr>
          <w:rFonts w:asciiTheme="majorBidi" w:eastAsia="Times New Roman" w:hAnsiTheme="majorBidi" w:cstheme="majorBidi"/>
          <w:color w:val="000000"/>
          <w:sz w:val="24"/>
          <w:szCs w:val="24"/>
        </w:rPr>
        <w:t>12</w:t>
      </w:r>
      <w:r>
        <w:rPr>
          <w:rFonts w:asciiTheme="majorBidi" w:eastAsia="Times New Roman" w:hAnsiTheme="majorBidi" w:cstheme="majorBidi"/>
          <w:color w:val="000000"/>
          <w:sz w:val="24"/>
          <w:szCs w:val="24"/>
        </w:rPr>
        <w:t xml:space="preserve">] </w:t>
      </w:r>
      <w:r w:rsidR="00F51231" w:rsidRPr="00F51231">
        <w:rPr>
          <w:rFonts w:asciiTheme="majorBidi" w:eastAsia="Times New Roman" w:hAnsiTheme="majorBidi" w:cstheme="majorBidi"/>
          <w:color w:val="000000"/>
          <w:sz w:val="24"/>
          <w:szCs w:val="24"/>
        </w:rPr>
        <w:t xml:space="preserve">​Song YX, Yang XD, Luo YG, et al. Comparison of logistic regression and machine learning methods for predicting postoperative delirium in elderly patients: A retrospective study. CNS </w:t>
      </w:r>
      <w:proofErr w:type="spellStart"/>
      <w:r w:rsidR="00F51231" w:rsidRPr="00F51231">
        <w:rPr>
          <w:rFonts w:asciiTheme="majorBidi" w:eastAsia="Times New Roman" w:hAnsiTheme="majorBidi" w:cstheme="majorBidi"/>
          <w:color w:val="000000"/>
          <w:sz w:val="24"/>
          <w:szCs w:val="24"/>
        </w:rPr>
        <w:t>Neurosci</w:t>
      </w:r>
      <w:proofErr w:type="spellEnd"/>
      <w:r w:rsidR="00F51231" w:rsidRPr="00F51231">
        <w:rPr>
          <w:rFonts w:asciiTheme="majorBidi" w:eastAsia="Times New Roman" w:hAnsiTheme="majorBidi" w:cstheme="majorBidi"/>
          <w:color w:val="000000"/>
          <w:sz w:val="24"/>
          <w:szCs w:val="24"/>
        </w:rPr>
        <w:t xml:space="preserve"> </w:t>
      </w:r>
      <w:proofErr w:type="spellStart"/>
      <w:r w:rsidR="00F51231" w:rsidRPr="00F51231">
        <w:rPr>
          <w:rFonts w:asciiTheme="majorBidi" w:eastAsia="Times New Roman" w:hAnsiTheme="majorBidi" w:cstheme="majorBidi"/>
          <w:color w:val="000000"/>
          <w:sz w:val="24"/>
          <w:szCs w:val="24"/>
        </w:rPr>
        <w:t>Ther</w:t>
      </w:r>
      <w:proofErr w:type="spellEnd"/>
      <w:r w:rsidR="00F51231" w:rsidRPr="00F51231">
        <w:rPr>
          <w:rFonts w:asciiTheme="majorBidi" w:eastAsia="Times New Roman" w:hAnsiTheme="majorBidi" w:cstheme="majorBidi"/>
          <w:color w:val="000000"/>
          <w:sz w:val="24"/>
          <w:szCs w:val="24"/>
        </w:rPr>
        <w:t xml:space="preserve">. 2023 Jan;29(1):158-67. PubMed PMID: 36217732. </w:t>
      </w:r>
      <w:proofErr w:type="spellStart"/>
      <w:r w:rsidR="00F51231" w:rsidRPr="00F51231">
        <w:rPr>
          <w:rFonts w:asciiTheme="majorBidi" w:eastAsia="Times New Roman" w:hAnsiTheme="majorBidi" w:cstheme="majorBidi"/>
          <w:color w:val="000000"/>
          <w:sz w:val="24"/>
          <w:szCs w:val="24"/>
        </w:rPr>
        <w:t>Pubmed</w:t>
      </w:r>
      <w:proofErr w:type="spellEnd"/>
      <w:r w:rsidR="00F51231" w:rsidRPr="00F51231">
        <w:rPr>
          <w:rFonts w:asciiTheme="majorBidi" w:eastAsia="Times New Roman" w:hAnsiTheme="majorBidi" w:cstheme="majorBidi"/>
          <w:color w:val="000000"/>
          <w:sz w:val="24"/>
          <w:szCs w:val="24"/>
        </w:rPr>
        <w:t xml:space="preserve"> Central PMCID: PMC9804041. </w:t>
      </w:r>
      <w:proofErr w:type="spellStart"/>
      <w:r w:rsidR="00F51231" w:rsidRPr="00F51231">
        <w:rPr>
          <w:rFonts w:asciiTheme="majorBidi" w:eastAsia="Times New Roman" w:hAnsiTheme="majorBidi" w:cstheme="majorBidi"/>
          <w:color w:val="000000"/>
          <w:sz w:val="24"/>
          <w:szCs w:val="24"/>
        </w:rPr>
        <w:t>Epub</w:t>
      </w:r>
      <w:proofErr w:type="spellEnd"/>
      <w:r w:rsidR="00F51231" w:rsidRPr="00F51231">
        <w:rPr>
          <w:rFonts w:asciiTheme="majorBidi" w:eastAsia="Times New Roman" w:hAnsiTheme="majorBidi" w:cstheme="majorBidi"/>
          <w:color w:val="000000"/>
          <w:sz w:val="24"/>
          <w:szCs w:val="24"/>
        </w:rPr>
        <w:t xml:space="preserve"> 20221011. eng.</w:t>
      </w:r>
    </w:p>
    <w:p w14:paraId="26D8AFCE" w14:textId="6830E366" w:rsidR="00F51231" w:rsidRPr="00F51231" w:rsidRDefault="008D1BB5" w:rsidP="00F51231">
      <w:pPr>
        <w:spacing w:after="160" w:line="36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w:t>
      </w:r>
      <w:r w:rsidR="00F51231" w:rsidRPr="00F51231">
        <w:rPr>
          <w:rFonts w:asciiTheme="majorBidi" w:eastAsia="Times New Roman" w:hAnsiTheme="majorBidi" w:cstheme="majorBidi"/>
          <w:color w:val="000000"/>
          <w:sz w:val="24"/>
          <w:szCs w:val="24"/>
        </w:rPr>
        <w:t>13</w:t>
      </w:r>
      <w:r>
        <w:rPr>
          <w:rFonts w:asciiTheme="majorBidi" w:eastAsia="Times New Roman" w:hAnsiTheme="majorBidi" w:cstheme="majorBidi"/>
          <w:color w:val="000000"/>
          <w:sz w:val="24"/>
          <w:szCs w:val="24"/>
        </w:rPr>
        <w:t xml:space="preserve">] </w:t>
      </w:r>
      <w:r w:rsidR="00F51231" w:rsidRPr="00F51231">
        <w:rPr>
          <w:rFonts w:asciiTheme="majorBidi" w:eastAsia="Times New Roman" w:hAnsiTheme="majorBidi" w:cstheme="majorBidi"/>
          <w:color w:val="000000"/>
          <w:sz w:val="24"/>
          <w:szCs w:val="24"/>
        </w:rPr>
        <w:t>​Hu XY LH, Zhao X, Sun X, Zhou J, Gao X, et al.  2022;28(4):608-18</w:t>
      </w:r>
      <w:proofErr w:type="gramStart"/>
      <w:r w:rsidR="00F51231" w:rsidRPr="00F51231">
        <w:rPr>
          <w:rFonts w:asciiTheme="majorBidi" w:eastAsia="Times New Roman" w:hAnsiTheme="majorBidi" w:cstheme="majorBidi"/>
          <w:color w:val="000000"/>
          <w:sz w:val="24"/>
          <w:szCs w:val="24"/>
        </w:rPr>
        <w:t>. .</w:t>
      </w:r>
      <w:proofErr w:type="gramEnd"/>
      <w:r w:rsidR="00F51231" w:rsidRPr="00F51231">
        <w:rPr>
          <w:rFonts w:asciiTheme="majorBidi" w:eastAsia="Times New Roman" w:hAnsiTheme="majorBidi" w:cstheme="majorBidi"/>
          <w:color w:val="000000"/>
          <w:sz w:val="24"/>
          <w:szCs w:val="24"/>
        </w:rPr>
        <w:t xml:space="preserve"> An automated machine learning-based model predicts postoperative delirium using readily extractable perioperative-collected electronic data</w:t>
      </w:r>
      <w:proofErr w:type="gramStart"/>
      <w:r w:rsidR="00F51231" w:rsidRPr="00F51231">
        <w:rPr>
          <w:rFonts w:asciiTheme="majorBidi" w:eastAsia="Times New Roman" w:hAnsiTheme="majorBidi" w:cstheme="majorBidi"/>
          <w:color w:val="000000"/>
          <w:sz w:val="24"/>
          <w:szCs w:val="24"/>
        </w:rPr>
        <w:t>. .</w:t>
      </w:r>
      <w:proofErr w:type="gramEnd"/>
      <w:r w:rsidR="00F51231" w:rsidRPr="00F51231">
        <w:rPr>
          <w:rFonts w:asciiTheme="majorBidi" w:eastAsia="Times New Roman" w:hAnsiTheme="majorBidi" w:cstheme="majorBidi"/>
          <w:color w:val="000000"/>
          <w:sz w:val="24"/>
          <w:szCs w:val="24"/>
        </w:rPr>
        <w:t xml:space="preserve"> CNS </w:t>
      </w:r>
      <w:proofErr w:type="spellStart"/>
      <w:r w:rsidR="00F51231" w:rsidRPr="00F51231">
        <w:rPr>
          <w:rFonts w:asciiTheme="majorBidi" w:eastAsia="Times New Roman" w:hAnsiTheme="majorBidi" w:cstheme="majorBidi"/>
          <w:color w:val="000000"/>
          <w:sz w:val="24"/>
          <w:szCs w:val="24"/>
        </w:rPr>
        <w:t>Neurosci</w:t>
      </w:r>
      <w:proofErr w:type="spellEnd"/>
      <w:r w:rsidR="00F51231" w:rsidRPr="00F51231">
        <w:rPr>
          <w:rFonts w:asciiTheme="majorBidi" w:eastAsia="Times New Roman" w:hAnsiTheme="majorBidi" w:cstheme="majorBidi"/>
          <w:color w:val="000000"/>
          <w:sz w:val="24"/>
          <w:szCs w:val="24"/>
        </w:rPr>
        <w:t xml:space="preserve"> </w:t>
      </w:r>
      <w:proofErr w:type="spellStart"/>
      <w:r w:rsidR="00F51231" w:rsidRPr="00F51231">
        <w:rPr>
          <w:rFonts w:asciiTheme="majorBidi" w:eastAsia="Times New Roman" w:hAnsiTheme="majorBidi" w:cstheme="majorBidi"/>
          <w:color w:val="000000"/>
          <w:sz w:val="24"/>
          <w:szCs w:val="24"/>
        </w:rPr>
        <w:t>Ther</w:t>
      </w:r>
      <w:proofErr w:type="spellEnd"/>
      <w:r w:rsidR="00F51231" w:rsidRPr="00F51231">
        <w:rPr>
          <w:rFonts w:asciiTheme="majorBidi" w:eastAsia="Times New Roman" w:hAnsiTheme="majorBidi" w:cstheme="majorBidi"/>
          <w:color w:val="000000"/>
          <w:sz w:val="24"/>
          <w:szCs w:val="24"/>
        </w:rPr>
        <w:t>. 2022.</w:t>
      </w:r>
    </w:p>
    <w:p w14:paraId="61DD3438" w14:textId="47BB3D0C" w:rsidR="00F51231" w:rsidRPr="00F51231" w:rsidRDefault="008D1BB5" w:rsidP="00F51231">
      <w:pPr>
        <w:spacing w:after="160" w:line="36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w:t>
      </w:r>
      <w:r w:rsidR="00F51231" w:rsidRPr="00F51231">
        <w:rPr>
          <w:rFonts w:asciiTheme="majorBidi" w:eastAsia="Times New Roman" w:hAnsiTheme="majorBidi" w:cstheme="majorBidi"/>
          <w:color w:val="000000"/>
          <w:sz w:val="24"/>
          <w:szCs w:val="24"/>
        </w:rPr>
        <w:t>14</w:t>
      </w:r>
      <w:r>
        <w:rPr>
          <w:rFonts w:asciiTheme="majorBidi" w:eastAsia="Times New Roman" w:hAnsiTheme="majorBidi" w:cstheme="majorBidi"/>
          <w:color w:val="000000"/>
          <w:sz w:val="24"/>
          <w:szCs w:val="24"/>
        </w:rPr>
        <w:t xml:space="preserve">] </w:t>
      </w:r>
      <w:r w:rsidR="00F51231" w:rsidRPr="00F51231">
        <w:rPr>
          <w:rFonts w:asciiTheme="majorBidi" w:eastAsia="Times New Roman" w:hAnsiTheme="majorBidi" w:cstheme="majorBidi"/>
          <w:color w:val="000000"/>
          <w:sz w:val="24"/>
          <w:szCs w:val="24"/>
        </w:rPr>
        <w:t xml:space="preserve">​Zhang Y WD, Chen M, Li YL, Ying H, Yao GL, </w:t>
      </w:r>
      <w:proofErr w:type="gramStart"/>
      <w:r w:rsidR="00F51231" w:rsidRPr="00F51231">
        <w:rPr>
          <w:rFonts w:asciiTheme="majorBidi" w:eastAsia="Times New Roman" w:hAnsiTheme="majorBidi" w:cstheme="majorBidi"/>
          <w:color w:val="000000"/>
          <w:sz w:val="24"/>
          <w:szCs w:val="24"/>
        </w:rPr>
        <w:t>et al. .</w:t>
      </w:r>
      <w:proofErr w:type="gramEnd"/>
      <w:r w:rsidR="00F51231" w:rsidRPr="00F51231">
        <w:rPr>
          <w:rFonts w:asciiTheme="majorBidi" w:eastAsia="Times New Roman" w:hAnsiTheme="majorBidi" w:cstheme="majorBidi"/>
          <w:color w:val="000000"/>
          <w:sz w:val="24"/>
          <w:szCs w:val="24"/>
        </w:rPr>
        <w:t xml:space="preserve"> 2023;29(1):282-95</w:t>
      </w:r>
      <w:proofErr w:type="gramStart"/>
      <w:r w:rsidR="00F51231" w:rsidRPr="00F51231">
        <w:rPr>
          <w:rFonts w:asciiTheme="majorBidi" w:eastAsia="Times New Roman" w:hAnsiTheme="majorBidi" w:cstheme="majorBidi"/>
          <w:color w:val="000000"/>
          <w:sz w:val="24"/>
          <w:szCs w:val="24"/>
        </w:rPr>
        <w:t>. .</w:t>
      </w:r>
      <w:proofErr w:type="gramEnd"/>
      <w:r w:rsidR="00F51231" w:rsidRPr="00F51231">
        <w:rPr>
          <w:rFonts w:asciiTheme="majorBidi" w:eastAsia="Times New Roman" w:hAnsiTheme="majorBidi" w:cstheme="majorBidi"/>
          <w:color w:val="000000"/>
          <w:sz w:val="24"/>
          <w:szCs w:val="24"/>
        </w:rPr>
        <w:t xml:space="preserve"> Automated machine learning-based model for predicting delirium in patients after surgery for degenerative spinal disease</w:t>
      </w:r>
      <w:proofErr w:type="gramStart"/>
      <w:r w:rsidR="00F51231" w:rsidRPr="00F51231">
        <w:rPr>
          <w:rFonts w:asciiTheme="majorBidi" w:eastAsia="Times New Roman" w:hAnsiTheme="majorBidi" w:cstheme="majorBidi"/>
          <w:color w:val="000000"/>
          <w:sz w:val="24"/>
          <w:szCs w:val="24"/>
        </w:rPr>
        <w:t>. .</w:t>
      </w:r>
      <w:proofErr w:type="gramEnd"/>
      <w:r w:rsidR="00F51231" w:rsidRPr="00F51231">
        <w:rPr>
          <w:rFonts w:asciiTheme="majorBidi" w:eastAsia="Times New Roman" w:hAnsiTheme="majorBidi" w:cstheme="majorBidi"/>
          <w:color w:val="000000"/>
          <w:sz w:val="24"/>
          <w:szCs w:val="24"/>
        </w:rPr>
        <w:t xml:space="preserve"> CNS </w:t>
      </w:r>
      <w:proofErr w:type="spellStart"/>
      <w:r w:rsidR="00F51231" w:rsidRPr="00F51231">
        <w:rPr>
          <w:rFonts w:asciiTheme="majorBidi" w:eastAsia="Times New Roman" w:hAnsiTheme="majorBidi" w:cstheme="majorBidi"/>
          <w:color w:val="000000"/>
          <w:sz w:val="24"/>
          <w:szCs w:val="24"/>
        </w:rPr>
        <w:t>Neurosci</w:t>
      </w:r>
      <w:proofErr w:type="spellEnd"/>
      <w:r w:rsidR="00F51231" w:rsidRPr="00F51231">
        <w:rPr>
          <w:rFonts w:asciiTheme="majorBidi" w:eastAsia="Times New Roman" w:hAnsiTheme="majorBidi" w:cstheme="majorBidi"/>
          <w:color w:val="000000"/>
          <w:sz w:val="24"/>
          <w:szCs w:val="24"/>
        </w:rPr>
        <w:t xml:space="preserve"> </w:t>
      </w:r>
      <w:proofErr w:type="spellStart"/>
      <w:r w:rsidR="00F51231" w:rsidRPr="00F51231">
        <w:rPr>
          <w:rFonts w:asciiTheme="majorBidi" w:eastAsia="Times New Roman" w:hAnsiTheme="majorBidi" w:cstheme="majorBidi"/>
          <w:color w:val="000000"/>
          <w:sz w:val="24"/>
          <w:szCs w:val="24"/>
        </w:rPr>
        <w:t>Ther</w:t>
      </w:r>
      <w:proofErr w:type="spellEnd"/>
      <w:r w:rsidR="00F51231" w:rsidRPr="00F51231">
        <w:rPr>
          <w:rFonts w:asciiTheme="majorBidi" w:eastAsia="Times New Roman" w:hAnsiTheme="majorBidi" w:cstheme="majorBidi"/>
          <w:color w:val="000000"/>
          <w:sz w:val="24"/>
          <w:szCs w:val="24"/>
        </w:rPr>
        <w:t>. 2023.</w:t>
      </w:r>
    </w:p>
    <w:p w14:paraId="7E2945FF" w14:textId="4EE531B6" w:rsidR="00F51231" w:rsidRPr="00F51231" w:rsidRDefault="008D1BB5" w:rsidP="00F51231">
      <w:pPr>
        <w:spacing w:after="160" w:line="36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w:t>
      </w:r>
      <w:r w:rsidR="00F51231" w:rsidRPr="00F51231">
        <w:rPr>
          <w:rFonts w:asciiTheme="majorBidi" w:eastAsia="Times New Roman" w:hAnsiTheme="majorBidi" w:cstheme="majorBidi"/>
          <w:color w:val="000000"/>
          <w:sz w:val="24"/>
          <w:szCs w:val="24"/>
        </w:rPr>
        <w:t>15</w:t>
      </w:r>
      <w:r>
        <w:rPr>
          <w:rFonts w:asciiTheme="majorBidi" w:eastAsia="Times New Roman" w:hAnsiTheme="majorBidi" w:cstheme="majorBidi"/>
          <w:color w:val="000000"/>
          <w:sz w:val="24"/>
          <w:szCs w:val="24"/>
        </w:rPr>
        <w:t xml:space="preserve">] </w:t>
      </w:r>
      <w:r w:rsidR="00F51231" w:rsidRPr="00F51231">
        <w:rPr>
          <w:rFonts w:asciiTheme="majorBidi" w:eastAsia="Times New Roman" w:hAnsiTheme="majorBidi" w:cstheme="majorBidi"/>
          <w:color w:val="000000"/>
          <w:sz w:val="24"/>
          <w:szCs w:val="24"/>
        </w:rPr>
        <w:t xml:space="preserve">​Liu Y, Shen W, Tian Z. Using Machine Learning Algorithms to Predict High-Risk Factors for Postoperative Delirium in Elderly Patients. Clin </w:t>
      </w:r>
      <w:proofErr w:type="spellStart"/>
      <w:r w:rsidR="00F51231" w:rsidRPr="00F51231">
        <w:rPr>
          <w:rFonts w:asciiTheme="majorBidi" w:eastAsia="Times New Roman" w:hAnsiTheme="majorBidi" w:cstheme="majorBidi"/>
          <w:color w:val="000000"/>
          <w:sz w:val="24"/>
          <w:szCs w:val="24"/>
        </w:rPr>
        <w:t>Interv</w:t>
      </w:r>
      <w:proofErr w:type="spellEnd"/>
      <w:r w:rsidR="00F51231" w:rsidRPr="00F51231">
        <w:rPr>
          <w:rFonts w:asciiTheme="majorBidi" w:eastAsia="Times New Roman" w:hAnsiTheme="majorBidi" w:cstheme="majorBidi"/>
          <w:color w:val="000000"/>
          <w:sz w:val="24"/>
          <w:szCs w:val="24"/>
        </w:rPr>
        <w:t xml:space="preserve"> Aging. </w:t>
      </w:r>
      <w:proofErr w:type="gramStart"/>
      <w:r w:rsidR="00F51231" w:rsidRPr="00F51231">
        <w:rPr>
          <w:rFonts w:asciiTheme="majorBidi" w:eastAsia="Times New Roman" w:hAnsiTheme="majorBidi" w:cstheme="majorBidi"/>
          <w:color w:val="000000"/>
          <w:sz w:val="24"/>
          <w:szCs w:val="24"/>
        </w:rPr>
        <w:t>2023;18:157</w:t>
      </w:r>
      <w:proofErr w:type="gramEnd"/>
      <w:r w:rsidR="00F51231" w:rsidRPr="00F51231">
        <w:rPr>
          <w:rFonts w:asciiTheme="majorBidi" w:eastAsia="Times New Roman" w:hAnsiTheme="majorBidi" w:cstheme="majorBidi"/>
          <w:color w:val="000000"/>
          <w:sz w:val="24"/>
          <w:szCs w:val="24"/>
        </w:rPr>
        <w:t xml:space="preserve">-68. PubMed PMID: 36789284. </w:t>
      </w:r>
      <w:proofErr w:type="spellStart"/>
      <w:r w:rsidR="00F51231" w:rsidRPr="00F51231">
        <w:rPr>
          <w:rFonts w:asciiTheme="majorBidi" w:eastAsia="Times New Roman" w:hAnsiTheme="majorBidi" w:cstheme="majorBidi"/>
          <w:color w:val="000000"/>
          <w:sz w:val="24"/>
          <w:szCs w:val="24"/>
        </w:rPr>
        <w:t>Pubmed</w:t>
      </w:r>
      <w:proofErr w:type="spellEnd"/>
      <w:r w:rsidR="00F51231" w:rsidRPr="00F51231">
        <w:rPr>
          <w:rFonts w:asciiTheme="majorBidi" w:eastAsia="Times New Roman" w:hAnsiTheme="majorBidi" w:cstheme="majorBidi"/>
          <w:color w:val="000000"/>
          <w:sz w:val="24"/>
          <w:szCs w:val="24"/>
        </w:rPr>
        <w:t xml:space="preserve"> Central PMCID: PMC9922512. </w:t>
      </w:r>
      <w:proofErr w:type="spellStart"/>
      <w:r w:rsidR="00F51231" w:rsidRPr="00F51231">
        <w:rPr>
          <w:rFonts w:asciiTheme="majorBidi" w:eastAsia="Times New Roman" w:hAnsiTheme="majorBidi" w:cstheme="majorBidi"/>
          <w:color w:val="000000"/>
          <w:sz w:val="24"/>
          <w:szCs w:val="24"/>
        </w:rPr>
        <w:t>Epub</w:t>
      </w:r>
      <w:proofErr w:type="spellEnd"/>
      <w:r w:rsidR="00F51231" w:rsidRPr="00F51231">
        <w:rPr>
          <w:rFonts w:asciiTheme="majorBidi" w:eastAsia="Times New Roman" w:hAnsiTheme="majorBidi" w:cstheme="majorBidi"/>
          <w:color w:val="000000"/>
          <w:sz w:val="24"/>
          <w:szCs w:val="24"/>
        </w:rPr>
        <w:t xml:space="preserve"> 20230208. eng.</w:t>
      </w:r>
    </w:p>
    <w:p w14:paraId="106F38EE" w14:textId="4100DA58" w:rsidR="00F51231" w:rsidRPr="00F51231" w:rsidRDefault="008D1BB5" w:rsidP="00F51231">
      <w:pPr>
        <w:spacing w:after="160" w:line="36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w:t>
      </w:r>
      <w:r w:rsidR="00F51231" w:rsidRPr="00F51231">
        <w:rPr>
          <w:rFonts w:asciiTheme="majorBidi" w:eastAsia="Times New Roman" w:hAnsiTheme="majorBidi" w:cstheme="majorBidi"/>
          <w:color w:val="000000"/>
          <w:sz w:val="24"/>
          <w:szCs w:val="24"/>
        </w:rPr>
        <w:t>16</w:t>
      </w:r>
      <w:r>
        <w:rPr>
          <w:rFonts w:asciiTheme="majorBidi" w:eastAsia="Times New Roman" w:hAnsiTheme="majorBidi" w:cstheme="majorBidi"/>
          <w:color w:val="000000"/>
          <w:sz w:val="24"/>
          <w:szCs w:val="24"/>
        </w:rPr>
        <w:t xml:space="preserve">] </w:t>
      </w:r>
      <w:r w:rsidR="00F51231" w:rsidRPr="00F51231">
        <w:rPr>
          <w:rFonts w:asciiTheme="majorBidi" w:eastAsia="Times New Roman" w:hAnsiTheme="majorBidi" w:cstheme="majorBidi"/>
          <w:color w:val="000000"/>
          <w:sz w:val="24"/>
          <w:szCs w:val="24"/>
        </w:rPr>
        <w:t xml:space="preserve">​Chen J, Ji X, Xing H. Risk factors and a nomogram model for postoperative delirium in elderly gastric cancer patients after laparoscopic gastrectomy. World J Surg Oncol. 2022 Sep 29;20(1):319. PubMed PMID: 36171580. </w:t>
      </w:r>
      <w:proofErr w:type="spellStart"/>
      <w:r w:rsidR="00F51231" w:rsidRPr="00F51231">
        <w:rPr>
          <w:rFonts w:asciiTheme="majorBidi" w:eastAsia="Times New Roman" w:hAnsiTheme="majorBidi" w:cstheme="majorBidi"/>
          <w:color w:val="000000"/>
          <w:sz w:val="24"/>
          <w:szCs w:val="24"/>
        </w:rPr>
        <w:t>Pubmed</w:t>
      </w:r>
      <w:proofErr w:type="spellEnd"/>
      <w:r w:rsidR="00F51231" w:rsidRPr="00F51231">
        <w:rPr>
          <w:rFonts w:asciiTheme="majorBidi" w:eastAsia="Times New Roman" w:hAnsiTheme="majorBidi" w:cstheme="majorBidi"/>
          <w:color w:val="000000"/>
          <w:sz w:val="24"/>
          <w:szCs w:val="24"/>
        </w:rPr>
        <w:t xml:space="preserve"> Central PMCID: PMC9520878. </w:t>
      </w:r>
      <w:proofErr w:type="spellStart"/>
      <w:r w:rsidR="00F51231" w:rsidRPr="00F51231">
        <w:rPr>
          <w:rFonts w:asciiTheme="majorBidi" w:eastAsia="Times New Roman" w:hAnsiTheme="majorBidi" w:cstheme="majorBidi"/>
          <w:color w:val="000000"/>
          <w:sz w:val="24"/>
          <w:szCs w:val="24"/>
        </w:rPr>
        <w:t>Epub</w:t>
      </w:r>
      <w:proofErr w:type="spellEnd"/>
      <w:r w:rsidR="00F51231" w:rsidRPr="00F51231">
        <w:rPr>
          <w:rFonts w:asciiTheme="majorBidi" w:eastAsia="Times New Roman" w:hAnsiTheme="majorBidi" w:cstheme="majorBidi"/>
          <w:color w:val="000000"/>
          <w:sz w:val="24"/>
          <w:szCs w:val="24"/>
        </w:rPr>
        <w:t xml:space="preserve"> 20220929. eng.</w:t>
      </w:r>
    </w:p>
    <w:p w14:paraId="15E7CE84" w14:textId="336AA61D" w:rsidR="00F51231" w:rsidRPr="00F51231" w:rsidRDefault="008D1BB5" w:rsidP="00F51231">
      <w:pPr>
        <w:spacing w:after="160" w:line="36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w:t>
      </w:r>
      <w:r w:rsidR="00F51231" w:rsidRPr="00F51231">
        <w:rPr>
          <w:rFonts w:asciiTheme="majorBidi" w:eastAsia="Times New Roman" w:hAnsiTheme="majorBidi" w:cstheme="majorBidi"/>
          <w:color w:val="000000"/>
          <w:sz w:val="24"/>
          <w:szCs w:val="24"/>
        </w:rPr>
        <w:t>17</w:t>
      </w:r>
      <w:r>
        <w:rPr>
          <w:rFonts w:asciiTheme="majorBidi" w:eastAsia="Times New Roman" w:hAnsiTheme="majorBidi" w:cstheme="majorBidi"/>
          <w:color w:val="000000"/>
          <w:sz w:val="24"/>
          <w:szCs w:val="24"/>
        </w:rPr>
        <w:t xml:space="preserve">] </w:t>
      </w:r>
      <w:r w:rsidR="00F51231" w:rsidRPr="00F51231">
        <w:rPr>
          <w:rFonts w:asciiTheme="majorBidi" w:eastAsia="Times New Roman" w:hAnsiTheme="majorBidi" w:cstheme="majorBidi"/>
          <w:color w:val="000000"/>
          <w:sz w:val="24"/>
          <w:szCs w:val="24"/>
        </w:rPr>
        <w:t xml:space="preserve">​Chen Y MJ, Zeng J, Pan Z, </w:t>
      </w:r>
      <w:proofErr w:type="spellStart"/>
      <w:r w:rsidR="00F51231" w:rsidRPr="00F51231">
        <w:rPr>
          <w:rFonts w:asciiTheme="majorBidi" w:eastAsia="Times New Roman" w:hAnsiTheme="majorBidi" w:cstheme="majorBidi"/>
          <w:color w:val="000000"/>
          <w:sz w:val="24"/>
          <w:szCs w:val="24"/>
        </w:rPr>
        <w:t>Nie</w:t>
      </w:r>
      <w:proofErr w:type="spellEnd"/>
      <w:r w:rsidR="00F51231" w:rsidRPr="00F51231">
        <w:rPr>
          <w:rFonts w:asciiTheme="majorBidi" w:eastAsia="Times New Roman" w:hAnsiTheme="majorBidi" w:cstheme="majorBidi"/>
          <w:color w:val="000000"/>
          <w:sz w:val="24"/>
          <w:szCs w:val="24"/>
        </w:rPr>
        <w:t xml:space="preserve"> T.2022</w:t>
      </w:r>
      <w:proofErr w:type="gramStart"/>
      <w:r w:rsidR="00F51231" w:rsidRPr="00F51231">
        <w:rPr>
          <w:rFonts w:asciiTheme="majorBidi" w:eastAsia="Times New Roman" w:hAnsiTheme="majorBidi" w:cstheme="majorBidi"/>
          <w:color w:val="000000"/>
          <w:sz w:val="24"/>
          <w:szCs w:val="24"/>
        </w:rPr>
        <w:t>. .</w:t>
      </w:r>
      <w:proofErr w:type="gramEnd"/>
      <w:r w:rsidR="00F51231" w:rsidRPr="00F51231">
        <w:rPr>
          <w:rFonts w:asciiTheme="majorBidi" w:eastAsia="Times New Roman" w:hAnsiTheme="majorBidi" w:cstheme="majorBidi"/>
          <w:color w:val="000000"/>
          <w:sz w:val="24"/>
          <w:szCs w:val="24"/>
        </w:rPr>
        <w:t xml:space="preserve"> Preoperative risk factors for delirium after major amputation: establishment of a nomogram, 2. 2022.</w:t>
      </w:r>
    </w:p>
    <w:p w14:paraId="78EA5F70" w14:textId="1055F920" w:rsidR="00F51231" w:rsidRPr="00F51231" w:rsidRDefault="008D1BB5" w:rsidP="00F51231">
      <w:pPr>
        <w:spacing w:after="160" w:line="36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lastRenderedPageBreak/>
        <w:t>[</w:t>
      </w:r>
      <w:r w:rsidR="00F51231" w:rsidRPr="00F51231">
        <w:rPr>
          <w:rFonts w:asciiTheme="majorBidi" w:eastAsia="Times New Roman" w:hAnsiTheme="majorBidi" w:cstheme="majorBidi"/>
          <w:color w:val="000000"/>
          <w:sz w:val="24"/>
          <w:szCs w:val="24"/>
        </w:rPr>
        <w:t>18</w:t>
      </w:r>
      <w:r>
        <w:rPr>
          <w:rFonts w:asciiTheme="majorBidi" w:eastAsia="Times New Roman" w:hAnsiTheme="majorBidi" w:cstheme="majorBidi"/>
          <w:color w:val="000000"/>
          <w:sz w:val="24"/>
          <w:szCs w:val="24"/>
        </w:rPr>
        <w:t xml:space="preserve">] </w:t>
      </w:r>
      <w:r w:rsidR="00F51231" w:rsidRPr="00F51231">
        <w:rPr>
          <w:rFonts w:asciiTheme="majorBidi" w:eastAsia="Times New Roman" w:hAnsiTheme="majorBidi" w:cstheme="majorBidi"/>
          <w:color w:val="000000"/>
          <w:sz w:val="24"/>
          <w:szCs w:val="24"/>
        </w:rPr>
        <w:t xml:space="preserve">​Chen D, Wang W, Wang S, et al. Predicting postoperative delirium after hip arthroplasty for elderly patients using machine learning. Aging Clin Exp Res. 2023 Jun;35(6):1241-51. PubMed PMID: 37052817. </w:t>
      </w:r>
      <w:proofErr w:type="spellStart"/>
      <w:r w:rsidR="00F51231" w:rsidRPr="00F51231">
        <w:rPr>
          <w:rFonts w:asciiTheme="majorBidi" w:eastAsia="Times New Roman" w:hAnsiTheme="majorBidi" w:cstheme="majorBidi"/>
          <w:color w:val="000000"/>
          <w:sz w:val="24"/>
          <w:szCs w:val="24"/>
        </w:rPr>
        <w:t>Epub</w:t>
      </w:r>
      <w:proofErr w:type="spellEnd"/>
      <w:r w:rsidR="00F51231" w:rsidRPr="00F51231">
        <w:rPr>
          <w:rFonts w:asciiTheme="majorBidi" w:eastAsia="Times New Roman" w:hAnsiTheme="majorBidi" w:cstheme="majorBidi"/>
          <w:color w:val="000000"/>
          <w:sz w:val="24"/>
          <w:szCs w:val="24"/>
        </w:rPr>
        <w:t xml:space="preserve"> 20230413. eng.</w:t>
      </w:r>
    </w:p>
    <w:p w14:paraId="525C4273" w14:textId="1588E1E4" w:rsidR="00F51231" w:rsidRPr="00F51231" w:rsidRDefault="008D1BB5" w:rsidP="00F51231">
      <w:pPr>
        <w:spacing w:after="160" w:line="36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w:t>
      </w:r>
      <w:r w:rsidR="00F51231" w:rsidRPr="00F51231">
        <w:rPr>
          <w:rFonts w:asciiTheme="majorBidi" w:eastAsia="Times New Roman" w:hAnsiTheme="majorBidi" w:cstheme="majorBidi"/>
          <w:color w:val="000000"/>
          <w:sz w:val="24"/>
          <w:szCs w:val="24"/>
        </w:rPr>
        <w:t>19</w:t>
      </w:r>
      <w:r w:rsidR="00637CDD">
        <w:rPr>
          <w:rFonts w:asciiTheme="majorBidi" w:eastAsia="Times New Roman" w:hAnsiTheme="majorBidi" w:cstheme="majorBidi"/>
          <w:color w:val="000000"/>
          <w:sz w:val="24"/>
          <w:szCs w:val="24"/>
        </w:rPr>
        <w:t xml:space="preserve">] </w:t>
      </w:r>
      <w:r w:rsidR="00F51231" w:rsidRPr="00F51231">
        <w:rPr>
          <w:rFonts w:asciiTheme="majorBidi" w:eastAsia="Times New Roman" w:hAnsiTheme="majorBidi" w:cstheme="majorBidi"/>
          <w:color w:val="000000"/>
          <w:sz w:val="24"/>
          <w:szCs w:val="24"/>
        </w:rPr>
        <w:t xml:space="preserve">​Matsumoto K, </w:t>
      </w:r>
      <w:proofErr w:type="spellStart"/>
      <w:r w:rsidR="00F51231" w:rsidRPr="00F51231">
        <w:rPr>
          <w:rFonts w:asciiTheme="majorBidi" w:eastAsia="Times New Roman" w:hAnsiTheme="majorBidi" w:cstheme="majorBidi"/>
          <w:color w:val="000000"/>
          <w:sz w:val="24"/>
          <w:szCs w:val="24"/>
        </w:rPr>
        <w:t>Nohara</w:t>
      </w:r>
      <w:proofErr w:type="spellEnd"/>
      <w:r w:rsidR="00F51231" w:rsidRPr="00F51231">
        <w:rPr>
          <w:rFonts w:asciiTheme="majorBidi" w:eastAsia="Times New Roman" w:hAnsiTheme="majorBidi" w:cstheme="majorBidi"/>
          <w:color w:val="000000"/>
          <w:sz w:val="24"/>
          <w:szCs w:val="24"/>
        </w:rPr>
        <w:t xml:space="preserve"> Y, </w:t>
      </w:r>
      <w:proofErr w:type="spellStart"/>
      <w:r w:rsidR="00F51231" w:rsidRPr="00F51231">
        <w:rPr>
          <w:rFonts w:asciiTheme="majorBidi" w:eastAsia="Times New Roman" w:hAnsiTheme="majorBidi" w:cstheme="majorBidi"/>
          <w:color w:val="000000"/>
          <w:sz w:val="24"/>
          <w:szCs w:val="24"/>
        </w:rPr>
        <w:t>Sakaguchi</w:t>
      </w:r>
      <w:proofErr w:type="spellEnd"/>
      <w:r w:rsidR="00F51231" w:rsidRPr="00F51231">
        <w:rPr>
          <w:rFonts w:asciiTheme="majorBidi" w:eastAsia="Times New Roman" w:hAnsiTheme="majorBidi" w:cstheme="majorBidi"/>
          <w:color w:val="000000"/>
          <w:sz w:val="24"/>
          <w:szCs w:val="24"/>
        </w:rPr>
        <w:t xml:space="preserve"> M, et al. Temporal Generalizability of Machine Learning Models for Predicting Postoperative Delirium Using Electronic Health Record Data: Model Development and Validation Study. JMIR </w:t>
      </w:r>
      <w:proofErr w:type="spellStart"/>
      <w:r w:rsidR="00F51231" w:rsidRPr="00F51231">
        <w:rPr>
          <w:rFonts w:asciiTheme="majorBidi" w:eastAsia="Times New Roman" w:hAnsiTheme="majorBidi" w:cstheme="majorBidi"/>
          <w:color w:val="000000"/>
          <w:sz w:val="24"/>
          <w:szCs w:val="24"/>
        </w:rPr>
        <w:t>Perioper</w:t>
      </w:r>
      <w:proofErr w:type="spellEnd"/>
      <w:r w:rsidR="00F51231" w:rsidRPr="00F51231">
        <w:rPr>
          <w:rFonts w:asciiTheme="majorBidi" w:eastAsia="Times New Roman" w:hAnsiTheme="majorBidi" w:cstheme="majorBidi"/>
          <w:color w:val="000000"/>
          <w:sz w:val="24"/>
          <w:szCs w:val="24"/>
        </w:rPr>
        <w:t xml:space="preserve"> Med. 2023 Oct 26;</w:t>
      </w:r>
      <w:proofErr w:type="gramStart"/>
      <w:r w:rsidR="00F51231" w:rsidRPr="00F51231">
        <w:rPr>
          <w:rFonts w:asciiTheme="majorBidi" w:eastAsia="Times New Roman" w:hAnsiTheme="majorBidi" w:cstheme="majorBidi"/>
          <w:color w:val="000000"/>
          <w:sz w:val="24"/>
          <w:szCs w:val="24"/>
        </w:rPr>
        <w:t>6:e</w:t>
      </w:r>
      <w:proofErr w:type="gramEnd"/>
      <w:r w:rsidR="00F51231" w:rsidRPr="00F51231">
        <w:rPr>
          <w:rFonts w:asciiTheme="majorBidi" w:eastAsia="Times New Roman" w:hAnsiTheme="majorBidi" w:cstheme="majorBidi"/>
          <w:color w:val="000000"/>
          <w:sz w:val="24"/>
          <w:szCs w:val="24"/>
        </w:rPr>
        <w:t xml:space="preserve">50895. PubMed PMID: 37883164. </w:t>
      </w:r>
      <w:proofErr w:type="spellStart"/>
      <w:r w:rsidR="00F51231" w:rsidRPr="00F51231">
        <w:rPr>
          <w:rFonts w:asciiTheme="majorBidi" w:eastAsia="Times New Roman" w:hAnsiTheme="majorBidi" w:cstheme="majorBidi"/>
          <w:color w:val="000000"/>
          <w:sz w:val="24"/>
          <w:szCs w:val="24"/>
        </w:rPr>
        <w:t>Pubmed</w:t>
      </w:r>
      <w:proofErr w:type="spellEnd"/>
      <w:r w:rsidR="00F51231" w:rsidRPr="00F51231">
        <w:rPr>
          <w:rFonts w:asciiTheme="majorBidi" w:eastAsia="Times New Roman" w:hAnsiTheme="majorBidi" w:cstheme="majorBidi"/>
          <w:color w:val="000000"/>
          <w:sz w:val="24"/>
          <w:szCs w:val="24"/>
        </w:rPr>
        <w:t xml:space="preserve"> Central PMCID: PMC10636625. </w:t>
      </w:r>
      <w:proofErr w:type="spellStart"/>
      <w:r w:rsidR="00F51231" w:rsidRPr="00F51231">
        <w:rPr>
          <w:rFonts w:asciiTheme="majorBidi" w:eastAsia="Times New Roman" w:hAnsiTheme="majorBidi" w:cstheme="majorBidi"/>
          <w:color w:val="000000"/>
          <w:sz w:val="24"/>
          <w:szCs w:val="24"/>
        </w:rPr>
        <w:t>Epub</w:t>
      </w:r>
      <w:proofErr w:type="spellEnd"/>
      <w:r w:rsidR="00F51231" w:rsidRPr="00F51231">
        <w:rPr>
          <w:rFonts w:asciiTheme="majorBidi" w:eastAsia="Times New Roman" w:hAnsiTheme="majorBidi" w:cstheme="majorBidi"/>
          <w:color w:val="000000"/>
          <w:sz w:val="24"/>
          <w:szCs w:val="24"/>
        </w:rPr>
        <w:t xml:space="preserve"> 20231026. eng.</w:t>
      </w:r>
    </w:p>
    <w:p w14:paraId="134ED6D7" w14:textId="6082EC4E" w:rsidR="00E8239F" w:rsidRDefault="00637CDD" w:rsidP="00C0633B">
      <w:pPr>
        <w:spacing w:after="160" w:line="36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w:t>
      </w:r>
      <w:r w:rsidR="00F51231" w:rsidRPr="00F51231">
        <w:rPr>
          <w:rFonts w:asciiTheme="majorBidi" w:eastAsia="Times New Roman" w:hAnsiTheme="majorBidi" w:cstheme="majorBidi"/>
          <w:color w:val="000000"/>
          <w:sz w:val="24"/>
          <w:szCs w:val="24"/>
        </w:rPr>
        <w:t>20</w:t>
      </w:r>
      <w:r>
        <w:rPr>
          <w:rFonts w:asciiTheme="majorBidi" w:eastAsia="Times New Roman" w:hAnsiTheme="majorBidi" w:cstheme="majorBidi"/>
          <w:color w:val="000000"/>
          <w:sz w:val="24"/>
          <w:szCs w:val="24"/>
        </w:rPr>
        <w:t xml:space="preserve">] </w:t>
      </w:r>
      <w:r w:rsidR="00F51231" w:rsidRPr="00F51231">
        <w:rPr>
          <w:rFonts w:asciiTheme="majorBidi" w:eastAsia="Times New Roman" w:hAnsiTheme="majorBidi" w:cstheme="majorBidi"/>
          <w:color w:val="000000"/>
          <w:sz w:val="24"/>
          <w:szCs w:val="24"/>
        </w:rPr>
        <w:t xml:space="preserve">​Page MJ </w:t>
      </w:r>
      <w:proofErr w:type="spellStart"/>
      <w:r w:rsidR="00F51231" w:rsidRPr="00F51231">
        <w:rPr>
          <w:rFonts w:asciiTheme="majorBidi" w:eastAsia="Times New Roman" w:hAnsiTheme="majorBidi" w:cstheme="majorBidi"/>
          <w:color w:val="000000"/>
          <w:sz w:val="24"/>
          <w:szCs w:val="24"/>
        </w:rPr>
        <w:t>MJ</w:t>
      </w:r>
      <w:proofErr w:type="spellEnd"/>
      <w:r w:rsidR="00F51231" w:rsidRPr="00F51231">
        <w:rPr>
          <w:rFonts w:asciiTheme="majorBidi" w:eastAsia="Times New Roman" w:hAnsiTheme="majorBidi" w:cstheme="majorBidi"/>
          <w:color w:val="000000"/>
          <w:sz w:val="24"/>
          <w:szCs w:val="24"/>
        </w:rPr>
        <w:t xml:space="preserve">, </w:t>
      </w:r>
      <w:proofErr w:type="spellStart"/>
      <w:r w:rsidR="00F51231" w:rsidRPr="00F51231">
        <w:rPr>
          <w:rFonts w:asciiTheme="majorBidi" w:eastAsia="Times New Roman" w:hAnsiTheme="majorBidi" w:cstheme="majorBidi"/>
          <w:color w:val="000000"/>
          <w:sz w:val="24"/>
          <w:szCs w:val="24"/>
        </w:rPr>
        <w:t>Bossuyt</w:t>
      </w:r>
      <w:proofErr w:type="spellEnd"/>
      <w:r w:rsidR="00F51231" w:rsidRPr="00F51231">
        <w:rPr>
          <w:rFonts w:asciiTheme="majorBidi" w:eastAsia="Times New Roman" w:hAnsiTheme="majorBidi" w:cstheme="majorBidi"/>
          <w:color w:val="000000"/>
          <w:sz w:val="24"/>
          <w:szCs w:val="24"/>
        </w:rPr>
        <w:t xml:space="preserve"> PM, </w:t>
      </w:r>
      <w:proofErr w:type="spellStart"/>
      <w:r w:rsidR="00F51231" w:rsidRPr="00F51231">
        <w:rPr>
          <w:rFonts w:asciiTheme="majorBidi" w:eastAsia="Times New Roman" w:hAnsiTheme="majorBidi" w:cstheme="majorBidi"/>
          <w:color w:val="000000"/>
          <w:sz w:val="24"/>
          <w:szCs w:val="24"/>
        </w:rPr>
        <w:t>Boutron</w:t>
      </w:r>
      <w:proofErr w:type="spellEnd"/>
      <w:r w:rsidR="00F51231" w:rsidRPr="00F51231">
        <w:rPr>
          <w:rFonts w:asciiTheme="majorBidi" w:eastAsia="Times New Roman" w:hAnsiTheme="majorBidi" w:cstheme="majorBidi"/>
          <w:color w:val="000000"/>
          <w:sz w:val="24"/>
          <w:szCs w:val="24"/>
        </w:rPr>
        <w:t xml:space="preserve"> I, Hoffmann TC, Mulrow CD, </w:t>
      </w:r>
      <w:proofErr w:type="gramStart"/>
      <w:r w:rsidR="00F51231" w:rsidRPr="00F51231">
        <w:rPr>
          <w:rFonts w:asciiTheme="majorBidi" w:eastAsia="Times New Roman" w:hAnsiTheme="majorBidi" w:cstheme="majorBidi"/>
          <w:color w:val="000000"/>
          <w:sz w:val="24"/>
          <w:szCs w:val="24"/>
        </w:rPr>
        <w:t>et al. .</w:t>
      </w:r>
      <w:proofErr w:type="gramEnd"/>
      <w:r w:rsidR="00F51231" w:rsidRPr="00F51231">
        <w:rPr>
          <w:rFonts w:asciiTheme="majorBidi" w:eastAsia="Times New Roman" w:hAnsiTheme="majorBidi" w:cstheme="majorBidi"/>
          <w:color w:val="000000"/>
          <w:sz w:val="24"/>
          <w:szCs w:val="24"/>
        </w:rPr>
        <w:t xml:space="preserve"> 2021;</w:t>
      </w:r>
      <w:proofErr w:type="gramStart"/>
      <w:r w:rsidR="00F51231" w:rsidRPr="00F51231">
        <w:rPr>
          <w:rFonts w:asciiTheme="majorBidi" w:eastAsia="Times New Roman" w:hAnsiTheme="majorBidi" w:cstheme="majorBidi"/>
          <w:color w:val="000000"/>
          <w:sz w:val="24"/>
          <w:szCs w:val="24"/>
        </w:rPr>
        <w:t>372:n</w:t>
      </w:r>
      <w:proofErr w:type="gramEnd"/>
      <w:r w:rsidR="00F51231" w:rsidRPr="00F51231">
        <w:rPr>
          <w:rFonts w:asciiTheme="majorBidi" w:eastAsia="Times New Roman" w:hAnsiTheme="majorBidi" w:cstheme="majorBidi"/>
          <w:color w:val="000000"/>
          <w:sz w:val="24"/>
          <w:szCs w:val="24"/>
        </w:rPr>
        <w:t>71. . The PRISMA 2020 statement: an updated guideline for reporting systematic reviews. BMJ 2021.</w:t>
      </w:r>
      <w:r>
        <w:rPr>
          <w:rFonts w:asciiTheme="majorBidi" w:eastAsia="Times New Roman" w:hAnsiTheme="majorBidi" w:cstheme="majorBidi"/>
          <w:color w:val="000000"/>
          <w:sz w:val="24"/>
          <w:szCs w:val="24"/>
        </w:rPr>
        <w:t xml:space="preserve"> </w:t>
      </w:r>
    </w:p>
    <w:p w14:paraId="3C36EF74" w14:textId="77777777" w:rsidR="00CE0781" w:rsidRPr="00CE0781" w:rsidRDefault="00637CDD" w:rsidP="00CE0781">
      <w:pPr>
        <w:spacing w:after="160" w:line="36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[21] </w:t>
      </w:r>
      <w:r w:rsidR="00CE0781" w:rsidRPr="00CE0781">
        <w:rPr>
          <w:rFonts w:asciiTheme="majorBidi" w:eastAsia="Times New Roman" w:hAnsiTheme="majorBidi" w:cstheme="majorBidi"/>
          <w:color w:val="000000"/>
          <w:sz w:val="24"/>
          <w:szCs w:val="24"/>
        </w:rPr>
        <w:t>Wolff RF, Moons KGM, Riley RD, et al. PROBAST: A Tool to Assess the Risk of Bias and Applicability of Prediction Model Studies. Ann Intern Med. 2019 Jan 1;170(1):51-8. PubMed PMID: 30596875.</w:t>
      </w:r>
    </w:p>
    <w:p w14:paraId="228D0FF5" w14:textId="5F90B50D" w:rsidR="00CE0781" w:rsidRPr="00CE0781" w:rsidRDefault="00CE0781" w:rsidP="00CE0781">
      <w:pPr>
        <w:spacing w:after="160" w:line="36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w:t>
      </w:r>
      <w:r w:rsidRPr="00CE0781">
        <w:rPr>
          <w:rFonts w:asciiTheme="majorBidi" w:eastAsia="Times New Roman" w:hAnsiTheme="majorBidi" w:cstheme="majorBidi"/>
          <w:color w:val="000000"/>
          <w:sz w:val="24"/>
          <w:szCs w:val="24"/>
        </w:rPr>
        <w:t>22</w:t>
      </w:r>
      <w:r>
        <w:rPr>
          <w:rFonts w:asciiTheme="majorBidi" w:eastAsia="Times New Roman" w:hAnsiTheme="majorBidi" w:cstheme="majorBidi"/>
          <w:color w:val="000000"/>
          <w:sz w:val="24"/>
          <w:szCs w:val="24"/>
        </w:rPr>
        <w:t xml:space="preserve">] </w:t>
      </w:r>
      <w:r w:rsidRPr="00CE0781">
        <w:rPr>
          <w:rFonts w:asciiTheme="majorBidi" w:eastAsia="Times New Roman" w:hAnsiTheme="majorBidi" w:cstheme="majorBidi"/>
          <w:color w:val="000000"/>
          <w:sz w:val="24"/>
          <w:szCs w:val="24"/>
        </w:rPr>
        <w:t xml:space="preserve">​De J, Wand AP. Delirium Screening: A Systematic Review of Delirium Screening Tools in Hospitalized Patients. Gerontologist. 2015 Dec;55(6):1079-99. PubMed PMID: 26543179. </w:t>
      </w:r>
      <w:proofErr w:type="spellStart"/>
      <w:r w:rsidRPr="00CE0781">
        <w:rPr>
          <w:rFonts w:asciiTheme="majorBidi" w:eastAsia="Times New Roman" w:hAnsiTheme="majorBidi" w:cstheme="majorBidi"/>
          <w:color w:val="000000"/>
          <w:sz w:val="24"/>
          <w:szCs w:val="24"/>
        </w:rPr>
        <w:t>Epub</w:t>
      </w:r>
      <w:proofErr w:type="spellEnd"/>
      <w:r w:rsidRPr="00CE0781">
        <w:rPr>
          <w:rFonts w:asciiTheme="majorBidi" w:eastAsia="Times New Roman" w:hAnsiTheme="majorBidi" w:cstheme="majorBidi"/>
          <w:color w:val="000000"/>
          <w:sz w:val="24"/>
          <w:szCs w:val="24"/>
        </w:rPr>
        <w:t xml:space="preserve"> 20151105. eng.</w:t>
      </w:r>
    </w:p>
    <w:p w14:paraId="18A9E32D" w14:textId="45751138" w:rsidR="00CE0781" w:rsidRPr="00CE0781" w:rsidRDefault="00CE0781" w:rsidP="00CE0781">
      <w:pPr>
        <w:spacing w:after="160" w:line="36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w:t>
      </w:r>
      <w:r w:rsidRPr="00CE0781">
        <w:rPr>
          <w:rFonts w:asciiTheme="majorBidi" w:eastAsia="Times New Roman" w:hAnsiTheme="majorBidi" w:cstheme="majorBidi"/>
          <w:color w:val="000000"/>
          <w:sz w:val="24"/>
          <w:szCs w:val="24"/>
        </w:rPr>
        <w:t>23</w:t>
      </w:r>
      <w:r>
        <w:rPr>
          <w:rFonts w:asciiTheme="majorBidi" w:eastAsia="Times New Roman" w:hAnsiTheme="majorBidi" w:cstheme="majorBidi"/>
          <w:color w:val="000000"/>
          <w:sz w:val="24"/>
          <w:szCs w:val="24"/>
        </w:rPr>
        <w:t xml:space="preserve">] </w:t>
      </w:r>
      <w:r w:rsidRPr="00CE0781">
        <w:rPr>
          <w:rFonts w:asciiTheme="majorBidi" w:eastAsia="Times New Roman" w:hAnsiTheme="majorBidi" w:cstheme="majorBidi"/>
          <w:color w:val="000000"/>
          <w:sz w:val="24"/>
          <w:szCs w:val="24"/>
        </w:rPr>
        <w:t xml:space="preserve">​Grover S, Kate N. Assessment scales for delirium: A review. World J Psychiatry. 2012 Aug 22;2(4):58-70. PubMed PMID: 24175169. </w:t>
      </w:r>
      <w:proofErr w:type="spellStart"/>
      <w:r w:rsidRPr="00CE0781">
        <w:rPr>
          <w:rFonts w:asciiTheme="majorBidi" w:eastAsia="Times New Roman" w:hAnsiTheme="majorBidi" w:cstheme="majorBidi"/>
          <w:color w:val="000000"/>
          <w:sz w:val="24"/>
          <w:szCs w:val="24"/>
        </w:rPr>
        <w:t>Pubmed</w:t>
      </w:r>
      <w:proofErr w:type="spellEnd"/>
      <w:r w:rsidRPr="00CE0781">
        <w:rPr>
          <w:rFonts w:asciiTheme="majorBidi" w:eastAsia="Times New Roman" w:hAnsiTheme="majorBidi" w:cstheme="majorBidi"/>
          <w:color w:val="000000"/>
          <w:sz w:val="24"/>
          <w:szCs w:val="24"/>
        </w:rPr>
        <w:t xml:space="preserve"> Central PMCID: PMC3782167. eng.</w:t>
      </w:r>
    </w:p>
    <w:p w14:paraId="487CFF87" w14:textId="5B600AD3" w:rsidR="00CE0781" w:rsidRPr="00CE0781" w:rsidRDefault="00CE0781" w:rsidP="00CE0781">
      <w:pPr>
        <w:spacing w:after="160" w:line="36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w:t>
      </w:r>
      <w:r w:rsidRPr="00CE0781">
        <w:rPr>
          <w:rFonts w:asciiTheme="majorBidi" w:eastAsia="Times New Roman" w:hAnsiTheme="majorBidi" w:cstheme="majorBidi"/>
          <w:color w:val="000000"/>
          <w:sz w:val="24"/>
          <w:szCs w:val="24"/>
        </w:rPr>
        <w:t>24</w:t>
      </w:r>
      <w:r>
        <w:rPr>
          <w:rFonts w:asciiTheme="majorBidi" w:eastAsia="Times New Roman" w:hAnsiTheme="majorBidi" w:cstheme="majorBidi"/>
          <w:color w:val="000000"/>
          <w:sz w:val="24"/>
          <w:szCs w:val="24"/>
        </w:rPr>
        <w:t xml:space="preserve">] </w:t>
      </w:r>
      <w:r w:rsidRPr="00CE0781">
        <w:rPr>
          <w:rFonts w:asciiTheme="majorBidi" w:eastAsia="Times New Roman" w:hAnsiTheme="majorBidi" w:cstheme="majorBidi"/>
          <w:color w:val="000000"/>
          <w:sz w:val="24"/>
          <w:szCs w:val="24"/>
        </w:rPr>
        <w:t xml:space="preserve">​Van </w:t>
      </w:r>
      <w:proofErr w:type="spellStart"/>
      <w:r w:rsidRPr="00CE0781">
        <w:rPr>
          <w:rFonts w:asciiTheme="majorBidi" w:eastAsia="Times New Roman" w:hAnsiTheme="majorBidi" w:cstheme="majorBidi"/>
          <w:color w:val="000000"/>
          <w:sz w:val="24"/>
          <w:szCs w:val="24"/>
        </w:rPr>
        <w:t>Calster</w:t>
      </w:r>
      <w:proofErr w:type="spellEnd"/>
      <w:r w:rsidRPr="00CE0781">
        <w:rPr>
          <w:rFonts w:asciiTheme="majorBidi" w:eastAsia="Times New Roman" w:hAnsiTheme="majorBidi" w:cstheme="majorBidi"/>
          <w:color w:val="000000"/>
          <w:sz w:val="24"/>
          <w:szCs w:val="24"/>
        </w:rPr>
        <w:t xml:space="preserve"> B, </w:t>
      </w:r>
      <w:proofErr w:type="spellStart"/>
      <w:r w:rsidRPr="00CE0781">
        <w:rPr>
          <w:rFonts w:asciiTheme="majorBidi" w:eastAsia="Times New Roman" w:hAnsiTheme="majorBidi" w:cstheme="majorBidi"/>
          <w:color w:val="000000"/>
          <w:sz w:val="24"/>
          <w:szCs w:val="24"/>
        </w:rPr>
        <w:t>Wynants</w:t>
      </w:r>
      <w:proofErr w:type="spellEnd"/>
      <w:r w:rsidRPr="00CE0781">
        <w:rPr>
          <w:rFonts w:asciiTheme="majorBidi" w:eastAsia="Times New Roman" w:hAnsiTheme="majorBidi" w:cstheme="majorBidi"/>
          <w:color w:val="000000"/>
          <w:sz w:val="24"/>
          <w:szCs w:val="24"/>
        </w:rPr>
        <w:t xml:space="preserve"> L, Verbeek JFM, et al. Reporting and Interpreting Decision Curve Analysis: A Guide for Investigators. Eur Urol. 2018 Dec;74(6):796-804. PubMed PMID: 30241973. </w:t>
      </w:r>
      <w:proofErr w:type="spellStart"/>
      <w:r w:rsidRPr="00CE0781">
        <w:rPr>
          <w:rFonts w:asciiTheme="majorBidi" w:eastAsia="Times New Roman" w:hAnsiTheme="majorBidi" w:cstheme="majorBidi"/>
          <w:color w:val="000000"/>
          <w:sz w:val="24"/>
          <w:szCs w:val="24"/>
        </w:rPr>
        <w:t>Pubmed</w:t>
      </w:r>
      <w:proofErr w:type="spellEnd"/>
      <w:r w:rsidRPr="00CE0781">
        <w:rPr>
          <w:rFonts w:asciiTheme="majorBidi" w:eastAsia="Times New Roman" w:hAnsiTheme="majorBidi" w:cstheme="majorBidi"/>
          <w:color w:val="000000"/>
          <w:sz w:val="24"/>
          <w:szCs w:val="24"/>
        </w:rPr>
        <w:t xml:space="preserve"> Central PMCID: PMC6261531. </w:t>
      </w:r>
      <w:proofErr w:type="spellStart"/>
      <w:r w:rsidRPr="00CE0781">
        <w:rPr>
          <w:rFonts w:asciiTheme="majorBidi" w:eastAsia="Times New Roman" w:hAnsiTheme="majorBidi" w:cstheme="majorBidi"/>
          <w:color w:val="000000"/>
          <w:sz w:val="24"/>
          <w:szCs w:val="24"/>
        </w:rPr>
        <w:t>Epub</w:t>
      </w:r>
      <w:proofErr w:type="spellEnd"/>
      <w:r w:rsidRPr="00CE0781">
        <w:rPr>
          <w:rFonts w:asciiTheme="majorBidi" w:eastAsia="Times New Roman" w:hAnsiTheme="majorBidi" w:cstheme="majorBidi"/>
          <w:color w:val="000000"/>
          <w:sz w:val="24"/>
          <w:szCs w:val="24"/>
        </w:rPr>
        <w:t xml:space="preserve"> 20180919. eng.</w:t>
      </w:r>
    </w:p>
    <w:p w14:paraId="7E63B123" w14:textId="41B13379" w:rsidR="00CE0781" w:rsidRPr="00CE0781" w:rsidRDefault="00CE0781" w:rsidP="00CE0781">
      <w:pPr>
        <w:spacing w:after="160" w:line="36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w:t>
      </w:r>
      <w:r w:rsidRPr="00CE0781">
        <w:rPr>
          <w:rFonts w:asciiTheme="majorBidi" w:eastAsia="Times New Roman" w:hAnsiTheme="majorBidi" w:cstheme="majorBidi"/>
          <w:color w:val="000000"/>
          <w:sz w:val="24"/>
          <w:szCs w:val="24"/>
        </w:rPr>
        <w:t>25</w:t>
      </w:r>
      <w:r>
        <w:rPr>
          <w:rFonts w:asciiTheme="majorBidi" w:eastAsia="Times New Roman" w:hAnsiTheme="majorBidi" w:cstheme="majorBidi"/>
          <w:color w:val="000000"/>
          <w:sz w:val="24"/>
          <w:szCs w:val="24"/>
        </w:rPr>
        <w:t xml:space="preserve">] </w:t>
      </w:r>
      <w:r w:rsidRPr="00CE0781">
        <w:rPr>
          <w:rFonts w:asciiTheme="majorBidi" w:eastAsia="Times New Roman" w:hAnsiTheme="majorBidi" w:cstheme="majorBidi"/>
          <w:color w:val="000000"/>
          <w:sz w:val="24"/>
          <w:szCs w:val="24"/>
        </w:rPr>
        <w:t>​</w:t>
      </w:r>
      <w:proofErr w:type="spellStart"/>
      <w:r w:rsidRPr="00CE0781">
        <w:rPr>
          <w:rFonts w:asciiTheme="majorBidi" w:eastAsia="Times New Roman" w:hAnsiTheme="majorBidi" w:cstheme="majorBidi"/>
          <w:color w:val="000000"/>
          <w:sz w:val="24"/>
          <w:szCs w:val="24"/>
        </w:rPr>
        <w:t>Ormseth</w:t>
      </w:r>
      <w:proofErr w:type="spellEnd"/>
      <w:r w:rsidRPr="00CE0781">
        <w:rPr>
          <w:rFonts w:asciiTheme="majorBidi" w:eastAsia="Times New Roman" w:hAnsiTheme="majorBidi" w:cstheme="majorBidi"/>
          <w:color w:val="000000"/>
          <w:sz w:val="24"/>
          <w:szCs w:val="24"/>
        </w:rPr>
        <w:t xml:space="preserve"> CH, LaHue SC, Oldham MA, et al. Predisposing and Precipitating Factors Associated </w:t>
      </w:r>
      <w:proofErr w:type="gramStart"/>
      <w:r w:rsidRPr="00CE0781">
        <w:rPr>
          <w:rFonts w:asciiTheme="majorBidi" w:eastAsia="Times New Roman" w:hAnsiTheme="majorBidi" w:cstheme="majorBidi"/>
          <w:color w:val="000000"/>
          <w:sz w:val="24"/>
          <w:szCs w:val="24"/>
        </w:rPr>
        <w:t>With</w:t>
      </w:r>
      <w:proofErr w:type="gramEnd"/>
      <w:r w:rsidRPr="00CE0781">
        <w:rPr>
          <w:rFonts w:asciiTheme="majorBidi" w:eastAsia="Times New Roman" w:hAnsiTheme="majorBidi" w:cstheme="majorBidi"/>
          <w:color w:val="000000"/>
          <w:sz w:val="24"/>
          <w:szCs w:val="24"/>
        </w:rPr>
        <w:t xml:space="preserve"> Delirium: A Systematic Review. JAMA </w:t>
      </w:r>
      <w:proofErr w:type="spellStart"/>
      <w:r w:rsidRPr="00CE0781">
        <w:rPr>
          <w:rFonts w:asciiTheme="majorBidi" w:eastAsia="Times New Roman" w:hAnsiTheme="majorBidi" w:cstheme="majorBidi"/>
          <w:color w:val="000000"/>
          <w:sz w:val="24"/>
          <w:szCs w:val="24"/>
        </w:rPr>
        <w:t>Netw</w:t>
      </w:r>
      <w:proofErr w:type="spellEnd"/>
      <w:r w:rsidRPr="00CE0781">
        <w:rPr>
          <w:rFonts w:asciiTheme="majorBidi" w:eastAsia="Times New Roman" w:hAnsiTheme="majorBidi" w:cstheme="majorBidi"/>
          <w:color w:val="000000"/>
          <w:sz w:val="24"/>
          <w:szCs w:val="24"/>
        </w:rPr>
        <w:t xml:space="preserve"> Open. 2023 Jan 3;6(1</w:t>
      </w:r>
      <w:proofErr w:type="gramStart"/>
      <w:r w:rsidRPr="00CE0781">
        <w:rPr>
          <w:rFonts w:asciiTheme="majorBidi" w:eastAsia="Times New Roman" w:hAnsiTheme="majorBidi" w:cstheme="majorBidi"/>
          <w:color w:val="000000"/>
          <w:sz w:val="24"/>
          <w:szCs w:val="24"/>
        </w:rPr>
        <w:t>):e</w:t>
      </w:r>
      <w:proofErr w:type="gramEnd"/>
      <w:r w:rsidRPr="00CE0781">
        <w:rPr>
          <w:rFonts w:asciiTheme="majorBidi" w:eastAsia="Times New Roman" w:hAnsiTheme="majorBidi" w:cstheme="majorBidi"/>
          <w:color w:val="000000"/>
          <w:sz w:val="24"/>
          <w:szCs w:val="24"/>
        </w:rPr>
        <w:t xml:space="preserve">2249950. PubMed PMID: 36607634. </w:t>
      </w:r>
      <w:proofErr w:type="spellStart"/>
      <w:r w:rsidRPr="00CE0781">
        <w:rPr>
          <w:rFonts w:asciiTheme="majorBidi" w:eastAsia="Times New Roman" w:hAnsiTheme="majorBidi" w:cstheme="majorBidi"/>
          <w:color w:val="000000"/>
          <w:sz w:val="24"/>
          <w:szCs w:val="24"/>
        </w:rPr>
        <w:t>Pubmed</w:t>
      </w:r>
      <w:proofErr w:type="spellEnd"/>
      <w:r w:rsidRPr="00CE0781">
        <w:rPr>
          <w:rFonts w:asciiTheme="majorBidi" w:eastAsia="Times New Roman" w:hAnsiTheme="majorBidi" w:cstheme="majorBidi"/>
          <w:color w:val="000000"/>
          <w:sz w:val="24"/>
          <w:szCs w:val="24"/>
        </w:rPr>
        <w:t xml:space="preserve"> Central PMCID: PMC9856673. </w:t>
      </w:r>
      <w:proofErr w:type="spellStart"/>
      <w:r w:rsidRPr="00CE0781">
        <w:rPr>
          <w:rFonts w:asciiTheme="majorBidi" w:eastAsia="Times New Roman" w:hAnsiTheme="majorBidi" w:cstheme="majorBidi"/>
          <w:color w:val="000000"/>
          <w:sz w:val="24"/>
          <w:szCs w:val="24"/>
        </w:rPr>
        <w:t>Epub</w:t>
      </w:r>
      <w:proofErr w:type="spellEnd"/>
      <w:r w:rsidRPr="00CE0781">
        <w:rPr>
          <w:rFonts w:asciiTheme="majorBidi" w:eastAsia="Times New Roman" w:hAnsiTheme="majorBidi" w:cstheme="majorBidi"/>
          <w:color w:val="000000"/>
          <w:sz w:val="24"/>
          <w:szCs w:val="24"/>
        </w:rPr>
        <w:t xml:space="preserve"> 20230103. eng.</w:t>
      </w:r>
    </w:p>
    <w:p w14:paraId="518F7669" w14:textId="4425809F" w:rsidR="00CE0781" w:rsidRPr="00CE0781" w:rsidRDefault="00CE0781" w:rsidP="00CE0781">
      <w:pPr>
        <w:spacing w:after="160" w:line="36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w:t>
      </w:r>
      <w:r w:rsidRPr="00CE0781">
        <w:rPr>
          <w:rFonts w:asciiTheme="majorBidi" w:eastAsia="Times New Roman" w:hAnsiTheme="majorBidi" w:cstheme="majorBidi"/>
          <w:color w:val="000000"/>
          <w:sz w:val="24"/>
          <w:szCs w:val="24"/>
        </w:rPr>
        <w:t>26</w:t>
      </w:r>
      <w:r>
        <w:rPr>
          <w:rFonts w:asciiTheme="majorBidi" w:eastAsia="Times New Roman" w:hAnsiTheme="majorBidi" w:cstheme="majorBidi"/>
          <w:color w:val="000000"/>
          <w:sz w:val="24"/>
          <w:szCs w:val="24"/>
        </w:rPr>
        <w:t xml:space="preserve">] </w:t>
      </w:r>
      <w:r w:rsidRPr="00CE0781">
        <w:rPr>
          <w:rFonts w:asciiTheme="majorBidi" w:eastAsia="Times New Roman" w:hAnsiTheme="majorBidi" w:cstheme="majorBidi"/>
          <w:color w:val="000000"/>
          <w:sz w:val="24"/>
          <w:szCs w:val="24"/>
        </w:rPr>
        <w:t>​Moons KGM, Wolff RF, Riley RD, et al. PROBAST: A Tool to Assess Risk of Bias and Applicability of Prediction Model Studies: Explanation and Elaboration. Ann Intern Med. 2019 Jan 1;170(1</w:t>
      </w:r>
      <w:proofErr w:type="gramStart"/>
      <w:r w:rsidRPr="00CE0781">
        <w:rPr>
          <w:rFonts w:asciiTheme="majorBidi" w:eastAsia="Times New Roman" w:hAnsiTheme="majorBidi" w:cstheme="majorBidi"/>
          <w:color w:val="000000"/>
          <w:sz w:val="24"/>
          <w:szCs w:val="24"/>
        </w:rPr>
        <w:t>):W</w:t>
      </w:r>
      <w:proofErr w:type="gramEnd"/>
      <w:r w:rsidRPr="00CE0781">
        <w:rPr>
          <w:rFonts w:asciiTheme="majorBidi" w:eastAsia="Times New Roman" w:hAnsiTheme="majorBidi" w:cstheme="majorBidi"/>
          <w:color w:val="000000"/>
          <w:sz w:val="24"/>
          <w:szCs w:val="24"/>
        </w:rPr>
        <w:t>1-w33. PubMed PMID: 30596876. eng.</w:t>
      </w:r>
    </w:p>
    <w:p w14:paraId="07BE8D2A" w14:textId="392DD565" w:rsidR="00CE0781" w:rsidRPr="00CE0781" w:rsidRDefault="00CE0781" w:rsidP="00CE0781">
      <w:pPr>
        <w:spacing w:after="160" w:line="36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lastRenderedPageBreak/>
        <w:t>[</w:t>
      </w:r>
      <w:r w:rsidRPr="00CE0781">
        <w:rPr>
          <w:rFonts w:asciiTheme="majorBidi" w:eastAsia="Times New Roman" w:hAnsiTheme="majorBidi" w:cstheme="majorBidi"/>
          <w:color w:val="000000"/>
          <w:sz w:val="24"/>
          <w:szCs w:val="24"/>
        </w:rPr>
        <w:t>27</w:t>
      </w:r>
      <w:r>
        <w:rPr>
          <w:rFonts w:asciiTheme="majorBidi" w:eastAsia="Times New Roman" w:hAnsiTheme="majorBidi" w:cstheme="majorBidi"/>
          <w:color w:val="000000"/>
          <w:sz w:val="24"/>
          <w:szCs w:val="24"/>
        </w:rPr>
        <w:t xml:space="preserve">] </w:t>
      </w:r>
      <w:r w:rsidRPr="00CE0781">
        <w:rPr>
          <w:rFonts w:asciiTheme="majorBidi" w:eastAsia="Times New Roman" w:hAnsiTheme="majorBidi" w:cstheme="majorBidi"/>
          <w:color w:val="000000"/>
          <w:sz w:val="24"/>
          <w:szCs w:val="24"/>
        </w:rPr>
        <w:t>​</w:t>
      </w:r>
      <w:proofErr w:type="spellStart"/>
      <w:r w:rsidRPr="00CE0781">
        <w:rPr>
          <w:rFonts w:asciiTheme="majorBidi" w:eastAsia="Times New Roman" w:hAnsiTheme="majorBidi" w:cstheme="majorBidi"/>
          <w:color w:val="000000"/>
          <w:sz w:val="24"/>
          <w:szCs w:val="24"/>
        </w:rPr>
        <w:t>Koso</w:t>
      </w:r>
      <w:proofErr w:type="spellEnd"/>
      <w:r w:rsidRPr="00CE0781">
        <w:rPr>
          <w:rFonts w:asciiTheme="majorBidi" w:eastAsia="Times New Roman" w:hAnsiTheme="majorBidi" w:cstheme="majorBidi"/>
          <w:color w:val="000000"/>
          <w:sz w:val="24"/>
          <w:szCs w:val="24"/>
        </w:rPr>
        <w:t xml:space="preserve"> RE, Sheets C, Richardson WJ, Galanos AN. Hip Fracture in the Elderly Patients: A Sentinel Event. Am J Hosp </w:t>
      </w:r>
      <w:proofErr w:type="spellStart"/>
      <w:r w:rsidRPr="00CE0781">
        <w:rPr>
          <w:rFonts w:asciiTheme="majorBidi" w:eastAsia="Times New Roman" w:hAnsiTheme="majorBidi" w:cstheme="majorBidi"/>
          <w:color w:val="000000"/>
          <w:sz w:val="24"/>
          <w:szCs w:val="24"/>
        </w:rPr>
        <w:t>Palliat</w:t>
      </w:r>
      <w:proofErr w:type="spellEnd"/>
      <w:r w:rsidRPr="00CE0781">
        <w:rPr>
          <w:rFonts w:asciiTheme="majorBidi" w:eastAsia="Times New Roman" w:hAnsiTheme="majorBidi" w:cstheme="majorBidi"/>
          <w:color w:val="000000"/>
          <w:sz w:val="24"/>
          <w:szCs w:val="24"/>
        </w:rPr>
        <w:t xml:space="preserve"> Care. 2018 Apr;35(4):612-9. PubMed PMID: 28823174. </w:t>
      </w:r>
      <w:proofErr w:type="spellStart"/>
      <w:r w:rsidRPr="00CE0781">
        <w:rPr>
          <w:rFonts w:asciiTheme="majorBidi" w:eastAsia="Times New Roman" w:hAnsiTheme="majorBidi" w:cstheme="majorBidi"/>
          <w:color w:val="000000"/>
          <w:sz w:val="24"/>
          <w:szCs w:val="24"/>
        </w:rPr>
        <w:t>Epub</w:t>
      </w:r>
      <w:proofErr w:type="spellEnd"/>
      <w:r w:rsidRPr="00CE0781">
        <w:rPr>
          <w:rFonts w:asciiTheme="majorBidi" w:eastAsia="Times New Roman" w:hAnsiTheme="majorBidi" w:cstheme="majorBidi"/>
          <w:color w:val="000000"/>
          <w:sz w:val="24"/>
          <w:szCs w:val="24"/>
        </w:rPr>
        <w:t xml:space="preserve"> 20170821. eng.</w:t>
      </w:r>
    </w:p>
    <w:p w14:paraId="32A292E5" w14:textId="138E8813" w:rsidR="00CE11F4" w:rsidRPr="00BC2822" w:rsidRDefault="00CE0781" w:rsidP="00515464">
      <w:pPr>
        <w:spacing w:after="160" w:line="360" w:lineRule="auto"/>
        <w:rPr>
          <w:rFonts w:asciiTheme="majorBidi" w:eastAsia="Times New Roman" w:hAnsiTheme="majorBidi" w:cstheme="majorBidi"/>
          <w:color w:val="000000"/>
          <w:sz w:val="24"/>
          <w:szCs w:val="24"/>
        </w:rPr>
        <w:sectPr w:rsidR="00CE11F4" w:rsidRPr="00BC2822" w:rsidSect="008F045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r>
        <w:rPr>
          <w:rFonts w:asciiTheme="majorBidi" w:eastAsia="Times New Roman" w:hAnsiTheme="majorBidi" w:cstheme="majorBidi"/>
          <w:color w:val="000000"/>
          <w:sz w:val="24"/>
          <w:szCs w:val="24"/>
        </w:rPr>
        <w:t>[</w:t>
      </w:r>
      <w:r w:rsidRPr="00CE0781">
        <w:rPr>
          <w:rFonts w:asciiTheme="majorBidi" w:eastAsia="Times New Roman" w:hAnsiTheme="majorBidi" w:cstheme="majorBidi"/>
          <w:color w:val="000000"/>
          <w:sz w:val="24"/>
          <w:szCs w:val="24"/>
        </w:rPr>
        <w:t>28</w:t>
      </w:r>
      <w:r>
        <w:rPr>
          <w:rFonts w:asciiTheme="majorBidi" w:eastAsia="Times New Roman" w:hAnsiTheme="majorBidi" w:cstheme="majorBidi"/>
          <w:color w:val="000000"/>
          <w:sz w:val="24"/>
          <w:szCs w:val="24"/>
        </w:rPr>
        <w:t xml:space="preserve">] </w:t>
      </w:r>
      <w:r w:rsidRPr="00CE0781">
        <w:rPr>
          <w:rFonts w:asciiTheme="majorBidi" w:eastAsia="Times New Roman" w:hAnsiTheme="majorBidi" w:cstheme="majorBidi"/>
          <w:color w:val="000000"/>
          <w:sz w:val="24"/>
          <w:szCs w:val="24"/>
        </w:rPr>
        <w:t xml:space="preserve">​Collard RM, </w:t>
      </w:r>
      <w:proofErr w:type="spellStart"/>
      <w:r w:rsidRPr="00CE0781">
        <w:rPr>
          <w:rFonts w:asciiTheme="majorBidi" w:eastAsia="Times New Roman" w:hAnsiTheme="majorBidi" w:cstheme="majorBidi"/>
          <w:color w:val="000000"/>
          <w:sz w:val="24"/>
          <w:szCs w:val="24"/>
        </w:rPr>
        <w:t>Boter</w:t>
      </w:r>
      <w:proofErr w:type="spellEnd"/>
      <w:r w:rsidRPr="00CE0781">
        <w:rPr>
          <w:rFonts w:asciiTheme="majorBidi" w:eastAsia="Times New Roman" w:hAnsiTheme="majorBidi" w:cstheme="majorBidi"/>
          <w:color w:val="000000"/>
          <w:sz w:val="24"/>
          <w:szCs w:val="24"/>
        </w:rPr>
        <w:t xml:space="preserve"> H, </w:t>
      </w:r>
      <w:proofErr w:type="spellStart"/>
      <w:r w:rsidRPr="00CE0781">
        <w:rPr>
          <w:rFonts w:asciiTheme="majorBidi" w:eastAsia="Times New Roman" w:hAnsiTheme="majorBidi" w:cstheme="majorBidi"/>
          <w:color w:val="000000"/>
          <w:sz w:val="24"/>
          <w:szCs w:val="24"/>
        </w:rPr>
        <w:t>Schoevers</w:t>
      </w:r>
      <w:proofErr w:type="spellEnd"/>
      <w:r w:rsidRPr="00CE0781">
        <w:rPr>
          <w:rFonts w:asciiTheme="majorBidi" w:eastAsia="Times New Roman" w:hAnsiTheme="majorBidi" w:cstheme="majorBidi"/>
          <w:color w:val="000000"/>
          <w:sz w:val="24"/>
          <w:szCs w:val="24"/>
        </w:rPr>
        <w:t xml:space="preserve"> RA, Oude </w:t>
      </w:r>
      <w:proofErr w:type="spellStart"/>
      <w:r w:rsidRPr="00CE0781">
        <w:rPr>
          <w:rFonts w:asciiTheme="majorBidi" w:eastAsia="Times New Roman" w:hAnsiTheme="majorBidi" w:cstheme="majorBidi"/>
          <w:color w:val="000000"/>
          <w:sz w:val="24"/>
          <w:szCs w:val="24"/>
        </w:rPr>
        <w:t>Voshaar</w:t>
      </w:r>
      <w:proofErr w:type="spellEnd"/>
      <w:r w:rsidRPr="00CE0781">
        <w:rPr>
          <w:rFonts w:asciiTheme="majorBidi" w:eastAsia="Times New Roman" w:hAnsiTheme="majorBidi" w:cstheme="majorBidi"/>
          <w:color w:val="000000"/>
          <w:sz w:val="24"/>
          <w:szCs w:val="24"/>
        </w:rPr>
        <w:t xml:space="preserve"> RC. Prevalence of frailty in community-dwelling older persons: a systematic review. J Am </w:t>
      </w:r>
      <w:proofErr w:type="spellStart"/>
      <w:r w:rsidRPr="00CE0781">
        <w:rPr>
          <w:rFonts w:asciiTheme="majorBidi" w:eastAsia="Times New Roman" w:hAnsiTheme="majorBidi" w:cstheme="majorBidi"/>
          <w:color w:val="000000"/>
          <w:sz w:val="24"/>
          <w:szCs w:val="24"/>
        </w:rPr>
        <w:t>Geriatr</w:t>
      </w:r>
      <w:proofErr w:type="spellEnd"/>
      <w:r w:rsidRPr="00CE0781">
        <w:rPr>
          <w:rFonts w:asciiTheme="majorBidi" w:eastAsia="Times New Roman" w:hAnsiTheme="majorBidi" w:cstheme="majorBidi"/>
          <w:color w:val="000000"/>
          <w:sz w:val="24"/>
          <w:szCs w:val="24"/>
        </w:rPr>
        <w:t xml:space="preserve"> Soc. 2012 Aug;60(8):1487-92. PubMed PMID: 22881367. </w:t>
      </w:r>
      <w:proofErr w:type="spellStart"/>
      <w:r w:rsidRPr="00CE0781">
        <w:rPr>
          <w:rFonts w:asciiTheme="majorBidi" w:eastAsia="Times New Roman" w:hAnsiTheme="majorBidi" w:cstheme="majorBidi"/>
          <w:color w:val="000000"/>
          <w:sz w:val="24"/>
          <w:szCs w:val="24"/>
        </w:rPr>
        <w:t>Epub</w:t>
      </w:r>
      <w:proofErr w:type="spellEnd"/>
      <w:r w:rsidRPr="00CE0781">
        <w:rPr>
          <w:rFonts w:asciiTheme="majorBidi" w:eastAsia="Times New Roman" w:hAnsiTheme="majorBidi" w:cstheme="majorBidi"/>
          <w:color w:val="000000"/>
          <w:sz w:val="24"/>
          <w:szCs w:val="24"/>
        </w:rPr>
        <w:t xml:space="preserve"> 20120806. eng.</w:t>
      </w:r>
    </w:p>
    <w:p w14:paraId="6693505B" w14:textId="1BFD90C3" w:rsidR="002619B7" w:rsidRPr="002619B7" w:rsidRDefault="002619B7" w:rsidP="00471DE4">
      <w:pPr>
        <w:tabs>
          <w:tab w:val="left" w:pos="806"/>
          <w:tab w:val="left" w:pos="841"/>
        </w:tabs>
        <w:rPr>
          <w:rFonts w:ascii="Times New Roman" w:eastAsiaTheme="minorHAnsi" w:hAnsi="Times New Roman"/>
          <w:sz w:val="24"/>
          <w:szCs w:val="24"/>
          <w:lang w:eastAsia="en-US"/>
        </w:rPr>
        <w:sectPr w:rsidR="002619B7" w:rsidRPr="002619B7" w:rsidSect="002619B7">
          <w:type w:val="continuous"/>
          <w:pgSz w:w="12240" w:h="15840" w:code="1"/>
          <w:pgMar w:top="1440" w:right="1440" w:bottom="1440" w:left="1440" w:header="720" w:footer="720" w:gutter="0"/>
          <w:cols w:space="720"/>
          <w:docGrid w:linePitch="360"/>
        </w:sectPr>
      </w:pPr>
    </w:p>
    <w:p w14:paraId="70CADD6D" w14:textId="77777777" w:rsidR="00E8239F" w:rsidRDefault="00E8239F" w:rsidP="00E50C5A">
      <w:pPr>
        <w:spacing w:after="160" w:line="360" w:lineRule="auto"/>
        <w:jc w:val="both"/>
        <w:rPr>
          <w:rFonts w:asciiTheme="majorBidi" w:eastAsia="Times New Roman" w:hAnsiTheme="majorBidi" w:cstheme="majorBidi"/>
          <w:color w:val="000000"/>
          <w:sz w:val="24"/>
          <w:szCs w:val="24"/>
        </w:rPr>
      </w:pPr>
      <w:r w:rsidRPr="004D6EE2">
        <w:rPr>
          <w:rFonts w:asciiTheme="majorBidi" w:eastAsia="Times New Roman" w:hAnsiTheme="majorBidi" w:cstheme="majorBidi"/>
          <w:b/>
          <w:bCs/>
          <w:color w:val="000000"/>
          <w:sz w:val="24"/>
          <w:szCs w:val="24"/>
        </w:rPr>
        <w:lastRenderedPageBreak/>
        <w:t>Figure 1</w:t>
      </w:r>
      <w:r w:rsidRPr="00CE28F4">
        <w:rPr>
          <w:rFonts w:asciiTheme="majorBidi" w:eastAsia="Times New Roman" w:hAnsiTheme="majorBidi" w:cstheme="majorBidi"/>
          <w:color w:val="000000"/>
          <w:sz w:val="24"/>
          <w:szCs w:val="24"/>
        </w:rPr>
        <w:t xml:space="preserve"> Shows the selection and inclusion procedures for this review according to the PRISMA (2020) checklist. </w:t>
      </w:r>
    </w:p>
    <w:p w14:paraId="2062D288" w14:textId="77777777" w:rsidR="003D2794" w:rsidRDefault="003D2794" w:rsidP="00E50C5A">
      <w:pPr>
        <w:spacing w:after="160" w:line="360" w:lineRule="auto"/>
        <w:jc w:val="both"/>
        <w:rPr>
          <w:rFonts w:asciiTheme="majorBidi" w:eastAsia="Times New Roman" w:hAnsiTheme="majorBidi" w:cstheme="majorBidi"/>
          <w:color w:val="000000"/>
          <w:sz w:val="24"/>
          <w:szCs w:val="24"/>
        </w:rPr>
      </w:pPr>
    </w:p>
    <w:p w14:paraId="708C6D1B" w14:textId="56429CFE" w:rsidR="003D2794" w:rsidRPr="00CE28F4" w:rsidRDefault="003D2794" w:rsidP="00E50C5A">
      <w:pPr>
        <w:spacing w:after="160" w:line="360" w:lineRule="auto"/>
        <w:jc w:val="both"/>
        <w:rPr>
          <w:rFonts w:asciiTheme="majorBidi" w:eastAsia="Times New Roman" w:hAnsiTheme="majorBidi" w:cstheme="majorBidi"/>
          <w:color w:val="000000"/>
          <w:sz w:val="24"/>
          <w:szCs w:val="24"/>
        </w:rPr>
      </w:pPr>
      <w:r>
        <w:rPr>
          <w:rFonts w:asciiTheme="majorBidi" w:hAnsiTheme="majorBidi" w:cstheme="majorBidi"/>
          <w:noProof/>
          <w:lang w:eastAsia="en-US"/>
        </w:rPr>
        <w:drawing>
          <wp:anchor distT="0" distB="0" distL="114300" distR="114300" simplePos="0" relativeHeight="251659264" behindDoc="0" locked="0" layoutInCell="1" allowOverlap="1" wp14:anchorId="548DA399" wp14:editId="58CA10ED">
            <wp:simplePos x="0" y="0"/>
            <wp:positionH relativeFrom="column">
              <wp:posOffset>0</wp:posOffset>
            </wp:positionH>
            <wp:positionV relativeFrom="paragraph">
              <wp:posOffset>354330</wp:posOffset>
            </wp:positionV>
            <wp:extent cx="5731510" cy="6515735"/>
            <wp:effectExtent l="0" t="0" r="0" b="0"/>
            <wp:wrapTopAndBottom/>
            <wp:docPr id="19120793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079347" name="Picture 1912079347"/>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31510" cy="6515735"/>
                    </a:xfrm>
                    <a:prstGeom prst="rect">
                      <a:avLst/>
                    </a:prstGeom>
                  </pic:spPr>
                </pic:pic>
              </a:graphicData>
            </a:graphic>
          </wp:anchor>
        </w:drawing>
      </w:r>
    </w:p>
    <w:p w14:paraId="319D88B3" w14:textId="77777777" w:rsidR="00E8239F" w:rsidRDefault="00E8239F" w:rsidP="00E50C5A">
      <w:pPr>
        <w:spacing w:after="160" w:line="360" w:lineRule="auto"/>
        <w:jc w:val="both"/>
        <w:rPr>
          <w:rFonts w:asciiTheme="majorBidi" w:eastAsia="Times New Roman" w:hAnsiTheme="majorBidi" w:cstheme="majorBidi"/>
          <w:color w:val="000000"/>
          <w:sz w:val="24"/>
          <w:szCs w:val="24"/>
        </w:rPr>
      </w:pPr>
      <w:r w:rsidRPr="004D6EE2">
        <w:rPr>
          <w:rFonts w:asciiTheme="majorBidi" w:eastAsia="Times New Roman" w:hAnsiTheme="majorBidi" w:cstheme="majorBidi"/>
          <w:b/>
          <w:bCs/>
          <w:color w:val="000000"/>
          <w:sz w:val="24"/>
          <w:szCs w:val="24"/>
        </w:rPr>
        <w:lastRenderedPageBreak/>
        <w:t xml:space="preserve">Figure 2 </w:t>
      </w:r>
      <w:r w:rsidRPr="00CE28F4">
        <w:rPr>
          <w:rFonts w:asciiTheme="majorBidi" w:eastAsia="Times New Roman" w:hAnsiTheme="majorBidi" w:cstheme="majorBidi"/>
          <w:color w:val="000000"/>
          <w:sz w:val="24"/>
          <w:szCs w:val="24"/>
        </w:rPr>
        <w:t xml:space="preserve">Shows the AUC and validation type of the included studies. Abbreviations: AUC; Area Under the Curve, CI; Confidence Interval. </w:t>
      </w:r>
    </w:p>
    <w:p w14:paraId="49C36D57" w14:textId="47AA1FAC" w:rsidR="000D0271" w:rsidRDefault="000D0271" w:rsidP="00E50C5A">
      <w:pPr>
        <w:spacing w:after="160" w:line="360" w:lineRule="auto"/>
        <w:jc w:val="both"/>
        <w:rPr>
          <w:rFonts w:asciiTheme="majorBidi" w:eastAsia="Times New Roman" w:hAnsiTheme="majorBidi" w:cstheme="majorBidi"/>
          <w:color w:val="000000"/>
          <w:sz w:val="24"/>
          <w:szCs w:val="24"/>
        </w:rPr>
      </w:pPr>
      <w:r>
        <w:rPr>
          <w:rFonts w:asciiTheme="majorBidi" w:hAnsiTheme="majorBidi" w:cstheme="majorBidi"/>
          <w:noProof/>
          <w:lang w:eastAsia="en-US"/>
        </w:rPr>
        <w:drawing>
          <wp:anchor distT="0" distB="0" distL="114300" distR="114300" simplePos="0" relativeHeight="251661312" behindDoc="0" locked="0" layoutInCell="1" allowOverlap="1" wp14:anchorId="648DD5C3" wp14:editId="29FCD536">
            <wp:simplePos x="0" y="0"/>
            <wp:positionH relativeFrom="column">
              <wp:posOffset>0</wp:posOffset>
            </wp:positionH>
            <wp:positionV relativeFrom="paragraph">
              <wp:posOffset>361950</wp:posOffset>
            </wp:positionV>
            <wp:extent cx="5010150" cy="3740150"/>
            <wp:effectExtent l="0" t="0" r="6350" b="635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010150" cy="3740150"/>
                    </a:xfrm>
                    <a:prstGeom prst="rect">
                      <a:avLst/>
                    </a:prstGeom>
                  </pic:spPr>
                </pic:pic>
              </a:graphicData>
            </a:graphic>
            <wp14:sizeRelH relativeFrom="margin">
              <wp14:pctWidth>0</wp14:pctWidth>
            </wp14:sizeRelH>
            <wp14:sizeRelV relativeFrom="margin">
              <wp14:pctHeight>0</wp14:pctHeight>
            </wp14:sizeRelV>
          </wp:anchor>
        </w:drawing>
      </w:r>
    </w:p>
    <w:p w14:paraId="5AD414A2" w14:textId="77777777" w:rsidR="00D8297F" w:rsidRDefault="00D8297F" w:rsidP="00E50C5A">
      <w:pPr>
        <w:spacing w:after="160" w:line="360" w:lineRule="auto"/>
        <w:jc w:val="both"/>
        <w:rPr>
          <w:rFonts w:asciiTheme="majorBidi" w:eastAsia="Times New Roman" w:hAnsiTheme="majorBidi" w:cstheme="majorBidi"/>
          <w:color w:val="000000"/>
          <w:sz w:val="24"/>
          <w:szCs w:val="24"/>
        </w:rPr>
      </w:pPr>
    </w:p>
    <w:p w14:paraId="1D484494" w14:textId="2CEB35B2" w:rsidR="00D8297F" w:rsidRDefault="00D8297F" w:rsidP="00E50C5A">
      <w:pPr>
        <w:spacing w:after="160" w:line="360" w:lineRule="auto"/>
        <w:jc w:val="both"/>
        <w:rPr>
          <w:rFonts w:asciiTheme="majorBidi" w:eastAsia="Times New Roman" w:hAnsiTheme="majorBidi" w:cstheme="majorBidi"/>
          <w:color w:val="000000"/>
          <w:sz w:val="24"/>
          <w:szCs w:val="24"/>
        </w:rPr>
      </w:pPr>
      <w:r w:rsidRPr="00D8297F">
        <w:rPr>
          <w:rFonts w:asciiTheme="majorBidi" w:eastAsia="Times New Roman" w:hAnsiTheme="majorBidi" w:cstheme="majorBidi"/>
          <w:color w:val="000000"/>
          <w:sz w:val="24"/>
          <w:szCs w:val="24"/>
        </w:rPr>
        <w:t xml:space="preserve">Abbreviations: AUC; Area Under the Curve, CI; Confidence Interval. </w:t>
      </w:r>
    </w:p>
    <w:p w14:paraId="41D4473A" w14:textId="77777777" w:rsidR="002D4BF9" w:rsidRDefault="002D4BF9" w:rsidP="00E50C5A">
      <w:pPr>
        <w:spacing w:after="160" w:line="360" w:lineRule="auto"/>
        <w:jc w:val="both"/>
        <w:rPr>
          <w:rFonts w:asciiTheme="majorBidi" w:eastAsia="Times New Roman" w:hAnsiTheme="majorBidi" w:cstheme="majorBidi"/>
          <w:color w:val="000000"/>
          <w:sz w:val="24"/>
          <w:szCs w:val="24"/>
        </w:rPr>
      </w:pPr>
    </w:p>
    <w:p w14:paraId="03F7AFF1" w14:textId="684461D2" w:rsidR="002D4BF9" w:rsidRDefault="002D4BF9" w:rsidP="00E50C5A">
      <w:pPr>
        <w:spacing w:after="160" w:line="360" w:lineRule="auto"/>
        <w:jc w:val="both"/>
        <w:rPr>
          <w:rFonts w:asciiTheme="majorBidi" w:eastAsia="Times New Roman" w:hAnsiTheme="majorBidi" w:cstheme="majorBidi"/>
          <w:color w:val="000000"/>
          <w:sz w:val="24"/>
          <w:szCs w:val="24"/>
        </w:rPr>
      </w:pPr>
      <w:r w:rsidRPr="002D4BF9">
        <w:rPr>
          <w:rFonts w:asciiTheme="majorBidi" w:eastAsia="Times New Roman" w:hAnsiTheme="majorBidi" w:cstheme="majorBidi"/>
          <w:color w:val="000000"/>
          <w:sz w:val="24"/>
          <w:szCs w:val="24"/>
        </w:rPr>
        <w:t>Table 1 Characteristic of Included Studies.</w:t>
      </w:r>
    </w:p>
    <w:tbl>
      <w:tblPr>
        <w:tblStyle w:val="ListTable6Colourful1"/>
        <w:tblpPr w:leftFromText="180" w:rightFromText="180" w:vertAnchor="page" w:horzAnchor="margin" w:tblpXSpec="center" w:tblpY="2144"/>
        <w:tblW w:w="5035" w:type="pct"/>
        <w:tblLayout w:type="fixed"/>
        <w:tblLook w:val="04A0" w:firstRow="1" w:lastRow="0" w:firstColumn="1" w:lastColumn="0" w:noHBand="0" w:noVBand="1"/>
      </w:tblPr>
      <w:tblGrid>
        <w:gridCol w:w="974"/>
        <w:gridCol w:w="1040"/>
        <w:gridCol w:w="905"/>
        <w:gridCol w:w="696"/>
        <w:gridCol w:w="820"/>
        <w:gridCol w:w="760"/>
        <w:gridCol w:w="816"/>
        <w:gridCol w:w="943"/>
        <w:gridCol w:w="1335"/>
        <w:gridCol w:w="1137"/>
      </w:tblGrid>
      <w:tr w:rsidR="002D4BF9" w:rsidRPr="002D4BF9" w14:paraId="2BBC0974" w14:textId="77777777" w:rsidTr="003A268D">
        <w:trPr>
          <w:cnfStyle w:val="100000000000" w:firstRow="1" w:lastRow="0" w:firstColumn="0" w:lastColumn="0" w:oddVBand="0" w:evenVBand="0" w:oddHBand="0"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517" w:type="pct"/>
            <w:tcBorders>
              <w:top w:val="single" w:sz="12" w:space="0" w:color="auto"/>
              <w:bottom w:val="single" w:sz="12" w:space="0" w:color="auto"/>
            </w:tcBorders>
            <w:noWrap/>
            <w:hideMark/>
          </w:tcPr>
          <w:p w14:paraId="1E51A1B8" w14:textId="77777777" w:rsidR="002D4BF9" w:rsidRPr="002D4BF9" w:rsidRDefault="002D4BF9" w:rsidP="002D4BF9">
            <w:pPr>
              <w:spacing w:after="160" w:line="259" w:lineRule="auto"/>
              <w:jc w:val="both"/>
              <w:rPr>
                <w:rFonts w:ascii="Times New Roman" w:eastAsia="Times New Roman" w:hAnsi="Times New Roman"/>
                <w:color w:val="000000"/>
                <w:szCs w:val="24"/>
                <w:lang w:eastAsia="en-US"/>
              </w:rPr>
            </w:pPr>
            <w:r w:rsidRPr="002D4BF9">
              <w:rPr>
                <w:rFonts w:ascii="Times New Roman" w:eastAsia="Times New Roman" w:hAnsi="Times New Roman"/>
                <w:color w:val="000000"/>
                <w:szCs w:val="24"/>
                <w:lang w:eastAsia="en-US"/>
              </w:rPr>
              <w:lastRenderedPageBreak/>
              <w:t>Author, Year</w:t>
            </w:r>
          </w:p>
        </w:tc>
        <w:tc>
          <w:tcPr>
            <w:tcW w:w="552" w:type="pct"/>
            <w:tcBorders>
              <w:top w:val="single" w:sz="12" w:space="0" w:color="auto"/>
              <w:bottom w:val="single" w:sz="12" w:space="0" w:color="auto"/>
            </w:tcBorders>
            <w:noWrap/>
            <w:hideMark/>
          </w:tcPr>
          <w:p w14:paraId="3CB5BFCC" w14:textId="77777777" w:rsidR="002D4BF9" w:rsidRPr="002D4BF9" w:rsidRDefault="002D4BF9" w:rsidP="002D4BF9">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Cs w:val="24"/>
                <w:lang w:eastAsia="en-US"/>
              </w:rPr>
            </w:pPr>
            <w:r w:rsidRPr="002D4BF9">
              <w:rPr>
                <w:rFonts w:ascii="Times New Roman" w:eastAsia="Times New Roman" w:hAnsi="Times New Roman"/>
                <w:color w:val="000000"/>
                <w:szCs w:val="24"/>
                <w:lang w:eastAsia="en-US"/>
              </w:rPr>
              <w:t>Study Design</w:t>
            </w:r>
          </w:p>
        </w:tc>
        <w:tc>
          <w:tcPr>
            <w:tcW w:w="480" w:type="pct"/>
            <w:tcBorders>
              <w:top w:val="single" w:sz="12" w:space="0" w:color="auto"/>
              <w:bottom w:val="single" w:sz="12" w:space="0" w:color="auto"/>
            </w:tcBorders>
            <w:noWrap/>
            <w:hideMark/>
          </w:tcPr>
          <w:p w14:paraId="238BD88B" w14:textId="77777777" w:rsidR="002D4BF9" w:rsidRPr="002D4BF9" w:rsidRDefault="002D4BF9" w:rsidP="002D4BF9">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Cs w:val="24"/>
                <w:lang w:eastAsia="en-US"/>
              </w:rPr>
            </w:pPr>
            <w:r w:rsidRPr="002D4BF9">
              <w:rPr>
                <w:rFonts w:ascii="Times New Roman" w:eastAsia="Times New Roman" w:hAnsi="Times New Roman"/>
                <w:color w:val="000000"/>
                <w:szCs w:val="24"/>
                <w:lang w:eastAsia="en-US"/>
              </w:rPr>
              <w:t>Population</w:t>
            </w:r>
          </w:p>
        </w:tc>
        <w:tc>
          <w:tcPr>
            <w:tcW w:w="369" w:type="pct"/>
            <w:tcBorders>
              <w:top w:val="single" w:sz="12" w:space="0" w:color="auto"/>
              <w:bottom w:val="single" w:sz="12" w:space="0" w:color="auto"/>
            </w:tcBorders>
            <w:noWrap/>
            <w:hideMark/>
          </w:tcPr>
          <w:p w14:paraId="46FF0165" w14:textId="77777777" w:rsidR="002D4BF9" w:rsidRPr="002D4BF9" w:rsidRDefault="002D4BF9" w:rsidP="002D4BF9">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Cs w:val="24"/>
                <w:lang w:eastAsia="en-US"/>
              </w:rPr>
            </w:pPr>
            <w:r w:rsidRPr="002D4BF9">
              <w:rPr>
                <w:rFonts w:ascii="Times New Roman" w:eastAsia="Times New Roman" w:hAnsi="Times New Roman"/>
                <w:color w:val="000000"/>
                <w:szCs w:val="24"/>
                <w:lang w:eastAsia="en-US"/>
              </w:rPr>
              <w:t>Sample Size</w:t>
            </w:r>
          </w:p>
        </w:tc>
        <w:tc>
          <w:tcPr>
            <w:tcW w:w="435" w:type="pct"/>
            <w:tcBorders>
              <w:top w:val="single" w:sz="12" w:space="0" w:color="auto"/>
              <w:bottom w:val="single" w:sz="12" w:space="0" w:color="auto"/>
            </w:tcBorders>
            <w:noWrap/>
            <w:hideMark/>
          </w:tcPr>
          <w:p w14:paraId="3FE562AC" w14:textId="77777777" w:rsidR="002D4BF9" w:rsidRPr="002D4BF9" w:rsidRDefault="002D4BF9" w:rsidP="002D4BF9">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Cs w:val="24"/>
                <w:lang w:eastAsia="en-US"/>
              </w:rPr>
            </w:pPr>
            <w:r w:rsidRPr="002D4BF9">
              <w:rPr>
                <w:rFonts w:ascii="Times New Roman" w:eastAsia="Times New Roman" w:hAnsi="Times New Roman"/>
                <w:color w:val="000000"/>
                <w:szCs w:val="24"/>
                <w:lang w:eastAsia="en-US"/>
              </w:rPr>
              <w:t>Age</w:t>
            </w:r>
          </w:p>
          <w:p w14:paraId="5E07384C" w14:textId="77777777" w:rsidR="002D4BF9" w:rsidRPr="002D4BF9" w:rsidRDefault="002D4BF9" w:rsidP="002D4BF9">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Cs w:val="24"/>
                <w:lang w:eastAsia="en-US"/>
              </w:rPr>
            </w:pPr>
            <w:r w:rsidRPr="002D4BF9">
              <w:rPr>
                <w:rFonts w:ascii="Times New Roman" w:eastAsia="Times New Roman" w:hAnsi="Times New Roman"/>
                <w:color w:val="000000"/>
                <w:szCs w:val="24"/>
                <w:lang w:eastAsia="en-US"/>
              </w:rPr>
              <w:t>Group</w:t>
            </w:r>
          </w:p>
        </w:tc>
        <w:tc>
          <w:tcPr>
            <w:tcW w:w="403" w:type="pct"/>
            <w:tcBorders>
              <w:top w:val="single" w:sz="12" w:space="0" w:color="auto"/>
              <w:bottom w:val="single" w:sz="12" w:space="0" w:color="auto"/>
            </w:tcBorders>
            <w:hideMark/>
          </w:tcPr>
          <w:p w14:paraId="5607B751" w14:textId="77777777" w:rsidR="002D4BF9" w:rsidRPr="002D4BF9" w:rsidRDefault="002D4BF9" w:rsidP="002D4BF9">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Cs w:val="24"/>
                <w:lang w:eastAsia="en-US"/>
              </w:rPr>
            </w:pPr>
            <w:r w:rsidRPr="002D4BF9">
              <w:rPr>
                <w:rFonts w:ascii="Times New Roman" w:eastAsia="Times New Roman" w:hAnsi="Times New Roman"/>
                <w:color w:val="000000"/>
                <w:szCs w:val="24"/>
                <w:lang w:eastAsia="en-US"/>
              </w:rPr>
              <w:t>Number of Risk Factors</w:t>
            </w:r>
          </w:p>
        </w:tc>
        <w:tc>
          <w:tcPr>
            <w:tcW w:w="433" w:type="pct"/>
            <w:tcBorders>
              <w:top w:val="single" w:sz="12" w:space="0" w:color="auto"/>
              <w:bottom w:val="single" w:sz="12" w:space="0" w:color="auto"/>
            </w:tcBorders>
            <w:noWrap/>
            <w:hideMark/>
          </w:tcPr>
          <w:p w14:paraId="01107400" w14:textId="77777777" w:rsidR="002D4BF9" w:rsidRPr="002D4BF9" w:rsidRDefault="002D4BF9" w:rsidP="002D4BF9">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Cs w:val="24"/>
                <w:lang w:eastAsia="en-US"/>
              </w:rPr>
            </w:pPr>
            <w:r w:rsidRPr="002D4BF9">
              <w:rPr>
                <w:rFonts w:ascii="Times New Roman" w:eastAsia="Times New Roman" w:hAnsi="Times New Roman"/>
                <w:color w:val="000000"/>
                <w:szCs w:val="24"/>
                <w:lang w:eastAsia="en-US"/>
              </w:rPr>
              <w:t>Incidence of POD</w:t>
            </w:r>
          </w:p>
        </w:tc>
        <w:tc>
          <w:tcPr>
            <w:tcW w:w="500" w:type="pct"/>
            <w:tcBorders>
              <w:top w:val="single" w:sz="12" w:space="0" w:color="auto"/>
              <w:bottom w:val="single" w:sz="12" w:space="0" w:color="auto"/>
            </w:tcBorders>
            <w:noWrap/>
            <w:hideMark/>
          </w:tcPr>
          <w:p w14:paraId="6F3EC1BE" w14:textId="77777777" w:rsidR="002D4BF9" w:rsidRPr="002D4BF9" w:rsidRDefault="002D4BF9" w:rsidP="002D4BF9">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Cs w:val="24"/>
                <w:lang w:eastAsia="en-US"/>
              </w:rPr>
            </w:pPr>
            <w:r w:rsidRPr="002D4BF9">
              <w:rPr>
                <w:rFonts w:ascii="Times New Roman" w:eastAsia="Times New Roman" w:hAnsi="Times New Roman"/>
                <w:color w:val="000000"/>
                <w:szCs w:val="24"/>
                <w:lang w:eastAsia="en-US"/>
              </w:rPr>
              <w:t>Model Used</w:t>
            </w:r>
          </w:p>
        </w:tc>
        <w:tc>
          <w:tcPr>
            <w:tcW w:w="708" w:type="pct"/>
            <w:tcBorders>
              <w:top w:val="single" w:sz="12" w:space="0" w:color="auto"/>
              <w:bottom w:val="single" w:sz="12" w:space="0" w:color="auto"/>
            </w:tcBorders>
            <w:noWrap/>
            <w:hideMark/>
          </w:tcPr>
          <w:p w14:paraId="559B9A7F" w14:textId="77777777" w:rsidR="002D4BF9" w:rsidRPr="002D4BF9" w:rsidRDefault="002D4BF9" w:rsidP="002D4BF9">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Cs w:val="24"/>
                <w:lang w:eastAsia="en-US"/>
              </w:rPr>
            </w:pPr>
            <w:r w:rsidRPr="002D4BF9">
              <w:rPr>
                <w:rFonts w:ascii="Times New Roman" w:eastAsia="Times New Roman" w:hAnsi="Times New Roman"/>
                <w:color w:val="000000"/>
                <w:szCs w:val="24"/>
                <w:lang w:eastAsia="en-US"/>
              </w:rPr>
              <w:t>Model Performance</w:t>
            </w:r>
          </w:p>
          <w:p w14:paraId="4D82E4E9" w14:textId="77777777" w:rsidR="002D4BF9" w:rsidRPr="002D4BF9" w:rsidRDefault="002D4BF9" w:rsidP="002D4BF9">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Cs w:val="24"/>
                <w:lang w:eastAsia="en-US"/>
              </w:rPr>
            </w:pPr>
            <w:r w:rsidRPr="002D4BF9">
              <w:rPr>
                <w:rFonts w:ascii="Times New Roman" w:eastAsia="Times New Roman" w:hAnsi="Times New Roman"/>
                <w:color w:val="000000"/>
                <w:szCs w:val="24"/>
                <w:lang w:eastAsia="en-US"/>
              </w:rPr>
              <w:t>(AUC)</w:t>
            </w:r>
          </w:p>
        </w:tc>
        <w:tc>
          <w:tcPr>
            <w:tcW w:w="603" w:type="pct"/>
            <w:tcBorders>
              <w:top w:val="single" w:sz="12" w:space="0" w:color="auto"/>
              <w:bottom w:val="single" w:sz="12" w:space="0" w:color="auto"/>
            </w:tcBorders>
            <w:noWrap/>
            <w:hideMark/>
          </w:tcPr>
          <w:p w14:paraId="31949244" w14:textId="77777777" w:rsidR="002D4BF9" w:rsidRPr="002D4BF9" w:rsidRDefault="002D4BF9" w:rsidP="002D4BF9">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Cs w:val="24"/>
                <w:lang w:eastAsia="en-US"/>
              </w:rPr>
            </w:pPr>
            <w:r w:rsidRPr="002D4BF9">
              <w:rPr>
                <w:rFonts w:ascii="Times New Roman" w:eastAsia="Times New Roman" w:hAnsi="Times New Roman"/>
                <w:color w:val="000000"/>
                <w:szCs w:val="24"/>
                <w:lang w:eastAsia="en-US"/>
              </w:rPr>
              <w:t>POD Measurement</w:t>
            </w:r>
          </w:p>
        </w:tc>
      </w:tr>
      <w:tr w:rsidR="002D4BF9" w:rsidRPr="002D4BF9" w14:paraId="0075697D" w14:textId="77777777" w:rsidTr="003A268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7" w:type="pct"/>
            <w:tcBorders>
              <w:top w:val="single" w:sz="12" w:space="0" w:color="auto"/>
            </w:tcBorders>
            <w:noWrap/>
            <w:hideMark/>
          </w:tcPr>
          <w:p w14:paraId="67C37D4E" w14:textId="77777777" w:rsidR="002D4BF9" w:rsidRPr="002D4BF9" w:rsidRDefault="002D4BF9" w:rsidP="002D4BF9">
            <w:pPr>
              <w:spacing w:after="160" w:line="259" w:lineRule="auto"/>
              <w:jc w:val="both"/>
              <w:rPr>
                <w:rFonts w:ascii="Times New Roman" w:eastAsia="Times New Roman" w:hAnsi="Times New Roman"/>
                <w:color w:val="000000"/>
                <w:lang w:eastAsia="en-US"/>
              </w:rPr>
            </w:pPr>
            <w:r w:rsidRPr="002D4BF9">
              <w:rPr>
                <w:rFonts w:ascii="Times New Roman" w:eastAsia="Times New Roman" w:hAnsi="Times New Roman"/>
                <w:color w:val="000000"/>
                <w:lang w:eastAsia="en-US"/>
              </w:rPr>
              <w:t>Lin X. et al, 2023</w:t>
            </w:r>
          </w:p>
        </w:tc>
        <w:tc>
          <w:tcPr>
            <w:tcW w:w="552" w:type="pct"/>
            <w:tcBorders>
              <w:top w:val="single" w:sz="12" w:space="0" w:color="auto"/>
            </w:tcBorders>
            <w:noWrap/>
            <w:hideMark/>
          </w:tcPr>
          <w:p w14:paraId="51AB1531"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Prospective study</w:t>
            </w:r>
          </w:p>
        </w:tc>
        <w:tc>
          <w:tcPr>
            <w:tcW w:w="480" w:type="pct"/>
            <w:tcBorders>
              <w:top w:val="single" w:sz="12" w:space="0" w:color="auto"/>
            </w:tcBorders>
            <w:noWrap/>
            <w:hideMark/>
          </w:tcPr>
          <w:p w14:paraId="2B58DC4F"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Chinese</w:t>
            </w:r>
          </w:p>
        </w:tc>
        <w:tc>
          <w:tcPr>
            <w:tcW w:w="369" w:type="pct"/>
            <w:tcBorders>
              <w:top w:val="single" w:sz="12" w:space="0" w:color="auto"/>
            </w:tcBorders>
            <w:noWrap/>
            <w:hideMark/>
          </w:tcPr>
          <w:p w14:paraId="0B087E92"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633 patients</w:t>
            </w:r>
          </w:p>
        </w:tc>
        <w:tc>
          <w:tcPr>
            <w:tcW w:w="435" w:type="pct"/>
            <w:tcBorders>
              <w:top w:val="single" w:sz="12" w:space="0" w:color="auto"/>
            </w:tcBorders>
            <w:noWrap/>
            <w:hideMark/>
          </w:tcPr>
          <w:p w14:paraId="5FEC5F89"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&gt; 65 years</w:t>
            </w:r>
          </w:p>
        </w:tc>
        <w:tc>
          <w:tcPr>
            <w:tcW w:w="403" w:type="pct"/>
            <w:tcBorders>
              <w:top w:val="single" w:sz="12" w:space="0" w:color="auto"/>
            </w:tcBorders>
            <w:noWrap/>
            <w:hideMark/>
          </w:tcPr>
          <w:p w14:paraId="0A19E2F7"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8</w:t>
            </w:r>
          </w:p>
        </w:tc>
        <w:tc>
          <w:tcPr>
            <w:tcW w:w="433" w:type="pct"/>
            <w:tcBorders>
              <w:top w:val="single" w:sz="12" w:space="0" w:color="auto"/>
            </w:tcBorders>
            <w:noWrap/>
            <w:hideMark/>
          </w:tcPr>
          <w:p w14:paraId="1E24C931"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19.76%</w:t>
            </w:r>
          </w:p>
        </w:tc>
        <w:tc>
          <w:tcPr>
            <w:tcW w:w="500" w:type="pct"/>
            <w:tcBorders>
              <w:top w:val="single" w:sz="12" w:space="0" w:color="auto"/>
            </w:tcBorders>
            <w:noWrap/>
            <w:hideMark/>
          </w:tcPr>
          <w:p w14:paraId="04471DC5"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Multivariate   LR</w:t>
            </w:r>
          </w:p>
        </w:tc>
        <w:tc>
          <w:tcPr>
            <w:tcW w:w="708" w:type="pct"/>
            <w:tcBorders>
              <w:top w:val="single" w:sz="12" w:space="0" w:color="auto"/>
            </w:tcBorders>
            <w:noWrap/>
            <w:hideMark/>
          </w:tcPr>
          <w:p w14:paraId="374DAE30"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 xml:space="preserve"> 0.939</w:t>
            </w:r>
          </w:p>
        </w:tc>
        <w:tc>
          <w:tcPr>
            <w:tcW w:w="603" w:type="pct"/>
            <w:tcBorders>
              <w:top w:val="single" w:sz="12" w:space="0" w:color="auto"/>
            </w:tcBorders>
            <w:noWrap/>
            <w:hideMark/>
          </w:tcPr>
          <w:p w14:paraId="3A2033F1"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CAM</w:t>
            </w:r>
          </w:p>
        </w:tc>
      </w:tr>
      <w:tr w:rsidR="002D4BF9" w:rsidRPr="002D4BF9" w14:paraId="35720080" w14:textId="77777777" w:rsidTr="003A268D">
        <w:trPr>
          <w:trHeight w:val="315"/>
        </w:trPr>
        <w:tc>
          <w:tcPr>
            <w:cnfStyle w:val="001000000000" w:firstRow="0" w:lastRow="0" w:firstColumn="1" w:lastColumn="0" w:oddVBand="0" w:evenVBand="0" w:oddHBand="0" w:evenHBand="0" w:firstRowFirstColumn="0" w:firstRowLastColumn="0" w:lastRowFirstColumn="0" w:lastRowLastColumn="0"/>
            <w:tcW w:w="517" w:type="pct"/>
            <w:hideMark/>
          </w:tcPr>
          <w:p w14:paraId="335C9815" w14:textId="77777777" w:rsidR="002D4BF9" w:rsidRPr="002D4BF9" w:rsidRDefault="002D4BF9" w:rsidP="002D4BF9">
            <w:pPr>
              <w:spacing w:after="160" w:line="259" w:lineRule="auto"/>
              <w:jc w:val="both"/>
              <w:rPr>
                <w:rFonts w:ascii="Times New Roman" w:eastAsia="Times New Roman" w:hAnsi="Times New Roman"/>
                <w:color w:val="000000"/>
                <w:lang w:eastAsia="en-US"/>
              </w:rPr>
            </w:pPr>
            <w:r w:rsidRPr="002D4BF9">
              <w:rPr>
                <w:rFonts w:ascii="Times New Roman" w:eastAsia="Times New Roman" w:hAnsi="Times New Roman"/>
                <w:color w:val="000000"/>
                <w:lang w:eastAsia="en-US"/>
              </w:rPr>
              <w:t>Huang Z. et al, 2023</w:t>
            </w:r>
          </w:p>
        </w:tc>
        <w:tc>
          <w:tcPr>
            <w:tcW w:w="552" w:type="pct"/>
            <w:noWrap/>
            <w:hideMark/>
          </w:tcPr>
          <w:p w14:paraId="024335E6" w14:textId="77777777" w:rsidR="002D4BF9" w:rsidRPr="002D4BF9" w:rsidRDefault="002D4BF9" w:rsidP="002D4BF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Retrospective study</w:t>
            </w:r>
          </w:p>
        </w:tc>
        <w:tc>
          <w:tcPr>
            <w:tcW w:w="480" w:type="pct"/>
            <w:noWrap/>
            <w:hideMark/>
          </w:tcPr>
          <w:p w14:paraId="6777767B" w14:textId="77777777" w:rsidR="002D4BF9" w:rsidRPr="002D4BF9" w:rsidRDefault="002D4BF9" w:rsidP="002D4BF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Chinese</w:t>
            </w:r>
          </w:p>
        </w:tc>
        <w:tc>
          <w:tcPr>
            <w:tcW w:w="369" w:type="pct"/>
            <w:noWrap/>
            <w:hideMark/>
          </w:tcPr>
          <w:p w14:paraId="6D093E89" w14:textId="77777777" w:rsidR="002D4BF9" w:rsidRPr="002D4BF9" w:rsidRDefault="002D4BF9" w:rsidP="002D4BF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838 patients</w:t>
            </w:r>
          </w:p>
        </w:tc>
        <w:tc>
          <w:tcPr>
            <w:tcW w:w="435" w:type="pct"/>
            <w:noWrap/>
            <w:hideMark/>
          </w:tcPr>
          <w:p w14:paraId="16B111DF" w14:textId="77777777" w:rsidR="002D4BF9" w:rsidRPr="002D4BF9" w:rsidRDefault="002D4BF9" w:rsidP="002D4BF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&gt; 18 years</w:t>
            </w:r>
          </w:p>
        </w:tc>
        <w:tc>
          <w:tcPr>
            <w:tcW w:w="403" w:type="pct"/>
            <w:noWrap/>
            <w:hideMark/>
          </w:tcPr>
          <w:p w14:paraId="2207547B" w14:textId="77777777" w:rsidR="002D4BF9" w:rsidRPr="002D4BF9" w:rsidRDefault="002D4BF9" w:rsidP="002D4BF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4</w:t>
            </w:r>
          </w:p>
        </w:tc>
        <w:tc>
          <w:tcPr>
            <w:tcW w:w="433" w:type="pct"/>
            <w:noWrap/>
            <w:hideMark/>
          </w:tcPr>
          <w:p w14:paraId="0E40BC91" w14:textId="77777777" w:rsidR="002D4BF9" w:rsidRPr="002D4BF9" w:rsidRDefault="002D4BF9" w:rsidP="002D4BF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10.90%</w:t>
            </w:r>
          </w:p>
        </w:tc>
        <w:tc>
          <w:tcPr>
            <w:tcW w:w="500" w:type="pct"/>
            <w:noWrap/>
            <w:hideMark/>
          </w:tcPr>
          <w:p w14:paraId="648EBDE5" w14:textId="77777777" w:rsidR="002D4BF9" w:rsidRPr="002D4BF9" w:rsidRDefault="002D4BF9" w:rsidP="002D4BF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Multivariate LR</w:t>
            </w:r>
          </w:p>
        </w:tc>
        <w:tc>
          <w:tcPr>
            <w:tcW w:w="708" w:type="pct"/>
            <w:noWrap/>
            <w:hideMark/>
          </w:tcPr>
          <w:p w14:paraId="5317F55F" w14:textId="77777777" w:rsidR="002D4BF9" w:rsidRPr="002D4BF9" w:rsidRDefault="002D4BF9" w:rsidP="002D4BF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 xml:space="preserve"> 0.684 and 0.630</w:t>
            </w:r>
          </w:p>
        </w:tc>
        <w:tc>
          <w:tcPr>
            <w:tcW w:w="603" w:type="pct"/>
            <w:noWrap/>
            <w:hideMark/>
          </w:tcPr>
          <w:p w14:paraId="592D2F07" w14:textId="77777777" w:rsidR="002D4BF9" w:rsidRPr="002D4BF9" w:rsidRDefault="002D4BF9" w:rsidP="002D4BF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CAM</w:t>
            </w:r>
          </w:p>
        </w:tc>
      </w:tr>
      <w:tr w:rsidR="002D4BF9" w:rsidRPr="002D4BF9" w14:paraId="773CF1A7" w14:textId="77777777" w:rsidTr="003A268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7" w:type="pct"/>
            <w:hideMark/>
          </w:tcPr>
          <w:p w14:paraId="718A09FC" w14:textId="77777777" w:rsidR="002D4BF9" w:rsidRPr="002D4BF9" w:rsidRDefault="002D4BF9" w:rsidP="002D4BF9">
            <w:pPr>
              <w:spacing w:after="160" w:line="259" w:lineRule="auto"/>
              <w:jc w:val="both"/>
              <w:rPr>
                <w:rFonts w:ascii="Times New Roman" w:eastAsia="Times New Roman" w:hAnsi="Times New Roman"/>
                <w:color w:val="000000"/>
                <w:lang w:eastAsia="en-US"/>
              </w:rPr>
            </w:pPr>
            <w:r w:rsidRPr="002D4BF9">
              <w:rPr>
                <w:rFonts w:ascii="Times New Roman" w:eastAsia="Times New Roman" w:hAnsi="Times New Roman"/>
                <w:color w:val="000000"/>
                <w:lang w:eastAsia="en-US"/>
              </w:rPr>
              <w:t>Yang Y. et al, 2022</w:t>
            </w:r>
          </w:p>
        </w:tc>
        <w:tc>
          <w:tcPr>
            <w:tcW w:w="552" w:type="pct"/>
            <w:noWrap/>
            <w:hideMark/>
          </w:tcPr>
          <w:p w14:paraId="57AE006E"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Retrospective study</w:t>
            </w:r>
          </w:p>
        </w:tc>
        <w:tc>
          <w:tcPr>
            <w:tcW w:w="480" w:type="pct"/>
            <w:noWrap/>
            <w:hideMark/>
          </w:tcPr>
          <w:p w14:paraId="49536DC7"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Chinese</w:t>
            </w:r>
          </w:p>
        </w:tc>
        <w:tc>
          <w:tcPr>
            <w:tcW w:w="369" w:type="pct"/>
            <w:noWrap/>
            <w:hideMark/>
          </w:tcPr>
          <w:p w14:paraId="20A741C3"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404 patients</w:t>
            </w:r>
          </w:p>
        </w:tc>
        <w:tc>
          <w:tcPr>
            <w:tcW w:w="435" w:type="pct"/>
            <w:noWrap/>
            <w:hideMark/>
          </w:tcPr>
          <w:p w14:paraId="4B92A0D8"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&gt; 60 years</w:t>
            </w:r>
          </w:p>
        </w:tc>
        <w:tc>
          <w:tcPr>
            <w:tcW w:w="403" w:type="pct"/>
            <w:noWrap/>
            <w:hideMark/>
          </w:tcPr>
          <w:p w14:paraId="5331517D"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3</w:t>
            </w:r>
          </w:p>
        </w:tc>
        <w:tc>
          <w:tcPr>
            <w:tcW w:w="433" w:type="pct"/>
            <w:noWrap/>
            <w:hideMark/>
          </w:tcPr>
          <w:p w14:paraId="26100C24"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13.60%</w:t>
            </w:r>
          </w:p>
        </w:tc>
        <w:tc>
          <w:tcPr>
            <w:tcW w:w="500" w:type="pct"/>
            <w:noWrap/>
            <w:hideMark/>
          </w:tcPr>
          <w:p w14:paraId="50AE91DA"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Multivariate LR</w:t>
            </w:r>
          </w:p>
        </w:tc>
        <w:tc>
          <w:tcPr>
            <w:tcW w:w="708" w:type="pct"/>
            <w:noWrap/>
            <w:hideMark/>
          </w:tcPr>
          <w:p w14:paraId="541E2AB1"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 xml:space="preserve"> 0.820 and 0.841</w:t>
            </w:r>
          </w:p>
        </w:tc>
        <w:tc>
          <w:tcPr>
            <w:tcW w:w="603" w:type="pct"/>
            <w:noWrap/>
            <w:hideMark/>
          </w:tcPr>
          <w:p w14:paraId="2458A19E"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CAM</w:t>
            </w:r>
          </w:p>
        </w:tc>
      </w:tr>
      <w:tr w:rsidR="002D4BF9" w:rsidRPr="002D4BF9" w14:paraId="125F3F7E" w14:textId="77777777" w:rsidTr="003A268D">
        <w:trPr>
          <w:trHeight w:val="630"/>
        </w:trPr>
        <w:tc>
          <w:tcPr>
            <w:cnfStyle w:val="001000000000" w:firstRow="0" w:lastRow="0" w:firstColumn="1" w:lastColumn="0" w:oddVBand="0" w:evenVBand="0" w:oddHBand="0" w:evenHBand="0" w:firstRowFirstColumn="0" w:firstRowLastColumn="0" w:lastRowFirstColumn="0" w:lastRowLastColumn="0"/>
            <w:tcW w:w="517" w:type="pct"/>
            <w:noWrap/>
            <w:hideMark/>
          </w:tcPr>
          <w:p w14:paraId="780F89E7" w14:textId="77777777" w:rsidR="002D4BF9" w:rsidRPr="002D4BF9" w:rsidRDefault="002D4BF9" w:rsidP="002D4BF9">
            <w:pPr>
              <w:spacing w:after="160" w:line="259" w:lineRule="auto"/>
              <w:jc w:val="both"/>
              <w:rPr>
                <w:rFonts w:ascii="Times New Roman" w:eastAsia="Times New Roman" w:hAnsi="Times New Roman"/>
                <w:color w:val="000000"/>
                <w:lang w:eastAsia="en-US"/>
              </w:rPr>
            </w:pPr>
            <w:r w:rsidRPr="002D4BF9">
              <w:rPr>
                <w:rFonts w:ascii="Times New Roman" w:eastAsia="Times New Roman" w:hAnsi="Times New Roman"/>
                <w:color w:val="000000"/>
                <w:lang w:eastAsia="en-US"/>
              </w:rPr>
              <w:t>Shen J. et al, 2022</w:t>
            </w:r>
          </w:p>
        </w:tc>
        <w:tc>
          <w:tcPr>
            <w:tcW w:w="552" w:type="pct"/>
            <w:noWrap/>
            <w:hideMark/>
          </w:tcPr>
          <w:p w14:paraId="072A550A" w14:textId="77777777" w:rsidR="002D4BF9" w:rsidRPr="002D4BF9" w:rsidRDefault="002D4BF9" w:rsidP="002D4BF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Retrospective study</w:t>
            </w:r>
          </w:p>
        </w:tc>
        <w:tc>
          <w:tcPr>
            <w:tcW w:w="480" w:type="pct"/>
            <w:noWrap/>
            <w:hideMark/>
          </w:tcPr>
          <w:p w14:paraId="7E0D0651" w14:textId="77777777" w:rsidR="002D4BF9" w:rsidRPr="002D4BF9" w:rsidRDefault="002D4BF9" w:rsidP="002D4BF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Chinese</w:t>
            </w:r>
          </w:p>
        </w:tc>
        <w:tc>
          <w:tcPr>
            <w:tcW w:w="369" w:type="pct"/>
            <w:noWrap/>
            <w:hideMark/>
          </w:tcPr>
          <w:p w14:paraId="54B85FA4" w14:textId="77777777" w:rsidR="002D4BF9" w:rsidRPr="002D4BF9" w:rsidRDefault="002D4BF9" w:rsidP="002D4BF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1312 patients</w:t>
            </w:r>
          </w:p>
        </w:tc>
        <w:tc>
          <w:tcPr>
            <w:tcW w:w="435" w:type="pct"/>
            <w:noWrap/>
            <w:hideMark/>
          </w:tcPr>
          <w:p w14:paraId="4039E720" w14:textId="77777777" w:rsidR="002D4BF9" w:rsidRPr="002D4BF9" w:rsidRDefault="002D4BF9" w:rsidP="002D4BF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&gt; 60 years</w:t>
            </w:r>
          </w:p>
        </w:tc>
        <w:tc>
          <w:tcPr>
            <w:tcW w:w="403" w:type="pct"/>
            <w:noWrap/>
            <w:hideMark/>
          </w:tcPr>
          <w:p w14:paraId="08649A95" w14:textId="77777777" w:rsidR="002D4BF9" w:rsidRPr="002D4BF9" w:rsidRDefault="002D4BF9" w:rsidP="002D4BF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9</w:t>
            </w:r>
          </w:p>
        </w:tc>
        <w:tc>
          <w:tcPr>
            <w:tcW w:w="433" w:type="pct"/>
            <w:noWrap/>
            <w:hideMark/>
          </w:tcPr>
          <w:p w14:paraId="168B0572" w14:textId="77777777" w:rsidR="002D4BF9" w:rsidRPr="002D4BF9" w:rsidRDefault="002D4BF9" w:rsidP="002D4BF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14.33%</w:t>
            </w:r>
          </w:p>
        </w:tc>
        <w:tc>
          <w:tcPr>
            <w:tcW w:w="500" w:type="pct"/>
            <w:noWrap/>
            <w:hideMark/>
          </w:tcPr>
          <w:p w14:paraId="6E5CAC8B" w14:textId="77777777" w:rsidR="002D4BF9" w:rsidRPr="002D4BF9" w:rsidRDefault="002D4BF9" w:rsidP="002D4BF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LASSO and LR</w:t>
            </w:r>
          </w:p>
        </w:tc>
        <w:tc>
          <w:tcPr>
            <w:tcW w:w="708" w:type="pct"/>
            <w:noWrap/>
            <w:hideMark/>
          </w:tcPr>
          <w:p w14:paraId="7454514C" w14:textId="77777777" w:rsidR="002D4BF9" w:rsidRPr="002D4BF9" w:rsidRDefault="002D4BF9" w:rsidP="002D4BF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 xml:space="preserve"> 0.833</w:t>
            </w:r>
          </w:p>
        </w:tc>
        <w:tc>
          <w:tcPr>
            <w:tcW w:w="603" w:type="pct"/>
            <w:noWrap/>
            <w:hideMark/>
          </w:tcPr>
          <w:p w14:paraId="61BFB3BD" w14:textId="77777777" w:rsidR="002D4BF9" w:rsidRPr="002D4BF9" w:rsidRDefault="002D4BF9" w:rsidP="002D4BF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 xml:space="preserve">Chart based tool. </w:t>
            </w:r>
          </w:p>
        </w:tc>
      </w:tr>
      <w:tr w:rsidR="002D4BF9" w:rsidRPr="002D4BF9" w14:paraId="0E080FEA" w14:textId="77777777" w:rsidTr="003A268D">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517" w:type="pct"/>
            <w:noWrap/>
          </w:tcPr>
          <w:p w14:paraId="6B13727A" w14:textId="77777777" w:rsidR="002D4BF9" w:rsidRPr="002D4BF9" w:rsidRDefault="002D4BF9" w:rsidP="002D4BF9">
            <w:pPr>
              <w:spacing w:after="160" w:line="259" w:lineRule="auto"/>
              <w:jc w:val="both"/>
              <w:rPr>
                <w:rFonts w:ascii="Times New Roman" w:eastAsia="Times New Roman" w:hAnsi="Times New Roman"/>
                <w:color w:val="000000"/>
                <w:lang w:eastAsia="en-US"/>
              </w:rPr>
            </w:pPr>
            <w:r w:rsidRPr="002D4BF9">
              <w:rPr>
                <w:rFonts w:ascii="Times New Roman" w:eastAsia="Times New Roman" w:hAnsi="Times New Roman"/>
                <w:color w:val="000000"/>
                <w:lang w:eastAsia="en-US"/>
              </w:rPr>
              <w:t>Song Y. et al, 2022</w:t>
            </w:r>
          </w:p>
        </w:tc>
        <w:tc>
          <w:tcPr>
            <w:tcW w:w="552" w:type="pct"/>
            <w:noWrap/>
          </w:tcPr>
          <w:p w14:paraId="641BAAE1"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Retrospective study</w:t>
            </w:r>
          </w:p>
        </w:tc>
        <w:tc>
          <w:tcPr>
            <w:tcW w:w="480" w:type="pct"/>
            <w:noWrap/>
          </w:tcPr>
          <w:p w14:paraId="14775D9F"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 xml:space="preserve">Chinese </w:t>
            </w:r>
          </w:p>
        </w:tc>
        <w:tc>
          <w:tcPr>
            <w:tcW w:w="369" w:type="pct"/>
            <w:noWrap/>
          </w:tcPr>
          <w:p w14:paraId="424F551C"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29756 patients</w:t>
            </w:r>
          </w:p>
        </w:tc>
        <w:tc>
          <w:tcPr>
            <w:tcW w:w="435" w:type="pct"/>
            <w:noWrap/>
          </w:tcPr>
          <w:p w14:paraId="7880DD6C"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 xml:space="preserve">≥ 65 years </w:t>
            </w:r>
          </w:p>
        </w:tc>
        <w:tc>
          <w:tcPr>
            <w:tcW w:w="403" w:type="pct"/>
            <w:noWrap/>
          </w:tcPr>
          <w:p w14:paraId="02BB78AA"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8</w:t>
            </w:r>
          </w:p>
          <w:p w14:paraId="6D10D21E"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n-US"/>
              </w:rPr>
            </w:pPr>
          </w:p>
        </w:tc>
        <w:tc>
          <w:tcPr>
            <w:tcW w:w="433" w:type="pct"/>
            <w:noWrap/>
          </w:tcPr>
          <w:p w14:paraId="3959CA3A"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3.22%</w:t>
            </w:r>
          </w:p>
        </w:tc>
        <w:tc>
          <w:tcPr>
            <w:tcW w:w="500" w:type="pct"/>
            <w:noWrap/>
          </w:tcPr>
          <w:p w14:paraId="44AFF141"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LR, RF, GBM, AdaBoost, XGBoost, and a stacking ensemble model</w:t>
            </w:r>
          </w:p>
        </w:tc>
        <w:tc>
          <w:tcPr>
            <w:tcW w:w="708" w:type="pct"/>
            <w:noWrap/>
          </w:tcPr>
          <w:p w14:paraId="2CC730D1"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0.783 (0.765–</w:t>
            </w:r>
            <w:r w:rsidRPr="002D4BF9">
              <w:rPr>
                <w:rFonts w:ascii="Times New Roman" w:eastAsia="Times New Roman" w:hAnsi="Times New Roman"/>
                <w:color w:val="000000"/>
                <w:lang w:eastAsia="en-US"/>
              </w:rPr>
              <w:softHyphen/>
              <w:t>0.8) for the LR method, 0.78 for RF, 0.76 for GBM, 0.74 for AdaBoost, 0.73 for XGBoost, and 0.77 for the stacking ensemble model.</w:t>
            </w:r>
          </w:p>
        </w:tc>
        <w:tc>
          <w:tcPr>
            <w:tcW w:w="603" w:type="pct"/>
            <w:noWrap/>
          </w:tcPr>
          <w:p w14:paraId="70A89279"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DSM-IV</w:t>
            </w:r>
          </w:p>
        </w:tc>
      </w:tr>
      <w:tr w:rsidR="002D4BF9" w:rsidRPr="002D4BF9" w14:paraId="35CB61AE" w14:textId="77777777" w:rsidTr="003A268D">
        <w:trPr>
          <w:trHeight w:val="630"/>
        </w:trPr>
        <w:tc>
          <w:tcPr>
            <w:cnfStyle w:val="001000000000" w:firstRow="0" w:lastRow="0" w:firstColumn="1" w:lastColumn="0" w:oddVBand="0" w:evenVBand="0" w:oddHBand="0" w:evenHBand="0" w:firstRowFirstColumn="0" w:firstRowLastColumn="0" w:lastRowFirstColumn="0" w:lastRowLastColumn="0"/>
            <w:tcW w:w="517" w:type="pct"/>
            <w:noWrap/>
          </w:tcPr>
          <w:p w14:paraId="66574378" w14:textId="77777777" w:rsidR="002D4BF9" w:rsidRPr="002D4BF9" w:rsidRDefault="002D4BF9" w:rsidP="002D4BF9">
            <w:pPr>
              <w:spacing w:after="160" w:line="259" w:lineRule="auto"/>
              <w:jc w:val="both"/>
              <w:rPr>
                <w:rFonts w:ascii="Times New Roman" w:eastAsia="Times New Roman" w:hAnsi="Times New Roman"/>
                <w:color w:val="000000"/>
                <w:lang w:eastAsia="en-US"/>
              </w:rPr>
            </w:pPr>
            <w:r w:rsidRPr="002D4BF9">
              <w:rPr>
                <w:rFonts w:ascii="Times New Roman" w:eastAsia="Times New Roman" w:hAnsi="Times New Roman"/>
                <w:color w:val="000000"/>
                <w:lang w:eastAsia="en-US"/>
              </w:rPr>
              <w:t>Hu X. et al, 2021</w:t>
            </w:r>
          </w:p>
        </w:tc>
        <w:tc>
          <w:tcPr>
            <w:tcW w:w="552" w:type="pct"/>
            <w:noWrap/>
          </w:tcPr>
          <w:p w14:paraId="3CC44D07" w14:textId="77777777" w:rsidR="002D4BF9" w:rsidRPr="002D4BF9" w:rsidRDefault="002D4BF9" w:rsidP="002D4BF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 xml:space="preserve">Secondary analysis based on an observational study. </w:t>
            </w:r>
          </w:p>
        </w:tc>
        <w:tc>
          <w:tcPr>
            <w:tcW w:w="480" w:type="pct"/>
            <w:noWrap/>
          </w:tcPr>
          <w:p w14:paraId="51CBD7BD" w14:textId="77777777" w:rsidR="002D4BF9" w:rsidRPr="002D4BF9" w:rsidRDefault="002D4BF9" w:rsidP="002D4BF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Chinese</w:t>
            </w:r>
          </w:p>
        </w:tc>
        <w:tc>
          <w:tcPr>
            <w:tcW w:w="369" w:type="pct"/>
            <w:noWrap/>
          </w:tcPr>
          <w:p w14:paraId="14205178" w14:textId="77777777" w:rsidR="002D4BF9" w:rsidRPr="002D4BF9" w:rsidRDefault="002D4BF9" w:rsidP="002D4BF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531 patients</w:t>
            </w:r>
          </w:p>
        </w:tc>
        <w:tc>
          <w:tcPr>
            <w:tcW w:w="435" w:type="pct"/>
            <w:noWrap/>
          </w:tcPr>
          <w:p w14:paraId="36E219F9" w14:textId="77777777" w:rsidR="002D4BF9" w:rsidRPr="002D4BF9" w:rsidRDefault="002D4BF9" w:rsidP="002D4BF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 xml:space="preserve">≥ 65 years </w:t>
            </w:r>
          </w:p>
        </w:tc>
        <w:tc>
          <w:tcPr>
            <w:tcW w:w="403" w:type="pct"/>
            <w:noWrap/>
          </w:tcPr>
          <w:p w14:paraId="1B0B33D6" w14:textId="77777777" w:rsidR="002D4BF9" w:rsidRPr="002D4BF9" w:rsidRDefault="002D4BF9" w:rsidP="002D4BF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8</w:t>
            </w:r>
          </w:p>
        </w:tc>
        <w:tc>
          <w:tcPr>
            <w:tcW w:w="433" w:type="pct"/>
            <w:noWrap/>
          </w:tcPr>
          <w:p w14:paraId="17D04C12" w14:textId="77777777" w:rsidR="002D4BF9" w:rsidRPr="002D4BF9" w:rsidRDefault="002D4BF9" w:rsidP="002D4BF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23.54%</w:t>
            </w:r>
          </w:p>
        </w:tc>
        <w:tc>
          <w:tcPr>
            <w:tcW w:w="500" w:type="pct"/>
            <w:noWrap/>
          </w:tcPr>
          <w:p w14:paraId="2D031247" w14:textId="77777777" w:rsidR="002D4BF9" w:rsidRPr="002D4BF9" w:rsidRDefault="002D4BF9" w:rsidP="002D4BF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LR, RF, XGBoost, SVM</w:t>
            </w:r>
          </w:p>
        </w:tc>
        <w:tc>
          <w:tcPr>
            <w:tcW w:w="708" w:type="pct"/>
            <w:noWrap/>
          </w:tcPr>
          <w:p w14:paraId="69E0E90F" w14:textId="77777777" w:rsidR="002D4BF9" w:rsidRPr="002D4BF9" w:rsidRDefault="002D4BF9" w:rsidP="002D4BF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 xml:space="preserve"> 80.44% (95%CI, 72.24% - 88.64%) </w:t>
            </w:r>
          </w:p>
        </w:tc>
        <w:tc>
          <w:tcPr>
            <w:tcW w:w="603" w:type="pct"/>
            <w:noWrap/>
          </w:tcPr>
          <w:p w14:paraId="7459D849" w14:textId="77777777" w:rsidR="002D4BF9" w:rsidRPr="002D4BF9" w:rsidRDefault="002D4BF9" w:rsidP="002D4BF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CAM and CAM-ICU</w:t>
            </w:r>
          </w:p>
        </w:tc>
      </w:tr>
      <w:tr w:rsidR="002D4BF9" w:rsidRPr="002D4BF9" w14:paraId="1D68910C" w14:textId="77777777" w:rsidTr="003A268D">
        <w:trPr>
          <w:cnfStyle w:val="000000100000" w:firstRow="0" w:lastRow="0" w:firstColumn="0" w:lastColumn="0" w:oddVBand="0" w:evenVBand="0" w:oddHBand="1" w:evenHBand="0" w:firstRowFirstColumn="0" w:firstRowLastColumn="0" w:lastRowFirstColumn="0" w:lastRowLastColumn="0"/>
          <w:trHeight w:val="1738"/>
        </w:trPr>
        <w:tc>
          <w:tcPr>
            <w:cnfStyle w:val="001000000000" w:firstRow="0" w:lastRow="0" w:firstColumn="1" w:lastColumn="0" w:oddVBand="0" w:evenVBand="0" w:oddHBand="0" w:evenHBand="0" w:firstRowFirstColumn="0" w:firstRowLastColumn="0" w:lastRowFirstColumn="0" w:lastRowLastColumn="0"/>
            <w:tcW w:w="517" w:type="pct"/>
            <w:tcBorders>
              <w:bottom w:val="single" w:sz="4" w:space="0" w:color="auto"/>
            </w:tcBorders>
            <w:noWrap/>
          </w:tcPr>
          <w:p w14:paraId="566F1F1C" w14:textId="77777777" w:rsidR="002D4BF9" w:rsidRPr="002D4BF9" w:rsidRDefault="002D4BF9" w:rsidP="002D4BF9">
            <w:pPr>
              <w:spacing w:after="160" w:line="259" w:lineRule="auto"/>
              <w:jc w:val="both"/>
              <w:rPr>
                <w:rFonts w:ascii="Times New Roman" w:eastAsia="Times New Roman" w:hAnsi="Times New Roman"/>
                <w:color w:val="000000"/>
                <w:lang w:eastAsia="en-US"/>
              </w:rPr>
            </w:pPr>
          </w:p>
          <w:p w14:paraId="00095948" w14:textId="77777777" w:rsidR="002D4BF9" w:rsidRPr="002D4BF9" w:rsidRDefault="002D4BF9" w:rsidP="002D4BF9">
            <w:pPr>
              <w:spacing w:after="160" w:line="259" w:lineRule="auto"/>
              <w:jc w:val="both"/>
              <w:rPr>
                <w:rFonts w:ascii="Times New Roman" w:eastAsia="Times New Roman" w:hAnsi="Times New Roman"/>
                <w:color w:val="000000"/>
                <w:lang w:eastAsia="en-US"/>
              </w:rPr>
            </w:pPr>
            <w:r w:rsidRPr="002D4BF9">
              <w:rPr>
                <w:rFonts w:ascii="Times New Roman" w:eastAsia="Times New Roman" w:hAnsi="Times New Roman"/>
                <w:color w:val="000000"/>
                <w:lang w:eastAsia="en-US"/>
              </w:rPr>
              <w:t>Zhang Y. et al, 2022</w:t>
            </w:r>
          </w:p>
        </w:tc>
        <w:tc>
          <w:tcPr>
            <w:tcW w:w="552" w:type="pct"/>
            <w:tcBorders>
              <w:bottom w:val="single" w:sz="4" w:space="0" w:color="auto"/>
            </w:tcBorders>
            <w:noWrap/>
          </w:tcPr>
          <w:p w14:paraId="01B2C60C"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Retrospective study</w:t>
            </w:r>
          </w:p>
        </w:tc>
        <w:tc>
          <w:tcPr>
            <w:tcW w:w="480" w:type="pct"/>
            <w:tcBorders>
              <w:bottom w:val="single" w:sz="4" w:space="0" w:color="auto"/>
            </w:tcBorders>
            <w:noWrap/>
          </w:tcPr>
          <w:p w14:paraId="42647840"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 xml:space="preserve">Chinese </w:t>
            </w:r>
          </w:p>
        </w:tc>
        <w:tc>
          <w:tcPr>
            <w:tcW w:w="369" w:type="pct"/>
            <w:tcBorders>
              <w:bottom w:val="single" w:sz="4" w:space="0" w:color="auto"/>
            </w:tcBorders>
            <w:noWrap/>
          </w:tcPr>
          <w:p w14:paraId="23661818"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663 patients</w:t>
            </w:r>
          </w:p>
        </w:tc>
        <w:tc>
          <w:tcPr>
            <w:tcW w:w="435" w:type="pct"/>
            <w:tcBorders>
              <w:bottom w:val="single" w:sz="4" w:space="0" w:color="auto"/>
            </w:tcBorders>
            <w:noWrap/>
          </w:tcPr>
          <w:p w14:paraId="1EB7271D"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 xml:space="preserve">≥ 49 years </w:t>
            </w:r>
          </w:p>
        </w:tc>
        <w:tc>
          <w:tcPr>
            <w:tcW w:w="403" w:type="pct"/>
            <w:tcBorders>
              <w:bottom w:val="single" w:sz="4" w:space="0" w:color="auto"/>
            </w:tcBorders>
            <w:noWrap/>
          </w:tcPr>
          <w:p w14:paraId="73644791"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12</w:t>
            </w:r>
          </w:p>
        </w:tc>
        <w:tc>
          <w:tcPr>
            <w:tcW w:w="433" w:type="pct"/>
            <w:tcBorders>
              <w:bottom w:val="single" w:sz="4" w:space="0" w:color="auto"/>
            </w:tcBorders>
            <w:noWrap/>
          </w:tcPr>
          <w:p w14:paraId="691A832E"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27.45%</w:t>
            </w:r>
          </w:p>
        </w:tc>
        <w:tc>
          <w:tcPr>
            <w:tcW w:w="500" w:type="pct"/>
            <w:tcBorders>
              <w:bottom w:val="single" w:sz="4" w:space="0" w:color="auto"/>
            </w:tcBorders>
            <w:noWrap/>
          </w:tcPr>
          <w:p w14:paraId="39275F24"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XGBoost, LR, RF, AdaBoost, GNB, CNB, MLP, SVM, KNN</w:t>
            </w:r>
          </w:p>
        </w:tc>
        <w:tc>
          <w:tcPr>
            <w:tcW w:w="708" w:type="pct"/>
            <w:tcBorders>
              <w:bottom w:val="single" w:sz="4" w:space="0" w:color="auto"/>
            </w:tcBorders>
            <w:noWrap/>
          </w:tcPr>
          <w:p w14:paraId="3679C357"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87.0%, 95% CI: 80.7%–93.3%)</w:t>
            </w:r>
          </w:p>
        </w:tc>
        <w:tc>
          <w:tcPr>
            <w:tcW w:w="603" w:type="pct"/>
            <w:tcBorders>
              <w:bottom w:val="single" w:sz="4" w:space="0" w:color="auto"/>
            </w:tcBorders>
            <w:noWrap/>
          </w:tcPr>
          <w:p w14:paraId="7847C395"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DSM-IV, CAM, DRS, 16-digit span, family/nursing staff</w:t>
            </w:r>
          </w:p>
          <w:p w14:paraId="7427294E"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interviews</w:t>
            </w:r>
          </w:p>
        </w:tc>
      </w:tr>
      <w:tr w:rsidR="002D4BF9" w:rsidRPr="002D4BF9" w14:paraId="69C00984" w14:textId="77777777" w:rsidTr="003A268D">
        <w:trPr>
          <w:trHeight w:val="630"/>
        </w:trPr>
        <w:tc>
          <w:tcPr>
            <w:cnfStyle w:val="001000000000" w:firstRow="0" w:lastRow="0" w:firstColumn="1" w:lastColumn="0" w:oddVBand="0" w:evenVBand="0" w:oddHBand="0" w:evenHBand="0" w:firstRowFirstColumn="0" w:firstRowLastColumn="0" w:lastRowFirstColumn="0" w:lastRowLastColumn="0"/>
            <w:tcW w:w="517" w:type="pct"/>
            <w:tcBorders>
              <w:top w:val="single" w:sz="4" w:space="0" w:color="auto"/>
              <w:bottom w:val="single" w:sz="4" w:space="0" w:color="auto"/>
            </w:tcBorders>
            <w:noWrap/>
          </w:tcPr>
          <w:p w14:paraId="4F9128A3" w14:textId="77777777" w:rsidR="002D4BF9" w:rsidRPr="002D4BF9" w:rsidRDefault="002D4BF9" w:rsidP="002D4BF9">
            <w:pPr>
              <w:spacing w:after="160" w:line="259" w:lineRule="auto"/>
              <w:jc w:val="both"/>
              <w:rPr>
                <w:rFonts w:ascii="Times New Roman" w:eastAsia="Times New Roman" w:hAnsi="Times New Roman"/>
                <w:color w:val="000000"/>
                <w:lang w:eastAsia="en-US"/>
              </w:rPr>
            </w:pPr>
            <w:r w:rsidRPr="002D4BF9">
              <w:rPr>
                <w:rFonts w:ascii="Times New Roman" w:eastAsia="Times New Roman" w:hAnsi="Times New Roman"/>
                <w:color w:val="000000"/>
                <w:szCs w:val="24"/>
                <w:lang w:eastAsia="en-US"/>
              </w:rPr>
              <w:t>Author, Year</w:t>
            </w:r>
          </w:p>
        </w:tc>
        <w:tc>
          <w:tcPr>
            <w:tcW w:w="552" w:type="pct"/>
            <w:tcBorders>
              <w:top w:val="single" w:sz="4" w:space="0" w:color="auto"/>
              <w:bottom w:val="single" w:sz="4" w:space="0" w:color="auto"/>
            </w:tcBorders>
            <w:noWrap/>
          </w:tcPr>
          <w:p w14:paraId="0ED0E6A9" w14:textId="77777777" w:rsidR="002D4BF9" w:rsidRPr="002D4BF9" w:rsidRDefault="002D4BF9" w:rsidP="002D4BF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b/>
                <w:bCs/>
                <w:color w:val="000000"/>
                <w:szCs w:val="24"/>
                <w:lang w:eastAsia="en-US"/>
              </w:rPr>
              <w:t>Study Design</w:t>
            </w:r>
          </w:p>
        </w:tc>
        <w:tc>
          <w:tcPr>
            <w:tcW w:w="480" w:type="pct"/>
            <w:tcBorders>
              <w:top w:val="single" w:sz="4" w:space="0" w:color="auto"/>
              <w:bottom w:val="single" w:sz="4" w:space="0" w:color="auto"/>
            </w:tcBorders>
            <w:noWrap/>
          </w:tcPr>
          <w:p w14:paraId="7F2D9504" w14:textId="77777777" w:rsidR="002D4BF9" w:rsidRPr="002D4BF9" w:rsidRDefault="002D4BF9" w:rsidP="002D4BF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b/>
                <w:bCs/>
                <w:color w:val="000000"/>
                <w:szCs w:val="24"/>
                <w:lang w:eastAsia="en-US"/>
              </w:rPr>
              <w:t>Population</w:t>
            </w:r>
          </w:p>
        </w:tc>
        <w:tc>
          <w:tcPr>
            <w:tcW w:w="369" w:type="pct"/>
            <w:tcBorders>
              <w:top w:val="single" w:sz="4" w:space="0" w:color="auto"/>
              <w:bottom w:val="single" w:sz="4" w:space="0" w:color="auto"/>
            </w:tcBorders>
            <w:noWrap/>
          </w:tcPr>
          <w:p w14:paraId="12BAC06E" w14:textId="77777777" w:rsidR="002D4BF9" w:rsidRPr="002D4BF9" w:rsidRDefault="002D4BF9" w:rsidP="002D4BF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b/>
                <w:bCs/>
                <w:color w:val="000000"/>
                <w:szCs w:val="24"/>
                <w:lang w:eastAsia="en-US"/>
              </w:rPr>
              <w:t>Sample Size</w:t>
            </w:r>
          </w:p>
        </w:tc>
        <w:tc>
          <w:tcPr>
            <w:tcW w:w="435" w:type="pct"/>
            <w:tcBorders>
              <w:top w:val="single" w:sz="4" w:space="0" w:color="auto"/>
              <w:bottom w:val="single" w:sz="4" w:space="0" w:color="auto"/>
            </w:tcBorders>
            <w:noWrap/>
          </w:tcPr>
          <w:p w14:paraId="2174E6BF" w14:textId="77777777" w:rsidR="002D4BF9" w:rsidRPr="002D4BF9" w:rsidRDefault="002D4BF9" w:rsidP="002D4BF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color w:val="000000"/>
                <w:szCs w:val="24"/>
                <w:lang w:eastAsia="en-US"/>
              </w:rPr>
            </w:pPr>
            <w:r w:rsidRPr="002D4BF9">
              <w:rPr>
                <w:rFonts w:ascii="Times New Roman" w:eastAsia="Times New Roman" w:hAnsi="Times New Roman"/>
                <w:b/>
                <w:bCs/>
                <w:color w:val="000000"/>
                <w:szCs w:val="24"/>
                <w:lang w:eastAsia="en-US"/>
              </w:rPr>
              <w:t>Age</w:t>
            </w:r>
          </w:p>
          <w:p w14:paraId="1CC4FC5D" w14:textId="77777777" w:rsidR="002D4BF9" w:rsidRPr="002D4BF9" w:rsidRDefault="002D4BF9" w:rsidP="002D4BF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b/>
                <w:bCs/>
                <w:color w:val="000000"/>
                <w:szCs w:val="24"/>
                <w:lang w:eastAsia="en-US"/>
              </w:rPr>
              <w:t>Group</w:t>
            </w:r>
          </w:p>
        </w:tc>
        <w:tc>
          <w:tcPr>
            <w:tcW w:w="403" w:type="pct"/>
            <w:tcBorders>
              <w:top w:val="single" w:sz="4" w:space="0" w:color="auto"/>
              <w:bottom w:val="single" w:sz="4" w:space="0" w:color="auto"/>
            </w:tcBorders>
            <w:noWrap/>
          </w:tcPr>
          <w:p w14:paraId="4C12407E" w14:textId="77777777" w:rsidR="002D4BF9" w:rsidRPr="002D4BF9" w:rsidRDefault="002D4BF9" w:rsidP="002D4BF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b/>
                <w:bCs/>
                <w:color w:val="000000"/>
                <w:szCs w:val="24"/>
                <w:lang w:eastAsia="en-US"/>
              </w:rPr>
              <w:t>Number of Risk Factors</w:t>
            </w:r>
          </w:p>
        </w:tc>
        <w:tc>
          <w:tcPr>
            <w:tcW w:w="433" w:type="pct"/>
            <w:tcBorders>
              <w:top w:val="single" w:sz="4" w:space="0" w:color="auto"/>
              <w:bottom w:val="single" w:sz="4" w:space="0" w:color="auto"/>
            </w:tcBorders>
            <w:noWrap/>
          </w:tcPr>
          <w:p w14:paraId="73411144" w14:textId="77777777" w:rsidR="002D4BF9" w:rsidRPr="002D4BF9" w:rsidRDefault="002D4BF9" w:rsidP="002D4BF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b/>
                <w:bCs/>
                <w:color w:val="000000"/>
                <w:szCs w:val="24"/>
                <w:lang w:eastAsia="en-US"/>
              </w:rPr>
              <w:t>Incidence of POD</w:t>
            </w:r>
          </w:p>
        </w:tc>
        <w:tc>
          <w:tcPr>
            <w:tcW w:w="500" w:type="pct"/>
            <w:tcBorders>
              <w:top w:val="single" w:sz="4" w:space="0" w:color="auto"/>
              <w:bottom w:val="single" w:sz="4" w:space="0" w:color="auto"/>
            </w:tcBorders>
            <w:noWrap/>
          </w:tcPr>
          <w:p w14:paraId="22404255" w14:textId="77777777" w:rsidR="002D4BF9" w:rsidRPr="002D4BF9" w:rsidRDefault="002D4BF9" w:rsidP="002D4BF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b/>
                <w:bCs/>
                <w:color w:val="000000"/>
                <w:szCs w:val="24"/>
                <w:lang w:eastAsia="en-US"/>
              </w:rPr>
              <w:t>Model Used</w:t>
            </w:r>
          </w:p>
        </w:tc>
        <w:tc>
          <w:tcPr>
            <w:tcW w:w="708" w:type="pct"/>
            <w:tcBorders>
              <w:top w:val="single" w:sz="4" w:space="0" w:color="auto"/>
              <w:bottom w:val="single" w:sz="4" w:space="0" w:color="auto"/>
            </w:tcBorders>
            <w:noWrap/>
          </w:tcPr>
          <w:p w14:paraId="163D8E9F" w14:textId="77777777" w:rsidR="002D4BF9" w:rsidRPr="002D4BF9" w:rsidRDefault="002D4BF9" w:rsidP="002D4BF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color w:val="000000"/>
                <w:szCs w:val="24"/>
                <w:lang w:eastAsia="en-US"/>
              </w:rPr>
            </w:pPr>
            <w:r w:rsidRPr="002D4BF9">
              <w:rPr>
                <w:rFonts w:ascii="Times New Roman" w:eastAsia="Times New Roman" w:hAnsi="Times New Roman"/>
                <w:b/>
                <w:bCs/>
                <w:color w:val="000000"/>
                <w:szCs w:val="24"/>
                <w:lang w:eastAsia="en-US"/>
              </w:rPr>
              <w:t>Model Performance</w:t>
            </w:r>
          </w:p>
          <w:p w14:paraId="52953823" w14:textId="77777777" w:rsidR="002D4BF9" w:rsidRPr="002D4BF9" w:rsidRDefault="002D4BF9" w:rsidP="002D4BF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b/>
                <w:bCs/>
                <w:color w:val="000000"/>
                <w:szCs w:val="24"/>
                <w:lang w:eastAsia="en-US"/>
              </w:rPr>
              <w:t>(AUC)</w:t>
            </w:r>
          </w:p>
        </w:tc>
        <w:tc>
          <w:tcPr>
            <w:tcW w:w="603" w:type="pct"/>
            <w:tcBorders>
              <w:top w:val="single" w:sz="4" w:space="0" w:color="auto"/>
              <w:bottom w:val="single" w:sz="4" w:space="0" w:color="auto"/>
            </w:tcBorders>
            <w:noWrap/>
          </w:tcPr>
          <w:p w14:paraId="41977067" w14:textId="77777777" w:rsidR="002D4BF9" w:rsidRPr="002D4BF9" w:rsidRDefault="002D4BF9" w:rsidP="002D4BF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b/>
                <w:bCs/>
                <w:color w:val="000000"/>
                <w:szCs w:val="24"/>
                <w:lang w:eastAsia="en-US"/>
              </w:rPr>
              <w:t>POD Measurement</w:t>
            </w:r>
          </w:p>
        </w:tc>
      </w:tr>
      <w:tr w:rsidR="002D4BF9" w:rsidRPr="002D4BF9" w14:paraId="5BD9CDBC" w14:textId="77777777" w:rsidTr="003A268D">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517" w:type="pct"/>
            <w:tcBorders>
              <w:top w:val="single" w:sz="4" w:space="0" w:color="auto"/>
            </w:tcBorders>
            <w:noWrap/>
          </w:tcPr>
          <w:p w14:paraId="0739EE97" w14:textId="77777777" w:rsidR="002D4BF9" w:rsidRPr="002D4BF9" w:rsidRDefault="002D4BF9" w:rsidP="002D4BF9">
            <w:pPr>
              <w:spacing w:after="160" w:line="259" w:lineRule="auto"/>
              <w:jc w:val="both"/>
              <w:rPr>
                <w:rFonts w:ascii="Times New Roman" w:eastAsia="Times New Roman" w:hAnsi="Times New Roman"/>
                <w:color w:val="000000"/>
                <w:lang w:eastAsia="en-US"/>
              </w:rPr>
            </w:pPr>
            <w:r w:rsidRPr="002D4BF9">
              <w:rPr>
                <w:rFonts w:ascii="Times New Roman" w:eastAsia="Times New Roman" w:hAnsi="Times New Roman"/>
                <w:color w:val="000000"/>
                <w:lang w:eastAsia="en-US"/>
              </w:rPr>
              <w:t>Liu Y. et al, 2023</w:t>
            </w:r>
          </w:p>
        </w:tc>
        <w:tc>
          <w:tcPr>
            <w:tcW w:w="552" w:type="pct"/>
            <w:tcBorders>
              <w:top w:val="single" w:sz="4" w:space="0" w:color="auto"/>
            </w:tcBorders>
            <w:noWrap/>
          </w:tcPr>
          <w:p w14:paraId="5482BDF8"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Retrospective study</w:t>
            </w:r>
          </w:p>
        </w:tc>
        <w:tc>
          <w:tcPr>
            <w:tcW w:w="480" w:type="pct"/>
            <w:tcBorders>
              <w:top w:val="single" w:sz="4" w:space="0" w:color="auto"/>
            </w:tcBorders>
            <w:noWrap/>
          </w:tcPr>
          <w:p w14:paraId="36BEA5E4"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 xml:space="preserve">Chinese </w:t>
            </w:r>
          </w:p>
        </w:tc>
        <w:tc>
          <w:tcPr>
            <w:tcW w:w="369" w:type="pct"/>
            <w:tcBorders>
              <w:top w:val="single" w:sz="4" w:space="0" w:color="auto"/>
            </w:tcBorders>
            <w:noWrap/>
          </w:tcPr>
          <w:p w14:paraId="4AEEEAA7"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950 patients</w:t>
            </w:r>
          </w:p>
        </w:tc>
        <w:tc>
          <w:tcPr>
            <w:tcW w:w="435" w:type="pct"/>
            <w:tcBorders>
              <w:top w:val="single" w:sz="4" w:space="0" w:color="auto"/>
            </w:tcBorders>
            <w:noWrap/>
          </w:tcPr>
          <w:p w14:paraId="4AACE5CE"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 xml:space="preserve">&gt; 60 years </w:t>
            </w:r>
          </w:p>
        </w:tc>
        <w:tc>
          <w:tcPr>
            <w:tcW w:w="403" w:type="pct"/>
            <w:tcBorders>
              <w:top w:val="single" w:sz="4" w:space="0" w:color="auto"/>
            </w:tcBorders>
            <w:noWrap/>
          </w:tcPr>
          <w:p w14:paraId="65F8E135"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7</w:t>
            </w:r>
          </w:p>
        </w:tc>
        <w:tc>
          <w:tcPr>
            <w:tcW w:w="433" w:type="pct"/>
            <w:tcBorders>
              <w:top w:val="single" w:sz="4" w:space="0" w:color="auto"/>
            </w:tcBorders>
            <w:noWrap/>
          </w:tcPr>
          <w:p w14:paraId="17E49223"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 xml:space="preserve">13.79% </w:t>
            </w:r>
          </w:p>
        </w:tc>
        <w:tc>
          <w:tcPr>
            <w:tcW w:w="500" w:type="pct"/>
            <w:tcBorders>
              <w:top w:val="single" w:sz="4" w:space="0" w:color="auto"/>
            </w:tcBorders>
            <w:noWrap/>
          </w:tcPr>
          <w:p w14:paraId="36C70110"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XGBoost, KNN</w:t>
            </w:r>
            <w:r w:rsidRPr="002D4BF9">
              <w:rPr>
                <w:rFonts w:ascii="Times New Roman" w:eastAsia="Times New Roman" w:hAnsi="Times New Roman"/>
                <w:color w:val="000000"/>
                <w:lang w:eastAsia="en-US"/>
              </w:rPr>
              <w:br/>
              <w:t>MLP</w:t>
            </w:r>
          </w:p>
        </w:tc>
        <w:tc>
          <w:tcPr>
            <w:tcW w:w="708" w:type="pct"/>
            <w:tcBorders>
              <w:top w:val="single" w:sz="4" w:space="0" w:color="auto"/>
            </w:tcBorders>
            <w:noWrap/>
          </w:tcPr>
          <w:p w14:paraId="0B808D12"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Internal validation 0.924 (0.841–0.998)</w:t>
            </w:r>
            <w:r w:rsidRPr="002D4BF9">
              <w:rPr>
                <w:rFonts w:ascii="Times New Roman" w:eastAsia="Times New Roman" w:hAnsi="Times New Roman"/>
                <w:color w:val="000000"/>
                <w:lang w:eastAsia="en-US"/>
              </w:rPr>
              <w:br/>
              <w:t>External validation 0.880</w:t>
            </w:r>
          </w:p>
        </w:tc>
        <w:tc>
          <w:tcPr>
            <w:tcW w:w="603" w:type="pct"/>
            <w:tcBorders>
              <w:top w:val="single" w:sz="4" w:space="0" w:color="auto"/>
            </w:tcBorders>
            <w:noWrap/>
          </w:tcPr>
          <w:p w14:paraId="5DB09F3D"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DSM-5</w:t>
            </w:r>
          </w:p>
        </w:tc>
      </w:tr>
      <w:tr w:rsidR="002D4BF9" w:rsidRPr="002D4BF9" w14:paraId="1DD74966" w14:textId="77777777" w:rsidTr="003A268D">
        <w:trPr>
          <w:trHeight w:val="315"/>
        </w:trPr>
        <w:tc>
          <w:tcPr>
            <w:cnfStyle w:val="001000000000" w:firstRow="0" w:lastRow="0" w:firstColumn="1" w:lastColumn="0" w:oddVBand="0" w:evenVBand="0" w:oddHBand="0" w:evenHBand="0" w:firstRowFirstColumn="0" w:firstRowLastColumn="0" w:lastRowFirstColumn="0" w:lastRowLastColumn="0"/>
            <w:tcW w:w="517" w:type="pct"/>
            <w:noWrap/>
            <w:hideMark/>
          </w:tcPr>
          <w:p w14:paraId="4DB698B0" w14:textId="77777777" w:rsidR="002D4BF9" w:rsidRPr="002D4BF9" w:rsidRDefault="002D4BF9" w:rsidP="002D4BF9">
            <w:pPr>
              <w:spacing w:after="160" w:line="259" w:lineRule="auto"/>
              <w:jc w:val="both"/>
              <w:rPr>
                <w:rFonts w:ascii="Times New Roman" w:eastAsia="Times New Roman" w:hAnsi="Times New Roman"/>
                <w:color w:val="000000"/>
                <w:lang w:eastAsia="en-US"/>
              </w:rPr>
            </w:pPr>
            <w:r w:rsidRPr="002D4BF9">
              <w:rPr>
                <w:rFonts w:ascii="Times New Roman" w:eastAsia="Times New Roman" w:hAnsi="Times New Roman"/>
                <w:color w:val="000000"/>
                <w:lang w:eastAsia="en-US"/>
              </w:rPr>
              <w:t>Chen J. et al, 2022</w:t>
            </w:r>
          </w:p>
        </w:tc>
        <w:tc>
          <w:tcPr>
            <w:tcW w:w="552" w:type="pct"/>
            <w:noWrap/>
            <w:hideMark/>
          </w:tcPr>
          <w:p w14:paraId="710C6749" w14:textId="77777777" w:rsidR="002D4BF9" w:rsidRPr="002D4BF9" w:rsidRDefault="002D4BF9" w:rsidP="002D4BF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Retrospective study</w:t>
            </w:r>
          </w:p>
        </w:tc>
        <w:tc>
          <w:tcPr>
            <w:tcW w:w="480" w:type="pct"/>
            <w:noWrap/>
            <w:hideMark/>
          </w:tcPr>
          <w:p w14:paraId="03E34313" w14:textId="77777777" w:rsidR="002D4BF9" w:rsidRPr="002D4BF9" w:rsidRDefault="002D4BF9" w:rsidP="002D4BF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Chinese</w:t>
            </w:r>
          </w:p>
        </w:tc>
        <w:tc>
          <w:tcPr>
            <w:tcW w:w="369" w:type="pct"/>
            <w:noWrap/>
            <w:hideMark/>
          </w:tcPr>
          <w:p w14:paraId="4090E494" w14:textId="77777777" w:rsidR="002D4BF9" w:rsidRPr="002D4BF9" w:rsidRDefault="002D4BF9" w:rsidP="002D4BF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270 patients</w:t>
            </w:r>
          </w:p>
        </w:tc>
        <w:tc>
          <w:tcPr>
            <w:tcW w:w="435" w:type="pct"/>
            <w:noWrap/>
            <w:hideMark/>
          </w:tcPr>
          <w:p w14:paraId="119DCFD8" w14:textId="77777777" w:rsidR="002D4BF9" w:rsidRPr="002D4BF9" w:rsidRDefault="002D4BF9" w:rsidP="002D4BF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65-85 years</w:t>
            </w:r>
          </w:p>
        </w:tc>
        <w:tc>
          <w:tcPr>
            <w:tcW w:w="403" w:type="pct"/>
            <w:noWrap/>
            <w:hideMark/>
          </w:tcPr>
          <w:p w14:paraId="6E3B4F48" w14:textId="77777777" w:rsidR="002D4BF9" w:rsidRPr="002D4BF9" w:rsidRDefault="002D4BF9" w:rsidP="002D4BF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en-US"/>
              </w:rPr>
            </w:pPr>
            <w:r w:rsidRPr="002D4BF9">
              <w:rPr>
                <w:rFonts w:ascii="Times New Roman" w:eastAsia="Times New Roman" w:hAnsi="Times New Roman"/>
                <w:lang w:eastAsia="en-US"/>
              </w:rPr>
              <w:t>5</w:t>
            </w:r>
          </w:p>
        </w:tc>
        <w:tc>
          <w:tcPr>
            <w:tcW w:w="433" w:type="pct"/>
            <w:noWrap/>
            <w:hideMark/>
          </w:tcPr>
          <w:p w14:paraId="745D77BC" w14:textId="77777777" w:rsidR="002D4BF9" w:rsidRPr="002D4BF9" w:rsidRDefault="002D4BF9" w:rsidP="002D4BF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27.40%</w:t>
            </w:r>
          </w:p>
        </w:tc>
        <w:tc>
          <w:tcPr>
            <w:tcW w:w="500" w:type="pct"/>
            <w:noWrap/>
            <w:hideMark/>
          </w:tcPr>
          <w:p w14:paraId="40C76DCB" w14:textId="77777777" w:rsidR="002D4BF9" w:rsidRPr="002D4BF9" w:rsidRDefault="002D4BF9" w:rsidP="002D4BF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Nomogram</w:t>
            </w:r>
          </w:p>
        </w:tc>
        <w:tc>
          <w:tcPr>
            <w:tcW w:w="708" w:type="pct"/>
            <w:noWrap/>
            <w:hideMark/>
          </w:tcPr>
          <w:p w14:paraId="3DCBE062" w14:textId="77777777" w:rsidR="002D4BF9" w:rsidRPr="002D4BF9" w:rsidRDefault="002D4BF9" w:rsidP="002D4BF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0.860</w:t>
            </w:r>
          </w:p>
          <w:p w14:paraId="516BEF0F" w14:textId="77777777" w:rsidR="002D4BF9" w:rsidRPr="002D4BF9" w:rsidRDefault="002D4BF9" w:rsidP="002D4BF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 xml:space="preserve">  </w:t>
            </w:r>
          </w:p>
        </w:tc>
        <w:tc>
          <w:tcPr>
            <w:tcW w:w="603" w:type="pct"/>
            <w:noWrap/>
            <w:hideMark/>
          </w:tcPr>
          <w:p w14:paraId="34BEFC06" w14:textId="77777777" w:rsidR="002D4BF9" w:rsidRPr="002D4BF9" w:rsidRDefault="002D4BF9" w:rsidP="002D4BF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DSM-5</w:t>
            </w:r>
          </w:p>
        </w:tc>
      </w:tr>
      <w:tr w:rsidR="002D4BF9" w:rsidRPr="002D4BF9" w14:paraId="47BBADE4" w14:textId="77777777" w:rsidTr="003A268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7" w:type="pct"/>
            <w:hideMark/>
          </w:tcPr>
          <w:p w14:paraId="67279203" w14:textId="77777777" w:rsidR="002D4BF9" w:rsidRPr="002D4BF9" w:rsidRDefault="002D4BF9" w:rsidP="002D4BF9">
            <w:pPr>
              <w:spacing w:after="160" w:line="259" w:lineRule="auto"/>
              <w:jc w:val="both"/>
              <w:rPr>
                <w:rFonts w:ascii="Times New Roman" w:eastAsia="Times New Roman" w:hAnsi="Times New Roman"/>
                <w:color w:val="000000"/>
                <w:lang w:eastAsia="en-US"/>
              </w:rPr>
            </w:pPr>
            <w:r w:rsidRPr="002D4BF9">
              <w:rPr>
                <w:rFonts w:ascii="Times New Roman" w:eastAsia="Times New Roman" w:hAnsi="Times New Roman"/>
                <w:color w:val="000000"/>
                <w:lang w:eastAsia="en-US"/>
              </w:rPr>
              <w:t>Chen Y. et al, 2022</w:t>
            </w:r>
          </w:p>
        </w:tc>
        <w:tc>
          <w:tcPr>
            <w:tcW w:w="552" w:type="pct"/>
            <w:noWrap/>
            <w:hideMark/>
          </w:tcPr>
          <w:p w14:paraId="741973A0"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Retrospective study</w:t>
            </w:r>
          </w:p>
        </w:tc>
        <w:tc>
          <w:tcPr>
            <w:tcW w:w="480" w:type="pct"/>
            <w:noWrap/>
            <w:hideMark/>
          </w:tcPr>
          <w:p w14:paraId="0F75A89B"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Chinese</w:t>
            </w:r>
          </w:p>
        </w:tc>
        <w:tc>
          <w:tcPr>
            <w:tcW w:w="369" w:type="pct"/>
            <w:noWrap/>
            <w:hideMark/>
          </w:tcPr>
          <w:p w14:paraId="2FD1EFF1"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120 patients</w:t>
            </w:r>
          </w:p>
        </w:tc>
        <w:tc>
          <w:tcPr>
            <w:tcW w:w="435" w:type="pct"/>
            <w:noWrap/>
            <w:hideMark/>
          </w:tcPr>
          <w:p w14:paraId="23EEBBC8"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&gt; 18 years</w:t>
            </w:r>
          </w:p>
        </w:tc>
        <w:tc>
          <w:tcPr>
            <w:tcW w:w="403" w:type="pct"/>
            <w:noWrap/>
            <w:hideMark/>
          </w:tcPr>
          <w:p w14:paraId="18A6A939"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eastAsia="en-US"/>
              </w:rPr>
            </w:pPr>
            <w:r w:rsidRPr="002D4BF9">
              <w:rPr>
                <w:rFonts w:ascii="Times New Roman" w:eastAsia="Times New Roman" w:hAnsi="Times New Roman"/>
                <w:lang w:eastAsia="en-US"/>
              </w:rPr>
              <w:t>4</w:t>
            </w:r>
          </w:p>
        </w:tc>
        <w:tc>
          <w:tcPr>
            <w:tcW w:w="433" w:type="pct"/>
            <w:noWrap/>
            <w:hideMark/>
          </w:tcPr>
          <w:p w14:paraId="4CB6A0B6"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38.30%</w:t>
            </w:r>
          </w:p>
        </w:tc>
        <w:tc>
          <w:tcPr>
            <w:tcW w:w="500" w:type="pct"/>
            <w:noWrap/>
            <w:hideMark/>
          </w:tcPr>
          <w:p w14:paraId="15403804"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Nomogram</w:t>
            </w:r>
          </w:p>
        </w:tc>
        <w:tc>
          <w:tcPr>
            <w:tcW w:w="708" w:type="pct"/>
            <w:noWrap/>
            <w:hideMark/>
          </w:tcPr>
          <w:p w14:paraId="5BB1B962"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0.918</w:t>
            </w:r>
          </w:p>
        </w:tc>
        <w:tc>
          <w:tcPr>
            <w:tcW w:w="603" w:type="pct"/>
            <w:noWrap/>
            <w:hideMark/>
          </w:tcPr>
          <w:p w14:paraId="4C21CCD4"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CAM</w:t>
            </w:r>
          </w:p>
        </w:tc>
      </w:tr>
      <w:tr w:rsidR="002D4BF9" w:rsidRPr="002D4BF9" w14:paraId="437F7F10" w14:textId="77777777" w:rsidTr="003A268D">
        <w:trPr>
          <w:trHeight w:val="315"/>
        </w:trPr>
        <w:tc>
          <w:tcPr>
            <w:cnfStyle w:val="001000000000" w:firstRow="0" w:lastRow="0" w:firstColumn="1" w:lastColumn="0" w:oddVBand="0" w:evenVBand="0" w:oddHBand="0" w:evenHBand="0" w:firstRowFirstColumn="0" w:firstRowLastColumn="0" w:lastRowFirstColumn="0" w:lastRowLastColumn="0"/>
            <w:tcW w:w="517" w:type="pct"/>
            <w:hideMark/>
          </w:tcPr>
          <w:p w14:paraId="060AEB9C" w14:textId="77777777" w:rsidR="002D4BF9" w:rsidRPr="002D4BF9" w:rsidRDefault="002D4BF9" w:rsidP="002D4BF9">
            <w:pPr>
              <w:spacing w:after="160" w:line="259" w:lineRule="auto"/>
              <w:jc w:val="both"/>
              <w:rPr>
                <w:rFonts w:ascii="Times New Roman" w:eastAsia="Times New Roman" w:hAnsi="Times New Roman"/>
                <w:color w:val="000000"/>
                <w:lang w:eastAsia="en-US"/>
              </w:rPr>
            </w:pPr>
            <w:r w:rsidRPr="002D4BF9">
              <w:rPr>
                <w:rFonts w:ascii="Times New Roman" w:eastAsia="Times New Roman" w:hAnsi="Times New Roman"/>
                <w:color w:val="000000"/>
                <w:lang w:eastAsia="en-US"/>
              </w:rPr>
              <w:t>Chen D. et al, 2023</w:t>
            </w:r>
          </w:p>
        </w:tc>
        <w:tc>
          <w:tcPr>
            <w:tcW w:w="552" w:type="pct"/>
            <w:noWrap/>
            <w:hideMark/>
          </w:tcPr>
          <w:p w14:paraId="6BFD62BC" w14:textId="77777777" w:rsidR="002D4BF9" w:rsidRPr="002D4BF9" w:rsidRDefault="002D4BF9" w:rsidP="002D4BF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Retrospective study</w:t>
            </w:r>
          </w:p>
        </w:tc>
        <w:tc>
          <w:tcPr>
            <w:tcW w:w="480" w:type="pct"/>
            <w:noWrap/>
            <w:hideMark/>
          </w:tcPr>
          <w:p w14:paraId="72C1C6CC" w14:textId="77777777" w:rsidR="002D4BF9" w:rsidRPr="002D4BF9" w:rsidRDefault="002D4BF9" w:rsidP="002D4BF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Chinese</w:t>
            </w:r>
          </w:p>
        </w:tc>
        <w:tc>
          <w:tcPr>
            <w:tcW w:w="369" w:type="pct"/>
            <w:noWrap/>
            <w:hideMark/>
          </w:tcPr>
          <w:p w14:paraId="0EF46DBC" w14:textId="77777777" w:rsidR="002D4BF9" w:rsidRPr="002D4BF9" w:rsidRDefault="002D4BF9" w:rsidP="002D4BF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476 patients</w:t>
            </w:r>
          </w:p>
        </w:tc>
        <w:tc>
          <w:tcPr>
            <w:tcW w:w="435" w:type="pct"/>
            <w:noWrap/>
            <w:hideMark/>
          </w:tcPr>
          <w:p w14:paraId="52226EE2" w14:textId="77777777" w:rsidR="002D4BF9" w:rsidRPr="002D4BF9" w:rsidRDefault="002D4BF9" w:rsidP="002D4BF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&gt; 60 years</w:t>
            </w:r>
          </w:p>
        </w:tc>
        <w:tc>
          <w:tcPr>
            <w:tcW w:w="403" w:type="pct"/>
            <w:noWrap/>
            <w:hideMark/>
          </w:tcPr>
          <w:p w14:paraId="0E04A6AD" w14:textId="77777777" w:rsidR="002D4BF9" w:rsidRPr="002D4BF9" w:rsidRDefault="002D4BF9" w:rsidP="002D4BF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en-US"/>
              </w:rPr>
            </w:pPr>
            <w:r w:rsidRPr="002D4BF9">
              <w:rPr>
                <w:rFonts w:ascii="Times New Roman" w:eastAsia="Times New Roman" w:hAnsi="Times New Roman"/>
                <w:lang w:eastAsia="en-US"/>
              </w:rPr>
              <w:t>10</w:t>
            </w:r>
          </w:p>
        </w:tc>
        <w:tc>
          <w:tcPr>
            <w:tcW w:w="433" w:type="pct"/>
            <w:noWrap/>
            <w:hideMark/>
          </w:tcPr>
          <w:p w14:paraId="637AF4C4" w14:textId="77777777" w:rsidR="002D4BF9" w:rsidRPr="002D4BF9" w:rsidRDefault="002D4BF9" w:rsidP="002D4BF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18.10%</w:t>
            </w:r>
          </w:p>
        </w:tc>
        <w:tc>
          <w:tcPr>
            <w:tcW w:w="500" w:type="pct"/>
            <w:noWrap/>
            <w:hideMark/>
          </w:tcPr>
          <w:p w14:paraId="7F0CECB3" w14:textId="77777777" w:rsidR="002D4BF9" w:rsidRPr="002D4BF9" w:rsidRDefault="002D4BF9" w:rsidP="002D4BF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Combined MI and LR</w:t>
            </w:r>
          </w:p>
        </w:tc>
        <w:tc>
          <w:tcPr>
            <w:tcW w:w="708" w:type="pct"/>
            <w:noWrap/>
            <w:hideMark/>
          </w:tcPr>
          <w:p w14:paraId="2DE185A4" w14:textId="77777777" w:rsidR="002D4BF9" w:rsidRPr="002D4BF9" w:rsidRDefault="002D4BF9" w:rsidP="002D4BF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0.94</w:t>
            </w:r>
          </w:p>
        </w:tc>
        <w:tc>
          <w:tcPr>
            <w:tcW w:w="603" w:type="pct"/>
            <w:noWrap/>
            <w:hideMark/>
          </w:tcPr>
          <w:p w14:paraId="3FD0ACBC" w14:textId="77777777" w:rsidR="002D4BF9" w:rsidRPr="002D4BF9" w:rsidRDefault="002D4BF9" w:rsidP="002D4BF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CAM</w:t>
            </w:r>
          </w:p>
        </w:tc>
      </w:tr>
      <w:tr w:rsidR="002D4BF9" w:rsidRPr="002D4BF9" w14:paraId="4E48C567" w14:textId="77777777" w:rsidTr="003A268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7" w:type="pct"/>
            <w:tcBorders>
              <w:bottom w:val="single" w:sz="12" w:space="0" w:color="auto"/>
            </w:tcBorders>
            <w:noWrap/>
            <w:hideMark/>
          </w:tcPr>
          <w:p w14:paraId="0D3A6FB1" w14:textId="77777777" w:rsidR="002D4BF9" w:rsidRPr="002D4BF9" w:rsidRDefault="002D4BF9" w:rsidP="002D4BF9">
            <w:pPr>
              <w:spacing w:after="160" w:line="259" w:lineRule="auto"/>
              <w:jc w:val="both"/>
              <w:rPr>
                <w:rFonts w:ascii="Times New Roman" w:eastAsia="Times New Roman" w:hAnsi="Times New Roman"/>
                <w:color w:val="000000"/>
                <w:lang w:eastAsia="en-US"/>
              </w:rPr>
            </w:pPr>
            <w:r w:rsidRPr="002D4BF9">
              <w:rPr>
                <w:rFonts w:ascii="Times New Roman" w:eastAsia="Times New Roman" w:hAnsi="Times New Roman"/>
                <w:color w:val="000000"/>
                <w:lang w:eastAsia="en-US"/>
              </w:rPr>
              <w:t>Matsumoto K. et al, 2023</w:t>
            </w:r>
          </w:p>
        </w:tc>
        <w:tc>
          <w:tcPr>
            <w:tcW w:w="552" w:type="pct"/>
            <w:tcBorders>
              <w:bottom w:val="single" w:sz="12" w:space="0" w:color="auto"/>
            </w:tcBorders>
            <w:noWrap/>
            <w:hideMark/>
          </w:tcPr>
          <w:p w14:paraId="15DB9BD7"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Retrospective study</w:t>
            </w:r>
          </w:p>
        </w:tc>
        <w:tc>
          <w:tcPr>
            <w:tcW w:w="480" w:type="pct"/>
            <w:tcBorders>
              <w:bottom w:val="single" w:sz="12" w:space="0" w:color="auto"/>
            </w:tcBorders>
            <w:noWrap/>
            <w:hideMark/>
          </w:tcPr>
          <w:p w14:paraId="24F645F9"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Japanese</w:t>
            </w:r>
          </w:p>
        </w:tc>
        <w:tc>
          <w:tcPr>
            <w:tcW w:w="369" w:type="pct"/>
            <w:tcBorders>
              <w:bottom w:val="single" w:sz="12" w:space="0" w:color="auto"/>
            </w:tcBorders>
            <w:noWrap/>
            <w:hideMark/>
          </w:tcPr>
          <w:p w14:paraId="16E72425"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11863 patients</w:t>
            </w:r>
          </w:p>
        </w:tc>
        <w:tc>
          <w:tcPr>
            <w:tcW w:w="435" w:type="pct"/>
            <w:tcBorders>
              <w:bottom w:val="single" w:sz="12" w:space="0" w:color="auto"/>
            </w:tcBorders>
            <w:noWrap/>
            <w:hideMark/>
          </w:tcPr>
          <w:p w14:paraId="3C626C3E"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&gt; 18 years</w:t>
            </w:r>
          </w:p>
        </w:tc>
        <w:tc>
          <w:tcPr>
            <w:tcW w:w="403" w:type="pct"/>
            <w:tcBorders>
              <w:bottom w:val="single" w:sz="12" w:space="0" w:color="auto"/>
            </w:tcBorders>
            <w:noWrap/>
            <w:hideMark/>
          </w:tcPr>
          <w:p w14:paraId="26DF6755"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eastAsia="en-US"/>
              </w:rPr>
            </w:pPr>
            <w:r w:rsidRPr="002D4BF9">
              <w:rPr>
                <w:rFonts w:ascii="Times New Roman" w:eastAsia="Times New Roman" w:hAnsi="Times New Roman"/>
                <w:lang w:eastAsia="en-US"/>
              </w:rPr>
              <w:t>8</w:t>
            </w:r>
          </w:p>
        </w:tc>
        <w:tc>
          <w:tcPr>
            <w:tcW w:w="433" w:type="pct"/>
            <w:tcBorders>
              <w:bottom w:val="single" w:sz="12" w:space="0" w:color="auto"/>
            </w:tcBorders>
            <w:noWrap/>
            <w:hideMark/>
          </w:tcPr>
          <w:p w14:paraId="638BF56E"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9.10%</w:t>
            </w:r>
          </w:p>
        </w:tc>
        <w:tc>
          <w:tcPr>
            <w:tcW w:w="500" w:type="pct"/>
            <w:tcBorders>
              <w:bottom w:val="single" w:sz="12" w:space="0" w:color="auto"/>
            </w:tcBorders>
            <w:noWrap/>
            <w:hideMark/>
          </w:tcPr>
          <w:p w14:paraId="0B5356BB"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XGBoost, LASSO</w:t>
            </w:r>
          </w:p>
        </w:tc>
        <w:tc>
          <w:tcPr>
            <w:tcW w:w="708" w:type="pct"/>
            <w:tcBorders>
              <w:bottom w:val="single" w:sz="12" w:space="0" w:color="auto"/>
            </w:tcBorders>
            <w:noWrap/>
            <w:hideMark/>
          </w:tcPr>
          <w:p w14:paraId="1732E847"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0.86 - 0.89</w:t>
            </w:r>
          </w:p>
        </w:tc>
        <w:tc>
          <w:tcPr>
            <w:tcW w:w="603" w:type="pct"/>
            <w:tcBorders>
              <w:bottom w:val="single" w:sz="12" w:space="0" w:color="auto"/>
            </w:tcBorders>
            <w:noWrap/>
            <w:hideMark/>
          </w:tcPr>
          <w:p w14:paraId="1705A2F1"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CAM</w:t>
            </w:r>
          </w:p>
        </w:tc>
      </w:tr>
    </w:tbl>
    <w:p w14:paraId="0DE3B9EA" w14:textId="77777777" w:rsidR="009047EE" w:rsidRDefault="009047EE" w:rsidP="009047EE">
      <w:pPr>
        <w:spacing w:after="160" w:line="259" w:lineRule="auto"/>
        <w:jc w:val="both"/>
        <w:rPr>
          <w:rFonts w:ascii="Times New Roman" w:eastAsiaTheme="minorHAnsi" w:hAnsi="Times New Roman"/>
          <w:b/>
          <w:bCs/>
          <w:kern w:val="2"/>
          <w:sz w:val="24"/>
          <w:szCs w:val="24"/>
          <w:vertAlign w:val="subscript"/>
          <w:lang w:eastAsia="en-US"/>
          <w14:ligatures w14:val="standardContextual"/>
        </w:rPr>
      </w:pPr>
      <w:r w:rsidRPr="009047EE">
        <w:rPr>
          <w:rFonts w:ascii="Times New Roman" w:eastAsiaTheme="minorHAnsi" w:hAnsi="Times New Roman"/>
          <w:b/>
          <w:bCs/>
          <w:kern w:val="2"/>
          <w:sz w:val="24"/>
          <w:szCs w:val="24"/>
          <w:vertAlign w:val="subscript"/>
          <w:lang w:eastAsia="en-US"/>
          <w14:ligatures w14:val="standardContextual"/>
        </w:rPr>
        <w:t xml:space="preserve">Abbreviations: </w:t>
      </w:r>
      <w:r w:rsidRPr="009047EE">
        <w:rPr>
          <w:rFonts w:ascii="Times New Roman" w:eastAsiaTheme="minorHAnsi" w:hAnsi="Times New Roman"/>
          <w:kern w:val="2"/>
          <w:sz w:val="24"/>
          <w:szCs w:val="24"/>
          <w:vertAlign w:val="subscript"/>
          <w:lang w:eastAsia="en-US"/>
          <w14:ligatures w14:val="standardContextual"/>
        </w:rPr>
        <w:t>LR; Logistic Regression, AUC; Area Under the Curve, CAM; Confusion Assessment Method, LASSO;  Least Absolute Shrinkage and Selection Operator, DSM-5; Diagnostic and Statistical Manual of Mental Disorders – 5th edition, POD; Postoperative Delirium, MI; Mutual Information, XGBoost; eXtreme Gradient Boost tree, RF; Random Forest, SVM; Support Vector Machine, CI; Confidence Interval, ICU; Intensive Care Unit, GNB; Gaussian NB, CNB; Complement NB, MLP; Multi-layer Perceptron, KNN; K-Nearest Neighbor machine, DRS; Delirium Rating Scale-Revised-98.</w:t>
      </w:r>
      <w:r w:rsidRPr="009047EE">
        <w:rPr>
          <w:rFonts w:ascii="Times New Roman" w:eastAsiaTheme="minorHAnsi" w:hAnsi="Times New Roman"/>
          <w:b/>
          <w:bCs/>
          <w:kern w:val="2"/>
          <w:sz w:val="24"/>
          <w:szCs w:val="24"/>
          <w:vertAlign w:val="subscript"/>
          <w:lang w:eastAsia="en-US"/>
          <w14:ligatures w14:val="standardContextual"/>
        </w:rPr>
        <w:t xml:space="preserve"> </w:t>
      </w:r>
    </w:p>
    <w:p w14:paraId="0DB377AA" w14:textId="77777777" w:rsidR="008F797B" w:rsidRDefault="008F797B" w:rsidP="009047EE">
      <w:pPr>
        <w:spacing w:after="160" w:line="259" w:lineRule="auto"/>
        <w:jc w:val="both"/>
        <w:rPr>
          <w:rFonts w:ascii="Times New Roman" w:eastAsiaTheme="minorHAnsi" w:hAnsi="Times New Roman"/>
          <w:b/>
          <w:bCs/>
          <w:kern w:val="2"/>
          <w:sz w:val="24"/>
          <w:szCs w:val="24"/>
          <w:vertAlign w:val="subscript"/>
          <w:lang w:eastAsia="en-US"/>
          <w14:ligatures w14:val="standardContextual"/>
        </w:rPr>
      </w:pPr>
    </w:p>
    <w:p w14:paraId="3FBC1710" w14:textId="77777777" w:rsidR="008F797B" w:rsidRPr="008F797B" w:rsidRDefault="008F797B" w:rsidP="008F797B">
      <w:pPr>
        <w:spacing w:after="160" w:line="259" w:lineRule="auto"/>
        <w:jc w:val="both"/>
        <w:rPr>
          <w:rFonts w:ascii="Times New Roman" w:eastAsiaTheme="minorHAnsi" w:hAnsi="Times New Roman"/>
          <w:kern w:val="2"/>
          <w:sz w:val="24"/>
          <w:szCs w:val="24"/>
          <w:lang w:eastAsia="en-US"/>
          <w14:ligatures w14:val="standardContextual"/>
        </w:rPr>
      </w:pPr>
      <w:r w:rsidRPr="008F797B">
        <w:rPr>
          <w:rFonts w:ascii="Times New Roman" w:eastAsiaTheme="minorHAnsi" w:hAnsi="Times New Roman"/>
          <w:b/>
          <w:bCs/>
          <w:kern w:val="2"/>
          <w:sz w:val="24"/>
          <w:szCs w:val="24"/>
          <w:lang w:eastAsia="en-US"/>
          <w14:ligatures w14:val="standardContextual"/>
        </w:rPr>
        <w:lastRenderedPageBreak/>
        <w:t xml:space="preserve">Table 2 </w:t>
      </w:r>
      <w:r w:rsidRPr="008F797B">
        <w:rPr>
          <w:rFonts w:ascii="Times New Roman" w:eastAsiaTheme="minorHAnsi" w:hAnsi="Times New Roman"/>
          <w:kern w:val="2"/>
          <w:sz w:val="24"/>
          <w:szCs w:val="24"/>
          <w:lang w:eastAsia="en-US"/>
          <w14:ligatures w14:val="standardContextual"/>
        </w:rPr>
        <w:t xml:space="preserve">Evaluation of Surgery Type, Study Type, POD Assessment Time, and Validation Type. </w:t>
      </w:r>
    </w:p>
    <w:tbl>
      <w:tblPr>
        <w:tblStyle w:val="ListTable6Colourful1"/>
        <w:tblW w:w="0" w:type="auto"/>
        <w:tblLook w:val="04A0" w:firstRow="1" w:lastRow="0" w:firstColumn="1" w:lastColumn="0" w:noHBand="0" w:noVBand="1"/>
      </w:tblPr>
      <w:tblGrid>
        <w:gridCol w:w="1835"/>
        <w:gridCol w:w="2034"/>
        <w:gridCol w:w="1376"/>
        <w:gridCol w:w="2268"/>
        <w:gridCol w:w="1847"/>
      </w:tblGrid>
      <w:tr w:rsidR="008F797B" w:rsidRPr="008F797B" w14:paraId="75E610D3" w14:textId="77777777" w:rsidTr="003A26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5" w:type="dxa"/>
            <w:tcBorders>
              <w:top w:val="single" w:sz="12" w:space="0" w:color="auto"/>
              <w:bottom w:val="single" w:sz="12" w:space="0" w:color="auto"/>
            </w:tcBorders>
          </w:tcPr>
          <w:p w14:paraId="2DCDA67E" w14:textId="77777777" w:rsidR="008F797B" w:rsidRPr="008F797B" w:rsidRDefault="008F797B" w:rsidP="008F797B">
            <w:pPr>
              <w:spacing w:after="160" w:line="259" w:lineRule="auto"/>
              <w:jc w:val="both"/>
              <w:rPr>
                <w:rFonts w:ascii="Times New Roman" w:eastAsiaTheme="minorHAnsi" w:hAnsi="Times New Roman"/>
                <w:kern w:val="2"/>
                <w:lang w:eastAsia="en-US"/>
                <w14:ligatures w14:val="standardContextual"/>
              </w:rPr>
            </w:pPr>
            <w:r w:rsidRPr="008F797B">
              <w:rPr>
                <w:rFonts w:ascii="Times New Roman" w:eastAsiaTheme="minorHAnsi" w:hAnsi="Times New Roman"/>
                <w:kern w:val="2"/>
                <w:lang w:eastAsia="en-US"/>
                <w14:ligatures w14:val="standardContextual"/>
              </w:rPr>
              <w:t xml:space="preserve">Author, Year </w:t>
            </w:r>
          </w:p>
        </w:tc>
        <w:tc>
          <w:tcPr>
            <w:tcW w:w="2034" w:type="dxa"/>
            <w:tcBorders>
              <w:top w:val="single" w:sz="12" w:space="0" w:color="auto"/>
              <w:bottom w:val="single" w:sz="12" w:space="0" w:color="auto"/>
            </w:tcBorders>
          </w:tcPr>
          <w:p w14:paraId="4578F5E8" w14:textId="77777777" w:rsidR="008F797B" w:rsidRPr="008F797B" w:rsidRDefault="008F797B" w:rsidP="008F797B">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8F797B">
              <w:rPr>
                <w:rFonts w:ascii="Times New Roman" w:eastAsiaTheme="minorHAnsi" w:hAnsi="Times New Roman"/>
                <w:kern w:val="2"/>
                <w:lang w:eastAsia="en-US"/>
                <w14:ligatures w14:val="standardContextual"/>
              </w:rPr>
              <w:t xml:space="preserve">Type of Surgery </w:t>
            </w:r>
          </w:p>
        </w:tc>
        <w:tc>
          <w:tcPr>
            <w:tcW w:w="1376" w:type="dxa"/>
            <w:tcBorders>
              <w:top w:val="single" w:sz="12" w:space="0" w:color="auto"/>
              <w:bottom w:val="single" w:sz="12" w:space="0" w:color="auto"/>
            </w:tcBorders>
          </w:tcPr>
          <w:p w14:paraId="4C7E9FB8" w14:textId="77777777" w:rsidR="008F797B" w:rsidRPr="008F797B" w:rsidRDefault="008F797B" w:rsidP="008F797B">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8F797B">
              <w:rPr>
                <w:rFonts w:ascii="Times New Roman" w:eastAsiaTheme="minorHAnsi" w:hAnsi="Times New Roman"/>
                <w:kern w:val="2"/>
                <w:lang w:eastAsia="en-US"/>
                <w14:ligatures w14:val="standardContextual"/>
              </w:rPr>
              <w:t xml:space="preserve">Study Type </w:t>
            </w:r>
          </w:p>
        </w:tc>
        <w:tc>
          <w:tcPr>
            <w:tcW w:w="2268" w:type="dxa"/>
            <w:tcBorders>
              <w:top w:val="single" w:sz="12" w:space="0" w:color="auto"/>
              <w:bottom w:val="single" w:sz="12" w:space="0" w:color="auto"/>
            </w:tcBorders>
          </w:tcPr>
          <w:p w14:paraId="30C238E6" w14:textId="77777777" w:rsidR="008F797B" w:rsidRPr="008F797B" w:rsidRDefault="008F797B" w:rsidP="008F797B">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8F797B">
              <w:rPr>
                <w:rFonts w:ascii="Times New Roman" w:eastAsiaTheme="minorHAnsi" w:hAnsi="Times New Roman"/>
                <w:kern w:val="2"/>
                <w:lang w:eastAsia="en-US"/>
                <w14:ligatures w14:val="standardContextual"/>
              </w:rPr>
              <w:t xml:space="preserve">POD Diagnosis Time </w:t>
            </w:r>
          </w:p>
        </w:tc>
        <w:tc>
          <w:tcPr>
            <w:tcW w:w="1847" w:type="dxa"/>
            <w:tcBorders>
              <w:top w:val="single" w:sz="12" w:space="0" w:color="auto"/>
              <w:bottom w:val="single" w:sz="12" w:space="0" w:color="auto"/>
            </w:tcBorders>
          </w:tcPr>
          <w:p w14:paraId="260DAE57" w14:textId="77777777" w:rsidR="008F797B" w:rsidRPr="008F797B" w:rsidRDefault="008F797B" w:rsidP="008F797B">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8F797B">
              <w:rPr>
                <w:rFonts w:ascii="Times New Roman" w:eastAsiaTheme="minorHAnsi" w:hAnsi="Times New Roman"/>
                <w:kern w:val="2"/>
                <w:lang w:eastAsia="en-US"/>
                <w14:ligatures w14:val="standardContextual"/>
              </w:rPr>
              <w:t xml:space="preserve">Validation Type </w:t>
            </w:r>
          </w:p>
        </w:tc>
      </w:tr>
      <w:tr w:rsidR="008F797B" w:rsidRPr="008F797B" w14:paraId="4D0D7DC4" w14:textId="77777777" w:rsidTr="003A268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35" w:type="dxa"/>
            <w:tcBorders>
              <w:top w:val="single" w:sz="12" w:space="0" w:color="auto"/>
            </w:tcBorders>
          </w:tcPr>
          <w:p w14:paraId="16206AF6" w14:textId="77777777" w:rsidR="008F797B" w:rsidRPr="008F797B" w:rsidRDefault="008F797B" w:rsidP="008F797B">
            <w:pPr>
              <w:spacing w:after="160" w:line="259" w:lineRule="auto"/>
              <w:jc w:val="both"/>
              <w:rPr>
                <w:rFonts w:ascii="Times New Roman" w:eastAsiaTheme="minorHAnsi" w:hAnsi="Times New Roman"/>
                <w:kern w:val="2"/>
                <w:lang w:eastAsia="en-US"/>
                <w14:ligatures w14:val="standardContextual"/>
              </w:rPr>
            </w:pPr>
            <w:r w:rsidRPr="008F797B">
              <w:rPr>
                <w:rFonts w:ascii="Times New Roman" w:eastAsia="Times New Roman" w:hAnsi="Times New Roman"/>
                <w:color w:val="000000"/>
                <w:lang w:eastAsia="en-US"/>
              </w:rPr>
              <w:t>Lin X. et al, 2023</w:t>
            </w:r>
          </w:p>
        </w:tc>
        <w:tc>
          <w:tcPr>
            <w:tcW w:w="2034" w:type="dxa"/>
            <w:tcBorders>
              <w:top w:val="single" w:sz="12" w:space="0" w:color="auto"/>
            </w:tcBorders>
          </w:tcPr>
          <w:p w14:paraId="74B42007" w14:textId="77777777" w:rsidR="008F797B" w:rsidRPr="008F797B" w:rsidRDefault="008F797B" w:rsidP="008F797B">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8F797B">
              <w:rPr>
                <w:rFonts w:ascii="Times New Roman" w:eastAsiaTheme="minorHAnsi" w:hAnsi="Times New Roman"/>
                <w:kern w:val="2"/>
                <w:lang w:eastAsia="en-US"/>
                <w14:ligatures w14:val="standardContextual"/>
              </w:rPr>
              <w:t>Non-cardiac surgery</w:t>
            </w:r>
          </w:p>
        </w:tc>
        <w:tc>
          <w:tcPr>
            <w:tcW w:w="1376" w:type="dxa"/>
            <w:tcBorders>
              <w:top w:val="single" w:sz="12" w:space="0" w:color="auto"/>
            </w:tcBorders>
          </w:tcPr>
          <w:p w14:paraId="3D3DA361" w14:textId="77777777" w:rsidR="008F797B" w:rsidRPr="008F797B" w:rsidRDefault="008F797B" w:rsidP="008F797B">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8F797B">
              <w:rPr>
                <w:rFonts w:ascii="Times New Roman" w:eastAsiaTheme="minorHAnsi" w:hAnsi="Times New Roman"/>
                <w:kern w:val="2"/>
                <w:lang w:eastAsia="en-US"/>
                <w14:ligatures w14:val="standardContextual"/>
              </w:rPr>
              <w:t>DV</w:t>
            </w:r>
          </w:p>
        </w:tc>
        <w:tc>
          <w:tcPr>
            <w:tcW w:w="2268" w:type="dxa"/>
            <w:tcBorders>
              <w:top w:val="single" w:sz="12" w:space="0" w:color="auto"/>
            </w:tcBorders>
          </w:tcPr>
          <w:p w14:paraId="00B19D61" w14:textId="77777777" w:rsidR="008F797B" w:rsidRPr="008F797B" w:rsidRDefault="008F797B" w:rsidP="008F797B">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8F797B">
              <w:rPr>
                <w:rFonts w:ascii="Times New Roman" w:eastAsiaTheme="minorHAnsi" w:hAnsi="Times New Roman"/>
                <w:kern w:val="2"/>
                <w:lang w:eastAsia="en-US"/>
                <w14:ligatures w14:val="standardContextual"/>
              </w:rPr>
              <w:t>1-7 days post-surgery</w:t>
            </w:r>
          </w:p>
        </w:tc>
        <w:tc>
          <w:tcPr>
            <w:tcW w:w="1847" w:type="dxa"/>
            <w:tcBorders>
              <w:top w:val="single" w:sz="12" w:space="0" w:color="auto"/>
            </w:tcBorders>
          </w:tcPr>
          <w:p w14:paraId="38EF3D3F" w14:textId="77777777" w:rsidR="008F797B" w:rsidRPr="008F797B" w:rsidRDefault="008F797B" w:rsidP="008F797B">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8F797B">
              <w:rPr>
                <w:rFonts w:ascii="Times New Roman" w:eastAsiaTheme="minorHAnsi" w:hAnsi="Times New Roman"/>
                <w:kern w:val="2"/>
                <w:lang w:eastAsia="en-US"/>
                <w14:ligatures w14:val="standardContextual"/>
              </w:rPr>
              <w:t>Internal</w:t>
            </w:r>
          </w:p>
        </w:tc>
      </w:tr>
      <w:tr w:rsidR="008F797B" w:rsidRPr="008F797B" w14:paraId="180D70B0" w14:textId="77777777" w:rsidTr="003A268D">
        <w:tc>
          <w:tcPr>
            <w:cnfStyle w:val="001000000000" w:firstRow="0" w:lastRow="0" w:firstColumn="1" w:lastColumn="0" w:oddVBand="0" w:evenVBand="0" w:oddHBand="0" w:evenHBand="0" w:firstRowFirstColumn="0" w:firstRowLastColumn="0" w:lastRowFirstColumn="0" w:lastRowLastColumn="0"/>
            <w:tcW w:w="1835" w:type="dxa"/>
          </w:tcPr>
          <w:p w14:paraId="199EB261" w14:textId="77777777" w:rsidR="008F797B" w:rsidRPr="008F797B" w:rsidRDefault="008F797B" w:rsidP="008F797B">
            <w:pPr>
              <w:spacing w:after="160" w:line="259" w:lineRule="auto"/>
              <w:jc w:val="both"/>
              <w:rPr>
                <w:rFonts w:ascii="Times New Roman" w:eastAsiaTheme="minorHAnsi" w:hAnsi="Times New Roman"/>
                <w:kern w:val="2"/>
                <w:lang w:eastAsia="en-US"/>
                <w14:ligatures w14:val="standardContextual"/>
              </w:rPr>
            </w:pPr>
            <w:r w:rsidRPr="008F797B">
              <w:rPr>
                <w:rFonts w:ascii="Times New Roman" w:eastAsia="Times New Roman" w:hAnsi="Times New Roman"/>
                <w:color w:val="000000"/>
                <w:lang w:eastAsia="en-US"/>
              </w:rPr>
              <w:t>Huang Z. et al, 2023</w:t>
            </w:r>
          </w:p>
        </w:tc>
        <w:tc>
          <w:tcPr>
            <w:tcW w:w="2034" w:type="dxa"/>
          </w:tcPr>
          <w:p w14:paraId="782DF579" w14:textId="77777777" w:rsidR="008F797B" w:rsidRPr="008F797B" w:rsidRDefault="008F797B" w:rsidP="008F797B">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8F797B">
              <w:rPr>
                <w:rFonts w:ascii="Times New Roman" w:eastAsiaTheme="minorHAnsi" w:hAnsi="Times New Roman"/>
                <w:kern w:val="2"/>
                <w:lang w:eastAsia="en-US"/>
                <w14:ligatures w14:val="standardContextual"/>
              </w:rPr>
              <w:t>Abdominal surgery</w:t>
            </w:r>
          </w:p>
        </w:tc>
        <w:tc>
          <w:tcPr>
            <w:tcW w:w="1376" w:type="dxa"/>
          </w:tcPr>
          <w:p w14:paraId="162F12AE" w14:textId="77777777" w:rsidR="008F797B" w:rsidRPr="008F797B" w:rsidRDefault="008F797B" w:rsidP="008F797B">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8F797B">
              <w:rPr>
                <w:rFonts w:ascii="Times New Roman" w:eastAsiaTheme="minorHAnsi" w:hAnsi="Times New Roman"/>
                <w:kern w:val="2"/>
                <w:lang w:eastAsia="en-US"/>
                <w14:ligatures w14:val="standardContextual"/>
              </w:rPr>
              <w:t>DV</w:t>
            </w:r>
          </w:p>
        </w:tc>
        <w:tc>
          <w:tcPr>
            <w:tcW w:w="2268" w:type="dxa"/>
          </w:tcPr>
          <w:p w14:paraId="26EC4A18" w14:textId="77777777" w:rsidR="008F797B" w:rsidRPr="008F797B" w:rsidRDefault="008F797B" w:rsidP="008F797B">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8F797B">
              <w:rPr>
                <w:rFonts w:ascii="Times New Roman" w:eastAsiaTheme="minorHAnsi" w:hAnsi="Times New Roman"/>
                <w:kern w:val="2"/>
                <w:lang w:eastAsia="en-US"/>
                <w14:ligatures w14:val="standardContextual"/>
              </w:rPr>
              <w:t>1-3 days post-surgery</w:t>
            </w:r>
          </w:p>
        </w:tc>
        <w:tc>
          <w:tcPr>
            <w:tcW w:w="1847" w:type="dxa"/>
          </w:tcPr>
          <w:p w14:paraId="51E34CFD" w14:textId="77777777" w:rsidR="008F797B" w:rsidRPr="008F797B" w:rsidRDefault="008F797B" w:rsidP="008F797B">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8F797B">
              <w:rPr>
                <w:rFonts w:ascii="Times New Roman" w:eastAsiaTheme="minorHAnsi" w:hAnsi="Times New Roman"/>
                <w:kern w:val="2"/>
                <w:lang w:eastAsia="en-US"/>
                <w14:ligatures w14:val="standardContextual"/>
              </w:rPr>
              <w:t>Internal and External</w:t>
            </w:r>
          </w:p>
        </w:tc>
      </w:tr>
      <w:tr w:rsidR="008F797B" w:rsidRPr="008F797B" w14:paraId="49FF04E7" w14:textId="77777777" w:rsidTr="003A26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5" w:type="dxa"/>
          </w:tcPr>
          <w:p w14:paraId="56A8BD31" w14:textId="77777777" w:rsidR="008F797B" w:rsidRPr="008F797B" w:rsidRDefault="008F797B" w:rsidP="008F797B">
            <w:pPr>
              <w:spacing w:after="160" w:line="259" w:lineRule="auto"/>
              <w:jc w:val="both"/>
              <w:rPr>
                <w:rFonts w:ascii="Times New Roman" w:eastAsiaTheme="minorHAnsi" w:hAnsi="Times New Roman"/>
                <w:kern w:val="2"/>
                <w:lang w:eastAsia="en-US"/>
                <w14:ligatures w14:val="standardContextual"/>
              </w:rPr>
            </w:pPr>
            <w:r w:rsidRPr="008F797B">
              <w:rPr>
                <w:rFonts w:ascii="Times New Roman" w:eastAsia="Times New Roman" w:hAnsi="Times New Roman"/>
                <w:color w:val="000000"/>
                <w:lang w:eastAsia="en-US"/>
              </w:rPr>
              <w:t>Yang Y. et al, 2022</w:t>
            </w:r>
          </w:p>
        </w:tc>
        <w:tc>
          <w:tcPr>
            <w:tcW w:w="2034" w:type="dxa"/>
          </w:tcPr>
          <w:p w14:paraId="226EF5EA" w14:textId="77777777" w:rsidR="008F797B" w:rsidRPr="008F797B" w:rsidRDefault="008F797B" w:rsidP="008F797B">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8F797B">
              <w:rPr>
                <w:rFonts w:ascii="Times New Roman" w:eastAsiaTheme="minorHAnsi" w:hAnsi="Times New Roman"/>
                <w:kern w:val="2"/>
                <w:lang w:eastAsia="en-US"/>
                <w14:ligatures w14:val="standardContextual"/>
              </w:rPr>
              <w:t>Hip fracture surgery.</w:t>
            </w:r>
          </w:p>
        </w:tc>
        <w:tc>
          <w:tcPr>
            <w:tcW w:w="1376" w:type="dxa"/>
          </w:tcPr>
          <w:p w14:paraId="15DCE82E" w14:textId="77777777" w:rsidR="008F797B" w:rsidRPr="008F797B" w:rsidRDefault="008F797B" w:rsidP="008F797B">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8F797B">
              <w:rPr>
                <w:rFonts w:ascii="Times New Roman" w:eastAsiaTheme="minorHAnsi" w:hAnsi="Times New Roman"/>
                <w:kern w:val="2"/>
                <w:lang w:eastAsia="en-US"/>
                <w14:ligatures w14:val="standardContextual"/>
              </w:rPr>
              <w:t>DV</w:t>
            </w:r>
          </w:p>
        </w:tc>
        <w:tc>
          <w:tcPr>
            <w:tcW w:w="2268" w:type="dxa"/>
          </w:tcPr>
          <w:p w14:paraId="56C3DBD7" w14:textId="77777777" w:rsidR="008F797B" w:rsidRPr="008F797B" w:rsidRDefault="008F797B" w:rsidP="008F797B">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8F797B">
              <w:rPr>
                <w:rFonts w:ascii="Times New Roman" w:eastAsiaTheme="minorHAnsi" w:hAnsi="Times New Roman"/>
                <w:kern w:val="2"/>
                <w:lang w:eastAsia="en-US"/>
                <w14:ligatures w14:val="standardContextual"/>
              </w:rPr>
              <w:t>Not reported</w:t>
            </w:r>
          </w:p>
        </w:tc>
        <w:tc>
          <w:tcPr>
            <w:tcW w:w="1847" w:type="dxa"/>
          </w:tcPr>
          <w:p w14:paraId="32D5AA9D" w14:textId="77777777" w:rsidR="008F797B" w:rsidRPr="008F797B" w:rsidRDefault="008F797B" w:rsidP="008F797B">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8F797B">
              <w:rPr>
                <w:rFonts w:ascii="Times New Roman" w:eastAsiaTheme="minorHAnsi" w:hAnsi="Times New Roman"/>
                <w:kern w:val="2"/>
                <w:lang w:eastAsia="en-US"/>
                <w14:ligatures w14:val="standardContextual"/>
              </w:rPr>
              <w:t>Internal and External</w:t>
            </w:r>
          </w:p>
        </w:tc>
      </w:tr>
      <w:tr w:rsidR="008F797B" w:rsidRPr="008F797B" w14:paraId="00073258" w14:textId="77777777" w:rsidTr="003A268D">
        <w:tc>
          <w:tcPr>
            <w:cnfStyle w:val="001000000000" w:firstRow="0" w:lastRow="0" w:firstColumn="1" w:lastColumn="0" w:oddVBand="0" w:evenVBand="0" w:oddHBand="0" w:evenHBand="0" w:firstRowFirstColumn="0" w:firstRowLastColumn="0" w:lastRowFirstColumn="0" w:lastRowLastColumn="0"/>
            <w:tcW w:w="1835" w:type="dxa"/>
          </w:tcPr>
          <w:p w14:paraId="576BF0C7" w14:textId="77777777" w:rsidR="008F797B" w:rsidRPr="008F797B" w:rsidRDefault="008F797B" w:rsidP="008F797B">
            <w:pPr>
              <w:spacing w:after="160" w:line="259" w:lineRule="auto"/>
              <w:jc w:val="both"/>
              <w:rPr>
                <w:rFonts w:ascii="Times New Roman" w:eastAsiaTheme="minorHAnsi" w:hAnsi="Times New Roman"/>
                <w:kern w:val="2"/>
                <w:lang w:eastAsia="en-US"/>
                <w14:ligatures w14:val="standardContextual"/>
              </w:rPr>
            </w:pPr>
            <w:r w:rsidRPr="008F797B">
              <w:rPr>
                <w:rFonts w:ascii="Times New Roman" w:eastAsia="Times New Roman" w:hAnsi="Times New Roman"/>
                <w:color w:val="000000"/>
                <w:lang w:eastAsia="en-US"/>
              </w:rPr>
              <w:t>Shen J. et al, 2022</w:t>
            </w:r>
          </w:p>
        </w:tc>
        <w:tc>
          <w:tcPr>
            <w:tcW w:w="2034" w:type="dxa"/>
          </w:tcPr>
          <w:p w14:paraId="6300DA7B" w14:textId="77777777" w:rsidR="008F797B" w:rsidRPr="008F797B" w:rsidRDefault="008F797B" w:rsidP="008F797B">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8F797B">
              <w:rPr>
                <w:rFonts w:ascii="Times New Roman" w:eastAsiaTheme="minorHAnsi" w:hAnsi="Times New Roman"/>
                <w:kern w:val="2"/>
                <w:lang w:eastAsia="en-US"/>
                <w14:ligatures w14:val="standardContextual"/>
              </w:rPr>
              <w:t>Non-cardiac surgery</w:t>
            </w:r>
          </w:p>
        </w:tc>
        <w:tc>
          <w:tcPr>
            <w:tcW w:w="1376" w:type="dxa"/>
          </w:tcPr>
          <w:p w14:paraId="32CA98DF" w14:textId="77777777" w:rsidR="008F797B" w:rsidRPr="008F797B" w:rsidRDefault="008F797B" w:rsidP="008F797B">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8F797B">
              <w:rPr>
                <w:rFonts w:ascii="Times New Roman" w:eastAsiaTheme="minorHAnsi" w:hAnsi="Times New Roman"/>
                <w:kern w:val="2"/>
                <w:lang w:eastAsia="en-US"/>
                <w14:ligatures w14:val="standardContextual"/>
              </w:rPr>
              <w:t>DV</w:t>
            </w:r>
          </w:p>
        </w:tc>
        <w:tc>
          <w:tcPr>
            <w:tcW w:w="2268" w:type="dxa"/>
          </w:tcPr>
          <w:p w14:paraId="215763FA" w14:textId="77777777" w:rsidR="008F797B" w:rsidRPr="008F797B" w:rsidRDefault="008F797B" w:rsidP="008F797B">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8F797B">
              <w:rPr>
                <w:rFonts w:ascii="Times New Roman" w:eastAsiaTheme="minorHAnsi" w:hAnsi="Times New Roman"/>
                <w:kern w:val="2"/>
                <w:lang w:eastAsia="en-US"/>
                <w14:ligatures w14:val="standardContextual"/>
              </w:rPr>
              <w:t>Not reported</w:t>
            </w:r>
          </w:p>
        </w:tc>
        <w:tc>
          <w:tcPr>
            <w:tcW w:w="1847" w:type="dxa"/>
          </w:tcPr>
          <w:p w14:paraId="30A333CE" w14:textId="77777777" w:rsidR="008F797B" w:rsidRPr="008F797B" w:rsidRDefault="008F797B" w:rsidP="008F797B">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8F797B">
              <w:rPr>
                <w:rFonts w:ascii="Times New Roman" w:eastAsiaTheme="minorHAnsi" w:hAnsi="Times New Roman"/>
                <w:kern w:val="2"/>
                <w:lang w:eastAsia="en-US"/>
                <w14:ligatures w14:val="standardContextual"/>
              </w:rPr>
              <w:t>Internal</w:t>
            </w:r>
          </w:p>
        </w:tc>
      </w:tr>
      <w:tr w:rsidR="008F797B" w:rsidRPr="008F797B" w14:paraId="44F939B3" w14:textId="77777777" w:rsidTr="003A26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5" w:type="dxa"/>
          </w:tcPr>
          <w:p w14:paraId="2F22F88A" w14:textId="77777777" w:rsidR="008F797B" w:rsidRPr="008F797B" w:rsidRDefault="008F797B" w:rsidP="008F797B">
            <w:pPr>
              <w:spacing w:after="160" w:line="259" w:lineRule="auto"/>
              <w:jc w:val="both"/>
              <w:rPr>
                <w:rFonts w:ascii="Times New Roman" w:eastAsiaTheme="minorHAnsi" w:hAnsi="Times New Roman"/>
                <w:kern w:val="2"/>
                <w:lang w:eastAsia="en-US"/>
                <w14:ligatures w14:val="standardContextual"/>
              </w:rPr>
            </w:pPr>
            <w:r w:rsidRPr="008F797B">
              <w:rPr>
                <w:rFonts w:ascii="Times New Roman" w:eastAsia="Times New Roman" w:hAnsi="Times New Roman"/>
                <w:color w:val="000000"/>
                <w:lang w:eastAsia="en-US"/>
              </w:rPr>
              <w:t>Song Y. et al, 2022</w:t>
            </w:r>
          </w:p>
        </w:tc>
        <w:tc>
          <w:tcPr>
            <w:tcW w:w="2034" w:type="dxa"/>
          </w:tcPr>
          <w:p w14:paraId="6BA5A42B" w14:textId="77777777" w:rsidR="008F797B" w:rsidRPr="008F797B" w:rsidRDefault="008F797B" w:rsidP="008F797B">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8F797B">
              <w:rPr>
                <w:rFonts w:ascii="Times New Roman" w:eastAsiaTheme="minorHAnsi" w:hAnsi="Times New Roman"/>
                <w:kern w:val="2"/>
                <w:lang w:eastAsia="en-US"/>
                <w14:ligatures w14:val="standardContextual"/>
              </w:rPr>
              <w:t xml:space="preserve">Non-cardiac surgery and non-neurology surgery </w:t>
            </w:r>
          </w:p>
        </w:tc>
        <w:tc>
          <w:tcPr>
            <w:tcW w:w="1376" w:type="dxa"/>
          </w:tcPr>
          <w:p w14:paraId="4C97EB86" w14:textId="77777777" w:rsidR="008F797B" w:rsidRPr="008F797B" w:rsidRDefault="008F797B" w:rsidP="008F797B">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8F797B">
              <w:rPr>
                <w:rFonts w:ascii="Times New Roman" w:eastAsiaTheme="minorHAnsi" w:hAnsi="Times New Roman"/>
                <w:kern w:val="2"/>
                <w:lang w:eastAsia="en-US"/>
                <w14:ligatures w14:val="standardContextual"/>
              </w:rPr>
              <w:t>DV</w:t>
            </w:r>
          </w:p>
        </w:tc>
        <w:tc>
          <w:tcPr>
            <w:tcW w:w="2268" w:type="dxa"/>
          </w:tcPr>
          <w:p w14:paraId="7B334EB7" w14:textId="77777777" w:rsidR="008F797B" w:rsidRPr="008F797B" w:rsidRDefault="008F797B" w:rsidP="008F797B">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8F797B">
              <w:rPr>
                <w:rFonts w:ascii="Times New Roman" w:eastAsiaTheme="minorHAnsi" w:hAnsi="Times New Roman"/>
                <w:kern w:val="2"/>
                <w:lang w:eastAsia="en-US"/>
                <w14:ligatures w14:val="standardContextual"/>
              </w:rPr>
              <w:t>1-7 days post-surgery</w:t>
            </w:r>
          </w:p>
        </w:tc>
        <w:tc>
          <w:tcPr>
            <w:tcW w:w="1847" w:type="dxa"/>
          </w:tcPr>
          <w:p w14:paraId="7A5FB6EA" w14:textId="77777777" w:rsidR="008F797B" w:rsidRPr="008F797B" w:rsidRDefault="008F797B" w:rsidP="008F797B">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8F797B">
              <w:rPr>
                <w:rFonts w:ascii="Times New Roman" w:eastAsiaTheme="minorHAnsi" w:hAnsi="Times New Roman"/>
                <w:kern w:val="2"/>
                <w:lang w:eastAsia="en-US"/>
                <w14:ligatures w14:val="standardContextual"/>
              </w:rPr>
              <w:t>Internal</w:t>
            </w:r>
          </w:p>
        </w:tc>
      </w:tr>
      <w:tr w:rsidR="008F797B" w:rsidRPr="008F797B" w14:paraId="0551DD0E" w14:textId="77777777" w:rsidTr="003A268D">
        <w:tc>
          <w:tcPr>
            <w:cnfStyle w:val="001000000000" w:firstRow="0" w:lastRow="0" w:firstColumn="1" w:lastColumn="0" w:oddVBand="0" w:evenVBand="0" w:oddHBand="0" w:evenHBand="0" w:firstRowFirstColumn="0" w:firstRowLastColumn="0" w:lastRowFirstColumn="0" w:lastRowLastColumn="0"/>
            <w:tcW w:w="1835" w:type="dxa"/>
          </w:tcPr>
          <w:p w14:paraId="28276A43" w14:textId="77777777" w:rsidR="008F797B" w:rsidRPr="008F797B" w:rsidRDefault="008F797B" w:rsidP="008F797B">
            <w:pPr>
              <w:spacing w:after="160" w:line="259" w:lineRule="auto"/>
              <w:jc w:val="both"/>
              <w:rPr>
                <w:rFonts w:ascii="Times New Roman" w:eastAsiaTheme="minorHAnsi" w:hAnsi="Times New Roman"/>
                <w:kern w:val="2"/>
                <w:lang w:eastAsia="en-US"/>
                <w14:ligatures w14:val="standardContextual"/>
              </w:rPr>
            </w:pPr>
            <w:r w:rsidRPr="008F797B">
              <w:rPr>
                <w:rFonts w:ascii="Times New Roman" w:eastAsia="Times New Roman" w:hAnsi="Times New Roman"/>
                <w:color w:val="000000"/>
                <w:lang w:eastAsia="en-US"/>
              </w:rPr>
              <w:t>Hu X. et al, 2021</w:t>
            </w:r>
          </w:p>
        </w:tc>
        <w:tc>
          <w:tcPr>
            <w:tcW w:w="2034" w:type="dxa"/>
          </w:tcPr>
          <w:p w14:paraId="0B2444D7" w14:textId="77777777" w:rsidR="008F797B" w:rsidRPr="008F797B" w:rsidRDefault="008F797B" w:rsidP="008F797B">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8F797B">
              <w:rPr>
                <w:rFonts w:ascii="Times New Roman" w:eastAsiaTheme="minorHAnsi" w:hAnsi="Times New Roman"/>
                <w:kern w:val="2"/>
                <w:lang w:eastAsia="en-US"/>
                <w14:ligatures w14:val="standardContextual"/>
              </w:rPr>
              <w:t>Major non-cardiac or non-neurological surgery</w:t>
            </w:r>
          </w:p>
        </w:tc>
        <w:tc>
          <w:tcPr>
            <w:tcW w:w="1376" w:type="dxa"/>
          </w:tcPr>
          <w:p w14:paraId="09719DF0" w14:textId="77777777" w:rsidR="008F797B" w:rsidRPr="008F797B" w:rsidRDefault="008F797B" w:rsidP="008F797B">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8F797B">
              <w:rPr>
                <w:rFonts w:ascii="Times New Roman" w:eastAsiaTheme="minorHAnsi" w:hAnsi="Times New Roman"/>
                <w:kern w:val="2"/>
                <w:lang w:eastAsia="en-US"/>
                <w14:ligatures w14:val="standardContextual"/>
              </w:rPr>
              <w:t>DV</w:t>
            </w:r>
          </w:p>
        </w:tc>
        <w:tc>
          <w:tcPr>
            <w:tcW w:w="2268" w:type="dxa"/>
          </w:tcPr>
          <w:p w14:paraId="66C4ABA5" w14:textId="77777777" w:rsidR="008F797B" w:rsidRPr="008F797B" w:rsidRDefault="008F797B" w:rsidP="008F797B">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8F797B">
              <w:rPr>
                <w:rFonts w:ascii="Times New Roman" w:eastAsiaTheme="minorHAnsi" w:hAnsi="Times New Roman"/>
                <w:kern w:val="2"/>
                <w:lang w:eastAsia="en-US"/>
                <w14:ligatures w14:val="standardContextual"/>
              </w:rPr>
              <w:t>2 hours post-surgery, then twice a day for 3 days</w:t>
            </w:r>
          </w:p>
        </w:tc>
        <w:tc>
          <w:tcPr>
            <w:tcW w:w="1847" w:type="dxa"/>
          </w:tcPr>
          <w:p w14:paraId="21F9C045" w14:textId="77777777" w:rsidR="008F797B" w:rsidRPr="008F797B" w:rsidRDefault="008F797B" w:rsidP="008F797B">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8F797B">
              <w:rPr>
                <w:rFonts w:ascii="Times New Roman" w:eastAsiaTheme="minorHAnsi" w:hAnsi="Times New Roman"/>
                <w:kern w:val="2"/>
                <w:lang w:eastAsia="en-US"/>
                <w14:ligatures w14:val="standardContextual"/>
              </w:rPr>
              <w:t>Internal</w:t>
            </w:r>
          </w:p>
        </w:tc>
      </w:tr>
      <w:tr w:rsidR="008F797B" w:rsidRPr="008F797B" w14:paraId="64A2E5B6" w14:textId="77777777" w:rsidTr="003A26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5" w:type="dxa"/>
          </w:tcPr>
          <w:p w14:paraId="309A083A" w14:textId="77777777" w:rsidR="008F797B" w:rsidRPr="008F797B" w:rsidRDefault="008F797B" w:rsidP="008F797B">
            <w:pPr>
              <w:spacing w:after="160" w:line="259" w:lineRule="auto"/>
              <w:jc w:val="both"/>
              <w:rPr>
                <w:rFonts w:ascii="Times New Roman" w:eastAsiaTheme="minorHAnsi" w:hAnsi="Times New Roman"/>
                <w:kern w:val="2"/>
                <w:lang w:eastAsia="en-US"/>
                <w14:ligatures w14:val="standardContextual"/>
              </w:rPr>
            </w:pPr>
            <w:r w:rsidRPr="008F797B">
              <w:rPr>
                <w:rFonts w:ascii="Times New Roman" w:eastAsia="Times New Roman" w:hAnsi="Times New Roman"/>
                <w:color w:val="000000"/>
                <w:lang w:eastAsia="en-US"/>
              </w:rPr>
              <w:t>Zhang Y. et al, 2022</w:t>
            </w:r>
          </w:p>
        </w:tc>
        <w:tc>
          <w:tcPr>
            <w:tcW w:w="2034" w:type="dxa"/>
          </w:tcPr>
          <w:p w14:paraId="203A5E02" w14:textId="77777777" w:rsidR="008F797B" w:rsidRPr="008F797B" w:rsidRDefault="008F797B" w:rsidP="008F797B">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8F797B">
              <w:rPr>
                <w:rFonts w:ascii="Times New Roman" w:eastAsiaTheme="minorHAnsi" w:hAnsi="Times New Roman"/>
                <w:kern w:val="2"/>
                <w:lang w:eastAsia="en-US"/>
                <w14:ligatures w14:val="standardContextual"/>
              </w:rPr>
              <w:t>Degenerative spinal surgery</w:t>
            </w:r>
          </w:p>
        </w:tc>
        <w:tc>
          <w:tcPr>
            <w:tcW w:w="1376" w:type="dxa"/>
          </w:tcPr>
          <w:p w14:paraId="7A352A65" w14:textId="77777777" w:rsidR="008F797B" w:rsidRPr="008F797B" w:rsidRDefault="008F797B" w:rsidP="008F797B">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8F797B">
              <w:rPr>
                <w:rFonts w:ascii="Times New Roman" w:eastAsiaTheme="minorHAnsi" w:hAnsi="Times New Roman"/>
                <w:kern w:val="2"/>
                <w:lang w:eastAsia="en-US"/>
                <w14:ligatures w14:val="standardContextual"/>
              </w:rPr>
              <w:t>DV</w:t>
            </w:r>
          </w:p>
        </w:tc>
        <w:tc>
          <w:tcPr>
            <w:tcW w:w="2268" w:type="dxa"/>
          </w:tcPr>
          <w:p w14:paraId="64A86351" w14:textId="77777777" w:rsidR="008F797B" w:rsidRPr="008F797B" w:rsidRDefault="008F797B" w:rsidP="008F797B">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8F797B">
              <w:rPr>
                <w:rFonts w:ascii="Times New Roman" w:eastAsiaTheme="minorHAnsi" w:hAnsi="Times New Roman"/>
                <w:kern w:val="2"/>
                <w:lang w:eastAsia="en-US"/>
                <w14:ligatures w14:val="standardContextual"/>
              </w:rPr>
              <w:t>1-5 days post-surgery</w:t>
            </w:r>
          </w:p>
        </w:tc>
        <w:tc>
          <w:tcPr>
            <w:tcW w:w="1847" w:type="dxa"/>
          </w:tcPr>
          <w:p w14:paraId="2AF719BB" w14:textId="77777777" w:rsidR="008F797B" w:rsidRPr="008F797B" w:rsidRDefault="008F797B" w:rsidP="008F797B">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8F797B">
              <w:rPr>
                <w:rFonts w:ascii="Times New Roman" w:eastAsiaTheme="minorHAnsi" w:hAnsi="Times New Roman"/>
                <w:kern w:val="2"/>
                <w:lang w:eastAsia="en-US"/>
                <w14:ligatures w14:val="standardContextual"/>
              </w:rPr>
              <w:t>Internal</w:t>
            </w:r>
          </w:p>
        </w:tc>
      </w:tr>
      <w:tr w:rsidR="008F797B" w:rsidRPr="008F797B" w14:paraId="3630F089" w14:textId="77777777" w:rsidTr="003A268D">
        <w:tc>
          <w:tcPr>
            <w:cnfStyle w:val="001000000000" w:firstRow="0" w:lastRow="0" w:firstColumn="1" w:lastColumn="0" w:oddVBand="0" w:evenVBand="0" w:oddHBand="0" w:evenHBand="0" w:firstRowFirstColumn="0" w:firstRowLastColumn="0" w:lastRowFirstColumn="0" w:lastRowLastColumn="0"/>
            <w:tcW w:w="1835" w:type="dxa"/>
          </w:tcPr>
          <w:p w14:paraId="58535B98" w14:textId="77777777" w:rsidR="008F797B" w:rsidRPr="008F797B" w:rsidRDefault="008F797B" w:rsidP="008F797B">
            <w:pPr>
              <w:spacing w:after="160" w:line="259" w:lineRule="auto"/>
              <w:jc w:val="both"/>
              <w:rPr>
                <w:rFonts w:ascii="Times New Roman" w:eastAsiaTheme="minorHAnsi" w:hAnsi="Times New Roman"/>
                <w:kern w:val="2"/>
                <w:lang w:eastAsia="en-US"/>
                <w14:ligatures w14:val="standardContextual"/>
              </w:rPr>
            </w:pPr>
            <w:r w:rsidRPr="008F797B">
              <w:rPr>
                <w:rFonts w:ascii="Times New Roman" w:eastAsia="Times New Roman" w:hAnsi="Times New Roman"/>
                <w:color w:val="000000"/>
                <w:lang w:eastAsia="en-US"/>
              </w:rPr>
              <w:t>Liu, Y. et al, 2023</w:t>
            </w:r>
          </w:p>
        </w:tc>
        <w:tc>
          <w:tcPr>
            <w:tcW w:w="2034" w:type="dxa"/>
          </w:tcPr>
          <w:p w14:paraId="10EDC651" w14:textId="77777777" w:rsidR="008F797B" w:rsidRPr="008F797B" w:rsidRDefault="008F797B" w:rsidP="008F797B">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8F797B">
              <w:rPr>
                <w:rFonts w:ascii="Times New Roman" w:eastAsiaTheme="minorHAnsi" w:hAnsi="Times New Roman"/>
                <w:kern w:val="2"/>
                <w:lang w:eastAsia="en-US"/>
                <w14:ligatures w14:val="standardContextual"/>
              </w:rPr>
              <w:t>Non-brain surgery</w:t>
            </w:r>
          </w:p>
        </w:tc>
        <w:tc>
          <w:tcPr>
            <w:tcW w:w="1376" w:type="dxa"/>
          </w:tcPr>
          <w:p w14:paraId="0CDDBAB7" w14:textId="77777777" w:rsidR="008F797B" w:rsidRPr="008F797B" w:rsidRDefault="008F797B" w:rsidP="008F797B">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8F797B">
              <w:rPr>
                <w:rFonts w:ascii="Times New Roman" w:eastAsiaTheme="minorHAnsi" w:hAnsi="Times New Roman"/>
                <w:kern w:val="2"/>
                <w:lang w:eastAsia="en-US"/>
                <w14:ligatures w14:val="standardContextual"/>
              </w:rPr>
              <w:t>DV</w:t>
            </w:r>
          </w:p>
        </w:tc>
        <w:tc>
          <w:tcPr>
            <w:tcW w:w="2268" w:type="dxa"/>
          </w:tcPr>
          <w:p w14:paraId="3150B52E" w14:textId="77777777" w:rsidR="008F797B" w:rsidRPr="008F797B" w:rsidRDefault="008F797B" w:rsidP="008F797B">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8F797B">
              <w:rPr>
                <w:rFonts w:ascii="Times New Roman" w:eastAsiaTheme="minorHAnsi" w:hAnsi="Times New Roman"/>
                <w:kern w:val="2"/>
                <w:lang w:eastAsia="en-US"/>
                <w14:ligatures w14:val="standardContextual"/>
              </w:rPr>
              <w:t>Not reported</w:t>
            </w:r>
          </w:p>
        </w:tc>
        <w:tc>
          <w:tcPr>
            <w:tcW w:w="1847" w:type="dxa"/>
          </w:tcPr>
          <w:p w14:paraId="0043701E" w14:textId="77777777" w:rsidR="008F797B" w:rsidRPr="008F797B" w:rsidRDefault="008F797B" w:rsidP="008F797B">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8F797B">
              <w:rPr>
                <w:rFonts w:ascii="Times New Roman" w:eastAsiaTheme="minorHAnsi" w:hAnsi="Times New Roman"/>
                <w:kern w:val="2"/>
                <w:lang w:eastAsia="en-US"/>
                <w14:ligatures w14:val="standardContextual"/>
              </w:rPr>
              <w:t>Internal and External</w:t>
            </w:r>
          </w:p>
        </w:tc>
      </w:tr>
      <w:tr w:rsidR="008F797B" w:rsidRPr="008F797B" w14:paraId="215A87AA" w14:textId="77777777" w:rsidTr="003A26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5" w:type="dxa"/>
          </w:tcPr>
          <w:p w14:paraId="0E88961C" w14:textId="77777777" w:rsidR="008F797B" w:rsidRPr="008F797B" w:rsidRDefault="008F797B" w:rsidP="008F797B">
            <w:pPr>
              <w:spacing w:after="160" w:line="259" w:lineRule="auto"/>
              <w:jc w:val="both"/>
              <w:rPr>
                <w:rFonts w:ascii="Times New Roman" w:eastAsiaTheme="minorHAnsi" w:hAnsi="Times New Roman"/>
                <w:kern w:val="2"/>
                <w:lang w:eastAsia="en-US"/>
                <w14:ligatures w14:val="standardContextual"/>
              </w:rPr>
            </w:pPr>
            <w:r w:rsidRPr="008F797B">
              <w:rPr>
                <w:rFonts w:ascii="Times New Roman" w:eastAsia="Times New Roman" w:hAnsi="Times New Roman"/>
                <w:color w:val="000000"/>
                <w:lang w:eastAsia="en-US"/>
              </w:rPr>
              <w:t>Chen, J. et al, 2022</w:t>
            </w:r>
          </w:p>
        </w:tc>
        <w:tc>
          <w:tcPr>
            <w:tcW w:w="2034" w:type="dxa"/>
          </w:tcPr>
          <w:p w14:paraId="28F365F9" w14:textId="77777777" w:rsidR="008F797B" w:rsidRPr="008F797B" w:rsidRDefault="008F797B" w:rsidP="008F797B">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8F797B">
              <w:rPr>
                <w:rFonts w:ascii="Times New Roman" w:eastAsiaTheme="minorHAnsi" w:hAnsi="Times New Roman"/>
                <w:kern w:val="2"/>
                <w:lang w:eastAsia="en-US"/>
                <w14:ligatures w14:val="standardContextual"/>
              </w:rPr>
              <w:t>Laparoscopic gastrectomy</w:t>
            </w:r>
          </w:p>
        </w:tc>
        <w:tc>
          <w:tcPr>
            <w:tcW w:w="1376" w:type="dxa"/>
          </w:tcPr>
          <w:p w14:paraId="1C9BC4F8" w14:textId="77777777" w:rsidR="008F797B" w:rsidRPr="008F797B" w:rsidRDefault="008F797B" w:rsidP="008F797B">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8F797B">
              <w:rPr>
                <w:rFonts w:ascii="Times New Roman" w:eastAsiaTheme="minorHAnsi" w:hAnsi="Times New Roman"/>
                <w:kern w:val="2"/>
                <w:lang w:eastAsia="en-US"/>
                <w14:ligatures w14:val="standardContextual"/>
              </w:rPr>
              <w:t>DV</w:t>
            </w:r>
          </w:p>
        </w:tc>
        <w:tc>
          <w:tcPr>
            <w:tcW w:w="2268" w:type="dxa"/>
          </w:tcPr>
          <w:p w14:paraId="1EE02AD3" w14:textId="77777777" w:rsidR="008F797B" w:rsidRPr="008F797B" w:rsidRDefault="008F797B" w:rsidP="008F797B">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8F797B">
              <w:rPr>
                <w:rFonts w:ascii="Times New Roman" w:eastAsiaTheme="minorHAnsi" w:hAnsi="Times New Roman"/>
                <w:kern w:val="2"/>
                <w:lang w:eastAsia="en-US"/>
                <w14:ligatures w14:val="standardContextual"/>
              </w:rPr>
              <w:t>7 days post-surgery</w:t>
            </w:r>
          </w:p>
        </w:tc>
        <w:tc>
          <w:tcPr>
            <w:tcW w:w="1847" w:type="dxa"/>
          </w:tcPr>
          <w:p w14:paraId="18D79421" w14:textId="77777777" w:rsidR="008F797B" w:rsidRPr="008F797B" w:rsidRDefault="008F797B" w:rsidP="008F797B">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8F797B">
              <w:rPr>
                <w:rFonts w:ascii="Times New Roman" w:eastAsiaTheme="minorHAnsi" w:hAnsi="Times New Roman"/>
                <w:kern w:val="2"/>
                <w:lang w:eastAsia="en-US"/>
                <w14:ligatures w14:val="standardContextual"/>
              </w:rPr>
              <w:t>Internal</w:t>
            </w:r>
          </w:p>
        </w:tc>
      </w:tr>
      <w:tr w:rsidR="008F797B" w:rsidRPr="008F797B" w14:paraId="43D5831D" w14:textId="77777777" w:rsidTr="003A268D">
        <w:tc>
          <w:tcPr>
            <w:cnfStyle w:val="001000000000" w:firstRow="0" w:lastRow="0" w:firstColumn="1" w:lastColumn="0" w:oddVBand="0" w:evenVBand="0" w:oddHBand="0" w:evenHBand="0" w:firstRowFirstColumn="0" w:firstRowLastColumn="0" w:lastRowFirstColumn="0" w:lastRowLastColumn="0"/>
            <w:tcW w:w="1835" w:type="dxa"/>
          </w:tcPr>
          <w:p w14:paraId="291337C9" w14:textId="77777777" w:rsidR="008F797B" w:rsidRPr="008F797B" w:rsidRDefault="008F797B" w:rsidP="008F797B">
            <w:pPr>
              <w:spacing w:after="160" w:line="259" w:lineRule="auto"/>
              <w:jc w:val="both"/>
              <w:rPr>
                <w:rFonts w:ascii="Times New Roman" w:eastAsiaTheme="minorHAnsi" w:hAnsi="Times New Roman"/>
                <w:kern w:val="2"/>
                <w:lang w:eastAsia="en-US"/>
                <w14:ligatures w14:val="standardContextual"/>
              </w:rPr>
            </w:pPr>
            <w:r w:rsidRPr="008F797B">
              <w:rPr>
                <w:rFonts w:ascii="Times New Roman" w:eastAsia="Times New Roman" w:hAnsi="Times New Roman"/>
                <w:color w:val="000000"/>
                <w:lang w:eastAsia="en-US"/>
              </w:rPr>
              <w:t>Chen, Y. et al, 2022</w:t>
            </w:r>
          </w:p>
        </w:tc>
        <w:tc>
          <w:tcPr>
            <w:tcW w:w="2034" w:type="dxa"/>
          </w:tcPr>
          <w:p w14:paraId="614FE83E" w14:textId="77777777" w:rsidR="008F797B" w:rsidRPr="008F797B" w:rsidRDefault="008F797B" w:rsidP="008F797B">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8F797B">
              <w:rPr>
                <w:rFonts w:ascii="Times New Roman" w:eastAsiaTheme="minorHAnsi" w:hAnsi="Times New Roman"/>
                <w:kern w:val="2"/>
                <w:lang w:eastAsia="en-US"/>
                <w14:ligatures w14:val="standardContextual"/>
              </w:rPr>
              <w:t>Major limb amputation</w:t>
            </w:r>
          </w:p>
        </w:tc>
        <w:tc>
          <w:tcPr>
            <w:tcW w:w="1376" w:type="dxa"/>
          </w:tcPr>
          <w:p w14:paraId="518D84A3" w14:textId="77777777" w:rsidR="008F797B" w:rsidRPr="008F797B" w:rsidRDefault="008F797B" w:rsidP="008F797B">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8F797B">
              <w:rPr>
                <w:rFonts w:ascii="Times New Roman" w:eastAsiaTheme="minorHAnsi" w:hAnsi="Times New Roman"/>
                <w:kern w:val="2"/>
                <w:lang w:eastAsia="en-US"/>
                <w14:ligatures w14:val="standardContextual"/>
              </w:rPr>
              <w:t>DV</w:t>
            </w:r>
          </w:p>
        </w:tc>
        <w:tc>
          <w:tcPr>
            <w:tcW w:w="2268" w:type="dxa"/>
          </w:tcPr>
          <w:p w14:paraId="3D26538E" w14:textId="77777777" w:rsidR="008F797B" w:rsidRPr="008F797B" w:rsidRDefault="008F797B" w:rsidP="008F797B">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8F797B">
              <w:rPr>
                <w:rFonts w:ascii="Times New Roman" w:eastAsiaTheme="minorHAnsi" w:hAnsi="Times New Roman"/>
                <w:kern w:val="2"/>
                <w:lang w:eastAsia="en-US"/>
                <w14:ligatures w14:val="standardContextual"/>
              </w:rPr>
              <w:t>Postoperatively on a daily basis</w:t>
            </w:r>
          </w:p>
        </w:tc>
        <w:tc>
          <w:tcPr>
            <w:tcW w:w="1847" w:type="dxa"/>
          </w:tcPr>
          <w:p w14:paraId="02604F79" w14:textId="77777777" w:rsidR="008F797B" w:rsidRPr="008F797B" w:rsidRDefault="008F797B" w:rsidP="008F797B">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8F797B">
              <w:rPr>
                <w:rFonts w:ascii="Times New Roman" w:eastAsiaTheme="minorHAnsi" w:hAnsi="Times New Roman"/>
                <w:kern w:val="2"/>
                <w:lang w:eastAsia="en-US"/>
                <w14:ligatures w14:val="standardContextual"/>
              </w:rPr>
              <w:t>Internal</w:t>
            </w:r>
          </w:p>
        </w:tc>
      </w:tr>
      <w:tr w:rsidR="008F797B" w:rsidRPr="008F797B" w14:paraId="739FD69A" w14:textId="77777777" w:rsidTr="003A26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5" w:type="dxa"/>
            <w:tcBorders>
              <w:bottom w:val="nil"/>
            </w:tcBorders>
          </w:tcPr>
          <w:p w14:paraId="7113C52E" w14:textId="77777777" w:rsidR="008F797B" w:rsidRPr="008F797B" w:rsidRDefault="008F797B" w:rsidP="008F797B">
            <w:pPr>
              <w:spacing w:after="160" w:line="259" w:lineRule="auto"/>
              <w:jc w:val="both"/>
              <w:rPr>
                <w:rFonts w:ascii="Times New Roman" w:eastAsiaTheme="minorHAnsi" w:hAnsi="Times New Roman"/>
                <w:kern w:val="2"/>
                <w:lang w:eastAsia="en-US"/>
                <w14:ligatures w14:val="standardContextual"/>
              </w:rPr>
            </w:pPr>
            <w:r w:rsidRPr="008F797B">
              <w:rPr>
                <w:rFonts w:ascii="Times New Roman" w:eastAsia="Times New Roman" w:hAnsi="Times New Roman"/>
                <w:color w:val="000000"/>
                <w:lang w:eastAsia="en-US"/>
              </w:rPr>
              <w:t>Chen, D. et al, 2023</w:t>
            </w:r>
          </w:p>
        </w:tc>
        <w:tc>
          <w:tcPr>
            <w:tcW w:w="2034" w:type="dxa"/>
            <w:tcBorders>
              <w:bottom w:val="nil"/>
            </w:tcBorders>
          </w:tcPr>
          <w:p w14:paraId="1E8057CB" w14:textId="77777777" w:rsidR="008F797B" w:rsidRPr="008F797B" w:rsidRDefault="008F797B" w:rsidP="008F797B">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8F797B">
              <w:rPr>
                <w:rFonts w:ascii="Times New Roman" w:eastAsiaTheme="minorHAnsi" w:hAnsi="Times New Roman"/>
                <w:kern w:val="2"/>
                <w:lang w:eastAsia="en-US"/>
                <w14:ligatures w14:val="standardContextual"/>
              </w:rPr>
              <w:t>Hip arthroplasty.</w:t>
            </w:r>
          </w:p>
        </w:tc>
        <w:tc>
          <w:tcPr>
            <w:tcW w:w="1376" w:type="dxa"/>
            <w:tcBorders>
              <w:bottom w:val="nil"/>
            </w:tcBorders>
          </w:tcPr>
          <w:p w14:paraId="3CB4D7BE" w14:textId="77777777" w:rsidR="008F797B" w:rsidRPr="008F797B" w:rsidRDefault="008F797B" w:rsidP="008F797B">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8F797B">
              <w:rPr>
                <w:rFonts w:ascii="Times New Roman" w:eastAsiaTheme="minorHAnsi" w:hAnsi="Times New Roman"/>
                <w:kern w:val="2"/>
                <w:lang w:eastAsia="en-US"/>
                <w14:ligatures w14:val="standardContextual"/>
              </w:rPr>
              <w:t>DV</w:t>
            </w:r>
          </w:p>
        </w:tc>
        <w:tc>
          <w:tcPr>
            <w:tcW w:w="2268" w:type="dxa"/>
            <w:tcBorders>
              <w:bottom w:val="nil"/>
            </w:tcBorders>
          </w:tcPr>
          <w:p w14:paraId="00C57B6E" w14:textId="77777777" w:rsidR="008F797B" w:rsidRPr="008F797B" w:rsidRDefault="008F797B" w:rsidP="008F797B">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8F797B">
              <w:rPr>
                <w:rFonts w:ascii="Times New Roman" w:eastAsiaTheme="minorHAnsi" w:hAnsi="Times New Roman"/>
                <w:kern w:val="2"/>
                <w:lang w:eastAsia="en-US"/>
                <w14:ligatures w14:val="standardContextual"/>
              </w:rPr>
              <w:t>Previous day and the 1-3 postoperative days</w:t>
            </w:r>
          </w:p>
        </w:tc>
        <w:tc>
          <w:tcPr>
            <w:tcW w:w="1847" w:type="dxa"/>
            <w:tcBorders>
              <w:bottom w:val="nil"/>
            </w:tcBorders>
          </w:tcPr>
          <w:p w14:paraId="331CD18D" w14:textId="77777777" w:rsidR="008F797B" w:rsidRPr="008F797B" w:rsidRDefault="008F797B" w:rsidP="008F797B">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8F797B">
              <w:rPr>
                <w:rFonts w:ascii="Times New Roman" w:eastAsiaTheme="minorHAnsi" w:hAnsi="Times New Roman"/>
                <w:kern w:val="2"/>
                <w:lang w:eastAsia="en-US"/>
                <w14:ligatures w14:val="standardContextual"/>
              </w:rPr>
              <w:t>Internal</w:t>
            </w:r>
          </w:p>
        </w:tc>
      </w:tr>
      <w:tr w:rsidR="008F797B" w:rsidRPr="008F797B" w14:paraId="20AD2F04" w14:textId="77777777" w:rsidTr="003A268D">
        <w:tc>
          <w:tcPr>
            <w:cnfStyle w:val="001000000000" w:firstRow="0" w:lastRow="0" w:firstColumn="1" w:lastColumn="0" w:oddVBand="0" w:evenVBand="0" w:oddHBand="0" w:evenHBand="0" w:firstRowFirstColumn="0" w:firstRowLastColumn="0" w:lastRowFirstColumn="0" w:lastRowLastColumn="0"/>
            <w:tcW w:w="1835" w:type="dxa"/>
            <w:tcBorders>
              <w:top w:val="nil"/>
              <w:bottom w:val="single" w:sz="12" w:space="0" w:color="auto"/>
            </w:tcBorders>
          </w:tcPr>
          <w:p w14:paraId="55F8C91E" w14:textId="77777777" w:rsidR="008F797B" w:rsidRPr="008F797B" w:rsidRDefault="008F797B" w:rsidP="008F797B">
            <w:pPr>
              <w:spacing w:after="160" w:line="259" w:lineRule="auto"/>
              <w:jc w:val="both"/>
              <w:rPr>
                <w:rFonts w:ascii="Times New Roman" w:eastAsiaTheme="minorHAnsi" w:hAnsi="Times New Roman"/>
                <w:kern w:val="2"/>
                <w:lang w:eastAsia="en-US"/>
                <w14:ligatures w14:val="standardContextual"/>
              </w:rPr>
            </w:pPr>
            <w:r w:rsidRPr="008F797B">
              <w:rPr>
                <w:rFonts w:ascii="Times New Roman" w:eastAsia="Times New Roman" w:hAnsi="Times New Roman"/>
                <w:color w:val="000000"/>
                <w:lang w:eastAsia="en-US"/>
              </w:rPr>
              <w:t>Matsumoto, K. et al, 2023</w:t>
            </w:r>
          </w:p>
        </w:tc>
        <w:tc>
          <w:tcPr>
            <w:tcW w:w="2034" w:type="dxa"/>
            <w:tcBorders>
              <w:top w:val="nil"/>
              <w:bottom w:val="single" w:sz="12" w:space="0" w:color="auto"/>
            </w:tcBorders>
          </w:tcPr>
          <w:p w14:paraId="44486D2C" w14:textId="77777777" w:rsidR="008F797B" w:rsidRPr="008F797B" w:rsidRDefault="008F797B" w:rsidP="008F797B">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8F797B">
              <w:rPr>
                <w:rFonts w:ascii="Times New Roman" w:eastAsiaTheme="minorHAnsi" w:hAnsi="Times New Roman"/>
                <w:kern w:val="2"/>
                <w:lang w:eastAsia="en-US"/>
                <w14:ligatures w14:val="standardContextual"/>
              </w:rPr>
              <w:t xml:space="preserve">General surgery </w:t>
            </w:r>
          </w:p>
        </w:tc>
        <w:tc>
          <w:tcPr>
            <w:tcW w:w="1376" w:type="dxa"/>
            <w:tcBorders>
              <w:top w:val="nil"/>
              <w:bottom w:val="single" w:sz="12" w:space="0" w:color="auto"/>
            </w:tcBorders>
          </w:tcPr>
          <w:p w14:paraId="299112B1" w14:textId="77777777" w:rsidR="008F797B" w:rsidRPr="008F797B" w:rsidRDefault="008F797B" w:rsidP="008F797B">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8F797B">
              <w:rPr>
                <w:rFonts w:ascii="Times New Roman" w:eastAsiaTheme="minorHAnsi" w:hAnsi="Times New Roman"/>
                <w:kern w:val="2"/>
                <w:lang w:eastAsia="en-US"/>
                <w14:ligatures w14:val="standardContextual"/>
              </w:rPr>
              <w:t>DV</w:t>
            </w:r>
          </w:p>
        </w:tc>
        <w:tc>
          <w:tcPr>
            <w:tcW w:w="2268" w:type="dxa"/>
            <w:tcBorders>
              <w:top w:val="nil"/>
              <w:bottom w:val="single" w:sz="12" w:space="0" w:color="auto"/>
            </w:tcBorders>
          </w:tcPr>
          <w:p w14:paraId="3D86E4BF" w14:textId="77777777" w:rsidR="008F797B" w:rsidRPr="008F797B" w:rsidRDefault="008F797B" w:rsidP="008F797B">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8F797B">
              <w:rPr>
                <w:rFonts w:ascii="Times New Roman" w:eastAsiaTheme="minorHAnsi" w:hAnsi="Times New Roman"/>
                <w:kern w:val="2"/>
                <w:lang w:eastAsia="en-US"/>
                <w14:ligatures w14:val="standardContextual"/>
              </w:rPr>
              <w:t>First day after surgery</w:t>
            </w:r>
          </w:p>
        </w:tc>
        <w:tc>
          <w:tcPr>
            <w:tcW w:w="1847" w:type="dxa"/>
            <w:tcBorders>
              <w:top w:val="nil"/>
              <w:bottom w:val="single" w:sz="12" w:space="0" w:color="auto"/>
            </w:tcBorders>
          </w:tcPr>
          <w:p w14:paraId="7B02420F" w14:textId="77777777" w:rsidR="008F797B" w:rsidRPr="008F797B" w:rsidRDefault="008F797B" w:rsidP="008F797B">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8F797B">
              <w:rPr>
                <w:rFonts w:ascii="Times New Roman" w:eastAsiaTheme="minorHAnsi" w:hAnsi="Times New Roman"/>
                <w:kern w:val="2"/>
                <w:lang w:eastAsia="en-US"/>
                <w14:ligatures w14:val="standardContextual"/>
              </w:rPr>
              <w:t>Internal</w:t>
            </w:r>
          </w:p>
        </w:tc>
      </w:tr>
    </w:tbl>
    <w:p w14:paraId="2F0BF8F3" w14:textId="2EF15FC8" w:rsidR="008F797B" w:rsidRDefault="008F797B" w:rsidP="009047EE">
      <w:pPr>
        <w:spacing w:after="160" w:line="259" w:lineRule="auto"/>
        <w:jc w:val="both"/>
        <w:rPr>
          <w:rFonts w:ascii="Times New Roman" w:eastAsiaTheme="minorHAnsi" w:hAnsi="Times New Roman"/>
          <w:kern w:val="2"/>
          <w:sz w:val="24"/>
          <w:szCs w:val="24"/>
          <w:vertAlign w:val="subscript"/>
          <w:lang w:eastAsia="en-US"/>
          <w14:ligatures w14:val="standardContextual"/>
        </w:rPr>
      </w:pPr>
      <w:r w:rsidRPr="008F797B">
        <w:rPr>
          <w:rFonts w:ascii="Times New Roman" w:eastAsiaTheme="minorHAnsi" w:hAnsi="Times New Roman"/>
          <w:kern w:val="2"/>
          <w:sz w:val="24"/>
          <w:szCs w:val="24"/>
          <w:vertAlign w:val="subscript"/>
          <w:lang w:eastAsia="en-US"/>
          <w14:ligatures w14:val="standardContextual"/>
        </w:rPr>
        <w:t>DV: Development with Validation; POD: Postoperative Delirium</w:t>
      </w:r>
    </w:p>
    <w:p w14:paraId="737DF8B8" w14:textId="77777777" w:rsidR="009E5809" w:rsidRDefault="009E5809" w:rsidP="009047EE">
      <w:pPr>
        <w:spacing w:after="160" w:line="259" w:lineRule="auto"/>
        <w:jc w:val="both"/>
        <w:rPr>
          <w:rFonts w:ascii="Times New Roman" w:eastAsiaTheme="minorHAnsi" w:hAnsi="Times New Roman"/>
          <w:kern w:val="2"/>
          <w:sz w:val="24"/>
          <w:szCs w:val="24"/>
          <w:vertAlign w:val="subscript"/>
          <w:lang w:eastAsia="en-US"/>
          <w14:ligatures w14:val="standardContextual"/>
        </w:rPr>
      </w:pPr>
    </w:p>
    <w:p w14:paraId="41A4B45E" w14:textId="77777777" w:rsidR="009E5809" w:rsidRPr="009E5809" w:rsidRDefault="009E5809" w:rsidP="009E5809">
      <w:pPr>
        <w:spacing w:after="160" w:line="259" w:lineRule="auto"/>
        <w:jc w:val="both"/>
        <w:rPr>
          <w:rFonts w:ascii="Times New Roman" w:eastAsiaTheme="minorHAnsi" w:hAnsi="Times New Roman"/>
          <w:kern w:val="2"/>
          <w:sz w:val="24"/>
          <w:szCs w:val="24"/>
          <w:lang w:eastAsia="en-US"/>
          <w14:ligatures w14:val="standardContextual"/>
        </w:rPr>
      </w:pPr>
      <w:r w:rsidRPr="009E5809">
        <w:rPr>
          <w:rFonts w:ascii="Times New Roman" w:eastAsiaTheme="minorHAnsi" w:hAnsi="Times New Roman"/>
          <w:b/>
          <w:bCs/>
          <w:kern w:val="2"/>
          <w:sz w:val="24"/>
          <w:szCs w:val="24"/>
          <w:lang w:eastAsia="en-US"/>
          <w14:ligatures w14:val="standardContextual"/>
        </w:rPr>
        <w:t xml:space="preserve">Table 3 </w:t>
      </w:r>
      <w:r w:rsidRPr="009E5809">
        <w:rPr>
          <w:rFonts w:ascii="Times New Roman" w:eastAsiaTheme="minorHAnsi" w:hAnsi="Times New Roman"/>
          <w:kern w:val="2"/>
          <w:sz w:val="24"/>
          <w:szCs w:val="24"/>
          <w:lang w:eastAsia="en-US"/>
          <w14:ligatures w14:val="standardContextual"/>
        </w:rPr>
        <w:t xml:space="preserve">Predictors of Included Studies.  </w:t>
      </w:r>
    </w:p>
    <w:tbl>
      <w:tblPr>
        <w:tblStyle w:val="ListTable6Colourful1"/>
        <w:tblW w:w="9579" w:type="dxa"/>
        <w:tblLook w:val="04A0" w:firstRow="1" w:lastRow="0" w:firstColumn="1" w:lastColumn="0" w:noHBand="0" w:noVBand="1"/>
      </w:tblPr>
      <w:tblGrid>
        <w:gridCol w:w="1304"/>
        <w:gridCol w:w="583"/>
        <w:gridCol w:w="1613"/>
        <w:gridCol w:w="1078"/>
        <w:gridCol w:w="1781"/>
        <w:gridCol w:w="746"/>
        <w:gridCol w:w="2474"/>
      </w:tblGrid>
      <w:tr w:rsidR="009E5809" w:rsidRPr="009E5809" w14:paraId="04981117" w14:textId="77777777" w:rsidTr="003A26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4" w:type="dxa"/>
            <w:tcBorders>
              <w:top w:val="single" w:sz="12" w:space="0" w:color="auto"/>
              <w:bottom w:val="single" w:sz="12" w:space="0" w:color="auto"/>
            </w:tcBorders>
          </w:tcPr>
          <w:p w14:paraId="66A85BDA" w14:textId="77777777" w:rsidR="009E5809" w:rsidRPr="009E5809" w:rsidRDefault="009E5809" w:rsidP="009E5809">
            <w:pPr>
              <w:spacing w:after="160" w:line="259" w:lineRule="auto"/>
              <w:rPr>
                <w:rFonts w:asciiTheme="majorBidi" w:eastAsiaTheme="minorHAnsi" w:hAnsiTheme="majorBidi" w:cstheme="majorBidi"/>
                <w:kern w:val="2"/>
                <w:lang w:eastAsia="en-US"/>
                <w14:ligatures w14:val="standardContextual"/>
              </w:rPr>
            </w:pPr>
            <w:r w:rsidRPr="009E5809">
              <w:rPr>
                <w:rFonts w:asciiTheme="majorBidi" w:eastAsiaTheme="minorHAnsi" w:hAnsiTheme="majorBidi" w:cstheme="majorBidi"/>
                <w:kern w:val="2"/>
                <w:lang w:eastAsia="en-US"/>
                <w14:ligatures w14:val="standardContextual"/>
              </w:rPr>
              <w:t>References</w:t>
            </w:r>
          </w:p>
        </w:tc>
        <w:tc>
          <w:tcPr>
            <w:tcW w:w="583" w:type="dxa"/>
            <w:tcBorders>
              <w:top w:val="single" w:sz="12" w:space="0" w:color="auto"/>
              <w:bottom w:val="single" w:sz="12" w:space="0" w:color="auto"/>
            </w:tcBorders>
          </w:tcPr>
          <w:p w14:paraId="63D8B500" w14:textId="77777777" w:rsidR="009E5809" w:rsidRPr="009E5809" w:rsidRDefault="009E5809" w:rsidP="009E5809">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heme="majorBidi" w:eastAsiaTheme="minorHAnsi" w:hAnsiTheme="majorBidi" w:cstheme="majorBidi"/>
                <w:kern w:val="2"/>
                <w:lang w:eastAsia="en-US"/>
                <w14:ligatures w14:val="standardContextual"/>
              </w:rPr>
            </w:pPr>
            <w:r w:rsidRPr="009E5809">
              <w:rPr>
                <w:rFonts w:asciiTheme="majorBidi" w:eastAsiaTheme="minorHAnsi" w:hAnsiTheme="majorBidi" w:cstheme="majorBidi"/>
                <w:kern w:val="2"/>
                <w:lang w:eastAsia="en-US"/>
                <w14:ligatures w14:val="standardContextual"/>
              </w:rPr>
              <w:t>Age</w:t>
            </w:r>
          </w:p>
        </w:tc>
        <w:tc>
          <w:tcPr>
            <w:tcW w:w="1613" w:type="dxa"/>
            <w:tcBorders>
              <w:top w:val="single" w:sz="12" w:space="0" w:color="auto"/>
              <w:bottom w:val="single" w:sz="12" w:space="0" w:color="auto"/>
            </w:tcBorders>
          </w:tcPr>
          <w:p w14:paraId="0BA4B60B" w14:textId="77777777" w:rsidR="009E5809" w:rsidRPr="009E5809" w:rsidRDefault="009E5809" w:rsidP="009E5809">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heme="majorBidi" w:eastAsiaTheme="minorHAnsi" w:hAnsiTheme="majorBidi" w:cstheme="majorBidi"/>
                <w:kern w:val="2"/>
                <w:lang w:eastAsia="en-US"/>
                <w14:ligatures w14:val="standardContextual"/>
              </w:rPr>
            </w:pPr>
            <w:r w:rsidRPr="009E5809">
              <w:rPr>
                <w:rFonts w:asciiTheme="majorBidi" w:eastAsiaTheme="minorHAnsi" w:hAnsiTheme="majorBidi" w:cstheme="majorBidi"/>
                <w:kern w:val="2"/>
                <w:lang w:eastAsia="en-US"/>
                <w14:ligatures w14:val="standardContextual"/>
              </w:rPr>
              <w:t xml:space="preserve">Intraoperative Blood Loss </w:t>
            </w:r>
          </w:p>
        </w:tc>
        <w:tc>
          <w:tcPr>
            <w:tcW w:w="1078" w:type="dxa"/>
            <w:tcBorders>
              <w:top w:val="single" w:sz="12" w:space="0" w:color="auto"/>
              <w:bottom w:val="single" w:sz="12" w:space="0" w:color="auto"/>
            </w:tcBorders>
          </w:tcPr>
          <w:p w14:paraId="48E86CD5" w14:textId="77777777" w:rsidR="009E5809" w:rsidRPr="009E5809" w:rsidRDefault="009E5809" w:rsidP="009E5809">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heme="majorBidi" w:eastAsiaTheme="minorHAnsi" w:hAnsiTheme="majorBidi" w:cstheme="majorBidi"/>
                <w:kern w:val="2"/>
                <w:lang w:eastAsia="en-US"/>
                <w14:ligatures w14:val="standardContextual"/>
              </w:rPr>
            </w:pPr>
            <w:r w:rsidRPr="009E5809">
              <w:rPr>
                <w:rFonts w:asciiTheme="majorBidi" w:eastAsiaTheme="minorHAnsi" w:hAnsiTheme="majorBidi" w:cstheme="majorBidi"/>
                <w:kern w:val="2"/>
                <w:lang w:eastAsia="en-US"/>
                <w14:ligatures w14:val="standardContextual"/>
              </w:rPr>
              <w:t xml:space="preserve">Albumin </w:t>
            </w:r>
          </w:p>
        </w:tc>
        <w:tc>
          <w:tcPr>
            <w:tcW w:w="1781" w:type="dxa"/>
            <w:tcBorders>
              <w:top w:val="single" w:sz="12" w:space="0" w:color="auto"/>
              <w:bottom w:val="single" w:sz="12" w:space="0" w:color="auto"/>
            </w:tcBorders>
          </w:tcPr>
          <w:p w14:paraId="17A400FF" w14:textId="77777777" w:rsidR="009E5809" w:rsidRPr="009E5809" w:rsidRDefault="009E5809" w:rsidP="009E5809">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heme="majorBidi" w:eastAsiaTheme="minorHAnsi" w:hAnsiTheme="majorBidi" w:cstheme="majorBidi"/>
                <w:kern w:val="2"/>
                <w:lang w:eastAsia="en-US"/>
                <w14:ligatures w14:val="standardContextual"/>
              </w:rPr>
            </w:pPr>
            <w:r w:rsidRPr="009E5809">
              <w:rPr>
                <w:rFonts w:asciiTheme="majorBidi" w:eastAsiaTheme="minorHAnsi" w:hAnsiTheme="majorBidi" w:cstheme="majorBidi"/>
                <w:kern w:val="2"/>
                <w:lang w:eastAsia="en-US"/>
                <w14:ligatures w14:val="standardContextual"/>
              </w:rPr>
              <w:t xml:space="preserve">Anesthesia Duration </w:t>
            </w:r>
          </w:p>
        </w:tc>
        <w:tc>
          <w:tcPr>
            <w:tcW w:w="746" w:type="dxa"/>
            <w:tcBorders>
              <w:top w:val="single" w:sz="12" w:space="0" w:color="auto"/>
              <w:bottom w:val="single" w:sz="12" w:space="0" w:color="auto"/>
            </w:tcBorders>
          </w:tcPr>
          <w:p w14:paraId="09C6F368" w14:textId="77777777" w:rsidR="009E5809" w:rsidRPr="009E5809" w:rsidRDefault="009E5809" w:rsidP="009E5809">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heme="majorBidi" w:eastAsiaTheme="minorHAnsi" w:hAnsiTheme="majorBidi" w:cstheme="majorBidi"/>
                <w:kern w:val="2"/>
                <w:lang w:eastAsia="en-US"/>
                <w14:ligatures w14:val="standardContextual"/>
              </w:rPr>
            </w:pPr>
            <w:r w:rsidRPr="009E5809">
              <w:rPr>
                <w:rFonts w:asciiTheme="majorBidi" w:eastAsiaTheme="minorHAnsi" w:hAnsiTheme="majorBidi" w:cstheme="majorBidi"/>
                <w:kern w:val="2"/>
                <w:lang w:eastAsia="en-US"/>
                <w14:ligatures w14:val="standardContextual"/>
              </w:rPr>
              <w:t xml:space="preserve">ICU Stay </w:t>
            </w:r>
          </w:p>
        </w:tc>
        <w:tc>
          <w:tcPr>
            <w:tcW w:w="2474" w:type="dxa"/>
            <w:tcBorders>
              <w:top w:val="single" w:sz="12" w:space="0" w:color="auto"/>
              <w:bottom w:val="single" w:sz="12" w:space="0" w:color="auto"/>
            </w:tcBorders>
          </w:tcPr>
          <w:p w14:paraId="30749C2C" w14:textId="77777777" w:rsidR="009E5809" w:rsidRPr="009E5809" w:rsidRDefault="009E5809" w:rsidP="009E5809">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heme="majorBidi" w:eastAsiaTheme="minorHAnsi" w:hAnsiTheme="majorBidi" w:cstheme="majorBidi"/>
                <w:kern w:val="2"/>
                <w:lang w:eastAsia="en-US"/>
                <w14:ligatures w14:val="standardContextual"/>
              </w:rPr>
            </w:pPr>
            <w:r w:rsidRPr="009E5809">
              <w:rPr>
                <w:rFonts w:asciiTheme="majorBidi" w:eastAsiaTheme="minorHAnsi" w:hAnsiTheme="majorBidi" w:cstheme="majorBidi"/>
                <w:kern w:val="2"/>
                <w:lang w:eastAsia="en-US"/>
                <w14:ligatures w14:val="standardContextual"/>
              </w:rPr>
              <w:t xml:space="preserve">Other Risk Factors </w:t>
            </w:r>
          </w:p>
        </w:tc>
      </w:tr>
      <w:tr w:rsidR="009E5809" w:rsidRPr="009E5809" w14:paraId="6889F47E" w14:textId="77777777" w:rsidTr="003A26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4" w:type="dxa"/>
            <w:tcBorders>
              <w:top w:val="single" w:sz="12" w:space="0" w:color="auto"/>
            </w:tcBorders>
          </w:tcPr>
          <w:p w14:paraId="58D44F4F" w14:textId="77777777" w:rsidR="009E5809" w:rsidRPr="009E5809" w:rsidRDefault="009E5809" w:rsidP="009E5809">
            <w:pPr>
              <w:spacing w:after="160" w:line="259" w:lineRule="auto"/>
              <w:rPr>
                <w:rFonts w:asciiTheme="majorBidi" w:eastAsiaTheme="minorHAnsi" w:hAnsiTheme="majorBidi" w:cstheme="majorBidi"/>
                <w:kern w:val="2"/>
                <w:lang w:eastAsia="en-US"/>
                <w14:ligatures w14:val="standardContextual"/>
              </w:rPr>
            </w:pPr>
            <w:r w:rsidRPr="009E5809">
              <w:rPr>
                <w:rFonts w:asciiTheme="majorBidi" w:eastAsiaTheme="minorHAnsi" w:hAnsiTheme="majorBidi" w:cstheme="majorBidi"/>
                <w:color w:val="000000"/>
                <w:kern w:val="2"/>
                <w:lang w:eastAsia="en-US"/>
                <w14:ligatures w14:val="standardContextual"/>
              </w:rPr>
              <w:t>Lin X. et al</w:t>
            </w:r>
          </w:p>
        </w:tc>
        <w:tc>
          <w:tcPr>
            <w:tcW w:w="583" w:type="dxa"/>
            <w:tcBorders>
              <w:top w:val="single" w:sz="12" w:space="0" w:color="auto"/>
            </w:tcBorders>
          </w:tcPr>
          <w:p w14:paraId="63F36D21"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kern w:val="2"/>
                <w:lang w:eastAsia="en-US"/>
                <w14:ligatures w14:val="standardContextual"/>
              </w:rPr>
            </w:pPr>
            <w:r w:rsidRPr="009E5809">
              <w:rPr>
                <w:rFonts w:asciiTheme="majorBidi" w:eastAsiaTheme="minorHAnsi" w:hAnsiTheme="majorBidi" w:cstheme="majorBidi"/>
                <w:kern w:val="2"/>
                <w:lang w:eastAsia="en-US"/>
                <w14:ligatures w14:val="standardContextual"/>
              </w:rPr>
              <w:t>√</w:t>
            </w:r>
          </w:p>
        </w:tc>
        <w:tc>
          <w:tcPr>
            <w:tcW w:w="1613" w:type="dxa"/>
            <w:tcBorders>
              <w:top w:val="single" w:sz="12" w:space="0" w:color="auto"/>
            </w:tcBorders>
          </w:tcPr>
          <w:p w14:paraId="0CAE6641"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kern w:val="2"/>
                <w:lang w:eastAsia="en-US"/>
                <w14:ligatures w14:val="standardContextual"/>
              </w:rPr>
            </w:pPr>
          </w:p>
        </w:tc>
        <w:tc>
          <w:tcPr>
            <w:tcW w:w="1078" w:type="dxa"/>
            <w:tcBorders>
              <w:top w:val="single" w:sz="12" w:space="0" w:color="auto"/>
            </w:tcBorders>
          </w:tcPr>
          <w:p w14:paraId="1995883C"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kern w:val="2"/>
                <w:lang w:eastAsia="en-US"/>
                <w14:ligatures w14:val="standardContextual"/>
              </w:rPr>
            </w:pPr>
          </w:p>
        </w:tc>
        <w:tc>
          <w:tcPr>
            <w:tcW w:w="1781" w:type="dxa"/>
            <w:tcBorders>
              <w:top w:val="single" w:sz="12" w:space="0" w:color="auto"/>
            </w:tcBorders>
          </w:tcPr>
          <w:p w14:paraId="18981741"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kern w:val="2"/>
                <w:lang w:eastAsia="en-US"/>
                <w14:ligatures w14:val="standardContextual"/>
              </w:rPr>
            </w:pPr>
          </w:p>
        </w:tc>
        <w:tc>
          <w:tcPr>
            <w:tcW w:w="746" w:type="dxa"/>
            <w:tcBorders>
              <w:top w:val="single" w:sz="12" w:space="0" w:color="auto"/>
            </w:tcBorders>
          </w:tcPr>
          <w:p w14:paraId="1DC0C799"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kern w:val="2"/>
                <w:lang w:eastAsia="en-US"/>
                <w14:ligatures w14:val="standardContextual"/>
              </w:rPr>
            </w:pPr>
          </w:p>
        </w:tc>
        <w:tc>
          <w:tcPr>
            <w:tcW w:w="2474" w:type="dxa"/>
            <w:tcBorders>
              <w:top w:val="single" w:sz="12" w:space="0" w:color="auto"/>
            </w:tcBorders>
          </w:tcPr>
          <w:p w14:paraId="07B5E7CA"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lang w:eastAsia="en-US"/>
              </w:rPr>
            </w:pPr>
            <w:r w:rsidRPr="009E5809">
              <w:rPr>
                <w:rFonts w:asciiTheme="majorBidi" w:eastAsia="Times New Roman" w:hAnsiTheme="majorBidi" w:cstheme="majorBidi"/>
                <w:color w:val="000000"/>
                <w:lang w:eastAsia="en-US"/>
              </w:rPr>
              <w:t xml:space="preserve">Surgery duration, diabetes history, low years of education, high </w:t>
            </w:r>
            <w:r w:rsidRPr="009E5809">
              <w:rPr>
                <w:rFonts w:asciiTheme="majorBidi" w:eastAsia="Times New Roman" w:hAnsiTheme="majorBidi" w:cstheme="majorBidi"/>
                <w:color w:val="000000"/>
                <w:lang w:eastAsia="en-US"/>
              </w:rPr>
              <w:lastRenderedPageBreak/>
              <w:t>sleep quality index, high ASA classification, and high NRS score.</w:t>
            </w:r>
          </w:p>
        </w:tc>
      </w:tr>
      <w:tr w:rsidR="009E5809" w:rsidRPr="009E5809" w14:paraId="0112D8C7" w14:textId="77777777" w:rsidTr="003A268D">
        <w:tc>
          <w:tcPr>
            <w:cnfStyle w:val="001000000000" w:firstRow="0" w:lastRow="0" w:firstColumn="1" w:lastColumn="0" w:oddVBand="0" w:evenVBand="0" w:oddHBand="0" w:evenHBand="0" w:firstRowFirstColumn="0" w:firstRowLastColumn="0" w:lastRowFirstColumn="0" w:lastRowLastColumn="0"/>
            <w:tcW w:w="1304" w:type="dxa"/>
          </w:tcPr>
          <w:p w14:paraId="0F7563E3" w14:textId="77777777" w:rsidR="009E5809" w:rsidRPr="009E5809" w:rsidRDefault="009E5809" w:rsidP="009E5809">
            <w:pPr>
              <w:spacing w:after="160" w:line="259" w:lineRule="auto"/>
              <w:rPr>
                <w:rFonts w:asciiTheme="majorBidi" w:eastAsiaTheme="minorHAnsi" w:hAnsiTheme="majorBidi" w:cstheme="majorBidi"/>
                <w:kern w:val="2"/>
                <w:lang w:eastAsia="en-US"/>
                <w14:ligatures w14:val="standardContextual"/>
              </w:rPr>
            </w:pPr>
            <w:r w:rsidRPr="009E5809">
              <w:rPr>
                <w:rFonts w:asciiTheme="majorBidi" w:eastAsiaTheme="minorHAnsi" w:hAnsiTheme="majorBidi" w:cstheme="majorBidi"/>
                <w:color w:val="000000"/>
                <w:kern w:val="2"/>
                <w:lang w:eastAsia="en-US"/>
                <w14:ligatures w14:val="standardContextual"/>
              </w:rPr>
              <w:lastRenderedPageBreak/>
              <w:t>Huang Z. et al</w:t>
            </w:r>
          </w:p>
        </w:tc>
        <w:tc>
          <w:tcPr>
            <w:tcW w:w="583" w:type="dxa"/>
          </w:tcPr>
          <w:p w14:paraId="2585B456"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kern w:val="2"/>
                <w:lang w:eastAsia="en-US"/>
                <w14:ligatures w14:val="standardContextual"/>
              </w:rPr>
            </w:pPr>
            <w:r w:rsidRPr="009E5809">
              <w:rPr>
                <w:rFonts w:asciiTheme="majorBidi" w:eastAsiaTheme="minorHAnsi" w:hAnsiTheme="majorBidi" w:cstheme="majorBidi"/>
                <w:kern w:val="2"/>
                <w:lang w:eastAsia="en-US"/>
                <w14:ligatures w14:val="standardContextual"/>
              </w:rPr>
              <w:t xml:space="preserve">√ </w:t>
            </w:r>
          </w:p>
        </w:tc>
        <w:tc>
          <w:tcPr>
            <w:tcW w:w="1613" w:type="dxa"/>
          </w:tcPr>
          <w:p w14:paraId="15641BEA"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kern w:val="2"/>
                <w:lang w:eastAsia="en-US"/>
                <w14:ligatures w14:val="standardContextual"/>
              </w:rPr>
            </w:pPr>
          </w:p>
        </w:tc>
        <w:tc>
          <w:tcPr>
            <w:tcW w:w="1078" w:type="dxa"/>
          </w:tcPr>
          <w:p w14:paraId="3C8F9D3A"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kern w:val="2"/>
                <w:lang w:eastAsia="en-US"/>
                <w14:ligatures w14:val="standardContextual"/>
              </w:rPr>
            </w:pPr>
          </w:p>
        </w:tc>
        <w:tc>
          <w:tcPr>
            <w:tcW w:w="1781" w:type="dxa"/>
          </w:tcPr>
          <w:p w14:paraId="6C8F7CE7"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kern w:val="2"/>
                <w:lang w:eastAsia="en-US"/>
                <w14:ligatures w14:val="standardContextual"/>
              </w:rPr>
            </w:pPr>
          </w:p>
        </w:tc>
        <w:tc>
          <w:tcPr>
            <w:tcW w:w="746" w:type="dxa"/>
          </w:tcPr>
          <w:p w14:paraId="57B7AB05"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kern w:val="2"/>
                <w:lang w:eastAsia="en-US"/>
                <w14:ligatures w14:val="standardContextual"/>
              </w:rPr>
            </w:pPr>
          </w:p>
        </w:tc>
        <w:tc>
          <w:tcPr>
            <w:tcW w:w="2474" w:type="dxa"/>
          </w:tcPr>
          <w:p w14:paraId="3C28B775"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kern w:val="2"/>
                <w:lang w:eastAsia="en-US"/>
                <w14:ligatures w14:val="standardContextual"/>
              </w:rPr>
            </w:pPr>
            <w:r w:rsidRPr="009E5809">
              <w:rPr>
                <w:rFonts w:asciiTheme="majorBidi" w:eastAsiaTheme="minorHAnsi" w:hAnsiTheme="majorBidi" w:cstheme="majorBidi"/>
                <w:kern w:val="2"/>
                <w:lang w:eastAsia="en-US"/>
                <w14:ligatures w14:val="standardContextual"/>
              </w:rPr>
              <w:t>Diazepam usage history, and intraoperative positive fluid balance.</w:t>
            </w:r>
          </w:p>
        </w:tc>
      </w:tr>
      <w:tr w:rsidR="009E5809" w:rsidRPr="009E5809" w14:paraId="183D73CA" w14:textId="77777777" w:rsidTr="003A26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4" w:type="dxa"/>
          </w:tcPr>
          <w:p w14:paraId="4B12F287" w14:textId="77777777" w:rsidR="009E5809" w:rsidRPr="009E5809" w:rsidRDefault="009E5809" w:rsidP="009E5809">
            <w:pPr>
              <w:spacing w:after="160" w:line="259" w:lineRule="auto"/>
              <w:rPr>
                <w:rFonts w:asciiTheme="majorBidi" w:eastAsiaTheme="minorHAnsi" w:hAnsiTheme="majorBidi" w:cstheme="majorBidi"/>
                <w:kern w:val="2"/>
                <w:lang w:eastAsia="en-US"/>
                <w14:ligatures w14:val="standardContextual"/>
              </w:rPr>
            </w:pPr>
            <w:r w:rsidRPr="009E5809">
              <w:rPr>
                <w:rFonts w:asciiTheme="majorBidi" w:eastAsiaTheme="minorHAnsi" w:hAnsiTheme="majorBidi" w:cstheme="majorBidi"/>
                <w:color w:val="000000"/>
                <w:kern w:val="2"/>
                <w:lang w:eastAsia="en-US"/>
                <w14:ligatures w14:val="standardContextual"/>
              </w:rPr>
              <w:t>Yang Y. et al</w:t>
            </w:r>
          </w:p>
        </w:tc>
        <w:tc>
          <w:tcPr>
            <w:tcW w:w="583" w:type="dxa"/>
          </w:tcPr>
          <w:p w14:paraId="30EF13A4"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kern w:val="2"/>
                <w:lang w:eastAsia="en-US"/>
                <w14:ligatures w14:val="standardContextual"/>
              </w:rPr>
            </w:pPr>
            <w:r w:rsidRPr="009E5809">
              <w:rPr>
                <w:rFonts w:asciiTheme="majorBidi" w:eastAsiaTheme="minorHAnsi" w:hAnsiTheme="majorBidi" w:cstheme="majorBidi"/>
                <w:kern w:val="2"/>
                <w:lang w:eastAsia="en-US"/>
                <w14:ligatures w14:val="standardContextual"/>
              </w:rPr>
              <w:t xml:space="preserve">√ </w:t>
            </w:r>
          </w:p>
        </w:tc>
        <w:tc>
          <w:tcPr>
            <w:tcW w:w="1613" w:type="dxa"/>
          </w:tcPr>
          <w:p w14:paraId="5ED13D6A"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kern w:val="2"/>
                <w:lang w:eastAsia="en-US"/>
                <w14:ligatures w14:val="standardContextual"/>
              </w:rPr>
            </w:pPr>
          </w:p>
        </w:tc>
        <w:tc>
          <w:tcPr>
            <w:tcW w:w="1078" w:type="dxa"/>
          </w:tcPr>
          <w:p w14:paraId="1C2DE640"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kern w:val="2"/>
                <w:lang w:eastAsia="en-US"/>
                <w14:ligatures w14:val="standardContextual"/>
              </w:rPr>
            </w:pPr>
            <w:r w:rsidRPr="009E5809">
              <w:rPr>
                <w:rFonts w:asciiTheme="majorBidi" w:eastAsiaTheme="minorHAnsi" w:hAnsiTheme="majorBidi" w:cstheme="majorBidi"/>
                <w:kern w:val="2"/>
                <w:lang w:eastAsia="en-US"/>
                <w14:ligatures w14:val="standardContextual"/>
              </w:rPr>
              <w:t xml:space="preserve">√ </w:t>
            </w:r>
          </w:p>
        </w:tc>
        <w:tc>
          <w:tcPr>
            <w:tcW w:w="1781" w:type="dxa"/>
          </w:tcPr>
          <w:p w14:paraId="27E6D774"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kern w:val="2"/>
                <w:lang w:eastAsia="en-US"/>
                <w14:ligatures w14:val="standardContextual"/>
              </w:rPr>
            </w:pPr>
          </w:p>
        </w:tc>
        <w:tc>
          <w:tcPr>
            <w:tcW w:w="746" w:type="dxa"/>
          </w:tcPr>
          <w:p w14:paraId="5DE44B70"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kern w:val="2"/>
                <w:lang w:eastAsia="en-US"/>
                <w14:ligatures w14:val="standardContextual"/>
              </w:rPr>
            </w:pPr>
          </w:p>
        </w:tc>
        <w:tc>
          <w:tcPr>
            <w:tcW w:w="2474" w:type="dxa"/>
          </w:tcPr>
          <w:p w14:paraId="1A2F00C6"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kern w:val="2"/>
                <w:lang w:eastAsia="en-US"/>
                <w14:ligatures w14:val="standardContextual"/>
              </w:rPr>
            </w:pPr>
            <w:r w:rsidRPr="009E5809">
              <w:rPr>
                <w:rFonts w:asciiTheme="majorBidi" w:eastAsiaTheme="minorHAnsi" w:hAnsiTheme="majorBidi" w:cstheme="majorBidi"/>
                <w:kern w:val="2"/>
                <w:lang w:eastAsia="en-US"/>
                <w14:ligatures w14:val="standardContextual"/>
              </w:rPr>
              <w:t>Dementia and COPD.</w:t>
            </w:r>
          </w:p>
        </w:tc>
      </w:tr>
      <w:tr w:rsidR="009E5809" w:rsidRPr="009E5809" w14:paraId="1AFFADD8" w14:textId="77777777" w:rsidTr="003A268D">
        <w:tc>
          <w:tcPr>
            <w:cnfStyle w:val="001000000000" w:firstRow="0" w:lastRow="0" w:firstColumn="1" w:lastColumn="0" w:oddVBand="0" w:evenVBand="0" w:oddHBand="0" w:evenHBand="0" w:firstRowFirstColumn="0" w:firstRowLastColumn="0" w:lastRowFirstColumn="0" w:lastRowLastColumn="0"/>
            <w:tcW w:w="1304" w:type="dxa"/>
          </w:tcPr>
          <w:p w14:paraId="088FC748" w14:textId="77777777" w:rsidR="009E5809" w:rsidRPr="009E5809" w:rsidRDefault="009E5809" w:rsidP="009E5809">
            <w:pPr>
              <w:spacing w:after="160" w:line="259" w:lineRule="auto"/>
              <w:rPr>
                <w:rFonts w:asciiTheme="majorBidi" w:eastAsiaTheme="minorHAnsi" w:hAnsiTheme="majorBidi" w:cstheme="majorBidi"/>
                <w:kern w:val="2"/>
                <w:lang w:eastAsia="en-US"/>
                <w14:ligatures w14:val="standardContextual"/>
              </w:rPr>
            </w:pPr>
            <w:r w:rsidRPr="009E5809">
              <w:rPr>
                <w:rFonts w:asciiTheme="majorBidi" w:eastAsiaTheme="minorHAnsi" w:hAnsiTheme="majorBidi" w:cstheme="majorBidi"/>
                <w:color w:val="000000"/>
                <w:kern w:val="2"/>
                <w:lang w:eastAsia="en-US"/>
                <w14:ligatures w14:val="standardContextual"/>
              </w:rPr>
              <w:t>Shen J. et al</w:t>
            </w:r>
          </w:p>
        </w:tc>
        <w:tc>
          <w:tcPr>
            <w:tcW w:w="583" w:type="dxa"/>
          </w:tcPr>
          <w:p w14:paraId="0EDCBFCB"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kern w:val="2"/>
                <w:lang w:eastAsia="en-US"/>
                <w14:ligatures w14:val="standardContextual"/>
              </w:rPr>
            </w:pPr>
            <w:r w:rsidRPr="009E5809">
              <w:rPr>
                <w:rFonts w:asciiTheme="majorBidi" w:eastAsiaTheme="minorHAnsi" w:hAnsiTheme="majorBidi" w:cstheme="majorBidi"/>
                <w:kern w:val="2"/>
                <w:lang w:eastAsia="en-US"/>
                <w14:ligatures w14:val="standardContextual"/>
              </w:rPr>
              <w:t xml:space="preserve">√ </w:t>
            </w:r>
          </w:p>
        </w:tc>
        <w:tc>
          <w:tcPr>
            <w:tcW w:w="1613" w:type="dxa"/>
          </w:tcPr>
          <w:p w14:paraId="45B68FC9"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kern w:val="2"/>
                <w:lang w:eastAsia="en-US"/>
                <w14:ligatures w14:val="standardContextual"/>
              </w:rPr>
            </w:pPr>
          </w:p>
        </w:tc>
        <w:tc>
          <w:tcPr>
            <w:tcW w:w="1078" w:type="dxa"/>
          </w:tcPr>
          <w:p w14:paraId="07B6DEFA"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kern w:val="2"/>
                <w:lang w:eastAsia="en-US"/>
                <w14:ligatures w14:val="standardContextual"/>
              </w:rPr>
            </w:pPr>
          </w:p>
        </w:tc>
        <w:tc>
          <w:tcPr>
            <w:tcW w:w="1781" w:type="dxa"/>
          </w:tcPr>
          <w:p w14:paraId="0D94BED7"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kern w:val="2"/>
                <w:lang w:eastAsia="en-US"/>
                <w14:ligatures w14:val="standardContextual"/>
              </w:rPr>
            </w:pPr>
          </w:p>
        </w:tc>
        <w:tc>
          <w:tcPr>
            <w:tcW w:w="746" w:type="dxa"/>
          </w:tcPr>
          <w:p w14:paraId="1E6A036B"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kern w:val="2"/>
                <w:lang w:eastAsia="en-US"/>
                <w14:ligatures w14:val="standardContextual"/>
              </w:rPr>
            </w:pPr>
          </w:p>
        </w:tc>
        <w:tc>
          <w:tcPr>
            <w:tcW w:w="2474" w:type="dxa"/>
          </w:tcPr>
          <w:p w14:paraId="6411D405"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kern w:val="2"/>
                <w:lang w:eastAsia="en-US"/>
                <w14:ligatures w14:val="standardContextual"/>
              </w:rPr>
            </w:pPr>
            <w:r w:rsidRPr="009E5809">
              <w:rPr>
                <w:rFonts w:asciiTheme="majorBidi" w:eastAsiaTheme="minorHAnsi" w:hAnsiTheme="majorBidi" w:cstheme="majorBidi"/>
                <w:kern w:val="2"/>
                <w:lang w:eastAsia="en-US"/>
                <w14:ligatures w14:val="standardContextual"/>
              </w:rPr>
              <w:t xml:space="preserve">Preoperative delirium, diabetes, CCI, </w:t>
            </w:r>
            <w:r w:rsidRPr="009E5809">
              <w:rPr>
                <w:rFonts w:asciiTheme="majorBidi" w:eastAsia="Times New Roman" w:hAnsiTheme="majorBidi" w:cstheme="majorBidi"/>
                <w:color w:val="000000"/>
                <w:lang w:eastAsia="en-US"/>
              </w:rPr>
              <w:t>application of benzodiazepines in surgery, surgical delay, ≥2 days, creatine ≥90 μmol/L, active smoking, and application of benzodiazepines in surgery.</w:t>
            </w:r>
          </w:p>
        </w:tc>
      </w:tr>
      <w:tr w:rsidR="009E5809" w:rsidRPr="009E5809" w14:paraId="4B9F6F48" w14:textId="77777777" w:rsidTr="003A26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4" w:type="dxa"/>
          </w:tcPr>
          <w:p w14:paraId="5DBCEBC4" w14:textId="77777777" w:rsidR="009E5809" w:rsidRPr="009E5809" w:rsidRDefault="009E5809" w:rsidP="009E5809">
            <w:pPr>
              <w:spacing w:after="160" w:line="259" w:lineRule="auto"/>
              <w:rPr>
                <w:rFonts w:asciiTheme="majorBidi" w:eastAsiaTheme="minorHAnsi" w:hAnsiTheme="majorBidi" w:cstheme="majorBidi"/>
                <w:kern w:val="2"/>
                <w:lang w:eastAsia="en-US"/>
                <w14:ligatures w14:val="standardContextual"/>
              </w:rPr>
            </w:pPr>
            <w:r w:rsidRPr="009E5809">
              <w:rPr>
                <w:rFonts w:asciiTheme="majorBidi" w:eastAsiaTheme="minorHAnsi" w:hAnsiTheme="majorBidi" w:cstheme="majorBidi"/>
                <w:color w:val="000000"/>
                <w:kern w:val="2"/>
                <w:lang w:eastAsia="en-US"/>
                <w14:ligatures w14:val="standardContextual"/>
              </w:rPr>
              <w:t>Song Y. et al</w:t>
            </w:r>
          </w:p>
        </w:tc>
        <w:tc>
          <w:tcPr>
            <w:tcW w:w="583" w:type="dxa"/>
          </w:tcPr>
          <w:p w14:paraId="33ADB62A"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kern w:val="2"/>
                <w:lang w:eastAsia="en-US"/>
                <w14:ligatures w14:val="standardContextual"/>
              </w:rPr>
            </w:pPr>
            <w:r w:rsidRPr="009E5809">
              <w:rPr>
                <w:rFonts w:asciiTheme="majorBidi" w:eastAsiaTheme="minorHAnsi" w:hAnsiTheme="majorBidi" w:cstheme="majorBidi"/>
                <w:kern w:val="2"/>
                <w:lang w:eastAsia="en-US"/>
                <w14:ligatures w14:val="standardContextual"/>
              </w:rPr>
              <w:t xml:space="preserve">√ </w:t>
            </w:r>
          </w:p>
        </w:tc>
        <w:tc>
          <w:tcPr>
            <w:tcW w:w="1613" w:type="dxa"/>
          </w:tcPr>
          <w:p w14:paraId="2A323BAE"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kern w:val="2"/>
                <w:lang w:eastAsia="en-US"/>
                <w14:ligatures w14:val="standardContextual"/>
              </w:rPr>
            </w:pPr>
            <w:r w:rsidRPr="009E5809">
              <w:rPr>
                <w:rFonts w:asciiTheme="majorBidi" w:eastAsiaTheme="minorHAnsi" w:hAnsiTheme="majorBidi" w:cstheme="majorBidi"/>
                <w:kern w:val="2"/>
                <w:lang w:eastAsia="en-US"/>
                <w14:ligatures w14:val="standardContextual"/>
              </w:rPr>
              <w:t xml:space="preserve">√ </w:t>
            </w:r>
          </w:p>
        </w:tc>
        <w:tc>
          <w:tcPr>
            <w:tcW w:w="1078" w:type="dxa"/>
          </w:tcPr>
          <w:p w14:paraId="6428548E"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kern w:val="2"/>
                <w:lang w:eastAsia="en-US"/>
                <w14:ligatures w14:val="standardContextual"/>
              </w:rPr>
            </w:pPr>
            <w:r w:rsidRPr="009E5809">
              <w:rPr>
                <w:rFonts w:asciiTheme="majorBidi" w:eastAsiaTheme="minorHAnsi" w:hAnsiTheme="majorBidi" w:cstheme="majorBidi"/>
                <w:kern w:val="2"/>
                <w:lang w:eastAsia="en-US"/>
                <w14:ligatures w14:val="standardContextual"/>
              </w:rPr>
              <w:t xml:space="preserve">√ </w:t>
            </w:r>
          </w:p>
        </w:tc>
        <w:tc>
          <w:tcPr>
            <w:tcW w:w="1781" w:type="dxa"/>
          </w:tcPr>
          <w:p w14:paraId="7A40BD53"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kern w:val="2"/>
                <w:lang w:eastAsia="en-US"/>
                <w14:ligatures w14:val="standardContextual"/>
              </w:rPr>
            </w:pPr>
            <w:r w:rsidRPr="009E5809">
              <w:rPr>
                <w:rFonts w:asciiTheme="majorBidi" w:eastAsiaTheme="minorHAnsi" w:hAnsiTheme="majorBidi" w:cstheme="majorBidi"/>
                <w:kern w:val="2"/>
                <w:lang w:eastAsia="en-US"/>
                <w14:ligatures w14:val="standardContextual"/>
              </w:rPr>
              <w:t xml:space="preserve">√ </w:t>
            </w:r>
          </w:p>
        </w:tc>
        <w:tc>
          <w:tcPr>
            <w:tcW w:w="746" w:type="dxa"/>
          </w:tcPr>
          <w:p w14:paraId="20AC0F04"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kern w:val="2"/>
                <w:lang w:eastAsia="en-US"/>
                <w14:ligatures w14:val="standardContextual"/>
              </w:rPr>
            </w:pPr>
          </w:p>
        </w:tc>
        <w:tc>
          <w:tcPr>
            <w:tcW w:w="2474" w:type="dxa"/>
          </w:tcPr>
          <w:p w14:paraId="03C8DBA8"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kern w:val="2"/>
                <w:lang w:eastAsia="en-US"/>
                <w14:ligatures w14:val="standardContextual"/>
              </w:rPr>
            </w:pPr>
            <w:r w:rsidRPr="009E5809">
              <w:rPr>
                <w:rFonts w:asciiTheme="majorBidi" w:eastAsia="Times New Roman" w:hAnsiTheme="majorBidi" w:cstheme="majorBidi"/>
                <w:color w:val="000000"/>
                <w:lang w:eastAsia="en-US"/>
              </w:rPr>
              <w:t>ASA grade, depression, emergency surgery, duration of anesthesia, WBC count, and antipsychotic drugs.</w:t>
            </w:r>
          </w:p>
        </w:tc>
      </w:tr>
      <w:tr w:rsidR="009E5809" w:rsidRPr="009E5809" w14:paraId="3C80E3CA" w14:textId="77777777" w:rsidTr="003A268D">
        <w:tc>
          <w:tcPr>
            <w:cnfStyle w:val="001000000000" w:firstRow="0" w:lastRow="0" w:firstColumn="1" w:lastColumn="0" w:oddVBand="0" w:evenVBand="0" w:oddHBand="0" w:evenHBand="0" w:firstRowFirstColumn="0" w:firstRowLastColumn="0" w:lastRowFirstColumn="0" w:lastRowLastColumn="0"/>
            <w:tcW w:w="1304" w:type="dxa"/>
          </w:tcPr>
          <w:p w14:paraId="3E7D0049" w14:textId="77777777" w:rsidR="009E5809" w:rsidRPr="009E5809" w:rsidRDefault="009E5809" w:rsidP="009E5809">
            <w:pPr>
              <w:spacing w:after="160" w:line="259" w:lineRule="auto"/>
              <w:rPr>
                <w:rFonts w:asciiTheme="majorBidi" w:eastAsiaTheme="minorHAnsi" w:hAnsiTheme="majorBidi" w:cstheme="majorBidi"/>
                <w:kern w:val="2"/>
                <w:lang w:eastAsia="en-US"/>
                <w14:ligatures w14:val="standardContextual"/>
              </w:rPr>
            </w:pPr>
            <w:r w:rsidRPr="009E5809">
              <w:rPr>
                <w:rFonts w:asciiTheme="majorBidi" w:eastAsiaTheme="minorHAnsi" w:hAnsiTheme="majorBidi" w:cstheme="majorBidi"/>
                <w:color w:val="000000"/>
                <w:kern w:val="2"/>
                <w:lang w:eastAsia="en-US"/>
                <w14:ligatures w14:val="standardContextual"/>
              </w:rPr>
              <w:t>Hu X. et al</w:t>
            </w:r>
          </w:p>
        </w:tc>
        <w:tc>
          <w:tcPr>
            <w:tcW w:w="583" w:type="dxa"/>
          </w:tcPr>
          <w:p w14:paraId="5C80D645"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kern w:val="2"/>
                <w:lang w:eastAsia="en-US"/>
                <w14:ligatures w14:val="standardContextual"/>
              </w:rPr>
            </w:pPr>
            <w:r w:rsidRPr="009E5809">
              <w:rPr>
                <w:rFonts w:asciiTheme="majorBidi" w:eastAsiaTheme="minorHAnsi" w:hAnsiTheme="majorBidi" w:cstheme="majorBidi"/>
                <w:kern w:val="2"/>
                <w:lang w:eastAsia="en-US"/>
                <w14:ligatures w14:val="standardContextual"/>
              </w:rPr>
              <w:t xml:space="preserve">√ </w:t>
            </w:r>
          </w:p>
        </w:tc>
        <w:tc>
          <w:tcPr>
            <w:tcW w:w="1613" w:type="dxa"/>
          </w:tcPr>
          <w:p w14:paraId="55A90888"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kern w:val="2"/>
                <w:lang w:eastAsia="en-US"/>
                <w14:ligatures w14:val="standardContextual"/>
              </w:rPr>
            </w:pPr>
            <w:r w:rsidRPr="009E5809">
              <w:rPr>
                <w:rFonts w:asciiTheme="majorBidi" w:eastAsiaTheme="minorHAnsi" w:hAnsiTheme="majorBidi" w:cstheme="majorBidi"/>
                <w:kern w:val="2"/>
                <w:lang w:eastAsia="en-US"/>
                <w14:ligatures w14:val="standardContextual"/>
              </w:rPr>
              <w:t xml:space="preserve">√ </w:t>
            </w:r>
          </w:p>
        </w:tc>
        <w:tc>
          <w:tcPr>
            <w:tcW w:w="1078" w:type="dxa"/>
          </w:tcPr>
          <w:p w14:paraId="50B91FB9"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kern w:val="2"/>
                <w:lang w:eastAsia="en-US"/>
                <w14:ligatures w14:val="standardContextual"/>
              </w:rPr>
            </w:pPr>
          </w:p>
        </w:tc>
        <w:tc>
          <w:tcPr>
            <w:tcW w:w="1781" w:type="dxa"/>
          </w:tcPr>
          <w:p w14:paraId="6902DFA2"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kern w:val="2"/>
                <w:lang w:eastAsia="en-US"/>
                <w14:ligatures w14:val="standardContextual"/>
              </w:rPr>
            </w:pPr>
            <w:r w:rsidRPr="009E5809">
              <w:rPr>
                <w:rFonts w:asciiTheme="majorBidi" w:eastAsiaTheme="minorHAnsi" w:hAnsiTheme="majorBidi" w:cstheme="majorBidi"/>
                <w:kern w:val="2"/>
                <w:lang w:eastAsia="en-US"/>
                <w14:ligatures w14:val="standardContextual"/>
              </w:rPr>
              <w:t xml:space="preserve">√ </w:t>
            </w:r>
          </w:p>
        </w:tc>
        <w:tc>
          <w:tcPr>
            <w:tcW w:w="746" w:type="dxa"/>
          </w:tcPr>
          <w:p w14:paraId="2E4A4B7B"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kern w:val="2"/>
                <w:lang w:eastAsia="en-US"/>
                <w14:ligatures w14:val="standardContextual"/>
              </w:rPr>
            </w:pPr>
            <w:r w:rsidRPr="009E5809">
              <w:rPr>
                <w:rFonts w:asciiTheme="majorBidi" w:eastAsiaTheme="minorHAnsi" w:hAnsiTheme="majorBidi" w:cstheme="majorBidi"/>
                <w:kern w:val="2"/>
                <w:lang w:eastAsia="en-US"/>
                <w14:ligatures w14:val="standardContextual"/>
              </w:rPr>
              <w:t xml:space="preserve">√ </w:t>
            </w:r>
          </w:p>
        </w:tc>
        <w:tc>
          <w:tcPr>
            <w:tcW w:w="2474" w:type="dxa"/>
          </w:tcPr>
          <w:p w14:paraId="733E6A4C"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kern w:val="2"/>
                <w:lang w:eastAsia="en-US"/>
                <w14:ligatures w14:val="standardContextual"/>
              </w:rPr>
            </w:pPr>
            <w:r w:rsidRPr="009E5809">
              <w:rPr>
                <w:rFonts w:asciiTheme="majorBidi" w:eastAsia="Times New Roman" w:hAnsiTheme="majorBidi" w:cstheme="majorBidi"/>
                <w:color w:val="000000"/>
                <w:lang w:eastAsia="en-US"/>
              </w:rPr>
              <w:t>Extubating time, MMSE, CCI, and postoperative NLR.</w:t>
            </w:r>
          </w:p>
        </w:tc>
      </w:tr>
      <w:tr w:rsidR="009E5809" w:rsidRPr="009E5809" w14:paraId="40868FC5" w14:textId="77777777" w:rsidTr="003A26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4" w:type="dxa"/>
          </w:tcPr>
          <w:p w14:paraId="37AF91BA" w14:textId="77777777" w:rsidR="009E5809" w:rsidRPr="009E5809" w:rsidRDefault="009E5809" w:rsidP="009E5809">
            <w:pPr>
              <w:spacing w:after="160" w:line="259" w:lineRule="auto"/>
              <w:rPr>
                <w:rFonts w:asciiTheme="majorBidi" w:eastAsiaTheme="minorHAnsi" w:hAnsiTheme="majorBidi" w:cstheme="majorBidi"/>
                <w:kern w:val="2"/>
                <w:lang w:eastAsia="en-US"/>
                <w14:ligatures w14:val="standardContextual"/>
              </w:rPr>
            </w:pPr>
            <w:r w:rsidRPr="009E5809">
              <w:rPr>
                <w:rFonts w:asciiTheme="majorBidi" w:eastAsiaTheme="minorHAnsi" w:hAnsiTheme="majorBidi" w:cstheme="majorBidi"/>
                <w:color w:val="000000"/>
                <w:kern w:val="2"/>
                <w:lang w:eastAsia="en-US"/>
                <w14:ligatures w14:val="standardContextual"/>
              </w:rPr>
              <w:t>Zhang Y. et al</w:t>
            </w:r>
          </w:p>
        </w:tc>
        <w:tc>
          <w:tcPr>
            <w:tcW w:w="583" w:type="dxa"/>
          </w:tcPr>
          <w:p w14:paraId="65766223"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kern w:val="2"/>
                <w:lang w:eastAsia="en-US"/>
                <w14:ligatures w14:val="standardContextual"/>
              </w:rPr>
            </w:pPr>
            <w:r w:rsidRPr="009E5809">
              <w:rPr>
                <w:rFonts w:asciiTheme="majorBidi" w:eastAsiaTheme="minorHAnsi" w:hAnsiTheme="majorBidi" w:cstheme="majorBidi"/>
                <w:kern w:val="2"/>
                <w:lang w:eastAsia="en-US"/>
                <w14:ligatures w14:val="standardContextual"/>
              </w:rPr>
              <w:t xml:space="preserve">√ </w:t>
            </w:r>
          </w:p>
        </w:tc>
        <w:tc>
          <w:tcPr>
            <w:tcW w:w="1613" w:type="dxa"/>
          </w:tcPr>
          <w:p w14:paraId="099FC331"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kern w:val="2"/>
                <w:lang w:eastAsia="en-US"/>
                <w14:ligatures w14:val="standardContextual"/>
              </w:rPr>
            </w:pPr>
            <w:r w:rsidRPr="009E5809">
              <w:rPr>
                <w:rFonts w:asciiTheme="majorBidi" w:eastAsiaTheme="minorHAnsi" w:hAnsiTheme="majorBidi" w:cstheme="majorBidi"/>
                <w:kern w:val="2"/>
                <w:lang w:eastAsia="en-US"/>
                <w14:ligatures w14:val="standardContextual"/>
              </w:rPr>
              <w:t xml:space="preserve">√ </w:t>
            </w:r>
          </w:p>
        </w:tc>
        <w:tc>
          <w:tcPr>
            <w:tcW w:w="1078" w:type="dxa"/>
          </w:tcPr>
          <w:p w14:paraId="510FE68C"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kern w:val="2"/>
                <w:lang w:eastAsia="en-US"/>
                <w14:ligatures w14:val="standardContextual"/>
              </w:rPr>
            </w:pPr>
            <w:r w:rsidRPr="009E5809">
              <w:rPr>
                <w:rFonts w:asciiTheme="majorBidi" w:eastAsiaTheme="minorHAnsi" w:hAnsiTheme="majorBidi" w:cstheme="majorBidi"/>
                <w:kern w:val="2"/>
                <w:lang w:eastAsia="en-US"/>
                <w14:ligatures w14:val="standardContextual"/>
              </w:rPr>
              <w:t xml:space="preserve">√ </w:t>
            </w:r>
          </w:p>
        </w:tc>
        <w:tc>
          <w:tcPr>
            <w:tcW w:w="1781" w:type="dxa"/>
          </w:tcPr>
          <w:p w14:paraId="6A0C6817"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kern w:val="2"/>
                <w:lang w:eastAsia="en-US"/>
                <w14:ligatures w14:val="standardContextual"/>
              </w:rPr>
            </w:pPr>
          </w:p>
        </w:tc>
        <w:tc>
          <w:tcPr>
            <w:tcW w:w="746" w:type="dxa"/>
          </w:tcPr>
          <w:p w14:paraId="79023562"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kern w:val="2"/>
                <w:lang w:eastAsia="en-US"/>
                <w14:ligatures w14:val="standardContextual"/>
              </w:rPr>
            </w:pPr>
          </w:p>
        </w:tc>
        <w:tc>
          <w:tcPr>
            <w:tcW w:w="2474" w:type="dxa"/>
          </w:tcPr>
          <w:p w14:paraId="64C6FA8B"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lang w:eastAsia="en-US"/>
              </w:rPr>
            </w:pPr>
            <w:r w:rsidRPr="009E5809">
              <w:rPr>
                <w:rFonts w:asciiTheme="majorBidi" w:eastAsia="Times New Roman" w:hAnsiTheme="majorBidi" w:cstheme="majorBidi"/>
                <w:color w:val="000000"/>
                <w:lang w:eastAsia="en-US"/>
              </w:rPr>
              <w:t>Admission-to-surgery time interval, C-</w:t>
            </w:r>
            <w:r w:rsidRPr="009E5809">
              <w:rPr>
                <w:rFonts w:asciiTheme="majorBidi" w:eastAsia="Times New Roman" w:hAnsiTheme="majorBidi" w:cstheme="majorBidi"/>
                <w:color w:val="000000"/>
                <w:lang w:eastAsia="en-US"/>
              </w:rPr>
              <w:softHyphen/>
              <w:t>reactive protein level, smoking, alcohol consumption, pulmonary disease, and admission-</w:t>
            </w:r>
            <w:r w:rsidRPr="009E5809">
              <w:rPr>
                <w:rFonts w:asciiTheme="majorBidi" w:eastAsia="Times New Roman" w:hAnsiTheme="majorBidi" w:cstheme="majorBidi"/>
                <w:color w:val="000000"/>
                <w:lang w:eastAsia="en-US"/>
              </w:rPr>
              <w:softHyphen/>
              <w:t>intraoperative maximum BP difference hypertension, and intraoperative minimum BP.</w:t>
            </w:r>
          </w:p>
        </w:tc>
      </w:tr>
      <w:tr w:rsidR="009E5809" w:rsidRPr="009E5809" w14:paraId="2ED2A39A" w14:textId="77777777" w:rsidTr="003A268D">
        <w:tc>
          <w:tcPr>
            <w:cnfStyle w:val="001000000000" w:firstRow="0" w:lastRow="0" w:firstColumn="1" w:lastColumn="0" w:oddVBand="0" w:evenVBand="0" w:oddHBand="0" w:evenHBand="0" w:firstRowFirstColumn="0" w:firstRowLastColumn="0" w:lastRowFirstColumn="0" w:lastRowLastColumn="0"/>
            <w:tcW w:w="1304" w:type="dxa"/>
          </w:tcPr>
          <w:p w14:paraId="05465A47" w14:textId="77777777" w:rsidR="009E5809" w:rsidRPr="009E5809" w:rsidRDefault="009E5809" w:rsidP="009E5809">
            <w:pPr>
              <w:spacing w:after="160" w:line="259" w:lineRule="auto"/>
              <w:rPr>
                <w:rFonts w:asciiTheme="majorBidi" w:eastAsiaTheme="minorHAnsi" w:hAnsiTheme="majorBidi" w:cstheme="majorBidi"/>
                <w:kern w:val="2"/>
                <w:lang w:eastAsia="en-US"/>
                <w14:ligatures w14:val="standardContextual"/>
              </w:rPr>
            </w:pPr>
            <w:r w:rsidRPr="009E5809">
              <w:rPr>
                <w:rFonts w:asciiTheme="majorBidi" w:eastAsiaTheme="minorHAnsi" w:hAnsiTheme="majorBidi" w:cstheme="majorBidi"/>
                <w:color w:val="000000"/>
                <w:kern w:val="2"/>
                <w:lang w:eastAsia="en-US"/>
                <w14:ligatures w14:val="standardContextual"/>
              </w:rPr>
              <w:t xml:space="preserve">Liu Y. et al </w:t>
            </w:r>
          </w:p>
        </w:tc>
        <w:tc>
          <w:tcPr>
            <w:tcW w:w="583" w:type="dxa"/>
          </w:tcPr>
          <w:p w14:paraId="770203DF"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kern w:val="2"/>
                <w:lang w:eastAsia="en-US"/>
                <w14:ligatures w14:val="standardContextual"/>
              </w:rPr>
            </w:pPr>
            <w:r w:rsidRPr="009E5809">
              <w:rPr>
                <w:rFonts w:asciiTheme="majorBidi" w:eastAsiaTheme="minorHAnsi" w:hAnsiTheme="majorBidi" w:cstheme="majorBidi"/>
                <w:kern w:val="2"/>
                <w:lang w:eastAsia="en-US"/>
                <w14:ligatures w14:val="standardContextual"/>
              </w:rPr>
              <w:t xml:space="preserve">√ </w:t>
            </w:r>
          </w:p>
        </w:tc>
        <w:tc>
          <w:tcPr>
            <w:tcW w:w="1613" w:type="dxa"/>
          </w:tcPr>
          <w:p w14:paraId="235B770D"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kern w:val="2"/>
                <w:lang w:eastAsia="en-US"/>
                <w14:ligatures w14:val="standardContextual"/>
              </w:rPr>
            </w:pPr>
          </w:p>
        </w:tc>
        <w:tc>
          <w:tcPr>
            <w:tcW w:w="1078" w:type="dxa"/>
          </w:tcPr>
          <w:p w14:paraId="06F2FD13"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kern w:val="2"/>
                <w:lang w:eastAsia="en-US"/>
                <w14:ligatures w14:val="standardContextual"/>
              </w:rPr>
            </w:pPr>
          </w:p>
        </w:tc>
        <w:tc>
          <w:tcPr>
            <w:tcW w:w="1781" w:type="dxa"/>
          </w:tcPr>
          <w:p w14:paraId="32E38317"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kern w:val="2"/>
                <w:lang w:eastAsia="en-US"/>
                <w14:ligatures w14:val="standardContextual"/>
              </w:rPr>
            </w:pPr>
          </w:p>
        </w:tc>
        <w:tc>
          <w:tcPr>
            <w:tcW w:w="746" w:type="dxa"/>
          </w:tcPr>
          <w:p w14:paraId="5D28E43E"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kern w:val="2"/>
                <w:lang w:eastAsia="en-US"/>
                <w14:ligatures w14:val="standardContextual"/>
              </w:rPr>
            </w:pPr>
            <w:r w:rsidRPr="009E5809">
              <w:rPr>
                <w:rFonts w:asciiTheme="majorBidi" w:eastAsiaTheme="minorHAnsi" w:hAnsiTheme="majorBidi" w:cstheme="majorBidi"/>
                <w:kern w:val="2"/>
                <w:lang w:eastAsia="en-US"/>
                <w14:ligatures w14:val="standardContextual"/>
              </w:rPr>
              <w:t xml:space="preserve">√ </w:t>
            </w:r>
          </w:p>
        </w:tc>
        <w:tc>
          <w:tcPr>
            <w:tcW w:w="2474" w:type="dxa"/>
          </w:tcPr>
          <w:p w14:paraId="04C90507"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kern w:val="2"/>
                <w:lang w:eastAsia="en-US"/>
                <w14:ligatures w14:val="standardContextual"/>
              </w:rPr>
            </w:pPr>
            <w:r w:rsidRPr="009E5809">
              <w:rPr>
                <w:rFonts w:asciiTheme="majorBidi" w:eastAsia="Times New Roman" w:hAnsiTheme="majorBidi" w:cstheme="majorBidi"/>
                <w:color w:val="000000"/>
                <w:lang w:eastAsia="en-US"/>
              </w:rPr>
              <w:t>Surgery duration, history of smoking, history of alcoholism, history of hypertension and history of COPD.</w:t>
            </w:r>
          </w:p>
        </w:tc>
      </w:tr>
      <w:tr w:rsidR="009E5809" w:rsidRPr="009E5809" w14:paraId="2A8FCE6F" w14:textId="77777777" w:rsidTr="003A268D">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1304" w:type="dxa"/>
            <w:tcBorders>
              <w:bottom w:val="single" w:sz="4" w:space="0" w:color="auto"/>
            </w:tcBorders>
          </w:tcPr>
          <w:p w14:paraId="61DB1E6A" w14:textId="77777777" w:rsidR="009E5809" w:rsidRPr="009E5809" w:rsidRDefault="009E5809" w:rsidP="009E5809">
            <w:pPr>
              <w:spacing w:after="160" w:line="259" w:lineRule="auto"/>
              <w:rPr>
                <w:rFonts w:asciiTheme="majorBidi" w:eastAsiaTheme="minorHAnsi" w:hAnsiTheme="majorBidi" w:cstheme="majorBidi"/>
                <w:kern w:val="2"/>
                <w:lang w:eastAsia="en-US"/>
                <w14:ligatures w14:val="standardContextual"/>
              </w:rPr>
            </w:pPr>
            <w:r w:rsidRPr="009E5809">
              <w:rPr>
                <w:rFonts w:asciiTheme="majorBidi" w:eastAsiaTheme="minorHAnsi" w:hAnsiTheme="majorBidi" w:cstheme="majorBidi"/>
                <w:color w:val="000000"/>
                <w:kern w:val="2"/>
                <w:lang w:eastAsia="en-US"/>
                <w14:ligatures w14:val="standardContextual"/>
              </w:rPr>
              <w:lastRenderedPageBreak/>
              <w:t>Chen J. et al</w:t>
            </w:r>
          </w:p>
        </w:tc>
        <w:tc>
          <w:tcPr>
            <w:tcW w:w="583" w:type="dxa"/>
            <w:tcBorders>
              <w:bottom w:val="single" w:sz="4" w:space="0" w:color="auto"/>
            </w:tcBorders>
          </w:tcPr>
          <w:p w14:paraId="2E2AAFAF"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kern w:val="2"/>
                <w:lang w:eastAsia="en-US"/>
                <w14:ligatures w14:val="standardContextual"/>
              </w:rPr>
            </w:pPr>
            <w:r w:rsidRPr="009E5809">
              <w:rPr>
                <w:rFonts w:asciiTheme="majorBidi" w:eastAsiaTheme="minorHAnsi" w:hAnsiTheme="majorBidi" w:cstheme="majorBidi"/>
                <w:kern w:val="2"/>
                <w:lang w:eastAsia="en-US"/>
                <w14:ligatures w14:val="standardContextual"/>
              </w:rPr>
              <w:t xml:space="preserve">√ </w:t>
            </w:r>
          </w:p>
        </w:tc>
        <w:tc>
          <w:tcPr>
            <w:tcW w:w="1613" w:type="dxa"/>
            <w:tcBorders>
              <w:bottom w:val="single" w:sz="4" w:space="0" w:color="auto"/>
            </w:tcBorders>
          </w:tcPr>
          <w:p w14:paraId="36A2AAFC"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kern w:val="2"/>
                <w:lang w:eastAsia="en-US"/>
                <w14:ligatures w14:val="standardContextual"/>
              </w:rPr>
            </w:pPr>
          </w:p>
        </w:tc>
        <w:tc>
          <w:tcPr>
            <w:tcW w:w="1078" w:type="dxa"/>
            <w:tcBorders>
              <w:bottom w:val="single" w:sz="4" w:space="0" w:color="auto"/>
            </w:tcBorders>
          </w:tcPr>
          <w:p w14:paraId="19865A4B"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kern w:val="2"/>
                <w:lang w:eastAsia="en-US"/>
                <w14:ligatures w14:val="standardContextual"/>
              </w:rPr>
            </w:pPr>
            <w:r w:rsidRPr="009E5809">
              <w:rPr>
                <w:rFonts w:asciiTheme="majorBidi" w:eastAsiaTheme="minorHAnsi" w:hAnsiTheme="majorBidi" w:cstheme="majorBidi"/>
                <w:kern w:val="2"/>
                <w:lang w:eastAsia="en-US"/>
                <w14:ligatures w14:val="standardContextual"/>
              </w:rPr>
              <w:t xml:space="preserve">√ </w:t>
            </w:r>
          </w:p>
        </w:tc>
        <w:tc>
          <w:tcPr>
            <w:tcW w:w="1781" w:type="dxa"/>
            <w:tcBorders>
              <w:bottom w:val="single" w:sz="4" w:space="0" w:color="auto"/>
            </w:tcBorders>
          </w:tcPr>
          <w:p w14:paraId="5242B36E"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kern w:val="2"/>
                <w:lang w:eastAsia="en-US"/>
                <w14:ligatures w14:val="standardContextual"/>
              </w:rPr>
            </w:pPr>
          </w:p>
        </w:tc>
        <w:tc>
          <w:tcPr>
            <w:tcW w:w="746" w:type="dxa"/>
            <w:tcBorders>
              <w:bottom w:val="single" w:sz="4" w:space="0" w:color="auto"/>
            </w:tcBorders>
          </w:tcPr>
          <w:p w14:paraId="63EA680A"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kern w:val="2"/>
                <w:lang w:eastAsia="en-US"/>
                <w14:ligatures w14:val="standardContextual"/>
              </w:rPr>
            </w:pPr>
            <w:r w:rsidRPr="009E5809">
              <w:rPr>
                <w:rFonts w:asciiTheme="majorBidi" w:eastAsiaTheme="minorHAnsi" w:hAnsiTheme="majorBidi" w:cstheme="majorBidi"/>
                <w:kern w:val="2"/>
                <w:lang w:eastAsia="en-US"/>
                <w14:ligatures w14:val="standardContextual"/>
              </w:rPr>
              <w:t xml:space="preserve">√ </w:t>
            </w:r>
          </w:p>
        </w:tc>
        <w:tc>
          <w:tcPr>
            <w:tcW w:w="2474" w:type="dxa"/>
            <w:tcBorders>
              <w:bottom w:val="single" w:sz="4" w:space="0" w:color="auto"/>
            </w:tcBorders>
          </w:tcPr>
          <w:p w14:paraId="32A622BF"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kern w:val="2"/>
                <w:lang w:eastAsia="en-US"/>
                <w14:ligatures w14:val="standardContextual"/>
              </w:rPr>
            </w:pPr>
            <w:r w:rsidRPr="009E5809">
              <w:rPr>
                <w:rFonts w:asciiTheme="majorBidi" w:eastAsiaTheme="minorHAnsi" w:hAnsiTheme="majorBidi" w:cstheme="majorBidi"/>
                <w:kern w:val="2"/>
                <w:lang w:eastAsia="en-US"/>
                <w14:ligatures w14:val="standardContextual"/>
              </w:rPr>
              <w:t>AFR, NLR, and sleeping pills.</w:t>
            </w:r>
          </w:p>
        </w:tc>
      </w:tr>
      <w:tr w:rsidR="009E5809" w:rsidRPr="009E5809" w14:paraId="6AA818D6" w14:textId="77777777" w:rsidTr="003A268D">
        <w:tc>
          <w:tcPr>
            <w:cnfStyle w:val="001000000000" w:firstRow="0" w:lastRow="0" w:firstColumn="1" w:lastColumn="0" w:oddVBand="0" w:evenVBand="0" w:oddHBand="0" w:evenHBand="0" w:firstRowFirstColumn="0" w:firstRowLastColumn="0" w:lastRowFirstColumn="0" w:lastRowLastColumn="0"/>
            <w:tcW w:w="1304" w:type="dxa"/>
            <w:tcBorders>
              <w:top w:val="single" w:sz="4" w:space="0" w:color="auto"/>
              <w:bottom w:val="single" w:sz="4" w:space="0" w:color="auto"/>
            </w:tcBorders>
          </w:tcPr>
          <w:p w14:paraId="69EF3204" w14:textId="77777777" w:rsidR="009E5809" w:rsidRPr="009E5809" w:rsidRDefault="009E5809" w:rsidP="009E5809">
            <w:pPr>
              <w:spacing w:after="160" w:line="259" w:lineRule="auto"/>
              <w:rPr>
                <w:rFonts w:asciiTheme="majorBidi" w:eastAsiaTheme="minorHAnsi" w:hAnsiTheme="majorBidi" w:cstheme="majorBidi"/>
                <w:color w:val="000000"/>
                <w:kern w:val="2"/>
                <w:lang w:eastAsia="en-US"/>
                <w14:ligatures w14:val="standardContextual"/>
              </w:rPr>
            </w:pPr>
            <w:r w:rsidRPr="009E5809">
              <w:rPr>
                <w:rFonts w:asciiTheme="majorBidi" w:eastAsiaTheme="minorHAnsi" w:hAnsiTheme="majorBidi" w:cstheme="majorBidi"/>
                <w:kern w:val="2"/>
                <w:lang w:eastAsia="en-US"/>
                <w14:ligatures w14:val="standardContextual"/>
              </w:rPr>
              <w:t>References</w:t>
            </w:r>
          </w:p>
        </w:tc>
        <w:tc>
          <w:tcPr>
            <w:tcW w:w="583" w:type="dxa"/>
            <w:tcBorders>
              <w:top w:val="single" w:sz="4" w:space="0" w:color="auto"/>
              <w:bottom w:val="single" w:sz="4" w:space="0" w:color="auto"/>
            </w:tcBorders>
          </w:tcPr>
          <w:p w14:paraId="185EBE6A"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b/>
                <w:bCs/>
                <w:kern w:val="2"/>
                <w:lang w:eastAsia="en-US"/>
                <w14:ligatures w14:val="standardContextual"/>
              </w:rPr>
            </w:pPr>
            <w:r w:rsidRPr="009E5809">
              <w:rPr>
                <w:rFonts w:asciiTheme="majorBidi" w:eastAsiaTheme="minorHAnsi" w:hAnsiTheme="majorBidi" w:cstheme="majorBidi"/>
                <w:b/>
                <w:bCs/>
                <w:kern w:val="2"/>
                <w:lang w:eastAsia="en-US"/>
                <w14:ligatures w14:val="standardContextual"/>
              </w:rPr>
              <w:t>Age</w:t>
            </w:r>
          </w:p>
        </w:tc>
        <w:tc>
          <w:tcPr>
            <w:tcW w:w="1613" w:type="dxa"/>
            <w:tcBorders>
              <w:top w:val="single" w:sz="4" w:space="0" w:color="auto"/>
              <w:bottom w:val="single" w:sz="4" w:space="0" w:color="auto"/>
            </w:tcBorders>
          </w:tcPr>
          <w:p w14:paraId="05BB9EC3"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b/>
                <w:bCs/>
                <w:kern w:val="2"/>
                <w:lang w:eastAsia="en-US"/>
                <w14:ligatures w14:val="standardContextual"/>
              </w:rPr>
            </w:pPr>
            <w:r w:rsidRPr="009E5809">
              <w:rPr>
                <w:rFonts w:asciiTheme="majorBidi" w:eastAsiaTheme="minorHAnsi" w:hAnsiTheme="majorBidi" w:cstheme="majorBidi"/>
                <w:b/>
                <w:bCs/>
                <w:kern w:val="2"/>
                <w:lang w:eastAsia="en-US"/>
                <w14:ligatures w14:val="standardContextual"/>
              </w:rPr>
              <w:t>Intraoperative Blood Loss</w:t>
            </w:r>
          </w:p>
        </w:tc>
        <w:tc>
          <w:tcPr>
            <w:tcW w:w="1078" w:type="dxa"/>
            <w:tcBorders>
              <w:top w:val="single" w:sz="4" w:space="0" w:color="auto"/>
              <w:bottom w:val="single" w:sz="4" w:space="0" w:color="auto"/>
            </w:tcBorders>
          </w:tcPr>
          <w:p w14:paraId="09C63F70"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b/>
                <w:bCs/>
                <w:kern w:val="2"/>
                <w:lang w:eastAsia="en-US"/>
                <w14:ligatures w14:val="standardContextual"/>
              </w:rPr>
            </w:pPr>
            <w:r w:rsidRPr="009E5809">
              <w:rPr>
                <w:rFonts w:asciiTheme="majorBidi" w:eastAsiaTheme="minorHAnsi" w:hAnsiTheme="majorBidi" w:cstheme="majorBidi"/>
                <w:b/>
                <w:bCs/>
                <w:kern w:val="2"/>
                <w:lang w:eastAsia="en-US"/>
                <w14:ligatures w14:val="standardContextual"/>
              </w:rPr>
              <w:t>Albumin</w:t>
            </w:r>
          </w:p>
        </w:tc>
        <w:tc>
          <w:tcPr>
            <w:tcW w:w="1781" w:type="dxa"/>
            <w:tcBorders>
              <w:top w:val="single" w:sz="4" w:space="0" w:color="auto"/>
              <w:bottom w:val="single" w:sz="4" w:space="0" w:color="auto"/>
            </w:tcBorders>
          </w:tcPr>
          <w:p w14:paraId="157C5FB1"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b/>
                <w:bCs/>
                <w:kern w:val="2"/>
                <w:lang w:eastAsia="en-US"/>
                <w14:ligatures w14:val="standardContextual"/>
              </w:rPr>
            </w:pPr>
            <w:r w:rsidRPr="009E5809">
              <w:rPr>
                <w:rFonts w:asciiTheme="majorBidi" w:eastAsiaTheme="minorHAnsi" w:hAnsiTheme="majorBidi" w:cstheme="majorBidi"/>
                <w:b/>
                <w:bCs/>
                <w:kern w:val="2"/>
                <w:lang w:eastAsia="en-US"/>
                <w14:ligatures w14:val="standardContextual"/>
              </w:rPr>
              <w:t>Anesthesia Duration</w:t>
            </w:r>
          </w:p>
        </w:tc>
        <w:tc>
          <w:tcPr>
            <w:tcW w:w="746" w:type="dxa"/>
            <w:tcBorders>
              <w:top w:val="single" w:sz="4" w:space="0" w:color="auto"/>
              <w:bottom w:val="single" w:sz="4" w:space="0" w:color="auto"/>
            </w:tcBorders>
          </w:tcPr>
          <w:p w14:paraId="5F6FBF06"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b/>
                <w:bCs/>
                <w:kern w:val="2"/>
                <w:lang w:eastAsia="en-US"/>
                <w14:ligatures w14:val="standardContextual"/>
              </w:rPr>
            </w:pPr>
            <w:r w:rsidRPr="009E5809">
              <w:rPr>
                <w:rFonts w:asciiTheme="majorBidi" w:eastAsiaTheme="minorHAnsi" w:hAnsiTheme="majorBidi" w:cstheme="majorBidi"/>
                <w:b/>
                <w:bCs/>
                <w:kern w:val="2"/>
                <w:lang w:eastAsia="en-US"/>
                <w14:ligatures w14:val="standardContextual"/>
              </w:rPr>
              <w:t>ICU Stay</w:t>
            </w:r>
          </w:p>
        </w:tc>
        <w:tc>
          <w:tcPr>
            <w:tcW w:w="2474" w:type="dxa"/>
            <w:tcBorders>
              <w:top w:val="single" w:sz="4" w:space="0" w:color="auto"/>
              <w:bottom w:val="single" w:sz="4" w:space="0" w:color="auto"/>
            </w:tcBorders>
          </w:tcPr>
          <w:p w14:paraId="5D002C15"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b/>
                <w:bCs/>
                <w:kern w:val="2"/>
                <w:lang w:eastAsia="en-US"/>
                <w14:ligatures w14:val="standardContextual"/>
              </w:rPr>
            </w:pPr>
            <w:r w:rsidRPr="009E5809">
              <w:rPr>
                <w:rFonts w:asciiTheme="majorBidi" w:eastAsiaTheme="minorHAnsi" w:hAnsiTheme="majorBidi" w:cstheme="majorBidi"/>
                <w:b/>
                <w:bCs/>
                <w:kern w:val="2"/>
                <w:lang w:eastAsia="en-US"/>
                <w14:ligatures w14:val="standardContextual"/>
              </w:rPr>
              <w:t>Other Risk Factors</w:t>
            </w:r>
          </w:p>
        </w:tc>
      </w:tr>
      <w:tr w:rsidR="009E5809" w:rsidRPr="009E5809" w14:paraId="00D50BA5" w14:textId="77777777" w:rsidTr="003A26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4" w:type="dxa"/>
            <w:tcBorders>
              <w:top w:val="single" w:sz="4" w:space="0" w:color="auto"/>
            </w:tcBorders>
          </w:tcPr>
          <w:p w14:paraId="4DCDC992" w14:textId="77777777" w:rsidR="009E5809" w:rsidRPr="009E5809" w:rsidRDefault="009E5809" w:rsidP="009E5809">
            <w:pPr>
              <w:spacing w:after="160" w:line="259" w:lineRule="auto"/>
              <w:rPr>
                <w:rFonts w:asciiTheme="majorBidi" w:eastAsiaTheme="minorHAnsi" w:hAnsiTheme="majorBidi" w:cstheme="majorBidi"/>
                <w:kern w:val="2"/>
                <w:lang w:eastAsia="en-US"/>
                <w14:ligatures w14:val="standardContextual"/>
              </w:rPr>
            </w:pPr>
            <w:r w:rsidRPr="009E5809">
              <w:rPr>
                <w:rFonts w:asciiTheme="majorBidi" w:eastAsiaTheme="minorHAnsi" w:hAnsiTheme="majorBidi" w:cstheme="majorBidi"/>
                <w:color w:val="000000"/>
                <w:kern w:val="2"/>
                <w:lang w:eastAsia="en-US"/>
                <w14:ligatures w14:val="standardContextual"/>
              </w:rPr>
              <w:t>Chen Y. et al</w:t>
            </w:r>
          </w:p>
        </w:tc>
        <w:tc>
          <w:tcPr>
            <w:tcW w:w="583" w:type="dxa"/>
            <w:tcBorders>
              <w:top w:val="single" w:sz="4" w:space="0" w:color="auto"/>
            </w:tcBorders>
          </w:tcPr>
          <w:p w14:paraId="6ABABB3B"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kern w:val="2"/>
                <w:lang w:eastAsia="en-US"/>
                <w14:ligatures w14:val="standardContextual"/>
              </w:rPr>
            </w:pPr>
            <w:r w:rsidRPr="009E5809">
              <w:rPr>
                <w:rFonts w:asciiTheme="majorBidi" w:eastAsiaTheme="minorHAnsi" w:hAnsiTheme="majorBidi" w:cstheme="majorBidi"/>
                <w:kern w:val="2"/>
                <w:lang w:eastAsia="en-US"/>
                <w14:ligatures w14:val="standardContextual"/>
              </w:rPr>
              <w:t xml:space="preserve">√ </w:t>
            </w:r>
          </w:p>
        </w:tc>
        <w:tc>
          <w:tcPr>
            <w:tcW w:w="1613" w:type="dxa"/>
            <w:tcBorders>
              <w:top w:val="single" w:sz="4" w:space="0" w:color="auto"/>
            </w:tcBorders>
          </w:tcPr>
          <w:p w14:paraId="18ADB46E"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kern w:val="2"/>
                <w:lang w:eastAsia="en-US"/>
                <w14:ligatures w14:val="standardContextual"/>
              </w:rPr>
            </w:pPr>
          </w:p>
        </w:tc>
        <w:tc>
          <w:tcPr>
            <w:tcW w:w="1078" w:type="dxa"/>
            <w:tcBorders>
              <w:top w:val="single" w:sz="4" w:space="0" w:color="auto"/>
            </w:tcBorders>
          </w:tcPr>
          <w:p w14:paraId="5AEFAC50"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kern w:val="2"/>
                <w:lang w:eastAsia="en-US"/>
                <w14:ligatures w14:val="standardContextual"/>
              </w:rPr>
            </w:pPr>
            <w:r w:rsidRPr="009E5809">
              <w:rPr>
                <w:rFonts w:asciiTheme="majorBidi" w:eastAsiaTheme="minorHAnsi" w:hAnsiTheme="majorBidi" w:cstheme="majorBidi"/>
                <w:kern w:val="2"/>
                <w:lang w:eastAsia="en-US"/>
                <w14:ligatures w14:val="standardContextual"/>
              </w:rPr>
              <w:t xml:space="preserve">√ </w:t>
            </w:r>
          </w:p>
        </w:tc>
        <w:tc>
          <w:tcPr>
            <w:tcW w:w="1781" w:type="dxa"/>
            <w:tcBorders>
              <w:top w:val="single" w:sz="4" w:space="0" w:color="auto"/>
            </w:tcBorders>
          </w:tcPr>
          <w:p w14:paraId="37B2566D"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kern w:val="2"/>
                <w:lang w:eastAsia="en-US"/>
                <w14:ligatures w14:val="standardContextual"/>
              </w:rPr>
            </w:pPr>
          </w:p>
        </w:tc>
        <w:tc>
          <w:tcPr>
            <w:tcW w:w="746" w:type="dxa"/>
            <w:tcBorders>
              <w:top w:val="single" w:sz="4" w:space="0" w:color="auto"/>
            </w:tcBorders>
          </w:tcPr>
          <w:p w14:paraId="4FAA5383"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kern w:val="2"/>
                <w:lang w:eastAsia="en-US"/>
                <w14:ligatures w14:val="standardContextual"/>
              </w:rPr>
            </w:pPr>
            <w:r w:rsidRPr="009E5809">
              <w:rPr>
                <w:rFonts w:asciiTheme="majorBidi" w:eastAsiaTheme="minorHAnsi" w:hAnsiTheme="majorBidi" w:cstheme="majorBidi"/>
                <w:kern w:val="2"/>
                <w:lang w:eastAsia="en-US"/>
                <w14:ligatures w14:val="standardContextual"/>
              </w:rPr>
              <w:t xml:space="preserve">√ </w:t>
            </w:r>
          </w:p>
        </w:tc>
        <w:tc>
          <w:tcPr>
            <w:tcW w:w="2474" w:type="dxa"/>
            <w:tcBorders>
              <w:top w:val="single" w:sz="4" w:space="0" w:color="auto"/>
            </w:tcBorders>
          </w:tcPr>
          <w:p w14:paraId="5452A01B"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kern w:val="2"/>
                <w:lang w:eastAsia="en-US"/>
                <w14:ligatures w14:val="standardContextual"/>
              </w:rPr>
            </w:pPr>
            <w:r w:rsidRPr="009E5809">
              <w:rPr>
                <w:rFonts w:asciiTheme="majorBidi" w:eastAsiaTheme="minorHAnsi" w:hAnsiTheme="majorBidi" w:cstheme="majorBidi"/>
                <w:kern w:val="2"/>
                <w:lang w:eastAsia="en-US"/>
                <w14:ligatures w14:val="standardContextual"/>
              </w:rPr>
              <w:t>Barthel classification.</w:t>
            </w:r>
          </w:p>
        </w:tc>
      </w:tr>
      <w:tr w:rsidR="009E5809" w:rsidRPr="009E5809" w14:paraId="097C77E5" w14:textId="77777777" w:rsidTr="003A268D">
        <w:tc>
          <w:tcPr>
            <w:cnfStyle w:val="001000000000" w:firstRow="0" w:lastRow="0" w:firstColumn="1" w:lastColumn="0" w:oddVBand="0" w:evenVBand="0" w:oddHBand="0" w:evenHBand="0" w:firstRowFirstColumn="0" w:firstRowLastColumn="0" w:lastRowFirstColumn="0" w:lastRowLastColumn="0"/>
            <w:tcW w:w="1304" w:type="dxa"/>
            <w:tcBorders>
              <w:bottom w:val="nil"/>
            </w:tcBorders>
          </w:tcPr>
          <w:p w14:paraId="082C78A2" w14:textId="77777777" w:rsidR="009E5809" w:rsidRPr="009E5809" w:rsidRDefault="009E5809" w:rsidP="009E5809">
            <w:pPr>
              <w:spacing w:after="160" w:line="259" w:lineRule="auto"/>
              <w:rPr>
                <w:rFonts w:asciiTheme="majorBidi" w:eastAsiaTheme="minorHAnsi" w:hAnsiTheme="majorBidi" w:cstheme="majorBidi"/>
                <w:kern w:val="2"/>
                <w:lang w:eastAsia="en-US"/>
                <w14:ligatures w14:val="standardContextual"/>
              </w:rPr>
            </w:pPr>
            <w:r w:rsidRPr="009E5809">
              <w:rPr>
                <w:rFonts w:asciiTheme="majorBidi" w:eastAsiaTheme="minorHAnsi" w:hAnsiTheme="majorBidi" w:cstheme="majorBidi"/>
                <w:color w:val="000000"/>
                <w:kern w:val="2"/>
                <w:lang w:eastAsia="en-US"/>
                <w14:ligatures w14:val="standardContextual"/>
              </w:rPr>
              <w:t>Chen D. et al</w:t>
            </w:r>
          </w:p>
        </w:tc>
        <w:tc>
          <w:tcPr>
            <w:tcW w:w="583" w:type="dxa"/>
            <w:tcBorders>
              <w:bottom w:val="nil"/>
            </w:tcBorders>
          </w:tcPr>
          <w:p w14:paraId="2D1CA177"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kern w:val="2"/>
                <w:lang w:eastAsia="en-US"/>
                <w14:ligatures w14:val="standardContextual"/>
              </w:rPr>
            </w:pPr>
            <w:r w:rsidRPr="009E5809">
              <w:rPr>
                <w:rFonts w:asciiTheme="majorBidi" w:eastAsiaTheme="minorHAnsi" w:hAnsiTheme="majorBidi" w:cstheme="majorBidi"/>
                <w:kern w:val="2"/>
                <w:lang w:eastAsia="en-US"/>
                <w14:ligatures w14:val="standardContextual"/>
              </w:rPr>
              <w:t xml:space="preserve">√ </w:t>
            </w:r>
          </w:p>
        </w:tc>
        <w:tc>
          <w:tcPr>
            <w:tcW w:w="1613" w:type="dxa"/>
            <w:tcBorders>
              <w:bottom w:val="nil"/>
            </w:tcBorders>
          </w:tcPr>
          <w:p w14:paraId="3E6B2391"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kern w:val="2"/>
                <w:lang w:eastAsia="en-US"/>
                <w14:ligatures w14:val="standardContextual"/>
              </w:rPr>
            </w:pPr>
          </w:p>
        </w:tc>
        <w:tc>
          <w:tcPr>
            <w:tcW w:w="1078" w:type="dxa"/>
            <w:tcBorders>
              <w:bottom w:val="nil"/>
            </w:tcBorders>
          </w:tcPr>
          <w:p w14:paraId="2F403EE4"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kern w:val="2"/>
                <w:lang w:eastAsia="en-US"/>
                <w14:ligatures w14:val="standardContextual"/>
              </w:rPr>
            </w:pPr>
            <w:r w:rsidRPr="009E5809">
              <w:rPr>
                <w:rFonts w:asciiTheme="majorBidi" w:eastAsiaTheme="minorHAnsi" w:hAnsiTheme="majorBidi" w:cstheme="majorBidi"/>
                <w:kern w:val="2"/>
                <w:lang w:eastAsia="en-US"/>
                <w14:ligatures w14:val="standardContextual"/>
              </w:rPr>
              <w:t xml:space="preserve">√ </w:t>
            </w:r>
          </w:p>
        </w:tc>
        <w:tc>
          <w:tcPr>
            <w:tcW w:w="1781" w:type="dxa"/>
            <w:tcBorders>
              <w:bottom w:val="nil"/>
            </w:tcBorders>
          </w:tcPr>
          <w:p w14:paraId="4EB97E74"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kern w:val="2"/>
                <w:lang w:eastAsia="en-US"/>
                <w14:ligatures w14:val="standardContextual"/>
              </w:rPr>
            </w:pPr>
          </w:p>
        </w:tc>
        <w:tc>
          <w:tcPr>
            <w:tcW w:w="746" w:type="dxa"/>
            <w:tcBorders>
              <w:bottom w:val="nil"/>
            </w:tcBorders>
          </w:tcPr>
          <w:p w14:paraId="3D3508E0"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kern w:val="2"/>
                <w:lang w:eastAsia="en-US"/>
                <w14:ligatures w14:val="standardContextual"/>
              </w:rPr>
            </w:pPr>
          </w:p>
        </w:tc>
        <w:tc>
          <w:tcPr>
            <w:tcW w:w="2474" w:type="dxa"/>
            <w:tcBorders>
              <w:bottom w:val="nil"/>
            </w:tcBorders>
          </w:tcPr>
          <w:p w14:paraId="36A23FF5"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kern w:val="2"/>
                <w:lang w:eastAsia="en-US"/>
                <w14:ligatures w14:val="standardContextual"/>
              </w:rPr>
            </w:pPr>
            <w:r w:rsidRPr="009E5809">
              <w:rPr>
                <w:rFonts w:asciiTheme="majorBidi" w:eastAsia="Times New Roman" w:hAnsiTheme="majorBidi" w:cstheme="majorBidi"/>
                <w:color w:val="000000"/>
                <w:lang w:eastAsia="en-US"/>
              </w:rPr>
              <w:t>Cystatin C, GFR, CHE, CRP, LDH, Mg2+, MONO, and History of mental illness or psychotropic drug use.</w:t>
            </w:r>
          </w:p>
        </w:tc>
      </w:tr>
      <w:tr w:rsidR="009E5809" w:rsidRPr="009E5809" w14:paraId="78BE587F" w14:textId="77777777" w:rsidTr="003A26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4" w:type="dxa"/>
            <w:tcBorders>
              <w:top w:val="nil"/>
              <w:bottom w:val="single" w:sz="12" w:space="0" w:color="auto"/>
            </w:tcBorders>
          </w:tcPr>
          <w:p w14:paraId="07103029" w14:textId="77777777" w:rsidR="009E5809" w:rsidRPr="009E5809" w:rsidRDefault="009E5809" w:rsidP="009E5809">
            <w:pPr>
              <w:spacing w:after="160" w:line="259" w:lineRule="auto"/>
              <w:rPr>
                <w:rFonts w:asciiTheme="majorBidi" w:eastAsiaTheme="minorHAnsi" w:hAnsiTheme="majorBidi" w:cstheme="majorBidi"/>
                <w:kern w:val="2"/>
                <w:lang w:eastAsia="en-US"/>
                <w14:ligatures w14:val="standardContextual"/>
              </w:rPr>
            </w:pPr>
            <w:r w:rsidRPr="009E5809">
              <w:rPr>
                <w:rFonts w:asciiTheme="majorBidi" w:eastAsiaTheme="minorHAnsi" w:hAnsiTheme="majorBidi" w:cstheme="majorBidi"/>
                <w:color w:val="000000"/>
                <w:kern w:val="2"/>
                <w:lang w:eastAsia="en-US"/>
                <w14:ligatures w14:val="standardContextual"/>
              </w:rPr>
              <w:t>Matsumoto K. et al</w:t>
            </w:r>
          </w:p>
        </w:tc>
        <w:tc>
          <w:tcPr>
            <w:tcW w:w="583" w:type="dxa"/>
            <w:tcBorders>
              <w:top w:val="nil"/>
              <w:bottom w:val="single" w:sz="12" w:space="0" w:color="auto"/>
            </w:tcBorders>
          </w:tcPr>
          <w:p w14:paraId="13144F91"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kern w:val="2"/>
                <w:lang w:eastAsia="en-US"/>
                <w14:ligatures w14:val="standardContextual"/>
              </w:rPr>
            </w:pPr>
            <w:r w:rsidRPr="009E5809">
              <w:rPr>
                <w:rFonts w:asciiTheme="majorBidi" w:eastAsiaTheme="minorHAnsi" w:hAnsiTheme="majorBidi" w:cstheme="majorBidi"/>
                <w:kern w:val="2"/>
                <w:lang w:eastAsia="en-US"/>
                <w14:ligatures w14:val="standardContextual"/>
              </w:rPr>
              <w:t xml:space="preserve">√ </w:t>
            </w:r>
          </w:p>
        </w:tc>
        <w:tc>
          <w:tcPr>
            <w:tcW w:w="1613" w:type="dxa"/>
            <w:tcBorders>
              <w:top w:val="nil"/>
              <w:bottom w:val="single" w:sz="12" w:space="0" w:color="auto"/>
            </w:tcBorders>
          </w:tcPr>
          <w:p w14:paraId="0D3D29C6"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kern w:val="2"/>
                <w:lang w:eastAsia="en-US"/>
                <w14:ligatures w14:val="standardContextual"/>
              </w:rPr>
            </w:pPr>
            <w:r w:rsidRPr="009E5809">
              <w:rPr>
                <w:rFonts w:asciiTheme="majorBidi" w:eastAsiaTheme="minorHAnsi" w:hAnsiTheme="majorBidi" w:cstheme="majorBidi"/>
                <w:kern w:val="2"/>
                <w:lang w:eastAsia="en-US"/>
                <w14:ligatures w14:val="standardContextual"/>
              </w:rPr>
              <w:t xml:space="preserve">√ </w:t>
            </w:r>
          </w:p>
        </w:tc>
        <w:tc>
          <w:tcPr>
            <w:tcW w:w="1078" w:type="dxa"/>
            <w:tcBorders>
              <w:top w:val="nil"/>
              <w:bottom w:val="single" w:sz="12" w:space="0" w:color="auto"/>
            </w:tcBorders>
          </w:tcPr>
          <w:p w14:paraId="7E7837F7"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kern w:val="2"/>
                <w:lang w:eastAsia="en-US"/>
                <w14:ligatures w14:val="standardContextual"/>
              </w:rPr>
            </w:pPr>
          </w:p>
        </w:tc>
        <w:tc>
          <w:tcPr>
            <w:tcW w:w="1781" w:type="dxa"/>
            <w:tcBorders>
              <w:top w:val="nil"/>
              <w:bottom w:val="single" w:sz="12" w:space="0" w:color="auto"/>
            </w:tcBorders>
          </w:tcPr>
          <w:p w14:paraId="6507F0EB"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kern w:val="2"/>
                <w:lang w:eastAsia="en-US"/>
                <w14:ligatures w14:val="standardContextual"/>
              </w:rPr>
            </w:pPr>
            <w:r w:rsidRPr="009E5809">
              <w:rPr>
                <w:rFonts w:asciiTheme="majorBidi" w:eastAsiaTheme="minorHAnsi" w:hAnsiTheme="majorBidi" w:cstheme="majorBidi"/>
                <w:kern w:val="2"/>
                <w:lang w:eastAsia="en-US"/>
                <w14:ligatures w14:val="standardContextual"/>
              </w:rPr>
              <w:t xml:space="preserve">√ </w:t>
            </w:r>
          </w:p>
        </w:tc>
        <w:tc>
          <w:tcPr>
            <w:tcW w:w="746" w:type="dxa"/>
            <w:tcBorders>
              <w:top w:val="nil"/>
              <w:bottom w:val="single" w:sz="12" w:space="0" w:color="auto"/>
            </w:tcBorders>
          </w:tcPr>
          <w:p w14:paraId="7CB260AD"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kern w:val="2"/>
                <w:lang w:eastAsia="en-US"/>
                <w14:ligatures w14:val="standardContextual"/>
              </w:rPr>
            </w:pPr>
            <w:r w:rsidRPr="009E5809">
              <w:rPr>
                <w:rFonts w:asciiTheme="majorBidi" w:eastAsiaTheme="minorHAnsi" w:hAnsiTheme="majorBidi" w:cstheme="majorBidi"/>
                <w:kern w:val="2"/>
                <w:lang w:eastAsia="en-US"/>
                <w14:ligatures w14:val="standardContextual"/>
              </w:rPr>
              <w:t xml:space="preserve">√ </w:t>
            </w:r>
          </w:p>
        </w:tc>
        <w:tc>
          <w:tcPr>
            <w:tcW w:w="2474" w:type="dxa"/>
            <w:tcBorders>
              <w:top w:val="nil"/>
              <w:bottom w:val="single" w:sz="12" w:space="0" w:color="auto"/>
            </w:tcBorders>
          </w:tcPr>
          <w:p w14:paraId="6233CFF8"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kern w:val="2"/>
                <w:lang w:eastAsia="en-US"/>
                <w14:ligatures w14:val="standardContextual"/>
              </w:rPr>
            </w:pPr>
            <w:r w:rsidRPr="009E5809">
              <w:rPr>
                <w:rFonts w:asciiTheme="majorBidi" w:eastAsia="Times New Roman" w:hAnsiTheme="majorBidi" w:cstheme="majorBidi"/>
                <w:color w:val="000000"/>
                <w:lang w:eastAsia="en-US"/>
              </w:rPr>
              <w:t>BMI, emergency admission, use of ambulance, neurosurgery, thoracic cavity and mediastinum surgery, and history of delirium.</w:t>
            </w:r>
          </w:p>
        </w:tc>
      </w:tr>
    </w:tbl>
    <w:p w14:paraId="3956068F" w14:textId="77777777" w:rsidR="009E5809" w:rsidRPr="009E5809" w:rsidRDefault="009E5809" w:rsidP="009E5809">
      <w:pPr>
        <w:spacing w:after="160" w:line="259" w:lineRule="auto"/>
        <w:jc w:val="both"/>
        <w:rPr>
          <w:rFonts w:ascii="Times New Roman" w:eastAsiaTheme="minorHAnsi" w:hAnsi="Times New Roman"/>
          <w:kern w:val="2"/>
          <w:sz w:val="24"/>
          <w:szCs w:val="24"/>
          <w:vertAlign w:val="subscript"/>
          <w:lang w:eastAsia="en-US"/>
          <w14:ligatures w14:val="standardContextual"/>
        </w:rPr>
      </w:pPr>
      <w:r w:rsidRPr="009E5809">
        <w:rPr>
          <w:rFonts w:ascii="Times New Roman" w:eastAsiaTheme="minorHAnsi" w:hAnsi="Times New Roman"/>
          <w:b/>
          <w:bCs/>
          <w:kern w:val="2"/>
          <w:sz w:val="24"/>
          <w:szCs w:val="24"/>
          <w:vertAlign w:val="subscript"/>
          <w:lang w:eastAsia="en-US"/>
          <w14:ligatures w14:val="standardContextual"/>
        </w:rPr>
        <w:t xml:space="preserve">Abbreviations: </w:t>
      </w:r>
      <w:r w:rsidRPr="009E5809">
        <w:rPr>
          <w:rFonts w:ascii="Times New Roman" w:eastAsiaTheme="minorHAnsi" w:hAnsi="Times New Roman"/>
          <w:kern w:val="2"/>
          <w:sz w:val="24"/>
          <w:szCs w:val="24"/>
          <w:vertAlign w:val="subscript"/>
          <w:lang w:eastAsia="en-US"/>
          <w14:ligatures w14:val="standardContextual"/>
        </w:rPr>
        <w:t xml:space="preserve">ICU; Intensive Care Unit, ASA; American Society Anesthesiologists, NRS; Numerical Pain Score, COPD; </w:t>
      </w:r>
      <w:r w:rsidRPr="009E5809">
        <w:rPr>
          <w:rFonts w:ascii="Times New Roman" w:eastAsia="Times New Roman" w:hAnsi="Times New Roman"/>
          <w:color w:val="000000"/>
          <w:sz w:val="24"/>
          <w:szCs w:val="24"/>
          <w:vertAlign w:val="subscript"/>
          <w:lang w:eastAsia="en-US"/>
        </w:rPr>
        <w:t>Chronic Obstructive Pulmonary Disease</w:t>
      </w:r>
      <w:r w:rsidRPr="009E5809">
        <w:rPr>
          <w:rFonts w:ascii="Times New Roman" w:eastAsiaTheme="minorHAnsi" w:hAnsi="Times New Roman"/>
          <w:kern w:val="2"/>
          <w:sz w:val="24"/>
          <w:szCs w:val="24"/>
          <w:vertAlign w:val="subscript"/>
          <w:lang w:eastAsia="en-US"/>
          <w14:ligatures w14:val="standardContextual"/>
        </w:rPr>
        <w:t xml:space="preserve">, CCI; </w:t>
      </w:r>
      <w:proofErr w:type="spellStart"/>
      <w:r w:rsidRPr="009E5809">
        <w:rPr>
          <w:rFonts w:ascii="Times New Roman" w:eastAsia="Times New Roman" w:hAnsi="Times New Roman"/>
          <w:color w:val="000000"/>
          <w:sz w:val="24"/>
          <w:szCs w:val="24"/>
          <w:vertAlign w:val="subscript"/>
          <w:lang w:eastAsia="en-US"/>
        </w:rPr>
        <w:t>Charlson</w:t>
      </w:r>
      <w:proofErr w:type="spellEnd"/>
      <w:r w:rsidRPr="009E5809">
        <w:rPr>
          <w:rFonts w:ascii="Times New Roman" w:eastAsia="Times New Roman" w:hAnsi="Times New Roman"/>
          <w:color w:val="000000"/>
          <w:sz w:val="24"/>
          <w:szCs w:val="24"/>
          <w:vertAlign w:val="subscript"/>
          <w:lang w:eastAsia="en-US"/>
        </w:rPr>
        <w:t xml:space="preserve"> Comorbidity Index</w:t>
      </w:r>
      <w:r w:rsidRPr="009E5809">
        <w:rPr>
          <w:rFonts w:ascii="Times New Roman" w:eastAsiaTheme="minorHAnsi" w:hAnsi="Times New Roman"/>
          <w:kern w:val="2"/>
          <w:sz w:val="24"/>
          <w:szCs w:val="24"/>
          <w:vertAlign w:val="subscript"/>
          <w:lang w:eastAsia="en-US"/>
          <w14:ligatures w14:val="standardContextual"/>
        </w:rPr>
        <w:t xml:space="preserve">, WBC; White Blood Cells, MMSE; </w:t>
      </w:r>
      <w:r w:rsidRPr="009E5809">
        <w:rPr>
          <w:rFonts w:ascii="Times New Roman" w:eastAsia="Times New Roman" w:hAnsi="Times New Roman"/>
          <w:color w:val="000000"/>
          <w:sz w:val="24"/>
          <w:szCs w:val="24"/>
          <w:vertAlign w:val="subscript"/>
          <w:lang w:eastAsia="en-US"/>
        </w:rPr>
        <w:t>Mini-Mental State Examination score</w:t>
      </w:r>
      <w:r w:rsidRPr="009E5809">
        <w:rPr>
          <w:rFonts w:ascii="Times New Roman" w:eastAsiaTheme="minorHAnsi" w:hAnsi="Times New Roman"/>
          <w:kern w:val="2"/>
          <w:sz w:val="24"/>
          <w:szCs w:val="24"/>
          <w:vertAlign w:val="subscript"/>
          <w:lang w:eastAsia="en-US"/>
          <w14:ligatures w14:val="standardContextual"/>
        </w:rPr>
        <w:t xml:space="preserve">, NLR; </w:t>
      </w:r>
      <w:r w:rsidRPr="009E5809">
        <w:rPr>
          <w:rFonts w:ascii="Times New Roman" w:eastAsia="Times New Roman" w:hAnsi="Times New Roman"/>
          <w:color w:val="000000"/>
          <w:sz w:val="24"/>
          <w:szCs w:val="24"/>
          <w:vertAlign w:val="subscript"/>
          <w:lang w:eastAsia="en-US"/>
        </w:rPr>
        <w:t>Neutrophil-to-Lymphocyte Ratio</w:t>
      </w:r>
      <w:r w:rsidRPr="009E5809">
        <w:rPr>
          <w:rFonts w:ascii="Times New Roman" w:eastAsiaTheme="minorHAnsi" w:hAnsi="Times New Roman"/>
          <w:kern w:val="2"/>
          <w:sz w:val="24"/>
          <w:szCs w:val="24"/>
          <w:vertAlign w:val="subscript"/>
          <w:lang w:eastAsia="en-US"/>
          <w14:ligatures w14:val="standardContextual"/>
        </w:rPr>
        <w:t>, BP; Blood Pressure, AFR; Albumin/Fibrinogen Ratio, GFR;  Glomerular Filtration Rate, CHE; Cholinesterase, CRP; C-Reactive Protein, LDH; Lactate Dehydrogenase, Mg</w:t>
      </w:r>
      <w:r w:rsidRPr="009E5809">
        <w:rPr>
          <w:rFonts w:ascii="Times New Roman" w:eastAsiaTheme="minorHAnsi" w:hAnsi="Times New Roman"/>
          <w:kern w:val="2"/>
          <w:sz w:val="24"/>
          <w:szCs w:val="24"/>
          <w:vertAlign w:val="superscript"/>
          <w:lang w:eastAsia="en-US"/>
          <w14:ligatures w14:val="standardContextual"/>
        </w:rPr>
        <w:t>2+</w:t>
      </w:r>
      <w:r w:rsidRPr="009E5809">
        <w:rPr>
          <w:rFonts w:ascii="Times New Roman" w:eastAsiaTheme="minorHAnsi" w:hAnsi="Times New Roman"/>
          <w:kern w:val="2"/>
          <w:sz w:val="24"/>
          <w:szCs w:val="24"/>
          <w:vertAlign w:val="subscript"/>
          <w:lang w:eastAsia="en-US"/>
          <w14:ligatures w14:val="standardContextual"/>
        </w:rPr>
        <w:t xml:space="preserve">; Magnesium ions, MONO; Monocyte Count, BMI; Body Mass Index.  </w:t>
      </w:r>
    </w:p>
    <w:p w14:paraId="344670B2" w14:textId="77777777" w:rsidR="009E5809" w:rsidRPr="009E5809" w:rsidRDefault="009E5809" w:rsidP="009E5809">
      <w:pPr>
        <w:spacing w:after="160" w:line="259" w:lineRule="auto"/>
        <w:jc w:val="both"/>
        <w:rPr>
          <w:rFonts w:ascii="Times New Roman" w:eastAsiaTheme="minorHAnsi" w:hAnsi="Times New Roman"/>
          <w:kern w:val="2"/>
          <w:sz w:val="24"/>
          <w:szCs w:val="24"/>
          <w:lang w:eastAsia="en-US"/>
          <w14:ligatures w14:val="standardContextual"/>
        </w:rPr>
      </w:pPr>
    </w:p>
    <w:p w14:paraId="0D5E20DA" w14:textId="77777777" w:rsidR="009E5809" w:rsidRPr="009E5809" w:rsidRDefault="009E5809" w:rsidP="009E5809">
      <w:pPr>
        <w:spacing w:after="160" w:line="259" w:lineRule="auto"/>
        <w:jc w:val="both"/>
        <w:rPr>
          <w:rFonts w:ascii="Times New Roman" w:eastAsiaTheme="minorHAnsi" w:hAnsi="Times New Roman"/>
          <w:kern w:val="2"/>
          <w:sz w:val="24"/>
          <w:szCs w:val="24"/>
          <w:lang w:eastAsia="en-US"/>
          <w14:ligatures w14:val="standardContextual"/>
        </w:rPr>
      </w:pPr>
    </w:p>
    <w:p w14:paraId="6F1F09E8" w14:textId="77777777" w:rsidR="009E5809" w:rsidRPr="009E5809" w:rsidRDefault="009E5809" w:rsidP="009E5809">
      <w:pPr>
        <w:spacing w:after="160" w:line="259" w:lineRule="auto"/>
        <w:rPr>
          <w:rFonts w:ascii="Times New Roman" w:eastAsiaTheme="minorHAnsi" w:hAnsi="Times New Roman"/>
          <w:kern w:val="2"/>
          <w:sz w:val="24"/>
          <w:szCs w:val="24"/>
          <w:lang w:eastAsia="en-US"/>
          <w14:ligatures w14:val="standardContextual"/>
        </w:rPr>
      </w:pPr>
      <w:r w:rsidRPr="009E5809">
        <w:rPr>
          <w:rFonts w:ascii="Times New Roman" w:eastAsiaTheme="minorHAnsi" w:hAnsi="Times New Roman"/>
          <w:kern w:val="2"/>
          <w:sz w:val="24"/>
          <w:szCs w:val="24"/>
          <w:lang w:eastAsia="en-US"/>
          <w14:ligatures w14:val="standardContextual"/>
        </w:rPr>
        <w:br w:type="page"/>
      </w:r>
    </w:p>
    <w:p w14:paraId="14CC0AC3" w14:textId="77777777" w:rsidR="009E5809" w:rsidRPr="009E5809" w:rsidRDefault="009E5809" w:rsidP="009E5809">
      <w:pPr>
        <w:spacing w:after="160" w:line="259" w:lineRule="auto"/>
        <w:jc w:val="both"/>
        <w:rPr>
          <w:rFonts w:ascii="Times New Roman" w:eastAsiaTheme="minorHAnsi" w:hAnsi="Times New Roman"/>
          <w:kern w:val="2"/>
          <w:sz w:val="24"/>
          <w:szCs w:val="24"/>
          <w:lang w:eastAsia="en-US"/>
          <w14:ligatures w14:val="standardContextual"/>
        </w:rPr>
      </w:pPr>
      <w:r w:rsidRPr="009E5809">
        <w:rPr>
          <w:rFonts w:ascii="Times New Roman" w:eastAsiaTheme="minorHAnsi" w:hAnsi="Times New Roman"/>
          <w:b/>
          <w:bCs/>
          <w:kern w:val="2"/>
          <w:sz w:val="24"/>
          <w:szCs w:val="24"/>
          <w:lang w:eastAsia="en-US"/>
          <w14:ligatures w14:val="standardContextual"/>
        </w:rPr>
        <w:lastRenderedPageBreak/>
        <w:t xml:space="preserve">Table 4 </w:t>
      </w:r>
      <w:r w:rsidRPr="009E5809">
        <w:rPr>
          <w:rFonts w:ascii="Times New Roman" w:eastAsiaTheme="minorHAnsi" w:hAnsi="Times New Roman"/>
          <w:kern w:val="2"/>
          <w:sz w:val="24"/>
          <w:szCs w:val="24"/>
          <w:lang w:eastAsia="en-US"/>
          <w14:ligatures w14:val="standardContextual"/>
        </w:rPr>
        <w:t xml:space="preserve">Shows the Correlation between the AUC and the Number of Variables used in the Development of the RPMs.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126"/>
        <w:gridCol w:w="2784"/>
        <w:gridCol w:w="2323"/>
      </w:tblGrid>
      <w:tr w:rsidR="009E5809" w:rsidRPr="009E5809" w14:paraId="0ED71225" w14:textId="77777777" w:rsidTr="003A268D">
        <w:tc>
          <w:tcPr>
            <w:tcW w:w="2127" w:type="dxa"/>
            <w:tcBorders>
              <w:top w:val="single" w:sz="12" w:space="0" w:color="auto"/>
              <w:bottom w:val="single" w:sz="12" w:space="0" w:color="auto"/>
            </w:tcBorders>
          </w:tcPr>
          <w:p w14:paraId="72C58984" w14:textId="77777777" w:rsidR="009E5809" w:rsidRPr="009E5809" w:rsidRDefault="009E5809" w:rsidP="009E5809">
            <w:pPr>
              <w:spacing w:after="160" w:line="259" w:lineRule="auto"/>
              <w:jc w:val="both"/>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r</w:t>
            </w:r>
          </w:p>
        </w:tc>
        <w:tc>
          <w:tcPr>
            <w:tcW w:w="2126" w:type="dxa"/>
            <w:tcBorders>
              <w:top w:val="single" w:sz="12" w:space="0" w:color="auto"/>
              <w:bottom w:val="single" w:sz="12" w:space="0" w:color="auto"/>
            </w:tcBorders>
          </w:tcPr>
          <w:p w14:paraId="1F399360" w14:textId="77777777" w:rsidR="009E5809" w:rsidRPr="009E5809" w:rsidRDefault="009E5809" w:rsidP="009E5809">
            <w:pPr>
              <w:spacing w:after="160" w:line="259" w:lineRule="auto"/>
              <w:jc w:val="both"/>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r</w:t>
            </w:r>
            <w:r w:rsidRPr="009E5809">
              <w:rPr>
                <w:rFonts w:ascii="Times New Roman" w:eastAsiaTheme="minorHAnsi" w:hAnsi="Times New Roman"/>
                <w:kern w:val="2"/>
                <w:vertAlign w:val="superscript"/>
                <w:lang w:eastAsia="en-US"/>
                <w14:ligatures w14:val="standardContextual"/>
              </w:rPr>
              <w:t>2</w:t>
            </w:r>
          </w:p>
        </w:tc>
        <w:tc>
          <w:tcPr>
            <w:tcW w:w="2784" w:type="dxa"/>
            <w:tcBorders>
              <w:top w:val="single" w:sz="12" w:space="0" w:color="auto"/>
              <w:bottom w:val="single" w:sz="12" w:space="0" w:color="auto"/>
            </w:tcBorders>
          </w:tcPr>
          <w:p w14:paraId="7ED79E9E" w14:textId="77777777" w:rsidR="009E5809" w:rsidRPr="009E5809" w:rsidRDefault="009E5809" w:rsidP="009E5809">
            <w:pPr>
              <w:spacing w:after="160" w:line="259" w:lineRule="auto"/>
              <w:jc w:val="both"/>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 xml:space="preserve">95% CI </w:t>
            </w:r>
          </w:p>
        </w:tc>
        <w:tc>
          <w:tcPr>
            <w:tcW w:w="2323" w:type="dxa"/>
            <w:tcBorders>
              <w:top w:val="single" w:sz="12" w:space="0" w:color="auto"/>
              <w:bottom w:val="single" w:sz="12" w:space="0" w:color="auto"/>
            </w:tcBorders>
          </w:tcPr>
          <w:p w14:paraId="30ECFDF3" w14:textId="77777777" w:rsidR="009E5809" w:rsidRPr="009E5809" w:rsidRDefault="009E5809" w:rsidP="009E5809">
            <w:pPr>
              <w:spacing w:after="160" w:line="259" w:lineRule="auto"/>
              <w:jc w:val="both"/>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p-value (two-tailed)</w:t>
            </w:r>
          </w:p>
        </w:tc>
      </w:tr>
      <w:tr w:rsidR="009E5809" w:rsidRPr="009E5809" w14:paraId="3A32E8C7" w14:textId="77777777" w:rsidTr="003A268D">
        <w:tc>
          <w:tcPr>
            <w:tcW w:w="2127" w:type="dxa"/>
            <w:tcBorders>
              <w:top w:val="single" w:sz="12" w:space="0" w:color="auto"/>
              <w:bottom w:val="single" w:sz="12" w:space="0" w:color="auto"/>
            </w:tcBorders>
          </w:tcPr>
          <w:p w14:paraId="6BDFD820" w14:textId="77777777" w:rsidR="009E5809" w:rsidRPr="009E5809" w:rsidRDefault="009E5809" w:rsidP="009E5809">
            <w:pPr>
              <w:spacing w:after="160" w:line="259" w:lineRule="auto"/>
              <w:jc w:val="both"/>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 xml:space="preserve">0.2989 </w:t>
            </w:r>
          </w:p>
        </w:tc>
        <w:tc>
          <w:tcPr>
            <w:tcW w:w="2126" w:type="dxa"/>
            <w:tcBorders>
              <w:top w:val="single" w:sz="12" w:space="0" w:color="auto"/>
              <w:bottom w:val="single" w:sz="12" w:space="0" w:color="auto"/>
            </w:tcBorders>
          </w:tcPr>
          <w:p w14:paraId="057336CB" w14:textId="77777777" w:rsidR="009E5809" w:rsidRPr="009E5809" w:rsidRDefault="009E5809" w:rsidP="009E5809">
            <w:pPr>
              <w:spacing w:after="160" w:line="259" w:lineRule="auto"/>
              <w:jc w:val="both"/>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 xml:space="preserve">0.08937 </w:t>
            </w:r>
          </w:p>
        </w:tc>
        <w:tc>
          <w:tcPr>
            <w:tcW w:w="2784" w:type="dxa"/>
            <w:tcBorders>
              <w:top w:val="single" w:sz="12" w:space="0" w:color="auto"/>
              <w:bottom w:val="single" w:sz="12" w:space="0" w:color="auto"/>
            </w:tcBorders>
          </w:tcPr>
          <w:p w14:paraId="3009C444" w14:textId="77777777" w:rsidR="009E5809" w:rsidRPr="009E5809" w:rsidRDefault="009E5809" w:rsidP="009E5809">
            <w:pPr>
              <w:spacing w:after="160" w:line="259" w:lineRule="auto"/>
              <w:jc w:val="both"/>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 xml:space="preserve">0.20655 (-0.3319-0.3452) </w:t>
            </w:r>
          </w:p>
        </w:tc>
        <w:tc>
          <w:tcPr>
            <w:tcW w:w="2323" w:type="dxa"/>
            <w:tcBorders>
              <w:top w:val="single" w:sz="12" w:space="0" w:color="auto"/>
              <w:bottom w:val="single" w:sz="12" w:space="0" w:color="auto"/>
            </w:tcBorders>
          </w:tcPr>
          <w:p w14:paraId="01BB393A" w14:textId="77777777" w:rsidR="009E5809" w:rsidRPr="009E5809" w:rsidRDefault="009E5809" w:rsidP="009E5809">
            <w:pPr>
              <w:spacing w:after="160" w:line="259" w:lineRule="auto"/>
              <w:jc w:val="both"/>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 xml:space="preserve">0.3452 </w:t>
            </w:r>
          </w:p>
          <w:p w14:paraId="068F155B" w14:textId="77777777" w:rsidR="009E5809" w:rsidRPr="009E5809" w:rsidRDefault="009E5809" w:rsidP="009E5809">
            <w:pPr>
              <w:spacing w:after="160" w:line="259" w:lineRule="auto"/>
              <w:jc w:val="both"/>
              <w:rPr>
                <w:rFonts w:ascii="Times New Roman" w:eastAsiaTheme="minorHAnsi" w:hAnsi="Times New Roman"/>
                <w:kern w:val="2"/>
                <w:lang w:eastAsia="en-US"/>
                <w14:ligatures w14:val="standardContextual"/>
              </w:rPr>
            </w:pPr>
          </w:p>
        </w:tc>
      </w:tr>
    </w:tbl>
    <w:p w14:paraId="4E18E4E9" w14:textId="77777777" w:rsidR="009E5809" w:rsidRPr="009E5809" w:rsidRDefault="009E5809" w:rsidP="009E5809">
      <w:pPr>
        <w:spacing w:after="160" w:line="259" w:lineRule="auto"/>
        <w:jc w:val="both"/>
        <w:rPr>
          <w:rFonts w:ascii="Times New Roman" w:eastAsiaTheme="minorHAnsi" w:hAnsi="Times New Roman"/>
          <w:kern w:val="2"/>
          <w:sz w:val="24"/>
          <w:szCs w:val="24"/>
          <w:vertAlign w:val="subscript"/>
          <w:lang w:eastAsia="en-US"/>
          <w14:ligatures w14:val="standardContextual"/>
        </w:rPr>
      </w:pPr>
      <w:r w:rsidRPr="009E5809">
        <w:rPr>
          <w:rFonts w:ascii="Times New Roman" w:eastAsiaTheme="minorHAnsi" w:hAnsi="Times New Roman"/>
          <w:b/>
          <w:bCs/>
          <w:kern w:val="2"/>
          <w:sz w:val="24"/>
          <w:szCs w:val="24"/>
          <w:vertAlign w:val="subscript"/>
          <w:lang w:eastAsia="en-US"/>
          <w14:ligatures w14:val="standardContextual"/>
        </w:rPr>
        <w:t xml:space="preserve">Abbreviations: </w:t>
      </w:r>
      <w:r w:rsidRPr="009E5809">
        <w:rPr>
          <w:rFonts w:ascii="Times New Roman" w:eastAsiaTheme="minorHAnsi" w:hAnsi="Times New Roman"/>
          <w:kern w:val="2"/>
          <w:sz w:val="24"/>
          <w:szCs w:val="24"/>
          <w:vertAlign w:val="subscript"/>
          <w:lang w:eastAsia="en-US"/>
          <w14:ligatures w14:val="standardContextual"/>
        </w:rPr>
        <w:t>r; Correlation Coefficient, r</w:t>
      </w:r>
      <w:r w:rsidRPr="009E5809">
        <w:rPr>
          <w:rFonts w:ascii="Times New Roman" w:eastAsiaTheme="minorHAnsi" w:hAnsi="Times New Roman"/>
          <w:kern w:val="2"/>
          <w:sz w:val="24"/>
          <w:szCs w:val="24"/>
          <w:vertAlign w:val="superscript"/>
          <w:lang w:eastAsia="en-US"/>
          <w14:ligatures w14:val="standardContextual"/>
        </w:rPr>
        <w:t>2</w:t>
      </w:r>
      <w:r w:rsidRPr="009E5809">
        <w:rPr>
          <w:rFonts w:ascii="Times New Roman" w:eastAsiaTheme="minorHAnsi" w:hAnsi="Times New Roman"/>
          <w:kern w:val="2"/>
          <w:sz w:val="24"/>
          <w:szCs w:val="24"/>
          <w:vertAlign w:val="subscript"/>
          <w:lang w:eastAsia="en-US"/>
          <w14:ligatures w14:val="standardContextual"/>
        </w:rPr>
        <w:t xml:space="preserve">; Correlation of Determination, CI; Confidence Interval, p-value; Probability value. </w:t>
      </w:r>
    </w:p>
    <w:p w14:paraId="2C12AC44" w14:textId="77777777" w:rsidR="009E5809" w:rsidRPr="009E5809" w:rsidRDefault="009E5809" w:rsidP="009E5809">
      <w:pPr>
        <w:spacing w:after="160" w:line="259" w:lineRule="auto"/>
        <w:jc w:val="both"/>
        <w:rPr>
          <w:rFonts w:ascii="Times New Roman" w:eastAsiaTheme="minorHAnsi" w:hAnsi="Times New Roman"/>
          <w:kern w:val="2"/>
          <w:sz w:val="24"/>
          <w:szCs w:val="24"/>
          <w:vertAlign w:val="subscript"/>
          <w:lang w:eastAsia="en-US"/>
          <w14:ligatures w14:val="standardContextual"/>
        </w:rPr>
      </w:pPr>
      <w:r w:rsidRPr="009E5809">
        <w:rPr>
          <w:rFonts w:ascii="Times New Roman" w:eastAsiaTheme="minorHAnsi" w:hAnsi="Times New Roman"/>
          <w:kern w:val="2"/>
          <w:sz w:val="24"/>
          <w:szCs w:val="24"/>
          <w:vertAlign w:val="subscript"/>
          <w:lang w:eastAsia="en-US"/>
          <w14:ligatures w14:val="standardContextual"/>
        </w:rPr>
        <w:br w:type="page"/>
      </w:r>
    </w:p>
    <w:p w14:paraId="63677C93" w14:textId="77777777" w:rsidR="009E5809" w:rsidRPr="009E5809" w:rsidRDefault="009E5809" w:rsidP="009E5809">
      <w:pPr>
        <w:spacing w:after="160" w:line="259" w:lineRule="auto"/>
        <w:jc w:val="both"/>
        <w:rPr>
          <w:rFonts w:ascii="Times New Roman" w:eastAsiaTheme="minorHAnsi" w:hAnsi="Times New Roman"/>
          <w:kern w:val="2"/>
          <w:sz w:val="24"/>
          <w:szCs w:val="24"/>
          <w:lang w:eastAsia="en-US"/>
          <w14:ligatures w14:val="standardContextual"/>
        </w:rPr>
      </w:pPr>
      <w:r w:rsidRPr="009E5809">
        <w:rPr>
          <w:rFonts w:ascii="Times New Roman" w:eastAsiaTheme="minorHAnsi" w:hAnsi="Times New Roman"/>
          <w:b/>
          <w:bCs/>
          <w:kern w:val="2"/>
          <w:sz w:val="24"/>
          <w:szCs w:val="24"/>
          <w:lang w:eastAsia="en-US"/>
          <w14:ligatures w14:val="standardContextual"/>
        </w:rPr>
        <w:lastRenderedPageBreak/>
        <w:t xml:space="preserve">Table 5 </w:t>
      </w:r>
      <w:r w:rsidRPr="009E5809">
        <w:rPr>
          <w:rFonts w:ascii="Times New Roman" w:eastAsiaTheme="minorHAnsi" w:hAnsi="Times New Roman"/>
          <w:kern w:val="2"/>
          <w:sz w:val="24"/>
          <w:szCs w:val="24"/>
          <w:lang w:eastAsia="en-US"/>
          <w14:ligatures w14:val="standardContextual"/>
        </w:rPr>
        <w:t xml:space="preserve">PROBAST Results of Included Studies. </w:t>
      </w:r>
    </w:p>
    <w:tbl>
      <w:tblPr>
        <w:tblStyle w:val="ListTable6Colourful1"/>
        <w:tblW w:w="9776" w:type="dxa"/>
        <w:tblLayout w:type="fixed"/>
        <w:tblLook w:val="04A0" w:firstRow="1" w:lastRow="0" w:firstColumn="1" w:lastColumn="0" w:noHBand="0" w:noVBand="1"/>
      </w:tblPr>
      <w:tblGrid>
        <w:gridCol w:w="1496"/>
        <w:gridCol w:w="757"/>
        <w:gridCol w:w="683"/>
        <w:gridCol w:w="720"/>
        <w:gridCol w:w="719"/>
        <w:gridCol w:w="6"/>
        <w:gridCol w:w="671"/>
        <w:gridCol w:w="700"/>
        <w:gridCol w:w="6"/>
        <w:gridCol w:w="671"/>
        <w:gridCol w:w="992"/>
        <w:gridCol w:w="913"/>
        <w:gridCol w:w="1442"/>
      </w:tblGrid>
      <w:tr w:rsidR="009E5809" w:rsidRPr="009E5809" w14:paraId="7D4E4508" w14:textId="77777777" w:rsidTr="003A268D">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496" w:type="dxa"/>
            <w:vMerge w:val="restart"/>
            <w:tcBorders>
              <w:top w:val="single" w:sz="4" w:space="0" w:color="000000" w:themeColor="text1"/>
            </w:tcBorders>
            <w:hideMark/>
          </w:tcPr>
          <w:p w14:paraId="1423055F" w14:textId="77777777" w:rsidR="009E5809" w:rsidRPr="009E5809" w:rsidRDefault="009E5809" w:rsidP="009E5809">
            <w:pPr>
              <w:spacing w:after="160" w:line="259" w:lineRule="auto"/>
              <w:jc w:val="both"/>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References</w:t>
            </w:r>
          </w:p>
        </w:tc>
        <w:tc>
          <w:tcPr>
            <w:tcW w:w="1440" w:type="dxa"/>
            <w:gridSpan w:val="2"/>
            <w:tcBorders>
              <w:top w:val="single" w:sz="4" w:space="0" w:color="000000" w:themeColor="text1"/>
            </w:tcBorders>
            <w:hideMark/>
          </w:tcPr>
          <w:p w14:paraId="1E91CB8E" w14:textId="77777777" w:rsidR="009E5809" w:rsidRPr="009E5809" w:rsidRDefault="009E5809" w:rsidP="009E5809">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Participants</w:t>
            </w:r>
          </w:p>
        </w:tc>
        <w:tc>
          <w:tcPr>
            <w:tcW w:w="1445" w:type="dxa"/>
            <w:gridSpan w:val="3"/>
            <w:tcBorders>
              <w:top w:val="single" w:sz="4" w:space="0" w:color="000000" w:themeColor="text1"/>
            </w:tcBorders>
            <w:hideMark/>
          </w:tcPr>
          <w:p w14:paraId="5A3AC959" w14:textId="77777777" w:rsidR="009E5809" w:rsidRPr="009E5809" w:rsidRDefault="009E5809" w:rsidP="009E5809">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Predictors</w:t>
            </w:r>
          </w:p>
        </w:tc>
        <w:tc>
          <w:tcPr>
            <w:tcW w:w="1377" w:type="dxa"/>
            <w:gridSpan w:val="3"/>
            <w:tcBorders>
              <w:top w:val="single" w:sz="4" w:space="0" w:color="000000" w:themeColor="text1"/>
            </w:tcBorders>
            <w:hideMark/>
          </w:tcPr>
          <w:p w14:paraId="1C4B2F1B" w14:textId="77777777" w:rsidR="009E5809" w:rsidRPr="009E5809" w:rsidRDefault="009E5809" w:rsidP="009E5809">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Outcome</w:t>
            </w:r>
          </w:p>
        </w:tc>
        <w:tc>
          <w:tcPr>
            <w:tcW w:w="1663" w:type="dxa"/>
            <w:gridSpan w:val="2"/>
            <w:tcBorders>
              <w:top w:val="single" w:sz="4" w:space="0" w:color="000000" w:themeColor="text1"/>
            </w:tcBorders>
            <w:hideMark/>
          </w:tcPr>
          <w:p w14:paraId="0B5AD523" w14:textId="77777777" w:rsidR="009E5809" w:rsidRPr="009E5809" w:rsidRDefault="009E5809" w:rsidP="009E5809">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Analysis</w:t>
            </w:r>
          </w:p>
        </w:tc>
        <w:tc>
          <w:tcPr>
            <w:tcW w:w="2355" w:type="dxa"/>
            <w:gridSpan w:val="2"/>
            <w:tcBorders>
              <w:top w:val="single" w:sz="4" w:space="0" w:color="000000" w:themeColor="text1"/>
            </w:tcBorders>
            <w:hideMark/>
          </w:tcPr>
          <w:p w14:paraId="36AF4747" w14:textId="77777777" w:rsidR="009E5809" w:rsidRPr="009E5809" w:rsidRDefault="009E5809" w:rsidP="009E5809">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Overall</w:t>
            </w:r>
          </w:p>
        </w:tc>
      </w:tr>
      <w:tr w:rsidR="009E5809" w:rsidRPr="009E5809" w14:paraId="46818F84" w14:textId="77777777" w:rsidTr="003A26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6" w:type="dxa"/>
            <w:vMerge/>
            <w:tcBorders>
              <w:bottom w:val="single" w:sz="4" w:space="0" w:color="auto"/>
            </w:tcBorders>
            <w:hideMark/>
          </w:tcPr>
          <w:p w14:paraId="3EBB46BB" w14:textId="77777777" w:rsidR="009E5809" w:rsidRPr="009E5809" w:rsidRDefault="009E5809" w:rsidP="009E5809">
            <w:pPr>
              <w:spacing w:after="160" w:line="259" w:lineRule="auto"/>
              <w:jc w:val="both"/>
              <w:rPr>
                <w:rFonts w:ascii="Times New Roman" w:hAnsi="Times New Roman"/>
                <w:kern w:val="2"/>
                <w:lang w:eastAsia="en-US"/>
                <w14:ligatures w14:val="standardContextual"/>
              </w:rPr>
            </w:pPr>
          </w:p>
        </w:tc>
        <w:tc>
          <w:tcPr>
            <w:tcW w:w="757" w:type="dxa"/>
            <w:tcBorders>
              <w:bottom w:val="single" w:sz="4" w:space="0" w:color="auto"/>
            </w:tcBorders>
            <w:shd w:val="clear" w:color="auto" w:fill="auto"/>
            <w:hideMark/>
          </w:tcPr>
          <w:p w14:paraId="31955378"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b/>
                <w:bCs/>
                <w:kern w:val="2"/>
                <w:lang w:eastAsia="en-US"/>
                <w14:ligatures w14:val="standardContextual"/>
              </w:rPr>
            </w:pPr>
            <w:r w:rsidRPr="009E5809">
              <w:rPr>
                <w:rFonts w:ascii="Times New Roman" w:eastAsiaTheme="minorHAnsi" w:hAnsi="Times New Roman"/>
                <w:b/>
                <w:bCs/>
                <w:kern w:val="2"/>
                <w:lang w:eastAsia="en-US"/>
                <w14:ligatures w14:val="standardContextual"/>
              </w:rPr>
              <w:t>RoB</w:t>
            </w:r>
          </w:p>
        </w:tc>
        <w:tc>
          <w:tcPr>
            <w:tcW w:w="683" w:type="dxa"/>
            <w:tcBorders>
              <w:bottom w:val="single" w:sz="4" w:space="0" w:color="auto"/>
            </w:tcBorders>
            <w:shd w:val="clear" w:color="auto" w:fill="auto"/>
            <w:hideMark/>
          </w:tcPr>
          <w:p w14:paraId="48AFECC6"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b/>
                <w:bCs/>
                <w:kern w:val="2"/>
                <w:lang w:eastAsia="en-US"/>
                <w14:ligatures w14:val="standardContextual"/>
              </w:rPr>
            </w:pPr>
            <w:r w:rsidRPr="009E5809">
              <w:rPr>
                <w:rFonts w:ascii="Times New Roman" w:eastAsiaTheme="minorHAnsi" w:hAnsi="Times New Roman"/>
                <w:b/>
                <w:bCs/>
                <w:kern w:val="2"/>
                <w:lang w:eastAsia="en-US"/>
                <w14:ligatures w14:val="standardContextual"/>
              </w:rPr>
              <w:t>DA</w:t>
            </w:r>
          </w:p>
        </w:tc>
        <w:tc>
          <w:tcPr>
            <w:tcW w:w="720" w:type="dxa"/>
            <w:tcBorders>
              <w:bottom w:val="single" w:sz="4" w:space="0" w:color="auto"/>
            </w:tcBorders>
            <w:shd w:val="clear" w:color="auto" w:fill="auto"/>
            <w:hideMark/>
          </w:tcPr>
          <w:p w14:paraId="201B3B07"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b/>
                <w:bCs/>
                <w:kern w:val="2"/>
                <w:lang w:eastAsia="en-US"/>
                <w14:ligatures w14:val="standardContextual"/>
              </w:rPr>
            </w:pPr>
            <w:r w:rsidRPr="009E5809">
              <w:rPr>
                <w:rFonts w:ascii="Times New Roman" w:eastAsiaTheme="minorHAnsi" w:hAnsi="Times New Roman"/>
                <w:b/>
                <w:bCs/>
                <w:kern w:val="2"/>
                <w:lang w:eastAsia="en-US"/>
                <w14:ligatures w14:val="standardContextual"/>
              </w:rPr>
              <w:t>RoB</w:t>
            </w:r>
          </w:p>
        </w:tc>
        <w:tc>
          <w:tcPr>
            <w:tcW w:w="719" w:type="dxa"/>
            <w:tcBorders>
              <w:bottom w:val="single" w:sz="4" w:space="0" w:color="auto"/>
            </w:tcBorders>
            <w:shd w:val="clear" w:color="auto" w:fill="auto"/>
            <w:hideMark/>
          </w:tcPr>
          <w:p w14:paraId="4FB43FE0"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b/>
                <w:bCs/>
                <w:kern w:val="2"/>
                <w:lang w:eastAsia="en-US"/>
                <w14:ligatures w14:val="standardContextual"/>
              </w:rPr>
            </w:pPr>
            <w:r w:rsidRPr="009E5809">
              <w:rPr>
                <w:rFonts w:ascii="Times New Roman" w:eastAsiaTheme="minorHAnsi" w:hAnsi="Times New Roman"/>
                <w:b/>
                <w:bCs/>
                <w:kern w:val="2"/>
                <w:lang w:eastAsia="en-US"/>
                <w14:ligatures w14:val="standardContextual"/>
              </w:rPr>
              <w:t>DA</w:t>
            </w:r>
          </w:p>
        </w:tc>
        <w:tc>
          <w:tcPr>
            <w:tcW w:w="677" w:type="dxa"/>
            <w:gridSpan w:val="2"/>
            <w:tcBorders>
              <w:bottom w:val="single" w:sz="4" w:space="0" w:color="auto"/>
            </w:tcBorders>
            <w:shd w:val="clear" w:color="auto" w:fill="auto"/>
            <w:hideMark/>
          </w:tcPr>
          <w:p w14:paraId="51036764"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b/>
                <w:bCs/>
                <w:kern w:val="2"/>
                <w:lang w:eastAsia="en-US"/>
                <w14:ligatures w14:val="standardContextual"/>
              </w:rPr>
            </w:pPr>
            <w:r w:rsidRPr="009E5809">
              <w:rPr>
                <w:rFonts w:ascii="Times New Roman" w:eastAsiaTheme="minorHAnsi" w:hAnsi="Times New Roman"/>
                <w:b/>
                <w:bCs/>
                <w:kern w:val="2"/>
                <w:lang w:eastAsia="en-US"/>
                <w14:ligatures w14:val="standardContextual"/>
              </w:rPr>
              <w:t>RoB</w:t>
            </w:r>
          </w:p>
        </w:tc>
        <w:tc>
          <w:tcPr>
            <w:tcW w:w="700" w:type="dxa"/>
            <w:tcBorders>
              <w:bottom w:val="single" w:sz="4" w:space="0" w:color="auto"/>
            </w:tcBorders>
            <w:shd w:val="clear" w:color="auto" w:fill="auto"/>
            <w:hideMark/>
          </w:tcPr>
          <w:p w14:paraId="0AA23A34"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b/>
                <w:bCs/>
                <w:kern w:val="2"/>
                <w:lang w:eastAsia="en-US"/>
                <w14:ligatures w14:val="standardContextual"/>
              </w:rPr>
            </w:pPr>
            <w:r w:rsidRPr="009E5809">
              <w:rPr>
                <w:rFonts w:ascii="Times New Roman" w:eastAsiaTheme="minorHAnsi" w:hAnsi="Times New Roman"/>
                <w:b/>
                <w:bCs/>
                <w:kern w:val="2"/>
                <w:lang w:eastAsia="en-US"/>
                <w14:ligatures w14:val="standardContextual"/>
              </w:rPr>
              <w:t>DA</w:t>
            </w:r>
          </w:p>
        </w:tc>
        <w:tc>
          <w:tcPr>
            <w:tcW w:w="677" w:type="dxa"/>
            <w:gridSpan w:val="2"/>
            <w:tcBorders>
              <w:bottom w:val="single" w:sz="4" w:space="0" w:color="auto"/>
            </w:tcBorders>
            <w:shd w:val="clear" w:color="auto" w:fill="auto"/>
            <w:hideMark/>
          </w:tcPr>
          <w:p w14:paraId="0C9F8C53"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b/>
                <w:bCs/>
                <w:kern w:val="2"/>
                <w:lang w:eastAsia="en-US"/>
                <w14:ligatures w14:val="standardContextual"/>
              </w:rPr>
            </w:pPr>
            <w:r w:rsidRPr="009E5809">
              <w:rPr>
                <w:rFonts w:ascii="Times New Roman" w:eastAsiaTheme="minorHAnsi" w:hAnsi="Times New Roman"/>
                <w:b/>
                <w:bCs/>
                <w:kern w:val="2"/>
                <w:lang w:eastAsia="en-US"/>
                <w14:ligatures w14:val="standardContextual"/>
              </w:rPr>
              <w:t>RoB</w:t>
            </w:r>
          </w:p>
        </w:tc>
        <w:tc>
          <w:tcPr>
            <w:tcW w:w="992" w:type="dxa"/>
            <w:tcBorders>
              <w:bottom w:val="single" w:sz="4" w:space="0" w:color="auto"/>
            </w:tcBorders>
            <w:shd w:val="clear" w:color="auto" w:fill="auto"/>
            <w:hideMark/>
          </w:tcPr>
          <w:p w14:paraId="5FD6FECD"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b/>
                <w:bCs/>
                <w:kern w:val="2"/>
                <w:lang w:eastAsia="en-US"/>
                <w14:ligatures w14:val="standardContextual"/>
              </w:rPr>
            </w:pPr>
            <w:r w:rsidRPr="009E5809">
              <w:rPr>
                <w:rFonts w:ascii="Times New Roman" w:eastAsiaTheme="minorHAnsi" w:hAnsi="Times New Roman"/>
                <w:b/>
                <w:bCs/>
                <w:kern w:val="2"/>
                <w:lang w:eastAsia="en-US"/>
                <w14:ligatures w14:val="standardContextual"/>
              </w:rPr>
              <w:t>DA</w:t>
            </w:r>
          </w:p>
        </w:tc>
        <w:tc>
          <w:tcPr>
            <w:tcW w:w="913" w:type="dxa"/>
            <w:tcBorders>
              <w:bottom w:val="single" w:sz="4" w:space="0" w:color="auto"/>
            </w:tcBorders>
            <w:shd w:val="clear" w:color="auto" w:fill="auto"/>
            <w:hideMark/>
          </w:tcPr>
          <w:p w14:paraId="55F9F695"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b/>
                <w:bCs/>
                <w:kern w:val="2"/>
                <w:lang w:eastAsia="en-US"/>
                <w14:ligatures w14:val="standardContextual"/>
              </w:rPr>
            </w:pPr>
            <w:r w:rsidRPr="009E5809">
              <w:rPr>
                <w:rFonts w:ascii="Times New Roman" w:eastAsiaTheme="minorHAnsi" w:hAnsi="Times New Roman"/>
                <w:b/>
                <w:bCs/>
                <w:kern w:val="2"/>
                <w:lang w:eastAsia="en-US"/>
                <w14:ligatures w14:val="standardContextual"/>
              </w:rPr>
              <w:t>RoB</w:t>
            </w:r>
          </w:p>
        </w:tc>
        <w:tc>
          <w:tcPr>
            <w:tcW w:w="1442" w:type="dxa"/>
            <w:tcBorders>
              <w:bottom w:val="single" w:sz="4" w:space="0" w:color="auto"/>
            </w:tcBorders>
            <w:shd w:val="clear" w:color="auto" w:fill="auto"/>
            <w:hideMark/>
          </w:tcPr>
          <w:p w14:paraId="7175927C"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b/>
                <w:bCs/>
                <w:kern w:val="2"/>
                <w:lang w:eastAsia="en-US"/>
                <w14:ligatures w14:val="standardContextual"/>
              </w:rPr>
            </w:pPr>
            <w:r w:rsidRPr="009E5809">
              <w:rPr>
                <w:rFonts w:ascii="Times New Roman" w:eastAsiaTheme="minorHAnsi" w:hAnsi="Times New Roman"/>
                <w:b/>
                <w:bCs/>
                <w:kern w:val="2"/>
                <w:lang w:eastAsia="en-US"/>
                <w14:ligatures w14:val="standardContextual"/>
              </w:rPr>
              <w:t>Applicability</w:t>
            </w:r>
          </w:p>
        </w:tc>
      </w:tr>
      <w:tr w:rsidR="009E5809" w:rsidRPr="009E5809" w14:paraId="694DFBBA" w14:textId="77777777" w:rsidTr="003A268D">
        <w:tc>
          <w:tcPr>
            <w:cnfStyle w:val="001000000000" w:firstRow="0" w:lastRow="0" w:firstColumn="1" w:lastColumn="0" w:oddVBand="0" w:evenVBand="0" w:oddHBand="0" w:evenHBand="0" w:firstRowFirstColumn="0" w:firstRowLastColumn="0" w:lastRowFirstColumn="0" w:lastRowLastColumn="0"/>
            <w:tcW w:w="1496" w:type="dxa"/>
            <w:tcBorders>
              <w:top w:val="single" w:sz="4" w:space="0" w:color="auto"/>
            </w:tcBorders>
          </w:tcPr>
          <w:p w14:paraId="736B8727" w14:textId="77777777" w:rsidR="009E5809" w:rsidRPr="009E5809" w:rsidRDefault="009E5809" w:rsidP="009E5809">
            <w:pPr>
              <w:spacing w:after="160" w:line="259" w:lineRule="auto"/>
              <w:jc w:val="both"/>
              <w:rPr>
                <w:rFonts w:ascii="Times New Roman" w:eastAsiaTheme="minorHAnsi" w:hAnsi="Times New Roman"/>
                <w:color w:val="000000"/>
                <w:kern w:val="2"/>
                <w:lang w:eastAsia="en-US"/>
                <w14:ligatures w14:val="standardContextual"/>
              </w:rPr>
            </w:pPr>
            <w:r w:rsidRPr="009E5809">
              <w:rPr>
                <w:rFonts w:ascii="Times New Roman" w:eastAsiaTheme="minorHAnsi" w:hAnsi="Times New Roman"/>
                <w:color w:val="000000"/>
                <w:kern w:val="2"/>
                <w:lang w:eastAsia="en-US"/>
                <w14:ligatures w14:val="standardContextual"/>
              </w:rPr>
              <w:t xml:space="preserve">Lin X. et al </w:t>
            </w:r>
          </w:p>
        </w:tc>
        <w:tc>
          <w:tcPr>
            <w:tcW w:w="757" w:type="dxa"/>
            <w:tcBorders>
              <w:top w:val="single" w:sz="4" w:space="0" w:color="auto"/>
            </w:tcBorders>
            <w:hideMark/>
          </w:tcPr>
          <w:p w14:paraId="7F2CD8F4"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683" w:type="dxa"/>
            <w:tcBorders>
              <w:top w:val="single" w:sz="4" w:space="0" w:color="auto"/>
            </w:tcBorders>
            <w:hideMark/>
          </w:tcPr>
          <w:p w14:paraId="768BF728"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720" w:type="dxa"/>
            <w:tcBorders>
              <w:top w:val="single" w:sz="4" w:space="0" w:color="auto"/>
            </w:tcBorders>
            <w:hideMark/>
          </w:tcPr>
          <w:p w14:paraId="7295B6BC"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719" w:type="dxa"/>
            <w:tcBorders>
              <w:top w:val="single" w:sz="4" w:space="0" w:color="auto"/>
            </w:tcBorders>
            <w:hideMark/>
          </w:tcPr>
          <w:p w14:paraId="74903837"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677" w:type="dxa"/>
            <w:gridSpan w:val="2"/>
            <w:tcBorders>
              <w:top w:val="single" w:sz="4" w:space="0" w:color="auto"/>
            </w:tcBorders>
            <w:hideMark/>
          </w:tcPr>
          <w:p w14:paraId="5BC981CD"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700" w:type="dxa"/>
            <w:tcBorders>
              <w:top w:val="single" w:sz="4" w:space="0" w:color="auto"/>
            </w:tcBorders>
            <w:hideMark/>
          </w:tcPr>
          <w:p w14:paraId="5C857DFF"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677" w:type="dxa"/>
            <w:gridSpan w:val="2"/>
            <w:tcBorders>
              <w:top w:val="single" w:sz="4" w:space="0" w:color="auto"/>
            </w:tcBorders>
            <w:hideMark/>
          </w:tcPr>
          <w:p w14:paraId="083F8864"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992" w:type="dxa"/>
            <w:tcBorders>
              <w:top w:val="single" w:sz="4" w:space="0" w:color="auto"/>
            </w:tcBorders>
            <w:hideMark/>
          </w:tcPr>
          <w:p w14:paraId="08601543"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913" w:type="dxa"/>
            <w:tcBorders>
              <w:top w:val="single" w:sz="4" w:space="0" w:color="auto"/>
            </w:tcBorders>
            <w:hideMark/>
          </w:tcPr>
          <w:p w14:paraId="691C4FE7"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1442" w:type="dxa"/>
            <w:tcBorders>
              <w:top w:val="single" w:sz="4" w:space="0" w:color="auto"/>
            </w:tcBorders>
            <w:hideMark/>
          </w:tcPr>
          <w:p w14:paraId="7E324354"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r>
      <w:tr w:rsidR="009E5809" w:rsidRPr="009E5809" w14:paraId="59557D94" w14:textId="77777777" w:rsidTr="003A268D">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1496" w:type="dxa"/>
          </w:tcPr>
          <w:p w14:paraId="6FBF057B" w14:textId="77777777" w:rsidR="009E5809" w:rsidRPr="009E5809" w:rsidRDefault="009E5809" w:rsidP="009E5809">
            <w:pPr>
              <w:spacing w:after="160" w:line="259" w:lineRule="auto"/>
              <w:jc w:val="both"/>
              <w:rPr>
                <w:rFonts w:ascii="Times New Roman" w:eastAsiaTheme="minorHAnsi" w:hAnsi="Times New Roman"/>
                <w:color w:val="000000"/>
                <w:kern w:val="2"/>
                <w:lang w:eastAsia="en-US"/>
                <w14:ligatures w14:val="standardContextual"/>
              </w:rPr>
            </w:pPr>
            <w:r w:rsidRPr="009E5809">
              <w:rPr>
                <w:rFonts w:ascii="Times New Roman" w:eastAsiaTheme="minorHAnsi" w:hAnsi="Times New Roman"/>
                <w:color w:val="000000"/>
                <w:kern w:val="2"/>
                <w:lang w:eastAsia="en-US"/>
                <w14:ligatures w14:val="standardContextual"/>
              </w:rPr>
              <w:t xml:space="preserve">Huang Z. et al </w:t>
            </w:r>
          </w:p>
        </w:tc>
        <w:tc>
          <w:tcPr>
            <w:tcW w:w="757" w:type="dxa"/>
            <w:hideMark/>
          </w:tcPr>
          <w:p w14:paraId="0E4223A4"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683" w:type="dxa"/>
            <w:hideMark/>
          </w:tcPr>
          <w:p w14:paraId="1A5E0A0C"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720" w:type="dxa"/>
            <w:hideMark/>
          </w:tcPr>
          <w:p w14:paraId="24B41C11"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719" w:type="dxa"/>
            <w:hideMark/>
          </w:tcPr>
          <w:p w14:paraId="2CA58A60"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677" w:type="dxa"/>
            <w:gridSpan w:val="2"/>
            <w:hideMark/>
          </w:tcPr>
          <w:p w14:paraId="65BA4250"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700" w:type="dxa"/>
            <w:hideMark/>
          </w:tcPr>
          <w:p w14:paraId="358EF52B"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677" w:type="dxa"/>
            <w:gridSpan w:val="2"/>
            <w:hideMark/>
          </w:tcPr>
          <w:p w14:paraId="486040FF"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992" w:type="dxa"/>
            <w:hideMark/>
          </w:tcPr>
          <w:p w14:paraId="2FAA5054"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913" w:type="dxa"/>
            <w:hideMark/>
          </w:tcPr>
          <w:p w14:paraId="33D86A40"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1442" w:type="dxa"/>
            <w:hideMark/>
          </w:tcPr>
          <w:p w14:paraId="1070FAE3"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r>
      <w:tr w:rsidR="009E5809" w:rsidRPr="009E5809" w14:paraId="3B84CB35" w14:textId="77777777" w:rsidTr="003A268D">
        <w:tc>
          <w:tcPr>
            <w:cnfStyle w:val="001000000000" w:firstRow="0" w:lastRow="0" w:firstColumn="1" w:lastColumn="0" w:oddVBand="0" w:evenVBand="0" w:oddHBand="0" w:evenHBand="0" w:firstRowFirstColumn="0" w:firstRowLastColumn="0" w:lastRowFirstColumn="0" w:lastRowLastColumn="0"/>
            <w:tcW w:w="1496" w:type="dxa"/>
          </w:tcPr>
          <w:p w14:paraId="3FBF6990" w14:textId="77777777" w:rsidR="009E5809" w:rsidRPr="009E5809" w:rsidRDefault="009E5809" w:rsidP="009E5809">
            <w:pPr>
              <w:spacing w:after="160" w:line="259" w:lineRule="auto"/>
              <w:jc w:val="both"/>
              <w:rPr>
                <w:rFonts w:ascii="Times New Roman" w:eastAsiaTheme="minorHAnsi" w:hAnsi="Times New Roman"/>
                <w:color w:val="000000"/>
                <w:kern w:val="2"/>
                <w:lang w:eastAsia="en-US"/>
                <w14:ligatures w14:val="standardContextual"/>
              </w:rPr>
            </w:pPr>
            <w:r w:rsidRPr="009E5809">
              <w:rPr>
                <w:rFonts w:ascii="Times New Roman" w:eastAsiaTheme="minorHAnsi" w:hAnsi="Times New Roman"/>
                <w:color w:val="000000"/>
                <w:kern w:val="2"/>
                <w:lang w:eastAsia="en-US"/>
                <w14:ligatures w14:val="standardContextual"/>
              </w:rPr>
              <w:t xml:space="preserve">Yang Y. et al </w:t>
            </w:r>
          </w:p>
        </w:tc>
        <w:tc>
          <w:tcPr>
            <w:tcW w:w="757" w:type="dxa"/>
            <w:hideMark/>
          </w:tcPr>
          <w:p w14:paraId="2D418823"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683" w:type="dxa"/>
            <w:hideMark/>
          </w:tcPr>
          <w:p w14:paraId="461083DA"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720" w:type="dxa"/>
            <w:hideMark/>
          </w:tcPr>
          <w:p w14:paraId="029F1392"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719" w:type="dxa"/>
            <w:hideMark/>
          </w:tcPr>
          <w:p w14:paraId="2BBE858F"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677" w:type="dxa"/>
            <w:gridSpan w:val="2"/>
            <w:hideMark/>
          </w:tcPr>
          <w:p w14:paraId="4716774C"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700" w:type="dxa"/>
            <w:hideMark/>
          </w:tcPr>
          <w:p w14:paraId="43EB7FDE"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677" w:type="dxa"/>
            <w:gridSpan w:val="2"/>
            <w:hideMark/>
          </w:tcPr>
          <w:p w14:paraId="3C9538A5"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992" w:type="dxa"/>
            <w:hideMark/>
          </w:tcPr>
          <w:p w14:paraId="43AAF958"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913" w:type="dxa"/>
            <w:hideMark/>
          </w:tcPr>
          <w:p w14:paraId="112C71EC"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1442" w:type="dxa"/>
            <w:hideMark/>
          </w:tcPr>
          <w:p w14:paraId="711B331D"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r>
      <w:tr w:rsidR="009E5809" w:rsidRPr="009E5809" w14:paraId="696817D6" w14:textId="77777777" w:rsidTr="003A26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6" w:type="dxa"/>
          </w:tcPr>
          <w:p w14:paraId="70748AD7" w14:textId="77777777" w:rsidR="009E5809" w:rsidRPr="009E5809" w:rsidRDefault="009E5809" w:rsidP="009E5809">
            <w:pPr>
              <w:spacing w:after="160" w:line="259" w:lineRule="auto"/>
              <w:jc w:val="both"/>
              <w:rPr>
                <w:rFonts w:ascii="Times New Roman" w:eastAsiaTheme="minorHAnsi" w:hAnsi="Times New Roman"/>
                <w:color w:val="000000"/>
                <w:kern w:val="2"/>
                <w:lang w:eastAsia="en-US"/>
                <w14:ligatures w14:val="standardContextual"/>
              </w:rPr>
            </w:pPr>
            <w:r w:rsidRPr="009E5809">
              <w:rPr>
                <w:rFonts w:ascii="Times New Roman" w:eastAsiaTheme="minorHAnsi" w:hAnsi="Times New Roman"/>
                <w:color w:val="000000"/>
                <w:kern w:val="2"/>
                <w:lang w:eastAsia="en-US"/>
                <w14:ligatures w14:val="standardContextual"/>
              </w:rPr>
              <w:t xml:space="preserve">Shen J. et al </w:t>
            </w:r>
          </w:p>
        </w:tc>
        <w:tc>
          <w:tcPr>
            <w:tcW w:w="757" w:type="dxa"/>
            <w:hideMark/>
          </w:tcPr>
          <w:p w14:paraId="41FF4B19"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683" w:type="dxa"/>
            <w:hideMark/>
          </w:tcPr>
          <w:p w14:paraId="79F0D49F"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720" w:type="dxa"/>
            <w:hideMark/>
          </w:tcPr>
          <w:p w14:paraId="2719D019"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719" w:type="dxa"/>
            <w:hideMark/>
          </w:tcPr>
          <w:p w14:paraId="24511E22"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677" w:type="dxa"/>
            <w:gridSpan w:val="2"/>
            <w:hideMark/>
          </w:tcPr>
          <w:p w14:paraId="56FDCA07"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700" w:type="dxa"/>
            <w:hideMark/>
          </w:tcPr>
          <w:p w14:paraId="613C59EA"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677" w:type="dxa"/>
            <w:gridSpan w:val="2"/>
            <w:hideMark/>
          </w:tcPr>
          <w:p w14:paraId="63524B02"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992" w:type="dxa"/>
            <w:hideMark/>
          </w:tcPr>
          <w:p w14:paraId="6714863B"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913" w:type="dxa"/>
            <w:hideMark/>
          </w:tcPr>
          <w:p w14:paraId="196E84F7"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1442" w:type="dxa"/>
            <w:hideMark/>
          </w:tcPr>
          <w:p w14:paraId="3FEFB10D"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r>
      <w:tr w:rsidR="009E5809" w:rsidRPr="009E5809" w14:paraId="667D7568" w14:textId="77777777" w:rsidTr="003A268D">
        <w:tc>
          <w:tcPr>
            <w:cnfStyle w:val="001000000000" w:firstRow="0" w:lastRow="0" w:firstColumn="1" w:lastColumn="0" w:oddVBand="0" w:evenVBand="0" w:oddHBand="0" w:evenHBand="0" w:firstRowFirstColumn="0" w:firstRowLastColumn="0" w:lastRowFirstColumn="0" w:lastRowLastColumn="0"/>
            <w:tcW w:w="1496" w:type="dxa"/>
          </w:tcPr>
          <w:p w14:paraId="59675DF5" w14:textId="77777777" w:rsidR="009E5809" w:rsidRPr="009E5809" w:rsidRDefault="009E5809" w:rsidP="009E5809">
            <w:pPr>
              <w:spacing w:after="160" w:line="259" w:lineRule="auto"/>
              <w:jc w:val="both"/>
              <w:rPr>
                <w:rFonts w:ascii="Times New Roman" w:eastAsiaTheme="minorHAnsi" w:hAnsi="Times New Roman"/>
                <w:color w:val="000000"/>
                <w:kern w:val="2"/>
                <w:lang w:eastAsia="en-US"/>
                <w14:ligatures w14:val="standardContextual"/>
              </w:rPr>
            </w:pPr>
            <w:r w:rsidRPr="009E5809">
              <w:rPr>
                <w:rFonts w:ascii="Times New Roman" w:eastAsiaTheme="minorHAnsi" w:hAnsi="Times New Roman"/>
                <w:color w:val="000000"/>
                <w:kern w:val="2"/>
                <w:lang w:eastAsia="en-US"/>
                <w14:ligatures w14:val="standardContextual"/>
              </w:rPr>
              <w:t xml:space="preserve">Song Y. et al </w:t>
            </w:r>
          </w:p>
        </w:tc>
        <w:tc>
          <w:tcPr>
            <w:tcW w:w="757" w:type="dxa"/>
          </w:tcPr>
          <w:p w14:paraId="6D8C6B73"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683" w:type="dxa"/>
          </w:tcPr>
          <w:p w14:paraId="3F0306C0"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720" w:type="dxa"/>
          </w:tcPr>
          <w:p w14:paraId="7226C3D8"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719" w:type="dxa"/>
          </w:tcPr>
          <w:p w14:paraId="54343C57"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677" w:type="dxa"/>
            <w:gridSpan w:val="2"/>
          </w:tcPr>
          <w:p w14:paraId="72FBADA5"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700" w:type="dxa"/>
          </w:tcPr>
          <w:p w14:paraId="3C417D31"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677" w:type="dxa"/>
            <w:gridSpan w:val="2"/>
          </w:tcPr>
          <w:p w14:paraId="376C8A28"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high</w:t>
            </w:r>
          </w:p>
        </w:tc>
        <w:tc>
          <w:tcPr>
            <w:tcW w:w="992" w:type="dxa"/>
          </w:tcPr>
          <w:p w14:paraId="59FCF3B3"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high</w:t>
            </w:r>
          </w:p>
        </w:tc>
        <w:tc>
          <w:tcPr>
            <w:tcW w:w="913" w:type="dxa"/>
          </w:tcPr>
          <w:p w14:paraId="581E0BB1"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high</w:t>
            </w:r>
          </w:p>
        </w:tc>
        <w:tc>
          <w:tcPr>
            <w:tcW w:w="1442" w:type="dxa"/>
          </w:tcPr>
          <w:p w14:paraId="13B37433"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 xml:space="preserve">high </w:t>
            </w:r>
          </w:p>
        </w:tc>
      </w:tr>
      <w:tr w:rsidR="009E5809" w:rsidRPr="009E5809" w14:paraId="2E3F1705" w14:textId="77777777" w:rsidTr="003A26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6" w:type="dxa"/>
          </w:tcPr>
          <w:p w14:paraId="760E0F6A" w14:textId="77777777" w:rsidR="009E5809" w:rsidRPr="009E5809" w:rsidRDefault="009E5809" w:rsidP="009E5809">
            <w:pPr>
              <w:spacing w:after="160" w:line="259" w:lineRule="auto"/>
              <w:jc w:val="both"/>
              <w:rPr>
                <w:rFonts w:ascii="Times New Roman" w:eastAsiaTheme="minorHAnsi" w:hAnsi="Times New Roman"/>
                <w:color w:val="000000"/>
                <w:kern w:val="2"/>
                <w:lang w:eastAsia="en-US"/>
                <w14:ligatures w14:val="standardContextual"/>
              </w:rPr>
            </w:pPr>
            <w:r w:rsidRPr="009E5809">
              <w:rPr>
                <w:rFonts w:ascii="Times New Roman" w:eastAsiaTheme="minorHAnsi" w:hAnsi="Times New Roman"/>
                <w:color w:val="000000"/>
                <w:kern w:val="2"/>
                <w:lang w:eastAsia="en-US"/>
                <w14:ligatures w14:val="standardContextual"/>
              </w:rPr>
              <w:t xml:space="preserve">Hu X. et al </w:t>
            </w:r>
          </w:p>
        </w:tc>
        <w:tc>
          <w:tcPr>
            <w:tcW w:w="757" w:type="dxa"/>
          </w:tcPr>
          <w:p w14:paraId="14724049"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683" w:type="dxa"/>
          </w:tcPr>
          <w:p w14:paraId="7E18DDD9"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720" w:type="dxa"/>
          </w:tcPr>
          <w:p w14:paraId="1B03C9EA"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719" w:type="dxa"/>
          </w:tcPr>
          <w:p w14:paraId="7B65E80D"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677" w:type="dxa"/>
            <w:gridSpan w:val="2"/>
          </w:tcPr>
          <w:p w14:paraId="0F8436F5"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700" w:type="dxa"/>
          </w:tcPr>
          <w:p w14:paraId="5E3D0EC6"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677" w:type="dxa"/>
            <w:gridSpan w:val="2"/>
          </w:tcPr>
          <w:p w14:paraId="676C9D7D"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992" w:type="dxa"/>
          </w:tcPr>
          <w:p w14:paraId="4CE2C343"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913" w:type="dxa"/>
          </w:tcPr>
          <w:p w14:paraId="3269CF09"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1442" w:type="dxa"/>
          </w:tcPr>
          <w:p w14:paraId="2038631D"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r>
      <w:tr w:rsidR="009E5809" w:rsidRPr="009E5809" w14:paraId="100D4B50" w14:textId="77777777" w:rsidTr="003A268D">
        <w:tc>
          <w:tcPr>
            <w:cnfStyle w:val="001000000000" w:firstRow="0" w:lastRow="0" w:firstColumn="1" w:lastColumn="0" w:oddVBand="0" w:evenVBand="0" w:oddHBand="0" w:evenHBand="0" w:firstRowFirstColumn="0" w:firstRowLastColumn="0" w:lastRowFirstColumn="0" w:lastRowLastColumn="0"/>
            <w:tcW w:w="1496" w:type="dxa"/>
          </w:tcPr>
          <w:p w14:paraId="4562D93B" w14:textId="77777777" w:rsidR="009E5809" w:rsidRPr="009E5809" w:rsidRDefault="009E5809" w:rsidP="009E5809">
            <w:pPr>
              <w:spacing w:after="160" w:line="259" w:lineRule="auto"/>
              <w:jc w:val="both"/>
              <w:rPr>
                <w:rFonts w:ascii="Times New Roman" w:eastAsiaTheme="minorHAnsi" w:hAnsi="Times New Roman"/>
                <w:color w:val="000000"/>
                <w:kern w:val="2"/>
                <w:lang w:eastAsia="en-US"/>
                <w14:ligatures w14:val="standardContextual"/>
              </w:rPr>
            </w:pPr>
            <w:r w:rsidRPr="009E5809">
              <w:rPr>
                <w:rFonts w:ascii="Times New Roman" w:eastAsiaTheme="minorHAnsi" w:hAnsi="Times New Roman"/>
                <w:color w:val="000000"/>
                <w:kern w:val="2"/>
                <w:lang w:eastAsia="en-US"/>
                <w14:ligatures w14:val="standardContextual"/>
              </w:rPr>
              <w:t xml:space="preserve">Zhang Y. et al </w:t>
            </w:r>
          </w:p>
        </w:tc>
        <w:tc>
          <w:tcPr>
            <w:tcW w:w="757" w:type="dxa"/>
          </w:tcPr>
          <w:p w14:paraId="7C349208"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683" w:type="dxa"/>
          </w:tcPr>
          <w:p w14:paraId="07D348CD"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720" w:type="dxa"/>
          </w:tcPr>
          <w:p w14:paraId="4F9C98BE"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719" w:type="dxa"/>
          </w:tcPr>
          <w:p w14:paraId="459C9AAC"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677" w:type="dxa"/>
            <w:gridSpan w:val="2"/>
          </w:tcPr>
          <w:p w14:paraId="23E696AC"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700" w:type="dxa"/>
          </w:tcPr>
          <w:p w14:paraId="602F0452"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677" w:type="dxa"/>
            <w:gridSpan w:val="2"/>
          </w:tcPr>
          <w:p w14:paraId="06C5B4B4"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992" w:type="dxa"/>
          </w:tcPr>
          <w:p w14:paraId="69B21AFB"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913" w:type="dxa"/>
          </w:tcPr>
          <w:p w14:paraId="70C1F4DC"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1442" w:type="dxa"/>
          </w:tcPr>
          <w:p w14:paraId="5BDB886B"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r>
      <w:tr w:rsidR="009E5809" w:rsidRPr="009E5809" w14:paraId="03DAE253" w14:textId="77777777" w:rsidTr="003A26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6" w:type="dxa"/>
          </w:tcPr>
          <w:p w14:paraId="690EF8C1" w14:textId="77777777" w:rsidR="009E5809" w:rsidRPr="009E5809" w:rsidRDefault="009E5809" w:rsidP="009E5809">
            <w:pPr>
              <w:spacing w:after="160" w:line="259" w:lineRule="auto"/>
              <w:jc w:val="both"/>
              <w:rPr>
                <w:rFonts w:ascii="Times New Roman" w:eastAsiaTheme="minorHAnsi" w:hAnsi="Times New Roman"/>
                <w:color w:val="000000"/>
                <w:kern w:val="2"/>
                <w:lang w:eastAsia="en-US"/>
                <w14:ligatures w14:val="standardContextual"/>
              </w:rPr>
            </w:pPr>
            <w:r w:rsidRPr="009E5809">
              <w:rPr>
                <w:rFonts w:ascii="Times New Roman" w:eastAsiaTheme="minorHAnsi" w:hAnsi="Times New Roman"/>
                <w:color w:val="000000"/>
                <w:kern w:val="2"/>
                <w:lang w:eastAsia="en-US"/>
                <w14:ligatures w14:val="standardContextual"/>
              </w:rPr>
              <w:t xml:space="preserve">Liu Y. et al </w:t>
            </w:r>
          </w:p>
        </w:tc>
        <w:tc>
          <w:tcPr>
            <w:tcW w:w="757" w:type="dxa"/>
          </w:tcPr>
          <w:p w14:paraId="7E69E2E5"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683" w:type="dxa"/>
          </w:tcPr>
          <w:p w14:paraId="3F3262C7"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720" w:type="dxa"/>
          </w:tcPr>
          <w:p w14:paraId="0B04423D"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719" w:type="dxa"/>
          </w:tcPr>
          <w:p w14:paraId="3D6DDEC0"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677" w:type="dxa"/>
            <w:gridSpan w:val="2"/>
          </w:tcPr>
          <w:p w14:paraId="3B073541"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700" w:type="dxa"/>
          </w:tcPr>
          <w:p w14:paraId="1E92DFB9"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677" w:type="dxa"/>
            <w:gridSpan w:val="2"/>
          </w:tcPr>
          <w:p w14:paraId="039D7F46"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992" w:type="dxa"/>
          </w:tcPr>
          <w:p w14:paraId="4C284359"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913" w:type="dxa"/>
          </w:tcPr>
          <w:p w14:paraId="3FAC7989"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1442" w:type="dxa"/>
          </w:tcPr>
          <w:p w14:paraId="56BF4C31"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r>
      <w:tr w:rsidR="009E5809" w:rsidRPr="009E5809" w14:paraId="461C997E" w14:textId="77777777" w:rsidTr="003A268D">
        <w:tc>
          <w:tcPr>
            <w:cnfStyle w:val="001000000000" w:firstRow="0" w:lastRow="0" w:firstColumn="1" w:lastColumn="0" w:oddVBand="0" w:evenVBand="0" w:oddHBand="0" w:evenHBand="0" w:firstRowFirstColumn="0" w:firstRowLastColumn="0" w:lastRowFirstColumn="0" w:lastRowLastColumn="0"/>
            <w:tcW w:w="1496" w:type="dxa"/>
          </w:tcPr>
          <w:p w14:paraId="7F293A8D" w14:textId="77777777" w:rsidR="009E5809" w:rsidRPr="009E5809" w:rsidRDefault="009E5809" w:rsidP="009E5809">
            <w:pPr>
              <w:spacing w:after="160" w:line="259" w:lineRule="auto"/>
              <w:jc w:val="both"/>
              <w:rPr>
                <w:rFonts w:ascii="Times New Roman" w:eastAsiaTheme="minorHAnsi" w:hAnsi="Times New Roman"/>
                <w:color w:val="000000"/>
                <w:kern w:val="2"/>
                <w:lang w:eastAsia="en-US"/>
                <w14:ligatures w14:val="standardContextual"/>
              </w:rPr>
            </w:pPr>
            <w:r w:rsidRPr="009E5809">
              <w:rPr>
                <w:rFonts w:ascii="Times New Roman" w:eastAsiaTheme="minorHAnsi" w:hAnsi="Times New Roman"/>
                <w:color w:val="000000"/>
                <w:kern w:val="2"/>
                <w:lang w:eastAsia="en-US"/>
                <w14:ligatures w14:val="standardContextual"/>
              </w:rPr>
              <w:t xml:space="preserve">Chen J. et al </w:t>
            </w:r>
          </w:p>
        </w:tc>
        <w:tc>
          <w:tcPr>
            <w:tcW w:w="757" w:type="dxa"/>
            <w:hideMark/>
          </w:tcPr>
          <w:p w14:paraId="6BB84076"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high</w:t>
            </w:r>
          </w:p>
        </w:tc>
        <w:tc>
          <w:tcPr>
            <w:tcW w:w="683" w:type="dxa"/>
            <w:hideMark/>
          </w:tcPr>
          <w:p w14:paraId="168DD7D8"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720" w:type="dxa"/>
            <w:hideMark/>
          </w:tcPr>
          <w:p w14:paraId="5A9E3F60"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719" w:type="dxa"/>
            <w:hideMark/>
          </w:tcPr>
          <w:p w14:paraId="03F231C7"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677" w:type="dxa"/>
            <w:gridSpan w:val="2"/>
            <w:hideMark/>
          </w:tcPr>
          <w:p w14:paraId="7D6C41FB"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700" w:type="dxa"/>
            <w:hideMark/>
          </w:tcPr>
          <w:p w14:paraId="3D2C3E35"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677" w:type="dxa"/>
            <w:gridSpan w:val="2"/>
            <w:hideMark/>
          </w:tcPr>
          <w:p w14:paraId="655B5330"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992" w:type="dxa"/>
            <w:hideMark/>
          </w:tcPr>
          <w:p w14:paraId="7B9353C4"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913" w:type="dxa"/>
            <w:hideMark/>
          </w:tcPr>
          <w:p w14:paraId="5E0185A8"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1442" w:type="dxa"/>
            <w:hideMark/>
          </w:tcPr>
          <w:p w14:paraId="7B7156D1"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high</w:t>
            </w:r>
          </w:p>
        </w:tc>
      </w:tr>
      <w:tr w:rsidR="009E5809" w:rsidRPr="009E5809" w14:paraId="7D07C715" w14:textId="77777777" w:rsidTr="003A26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6" w:type="dxa"/>
          </w:tcPr>
          <w:p w14:paraId="5239637E" w14:textId="77777777" w:rsidR="009E5809" w:rsidRPr="009E5809" w:rsidRDefault="009E5809" w:rsidP="009E5809">
            <w:pPr>
              <w:spacing w:after="160" w:line="259" w:lineRule="auto"/>
              <w:jc w:val="both"/>
              <w:rPr>
                <w:rFonts w:ascii="Times New Roman" w:eastAsiaTheme="minorHAnsi" w:hAnsi="Times New Roman"/>
                <w:color w:val="000000"/>
                <w:kern w:val="2"/>
                <w:lang w:eastAsia="en-US"/>
                <w14:ligatures w14:val="standardContextual"/>
              </w:rPr>
            </w:pPr>
            <w:r w:rsidRPr="009E5809">
              <w:rPr>
                <w:rFonts w:ascii="Times New Roman" w:eastAsiaTheme="minorHAnsi" w:hAnsi="Times New Roman"/>
                <w:color w:val="000000"/>
                <w:kern w:val="2"/>
                <w:lang w:eastAsia="en-US"/>
                <w14:ligatures w14:val="standardContextual"/>
              </w:rPr>
              <w:t xml:space="preserve">Chen Y. et al </w:t>
            </w:r>
          </w:p>
        </w:tc>
        <w:tc>
          <w:tcPr>
            <w:tcW w:w="757" w:type="dxa"/>
            <w:hideMark/>
          </w:tcPr>
          <w:p w14:paraId="7EAAC81D"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high</w:t>
            </w:r>
          </w:p>
        </w:tc>
        <w:tc>
          <w:tcPr>
            <w:tcW w:w="683" w:type="dxa"/>
            <w:hideMark/>
          </w:tcPr>
          <w:p w14:paraId="78CBFD96"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720" w:type="dxa"/>
            <w:hideMark/>
          </w:tcPr>
          <w:p w14:paraId="44CC69D7"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719" w:type="dxa"/>
            <w:hideMark/>
          </w:tcPr>
          <w:p w14:paraId="71052ACE"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677" w:type="dxa"/>
            <w:gridSpan w:val="2"/>
            <w:hideMark/>
          </w:tcPr>
          <w:p w14:paraId="6E480889"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700" w:type="dxa"/>
            <w:hideMark/>
          </w:tcPr>
          <w:p w14:paraId="5C7C5898"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677" w:type="dxa"/>
            <w:gridSpan w:val="2"/>
            <w:hideMark/>
          </w:tcPr>
          <w:p w14:paraId="295F9D8E"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992" w:type="dxa"/>
            <w:hideMark/>
          </w:tcPr>
          <w:p w14:paraId="542C1E5C"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unclear</w:t>
            </w:r>
          </w:p>
        </w:tc>
        <w:tc>
          <w:tcPr>
            <w:tcW w:w="913" w:type="dxa"/>
            <w:hideMark/>
          </w:tcPr>
          <w:p w14:paraId="3B959E17"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 xml:space="preserve">high </w:t>
            </w:r>
          </w:p>
        </w:tc>
        <w:tc>
          <w:tcPr>
            <w:tcW w:w="1442" w:type="dxa"/>
            <w:hideMark/>
          </w:tcPr>
          <w:p w14:paraId="75DEBD0E"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high</w:t>
            </w:r>
          </w:p>
        </w:tc>
      </w:tr>
      <w:tr w:rsidR="009E5809" w:rsidRPr="009E5809" w14:paraId="2345AEF7" w14:textId="77777777" w:rsidTr="003A268D">
        <w:tc>
          <w:tcPr>
            <w:cnfStyle w:val="001000000000" w:firstRow="0" w:lastRow="0" w:firstColumn="1" w:lastColumn="0" w:oddVBand="0" w:evenVBand="0" w:oddHBand="0" w:evenHBand="0" w:firstRowFirstColumn="0" w:firstRowLastColumn="0" w:lastRowFirstColumn="0" w:lastRowLastColumn="0"/>
            <w:tcW w:w="1496" w:type="dxa"/>
          </w:tcPr>
          <w:p w14:paraId="2E6D5A5B" w14:textId="77777777" w:rsidR="009E5809" w:rsidRPr="009E5809" w:rsidRDefault="009E5809" w:rsidP="009E5809">
            <w:pPr>
              <w:spacing w:after="160" w:line="259" w:lineRule="auto"/>
              <w:jc w:val="both"/>
              <w:rPr>
                <w:rFonts w:ascii="Times New Roman" w:eastAsiaTheme="minorHAnsi" w:hAnsi="Times New Roman"/>
                <w:color w:val="000000"/>
                <w:kern w:val="2"/>
                <w:lang w:eastAsia="en-US"/>
                <w14:ligatures w14:val="standardContextual"/>
              </w:rPr>
            </w:pPr>
            <w:r w:rsidRPr="009E5809">
              <w:rPr>
                <w:rFonts w:ascii="Times New Roman" w:eastAsiaTheme="minorHAnsi" w:hAnsi="Times New Roman"/>
                <w:color w:val="000000"/>
                <w:kern w:val="2"/>
                <w:lang w:eastAsia="en-US"/>
                <w14:ligatures w14:val="standardContextual"/>
              </w:rPr>
              <w:t xml:space="preserve">Chen D. et al </w:t>
            </w:r>
          </w:p>
        </w:tc>
        <w:tc>
          <w:tcPr>
            <w:tcW w:w="757" w:type="dxa"/>
            <w:hideMark/>
          </w:tcPr>
          <w:p w14:paraId="343013ED"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683" w:type="dxa"/>
            <w:hideMark/>
          </w:tcPr>
          <w:p w14:paraId="33792DC9"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720" w:type="dxa"/>
            <w:hideMark/>
          </w:tcPr>
          <w:p w14:paraId="4ADE44D2"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719" w:type="dxa"/>
            <w:hideMark/>
          </w:tcPr>
          <w:p w14:paraId="4C030D19"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677" w:type="dxa"/>
            <w:gridSpan w:val="2"/>
            <w:hideMark/>
          </w:tcPr>
          <w:p w14:paraId="2C1A45A2"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700" w:type="dxa"/>
            <w:hideMark/>
          </w:tcPr>
          <w:p w14:paraId="06EE319F"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677" w:type="dxa"/>
            <w:gridSpan w:val="2"/>
            <w:hideMark/>
          </w:tcPr>
          <w:p w14:paraId="7AF24519"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992" w:type="dxa"/>
            <w:hideMark/>
          </w:tcPr>
          <w:p w14:paraId="3B51D3F5"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913" w:type="dxa"/>
            <w:hideMark/>
          </w:tcPr>
          <w:p w14:paraId="4D3D2BDB"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1442" w:type="dxa"/>
            <w:hideMark/>
          </w:tcPr>
          <w:p w14:paraId="3EC83FD5"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r>
      <w:tr w:rsidR="009E5809" w:rsidRPr="009E5809" w14:paraId="545EC815" w14:textId="77777777" w:rsidTr="003A26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6" w:type="dxa"/>
          </w:tcPr>
          <w:p w14:paraId="4355F260" w14:textId="77777777" w:rsidR="009E5809" w:rsidRPr="009E5809" w:rsidRDefault="009E5809" w:rsidP="009E5809">
            <w:pPr>
              <w:spacing w:after="160" w:line="259" w:lineRule="auto"/>
              <w:jc w:val="both"/>
              <w:rPr>
                <w:rFonts w:ascii="Times New Roman" w:eastAsiaTheme="minorHAnsi" w:hAnsi="Times New Roman"/>
                <w:color w:val="000000"/>
                <w:kern w:val="2"/>
                <w:lang w:eastAsia="en-US"/>
                <w14:ligatures w14:val="standardContextual"/>
              </w:rPr>
            </w:pPr>
            <w:r w:rsidRPr="009E5809">
              <w:rPr>
                <w:rFonts w:ascii="Times New Roman" w:eastAsiaTheme="minorHAnsi" w:hAnsi="Times New Roman"/>
                <w:color w:val="000000"/>
                <w:kern w:val="2"/>
                <w:lang w:eastAsia="en-US"/>
                <w14:ligatures w14:val="standardContextual"/>
              </w:rPr>
              <w:t xml:space="preserve">Matsumoto K. et al </w:t>
            </w:r>
          </w:p>
        </w:tc>
        <w:tc>
          <w:tcPr>
            <w:tcW w:w="757" w:type="dxa"/>
            <w:hideMark/>
          </w:tcPr>
          <w:p w14:paraId="53403300"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683" w:type="dxa"/>
            <w:hideMark/>
          </w:tcPr>
          <w:p w14:paraId="60F176F1"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720" w:type="dxa"/>
            <w:hideMark/>
          </w:tcPr>
          <w:p w14:paraId="2A6CE3A1"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719" w:type="dxa"/>
            <w:hideMark/>
          </w:tcPr>
          <w:p w14:paraId="2E65566E"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677" w:type="dxa"/>
            <w:gridSpan w:val="2"/>
            <w:hideMark/>
          </w:tcPr>
          <w:p w14:paraId="00B1839F"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700" w:type="dxa"/>
            <w:hideMark/>
          </w:tcPr>
          <w:p w14:paraId="35130D14"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677" w:type="dxa"/>
            <w:gridSpan w:val="2"/>
            <w:hideMark/>
          </w:tcPr>
          <w:p w14:paraId="36E99973"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992" w:type="dxa"/>
            <w:hideMark/>
          </w:tcPr>
          <w:p w14:paraId="3AB0A64F"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913" w:type="dxa"/>
            <w:hideMark/>
          </w:tcPr>
          <w:p w14:paraId="25E8F879"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1442" w:type="dxa"/>
            <w:hideMark/>
          </w:tcPr>
          <w:p w14:paraId="7590F047"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r>
    </w:tbl>
    <w:p w14:paraId="532EA3DF" w14:textId="77777777" w:rsidR="009E5809" w:rsidRPr="009E5809" w:rsidRDefault="009E5809" w:rsidP="009E5809">
      <w:pPr>
        <w:spacing w:after="160" w:line="259" w:lineRule="auto"/>
        <w:jc w:val="both"/>
        <w:rPr>
          <w:rFonts w:ascii="Times New Roman" w:eastAsiaTheme="minorHAnsi" w:hAnsi="Times New Roman"/>
          <w:kern w:val="2"/>
          <w:sz w:val="24"/>
          <w:szCs w:val="24"/>
          <w:vertAlign w:val="subscript"/>
          <w:lang w:eastAsia="en-US"/>
          <w14:ligatures w14:val="standardContextual"/>
        </w:rPr>
      </w:pPr>
      <w:r w:rsidRPr="009E5809">
        <w:rPr>
          <w:rFonts w:ascii="Times New Roman" w:eastAsiaTheme="minorHAnsi" w:hAnsi="Times New Roman"/>
          <w:b/>
          <w:bCs/>
          <w:kern w:val="2"/>
          <w:sz w:val="24"/>
          <w:szCs w:val="24"/>
          <w:vertAlign w:val="subscript"/>
          <w:lang w:eastAsia="en-US"/>
          <w14:ligatures w14:val="standardContextual"/>
        </w:rPr>
        <w:t xml:space="preserve">Abbreviations: </w:t>
      </w:r>
      <w:r w:rsidRPr="009E5809">
        <w:rPr>
          <w:rFonts w:ascii="Times New Roman" w:eastAsiaTheme="minorHAnsi" w:hAnsi="Times New Roman"/>
          <w:kern w:val="2"/>
          <w:sz w:val="24"/>
          <w:szCs w:val="24"/>
          <w:vertAlign w:val="subscript"/>
          <w:lang w:eastAsia="en-US"/>
          <w14:ligatures w14:val="standardContextual"/>
        </w:rPr>
        <w:t xml:space="preserve">RoB; Risk of Bias, DA; Domain Applicability. </w:t>
      </w:r>
    </w:p>
    <w:p w14:paraId="33954901" w14:textId="77777777" w:rsidR="009E5809" w:rsidRPr="009047EE" w:rsidRDefault="009E5809" w:rsidP="009047EE">
      <w:pPr>
        <w:spacing w:after="160" w:line="259" w:lineRule="auto"/>
        <w:jc w:val="both"/>
        <w:rPr>
          <w:rFonts w:ascii="Times New Roman" w:eastAsiaTheme="minorHAnsi" w:hAnsi="Times New Roman"/>
          <w:b/>
          <w:bCs/>
          <w:kern w:val="2"/>
          <w:sz w:val="24"/>
          <w:szCs w:val="24"/>
          <w:vertAlign w:val="subscript"/>
          <w:lang w:eastAsia="en-US"/>
          <w14:ligatures w14:val="standardContextual"/>
        </w:rPr>
      </w:pPr>
    </w:p>
    <w:p w14:paraId="39EF12FD" w14:textId="77777777" w:rsidR="009047EE" w:rsidRPr="00CE28F4" w:rsidRDefault="009047EE" w:rsidP="00E50C5A">
      <w:pPr>
        <w:spacing w:after="160" w:line="360" w:lineRule="auto"/>
        <w:jc w:val="both"/>
        <w:rPr>
          <w:rFonts w:asciiTheme="majorBidi" w:eastAsia="Times New Roman" w:hAnsiTheme="majorBidi" w:cstheme="majorBidi"/>
          <w:color w:val="000000"/>
          <w:sz w:val="24"/>
          <w:szCs w:val="24"/>
        </w:rPr>
      </w:pPr>
    </w:p>
    <w:p w14:paraId="0A7D5309" w14:textId="77777777" w:rsidR="00E8239F" w:rsidRPr="00CE28F4" w:rsidRDefault="00E8239F" w:rsidP="00E50C5A">
      <w:pPr>
        <w:spacing w:line="360" w:lineRule="auto"/>
        <w:jc w:val="both"/>
        <w:rPr>
          <w:rFonts w:asciiTheme="majorBidi" w:hAnsiTheme="majorBidi" w:cstheme="majorBidi"/>
          <w:sz w:val="24"/>
          <w:szCs w:val="24"/>
        </w:rPr>
      </w:pPr>
    </w:p>
    <w:sectPr w:rsidR="00E8239F" w:rsidRPr="00CE28F4" w:rsidSect="008F045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E6295" w14:textId="77777777" w:rsidR="00186D68" w:rsidRDefault="00186D68" w:rsidP="00084E69">
      <w:pPr>
        <w:spacing w:after="0" w:line="240" w:lineRule="auto"/>
      </w:pPr>
      <w:r>
        <w:separator/>
      </w:r>
    </w:p>
  </w:endnote>
  <w:endnote w:type="continuationSeparator" w:id="0">
    <w:p w14:paraId="54A15E9E" w14:textId="77777777" w:rsidR="00186D68" w:rsidRDefault="00186D68" w:rsidP="00084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Display">
    <w:altName w:val="Calibri"/>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140A8" w14:textId="77777777" w:rsidR="006A6D13" w:rsidRDefault="006A6D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540FC" w14:textId="77777777" w:rsidR="006A6D13" w:rsidRDefault="006A6D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2EF70" w14:textId="77777777" w:rsidR="006A6D13" w:rsidRDefault="006A6D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4946CC" w14:textId="77777777" w:rsidR="00186D68" w:rsidRDefault="00186D68" w:rsidP="00084E69">
      <w:pPr>
        <w:spacing w:after="0" w:line="240" w:lineRule="auto"/>
      </w:pPr>
      <w:r>
        <w:separator/>
      </w:r>
    </w:p>
  </w:footnote>
  <w:footnote w:type="continuationSeparator" w:id="0">
    <w:p w14:paraId="4D21553C" w14:textId="77777777" w:rsidR="00186D68" w:rsidRDefault="00186D68" w:rsidP="00084E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EC60F" w14:textId="3B3F5B6C" w:rsidR="008777A8" w:rsidRDefault="00186D68" w:rsidP="006F1651">
    <w:pPr>
      <w:pStyle w:val="Header"/>
      <w:framePr w:wrap="none" w:vAnchor="text" w:hAnchor="margin" w:xAlign="right" w:y="1"/>
      <w:rPr>
        <w:rStyle w:val="PageNumber"/>
      </w:rPr>
    </w:pPr>
    <w:r>
      <w:rPr>
        <w:noProof/>
      </w:rPr>
      <w:pict w14:anchorId="07D2C0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380766" o:spid="_x0000_s2051"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DengXian&quot;;font-size:1pt" string="UNDER PEER REVIEW"/>
          <w10:wrap anchorx="margin" anchory="margin"/>
        </v:shape>
      </w:pict>
    </w:r>
  </w:p>
  <w:sdt>
    <w:sdtPr>
      <w:rPr>
        <w:rStyle w:val="PageNumber"/>
      </w:rPr>
      <w:id w:val="72487411"/>
      <w:docPartObj>
        <w:docPartGallery w:val="Page Numbers (Top of Page)"/>
        <w:docPartUnique/>
      </w:docPartObj>
    </w:sdtPr>
    <w:sdtEndPr>
      <w:rPr>
        <w:rStyle w:val="PageNumber"/>
      </w:rPr>
    </w:sdtEndPr>
    <w:sdtContent>
      <w:p w14:paraId="7EE22526" w14:textId="77777777" w:rsidR="008777A8" w:rsidRDefault="008777A8" w:rsidP="006F165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B59501" w14:textId="77777777" w:rsidR="008777A8" w:rsidRDefault="008777A8" w:rsidP="008777A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F427E" w14:textId="6A774F43" w:rsidR="008777A8" w:rsidRDefault="00186D68" w:rsidP="006F1651">
    <w:pPr>
      <w:pStyle w:val="Header"/>
      <w:framePr w:wrap="none" w:vAnchor="text" w:hAnchor="margin" w:xAlign="right" w:y="1"/>
      <w:rPr>
        <w:rStyle w:val="PageNumber"/>
      </w:rPr>
    </w:pPr>
    <w:r>
      <w:rPr>
        <w:noProof/>
      </w:rPr>
      <w:pict w14:anchorId="3C7A25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380767" o:spid="_x0000_s2050" type="#_x0000_t136" style="position:absolute;margin-left:0;margin-top:0;width:593.85pt;height:65.95pt;rotation:315;z-index:-251656192;mso-position-horizontal:center;mso-position-horizontal-relative:margin;mso-position-vertical:center;mso-position-vertical-relative:margin" o:allowincell="f" fillcolor="silver" stroked="f">
          <v:fill opacity=".5"/>
          <v:textpath style="font-family:&quot;DengXian&quot;;font-size:1pt" string="UNDER PEER REVIEW"/>
          <w10:wrap anchorx="margin" anchory="margin"/>
        </v:shape>
      </w:pict>
    </w:r>
    <w:sdt>
      <w:sdtPr>
        <w:rPr>
          <w:rStyle w:val="PageNumber"/>
        </w:rPr>
        <w:id w:val="1421832587"/>
        <w:docPartObj>
          <w:docPartGallery w:val="Page Numbers (Top of Page)"/>
          <w:docPartUnique/>
        </w:docPartObj>
      </w:sdtPr>
      <w:sdtEndPr>
        <w:rPr>
          <w:rStyle w:val="PageNumber"/>
        </w:rPr>
      </w:sdtEndPr>
      <w:sdtContent>
        <w:r w:rsidR="008777A8">
          <w:rPr>
            <w:rStyle w:val="PageNumber"/>
          </w:rPr>
          <w:fldChar w:fldCharType="begin"/>
        </w:r>
        <w:r w:rsidR="008777A8">
          <w:rPr>
            <w:rStyle w:val="PageNumber"/>
          </w:rPr>
          <w:instrText xml:space="preserve"> PAGE </w:instrText>
        </w:r>
        <w:r w:rsidR="008777A8">
          <w:rPr>
            <w:rStyle w:val="PageNumber"/>
          </w:rPr>
          <w:fldChar w:fldCharType="separate"/>
        </w:r>
        <w:r w:rsidR="000B16E0">
          <w:rPr>
            <w:rStyle w:val="PageNumber"/>
            <w:noProof/>
          </w:rPr>
          <w:t>22</w:t>
        </w:r>
        <w:r w:rsidR="008777A8">
          <w:rPr>
            <w:rStyle w:val="PageNumber"/>
          </w:rPr>
          <w:fldChar w:fldCharType="end"/>
        </w:r>
      </w:sdtContent>
    </w:sdt>
  </w:p>
  <w:p w14:paraId="41109FB7" w14:textId="77777777" w:rsidR="008777A8" w:rsidRDefault="008777A8" w:rsidP="008777A8">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7552A" w14:textId="4C901D8E" w:rsidR="006A6D13" w:rsidRDefault="00186D68">
    <w:pPr>
      <w:pStyle w:val="Header"/>
    </w:pPr>
    <w:r>
      <w:rPr>
        <w:noProof/>
      </w:rPr>
      <w:pict w14:anchorId="74DFE6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380765" o:spid="_x0000_s2049"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DengXian&quot;;font-size:1pt" string="UNDER PEER REVIEW"/>
          <w10:wrap anchorx="margin" anchory="margin"/>
        </v:shape>
      </w:pict>
    </w:r>
  </w:p>
</w:hdr>
</file>

<file path=word/intelligence2.xml><?xml version="1.0" encoding="utf-8"?>
<int2:intelligence xmlns:int2="http://schemas.microsoft.com/office/intelligence/2020/intelligence" xmlns:oel="http://schemas.microsoft.com/office/2019/extlst">
  <int2:observations>
    <int2:bookmark int2:bookmarkName="_Int_d44kmfI2" int2:invalidationBookmarkName="" int2:hashCode="B8BBJQQ2/Eu8dn" int2:id="avnP63Vc">
      <int2:state int2:value="Rejected" int2:type="AugLoop_Text_Critique"/>
    </int2:bookmark>
    <int2:bookmark int2:bookmarkName="_Int_2w5u3Zg5" int2:invalidationBookmarkName="" int2:hashCode="yzXGArXRp5qIlj" int2:id="Nr7raJ4y">
      <int2:state int2:value="Rejected" int2:type="AugLoop_Text_Critique"/>
    </int2:bookmark>
    <int2:bookmark int2:bookmarkName="_Int_yUSqvMm4" int2:invalidationBookmarkName="" int2:hashCode="PHXeWmjKwc/F+a" int2:id="BNpmHulB">
      <int2:state int2:value="Rejected" int2:type="AugLoop_Text_Critique"/>
    </int2:bookmark>
    <int2:bookmark int2:bookmarkName="_Int_1EPTl1XJ" int2:invalidationBookmarkName="" int2:hashCode="XDj5/OyWLyC9Ph" int2:id="a2CItChD">
      <int2:state int2:value="Rejected" int2:type="AugLoop_Text_Critique"/>
    </int2:bookmark>
    <int2:bookmark int2:bookmarkName="_Int_a68ueiQc" int2:invalidationBookmarkName="" int2:hashCode="FBURAR6zf690mX" int2:id="XEP72hO9">
      <int2:state int2:value="Rejected" int2:type="AugLoop_Text_Critique"/>
    </int2:bookmark>
    <int2:bookmark int2:bookmarkName="_Int_ew6OIGN5" int2:invalidationBookmarkName="" int2:hashCode="vwaDrZ8YqHQNH3" int2:id="jLCKS6es">
      <int2:state int2:value="Rejected" int2:type="AugLoop_Text_Critique"/>
    </int2:bookmark>
    <int2:bookmark int2:bookmarkName="_Int_hnvyiQeP" int2:invalidationBookmarkName="" int2:hashCode="43K/JlIt1QZTyM" int2:id="zWYYOQae">
      <int2:state int2:value="Rejected" int2:type="AugLoop_Text_Critique"/>
    </int2:bookmark>
    <int2:bookmark int2:bookmarkName="_Int_Bx5bnOj6" int2:invalidationBookmarkName="" int2:hashCode="174mj7RpeZng2y" int2:id="1O7NaVlD">
      <int2:state int2:value="Rejected" int2:type="AugLoop_Text_Critique"/>
    </int2:bookmark>
    <int2:bookmark int2:bookmarkName="_Int_eacCDMKx" int2:invalidationBookmarkName="" int2:hashCode="dK/UOi+2v52Ky+" int2:id="Y4dwJElh">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203A3"/>
    <w:multiLevelType w:val="hybridMultilevel"/>
    <w:tmpl w:val="2A9A9DC6"/>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E87639"/>
    <w:multiLevelType w:val="hybridMultilevel"/>
    <w:tmpl w:val="0D76DDBA"/>
    <w:lvl w:ilvl="0" w:tplc="08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DA258F9"/>
    <w:multiLevelType w:val="hybridMultilevel"/>
    <w:tmpl w:val="72A82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245D5E"/>
    <w:multiLevelType w:val="multilevel"/>
    <w:tmpl w:val="FFFFFFFF"/>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75B5110"/>
    <w:multiLevelType w:val="hybridMultilevel"/>
    <w:tmpl w:val="AD5C1450"/>
    <w:lvl w:ilvl="0" w:tplc="FFFFFFFF">
      <w:start w:val="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mer J Surgery [ ]&lt;/Style&gt;&lt;LeftDelim&gt;{&lt;/LeftDelim&gt;&lt;RightDelim&gt;}&lt;/RightDelim&gt;&lt;FontName&gt;DengXi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sd2wz5zt5v2wseez9pxazarf255rsxasspv&quot;&gt;我的 EndNote 库&lt;record-ids&gt;&lt;item&gt;1&lt;/item&gt;&lt;item&gt;8&lt;/item&gt;&lt;item&gt;9&lt;/item&gt;&lt;item&gt;10&lt;/item&gt;&lt;item&gt;11&lt;/item&gt;&lt;item&gt;14&lt;/item&gt;&lt;item&gt;16&lt;/item&gt;&lt;item&gt;17&lt;/item&gt;&lt;item&gt;18&lt;/item&gt;&lt;item&gt;21&lt;/item&gt;&lt;item&gt;22&lt;/item&gt;&lt;item&gt;23&lt;/item&gt;&lt;item&gt;24&lt;/item&gt;&lt;item&gt;25&lt;/item&gt;&lt;item&gt;26&lt;/item&gt;&lt;item&gt;27&lt;/item&gt;&lt;/record-ids&gt;&lt;/item&gt;&lt;/Libraries&gt;"/>
  </w:docVars>
  <w:rsids>
    <w:rsidRoot w:val="005D7F60"/>
    <w:rsid w:val="00015870"/>
    <w:rsid w:val="00031337"/>
    <w:rsid w:val="0004414C"/>
    <w:rsid w:val="000450E5"/>
    <w:rsid w:val="00052DD1"/>
    <w:rsid w:val="00066EA5"/>
    <w:rsid w:val="00084E69"/>
    <w:rsid w:val="0009271B"/>
    <w:rsid w:val="000B16E0"/>
    <w:rsid w:val="000B302B"/>
    <w:rsid w:val="000C4757"/>
    <w:rsid w:val="000D0271"/>
    <w:rsid w:val="000E3D37"/>
    <w:rsid w:val="000E570F"/>
    <w:rsid w:val="000E748B"/>
    <w:rsid w:val="000F6551"/>
    <w:rsid w:val="00106FEB"/>
    <w:rsid w:val="00111C7D"/>
    <w:rsid w:val="00115E8E"/>
    <w:rsid w:val="00145387"/>
    <w:rsid w:val="00165433"/>
    <w:rsid w:val="00175CC4"/>
    <w:rsid w:val="00177530"/>
    <w:rsid w:val="00186D68"/>
    <w:rsid w:val="001A6B2D"/>
    <w:rsid w:val="001B4DC1"/>
    <w:rsid w:val="001C19CE"/>
    <w:rsid w:val="001C553A"/>
    <w:rsid w:val="001D3755"/>
    <w:rsid w:val="001E200C"/>
    <w:rsid w:val="00201FE5"/>
    <w:rsid w:val="0021490F"/>
    <w:rsid w:val="00244367"/>
    <w:rsid w:val="002469F0"/>
    <w:rsid w:val="00256CF6"/>
    <w:rsid w:val="002619B7"/>
    <w:rsid w:val="002863B0"/>
    <w:rsid w:val="002A4258"/>
    <w:rsid w:val="002A44CC"/>
    <w:rsid w:val="002A593D"/>
    <w:rsid w:val="002C03E6"/>
    <w:rsid w:val="002C16FC"/>
    <w:rsid w:val="002D4BA9"/>
    <w:rsid w:val="002D4BF9"/>
    <w:rsid w:val="002D7694"/>
    <w:rsid w:val="002D7DDA"/>
    <w:rsid w:val="002F35A1"/>
    <w:rsid w:val="00303AB4"/>
    <w:rsid w:val="00324D6C"/>
    <w:rsid w:val="00332476"/>
    <w:rsid w:val="003644D9"/>
    <w:rsid w:val="00380B66"/>
    <w:rsid w:val="003873F3"/>
    <w:rsid w:val="0039021C"/>
    <w:rsid w:val="003A1885"/>
    <w:rsid w:val="003C35D3"/>
    <w:rsid w:val="003C4473"/>
    <w:rsid w:val="003D176B"/>
    <w:rsid w:val="003D2794"/>
    <w:rsid w:val="003F2E71"/>
    <w:rsid w:val="00410B26"/>
    <w:rsid w:val="004119DC"/>
    <w:rsid w:val="004335DB"/>
    <w:rsid w:val="00446A94"/>
    <w:rsid w:val="004525E8"/>
    <w:rsid w:val="00453390"/>
    <w:rsid w:val="00471DE4"/>
    <w:rsid w:val="0048785F"/>
    <w:rsid w:val="00493E91"/>
    <w:rsid w:val="00494234"/>
    <w:rsid w:val="004A4059"/>
    <w:rsid w:val="004D6EE2"/>
    <w:rsid w:val="004E2148"/>
    <w:rsid w:val="00500547"/>
    <w:rsid w:val="00515464"/>
    <w:rsid w:val="00527EB2"/>
    <w:rsid w:val="0054625C"/>
    <w:rsid w:val="005620FB"/>
    <w:rsid w:val="00567D4B"/>
    <w:rsid w:val="00582BB1"/>
    <w:rsid w:val="005B2B69"/>
    <w:rsid w:val="005B6031"/>
    <w:rsid w:val="005C77EE"/>
    <w:rsid w:val="005D42E3"/>
    <w:rsid w:val="005D7F60"/>
    <w:rsid w:val="005F7CCE"/>
    <w:rsid w:val="006111AE"/>
    <w:rsid w:val="006125CE"/>
    <w:rsid w:val="006148C2"/>
    <w:rsid w:val="00626554"/>
    <w:rsid w:val="00631D39"/>
    <w:rsid w:val="00637CDD"/>
    <w:rsid w:val="00642406"/>
    <w:rsid w:val="00656485"/>
    <w:rsid w:val="0068280A"/>
    <w:rsid w:val="006A6D13"/>
    <w:rsid w:val="006B6B4D"/>
    <w:rsid w:val="006C0DAC"/>
    <w:rsid w:val="006C361E"/>
    <w:rsid w:val="006D2A49"/>
    <w:rsid w:val="006D6055"/>
    <w:rsid w:val="006E2326"/>
    <w:rsid w:val="006E31D6"/>
    <w:rsid w:val="006E3833"/>
    <w:rsid w:val="006E64E8"/>
    <w:rsid w:val="007212F7"/>
    <w:rsid w:val="007216BE"/>
    <w:rsid w:val="00750849"/>
    <w:rsid w:val="00760464"/>
    <w:rsid w:val="007672A9"/>
    <w:rsid w:val="007707CD"/>
    <w:rsid w:val="007769AC"/>
    <w:rsid w:val="00793B74"/>
    <w:rsid w:val="007D429F"/>
    <w:rsid w:val="007E3057"/>
    <w:rsid w:val="007E6BED"/>
    <w:rsid w:val="007F1486"/>
    <w:rsid w:val="00805C04"/>
    <w:rsid w:val="00845638"/>
    <w:rsid w:val="008604AC"/>
    <w:rsid w:val="008777A8"/>
    <w:rsid w:val="00885F06"/>
    <w:rsid w:val="008C0EE6"/>
    <w:rsid w:val="008D1BB5"/>
    <w:rsid w:val="008D2011"/>
    <w:rsid w:val="008E1229"/>
    <w:rsid w:val="008E186B"/>
    <w:rsid w:val="008E4EE2"/>
    <w:rsid w:val="008F01AE"/>
    <w:rsid w:val="008F045B"/>
    <w:rsid w:val="008F1C17"/>
    <w:rsid w:val="008F4D1F"/>
    <w:rsid w:val="008F797B"/>
    <w:rsid w:val="00903D6F"/>
    <w:rsid w:val="009047EE"/>
    <w:rsid w:val="00904867"/>
    <w:rsid w:val="00904B6A"/>
    <w:rsid w:val="009225BF"/>
    <w:rsid w:val="009227B4"/>
    <w:rsid w:val="00935C4B"/>
    <w:rsid w:val="00940762"/>
    <w:rsid w:val="00954178"/>
    <w:rsid w:val="00957655"/>
    <w:rsid w:val="00973451"/>
    <w:rsid w:val="009735D9"/>
    <w:rsid w:val="00973ECF"/>
    <w:rsid w:val="00983764"/>
    <w:rsid w:val="0098702A"/>
    <w:rsid w:val="00987558"/>
    <w:rsid w:val="00994FA5"/>
    <w:rsid w:val="009A01D9"/>
    <w:rsid w:val="009A5ED2"/>
    <w:rsid w:val="009D39B3"/>
    <w:rsid w:val="009D48F9"/>
    <w:rsid w:val="009E1320"/>
    <w:rsid w:val="009E5809"/>
    <w:rsid w:val="00A017DF"/>
    <w:rsid w:val="00A25174"/>
    <w:rsid w:val="00A2589F"/>
    <w:rsid w:val="00A42C6E"/>
    <w:rsid w:val="00A52C37"/>
    <w:rsid w:val="00A57E62"/>
    <w:rsid w:val="00A63DF2"/>
    <w:rsid w:val="00A81D8F"/>
    <w:rsid w:val="00A91456"/>
    <w:rsid w:val="00AA59DC"/>
    <w:rsid w:val="00AC6016"/>
    <w:rsid w:val="00AD32B9"/>
    <w:rsid w:val="00AE69DE"/>
    <w:rsid w:val="00B003E4"/>
    <w:rsid w:val="00B02218"/>
    <w:rsid w:val="00B60FEB"/>
    <w:rsid w:val="00B613FE"/>
    <w:rsid w:val="00B811A1"/>
    <w:rsid w:val="00B813DF"/>
    <w:rsid w:val="00BA0F39"/>
    <w:rsid w:val="00BA1D95"/>
    <w:rsid w:val="00BB6165"/>
    <w:rsid w:val="00BB7EDC"/>
    <w:rsid w:val="00BC2822"/>
    <w:rsid w:val="00BC45DF"/>
    <w:rsid w:val="00BC7CD3"/>
    <w:rsid w:val="00BE5DCB"/>
    <w:rsid w:val="00BF3C55"/>
    <w:rsid w:val="00C0633B"/>
    <w:rsid w:val="00C13ABC"/>
    <w:rsid w:val="00C15EAA"/>
    <w:rsid w:val="00C57FFE"/>
    <w:rsid w:val="00C63C9F"/>
    <w:rsid w:val="00C70B3E"/>
    <w:rsid w:val="00C71C18"/>
    <w:rsid w:val="00C81AC4"/>
    <w:rsid w:val="00C96595"/>
    <w:rsid w:val="00CA2C8A"/>
    <w:rsid w:val="00CA32D0"/>
    <w:rsid w:val="00CB074D"/>
    <w:rsid w:val="00CB4A4E"/>
    <w:rsid w:val="00CE0781"/>
    <w:rsid w:val="00CE11F4"/>
    <w:rsid w:val="00CE28F4"/>
    <w:rsid w:val="00D03330"/>
    <w:rsid w:val="00D14621"/>
    <w:rsid w:val="00D2476D"/>
    <w:rsid w:val="00D25319"/>
    <w:rsid w:val="00D27120"/>
    <w:rsid w:val="00D36A41"/>
    <w:rsid w:val="00D56617"/>
    <w:rsid w:val="00D61394"/>
    <w:rsid w:val="00D7445C"/>
    <w:rsid w:val="00D77CFD"/>
    <w:rsid w:val="00D8297F"/>
    <w:rsid w:val="00D83543"/>
    <w:rsid w:val="00D91287"/>
    <w:rsid w:val="00DF2B0B"/>
    <w:rsid w:val="00DF6250"/>
    <w:rsid w:val="00E11A5E"/>
    <w:rsid w:val="00E12A28"/>
    <w:rsid w:val="00E225CE"/>
    <w:rsid w:val="00E476A6"/>
    <w:rsid w:val="00E50C5A"/>
    <w:rsid w:val="00E748AD"/>
    <w:rsid w:val="00E819AF"/>
    <w:rsid w:val="00E8239F"/>
    <w:rsid w:val="00E85C9D"/>
    <w:rsid w:val="00E87B46"/>
    <w:rsid w:val="00E939AF"/>
    <w:rsid w:val="00EA5A4B"/>
    <w:rsid w:val="00EA7D15"/>
    <w:rsid w:val="00EB1623"/>
    <w:rsid w:val="00ED399D"/>
    <w:rsid w:val="00EE483F"/>
    <w:rsid w:val="00EF4AC1"/>
    <w:rsid w:val="00F10823"/>
    <w:rsid w:val="00F24DC1"/>
    <w:rsid w:val="00F36A79"/>
    <w:rsid w:val="00F4382A"/>
    <w:rsid w:val="00F46868"/>
    <w:rsid w:val="00F51231"/>
    <w:rsid w:val="00F5631F"/>
    <w:rsid w:val="00F60D60"/>
    <w:rsid w:val="00F63E5D"/>
    <w:rsid w:val="00F653CD"/>
    <w:rsid w:val="00F757ED"/>
    <w:rsid w:val="00F84116"/>
    <w:rsid w:val="00F84D61"/>
    <w:rsid w:val="00F87779"/>
    <w:rsid w:val="00FD0462"/>
    <w:rsid w:val="00FE5B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97317ED"/>
  <w15:chartTrackingRefBased/>
  <w15:docId w15:val="{6B14C9E9-980C-4B68-A958-48781B8C8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7F60"/>
    <w:pPr>
      <w:spacing w:after="200" w:line="276" w:lineRule="auto"/>
    </w:pPr>
    <w:rPr>
      <w:rFonts w:ascii="DengXian" w:eastAsia="DengXian" w:hAnsi="DengXian" w:cs="Times New Roman"/>
      <w:kern w:val="0"/>
      <w:lang w:eastAsia="zh-CN"/>
      <w14:ligatures w14:val="none"/>
    </w:rPr>
  </w:style>
  <w:style w:type="paragraph" w:styleId="Heading1">
    <w:name w:val="heading 1"/>
    <w:basedOn w:val="Normal"/>
    <w:next w:val="Normal"/>
    <w:link w:val="Heading1Char"/>
    <w:uiPriority w:val="9"/>
    <w:qFormat/>
    <w:rsid w:val="005D7F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7F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7F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7F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7F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7F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7F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7F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7F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F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7F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7F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7F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7F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7F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7F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7F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7F60"/>
    <w:rPr>
      <w:rFonts w:eastAsiaTheme="majorEastAsia" w:cstheme="majorBidi"/>
      <w:color w:val="272727" w:themeColor="text1" w:themeTint="D8"/>
    </w:rPr>
  </w:style>
  <w:style w:type="paragraph" w:styleId="Title">
    <w:name w:val="Title"/>
    <w:basedOn w:val="Normal"/>
    <w:next w:val="Normal"/>
    <w:link w:val="TitleChar"/>
    <w:uiPriority w:val="10"/>
    <w:qFormat/>
    <w:rsid w:val="005D7F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7F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7F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7F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7F60"/>
    <w:pPr>
      <w:spacing w:before="160"/>
      <w:jc w:val="center"/>
    </w:pPr>
    <w:rPr>
      <w:i/>
      <w:iCs/>
      <w:color w:val="404040" w:themeColor="text1" w:themeTint="BF"/>
    </w:rPr>
  </w:style>
  <w:style w:type="character" w:customStyle="1" w:styleId="QuoteChar">
    <w:name w:val="Quote Char"/>
    <w:basedOn w:val="DefaultParagraphFont"/>
    <w:link w:val="Quote"/>
    <w:uiPriority w:val="29"/>
    <w:rsid w:val="005D7F60"/>
    <w:rPr>
      <w:i/>
      <w:iCs/>
      <w:color w:val="404040" w:themeColor="text1" w:themeTint="BF"/>
    </w:rPr>
  </w:style>
  <w:style w:type="paragraph" w:styleId="ListParagraph">
    <w:name w:val="List Paragraph"/>
    <w:aliases w:val="列表段落"/>
    <w:basedOn w:val="Normal"/>
    <w:uiPriority w:val="34"/>
    <w:qFormat/>
    <w:rsid w:val="005D7F60"/>
    <w:pPr>
      <w:ind w:left="720"/>
      <w:contextualSpacing/>
    </w:pPr>
  </w:style>
  <w:style w:type="character" w:styleId="IntenseEmphasis">
    <w:name w:val="Intense Emphasis"/>
    <w:basedOn w:val="DefaultParagraphFont"/>
    <w:uiPriority w:val="21"/>
    <w:qFormat/>
    <w:rsid w:val="005D7F60"/>
    <w:rPr>
      <w:i/>
      <w:iCs/>
      <w:color w:val="0F4761" w:themeColor="accent1" w:themeShade="BF"/>
    </w:rPr>
  </w:style>
  <w:style w:type="paragraph" w:styleId="IntenseQuote">
    <w:name w:val="Intense Quote"/>
    <w:basedOn w:val="Normal"/>
    <w:next w:val="Normal"/>
    <w:link w:val="IntenseQuoteChar"/>
    <w:uiPriority w:val="30"/>
    <w:qFormat/>
    <w:rsid w:val="005D7F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7F60"/>
    <w:rPr>
      <w:i/>
      <w:iCs/>
      <w:color w:val="0F4761" w:themeColor="accent1" w:themeShade="BF"/>
    </w:rPr>
  </w:style>
  <w:style w:type="character" w:styleId="IntenseReference">
    <w:name w:val="Intense Reference"/>
    <w:basedOn w:val="DefaultParagraphFont"/>
    <w:uiPriority w:val="32"/>
    <w:qFormat/>
    <w:rsid w:val="005D7F60"/>
    <w:rPr>
      <w:b/>
      <w:bCs/>
      <w:smallCaps/>
      <w:color w:val="0F4761" w:themeColor="accent1" w:themeShade="BF"/>
      <w:spacing w:val="5"/>
    </w:rPr>
  </w:style>
  <w:style w:type="paragraph" w:customStyle="1" w:styleId="EndNoteBibliographyTitle">
    <w:name w:val="EndNote Bibliography Title"/>
    <w:basedOn w:val="Normal"/>
    <w:link w:val="EndNoteBibliographyTitleChar"/>
    <w:rsid w:val="005D7F60"/>
    <w:pPr>
      <w:spacing w:after="0"/>
      <w:jc w:val="center"/>
    </w:pPr>
    <w:rPr>
      <w:noProof/>
    </w:rPr>
  </w:style>
  <w:style w:type="character" w:customStyle="1" w:styleId="EndNoteBibliographyTitleChar">
    <w:name w:val="EndNote Bibliography Title Char"/>
    <w:basedOn w:val="DefaultParagraphFont"/>
    <w:link w:val="EndNoteBibliographyTitle"/>
    <w:rsid w:val="005D7F60"/>
    <w:rPr>
      <w:rFonts w:ascii="DengXian" w:eastAsia="DengXian" w:hAnsi="DengXian" w:cs="Times New Roman"/>
      <w:noProof/>
      <w:kern w:val="0"/>
      <w:lang w:eastAsia="zh-CN"/>
      <w14:ligatures w14:val="none"/>
    </w:rPr>
  </w:style>
  <w:style w:type="paragraph" w:customStyle="1" w:styleId="EndNoteBibliography">
    <w:name w:val="EndNote Bibliography"/>
    <w:basedOn w:val="Normal"/>
    <w:link w:val="EndNoteBibliographyChar"/>
    <w:rsid w:val="005D7F60"/>
    <w:pPr>
      <w:spacing w:line="240" w:lineRule="auto"/>
    </w:pPr>
    <w:rPr>
      <w:noProof/>
    </w:rPr>
  </w:style>
  <w:style w:type="character" w:customStyle="1" w:styleId="EndNoteBibliographyChar">
    <w:name w:val="EndNote Bibliography Char"/>
    <w:basedOn w:val="DefaultParagraphFont"/>
    <w:link w:val="EndNoteBibliography"/>
    <w:rsid w:val="005D7F60"/>
    <w:rPr>
      <w:rFonts w:ascii="DengXian" w:eastAsia="DengXian" w:hAnsi="DengXian" w:cs="Times New Roman"/>
      <w:noProof/>
      <w:kern w:val="0"/>
      <w:lang w:eastAsia="zh-CN"/>
      <w14:ligatures w14:val="none"/>
    </w:rPr>
  </w:style>
  <w:style w:type="character" w:styleId="Hyperlink">
    <w:name w:val="Hyperlink"/>
    <w:basedOn w:val="DefaultParagraphFont"/>
    <w:uiPriority w:val="99"/>
    <w:unhideWhenUsed/>
    <w:rsid w:val="005D7F60"/>
    <w:rPr>
      <w:color w:val="467886" w:themeColor="hyperlink"/>
      <w:u w:val="single"/>
    </w:rPr>
  </w:style>
  <w:style w:type="character" w:customStyle="1" w:styleId="UnresolvedMention1">
    <w:name w:val="Unresolved Mention1"/>
    <w:basedOn w:val="DefaultParagraphFont"/>
    <w:uiPriority w:val="99"/>
    <w:semiHidden/>
    <w:unhideWhenUsed/>
    <w:rsid w:val="005D7F60"/>
    <w:rPr>
      <w:color w:val="605E5C"/>
      <w:shd w:val="clear" w:color="auto" w:fill="E1DFDD"/>
    </w:rPr>
  </w:style>
  <w:style w:type="character" w:styleId="LineNumber">
    <w:name w:val="line number"/>
    <w:basedOn w:val="DefaultParagraphFont"/>
    <w:uiPriority w:val="99"/>
    <w:semiHidden/>
    <w:unhideWhenUsed/>
    <w:rsid w:val="007216BE"/>
  </w:style>
  <w:style w:type="table" w:customStyle="1" w:styleId="ListTable6Colourful1">
    <w:name w:val="List Table 6 Colourful1"/>
    <w:basedOn w:val="TableNormal"/>
    <w:uiPriority w:val="51"/>
    <w:rsid w:val="0095765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084E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4E69"/>
    <w:rPr>
      <w:rFonts w:ascii="DengXian" w:eastAsia="DengXian" w:hAnsi="DengXian" w:cs="Times New Roman"/>
      <w:kern w:val="0"/>
      <w:lang w:eastAsia="zh-CN"/>
      <w14:ligatures w14:val="none"/>
    </w:rPr>
  </w:style>
  <w:style w:type="paragraph" w:styleId="Footer">
    <w:name w:val="footer"/>
    <w:basedOn w:val="Normal"/>
    <w:link w:val="FooterChar"/>
    <w:uiPriority w:val="99"/>
    <w:unhideWhenUsed/>
    <w:rsid w:val="00084E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4E69"/>
    <w:rPr>
      <w:rFonts w:ascii="DengXian" w:eastAsia="DengXian" w:hAnsi="DengXian" w:cs="Times New Roman"/>
      <w:kern w:val="0"/>
      <w:lang w:eastAsia="zh-CN"/>
      <w14:ligatures w14:val="none"/>
    </w:rPr>
  </w:style>
  <w:style w:type="table" w:styleId="TableGrid">
    <w:name w:val="Table Grid"/>
    <w:basedOn w:val="TableNormal"/>
    <w:uiPriority w:val="39"/>
    <w:rsid w:val="00E50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8777A8"/>
  </w:style>
  <w:style w:type="character" w:styleId="UnresolvedMention">
    <w:name w:val="Unresolved Mention"/>
    <w:basedOn w:val="DefaultParagraphFont"/>
    <w:uiPriority w:val="99"/>
    <w:semiHidden/>
    <w:unhideWhenUsed/>
    <w:rsid w:val="001C55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732840">
      <w:bodyDiv w:val="1"/>
      <w:marLeft w:val="0"/>
      <w:marRight w:val="0"/>
      <w:marTop w:val="0"/>
      <w:marBottom w:val="0"/>
      <w:divBdr>
        <w:top w:val="none" w:sz="0" w:space="0" w:color="auto"/>
        <w:left w:val="none" w:sz="0" w:space="0" w:color="auto"/>
        <w:bottom w:val="none" w:sz="0" w:space="0" w:color="auto"/>
        <w:right w:val="none" w:sz="0" w:space="0" w:color="auto"/>
      </w:divBdr>
    </w:div>
    <w:div w:id="420416712">
      <w:bodyDiv w:val="1"/>
      <w:marLeft w:val="0"/>
      <w:marRight w:val="0"/>
      <w:marTop w:val="0"/>
      <w:marBottom w:val="0"/>
      <w:divBdr>
        <w:top w:val="none" w:sz="0" w:space="0" w:color="auto"/>
        <w:left w:val="none" w:sz="0" w:space="0" w:color="auto"/>
        <w:bottom w:val="none" w:sz="0" w:space="0" w:color="auto"/>
        <w:right w:val="none" w:sz="0" w:space="0" w:color="auto"/>
      </w:divBdr>
    </w:div>
    <w:div w:id="423690748">
      <w:bodyDiv w:val="1"/>
      <w:marLeft w:val="0"/>
      <w:marRight w:val="0"/>
      <w:marTop w:val="0"/>
      <w:marBottom w:val="0"/>
      <w:divBdr>
        <w:top w:val="none" w:sz="0" w:space="0" w:color="auto"/>
        <w:left w:val="none" w:sz="0" w:space="0" w:color="auto"/>
        <w:bottom w:val="none" w:sz="0" w:space="0" w:color="auto"/>
        <w:right w:val="none" w:sz="0" w:space="0" w:color="auto"/>
      </w:divBdr>
    </w:div>
    <w:div w:id="724111826">
      <w:bodyDiv w:val="1"/>
      <w:marLeft w:val="0"/>
      <w:marRight w:val="0"/>
      <w:marTop w:val="0"/>
      <w:marBottom w:val="0"/>
      <w:divBdr>
        <w:top w:val="none" w:sz="0" w:space="0" w:color="auto"/>
        <w:left w:val="none" w:sz="0" w:space="0" w:color="auto"/>
        <w:bottom w:val="none" w:sz="0" w:space="0" w:color="auto"/>
        <w:right w:val="none" w:sz="0" w:space="0" w:color="auto"/>
      </w:divBdr>
    </w:div>
    <w:div w:id="867257211">
      <w:bodyDiv w:val="1"/>
      <w:marLeft w:val="0"/>
      <w:marRight w:val="0"/>
      <w:marTop w:val="0"/>
      <w:marBottom w:val="0"/>
      <w:divBdr>
        <w:top w:val="none" w:sz="0" w:space="0" w:color="auto"/>
        <w:left w:val="none" w:sz="0" w:space="0" w:color="auto"/>
        <w:bottom w:val="none" w:sz="0" w:space="0" w:color="auto"/>
        <w:right w:val="none" w:sz="0" w:space="0" w:color="auto"/>
      </w:divBdr>
    </w:div>
    <w:div w:id="1073086733">
      <w:bodyDiv w:val="1"/>
      <w:marLeft w:val="0"/>
      <w:marRight w:val="0"/>
      <w:marTop w:val="0"/>
      <w:marBottom w:val="0"/>
      <w:divBdr>
        <w:top w:val="none" w:sz="0" w:space="0" w:color="auto"/>
        <w:left w:val="none" w:sz="0" w:space="0" w:color="auto"/>
        <w:bottom w:val="none" w:sz="0" w:space="0" w:color="auto"/>
        <w:right w:val="none" w:sz="0" w:space="0" w:color="auto"/>
      </w:divBdr>
    </w:div>
    <w:div w:id="1076171688">
      <w:bodyDiv w:val="1"/>
      <w:marLeft w:val="0"/>
      <w:marRight w:val="0"/>
      <w:marTop w:val="0"/>
      <w:marBottom w:val="0"/>
      <w:divBdr>
        <w:top w:val="none" w:sz="0" w:space="0" w:color="auto"/>
        <w:left w:val="none" w:sz="0" w:space="0" w:color="auto"/>
        <w:bottom w:val="none" w:sz="0" w:space="0" w:color="auto"/>
        <w:right w:val="none" w:sz="0" w:space="0" w:color="auto"/>
      </w:divBdr>
    </w:div>
    <w:div w:id="1124734366">
      <w:bodyDiv w:val="1"/>
      <w:marLeft w:val="0"/>
      <w:marRight w:val="0"/>
      <w:marTop w:val="0"/>
      <w:marBottom w:val="0"/>
      <w:divBdr>
        <w:top w:val="none" w:sz="0" w:space="0" w:color="auto"/>
        <w:left w:val="none" w:sz="0" w:space="0" w:color="auto"/>
        <w:bottom w:val="none" w:sz="0" w:space="0" w:color="auto"/>
        <w:right w:val="none" w:sz="0" w:space="0" w:color="auto"/>
      </w:divBdr>
    </w:div>
    <w:div w:id="1352996666">
      <w:bodyDiv w:val="1"/>
      <w:marLeft w:val="0"/>
      <w:marRight w:val="0"/>
      <w:marTop w:val="0"/>
      <w:marBottom w:val="0"/>
      <w:divBdr>
        <w:top w:val="none" w:sz="0" w:space="0" w:color="auto"/>
        <w:left w:val="none" w:sz="0" w:space="0" w:color="auto"/>
        <w:bottom w:val="none" w:sz="0" w:space="0" w:color="auto"/>
        <w:right w:val="none" w:sz="0" w:space="0" w:color="auto"/>
      </w:divBdr>
    </w:div>
    <w:div w:id="1554542498">
      <w:bodyDiv w:val="1"/>
      <w:marLeft w:val="0"/>
      <w:marRight w:val="0"/>
      <w:marTop w:val="0"/>
      <w:marBottom w:val="0"/>
      <w:divBdr>
        <w:top w:val="none" w:sz="0" w:space="0" w:color="auto"/>
        <w:left w:val="none" w:sz="0" w:space="0" w:color="auto"/>
        <w:bottom w:val="none" w:sz="0" w:space="0" w:color="auto"/>
        <w:right w:val="none" w:sz="0" w:space="0" w:color="auto"/>
      </w:divBdr>
    </w:div>
    <w:div w:id="1619993795">
      <w:bodyDiv w:val="1"/>
      <w:marLeft w:val="0"/>
      <w:marRight w:val="0"/>
      <w:marTop w:val="0"/>
      <w:marBottom w:val="0"/>
      <w:divBdr>
        <w:top w:val="none" w:sz="0" w:space="0" w:color="auto"/>
        <w:left w:val="none" w:sz="0" w:space="0" w:color="auto"/>
        <w:bottom w:val="none" w:sz="0" w:space="0" w:color="auto"/>
        <w:right w:val="none" w:sz="0" w:space="0" w:color="auto"/>
      </w:divBdr>
    </w:div>
    <w:div w:id="1698894531">
      <w:bodyDiv w:val="1"/>
      <w:marLeft w:val="0"/>
      <w:marRight w:val="0"/>
      <w:marTop w:val="0"/>
      <w:marBottom w:val="0"/>
      <w:divBdr>
        <w:top w:val="none" w:sz="0" w:space="0" w:color="auto"/>
        <w:left w:val="none" w:sz="0" w:space="0" w:color="auto"/>
        <w:bottom w:val="none" w:sz="0" w:space="0" w:color="auto"/>
        <w:right w:val="none" w:sz="0" w:space="0" w:color="auto"/>
      </w:divBdr>
    </w:div>
    <w:div w:id="201656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21" Type="http://schemas.microsoft.com/office/2020/10/relationships/intelligence" Target="intelligence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53323-2D1C-4351-B0EB-41B4727FE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5571</Words>
  <Characters>31760</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ASHA IDDI</dc:creator>
  <cp:keywords/>
  <dc:description/>
  <cp:lastModifiedBy>SDI PC New 16</cp:lastModifiedBy>
  <cp:revision>5</cp:revision>
  <dcterms:created xsi:type="dcterms:W3CDTF">2025-06-10T07:07:00Z</dcterms:created>
  <dcterms:modified xsi:type="dcterms:W3CDTF">2025-06-10T11:08:00Z</dcterms:modified>
</cp:coreProperties>
</file>