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635E" w14:textId="77777777" w:rsidR="00B00856" w:rsidRPr="00B00856" w:rsidRDefault="00B00856" w:rsidP="00B00856">
      <w:pPr>
        <w:rPr>
          <w:rFonts w:ascii="Arial" w:hAnsi="Arial" w:cs="Arial"/>
          <w:b/>
          <w:bCs/>
          <w:i/>
          <w:iCs/>
          <w:sz w:val="36"/>
          <w:szCs w:val="36"/>
          <w:u w:val="single"/>
        </w:rPr>
      </w:pPr>
      <w:bookmarkStart w:id="0" w:name="_Hlk199866027"/>
      <w:r w:rsidRPr="00B00856">
        <w:rPr>
          <w:rFonts w:ascii="Arial" w:hAnsi="Arial" w:cs="Arial"/>
          <w:b/>
          <w:bCs/>
          <w:i/>
          <w:iCs/>
          <w:sz w:val="36"/>
          <w:szCs w:val="36"/>
          <w:u w:val="single"/>
        </w:rPr>
        <w:t xml:space="preserve">Case report </w:t>
      </w:r>
    </w:p>
    <w:p w14:paraId="534641D7" w14:textId="77777777" w:rsidR="00B00856" w:rsidRDefault="00B00856" w:rsidP="00517082">
      <w:pPr>
        <w:rPr>
          <w:rFonts w:ascii="Arial" w:hAnsi="Arial" w:cs="Arial"/>
          <w:b/>
          <w:bCs/>
          <w:sz w:val="36"/>
          <w:szCs w:val="36"/>
        </w:rPr>
      </w:pPr>
    </w:p>
    <w:p w14:paraId="7E1B6B23" w14:textId="08BA35DE" w:rsidR="00754C9A" w:rsidRPr="00F92188" w:rsidRDefault="00517082" w:rsidP="00517082">
      <w:pPr>
        <w:rPr>
          <w:rFonts w:ascii="Arial" w:hAnsi="Arial" w:cs="Arial"/>
          <w:b/>
          <w:bCs/>
          <w:sz w:val="32"/>
          <w:szCs w:val="32"/>
        </w:rPr>
      </w:pPr>
      <w:r w:rsidRPr="00F92188">
        <w:rPr>
          <w:rFonts w:ascii="Arial" w:hAnsi="Arial" w:cs="Arial"/>
          <w:b/>
          <w:bCs/>
          <w:sz w:val="36"/>
          <w:szCs w:val="36"/>
        </w:rPr>
        <w:t xml:space="preserve">ADAPTING TO NEWER HEMOSTATIC AGENTS </w:t>
      </w:r>
      <w:r w:rsidR="00635EE4" w:rsidRPr="008C79C2">
        <w:rPr>
          <w:rFonts w:ascii="Arial" w:eastAsia="Arial" w:hAnsi="Arial" w:cs="Arial"/>
          <w:b/>
          <w:sz w:val="36"/>
          <w:szCs w:val="36"/>
          <w:highlight w:val="yellow"/>
        </w:rPr>
        <w:t>EMICIZUMAB</w:t>
      </w:r>
      <w:r w:rsidR="00635EE4">
        <w:rPr>
          <w:rFonts w:ascii="Arial" w:eastAsia="Arial" w:hAnsi="Arial" w:cs="Arial"/>
          <w:b/>
          <w:sz w:val="36"/>
          <w:szCs w:val="36"/>
        </w:rPr>
        <w:t xml:space="preserve"> </w:t>
      </w:r>
      <w:r w:rsidRPr="00F92188">
        <w:rPr>
          <w:rFonts w:ascii="Arial" w:hAnsi="Arial" w:cs="Arial"/>
          <w:b/>
          <w:bCs/>
          <w:sz w:val="36"/>
          <w:szCs w:val="36"/>
        </w:rPr>
        <w:t>FOR MAJOR SURGERY IN HEMOPHILIA A</w:t>
      </w:r>
      <w:r w:rsidR="00B00856">
        <w:rPr>
          <w:rFonts w:ascii="Arial" w:hAnsi="Arial" w:cs="Arial"/>
          <w:b/>
          <w:bCs/>
          <w:sz w:val="36"/>
          <w:szCs w:val="36"/>
        </w:rPr>
        <w:t>:</w:t>
      </w:r>
      <w:r w:rsidRPr="00F92188">
        <w:rPr>
          <w:rFonts w:ascii="Arial" w:hAnsi="Arial" w:cs="Arial"/>
          <w:b/>
          <w:bCs/>
          <w:sz w:val="36"/>
          <w:szCs w:val="36"/>
        </w:rPr>
        <w:t xml:space="preserve"> AN EXPERIENCE IN NEUROSURGERY FOR AN INFANT.</w:t>
      </w:r>
    </w:p>
    <w:bookmarkEnd w:id="0"/>
    <w:p w14:paraId="09A70B96" w14:textId="77777777" w:rsidR="00B00856" w:rsidRDefault="00B00856" w:rsidP="00441B6F">
      <w:pPr>
        <w:pStyle w:val="Copyright"/>
        <w:spacing w:after="0" w:line="240" w:lineRule="auto"/>
        <w:jc w:val="both"/>
        <w:rPr>
          <w:rFonts w:ascii="Arial" w:hAnsi="Arial" w:cs="Arial"/>
        </w:rPr>
      </w:pPr>
    </w:p>
    <w:p w14:paraId="743D6C4D" w14:textId="77777777" w:rsidR="00B00856" w:rsidRDefault="00B00856" w:rsidP="00441B6F">
      <w:pPr>
        <w:pStyle w:val="Copyright"/>
        <w:spacing w:after="0" w:line="240" w:lineRule="auto"/>
        <w:jc w:val="both"/>
        <w:rPr>
          <w:rFonts w:ascii="Arial" w:hAnsi="Arial" w:cs="Arial"/>
        </w:rPr>
      </w:pPr>
    </w:p>
    <w:p w14:paraId="14E778A5" w14:textId="77777777" w:rsidR="00B00856" w:rsidRDefault="00B00856" w:rsidP="00441B6F">
      <w:pPr>
        <w:pStyle w:val="Copyright"/>
        <w:spacing w:after="0" w:line="240" w:lineRule="auto"/>
        <w:jc w:val="both"/>
        <w:rPr>
          <w:rFonts w:ascii="Arial" w:hAnsi="Arial" w:cs="Arial"/>
        </w:rPr>
      </w:pPr>
    </w:p>
    <w:p w14:paraId="50733764" w14:textId="77777777" w:rsidR="00B00856" w:rsidRDefault="00B00856" w:rsidP="00441B6F">
      <w:pPr>
        <w:pStyle w:val="Copyright"/>
        <w:spacing w:after="0" w:line="240" w:lineRule="auto"/>
        <w:jc w:val="both"/>
        <w:rPr>
          <w:rFonts w:ascii="Arial" w:hAnsi="Arial" w:cs="Arial"/>
        </w:rPr>
      </w:pPr>
    </w:p>
    <w:p w14:paraId="47194CED" w14:textId="77777777" w:rsidR="00B00856" w:rsidRDefault="00B00856" w:rsidP="00441B6F">
      <w:pPr>
        <w:pStyle w:val="Copyright"/>
        <w:spacing w:after="0" w:line="240" w:lineRule="auto"/>
        <w:jc w:val="both"/>
        <w:rPr>
          <w:rFonts w:ascii="Arial" w:hAnsi="Arial" w:cs="Arial"/>
        </w:rPr>
      </w:pPr>
    </w:p>
    <w:p w14:paraId="4B4865BE" w14:textId="77777777" w:rsidR="00B00856" w:rsidRDefault="00B00856" w:rsidP="00441B6F">
      <w:pPr>
        <w:pStyle w:val="Copyright"/>
        <w:spacing w:after="0" w:line="240" w:lineRule="auto"/>
        <w:jc w:val="both"/>
        <w:rPr>
          <w:rFonts w:ascii="Arial" w:hAnsi="Arial" w:cs="Arial"/>
        </w:rPr>
      </w:pPr>
    </w:p>
    <w:p w14:paraId="0B29C3D8" w14:textId="0A547B1C" w:rsidR="00B00856" w:rsidRPr="00FB3A86" w:rsidRDefault="00B00856" w:rsidP="00441B6F">
      <w:pPr>
        <w:pStyle w:val="Copyright"/>
        <w:spacing w:after="0" w:line="240" w:lineRule="auto"/>
        <w:jc w:val="both"/>
        <w:rPr>
          <w:rFonts w:ascii="Arial" w:hAnsi="Arial" w:cs="Arial"/>
        </w:rPr>
        <w:sectPr w:rsidR="00B00856" w:rsidRPr="00FB3A86" w:rsidSect="005949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C4AF322" w14:textId="61B3BC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5E4BFF" w14:textId="77777777" w:rsidR="00790ADA" w:rsidRPr="00FB3A86" w:rsidRDefault="00790ADA" w:rsidP="00441B6F">
      <w:pPr>
        <w:pStyle w:val="AbstHead"/>
        <w:spacing w:after="0"/>
        <w:jc w:val="both"/>
        <w:rPr>
          <w:rFonts w:ascii="Arial" w:hAnsi="Arial" w:cs="Arial"/>
        </w:rPr>
      </w:pPr>
    </w:p>
    <w:p w14:paraId="29112201" w14:textId="6913096D" w:rsidR="00335475" w:rsidRPr="00335475" w:rsidRDefault="00335475" w:rsidP="00335475">
      <w:pPr>
        <w:rPr>
          <w:rFonts w:ascii="Arial" w:hAnsi="Arial" w:cs="Arial"/>
          <w:b/>
          <w:bCs/>
          <w:sz w:val="22"/>
          <w:szCs w:val="22"/>
        </w:rPr>
      </w:pPr>
      <w:r w:rsidRPr="00335475">
        <w:rPr>
          <w:rFonts w:ascii="Arial" w:hAnsi="Arial" w:cs="Arial"/>
          <w:b/>
          <w:bCs/>
          <w:sz w:val="22"/>
          <w:szCs w:val="22"/>
        </w:rPr>
        <w:t>B</w:t>
      </w:r>
      <w:r w:rsidR="0079461E">
        <w:rPr>
          <w:rFonts w:ascii="Arial" w:hAnsi="Arial" w:cs="Arial"/>
          <w:b/>
          <w:bCs/>
          <w:sz w:val="22"/>
          <w:szCs w:val="22"/>
        </w:rPr>
        <w:t>ackground</w:t>
      </w:r>
    </w:p>
    <w:p w14:paraId="11524500" w14:textId="01CE3357" w:rsidR="00335475" w:rsidRPr="0079461E" w:rsidRDefault="00335475" w:rsidP="00335475">
      <w:pPr>
        <w:rPr>
          <w:rFonts w:ascii="Arial" w:hAnsi="Arial" w:cs="Arial"/>
          <w:sz w:val="22"/>
          <w:szCs w:val="22"/>
        </w:rPr>
      </w:pPr>
      <w:r w:rsidRPr="0079461E">
        <w:rPr>
          <w:rFonts w:ascii="Arial" w:hAnsi="Arial" w:cs="Arial"/>
          <w:sz w:val="22"/>
          <w:szCs w:val="22"/>
        </w:rPr>
        <w:t xml:space="preserve">Perioperative hemostasis for major surgery in </w:t>
      </w:r>
      <w:bookmarkStart w:id="1" w:name="_Hlk199844099"/>
      <w:r w:rsidRPr="0079461E">
        <w:rPr>
          <w:rFonts w:ascii="Arial" w:hAnsi="Arial" w:cs="Arial"/>
          <w:sz w:val="22"/>
          <w:szCs w:val="22"/>
        </w:rPr>
        <w:t>Hemophilia A</w:t>
      </w:r>
      <w:bookmarkEnd w:id="1"/>
      <w:r w:rsidRPr="0079461E">
        <w:rPr>
          <w:rFonts w:ascii="Arial" w:hAnsi="Arial" w:cs="Arial"/>
          <w:sz w:val="22"/>
          <w:szCs w:val="22"/>
        </w:rPr>
        <w:t xml:space="preserve"> has been cumbersome with </w:t>
      </w:r>
      <w:bookmarkStart w:id="2" w:name="_Hlk199844175"/>
      <w:r w:rsidRPr="0079461E">
        <w:rPr>
          <w:rFonts w:ascii="Arial" w:hAnsi="Arial" w:cs="Arial"/>
          <w:sz w:val="22"/>
          <w:szCs w:val="22"/>
        </w:rPr>
        <w:t xml:space="preserve">clotting factor concentrate (CFC) </w:t>
      </w:r>
      <w:bookmarkEnd w:id="2"/>
      <w:r w:rsidRPr="0079461E">
        <w:rPr>
          <w:rFonts w:ascii="Arial" w:hAnsi="Arial" w:cs="Arial"/>
          <w:sz w:val="22"/>
          <w:szCs w:val="22"/>
        </w:rPr>
        <w:t xml:space="preserve">administration based on </w:t>
      </w:r>
      <w:r w:rsidR="0010275B" w:rsidRPr="0010275B">
        <w:rPr>
          <w:rFonts w:ascii="Arial" w:hAnsi="Arial" w:cs="Arial"/>
          <w:sz w:val="22"/>
          <w:szCs w:val="22"/>
          <w:highlight w:val="yellow"/>
        </w:rPr>
        <w:t>half-life</w:t>
      </w:r>
      <w:r w:rsidRPr="0079461E">
        <w:rPr>
          <w:rFonts w:ascii="Arial" w:hAnsi="Arial" w:cs="Arial"/>
          <w:sz w:val="22"/>
          <w:szCs w:val="22"/>
        </w:rPr>
        <w:t xml:space="preserve"> and factor activity to minimize fluctuation. Availability of newer agents like FVIII mimetic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with steady state levels in blood and long </w:t>
      </w:r>
      <w:r w:rsidR="0010275B" w:rsidRPr="0010275B">
        <w:rPr>
          <w:rFonts w:ascii="Arial" w:hAnsi="Arial" w:cs="Arial"/>
          <w:sz w:val="22"/>
          <w:szCs w:val="22"/>
          <w:highlight w:val="yellow"/>
        </w:rPr>
        <w:t>half-life</w:t>
      </w:r>
      <w:r w:rsidRPr="0079461E">
        <w:rPr>
          <w:rFonts w:ascii="Arial" w:hAnsi="Arial" w:cs="Arial"/>
          <w:sz w:val="22"/>
          <w:szCs w:val="22"/>
        </w:rPr>
        <w:t xml:space="preserve"> as an adjunct has helped to reduce fluctuations of hemostasis.</w:t>
      </w:r>
    </w:p>
    <w:p w14:paraId="3E5E7AFE" w14:textId="77777777" w:rsidR="00335475" w:rsidRDefault="00335475" w:rsidP="00335475">
      <w:pPr>
        <w:rPr>
          <w:rFonts w:ascii="Arial" w:hAnsi="Arial" w:cs="Arial"/>
          <w:b/>
          <w:bCs/>
          <w:sz w:val="22"/>
          <w:szCs w:val="22"/>
        </w:rPr>
      </w:pPr>
    </w:p>
    <w:p w14:paraId="1C2DD32A" w14:textId="5E1AB528" w:rsidR="00335475" w:rsidRPr="00335475" w:rsidRDefault="0079461E" w:rsidP="00335475">
      <w:pPr>
        <w:rPr>
          <w:rFonts w:ascii="Arial" w:hAnsi="Arial" w:cs="Arial"/>
          <w:b/>
          <w:bCs/>
          <w:sz w:val="22"/>
          <w:szCs w:val="22"/>
        </w:rPr>
      </w:pPr>
      <w:r w:rsidRPr="00335475">
        <w:rPr>
          <w:rFonts w:ascii="Arial" w:hAnsi="Arial" w:cs="Arial"/>
          <w:b/>
          <w:bCs/>
          <w:sz w:val="22"/>
          <w:szCs w:val="22"/>
        </w:rPr>
        <w:t>Case report</w:t>
      </w:r>
    </w:p>
    <w:p w14:paraId="250AB4A5" w14:textId="77777777" w:rsidR="00335475" w:rsidRDefault="00335475" w:rsidP="00335475">
      <w:pPr>
        <w:rPr>
          <w:rFonts w:ascii="Arial" w:hAnsi="Arial" w:cs="Arial"/>
          <w:sz w:val="22"/>
          <w:szCs w:val="22"/>
        </w:rPr>
      </w:pPr>
      <w:r w:rsidRPr="0079461E">
        <w:rPr>
          <w:rFonts w:ascii="Arial" w:hAnsi="Arial" w:cs="Arial"/>
          <w:sz w:val="22"/>
          <w:szCs w:val="22"/>
        </w:rPr>
        <w:t xml:space="preserve">A 11-month-old male with Moderate Hemophilia A, a previously untreated patient with sagittal craniosynostosis was started on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prophylaxis. Elective anterior 2/3</w:t>
      </w:r>
      <w:r w:rsidRPr="0079461E">
        <w:rPr>
          <w:rFonts w:ascii="Arial" w:hAnsi="Arial" w:cs="Arial"/>
          <w:sz w:val="22"/>
          <w:szCs w:val="22"/>
          <w:vertAlign w:val="superscript"/>
        </w:rPr>
        <w:t>rd</w:t>
      </w:r>
      <w:r w:rsidRPr="0079461E">
        <w:rPr>
          <w:rFonts w:ascii="Arial" w:hAnsi="Arial" w:cs="Arial"/>
          <w:sz w:val="22"/>
          <w:szCs w:val="22"/>
        </w:rPr>
        <w:t xml:space="preserve"> </w:t>
      </w:r>
      <w:proofErr w:type="spellStart"/>
      <w:r w:rsidRPr="0079461E">
        <w:rPr>
          <w:rFonts w:ascii="Arial" w:hAnsi="Arial" w:cs="Arial"/>
          <w:sz w:val="22"/>
          <w:szCs w:val="22"/>
        </w:rPr>
        <w:t>calvarial</w:t>
      </w:r>
      <w:proofErr w:type="spellEnd"/>
      <w:r w:rsidRPr="0079461E">
        <w:rPr>
          <w:rFonts w:ascii="Arial" w:hAnsi="Arial" w:cs="Arial"/>
          <w:sz w:val="22"/>
          <w:szCs w:val="22"/>
        </w:rPr>
        <w:t xml:space="preserve"> remodeling surgery was undertaken while continuing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prophylaxis with additional FVIII clotting factor </w:t>
      </w:r>
      <w:proofErr w:type="spellStart"/>
      <w:proofErr w:type="gramStart"/>
      <w:r w:rsidRPr="0079461E">
        <w:rPr>
          <w:rFonts w:ascii="Arial" w:hAnsi="Arial" w:cs="Arial"/>
          <w:sz w:val="22"/>
          <w:szCs w:val="22"/>
        </w:rPr>
        <w:t>concentrate.Chromogenic</w:t>
      </w:r>
      <w:proofErr w:type="spellEnd"/>
      <w:proofErr w:type="gramEnd"/>
      <w:r w:rsidRPr="0079461E">
        <w:rPr>
          <w:rFonts w:ascii="Arial" w:hAnsi="Arial" w:cs="Arial"/>
          <w:sz w:val="22"/>
          <w:szCs w:val="22"/>
        </w:rPr>
        <w:t xml:space="preserve"> assays were used to confirm factor activity levels for hemostasis. The patient underwent surgery without perioperative bleeding complications, with FVIII support continued for eight days postoperatively.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prophylaxis was continued subsequently, with ongoing monitoring to ensure optimal surgical wound healing.</w:t>
      </w:r>
    </w:p>
    <w:p w14:paraId="41658F6C" w14:textId="77777777" w:rsidR="0079461E" w:rsidRPr="0079461E" w:rsidRDefault="0079461E" w:rsidP="00335475">
      <w:pPr>
        <w:rPr>
          <w:rFonts w:ascii="Arial" w:hAnsi="Arial" w:cs="Arial"/>
          <w:sz w:val="22"/>
          <w:szCs w:val="22"/>
        </w:rPr>
      </w:pPr>
    </w:p>
    <w:p w14:paraId="26C0F53C" w14:textId="50E112BA" w:rsidR="00335475" w:rsidRPr="0079461E" w:rsidRDefault="0079461E" w:rsidP="00335475">
      <w:pPr>
        <w:rPr>
          <w:rFonts w:ascii="Arial" w:hAnsi="Arial" w:cs="Arial"/>
          <w:b/>
          <w:bCs/>
          <w:sz w:val="22"/>
          <w:szCs w:val="22"/>
        </w:rPr>
      </w:pPr>
      <w:r w:rsidRPr="0079461E">
        <w:rPr>
          <w:rFonts w:ascii="Arial" w:hAnsi="Arial" w:cs="Arial"/>
          <w:b/>
          <w:bCs/>
          <w:sz w:val="22"/>
          <w:szCs w:val="22"/>
        </w:rPr>
        <w:t>Conclusion</w:t>
      </w:r>
      <w:r w:rsidR="00335475" w:rsidRPr="0079461E">
        <w:rPr>
          <w:rFonts w:ascii="Arial" w:hAnsi="Arial" w:cs="Arial"/>
          <w:b/>
          <w:bCs/>
          <w:sz w:val="22"/>
          <w:szCs w:val="22"/>
        </w:rPr>
        <w:t xml:space="preserve"> </w:t>
      </w:r>
    </w:p>
    <w:p w14:paraId="538CC9B9" w14:textId="77777777" w:rsidR="00335475" w:rsidRPr="0079461E" w:rsidRDefault="00335475" w:rsidP="00335475">
      <w:pPr>
        <w:rPr>
          <w:rFonts w:ascii="Arial" w:hAnsi="Arial" w:cs="Arial"/>
          <w:sz w:val="22"/>
          <w:szCs w:val="22"/>
        </w:rPr>
      </w:pPr>
      <w:r w:rsidRPr="0079461E">
        <w:rPr>
          <w:rFonts w:ascii="Arial" w:hAnsi="Arial" w:cs="Arial"/>
          <w:sz w:val="22"/>
          <w:szCs w:val="22"/>
        </w:rPr>
        <w:t xml:space="preserve">This case highlights the complexity of managing moderate hemophilia A in a pediatric patient requiring major surgery while using </w:t>
      </w:r>
      <w:proofErr w:type="spellStart"/>
      <w:r w:rsidRPr="0079461E">
        <w:rPr>
          <w:rFonts w:ascii="Arial" w:hAnsi="Arial" w:cs="Arial"/>
          <w:sz w:val="22"/>
          <w:szCs w:val="22"/>
        </w:rPr>
        <w:t>Emicizumab</w:t>
      </w:r>
      <w:proofErr w:type="spellEnd"/>
      <w:r w:rsidRPr="0079461E">
        <w:rPr>
          <w:rFonts w:ascii="Arial" w:hAnsi="Arial" w:cs="Arial"/>
          <w:sz w:val="22"/>
          <w:szCs w:val="22"/>
        </w:rPr>
        <w:t>, which, along with FVIII CFC, ensured adequate hemostasis and reduced</w:t>
      </w:r>
      <w:r w:rsidRPr="00335475">
        <w:rPr>
          <w:rFonts w:ascii="Arial" w:hAnsi="Arial" w:cs="Arial"/>
          <w:b/>
          <w:bCs/>
          <w:sz w:val="22"/>
          <w:szCs w:val="22"/>
        </w:rPr>
        <w:t xml:space="preserve"> </w:t>
      </w:r>
      <w:r w:rsidRPr="0079461E">
        <w:rPr>
          <w:rFonts w:ascii="Arial" w:hAnsi="Arial" w:cs="Arial"/>
          <w:sz w:val="22"/>
          <w:szCs w:val="22"/>
        </w:rPr>
        <w:t xml:space="preserve">hospitalization by allowing Factor VIII infusion to stop after Day 8. Limited data exist on </w:t>
      </w:r>
      <w:bookmarkStart w:id="3" w:name="_Hlk199844119"/>
      <w:proofErr w:type="spellStart"/>
      <w:r w:rsidRPr="0079461E">
        <w:rPr>
          <w:rFonts w:ascii="Arial" w:hAnsi="Arial" w:cs="Arial"/>
          <w:sz w:val="22"/>
          <w:szCs w:val="22"/>
        </w:rPr>
        <w:t>Emicizumab</w:t>
      </w:r>
      <w:bookmarkEnd w:id="3"/>
      <w:proofErr w:type="spellEnd"/>
      <w:r w:rsidRPr="0079461E">
        <w:rPr>
          <w:rFonts w:ascii="Arial" w:hAnsi="Arial" w:cs="Arial"/>
          <w:sz w:val="22"/>
          <w:szCs w:val="22"/>
        </w:rPr>
        <w:t xml:space="preserve"> use in congenital hemophilia A patients undergoing neurosurgery, emphasizing the importance of careful preoperative planning, including arranging factor products and laboratory reagents. Unlike traditional prophylaxis with CFCs, which requires frequent monitoring and venous access,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offers advantages of subcutaneous administration, reduced hospital visits, and effective hemostasis with a lower risk of spontaneous or recurrent bleeding.</w:t>
      </w:r>
    </w:p>
    <w:p w14:paraId="1EF8E5D1" w14:textId="77777777" w:rsidR="00335475" w:rsidRPr="00335475" w:rsidRDefault="00335475" w:rsidP="00441B6F">
      <w:pPr>
        <w:pStyle w:val="Body"/>
        <w:spacing w:after="0"/>
        <w:rPr>
          <w:rFonts w:ascii="Arial" w:hAnsi="Arial" w:cs="Arial"/>
          <w:iCs/>
        </w:rPr>
      </w:pPr>
    </w:p>
    <w:p w14:paraId="710A2085" w14:textId="78FA6E4F" w:rsidR="00A24E7E" w:rsidRDefault="00A24E7E" w:rsidP="00441B6F">
      <w:pPr>
        <w:pStyle w:val="Body"/>
        <w:spacing w:after="0"/>
        <w:rPr>
          <w:rFonts w:ascii="Arial" w:hAnsi="Arial" w:cs="Arial"/>
          <w:i/>
        </w:rPr>
      </w:pPr>
      <w:r>
        <w:rPr>
          <w:rFonts w:ascii="Arial" w:hAnsi="Arial" w:cs="Arial"/>
          <w:i/>
        </w:rPr>
        <w:t>Keywords</w:t>
      </w:r>
      <w:r w:rsidRPr="008B1B9C">
        <w:rPr>
          <w:rFonts w:ascii="Arial" w:hAnsi="Arial" w:cs="Arial"/>
          <w:i/>
        </w:rPr>
        <w:t xml:space="preserve">: </w:t>
      </w:r>
      <w:r w:rsidR="0079461E" w:rsidRPr="008B1B9C">
        <w:rPr>
          <w:rFonts w:ascii="Arial" w:hAnsi="Arial" w:cs="Arial"/>
          <w:i/>
        </w:rPr>
        <w:t>Hemophilia A,</w:t>
      </w:r>
      <w:r w:rsidR="008B1B9C" w:rsidRPr="008B1B9C">
        <w:rPr>
          <w:rFonts w:ascii="Arial" w:hAnsi="Arial" w:cs="Arial"/>
          <w:i/>
        </w:rPr>
        <w:t xml:space="preserve"> </w:t>
      </w:r>
      <w:proofErr w:type="spellStart"/>
      <w:r w:rsidR="008B1B9C" w:rsidRPr="008B1B9C">
        <w:rPr>
          <w:rFonts w:ascii="Arial" w:hAnsi="Arial" w:cs="Arial"/>
          <w:i/>
        </w:rPr>
        <w:t>Emicizuma</w:t>
      </w:r>
      <w:r w:rsidR="00635EE4">
        <w:rPr>
          <w:rFonts w:ascii="Arial" w:hAnsi="Arial" w:cs="Arial"/>
          <w:i/>
        </w:rPr>
        <w:t>b</w:t>
      </w:r>
      <w:proofErr w:type="spellEnd"/>
      <w:r w:rsidR="00635EE4">
        <w:rPr>
          <w:rFonts w:ascii="Arial" w:hAnsi="Arial" w:cs="Arial"/>
          <w:i/>
        </w:rPr>
        <w:t>,</w:t>
      </w:r>
      <w:r w:rsidR="008B1B9C" w:rsidRPr="008B1B9C">
        <w:rPr>
          <w:rFonts w:ascii="Arial" w:hAnsi="Arial" w:cs="Arial"/>
          <w:i/>
        </w:rPr>
        <w:t xml:space="preserve"> prophylaxis</w:t>
      </w:r>
      <w:r w:rsidR="0079461E" w:rsidRPr="008B1B9C">
        <w:rPr>
          <w:rFonts w:ascii="Arial" w:hAnsi="Arial" w:cs="Arial"/>
          <w:i/>
        </w:rPr>
        <w:t>,</w:t>
      </w:r>
      <w:r w:rsidR="008B1B9C" w:rsidRPr="008B1B9C">
        <w:rPr>
          <w:rFonts w:ascii="Arial" w:hAnsi="Arial" w:cs="Arial"/>
          <w:i/>
        </w:rPr>
        <w:t xml:space="preserve"> Factor VIII replacement, Pediatric neurosurgery, Congenital bleeding disorder, Craniosynostosis surgery</w:t>
      </w:r>
      <w:r w:rsidR="0066510A">
        <w:rPr>
          <w:rFonts w:ascii="Arial" w:hAnsi="Arial" w:cs="Arial"/>
          <w:i/>
        </w:rPr>
        <w:t xml:space="preserve"> </w:t>
      </w:r>
    </w:p>
    <w:p w14:paraId="03406C19" w14:textId="67FDA7AE" w:rsidR="0024282C" w:rsidRDefault="0024282C" w:rsidP="00441B6F">
      <w:pPr>
        <w:pStyle w:val="Body"/>
        <w:spacing w:after="0"/>
        <w:rPr>
          <w:rFonts w:ascii="Arial" w:hAnsi="Arial" w:cs="Arial"/>
          <w:i/>
          <w:sz w:val="18"/>
        </w:rPr>
      </w:pPr>
    </w:p>
    <w:p w14:paraId="597FA69D" w14:textId="77777777" w:rsidR="00505F06" w:rsidRPr="00A24E7E" w:rsidRDefault="00505F06" w:rsidP="00441B6F">
      <w:pPr>
        <w:pStyle w:val="Body"/>
        <w:spacing w:after="0"/>
        <w:rPr>
          <w:rFonts w:ascii="Arial" w:hAnsi="Arial" w:cs="Arial"/>
          <w:i/>
        </w:rPr>
      </w:pPr>
    </w:p>
    <w:p w14:paraId="1127C356" w14:textId="272AC4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7D6CBF" w14:textId="77777777" w:rsidR="00790ADA" w:rsidRPr="00FB3A86" w:rsidRDefault="00790ADA" w:rsidP="00441B6F">
      <w:pPr>
        <w:pStyle w:val="AbstHead"/>
        <w:spacing w:after="0"/>
        <w:jc w:val="both"/>
        <w:rPr>
          <w:rFonts w:ascii="Arial" w:hAnsi="Arial" w:cs="Arial"/>
        </w:rPr>
      </w:pPr>
    </w:p>
    <w:p w14:paraId="7A97EDE5" w14:textId="77777777" w:rsidR="008B1B9C" w:rsidRPr="008B1B9C" w:rsidRDefault="008B1B9C" w:rsidP="008B1B9C">
      <w:pPr>
        <w:spacing w:line="259" w:lineRule="auto"/>
        <w:rPr>
          <w:rFonts w:ascii="Arial" w:hAnsi="Arial" w:cs="Arial"/>
          <w:color w:val="000000" w:themeColor="text1"/>
        </w:rPr>
      </w:pPr>
      <w:r w:rsidRPr="008B1B9C">
        <w:rPr>
          <w:rFonts w:ascii="Arial" w:hAnsi="Arial" w:cs="Arial"/>
        </w:rPr>
        <w:t>Congenital </w:t>
      </w:r>
      <w:proofErr w:type="spellStart"/>
      <w:r w:rsidRPr="008B1B9C">
        <w:rPr>
          <w:rFonts w:ascii="Arial" w:hAnsi="Arial" w:cs="Arial"/>
        </w:rPr>
        <w:t>haemophilia</w:t>
      </w:r>
      <w:proofErr w:type="spellEnd"/>
      <w:r w:rsidRPr="008B1B9C">
        <w:rPr>
          <w:rFonts w:ascii="Arial" w:hAnsi="Arial" w:cs="Arial"/>
        </w:rPr>
        <w:t xml:space="preserve"> A (HA), an X-linked hereditary bleeding condition is characterized by lack of coagulation Factor VIII(FVIII), necessary for optimum blood coagulation. The incidence being 1 in 1333 male births and prevalence of 1in 5000 males; based on FVIII activity levels, </w:t>
      </w:r>
      <w:proofErr w:type="spellStart"/>
      <w:r w:rsidRPr="008B1B9C">
        <w:rPr>
          <w:rFonts w:ascii="Arial" w:hAnsi="Arial" w:cs="Arial"/>
        </w:rPr>
        <w:t>haemophilia</w:t>
      </w:r>
      <w:proofErr w:type="spellEnd"/>
      <w:r w:rsidRPr="008B1B9C">
        <w:rPr>
          <w:rFonts w:ascii="Arial" w:hAnsi="Arial" w:cs="Arial"/>
        </w:rPr>
        <w:t xml:space="preserve"> is categorized as mild (5–40%), moderate (1–5%), and severe </w:t>
      </w:r>
      <w:r w:rsidRPr="008B1B9C">
        <w:rPr>
          <w:rFonts w:ascii="Arial" w:hAnsi="Arial" w:cs="Arial"/>
        </w:rPr>
        <w:lastRenderedPageBreak/>
        <w:t xml:space="preserve">(&lt;1%). In individuals who have severe </w:t>
      </w:r>
      <w:proofErr w:type="spellStart"/>
      <w:r w:rsidRPr="008B1B9C">
        <w:rPr>
          <w:rFonts w:ascii="Arial" w:hAnsi="Arial" w:cs="Arial"/>
        </w:rPr>
        <w:t>haemophilia</w:t>
      </w:r>
      <w:proofErr w:type="spellEnd"/>
      <w:r w:rsidRPr="008B1B9C">
        <w:rPr>
          <w:rFonts w:ascii="Arial" w:hAnsi="Arial" w:cs="Arial"/>
        </w:rPr>
        <w:t xml:space="preserve">, unprovoked bleeding into muscles and joints as well as potentially fatal hemorrhages into the central nervous system, lead to significant long-term complications and sometimes mortality. Clotting factor concentrate (CFC) replacement therapy is part of </w:t>
      </w:r>
      <w:proofErr w:type="spellStart"/>
      <w:r w:rsidRPr="008B1B9C">
        <w:rPr>
          <w:rFonts w:ascii="Arial" w:hAnsi="Arial" w:cs="Arial"/>
        </w:rPr>
        <w:t>haemostasis</w:t>
      </w:r>
      <w:proofErr w:type="spellEnd"/>
      <w:r w:rsidRPr="008B1B9C">
        <w:rPr>
          <w:rFonts w:ascii="Arial" w:hAnsi="Arial" w:cs="Arial"/>
        </w:rPr>
        <w:t xml:space="preserve"> management in patients with </w:t>
      </w:r>
      <w:proofErr w:type="spellStart"/>
      <w:r w:rsidRPr="008B1B9C">
        <w:rPr>
          <w:rFonts w:ascii="Arial" w:hAnsi="Arial" w:cs="Arial"/>
        </w:rPr>
        <w:t>haemophilia</w:t>
      </w:r>
      <w:proofErr w:type="spellEnd"/>
      <w:r w:rsidRPr="008B1B9C">
        <w:rPr>
          <w:rFonts w:ascii="Arial" w:hAnsi="Arial" w:cs="Arial"/>
        </w:rPr>
        <w:t xml:space="preserve">. The two potential treatment options are Episodic (or "on demand") clotting factor replacement therapy and Regular replacement therapy (prophylaxis). Regular replacement therapy aims to maintain adequate factor levels to decrease bleeding intensity and frequency, especially in persons with severe </w:t>
      </w:r>
      <w:proofErr w:type="spellStart"/>
      <w:r w:rsidRPr="008B1B9C">
        <w:rPr>
          <w:rFonts w:ascii="Arial" w:hAnsi="Arial" w:cs="Arial"/>
        </w:rPr>
        <w:t>haemophilia.The</w:t>
      </w:r>
      <w:proofErr w:type="spellEnd"/>
      <w:r w:rsidRPr="008B1B9C">
        <w:rPr>
          <w:rFonts w:ascii="Arial" w:hAnsi="Arial" w:cs="Arial"/>
        </w:rPr>
        <w:t xml:space="preserve"> primary aim of on-demand therapy is to stop the bleeding as soon as it starts, rather than preventing the underlying condition or prevent future </w:t>
      </w:r>
      <w:proofErr w:type="spellStart"/>
      <w:r w:rsidRPr="008B1B9C">
        <w:rPr>
          <w:rFonts w:ascii="Arial" w:hAnsi="Arial" w:cs="Arial"/>
        </w:rPr>
        <w:t>bleed.Since</w:t>
      </w:r>
      <w:proofErr w:type="spellEnd"/>
      <w:r w:rsidRPr="008B1B9C">
        <w:rPr>
          <w:rFonts w:ascii="Arial" w:hAnsi="Arial" w:cs="Arial"/>
        </w:rPr>
        <w:t xml:space="preserve"> the CFC is administered after the bleed has  occurred , the morbidity of the bleed remains, where-as prophylaxis aims to prevent </w:t>
      </w:r>
      <w:r w:rsidRPr="008B1B9C">
        <w:rPr>
          <w:rFonts w:ascii="Arial" w:hAnsi="Arial" w:cs="Arial"/>
          <w:color w:val="000000" w:themeColor="text1"/>
        </w:rPr>
        <w:t xml:space="preserve">potentially fatal </w:t>
      </w:r>
      <w:proofErr w:type="spellStart"/>
      <w:r w:rsidRPr="008B1B9C">
        <w:rPr>
          <w:rFonts w:ascii="Arial" w:hAnsi="Arial" w:cs="Arial"/>
          <w:color w:val="000000" w:themeColor="text1"/>
        </w:rPr>
        <w:t>haemorrhages</w:t>
      </w:r>
      <w:proofErr w:type="spellEnd"/>
      <w:r w:rsidRPr="008B1B9C">
        <w:rPr>
          <w:rFonts w:ascii="Arial" w:hAnsi="Arial" w:cs="Arial"/>
          <w:color w:val="000000" w:themeColor="text1"/>
        </w:rPr>
        <w:t xml:space="preserve"> as well as joint and muscle bleeds</w:t>
      </w:r>
      <w:r w:rsidRPr="008B1B9C">
        <w:rPr>
          <w:rFonts w:ascii="Arial" w:hAnsi="Arial" w:cs="Arial"/>
          <w:color w:val="000000" w:themeColor="text1"/>
        </w:rPr>
        <w:fldChar w:fldCharType="begin"/>
      </w:r>
      <w:r w:rsidRPr="008B1B9C">
        <w:rPr>
          <w:rFonts w:ascii="Arial" w:hAnsi="Arial" w:cs="Arial"/>
          <w:color w:val="000000" w:themeColor="text1"/>
        </w:rPr>
        <w:instrText xml:space="preserve"> ADDIN ZOTERO_ITEM CSL_CITATION {"citationID":"oeH8SbFW","properties":{"formattedCitation":"(3)","plainCitation":"(3)","noteIndex":0},"citationItems":[{"id":67,"uris":["http://zotero.org/users/local/S5xWlg2p/items/BKU9WEX5"],"itemData":{"id":67,"type":"article-journal","container-title":"Haemophilia","DOI":"10.1111/hae.14046","ISSN":"1351-8216, 1365-2516","issue":"S6","journalAbbreviation":"Haemophilia","language":"en","page":"1-158","source":"DOI.org (Crossref)","title":"WFH Guidelines for the Management of Hemophilia, 3rd edition","volume":"26","author":[{"family":"Srivastava","given":"Alok"},{"family":"Santagostino","given":"Elena"},{"family":"Dougall","given":"Alison"},{"family":"Kitchen","given":"Steve"},{"family":"Sutherland","given":"Megan"},{"family":"Pipe","given":"Steven W."},{"family":"Carcao","given":"Manuel"},{"family":"Mahlangu","given":"Johnny"},{"family":"Ragni","given":"Margaret V."},{"family":"Windyga","given":"Jerzy"},{"family":"Llinás","given":"Adolfo"},{"family":"Goddard","given":"Nicholas J."},{"family":"Mohan","given":"Richa"},{"family":"Poonnoose","given":"Pradeep M."},{"family":"Feldman","given":"Brian M."},{"family":"Lewis","given":"Sandra Zelman"},{"family":"Van Den Berg","given":"H. Marijke"},{"family":"Pierce","given":"Glenn F."},{"literal":"the WFH Guidelines for the Management of Hemophilia panelists and co-authors"}],"issued":{"date-parts":[["2020",8]]}}}],"schema":"https://github.com/citation-style-language/schema/raw/master/csl-citation.json"} </w:instrText>
      </w:r>
      <w:r w:rsidRPr="008B1B9C">
        <w:rPr>
          <w:rFonts w:ascii="Arial" w:hAnsi="Arial" w:cs="Arial"/>
          <w:color w:val="000000" w:themeColor="text1"/>
        </w:rPr>
        <w:fldChar w:fldCharType="separate"/>
      </w:r>
      <w:r w:rsidRPr="008B1B9C">
        <w:rPr>
          <w:rFonts w:ascii="Arial" w:hAnsi="Arial" w:cs="Arial"/>
          <w:color w:val="000000" w:themeColor="text1"/>
        </w:rPr>
        <w:t>(1,2)</w:t>
      </w:r>
      <w:r w:rsidRPr="008B1B9C">
        <w:rPr>
          <w:rFonts w:ascii="Arial" w:hAnsi="Arial" w:cs="Arial"/>
          <w:color w:val="000000" w:themeColor="text1"/>
        </w:rPr>
        <w:fldChar w:fldCharType="end"/>
      </w:r>
      <w:r w:rsidRPr="008B1B9C">
        <w:rPr>
          <w:rFonts w:ascii="Arial" w:hAnsi="Arial" w:cs="Arial"/>
          <w:color w:val="000000" w:themeColor="text1"/>
        </w:rPr>
        <w:t>.</w:t>
      </w:r>
    </w:p>
    <w:p w14:paraId="318E533E" w14:textId="77777777" w:rsidR="008B1B9C" w:rsidRPr="008B1B9C" w:rsidRDefault="008B1B9C" w:rsidP="008B1B9C">
      <w:pPr>
        <w:rPr>
          <w:rFonts w:ascii="Arial" w:hAnsi="Arial" w:cs="Arial"/>
        </w:rPr>
      </w:pPr>
      <w:r w:rsidRPr="008B1B9C">
        <w:rPr>
          <w:rFonts w:ascii="Arial" w:hAnsi="Arial" w:cs="Arial"/>
        </w:rPr>
        <w:t>Perioperative hemostasis in persons with Hemophilia (</w:t>
      </w:r>
      <w:proofErr w:type="spellStart"/>
      <w:r w:rsidRPr="008B1B9C">
        <w:rPr>
          <w:rFonts w:ascii="Arial" w:hAnsi="Arial" w:cs="Arial"/>
        </w:rPr>
        <w:t>PwH</w:t>
      </w:r>
      <w:proofErr w:type="spellEnd"/>
      <w:r w:rsidRPr="008B1B9C">
        <w:rPr>
          <w:rFonts w:ascii="Arial" w:hAnsi="Arial" w:cs="Arial"/>
        </w:rPr>
        <w:t>) without inhibitors (</w:t>
      </w:r>
      <w:proofErr w:type="spellStart"/>
      <w:r w:rsidRPr="008B1B9C">
        <w:rPr>
          <w:rFonts w:ascii="Arial" w:hAnsi="Arial" w:cs="Arial"/>
        </w:rPr>
        <w:t>allo</w:t>
      </w:r>
      <w:proofErr w:type="spellEnd"/>
      <w:r w:rsidRPr="008B1B9C">
        <w:rPr>
          <w:rFonts w:ascii="Arial" w:hAnsi="Arial" w:cs="Arial"/>
        </w:rPr>
        <w:t xml:space="preserve">-antibodies against CFC) has been with CFC, targeting near 100% activity especially during the initial perioperative period. Concomitant treatment with </w:t>
      </w:r>
      <w:proofErr w:type="spellStart"/>
      <w:r w:rsidRPr="008B1B9C">
        <w:rPr>
          <w:rFonts w:ascii="Arial" w:hAnsi="Arial" w:cs="Arial"/>
        </w:rPr>
        <w:t>emicizumab</w:t>
      </w:r>
      <w:proofErr w:type="spellEnd"/>
      <w:r w:rsidRPr="008B1B9C">
        <w:rPr>
          <w:rFonts w:ascii="Arial" w:hAnsi="Arial" w:cs="Arial"/>
        </w:rPr>
        <w:t xml:space="preserve"> and CFC peri-operatively provides an alternate therapy approach in </w:t>
      </w:r>
      <w:proofErr w:type="spellStart"/>
      <w:r w:rsidRPr="008B1B9C">
        <w:rPr>
          <w:rFonts w:ascii="Arial" w:hAnsi="Arial" w:cs="Arial"/>
        </w:rPr>
        <w:t>PwHA</w:t>
      </w:r>
      <w:proofErr w:type="spellEnd"/>
      <w:r w:rsidRPr="008B1B9C">
        <w:rPr>
          <w:rFonts w:ascii="Arial" w:hAnsi="Arial" w:cs="Arial"/>
        </w:rPr>
        <w:t>. (1,3,4,5)</w:t>
      </w:r>
    </w:p>
    <w:p w14:paraId="3C1C3E7A" w14:textId="77777777" w:rsidR="008B1B9C" w:rsidRPr="008B1B9C" w:rsidRDefault="008B1B9C" w:rsidP="008B1B9C">
      <w:pPr>
        <w:rPr>
          <w:rFonts w:ascii="Arial" w:hAnsi="Arial" w:cs="Arial"/>
        </w:rPr>
      </w:pPr>
    </w:p>
    <w:p w14:paraId="229596B4" w14:textId="59F74A59" w:rsidR="008B1B9C" w:rsidRPr="008B1B9C" w:rsidRDefault="008B1B9C" w:rsidP="008B1B9C">
      <w:pPr>
        <w:rPr>
          <w:rFonts w:ascii="Arial" w:hAnsi="Arial" w:cs="Arial"/>
        </w:rPr>
      </w:pPr>
      <w:proofErr w:type="spellStart"/>
      <w:r w:rsidRPr="008B1B9C">
        <w:rPr>
          <w:rFonts w:ascii="Arial" w:hAnsi="Arial" w:cs="Arial"/>
        </w:rPr>
        <w:t>Emicizumab</w:t>
      </w:r>
      <w:proofErr w:type="spellEnd"/>
      <w:r w:rsidRPr="008B1B9C">
        <w:rPr>
          <w:rFonts w:ascii="Arial" w:hAnsi="Arial" w:cs="Arial"/>
        </w:rPr>
        <w:t xml:space="preserve">, a bispecific monoclonal antibody that mimics FVIII function works by binding to both factor X and activated coagulation factor IX (Factor </w:t>
      </w:r>
      <w:proofErr w:type="spellStart"/>
      <w:r w:rsidRPr="008B1B9C">
        <w:rPr>
          <w:rFonts w:ascii="Arial" w:hAnsi="Arial" w:cs="Arial"/>
        </w:rPr>
        <w:t>IXa</w:t>
      </w:r>
      <w:proofErr w:type="spellEnd"/>
      <w:r w:rsidRPr="008B1B9C">
        <w:rPr>
          <w:rFonts w:ascii="Arial" w:hAnsi="Arial" w:cs="Arial"/>
        </w:rPr>
        <w:t xml:space="preserve">) simultaneously, activates factor X for the purpose to restart the coagulation </w:t>
      </w:r>
      <w:proofErr w:type="spellStart"/>
      <w:proofErr w:type="gramStart"/>
      <w:r w:rsidRPr="008B1B9C">
        <w:rPr>
          <w:rFonts w:ascii="Arial" w:hAnsi="Arial" w:cs="Arial"/>
        </w:rPr>
        <w:t>cascade.The</w:t>
      </w:r>
      <w:proofErr w:type="spellEnd"/>
      <w:proofErr w:type="gramEnd"/>
      <w:r w:rsidRPr="008B1B9C">
        <w:rPr>
          <w:rFonts w:ascii="Arial" w:hAnsi="Arial" w:cs="Arial"/>
        </w:rPr>
        <w:t xml:space="preserve"> subcutaneous mode of </w:t>
      </w:r>
      <w:r w:rsidR="0010275B" w:rsidRPr="00453A88">
        <w:rPr>
          <w:rFonts w:ascii="Arial" w:hAnsi="Arial" w:cs="Arial"/>
          <w:highlight w:val="yellow"/>
        </w:rPr>
        <w:t>administration,</w:t>
      </w:r>
      <w:r w:rsidRPr="008B1B9C">
        <w:rPr>
          <w:rFonts w:ascii="Arial" w:hAnsi="Arial" w:cs="Arial"/>
        </w:rPr>
        <w:t xml:space="preserve"> long </w:t>
      </w:r>
      <w:r w:rsidR="0010275B" w:rsidRPr="00453A88">
        <w:rPr>
          <w:rFonts w:ascii="Arial" w:hAnsi="Arial" w:cs="Arial"/>
          <w:highlight w:val="yellow"/>
        </w:rPr>
        <w:t>half-life</w:t>
      </w:r>
      <w:r w:rsidRPr="008B1B9C">
        <w:rPr>
          <w:rFonts w:ascii="Arial" w:hAnsi="Arial" w:cs="Arial"/>
        </w:rPr>
        <w:t xml:space="preserve"> (27.8 to 34.4 </w:t>
      </w:r>
      <w:r w:rsidRPr="00453A88">
        <w:rPr>
          <w:rFonts w:ascii="Arial" w:hAnsi="Arial" w:cs="Arial"/>
          <w:highlight w:val="yellow"/>
        </w:rPr>
        <w:t>days)</w:t>
      </w:r>
      <w:r w:rsidR="00453A88" w:rsidRPr="00453A88">
        <w:rPr>
          <w:rFonts w:ascii="Arial" w:hAnsi="Arial" w:cs="Arial"/>
          <w:highlight w:val="yellow"/>
        </w:rPr>
        <w:t xml:space="preserve"> </w:t>
      </w:r>
      <w:r w:rsidRPr="00453A88">
        <w:rPr>
          <w:rFonts w:ascii="Arial" w:hAnsi="Arial" w:cs="Arial"/>
          <w:highlight w:val="yellow"/>
        </w:rPr>
        <w:t>and less</w:t>
      </w:r>
      <w:r w:rsidRPr="008B1B9C">
        <w:rPr>
          <w:rFonts w:ascii="Arial" w:hAnsi="Arial" w:cs="Arial"/>
        </w:rPr>
        <w:t xml:space="preserve"> stringent storage conditions has made </w:t>
      </w:r>
      <w:proofErr w:type="spellStart"/>
      <w:r w:rsidRPr="008B1B9C">
        <w:rPr>
          <w:rFonts w:ascii="Arial" w:hAnsi="Arial" w:cs="Arial"/>
        </w:rPr>
        <w:t>Emicizumab</w:t>
      </w:r>
      <w:proofErr w:type="spellEnd"/>
      <w:r w:rsidRPr="008B1B9C">
        <w:rPr>
          <w:rFonts w:ascii="Arial" w:hAnsi="Arial" w:cs="Arial"/>
        </w:rPr>
        <w:t xml:space="preserve"> the preferred agent for prophylaxis in </w:t>
      </w:r>
      <w:proofErr w:type="spellStart"/>
      <w:r w:rsidRPr="008B1B9C">
        <w:rPr>
          <w:rFonts w:ascii="Arial" w:hAnsi="Arial" w:cs="Arial"/>
        </w:rPr>
        <w:t>PwHA</w:t>
      </w:r>
      <w:proofErr w:type="spellEnd"/>
      <w:r w:rsidRPr="008B1B9C">
        <w:rPr>
          <w:rFonts w:ascii="Arial" w:hAnsi="Arial" w:cs="Arial"/>
        </w:rPr>
        <w:t xml:space="preserve">. A standard recommended dosing strategy for </w:t>
      </w:r>
      <w:proofErr w:type="spellStart"/>
      <w:r w:rsidRPr="008B1B9C">
        <w:rPr>
          <w:rFonts w:ascii="Arial" w:hAnsi="Arial" w:cs="Arial"/>
        </w:rPr>
        <w:t>emicizumab</w:t>
      </w:r>
      <w:proofErr w:type="spellEnd"/>
      <w:r w:rsidRPr="008B1B9C">
        <w:rPr>
          <w:rFonts w:ascii="Arial" w:hAnsi="Arial" w:cs="Arial"/>
        </w:rPr>
        <w:t xml:space="preserve"> involves a loading dose of 3 mg/kg once weekly for four weeks, and subsequent doses are 1.5 mg/kg weekly, 3 mg/kg every two weeks, or 6 mg/kg every four weeks depending on the individual needs (6,7).</w:t>
      </w:r>
      <w:r w:rsidRPr="008B1B9C">
        <w:rPr>
          <w:rFonts w:ascii="Arial" w:hAnsi="Arial" w:cs="Arial"/>
          <w:color w:val="000000" w:themeColor="text1"/>
        </w:rPr>
        <w:t xml:space="preserve"> Use of </w:t>
      </w:r>
      <w:proofErr w:type="spellStart"/>
      <w:r w:rsidRPr="008B1B9C">
        <w:rPr>
          <w:rFonts w:ascii="Arial" w:hAnsi="Arial" w:cs="Arial"/>
          <w:color w:val="000000" w:themeColor="text1"/>
        </w:rPr>
        <w:t>emicizumab</w:t>
      </w:r>
      <w:proofErr w:type="spellEnd"/>
      <w:r w:rsidRPr="008B1B9C">
        <w:rPr>
          <w:rFonts w:ascii="Arial" w:hAnsi="Arial" w:cs="Arial"/>
          <w:color w:val="000000" w:themeColor="text1"/>
        </w:rPr>
        <w:t xml:space="preserve"> as prophylaxis has shown lower rates of bleeding than experienced by </w:t>
      </w:r>
      <w:proofErr w:type="spellStart"/>
      <w:r w:rsidRPr="008B1B9C">
        <w:rPr>
          <w:rFonts w:ascii="Arial" w:hAnsi="Arial" w:cs="Arial"/>
          <w:color w:val="000000" w:themeColor="text1"/>
        </w:rPr>
        <w:t>PwH</w:t>
      </w:r>
      <w:proofErr w:type="spellEnd"/>
      <w:r w:rsidRPr="008B1B9C">
        <w:rPr>
          <w:rFonts w:ascii="Arial" w:hAnsi="Arial" w:cs="Arial"/>
          <w:color w:val="000000" w:themeColor="text1"/>
        </w:rPr>
        <w:t xml:space="preserve"> who were receiving CFC as prophylaxis </w:t>
      </w:r>
      <w:r w:rsidRPr="008B1B9C">
        <w:rPr>
          <w:rFonts w:ascii="Arial" w:hAnsi="Arial" w:cs="Arial"/>
          <w:color w:val="000000" w:themeColor="text1"/>
        </w:rPr>
        <w:fldChar w:fldCharType="begin"/>
      </w:r>
      <w:r w:rsidRPr="008B1B9C">
        <w:rPr>
          <w:rFonts w:ascii="Arial" w:hAnsi="Arial" w:cs="Arial"/>
          <w:color w:val="000000" w:themeColor="text1"/>
        </w:rPr>
        <w:instrText xml:space="preserve"> ADDIN ZOTERO_ITEM CSL_CITATION {"citationID":"3yLvnRX8","properties":{"formattedCitation":"(3)","plainCitation":"(3)","noteIndex":0},"citationItems":[{"id":67,"uris":["http://zotero.org/users/local/S5xWlg2p/items/BKU9WEX5"],"itemData":{"id":67,"type":"article-journal","container-title":"Haemophilia","DOI":"10.1111/hae.14046","ISSN":"1351-8216, 1365-2516","issue":"S6","journalAbbreviation":"Haemophilia","language":"en","page":"1-158","source":"DOI.org (Crossref)","title":"WFH Guidelines for the Management of Hemophilia, 3rd edition","volume":"26","author":[{"family":"Srivastava","given":"Alok"},{"family":"Santagostino","given":"Elena"},{"family":"Dougall","given":"Alison"},{"family":"Kitchen","given":"Steve"},{"family":"Sutherland","given":"Megan"},{"family":"Pipe","given":"Steven W."},{"family":"Carcao","given":"Manuel"},{"family":"Mahlangu","given":"Johnny"},{"family":"Ragni","given":"Margaret V."},{"family":"Windyga","given":"Jerzy"},{"family":"Llinás","given":"Adolfo"},{"family":"Goddard","given":"Nicholas J."},{"family":"Mohan","given":"Richa"},{"family":"Poonnoose","given":"Pradeep M."},{"family":"Feldman","given":"Brian M."},{"family":"Lewis","given":"Sandra Zelman"},{"family":"Van Den Berg","given":"H. Marijke"},{"family":"Pierce","given":"Glenn F."},{"literal":"the WFH Guidelines for the Management of Hemophilia panelists and co-authors"}],"issued":{"date-parts":[["2020",8]]}}}],"schema":"https://github.com/citation-style-language/schema/raw/master/csl-citation.json"} </w:instrText>
      </w:r>
      <w:r w:rsidRPr="008B1B9C">
        <w:rPr>
          <w:rFonts w:ascii="Arial" w:hAnsi="Arial" w:cs="Arial"/>
          <w:color w:val="000000" w:themeColor="text1"/>
        </w:rPr>
        <w:fldChar w:fldCharType="separate"/>
      </w:r>
      <w:r w:rsidRPr="008B1B9C">
        <w:rPr>
          <w:rFonts w:ascii="Arial" w:hAnsi="Arial" w:cs="Arial"/>
        </w:rPr>
        <w:t>(7)</w:t>
      </w:r>
      <w:r w:rsidRPr="008B1B9C">
        <w:rPr>
          <w:rFonts w:ascii="Arial" w:hAnsi="Arial" w:cs="Arial"/>
          <w:color w:val="000000" w:themeColor="text1"/>
        </w:rPr>
        <w:fldChar w:fldCharType="end"/>
      </w:r>
      <w:r w:rsidRPr="008B1B9C">
        <w:rPr>
          <w:rFonts w:ascii="Arial" w:hAnsi="Arial" w:cs="Arial"/>
          <w:color w:val="000000" w:themeColor="text1"/>
        </w:rPr>
        <w:t>.</w:t>
      </w:r>
      <w:r w:rsidRPr="008B1B9C">
        <w:rPr>
          <w:rFonts w:ascii="Arial" w:hAnsi="Arial" w:cs="Arial"/>
        </w:rPr>
        <w:t xml:space="preserve"> The hemostasis achieved with the recommended doses has been found comparable to that with 10-40% FVIII levels (8). The steady state concentration of </w:t>
      </w:r>
      <w:proofErr w:type="spellStart"/>
      <w:r w:rsidRPr="008B1B9C">
        <w:rPr>
          <w:rFonts w:ascii="Arial" w:hAnsi="Arial" w:cs="Arial"/>
        </w:rPr>
        <w:t>Emicizumab</w:t>
      </w:r>
      <w:proofErr w:type="spellEnd"/>
      <w:r w:rsidRPr="008B1B9C">
        <w:rPr>
          <w:rFonts w:ascii="Arial" w:hAnsi="Arial" w:cs="Arial"/>
        </w:rPr>
        <w:t xml:space="preserve"> helps to reduce the CFC requirement making it a less cumbersome adjunct for perioperative hemostasis in </w:t>
      </w:r>
      <w:proofErr w:type="spellStart"/>
      <w:r w:rsidRPr="008B1B9C">
        <w:rPr>
          <w:rFonts w:ascii="Arial" w:hAnsi="Arial" w:cs="Arial"/>
        </w:rPr>
        <w:t>PwHA</w:t>
      </w:r>
      <w:proofErr w:type="spellEnd"/>
      <w:r w:rsidRPr="008B1B9C">
        <w:rPr>
          <w:rFonts w:ascii="Arial" w:hAnsi="Arial" w:cs="Arial"/>
        </w:rPr>
        <w:t xml:space="preserve">, by limiting the number of IV infusions of CFC to the initial perioperative period and thus shortening the hospital stay. </w:t>
      </w:r>
    </w:p>
    <w:p w14:paraId="6F1BBD63" w14:textId="77777777" w:rsidR="008B1B9C" w:rsidRPr="008B1B9C" w:rsidRDefault="008B1B9C" w:rsidP="008B1B9C">
      <w:pPr>
        <w:pStyle w:val="Body"/>
        <w:spacing w:after="0"/>
        <w:rPr>
          <w:rFonts w:ascii="Arial" w:hAnsi="Arial" w:cs="Arial"/>
        </w:rPr>
      </w:pPr>
    </w:p>
    <w:p w14:paraId="4F1D9970" w14:textId="77777777" w:rsidR="008B1B9C" w:rsidRDefault="008B1B9C" w:rsidP="008B1B9C">
      <w:pPr>
        <w:pStyle w:val="Body"/>
        <w:spacing w:after="0"/>
        <w:rPr>
          <w:rFonts w:ascii="Arial" w:hAnsi="Arial" w:cs="Arial"/>
        </w:rPr>
      </w:pPr>
    </w:p>
    <w:p w14:paraId="6623814E" w14:textId="1738462D" w:rsidR="00902823" w:rsidRDefault="008B1B9C" w:rsidP="00441B6F">
      <w:pPr>
        <w:pStyle w:val="Head1"/>
        <w:spacing w:after="0"/>
        <w:jc w:val="both"/>
        <w:rPr>
          <w:rFonts w:ascii="Arial" w:hAnsi="Arial" w:cs="Arial"/>
        </w:rPr>
      </w:pPr>
      <w:r>
        <w:rPr>
          <w:rFonts w:ascii="Arial" w:hAnsi="Arial" w:cs="Arial"/>
        </w:rPr>
        <w:t>2</w:t>
      </w:r>
      <w:r w:rsidR="00902823">
        <w:rPr>
          <w:rFonts w:ascii="Arial" w:hAnsi="Arial" w:cs="Arial"/>
        </w:rPr>
        <w:t xml:space="preserve">. </w:t>
      </w:r>
      <w:r>
        <w:rPr>
          <w:rFonts w:ascii="Arial" w:hAnsi="Arial" w:cs="Arial"/>
        </w:rPr>
        <w:t>PRESENTATION OF CASE</w:t>
      </w:r>
    </w:p>
    <w:p w14:paraId="2057197C" w14:textId="77777777" w:rsidR="002228AB" w:rsidRDefault="002228AB" w:rsidP="008B1B9C">
      <w:pPr>
        <w:spacing w:after="240" w:line="259" w:lineRule="auto"/>
        <w:rPr>
          <w:rFonts w:ascii="Arial" w:hAnsi="Arial" w:cs="Arial"/>
          <w:color w:val="000000" w:themeColor="text1"/>
        </w:rPr>
      </w:pPr>
    </w:p>
    <w:p w14:paraId="61BBE2AE" w14:textId="6DFD0FE1" w:rsidR="008B1B9C" w:rsidRPr="002228AB" w:rsidRDefault="008B1B9C" w:rsidP="008B1B9C">
      <w:pPr>
        <w:spacing w:after="240" w:line="259" w:lineRule="auto"/>
        <w:rPr>
          <w:rFonts w:ascii="Arial" w:hAnsi="Arial" w:cs="Arial"/>
          <w:color w:val="000000" w:themeColor="text1"/>
        </w:rPr>
      </w:pPr>
      <w:r w:rsidRPr="002228AB">
        <w:rPr>
          <w:rFonts w:ascii="Arial" w:hAnsi="Arial" w:cs="Arial"/>
          <w:color w:val="000000" w:themeColor="text1"/>
        </w:rPr>
        <w:t xml:space="preserve">An 11-month-old male, born to non-consanguineous parents, presented with sagittal craniosynostosis since birth, diagnosed at 7 months of age. The baby experienced </w:t>
      </w:r>
      <w:proofErr w:type="spellStart"/>
      <w:r w:rsidRPr="002228AB">
        <w:rPr>
          <w:rFonts w:ascii="Arial" w:hAnsi="Arial" w:cs="Arial"/>
          <w:color w:val="000000" w:themeColor="text1"/>
        </w:rPr>
        <w:t>ecchymotic</w:t>
      </w:r>
      <w:proofErr w:type="spellEnd"/>
      <w:r w:rsidRPr="002228AB">
        <w:rPr>
          <w:rFonts w:ascii="Arial" w:hAnsi="Arial" w:cs="Arial"/>
          <w:color w:val="000000" w:themeColor="text1"/>
        </w:rPr>
        <w:t xml:space="preserve"> patches on his knees and chest at 5 months, associated with minor trauma, while learning to turn over and crawl. Laboratory results revealed an extended activated partial thromboplastin time (APTT), VWF antigen at 91%, VWF </w:t>
      </w:r>
      <w:proofErr w:type="spellStart"/>
      <w:r w:rsidRPr="002228AB">
        <w:rPr>
          <w:rFonts w:ascii="Arial" w:hAnsi="Arial" w:cs="Arial"/>
          <w:color w:val="000000" w:themeColor="text1"/>
        </w:rPr>
        <w:t>ristocetin</w:t>
      </w:r>
      <w:proofErr w:type="spellEnd"/>
      <w:r w:rsidRPr="002228AB">
        <w:rPr>
          <w:rFonts w:ascii="Arial" w:hAnsi="Arial" w:cs="Arial"/>
          <w:color w:val="000000" w:themeColor="text1"/>
        </w:rPr>
        <w:t xml:space="preserve"> cofactor activity at 79.9%, FVIII activity at 1.2% (clot-based assay), and factor IX activity at 50%. Based on these findings, a diagnosis of moderate hemophilia A was made. The family was counselled on the medical condition, its course, and available therapeutic options. Since an early surgery was essential to gain cognitive and aesthetic benefit (9,10), it was planned to take up the baby for surgery under CFC cover along with long term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prophylaxis. </w:t>
      </w:r>
    </w:p>
    <w:p w14:paraId="7FF40B9E" w14:textId="77777777" w:rsidR="008B1B9C" w:rsidRPr="002228AB" w:rsidRDefault="008B1B9C" w:rsidP="008B1B9C">
      <w:pPr>
        <w:spacing w:after="240" w:line="259" w:lineRule="auto"/>
        <w:rPr>
          <w:rFonts w:ascii="Arial" w:hAnsi="Arial" w:cs="Arial"/>
          <w:color w:val="000000" w:themeColor="text1"/>
        </w:rPr>
      </w:pPr>
      <w:r w:rsidRPr="002228AB">
        <w:rPr>
          <w:rFonts w:ascii="Arial" w:hAnsi="Arial" w:cs="Arial"/>
          <w:b/>
          <w:bCs/>
          <w:color w:val="000000" w:themeColor="text1"/>
        </w:rPr>
        <w:t>Management</w:t>
      </w:r>
      <w:r w:rsidRPr="002228AB">
        <w:rPr>
          <w:rFonts w:ascii="Arial" w:hAnsi="Arial" w:cs="Arial"/>
          <w:color w:val="000000" w:themeColor="text1"/>
        </w:rPr>
        <w:t>:</w:t>
      </w:r>
      <w:r w:rsidRPr="002228AB">
        <w:rPr>
          <w:rFonts w:ascii="Arial" w:hAnsi="Arial" w:cs="Arial"/>
          <w:color w:val="000000" w:themeColor="text1"/>
        </w:rPr>
        <w:br/>
        <w:t xml:space="preserve">The patient was started on loading dose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administered at 3 mg/kg weekly for a month (24 mg for the 8 kg child), followed by a maintenance dose of 3 mg/kg every two weeks. While on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the baby developed diet-induced constipation and two episodes of acute rectal bleeding and received three doses of antihemophilic FVIII (</w:t>
      </w:r>
      <w:proofErr w:type="spellStart"/>
      <w:r w:rsidRPr="002228AB">
        <w:rPr>
          <w:rFonts w:ascii="Arial" w:hAnsi="Arial" w:cs="Arial"/>
          <w:color w:val="000000" w:themeColor="text1"/>
        </w:rPr>
        <w:t>Koate</w:t>
      </w:r>
      <w:proofErr w:type="spellEnd"/>
      <w:r w:rsidRPr="002228AB">
        <w:rPr>
          <w:rFonts w:ascii="Arial" w:hAnsi="Arial" w:cs="Arial"/>
          <w:color w:val="000000" w:themeColor="text1"/>
        </w:rPr>
        <w:t xml:space="preserve"> DVI 250 IU) for breakthrough bleed. Since baby had three exposure days to CFC prior to surgery, Chromogenic Nijmegen Bethesda assays were performed, and absence of inhibitors confirmed.</w:t>
      </w:r>
    </w:p>
    <w:p w14:paraId="506EA781" w14:textId="77777777" w:rsidR="008B1B9C" w:rsidRPr="002228AB" w:rsidRDefault="008B1B9C" w:rsidP="008B1B9C">
      <w:pPr>
        <w:spacing w:after="240" w:line="259" w:lineRule="auto"/>
        <w:rPr>
          <w:rFonts w:ascii="Arial" w:hAnsi="Arial" w:cs="Arial"/>
          <w:color w:val="000000" w:themeColor="text1"/>
        </w:rPr>
      </w:pPr>
      <w:r w:rsidRPr="002228AB">
        <w:rPr>
          <w:rFonts w:ascii="Arial" w:hAnsi="Arial" w:cs="Arial"/>
          <w:b/>
          <w:bCs/>
          <w:color w:val="000000" w:themeColor="text1"/>
        </w:rPr>
        <w:t>Surgical Preparation</w:t>
      </w:r>
      <w:r w:rsidRPr="002228AB">
        <w:rPr>
          <w:rFonts w:ascii="Arial" w:hAnsi="Arial" w:cs="Arial"/>
          <w:color w:val="000000" w:themeColor="text1"/>
        </w:rPr>
        <w:t>:</w:t>
      </w:r>
      <w:r w:rsidRPr="002228AB">
        <w:rPr>
          <w:rFonts w:ascii="Arial" w:hAnsi="Arial" w:cs="Arial"/>
          <w:color w:val="000000" w:themeColor="text1"/>
        </w:rPr>
        <w:br/>
        <w:t xml:space="preserve">The patient was scheduled to undergo anterior 2/3rd </w:t>
      </w:r>
      <w:proofErr w:type="spellStart"/>
      <w:r w:rsidRPr="002228AB">
        <w:rPr>
          <w:rFonts w:ascii="Arial" w:hAnsi="Arial" w:cs="Arial"/>
          <w:color w:val="000000" w:themeColor="text1"/>
        </w:rPr>
        <w:t>calvarial</w:t>
      </w:r>
      <w:proofErr w:type="spellEnd"/>
      <w:r w:rsidRPr="002228AB">
        <w:rPr>
          <w:rFonts w:ascii="Arial" w:hAnsi="Arial" w:cs="Arial"/>
          <w:color w:val="000000" w:themeColor="text1"/>
        </w:rPr>
        <w:t xml:space="preserve"> remodeling surgery. Given the patient’s treatment with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it was anticipated that hemostasis equivalent to FVIII 10-40% levels would be present as baseline. For optimal perioperative hemostasis, 36 vials of FVIII (</w:t>
      </w:r>
      <w:proofErr w:type="spellStart"/>
      <w:r w:rsidRPr="002228AB">
        <w:rPr>
          <w:rFonts w:ascii="Arial" w:hAnsi="Arial" w:cs="Arial"/>
          <w:color w:val="000000" w:themeColor="text1"/>
        </w:rPr>
        <w:t>Hemofil</w:t>
      </w:r>
      <w:proofErr w:type="spellEnd"/>
      <w:r w:rsidRPr="002228AB">
        <w:rPr>
          <w:rFonts w:ascii="Arial" w:hAnsi="Arial" w:cs="Arial"/>
          <w:color w:val="000000" w:themeColor="text1"/>
        </w:rPr>
        <w:t xml:space="preserve"> M 250 IU each- the smallest strength available) (Body weight 8kg); total stock of 1000IU/kg were arranged. These vials were carefully checked for expiration dates and stored at 2-8ºC with temperature log maintained. Preoperative preparation also included alerting the coagulation lab to arrange the necessary laboratory agents for the FVIII chromogenic assay, the tests being anticipated to be done around 5 times in the perioperative period based on the institutions prior experience in major surgeries in </w:t>
      </w:r>
      <w:proofErr w:type="spellStart"/>
      <w:r w:rsidRPr="002228AB">
        <w:rPr>
          <w:rFonts w:ascii="Arial" w:hAnsi="Arial" w:cs="Arial"/>
          <w:color w:val="000000" w:themeColor="text1"/>
        </w:rPr>
        <w:t>PwH</w:t>
      </w:r>
      <w:proofErr w:type="spellEnd"/>
      <w:r w:rsidRPr="002228AB">
        <w:rPr>
          <w:rFonts w:ascii="Arial" w:hAnsi="Arial" w:cs="Arial"/>
          <w:color w:val="000000" w:themeColor="text1"/>
        </w:rPr>
        <w:t xml:space="preserve"> (11).</w:t>
      </w:r>
    </w:p>
    <w:p w14:paraId="401CEA7D" w14:textId="77777777" w:rsidR="008B1B9C" w:rsidRPr="002228AB" w:rsidRDefault="008B1B9C" w:rsidP="008B1B9C">
      <w:pPr>
        <w:spacing w:after="240" w:line="259" w:lineRule="auto"/>
        <w:rPr>
          <w:rFonts w:ascii="Arial" w:hAnsi="Arial" w:cs="Arial"/>
          <w:color w:val="000000" w:themeColor="text1"/>
        </w:rPr>
      </w:pPr>
      <w:r w:rsidRPr="002228AB">
        <w:rPr>
          <w:rFonts w:ascii="Arial" w:hAnsi="Arial" w:cs="Arial"/>
          <w:b/>
          <w:bCs/>
          <w:color w:val="000000" w:themeColor="text1"/>
        </w:rPr>
        <w:t>Surgical Management</w:t>
      </w:r>
      <w:r w:rsidRPr="002228AB">
        <w:rPr>
          <w:rFonts w:ascii="Arial" w:hAnsi="Arial" w:cs="Arial"/>
          <w:color w:val="000000" w:themeColor="text1"/>
        </w:rPr>
        <w:t>:</w:t>
      </w:r>
      <w:r w:rsidRPr="002228AB">
        <w:rPr>
          <w:rFonts w:ascii="Arial" w:hAnsi="Arial" w:cs="Arial"/>
          <w:color w:val="000000" w:themeColor="text1"/>
        </w:rPr>
        <w:br/>
        <w:t xml:space="preserve">For adequate preoperative hemostasis,50units/kg rounded to 500units of FVIII was administered. Chromogenic FVIII assays provided an 86% recovery. Additional 250 units FVIII was administered before taking up for surgery. After </w:t>
      </w:r>
      <w:r w:rsidRPr="002228AB">
        <w:rPr>
          <w:rFonts w:ascii="Arial" w:hAnsi="Arial" w:cs="Arial"/>
          <w:color w:val="000000" w:themeColor="text1"/>
        </w:rPr>
        <w:lastRenderedPageBreak/>
        <w:t xml:space="preserve">clearance from anesthesia, the patient underwent the anterior </w:t>
      </w:r>
      <w:proofErr w:type="spellStart"/>
      <w:r w:rsidRPr="002228AB">
        <w:rPr>
          <w:rFonts w:ascii="Arial" w:hAnsi="Arial" w:cs="Arial"/>
          <w:color w:val="000000" w:themeColor="text1"/>
        </w:rPr>
        <w:t>calvarial</w:t>
      </w:r>
      <w:proofErr w:type="spellEnd"/>
      <w:r w:rsidRPr="002228AB">
        <w:rPr>
          <w:rFonts w:ascii="Arial" w:hAnsi="Arial" w:cs="Arial"/>
          <w:color w:val="000000" w:themeColor="text1"/>
        </w:rPr>
        <w:t xml:space="preserve"> remodeling surgery. Postoperatively, a CT scan of the brain conducted six hours after surgery confirmed no new </w:t>
      </w:r>
      <w:proofErr w:type="spellStart"/>
      <w:proofErr w:type="gramStart"/>
      <w:r w:rsidRPr="002228AB">
        <w:rPr>
          <w:rFonts w:ascii="Arial" w:hAnsi="Arial" w:cs="Arial"/>
          <w:color w:val="000000" w:themeColor="text1"/>
        </w:rPr>
        <w:t>bleeding.Post</w:t>
      </w:r>
      <w:proofErr w:type="spellEnd"/>
      <w:proofErr w:type="gramEnd"/>
      <w:r w:rsidRPr="002228AB">
        <w:rPr>
          <w:rFonts w:ascii="Arial" w:hAnsi="Arial" w:cs="Arial"/>
          <w:color w:val="000000" w:themeColor="text1"/>
        </w:rPr>
        <w:t xml:space="preserve"> operative day 1 trough level of FVIII by chromogenic assay was 66</w:t>
      </w:r>
      <w:proofErr w:type="gramStart"/>
      <w:r w:rsidRPr="002228AB">
        <w:rPr>
          <w:rFonts w:ascii="Arial" w:hAnsi="Arial" w:cs="Arial"/>
          <w:color w:val="000000" w:themeColor="text1"/>
        </w:rPr>
        <w:t>%.Baby</w:t>
      </w:r>
      <w:proofErr w:type="gramEnd"/>
      <w:r w:rsidRPr="002228AB">
        <w:rPr>
          <w:rFonts w:ascii="Arial" w:hAnsi="Arial" w:cs="Arial"/>
          <w:color w:val="000000" w:themeColor="text1"/>
        </w:rPr>
        <w:t xml:space="preserve"> was continued on FVIII 25units/kg rounded to 250 units IV 12 hourly for 8 days. Post-infusion FVIII levels checked randomly on day 5 were recorded at 80%. FVIII infusion was stopped after day 8.  The baby was then continued on the maintenance dose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(3 mg/kg every two weeks).</w:t>
      </w:r>
    </w:p>
    <w:p w14:paraId="305C8318" w14:textId="77777777" w:rsidR="008B1B9C" w:rsidRPr="00006AC7" w:rsidRDefault="008B1B9C" w:rsidP="008B1B9C">
      <w:pPr>
        <w:spacing w:after="240" w:line="259" w:lineRule="auto"/>
        <w:rPr>
          <w:rFonts w:ascii="Times New Roman" w:hAnsi="Times New Roman"/>
          <w:color w:val="000000" w:themeColor="text1"/>
          <w:sz w:val="28"/>
          <w:szCs w:val="28"/>
        </w:rPr>
      </w:pPr>
      <w:r w:rsidRPr="002228AB">
        <w:rPr>
          <w:rFonts w:ascii="Arial" w:hAnsi="Arial" w:cs="Arial"/>
          <w:b/>
          <w:bCs/>
          <w:color w:val="000000" w:themeColor="text1"/>
        </w:rPr>
        <w:t>Outcome</w:t>
      </w:r>
      <w:r w:rsidRPr="002228AB">
        <w:rPr>
          <w:rFonts w:ascii="Arial" w:hAnsi="Arial" w:cs="Arial"/>
          <w:color w:val="000000" w:themeColor="text1"/>
        </w:rPr>
        <w:t>:</w:t>
      </w:r>
      <w:r w:rsidRPr="002228AB">
        <w:rPr>
          <w:rFonts w:ascii="Arial" w:hAnsi="Arial" w:cs="Arial"/>
          <w:color w:val="000000" w:themeColor="text1"/>
        </w:rPr>
        <w:br/>
        <w:t xml:space="preserve">The patient experienced no bleeding complications perioperatively. The use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along with appropriate FVIII replacement, facilitated successful surgical intervention and minimized bleeding risks. The patient was regularly monitored, and treatment was adjusted as needed to optimize FVIII levels</w:t>
      </w:r>
      <w:r w:rsidRPr="00006AC7">
        <w:rPr>
          <w:rFonts w:ascii="Times New Roman" w:hAnsi="Times New Roman"/>
          <w:color w:val="000000" w:themeColor="text1"/>
          <w:sz w:val="28"/>
          <w:szCs w:val="28"/>
        </w:rPr>
        <w:t>.</w:t>
      </w:r>
    </w:p>
    <w:p w14:paraId="7E70219E" w14:textId="759389F6" w:rsidR="008B1B9C" w:rsidRDefault="008B1B9C" w:rsidP="008B1B9C">
      <w:pPr>
        <w:pStyle w:val="ConcHead"/>
        <w:spacing w:after="0"/>
        <w:jc w:val="both"/>
        <w:rPr>
          <w:rFonts w:ascii="Arial" w:hAnsi="Arial" w:cs="Arial"/>
        </w:rPr>
      </w:pPr>
      <w:r>
        <w:rPr>
          <w:rFonts w:ascii="Arial" w:hAnsi="Arial" w:cs="Arial"/>
        </w:rPr>
        <w:t>3. discussion</w:t>
      </w:r>
    </w:p>
    <w:p w14:paraId="1E299756" w14:textId="77777777" w:rsidR="002228AB" w:rsidRDefault="002228AB" w:rsidP="008B1B9C">
      <w:pPr>
        <w:pStyle w:val="ConcHead"/>
        <w:spacing w:after="0"/>
        <w:jc w:val="both"/>
        <w:rPr>
          <w:rFonts w:ascii="Arial" w:hAnsi="Arial" w:cs="Arial"/>
        </w:rPr>
      </w:pPr>
    </w:p>
    <w:p w14:paraId="3EE975B5" w14:textId="77777777" w:rsidR="002228AB" w:rsidRDefault="002228AB" w:rsidP="002228AB">
      <w:pPr>
        <w:spacing w:line="259" w:lineRule="auto"/>
        <w:rPr>
          <w:rFonts w:ascii="Arial" w:hAnsi="Arial" w:cs="Arial"/>
          <w:color w:val="000000" w:themeColor="text1"/>
        </w:rPr>
      </w:pPr>
      <w:r w:rsidRPr="002228AB">
        <w:rPr>
          <w:rFonts w:ascii="Arial" w:hAnsi="Arial" w:cs="Arial"/>
          <w:color w:val="000000" w:themeColor="text1"/>
        </w:rPr>
        <w:t xml:space="preserve">We report this case to highlight the complexity of managing moderate hemophilia A in a pediatric patient requiring major surgery while </w:t>
      </w:r>
      <w:proofErr w:type="spellStart"/>
      <w:r w:rsidRPr="002228AB">
        <w:rPr>
          <w:rFonts w:ascii="Arial" w:hAnsi="Arial" w:cs="Arial"/>
          <w:color w:val="000000" w:themeColor="text1"/>
        </w:rPr>
        <w:t>utilising</w:t>
      </w:r>
      <w:proofErr w:type="spellEnd"/>
      <w:r w:rsidRPr="002228AB">
        <w:rPr>
          <w:rFonts w:ascii="Arial" w:hAnsi="Arial" w:cs="Arial"/>
          <w:color w:val="000000" w:themeColor="text1"/>
        </w:rPr>
        <w:t xml:space="preserve">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The use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concomitantly with FVIII CFC, played a crucial role in ensuring adequate hemostasis during the perioperative period while reducing the number of days of </w:t>
      </w:r>
      <w:proofErr w:type="spellStart"/>
      <w:r w:rsidRPr="002228AB">
        <w:rPr>
          <w:rFonts w:ascii="Arial" w:hAnsi="Arial" w:cs="Arial"/>
          <w:color w:val="000000" w:themeColor="text1"/>
        </w:rPr>
        <w:t>hospitalisation</w:t>
      </w:r>
      <w:proofErr w:type="spellEnd"/>
      <w:r w:rsidRPr="002228AB">
        <w:rPr>
          <w:rFonts w:ascii="Arial" w:hAnsi="Arial" w:cs="Arial"/>
          <w:color w:val="000000" w:themeColor="text1"/>
        </w:rPr>
        <w:t xml:space="preserve"> as the Factor VIII infusion could be stopped after Day 8. </w:t>
      </w:r>
      <w:r w:rsidRPr="002228AB">
        <w:rPr>
          <w:rFonts w:ascii="Arial" w:hAnsi="Arial" w:cs="Arial"/>
          <w:color w:val="000000" w:themeColor="text1"/>
          <w:lang w:eastAsia="en-IN"/>
        </w:rPr>
        <w:t xml:space="preserve">Limited data exist regarding the use of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in patients with congenital hemophilia A requiring neurosurgery</w:t>
      </w:r>
      <w:r w:rsidRPr="002228AB">
        <w:rPr>
          <w:rFonts w:ascii="Arial" w:hAnsi="Arial" w:cs="Arial"/>
          <w:color w:val="000000" w:themeColor="text1"/>
        </w:rPr>
        <w:t>. Careful planning, including the preoperative arrangement of factor products and laboratory reagents, was essential for smooth performance of the procedure.</w:t>
      </w:r>
    </w:p>
    <w:p w14:paraId="17B9B56D" w14:textId="77777777" w:rsidR="00635EE4" w:rsidRPr="002228AB" w:rsidRDefault="00635EE4" w:rsidP="00635EE4">
      <w:pPr>
        <w:spacing w:line="259" w:lineRule="auto"/>
        <w:rPr>
          <w:rFonts w:ascii="Arial" w:hAnsi="Arial" w:cs="Arial"/>
          <w:color w:val="000000" w:themeColor="text1"/>
          <w:lang w:eastAsia="en-IN"/>
        </w:rPr>
      </w:pPr>
      <w:r w:rsidRPr="00635EE4">
        <w:rPr>
          <w:rFonts w:ascii="Arial" w:hAnsi="Arial" w:cs="Arial"/>
          <w:color w:val="000000" w:themeColor="text1"/>
          <w:highlight w:val="yellow"/>
          <w:lang w:eastAsia="en-IN"/>
        </w:rPr>
        <w:t xml:space="preserve">The reagents for chromogenic Factor VIII assay were specially procured for perioperative hemostasis monitoring for this baby. The cost incurred for Factor VIII assay by chromogenic method one time was approximately 3-4 times of Factor VIII assay by </w:t>
      </w:r>
      <w:proofErr w:type="spellStart"/>
      <w:r w:rsidRPr="00635EE4">
        <w:rPr>
          <w:rFonts w:ascii="Arial" w:hAnsi="Arial" w:cs="Arial"/>
          <w:color w:val="000000" w:themeColor="text1"/>
          <w:highlight w:val="yellow"/>
          <w:lang w:eastAsia="en-IN"/>
        </w:rPr>
        <w:t>aPTT</w:t>
      </w:r>
      <w:proofErr w:type="spellEnd"/>
      <w:r w:rsidRPr="00635EE4">
        <w:rPr>
          <w:rFonts w:ascii="Arial" w:hAnsi="Arial" w:cs="Arial"/>
          <w:color w:val="000000" w:themeColor="text1"/>
          <w:highlight w:val="yellow"/>
          <w:lang w:eastAsia="en-IN"/>
        </w:rPr>
        <w:t xml:space="preserve"> based clotting assay method. The inhibitor testing by chromogenic method incurred approximately twice the cost for </w:t>
      </w:r>
      <w:proofErr w:type="spellStart"/>
      <w:r w:rsidRPr="00635EE4">
        <w:rPr>
          <w:rFonts w:ascii="Arial" w:hAnsi="Arial" w:cs="Arial"/>
          <w:color w:val="000000" w:themeColor="text1"/>
          <w:highlight w:val="yellow"/>
          <w:lang w:eastAsia="en-IN"/>
        </w:rPr>
        <w:t>Nigmegen</w:t>
      </w:r>
      <w:proofErr w:type="spellEnd"/>
      <w:r w:rsidRPr="00635EE4">
        <w:rPr>
          <w:rFonts w:ascii="Arial" w:hAnsi="Arial" w:cs="Arial"/>
          <w:color w:val="000000" w:themeColor="text1"/>
          <w:highlight w:val="yellow"/>
          <w:lang w:eastAsia="en-IN"/>
        </w:rPr>
        <w:t xml:space="preserve"> modification of Bethesda test for Factor VIII inhibitors.</w:t>
      </w:r>
      <w:r w:rsidRPr="002228AB">
        <w:rPr>
          <w:rFonts w:ascii="Arial" w:hAnsi="Arial" w:cs="Arial"/>
          <w:color w:val="000000" w:themeColor="text1"/>
          <w:lang w:eastAsia="en-IN"/>
        </w:rPr>
        <w:t xml:space="preserve"> </w:t>
      </w:r>
    </w:p>
    <w:p w14:paraId="1D5576C6"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Traditional long term treatment options for hemophilia A primarily involve Prophylaxis with (CFCs). However, the short half-life of CFCs (8–12 hours), need for frequent monitoring of trough and peak levels, challenges in venous access makes compliance to CFC prophylaxis cumbersome.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administered subcutaneously with a weekly loading dose followed by monthly maintenance, has demonstrated advantages, including reduced hospital visits, high bioavailability (hemostasis equivalent to 10-40% factor level), and a decreased risk of spontaneous or recurrent bleeding, barring other risk factors </w:t>
      </w:r>
      <w:r w:rsidRPr="002228AB">
        <w:rPr>
          <w:rFonts w:ascii="Arial" w:hAnsi="Arial" w:cs="Arial"/>
          <w:color w:val="000000" w:themeColor="text1"/>
          <w:lang w:eastAsia="en-IN"/>
        </w:rPr>
        <w:fldChar w:fldCharType="begin"/>
      </w:r>
      <w:r w:rsidRPr="002228AB">
        <w:rPr>
          <w:rFonts w:ascii="Arial" w:hAnsi="Arial" w:cs="Arial"/>
          <w:color w:val="000000" w:themeColor="text1"/>
          <w:lang w:eastAsia="en-IN"/>
        </w:rPr>
        <w:instrText xml:space="preserve"> ADDIN ZOTERO_ITEM CSL_CITATION {"citationID":"VE28Uuhe","properties":{"formattedCitation":"(3)","plainCitation":"(3)","noteIndex":0},"citationItems":[{"id":67,"uris":["http://zotero.org/users/local/S5xWlg2p/items/BKU9WEX5"],"itemData":{"id":67,"type":"article-journal","container-title":"Haemophilia","DOI":"10.1111/hae.14046","ISSN":"1351-8216, 1365-2516","issue":"S6","journalAbbreviation":"Haemophilia","language":"en","page":"1-158","source":"DOI.org (Crossref)","title":"WFH Guidelines for the Management of Hemophilia, 3rd edition","volume":"26","author":[{"family":"Srivastava","given":"Alok"},{"family":"Santagostino","given":"Elena"},{"family":"Dougall","given":"Alison"},{"family":"Kitchen","given":"Steve"},{"family":"Sutherland","given":"Megan"},{"family":"Pipe","given":"Steven W."},{"family":"Carcao","given":"Manuel"},{"family":"Mahlangu","given":"Johnny"},{"family":"Ragni","given":"Margaret V."},{"family":"Windyga","given":"Jerzy"},{"family":"Llinás","given":"Adolfo"},{"family":"Goddard","given":"Nicholas J."},{"family":"Mohan","given":"Richa"},{"family":"Poonnoose","given":"Pradeep M."},{"family":"Feldman","given":"Brian M."},{"family":"Lewis","given":"Sandra Zelman"},{"family":"Van Den Berg","given":"H. Marijke"},{"family":"Pierce","given":"Glenn F."},{"literal":"the WFH Guidelines for the Management of Hemophilia panelists and co-authors"}],"issued":{"date-parts":[["2020",8]]}}}],"schema":"https://github.com/citation-style-language/schema/raw/master/csl-citation.json"} </w:instrText>
      </w:r>
      <w:r w:rsidRPr="002228AB">
        <w:rPr>
          <w:rFonts w:ascii="Arial" w:hAnsi="Arial" w:cs="Arial"/>
          <w:color w:val="000000" w:themeColor="text1"/>
          <w:lang w:eastAsia="en-IN"/>
        </w:rPr>
        <w:fldChar w:fldCharType="separate"/>
      </w:r>
      <w:r w:rsidRPr="002228AB">
        <w:rPr>
          <w:rFonts w:ascii="Arial" w:hAnsi="Arial" w:cs="Arial"/>
        </w:rPr>
        <w:t>(1,4,5,8)</w:t>
      </w:r>
      <w:r w:rsidRPr="002228AB">
        <w:rPr>
          <w:rFonts w:ascii="Arial" w:hAnsi="Arial" w:cs="Arial"/>
          <w:color w:val="000000" w:themeColor="text1"/>
          <w:lang w:eastAsia="en-IN"/>
        </w:rPr>
        <w:fldChar w:fldCharType="end"/>
      </w:r>
      <w:r w:rsidRPr="002228AB">
        <w:rPr>
          <w:rFonts w:ascii="Arial" w:hAnsi="Arial" w:cs="Arial"/>
          <w:color w:val="000000" w:themeColor="text1"/>
          <w:lang w:eastAsia="en-IN"/>
        </w:rPr>
        <w:t xml:space="preserve">. </w:t>
      </w:r>
    </w:p>
    <w:p w14:paraId="72BA517C" w14:textId="26738C11"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The impact of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on surgical management has been highlighted in previous studies. A study by </w:t>
      </w:r>
      <w:proofErr w:type="spellStart"/>
      <w:r w:rsidRPr="002228AB">
        <w:rPr>
          <w:rFonts w:ascii="Arial" w:hAnsi="Arial" w:cs="Arial"/>
          <w:color w:val="000000" w:themeColor="text1"/>
          <w:lang w:eastAsia="en-IN"/>
        </w:rPr>
        <w:t>Belletrutti</w:t>
      </w:r>
      <w:proofErr w:type="spellEnd"/>
      <w:r w:rsidRPr="002228AB">
        <w:rPr>
          <w:rFonts w:ascii="Arial" w:hAnsi="Arial" w:cs="Arial"/>
          <w:color w:val="000000" w:themeColor="text1"/>
          <w:lang w:eastAsia="en-IN"/>
        </w:rPr>
        <w:t xml:space="preserve"> et al. demonstrated that 46.6% of children undergoing 103 minor procedures while receiving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did not require preoperative factor supplementation</w:t>
      </w:r>
      <w:r w:rsidR="00635EE4">
        <w:rPr>
          <w:rFonts w:ascii="Arial" w:hAnsi="Arial" w:cs="Arial"/>
          <w:color w:val="000000" w:themeColor="text1"/>
          <w:lang w:eastAsia="en-IN"/>
        </w:rPr>
        <w:t xml:space="preserve"> </w:t>
      </w:r>
      <w:r w:rsidR="00635EE4" w:rsidRPr="00635EE4">
        <w:rPr>
          <w:rFonts w:ascii="Arial" w:hAnsi="Arial" w:cs="Arial"/>
          <w:color w:val="000000" w:themeColor="text1"/>
          <w:highlight w:val="yellow"/>
          <w:lang w:eastAsia="en-IN"/>
        </w:rPr>
        <w:t>thus reducing overall costs</w:t>
      </w:r>
      <w:r w:rsidRPr="002228AB">
        <w:rPr>
          <w:rFonts w:ascii="Arial" w:hAnsi="Arial" w:cs="Arial"/>
          <w:color w:val="000000" w:themeColor="text1"/>
          <w:lang w:eastAsia="en-IN"/>
        </w:rPr>
        <w:t xml:space="preserve">. Postoperative bleeding rates were comparable between those who received additional CFC and those who did not, suggesting a reduced necessity for bypassing agents in patients on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prophylaxis, thereby reducing the cost incurred </w:t>
      </w:r>
      <w:r w:rsidRPr="002228AB">
        <w:rPr>
          <w:rFonts w:ascii="Arial" w:hAnsi="Arial" w:cs="Arial"/>
          <w:color w:val="000000" w:themeColor="text1"/>
          <w:lang w:eastAsia="en-IN"/>
        </w:rPr>
        <w:fldChar w:fldCharType="begin"/>
      </w:r>
      <w:r w:rsidRPr="002228AB">
        <w:rPr>
          <w:rFonts w:ascii="Arial" w:hAnsi="Arial" w:cs="Arial"/>
          <w:color w:val="000000" w:themeColor="text1"/>
          <w:lang w:eastAsia="en-IN"/>
        </w:rPr>
        <w:instrText xml:space="preserve"> ADDIN ZOTERO_ITEM CSL_CITATION {"citationID":"LzbUPgYo","properties":{"formattedCitation":"(2)","plainCitation":"(2)","noteIndex":0},"citationItems":[{"id":63,"uris":["http://zotero.org/users/local/S5xWlg2p/items/XID23GUH"],"itemData":{"id":63,"type":"article-journal","abstract":"The introduction of emicizumab into the treatment regime of persons with hemophilia A has dramatically reduced frequency of bleeding in patients with and without inhibitors. However, in children with Hemophilia A (CwHA) who require surgical or other invasive procedures, additional treatment with factor replacement or other hemostatic agents may still be needed to prevent intraoperative or postoperative bleeding. This review will look at the reported outcomes in CwHA on emicizumab who have had surgery and propose recommendations for the best perioperative management of major and minor procedures.","container-title":"Frontiers in Pediatrics","DOI":"10.3389/fped.2023.1155853","ISSN":"2296-2360","journalAbbreviation":"Front Pediatr","note":"PMID: 37082707\nPMCID: PMC10110896","page":"1155853","source":"PubMed Central","title":"Management of children with hemophilia A on emicizumab who need surgery","volume":"11","author":[{"family":"Belletrutti","given":"Mark"},{"family":"Bhatt","given":"Mihir"},{"family":"Samji","given":"Nasrin"}],"issued":{"date-parts":[["2023",4,4]]}}}],"schema":"https://github.com/citation-style-language/schema/raw/master/csl-citation.json"} </w:instrText>
      </w:r>
      <w:r w:rsidRPr="002228AB">
        <w:rPr>
          <w:rFonts w:ascii="Arial" w:hAnsi="Arial" w:cs="Arial"/>
          <w:color w:val="000000" w:themeColor="text1"/>
          <w:lang w:eastAsia="en-IN"/>
        </w:rPr>
        <w:fldChar w:fldCharType="separate"/>
      </w:r>
      <w:r w:rsidRPr="002228AB">
        <w:rPr>
          <w:rFonts w:ascii="Arial" w:hAnsi="Arial" w:cs="Arial"/>
        </w:rPr>
        <w:t>(4)</w:t>
      </w:r>
      <w:r w:rsidRPr="002228AB">
        <w:rPr>
          <w:rFonts w:ascii="Arial" w:hAnsi="Arial" w:cs="Arial"/>
          <w:color w:val="000000" w:themeColor="text1"/>
          <w:lang w:eastAsia="en-IN"/>
        </w:rPr>
        <w:fldChar w:fldCharType="end"/>
      </w:r>
      <w:r w:rsidRPr="002228AB">
        <w:rPr>
          <w:rFonts w:ascii="Arial" w:hAnsi="Arial" w:cs="Arial"/>
          <w:color w:val="000000" w:themeColor="text1"/>
          <w:lang w:eastAsia="en-IN"/>
        </w:rPr>
        <w:t xml:space="preserve">. </w:t>
      </w:r>
    </w:p>
    <w:p w14:paraId="70D4EDCB" w14:textId="6A8579AF"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Further evidence from the HAVEN 7 trial supports the use of </w:t>
      </w:r>
      <w:proofErr w:type="spellStart"/>
      <w:r w:rsidRPr="002228AB">
        <w:rPr>
          <w:rFonts w:ascii="Arial" w:hAnsi="Arial" w:cs="Arial"/>
          <w:color w:val="000000" w:themeColor="text1"/>
          <w:lang w:eastAsia="en-IN"/>
        </w:rPr>
        <w:t>emicizumab</w:t>
      </w:r>
      <w:proofErr w:type="spellEnd"/>
      <w:r w:rsidR="00635EE4">
        <w:rPr>
          <w:rFonts w:ascii="Arial" w:hAnsi="Arial" w:cs="Arial"/>
          <w:color w:val="000000" w:themeColor="text1"/>
          <w:lang w:eastAsia="en-IN"/>
        </w:rPr>
        <w:t xml:space="preserve"> </w:t>
      </w:r>
      <w:r w:rsidR="00635EE4" w:rsidRPr="00635EE4">
        <w:rPr>
          <w:rFonts w:ascii="Arial" w:hAnsi="Arial" w:cs="Arial"/>
          <w:color w:val="000000" w:themeColor="text1"/>
          <w:highlight w:val="yellow"/>
          <w:lang w:eastAsia="en-IN"/>
        </w:rPr>
        <w:t>even</w:t>
      </w:r>
      <w:r w:rsidRPr="002228AB">
        <w:rPr>
          <w:rFonts w:ascii="Arial" w:hAnsi="Arial" w:cs="Arial"/>
          <w:color w:val="000000" w:themeColor="text1"/>
          <w:lang w:eastAsia="en-IN"/>
        </w:rPr>
        <w:t xml:space="preserve"> in neonates with severe hemophilia A without FVIII inhibitors. The study concluded that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is a well-tolerated and effective early prophylactic agent, significantly reducing the risk of life-threatening bleeding events, including intracranial hemorrhages. Most adverse effects were mild, and the incidence of treated bleeds was low. Despite reductions in FIX and FX activity,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demonstrated efficacy, and its higher concentrations in neonates were well tolerated. </w:t>
      </w:r>
      <w:r w:rsidRPr="00635EE4">
        <w:rPr>
          <w:rFonts w:ascii="Arial" w:hAnsi="Arial" w:cs="Arial"/>
          <w:color w:val="000000" w:themeColor="text1"/>
          <w:highlight w:val="yellow"/>
          <w:lang w:eastAsia="en-IN"/>
        </w:rPr>
        <w:t>Notably,</w:t>
      </w:r>
      <w:r w:rsidR="00635EE4" w:rsidRPr="00635EE4">
        <w:rPr>
          <w:rFonts w:ascii="Arial" w:hAnsi="Arial" w:cs="Arial"/>
          <w:color w:val="000000" w:themeColor="text1"/>
          <w:highlight w:val="yellow"/>
          <w:lang w:eastAsia="en-IN"/>
        </w:rPr>
        <w:t xml:space="preserve"> </w:t>
      </w:r>
      <w:r w:rsidRPr="00635EE4">
        <w:rPr>
          <w:rFonts w:ascii="Arial" w:hAnsi="Arial" w:cs="Arial"/>
          <w:color w:val="000000" w:themeColor="text1"/>
          <w:highlight w:val="yellow"/>
          <w:lang w:eastAsia="en-IN"/>
        </w:rPr>
        <w:t xml:space="preserve">anti-drug antibodies </w:t>
      </w:r>
      <w:r w:rsidR="00635EE4" w:rsidRPr="00635EE4">
        <w:rPr>
          <w:rFonts w:ascii="Arial" w:hAnsi="Arial" w:cs="Arial"/>
          <w:color w:val="000000" w:themeColor="text1"/>
          <w:highlight w:val="yellow"/>
          <w:lang w:eastAsia="en-IN"/>
        </w:rPr>
        <w:t>were</w:t>
      </w:r>
      <w:r w:rsidRPr="00635EE4">
        <w:rPr>
          <w:rFonts w:ascii="Arial" w:hAnsi="Arial" w:cs="Arial"/>
          <w:color w:val="000000" w:themeColor="text1"/>
          <w:highlight w:val="yellow"/>
          <w:lang w:eastAsia="en-IN"/>
        </w:rPr>
        <w:t xml:space="preserve"> </w:t>
      </w:r>
      <w:r w:rsidR="00635EE4" w:rsidRPr="00635EE4">
        <w:rPr>
          <w:rFonts w:ascii="Arial" w:hAnsi="Arial" w:cs="Arial"/>
          <w:color w:val="000000" w:themeColor="text1"/>
          <w:highlight w:val="yellow"/>
          <w:lang w:eastAsia="en-IN"/>
        </w:rPr>
        <w:t xml:space="preserve">minimal and no </w:t>
      </w:r>
      <w:r w:rsidRPr="00635EE4">
        <w:rPr>
          <w:rFonts w:ascii="Arial" w:hAnsi="Arial" w:cs="Arial"/>
          <w:color w:val="000000" w:themeColor="text1"/>
          <w:highlight w:val="yellow"/>
          <w:lang w:eastAsia="en-IN"/>
        </w:rPr>
        <w:t>significant FVIII inhibitor development were reported</w:t>
      </w:r>
      <w:r w:rsidRPr="002228AB">
        <w:rPr>
          <w:rFonts w:ascii="Arial" w:hAnsi="Arial" w:cs="Arial"/>
          <w:color w:val="000000" w:themeColor="text1"/>
          <w:lang w:eastAsia="en-IN"/>
        </w:rPr>
        <w:t xml:space="preserve">, positioning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as a promising early therapeutic option </w:t>
      </w:r>
      <w:r w:rsidRPr="002228AB">
        <w:rPr>
          <w:rFonts w:ascii="Arial" w:hAnsi="Arial" w:cs="Arial"/>
          <w:color w:val="000000" w:themeColor="text1"/>
          <w:lang w:eastAsia="en-IN"/>
        </w:rPr>
        <w:fldChar w:fldCharType="begin"/>
      </w:r>
      <w:r w:rsidRPr="002228AB">
        <w:rPr>
          <w:rFonts w:ascii="Arial" w:hAnsi="Arial" w:cs="Arial"/>
          <w:color w:val="000000" w:themeColor="text1"/>
          <w:lang w:eastAsia="en-IN"/>
        </w:rPr>
        <w:instrText xml:space="preserve"> ADDIN ZOTERO_ITEM CSL_CITATION {"citationID":"mE0H8K3Z","properties":{"formattedCitation":"(6)","plainCitation":"(6)","noteIndex":0},"citationItems":[{"id":74,"uris":["http://zotero.org/users/local/S5xWlg2p/items/I58J8J9G"],"itemData":{"id":74,"type":"article-journal","abstract":"Subcutaneous emicizumab enables prophylaxis for people with hemophilia A (HA) from birth, potentially reducing risk of bleeding and intracranial hemorrhage (ICH). HAVEN 7 (NCT04431726) is the first clinical trial of emicizumab dedicated to infants, designed to investigate the efficacy, safety, pharmacokinetics, and pharmacodynamics of emicizumab in those aged ≤12 months with severe HA without factor VIII (FVIII) inhibitors. Participants in this phase 3b trial received emicizumab 3 mg/kg maintenance dose every 2 weeks for 52 weeks and are continuing emicizumab during the 7-year long-term follow-up. Efficacy end points included annualized bleed rate (ABR): treated, all, treated spontaneous, and treated joint bleeds. Safety end points included adverse events (AEs), thromboembolic events (TEs), thrombotic microangiopathies (TMAs), and immunogenicity (anti-emicizumab antibodies [ADAs] and FVIII inhibitors). At primary analysis, 55 male participants had received emicizumab (median treatment duration: 100.3; range, 52-118 weeks). Median age at informed consent was 4.0 months (range, 9 days to 11 months 30 days). Model-based ABR for treated bleeds was 0.4 (95% confidence interval, 0.30–0.63), with 54.5% of participants (n = 30) having zero treated bleeds. No ICH occurred. All 42 treated bleeds in 25 participants (45.5%) were traumatic. Nine participants (16.4%) had ≥1 emicizumab-related AE (all grade 1 injection-site reactions). No AE led to treatment changes. No deaths, TEs, or TMAs occurred. No participant tested positive for ADAs. Two participants were confirmed positive for FVIII inhibitors. This primary analysis of HAVEN 7 indicates that emicizumab is efficacious and well tolerated in infants with severe HA without FVIII inhibitors.","container-title":"Blood","DOI":"10.1182/blood.2023021832","ISSN":"0006-4971","issue":"14","journalAbbreviation":"Blood","page":"1355-1364","source":"Silverchair","title":"Emicizumab prophylaxis in infants with hemophilia A (HAVEN 7): primary analysis of a phase 3b open-label trial","title-short":"Emicizumab prophylaxis in infants with hemophilia A (HAVEN 7)","volume":"143","author":[{"family":"Pipe","given":"Steven W."},{"family":"Collins","given":"Peter"},{"family":"Dhalluin","given":"Christophe"},{"family":"Kenet","given":"Gili"},{"family":"Schmitt","given":"Christophe"},{"family":"Buri","given":"Muriel"},{"family":"Jiménez-Yuste","given":"Víctor"},{"family":"Peyvandi","given":"Flora"},{"family":"Young","given":"Guy"},{"family":"Oldenburg","given":"Johannes"},{"family":"Mancuso","given":"Maria Elisa"},{"family":"Kavakli","given":"Kaan"},{"family":"Kiialainen","given":"Anna"},{"family":"Deb","given":"Sonia"},{"family":"Niggli","given":"Markus"},{"family":"Chang","given":"Tiffany"},{"family":"Lehle","given":"Michaela"},{"family":"Fijnvandraat","given":"Karin"}],"issued":{"date-parts":[["2024",4,4]]}}}],"schema":"https://github.com/citation-style-language/schema/raw/master/csl-citation.json"} </w:instrText>
      </w:r>
      <w:r w:rsidRPr="002228AB">
        <w:rPr>
          <w:rFonts w:ascii="Arial" w:hAnsi="Arial" w:cs="Arial"/>
          <w:color w:val="000000" w:themeColor="text1"/>
          <w:lang w:eastAsia="en-IN"/>
        </w:rPr>
        <w:fldChar w:fldCharType="separate"/>
      </w:r>
      <w:r w:rsidRPr="002228AB">
        <w:rPr>
          <w:rFonts w:ascii="Arial" w:hAnsi="Arial" w:cs="Arial"/>
        </w:rPr>
        <w:t>(4,5)</w:t>
      </w:r>
      <w:r w:rsidRPr="002228AB">
        <w:rPr>
          <w:rFonts w:ascii="Arial" w:hAnsi="Arial" w:cs="Arial"/>
          <w:color w:val="000000" w:themeColor="text1"/>
          <w:lang w:eastAsia="en-IN"/>
        </w:rPr>
        <w:fldChar w:fldCharType="end"/>
      </w:r>
      <w:r w:rsidRPr="002228AB">
        <w:rPr>
          <w:rFonts w:ascii="Arial" w:hAnsi="Arial" w:cs="Arial"/>
          <w:color w:val="000000" w:themeColor="text1"/>
          <w:lang w:eastAsia="en-IN"/>
        </w:rPr>
        <w:t>.</w:t>
      </w:r>
    </w:p>
    <w:p w14:paraId="046B64CB"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This case contributes to the growing body of evidence supporting the perioperative use of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in hemophilia A patients undergoing major surgeries, including neurosurgical procedures. Further research and real-world data are needed to establish standardized guidelines for surgical management in this patient population.</w:t>
      </w:r>
    </w:p>
    <w:p w14:paraId="16D57A97" w14:textId="77777777" w:rsidR="002228AB" w:rsidRDefault="002228AB" w:rsidP="008B1B9C">
      <w:pPr>
        <w:pStyle w:val="ConcHead"/>
        <w:spacing w:after="0"/>
        <w:jc w:val="both"/>
        <w:rPr>
          <w:rFonts w:ascii="Arial" w:hAnsi="Arial" w:cs="Arial"/>
        </w:rPr>
      </w:pPr>
    </w:p>
    <w:p w14:paraId="51A20022" w14:textId="77777777" w:rsidR="00E053D0" w:rsidRDefault="00E053D0" w:rsidP="00441B6F">
      <w:pPr>
        <w:pStyle w:val="Body"/>
        <w:spacing w:after="0"/>
        <w:rPr>
          <w:rFonts w:ascii="Arial" w:hAnsi="Arial" w:cs="Arial"/>
        </w:rPr>
      </w:pPr>
    </w:p>
    <w:p w14:paraId="4EEBFD48" w14:textId="77777777" w:rsidR="00790ADA" w:rsidRPr="00FB3A86" w:rsidRDefault="00790ADA" w:rsidP="00441B6F">
      <w:pPr>
        <w:pStyle w:val="Body"/>
        <w:spacing w:after="0"/>
        <w:rPr>
          <w:rFonts w:ascii="Arial" w:hAnsi="Arial" w:cs="Arial"/>
        </w:rPr>
      </w:pPr>
    </w:p>
    <w:p w14:paraId="35D499F1" w14:textId="19E8F43B" w:rsidR="004F0CDC" w:rsidRPr="00635EE4" w:rsidRDefault="008B1B9C" w:rsidP="00635EE4">
      <w:pPr>
        <w:pStyle w:val="ConcHead"/>
        <w:spacing w:after="0"/>
        <w:jc w:val="both"/>
        <w:rPr>
          <w:rFonts w:ascii="Arial" w:hAnsi="Arial" w:cs="Arial"/>
        </w:rPr>
      </w:pPr>
      <w:bookmarkStart w:id="4" w:name="_Hlk199844934"/>
      <w:r>
        <w:rPr>
          <w:rFonts w:ascii="Arial" w:hAnsi="Arial" w:cs="Arial"/>
        </w:rPr>
        <w:t>4</w:t>
      </w:r>
      <w:r w:rsidR="00000F8F">
        <w:rPr>
          <w:rFonts w:ascii="Arial" w:hAnsi="Arial" w:cs="Arial"/>
        </w:rPr>
        <w:t xml:space="preserve">. </w:t>
      </w:r>
      <w:r w:rsidR="00B01FCD" w:rsidRPr="00FB3A86">
        <w:rPr>
          <w:rFonts w:ascii="Arial" w:hAnsi="Arial" w:cs="Arial"/>
        </w:rPr>
        <w:t>Conclusion</w:t>
      </w:r>
    </w:p>
    <w:p w14:paraId="6E5EB0F1" w14:textId="38D995ED" w:rsidR="00E53CCB" w:rsidRPr="004F0CDC" w:rsidRDefault="00E53CCB" w:rsidP="004F0CDC">
      <w:pPr>
        <w:pStyle w:val="NormalWeb"/>
        <w:rPr>
          <w:rFonts w:ascii="Arial" w:hAnsi="Arial" w:cs="Arial"/>
          <w:sz w:val="20"/>
          <w:szCs w:val="20"/>
        </w:rPr>
      </w:pPr>
      <w:r w:rsidRPr="00635EE4">
        <w:rPr>
          <w:rFonts w:ascii="Arial" w:hAnsi="Arial" w:cs="Arial"/>
          <w:sz w:val="20"/>
          <w:szCs w:val="20"/>
          <w:highlight w:val="yellow"/>
          <w:lang w:val="en-US"/>
        </w:rPr>
        <w:t xml:space="preserve">In conclusion, this case conveys an effective alternative to traditional prophylaxis in the perioperative management of hemophilia A that is the use of potential </w:t>
      </w:r>
      <w:proofErr w:type="spellStart"/>
      <w:r w:rsidRPr="00635EE4">
        <w:rPr>
          <w:rFonts w:ascii="Arial" w:hAnsi="Arial" w:cs="Arial"/>
          <w:sz w:val="20"/>
          <w:szCs w:val="20"/>
          <w:highlight w:val="yellow"/>
          <w:lang w:val="en-US"/>
        </w:rPr>
        <w:t>Emicizumab</w:t>
      </w:r>
      <w:proofErr w:type="spellEnd"/>
      <w:r w:rsidRPr="00635EE4">
        <w:rPr>
          <w:rFonts w:ascii="Arial" w:hAnsi="Arial" w:cs="Arial"/>
          <w:sz w:val="20"/>
          <w:szCs w:val="20"/>
          <w:highlight w:val="yellow"/>
          <w:lang w:val="en-US"/>
        </w:rPr>
        <w:t xml:space="preserve"> synchronized with targeted FVIII supplementation. </w:t>
      </w:r>
      <w:proofErr w:type="spellStart"/>
      <w:r w:rsidRPr="00635EE4">
        <w:rPr>
          <w:rFonts w:ascii="Arial" w:hAnsi="Arial" w:cs="Arial"/>
          <w:sz w:val="20"/>
          <w:szCs w:val="20"/>
          <w:highlight w:val="yellow"/>
          <w:lang w:val="en-US"/>
        </w:rPr>
        <w:t>Emphazing</w:t>
      </w:r>
      <w:proofErr w:type="spellEnd"/>
      <w:r w:rsidRPr="00635EE4">
        <w:rPr>
          <w:rFonts w:ascii="Arial" w:hAnsi="Arial" w:cs="Arial"/>
          <w:sz w:val="20"/>
          <w:szCs w:val="20"/>
          <w:highlight w:val="yellow"/>
          <w:lang w:val="en-US"/>
        </w:rPr>
        <w:t xml:space="preserve"> the necessity of further research to develop standardized surgical protocols.</w:t>
      </w:r>
    </w:p>
    <w:p w14:paraId="33CE9216" w14:textId="77777777" w:rsidR="004F0CDC" w:rsidRDefault="004F0CDC" w:rsidP="00441B6F">
      <w:pPr>
        <w:pStyle w:val="ConcHead"/>
        <w:spacing w:after="0"/>
        <w:jc w:val="both"/>
        <w:rPr>
          <w:rFonts w:ascii="Arial" w:hAnsi="Arial" w:cs="Arial"/>
        </w:rPr>
      </w:pPr>
    </w:p>
    <w:bookmarkEnd w:id="4"/>
    <w:p w14:paraId="03AF753D" w14:textId="40AA8A9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D31655F" w14:textId="77777777" w:rsidR="002B685A" w:rsidRPr="002B685A" w:rsidRDefault="002B685A" w:rsidP="00441B6F">
      <w:pPr>
        <w:pStyle w:val="ReferHead"/>
        <w:spacing w:after="0"/>
        <w:jc w:val="both"/>
        <w:rPr>
          <w:rFonts w:ascii="Arial" w:hAnsi="Arial" w:cs="Arial"/>
          <w:bCs/>
        </w:rPr>
      </w:pPr>
    </w:p>
    <w:p w14:paraId="7B22ED3D" w14:textId="4FDD8BDF" w:rsidR="001A29D8" w:rsidRDefault="001A29D8" w:rsidP="00441B6F">
      <w:pPr>
        <w:pStyle w:val="ReferHead"/>
        <w:spacing w:after="0"/>
        <w:jc w:val="both"/>
        <w:rPr>
          <w:rFonts w:ascii="Arial" w:hAnsi="Arial" w:cs="Arial"/>
          <w:b w:val="0"/>
          <w:caps w:val="0"/>
          <w:sz w:val="20"/>
        </w:rPr>
      </w:pPr>
      <w:r w:rsidRPr="004F0CDC">
        <w:rPr>
          <w:rFonts w:ascii="Arial" w:hAnsi="Arial" w:cs="Arial"/>
          <w:b w:val="0"/>
          <w:caps w:val="0"/>
          <w:sz w:val="20"/>
        </w:rPr>
        <w:t xml:space="preserve">All authors declare that ‘written informed consent was obtained from the patient (or other approved parties) for publication of this case report. </w:t>
      </w:r>
    </w:p>
    <w:p w14:paraId="014BBA30" w14:textId="5132848D" w:rsidR="00510AA8" w:rsidRDefault="00510AA8" w:rsidP="00441B6F">
      <w:pPr>
        <w:pStyle w:val="ReferHead"/>
        <w:spacing w:after="0"/>
        <w:jc w:val="both"/>
        <w:rPr>
          <w:rFonts w:ascii="Arial" w:hAnsi="Arial" w:cs="Arial"/>
          <w:b w:val="0"/>
          <w:caps w:val="0"/>
          <w:sz w:val="20"/>
        </w:rPr>
      </w:pPr>
    </w:p>
    <w:p w14:paraId="1A13E925" w14:textId="20A6F0F3" w:rsidR="00510AA8" w:rsidRDefault="00510AA8" w:rsidP="00441B6F">
      <w:pPr>
        <w:pStyle w:val="ReferHead"/>
        <w:spacing w:after="0"/>
        <w:jc w:val="both"/>
        <w:rPr>
          <w:rFonts w:ascii="Arial" w:hAnsi="Arial" w:cs="Arial"/>
          <w:b w:val="0"/>
          <w:caps w:val="0"/>
          <w:sz w:val="20"/>
        </w:rPr>
      </w:pPr>
    </w:p>
    <w:p w14:paraId="49794EC8" w14:textId="3938AB1D" w:rsidR="00DC550B" w:rsidRPr="00E53CCB" w:rsidRDefault="00E53CCB" w:rsidP="00DC550B">
      <w:pPr>
        <w:spacing w:after="200" w:line="276" w:lineRule="auto"/>
        <w:rPr>
          <w:rFonts w:ascii="Arial" w:eastAsia="Calibri" w:hAnsi="Arial" w:cs="Arial"/>
          <w:b/>
          <w:bCs/>
          <w:kern w:val="2"/>
          <w:sz w:val="22"/>
          <w:szCs w:val="22"/>
        </w:rPr>
      </w:pPr>
      <w:bookmarkStart w:id="5" w:name="_Hlk193540946"/>
      <w:bookmarkStart w:id="6" w:name="_Hlk180402183"/>
      <w:bookmarkStart w:id="7" w:name="_Hlk183680988"/>
      <w:bookmarkStart w:id="8" w:name="_Hlk197173371"/>
      <w:r w:rsidRPr="00E53CCB">
        <w:rPr>
          <w:rFonts w:ascii="Arial" w:eastAsia="Calibri" w:hAnsi="Arial" w:cs="Arial"/>
          <w:b/>
          <w:bCs/>
          <w:kern w:val="2"/>
          <w:sz w:val="22"/>
          <w:szCs w:val="22"/>
        </w:rPr>
        <w:t>DISCLAIMER (ARTIFICIAL INTELLIGENCE)</w:t>
      </w:r>
    </w:p>
    <w:p w14:paraId="47520EED" w14:textId="01C4BCDB" w:rsidR="00DC550B" w:rsidRPr="00DC550B" w:rsidRDefault="00DC550B" w:rsidP="00DC550B">
      <w:pPr>
        <w:spacing w:after="200" w:line="276" w:lineRule="auto"/>
        <w:rPr>
          <w:rFonts w:ascii="Calibri" w:eastAsia="Calibri" w:hAnsi="Calibri"/>
          <w:kern w:val="2"/>
          <w:sz w:val="22"/>
          <w:szCs w:val="22"/>
          <w:highlight w:val="yellow"/>
        </w:rPr>
      </w:pPr>
      <w:r w:rsidRPr="00E53CCB">
        <w:rPr>
          <w:rFonts w:ascii="Arial" w:eastAsia="Calibri" w:hAnsi="Arial" w:cs="Arial"/>
          <w:kern w:val="2"/>
        </w:rPr>
        <w:t xml:space="preserve">Author(s) hereby </w:t>
      </w:r>
      <w:r w:rsidR="0010275B" w:rsidRPr="004167CD">
        <w:rPr>
          <w:rFonts w:ascii="Arial" w:eastAsia="Calibri" w:hAnsi="Arial" w:cs="Arial"/>
          <w:kern w:val="2"/>
        </w:rPr>
        <w:t>declares</w:t>
      </w:r>
      <w:r w:rsidRPr="00E53CCB">
        <w:rPr>
          <w:rFonts w:ascii="Arial" w:eastAsia="Calibri" w:hAnsi="Arial" w:cs="Arial"/>
          <w:kern w:val="2"/>
        </w:rPr>
        <w:t xml:space="preserve"> that NO generative AI technologies such as Large Language Models (ChatGPT, COPILOT, etc.) and text-to-image generators have been used during the writing or editing of this manuscript</w:t>
      </w:r>
      <w:r w:rsidR="00635EE4" w:rsidRPr="00635EE4">
        <w:rPr>
          <w:rFonts w:ascii="Calibri" w:eastAsia="Calibri" w:hAnsi="Calibri"/>
          <w:kern w:val="2"/>
          <w:sz w:val="22"/>
          <w:szCs w:val="22"/>
        </w:rPr>
        <w:t>.</w:t>
      </w:r>
    </w:p>
    <w:bookmarkEnd w:id="5"/>
    <w:bookmarkEnd w:id="6"/>
    <w:bookmarkEnd w:id="7"/>
    <w:bookmarkEnd w:id="8"/>
    <w:p w14:paraId="3F765CAA" w14:textId="77777777" w:rsidR="003164C8" w:rsidRPr="004F0CDC" w:rsidRDefault="003164C8" w:rsidP="00441B6F">
      <w:pPr>
        <w:pStyle w:val="ReferHead"/>
        <w:spacing w:after="0"/>
        <w:jc w:val="both"/>
        <w:rPr>
          <w:rFonts w:ascii="Arial" w:hAnsi="Arial" w:cs="Arial"/>
          <w:b w:val="0"/>
          <w:caps w:val="0"/>
          <w:sz w:val="20"/>
        </w:rPr>
      </w:pPr>
    </w:p>
    <w:p w14:paraId="05F426AA" w14:textId="77777777" w:rsidR="005C784C" w:rsidRDefault="005C784C" w:rsidP="00441B6F">
      <w:pPr>
        <w:pStyle w:val="ReferHead"/>
        <w:spacing w:after="0"/>
        <w:jc w:val="both"/>
        <w:rPr>
          <w:rFonts w:ascii="Arial" w:hAnsi="Arial" w:cs="Arial"/>
          <w:b w:val="0"/>
          <w:caps w:val="0"/>
          <w:sz w:val="20"/>
        </w:rPr>
      </w:pPr>
    </w:p>
    <w:p w14:paraId="25D842A8" w14:textId="77777777" w:rsidR="00860000" w:rsidRDefault="00860000" w:rsidP="00441B6F">
      <w:pPr>
        <w:pStyle w:val="ReferHead"/>
        <w:spacing w:after="0"/>
        <w:jc w:val="both"/>
        <w:rPr>
          <w:rFonts w:ascii="Arial" w:hAnsi="Arial" w:cs="Arial"/>
        </w:rPr>
      </w:pPr>
    </w:p>
    <w:p w14:paraId="7481EF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DBBA0B" w14:textId="77777777" w:rsidR="00790ADA" w:rsidRPr="00FB3A86" w:rsidRDefault="00790ADA" w:rsidP="00441B6F">
      <w:pPr>
        <w:pStyle w:val="ReferHead"/>
        <w:spacing w:after="0"/>
        <w:jc w:val="both"/>
        <w:rPr>
          <w:rFonts w:ascii="Arial" w:hAnsi="Arial" w:cs="Arial"/>
        </w:rPr>
      </w:pPr>
    </w:p>
    <w:p w14:paraId="088853C0"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w:t>
      </w:r>
      <w:r w:rsidRPr="00C36E6F">
        <w:rPr>
          <w:rFonts w:ascii="Arial" w:hAnsi="Arial" w:cs="Arial"/>
        </w:rPr>
        <w:fldChar w:fldCharType="begin"/>
      </w:r>
      <w:r w:rsidRPr="00C36E6F">
        <w:rPr>
          <w:rFonts w:ascii="Arial" w:hAnsi="Arial" w:cs="Arial"/>
        </w:rPr>
        <w:instrText xml:space="preserve"> ADDIN ZOTERO_BIBL {"uncited":[],"omitted":[],"custom":[]} CSL_BIBLIOGRAPHY </w:instrText>
      </w:r>
      <w:r w:rsidRPr="00C36E6F">
        <w:rPr>
          <w:rFonts w:ascii="Arial" w:hAnsi="Arial" w:cs="Arial"/>
        </w:rPr>
        <w:fldChar w:fldCharType="separate"/>
      </w:r>
      <w:r w:rsidRPr="00C36E6F">
        <w:rPr>
          <w:rFonts w:ascii="Arial" w:hAnsi="Arial" w:cs="Arial"/>
        </w:rPr>
        <w:t>1].Srivastava A, Santagostino E, Dougall A, Kitchen S, Sutherland M, Pipe SW, et al. WFH Guidelines for the Management of Hemophilia, 3rd edition. Haemophilia. 2020 Aug;26(S6):1–158</w:t>
      </w:r>
    </w:p>
    <w:p w14:paraId="71019489"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 xml:space="preserve">[2].Coffin D, Gouider E, Konkle B, Hermans C, Lambert C, Diop S, Ayoub E, Tootoonchian E, Youttananukorn T, Dakik P, Pereira T, Iorio A, Pierce GF; World Bleeding Disorders Registry Participating Investigators. The World Federation of Hemophilia World Bleeding Disorders Registry: insights from the first 10,000 patients. Res Pract Thromb Haemost. 2023 Nov 20;7(8):102264. doi: 10.1016/j.rpth.2023.102264. PMID: 38193052; PMCID: PMC10772874. </w:t>
      </w:r>
    </w:p>
    <w:p w14:paraId="64AC36EA"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[3].C. Hermans, C. Altisent, A. Batorova, et al., “Replacement Therapy for Invasive Procedures in PwH With Haemophilia: Literature Review, European Survey, and Recommendations,” Haemophilia 15, no. 3 (2009): 639–658</w:t>
      </w:r>
    </w:p>
    <w:p w14:paraId="3DC3A59F"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 xml:space="preserve">[4].Belletrutti M, Bhatt M, Samji N. Management of children with hemophilia A on emicizumab who need surgery. Front Pediatr. 2023 Apr 4;11:1155853. </w:t>
      </w:r>
    </w:p>
    <w:p w14:paraId="15B58CD8"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5].Rebecca Kruse-Jarres, Flora Peyvandi, Johannes Oldenburg, Tiffany Chang, Sammy Chebon, Michelle Y. Doral, Stacy E. Croteau, Thierry Lambert, Christine L. Kempton, Steven W. Pipe, Richard H. Ko, Benjamin Trzaskoma, Christophe Dhalluin, Nives Selak Bienz, Markus Niggli, Michaela Lehle, Ido Paz-Priel, Guy Young, Víctor Jiménez-Yuste.Surgical outcomes in people with hemophilia A taking emicizumab prophylaxis: experience from the HAVEN 1-4 studies,Blood Advances,Volume 6, Issue 24,2022,Pages 6140-6150,ISSN 2473-9529,https://doi.org/10.1182/bloodadvances.2022007458. (https://www.sciencedirect.com/science/article/pii/S2473952922005195)</w:t>
      </w:r>
    </w:p>
    <w:p w14:paraId="70E90A44"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[6].Yoneyama K, Schmitt C, Kotani N, Levy GG, Kasai R, Iida S, Shima M, Kawanishi T. A Pharmacometric Approach to Substitute for a Conventional Dose-Finding Study in Rare Diseases: Example of Phase III Dose Selection for Emicizumab in Hemophilia A. Clin Pharmacokinet. 2018 Sep;57(9):1123-1134. doi: 10.1007/s40262-017-0616-3. PMID: 29214439; PMCID: PMC6061395.</w:t>
      </w:r>
    </w:p>
    <w:p w14:paraId="373BBDB4"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 xml:space="preserve">[7].Pipe SW, Collins P, Dhalluin C, Kenet G, Schmitt C, Buri M, et al. Emicizumab prophylaxis in infants with hemophilia A (HAVEN 7): primary analysis of a phase 3b open-label trial. Blood. 2024 Apr 4;143(14):1355–64. </w:t>
      </w:r>
    </w:p>
    <w:p w14:paraId="09E9648E"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[8]. Kizilocak H, Marquez-Casas E, Malvar J, Carmona R, Young G. Determining the approximate FVIIIlevel of patients with severe haemophilia A on emicizumab using in vivo global haemostasis assays. Haemophilia. 2021;27:730–5.</w:t>
      </w:r>
    </w:p>
    <w:p w14:paraId="59C35DF9"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[9].Marcelo Paglioli Ferreira, Marcus Vinícius Martins Collares, Nelson Pires Ferreira, Jorge Luiz Kraemer, Arthur Azambuja Pereira Filho, Gustavo Azambuja Pereira Filho.Early surgical treatment of nonsyndromic craniosynostosis,Surgical Neurology,Volume 65, Supplement 1,2006,Pages S22-S26,ISSN 0090-3019,https://doi.org/10.1016/j.surneu.2005.11.038. (https://www.sciencedirect.com/science/article/pii/S0090301905007974).</w:t>
      </w:r>
    </w:p>
    <w:p w14:paraId="36F8F0C0" w14:textId="77777777" w:rsidR="00C36E6F" w:rsidRDefault="00C36E6F" w:rsidP="00C36E6F">
      <w:pPr>
        <w:spacing w:line="259" w:lineRule="auto"/>
        <w:rPr>
          <w:rFonts w:ascii="Arial" w:hAnsi="Arial" w:cs="Arial"/>
        </w:rPr>
      </w:pPr>
      <w:r w:rsidRPr="00C36E6F">
        <w:rPr>
          <w:rFonts w:ascii="Arial" w:hAnsi="Arial" w:cs="Arial"/>
        </w:rPr>
        <w:t>[10].</w:t>
      </w:r>
      <w:r w:rsidRPr="00C36E6F">
        <w:rPr>
          <w:rFonts w:ascii="Arial" w:hAnsi="Arial" w:cs="Arial"/>
          <w:b/>
          <w:bCs/>
          <w:shd w:val="clear" w:color="auto" w:fill="EDF0F2"/>
        </w:rPr>
        <w:t xml:space="preserve"> </w:t>
      </w:r>
      <w:r w:rsidRPr="00C36E6F">
        <w:rPr>
          <w:rFonts w:ascii="Arial" w:hAnsi="Arial" w:cs="Arial"/>
        </w:rPr>
        <w:t xml:space="preserve">Chowdhury, A., Patel, R., Silva, A. H. D., Dunaway, D. J., Jeelani, N. u. O., Ong, J., Hayward, R., &amp; James, G. (2023). Sagittal synostosis: does the choice of intervention and its timing affect the long-term aesthetic and </w:t>
      </w:r>
      <w:r w:rsidRPr="00C36E6F">
        <w:rPr>
          <w:rFonts w:ascii="Arial" w:hAnsi="Arial" w:cs="Arial"/>
        </w:rPr>
        <w:lastRenderedPageBreak/>
        <w:t>neurodevelopmental outcome? A single-institution study of 167 children. </w:t>
      </w:r>
      <w:r w:rsidRPr="00C36E6F">
        <w:rPr>
          <w:rFonts w:ascii="Arial" w:hAnsi="Arial" w:cs="Arial"/>
          <w:i/>
          <w:iCs/>
        </w:rPr>
        <w:t>Journal of Neurosurgery: Pediatrics</w:t>
      </w:r>
      <w:r w:rsidRPr="00C36E6F">
        <w:rPr>
          <w:rFonts w:ascii="Arial" w:hAnsi="Arial" w:cs="Arial"/>
        </w:rPr>
        <w:t>, </w:t>
      </w:r>
      <w:r w:rsidRPr="00C36E6F">
        <w:rPr>
          <w:rFonts w:ascii="Arial" w:hAnsi="Arial" w:cs="Arial"/>
          <w:i/>
          <w:iCs/>
        </w:rPr>
        <w:t>31</w:t>
      </w:r>
      <w:r w:rsidRPr="00C36E6F">
        <w:rPr>
          <w:rFonts w:ascii="Arial" w:hAnsi="Arial" w:cs="Arial"/>
        </w:rPr>
        <w:t>(2), 169-178. https://doi.org/10.3171/2022.10.PEDS22135</w:t>
      </w:r>
    </w:p>
    <w:p w14:paraId="13ECE02F" w14:textId="77777777" w:rsidR="004E653D" w:rsidRPr="00C36E6F" w:rsidRDefault="004E653D" w:rsidP="00C36E6F">
      <w:pPr>
        <w:spacing w:line="259" w:lineRule="auto"/>
        <w:rPr>
          <w:rFonts w:ascii="Arial" w:hAnsi="Arial" w:cs="Arial"/>
        </w:rPr>
      </w:pPr>
    </w:p>
    <w:p w14:paraId="0738C0AF" w14:textId="77777777" w:rsidR="00C36E6F" w:rsidRPr="00C36E6F" w:rsidRDefault="00C36E6F" w:rsidP="00C36E6F">
      <w:pPr>
        <w:spacing w:line="259" w:lineRule="auto"/>
        <w:rPr>
          <w:rFonts w:ascii="Arial" w:hAnsi="Arial" w:cs="Arial"/>
        </w:rPr>
      </w:pPr>
      <w:r w:rsidRPr="00C36E6F">
        <w:rPr>
          <w:rFonts w:ascii="Arial" w:hAnsi="Arial" w:cs="Arial"/>
        </w:rPr>
        <w:t>[11].Ganapathi R, Sidharthan N, Thachil J. Successful Orthopaedic Surgeries With World Federation of Haemophilia Humanitarian Aid Program in Resource-Limited Settings. Haemophilia. 2025 Jan;31(1):162-165.doi: 10.1111/hae.15141. Epub 2024 Dec 31. PMID: 39737827.</w:t>
      </w:r>
    </w:p>
    <w:p w14:paraId="27449F44" w14:textId="77777777" w:rsidR="00C36E6F" w:rsidRPr="00C36E6F" w:rsidRDefault="00C36E6F" w:rsidP="00C36E6F">
      <w:pPr>
        <w:spacing w:line="259" w:lineRule="auto"/>
        <w:rPr>
          <w:rFonts w:ascii="Arial" w:hAnsi="Arial" w:cs="Arial"/>
        </w:rPr>
      </w:pPr>
    </w:p>
    <w:p w14:paraId="42A9F044" w14:textId="0E9EB532" w:rsidR="00B01FCD" w:rsidRPr="00C36E6F" w:rsidRDefault="00C36E6F" w:rsidP="00C36E6F">
      <w:pPr>
        <w:pStyle w:val="Appendix"/>
        <w:spacing w:after="0"/>
        <w:jc w:val="both"/>
        <w:rPr>
          <w:rFonts w:ascii="Arial" w:hAnsi="Arial" w:cs="Arial"/>
          <w:b w:val="0"/>
          <w:sz w:val="20"/>
        </w:rPr>
      </w:pPr>
      <w:r w:rsidRPr="00C36E6F">
        <w:rPr>
          <w:rFonts w:ascii="Arial" w:hAnsi="Arial" w:cs="Arial"/>
          <w:sz w:val="20"/>
        </w:rPr>
        <w:fldChar w:fldCharType="end"/>
      </w:r>
    </w:p>
    <w:sectPr w:rsidR="00B01FCD" w:rsidRPr="00C36E6F" w:rsidSect="005949A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B50B" w14:textId="77777777" w:rsidR="0087210A" w:rsidRDefault="0087210A" w:rsidP="00C37E61">
      <w:r>
        <w:separator/>
      </w:r>
    </w:p>
  </w:endnote>
  <w:endnote w:type="continuationSeparator" w:id="0">
    <w:p w14:paraId="45FBE548" w14:textId="77777777" w:rsidR="0087210A" w:rsidRDefault="008721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B078" w14:textId="77777777" w:rsidR="00F863B3" w:rsidRDefault="00F86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7107" w14:textId="77777777" w:rsidR="00F863B3" w:rsidRDefault="00F86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2E05" w14:textId="77777777" w:rsidR="009E048A" w:rsidRDefault="009E048A">
    <w:pPr>
      <w:pStyle w:val="Footer"/>
      <w:rPr>
        <w:rFonts w:ascii="Arial" w:hAnsi="Arial" w:cs="Arial"/>
        <w:sz w:val="16"/>
      </w:rPr>
    </w:pPr>
  </w:p>
  <w:p w14:paraId="4D9B34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3280E8" w14:textId="77777777" w:rsidR="009E048A" w:rsidRDefault="009E048A">
    <w:pPr>
      <w:pStyle w:val="Footer"/>
      <w:rPr>
        <w:rFonts w:ascii="Arial" w:hAnsi="Arial" w:cs="Arial"/>
        <w:sz w:val="16"/>
      </w:rPr>
    </w:pPr>
  </w:p>
  <w:p w14:paraId="6A8825B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DD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2421" w14:textId="77777777" w:rsidR="0087210A" w:rsidRDefault="0087210A" w:rsidP="00C37E61">
      <w:r>
        <w:separator/>
      </w:r>
    </w:p>
  </w:footnote>
  <w:footnote w:type="continuationSeparator" w:id="0">
    <w:p w14:paraId="16CB0787" w14:textId="77777777" w:rsidR="0087210A" w:rsidRDefault="008721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DAF4" w14:textId="71464470" w:rsidR="00F863B3" w:rsidRDefault="00000000">
    <w:pPr>
      <w:pStyle w:val="Header"/>
    </w:pPr>
    <w:r>
      <w:rPr>
        <w:noProof/>
      </w:rPr>
      <w:pict w14:anchorId="74B22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4A8F" w14:textId="2641A0D8" w:rsidR="00F863B3" w:rsidRDefault="00000000">
    <w:pPr>
      <w:pStyle w:val="Header"/>
    </w:pPr>
    <w:r>
      <w:rPr>
        <w:noProof/>
      </w:rPr>
      <w:pict w14:anchorId="5190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1DEC" w14:textId="3AA69C55" w:rsidR="00296529" w:rsidRPr="00296529" w:rsidRDefault="00000000" w:rsidP="00296529">
    <w:pPr>
      <w:ind w:left="2160"/>
      <w:jc w:val="center"/>
      <w:rPr>
        <w:rFonts w:ascii="Times New Roman" w:eastAsia="Calibri" w:hAnsi="Times New Roman"/>
        <w:i/>
        <w:sz w:val="18"/>
        <w:szCs w:val="22"/>
      </w:rPr>
    </w:pPr>
    <w:r>
      <w:rPr>
        <w:noProof/>
      </w:rPr>
      <w:pict w14:anchorId="15CB7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86E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3998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1CC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56862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54F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9A3B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6EFB" w14:textId="5D1BFDD2" w:rsidR="00F863B3" w:rsidRDefault="00000000">
    <w:pPr>
      <w:pStyle w:val="Header"/>
    </w:pPr>
    <w:r>
      <w:rPr>
        <w:noProof/>
      </w:rPr>
      <w:pict w14:anchorId="3B559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13A0" w14:textId="4944680E" w:rsidR="00F863B3" w:rsidRDefault="00000000">
    <w:pPr>
      <w:pStyle w:val="Header"/>
    </w:pPr>
    <w:r>
      <w:rPr>
        <w:noProof/>
      </w:rPr>
      <w:pict w14:anchorId="5E38E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508A" w14:textId="03BE83D4" w:rsidR="00F863B3" w:rsidRDefault="00000000">
    <w:pPr>
      <w:pStyle w:val="Header"/>
    </w:pPr>
    <w:r>
      <w:rPr>
        <w:noProof/>
      </w:rPr>
      <w:pict w14:anchorId="7123C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443656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0658219">
    <w:abstractNumId w:val="15"/>
  </w:num>
  <w:num w:numId="3" w16cid:durableId="1223714260">
    <w:abstractNumId w:val="23"/>
  </w:num>
  <w:num w:numId="4" w16cid:durableId="12596792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4295573">
    <w:abstractNumId w:val="7"/>
  </w:num>
  <w:num w:numId="6" w16cid:durableId="1831750211">
    <w:abstractNumId w:val="6"/>
  </w:num>
  <w:num w:numId="7" w16cid:durableId="604265173">
    <w:abstractNumId w:val="1"/>
  </w:num>
  <w:num w:numId="8" w16cid:durableId="1570799595">
    <w:abstractNumId w:val="12"/>
  </w:num>
  <w:num w:numId="9" w16cid:durableId="698967454">
    <w:abstractNumId w:val="25"/>
  </w:num>
  <w:num w:numId="10" w16cid:durableId="1918705111">
    <w:abstractNumId w:val="2"/>
  </w:num>
  <w:num w:numId="11" w16cid:durableId="1580406165">
    <w:abstractNumId w:val="18"/>
  </w:num>
  <w:num w:numId="12" w16cid:durableId="1813329561">
    <w:abstractNumId w:val="3"/>
  </w:num>
  <w:num w:numId="13" w16cid:durableId="1219629250">
    <w:abstractNumId w:val="17"/>
  </w:num>
  <w:num w:numId="14" w16cid:durableId="307638987">
    <w:abstractNumId w:val="8"/>
  </w:num>
  <w:num w:numId="15" w16cid:durableId="1096443134">
    <w:abstractNumId w:val="21"/>
  </w:num>
  <w:num w:numId="16" w16cid:durableId="2090928235">
    <w:abstractNumId w:val="5"/>
  </w:num>
  <w:num w:numId="17" w16cid:durableId="1465612863">
    <w:abstractNumId w:val="22"/>
  </w:num>
  <w:num w:numId="18" w16cid:durableId="1590195094">
    <w:abstractNumId w:val="14"/>
  </w:num>
  <w:num w:numId="19" w16cid:durableId="663125215">
    <w:abstractNumId w:val="28"/>
  </w:num>
  <w:num w:numId="20" w16cid:durableId="1480269968">
    <w:abstractNumId w:val="11"/>
  </w:num>
  <w:num w:numId="21" w16cid:durableId="919413584">
    <w:abstractNumId w:val="9"/>
  </w:num>
  <w:num w:numId="22" w16cid:durableId="1763915764">
    <w:abstractNumId w:val="13"/>
  </w:num>
  <w:num w:numId="23" w16cid:durableId="675499084">
    <w:abstractNumId w:val="19"/>
  </w:num>
  <w:num w:numId="24" w16cid:durableId="1787506775">
    <w:abstractNumId w:val="26"/>
  </w:num>
  <w:num w:numId="25" w16cid:durableId="1518811394">
    <w:abstractNumId w:val="4"/>
  </w:num>
  <w:num w:numId="26" w16cid:durableId="814104701">
    <w:abstractNumId w:val="16"/>
  </w:num>
  <w:num w:numId="27" w16cid:durableId="686757668">
    <w:abstractNumId w:val="20"/>
  </w:num>
  <w:num w:numId="28" w16cid:durableId="1187476304">
    <w:abstractNumId w:val="27"/>
  </w:num>
  <w:num w:numId="29" w16cid:durableId="2039042915">
    <w:abstractNumId w:val="24"/>
  </w:num>
  <w:num w:numId="30" w16cid:durableId="738215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C44"/>
    <w:rsid w:val="00030174"/>
    <w:rsid w:val="0004579C"/>
    <w:rsid w:val="000A47FA"/>
    <w:rsid w:val="000A65D3"/>
    <w:rsid w:val="000B1E33"/>
    <w:rsid w:val="000C0EB3"/>
    <w:rsid w:val="000D689F"/>
    <w:rsid w:val="000E7B7B"/>
    <w:rsid w:val="000E7D62"/>
    <w:rsid w:val="0010275B"/>
    <w:rsid w:val="00103357"/>
    <w:rsid w:val="00123C9F"/>
    <w:rsid w:val="00126190"/>
    <w:rsid w:val="00130F17"/>
    <w:rsid w:val="001320BF"/>
    <w:rsid w:val="00163BC4"/>
    <w:rsid w:val="001802B4"/>
    <w:rsid w:val="00191062"/>
    <w:rsid w:val="00192B72"/>
    <w:rsid w:val="001A29D8"/>
    <w:rsid w:val="001A35C9"/>
    <w:rsid w:val="001A5CAA"/>
    <w:rsid w:val="001B0427"/>
    <w:rsid w:val="001D3A51"/>
    <w:rsid w:val="001E10D2"/>
    <w:rsid w:val="001E25B4"/>
    <w:rsid w:val="001E44FE"/>
    <w:rsid w:val="00200595"/>
    <w:rsid w:val="00204835"/>
    <w:rsid w:val="002228AB"/>
    <w:rsid w:val="00231920"/>
    <w:rsid w:val="0023195C"/>
    <w:rsid w:val="0024282C"/>
    <w:rsid w:val="002460DC"/>
    <w:rsid w:val="00250985"/>
    <w:rsid w:val="002556F6"/>
    <w:rsid w:val="00275717"/>
    <w:rsid w:val="00283105"/>
    <w:rsid w:val="00284C4C"/>
    <w:rsid w:val="00286DC6"/>
    <w:rsid w:val="00287E68"/>
    <w:rsid w:val="00296529"/>
    <w:rsid w:val="002B27FB"/>
    <w:rsid w:val="002B685A"/>
    <w:rsid w:val="002C428C"/>
    <w:rsid w:val="002C57D2"/>
    <w:rsid w:val="002E0D56"/>
    <w:rsid w:val="00315186"/>
    <w:rsid w:val="003164C8"/>
    <w:rsid w:val="0033343E"/>
    <w:rsid w:val="00335475"/>
    <w:rsid w:val="003512C2"/>
    <w:rsid w:val="00371FB6"/>
    <w:rsid w:val="003763C1"/>
    <w:rsid w:val="00376BBE"/>
    <w:rsid w:val="003876BF"/>
    <w:rsid w:val="0039224F"/>
    <w:rsid w:val="003A43A4"/>
    <w:rsid w:val="003A49FD"/>
    <w:rsid w:val="003A7E18"/>
    <w:rsid w:val="003C4C86"/>
    <w:rsid w:val="003C6258"/>
    <w:rsid w:val="003E2904"/>
    <w:rsid w:val="00401927"/>
    <w:rsid w:val="004076E0"/>
    <w:rsid w:val="0041027F"/>
    <w:rsid w:val="00412475"/>
    <w:rsid w:val="004167CD"/>
    <w:rsid w:val="00420AC4"/>
    <w:rsid w:val="00423789"/>
    <w:rsid w:val="00433AEC"/>
    <w:rsid w:val="00440F43"/>
    <w:rsid w:val="00441B6F"/>
    <w:rsid w:val="00446221"/>
    <w:rsid w:val="00450E62"/>
    <w:rsid w:val="004539DB"/>
    <w:rsid w:val="00453A88"/>
    <w:rsid w:val="00471A80"/>
    <w:rsid w:val="004D305E"/>
    <w:rsid w:val="004D4277"/>
    <w:rsid w:val="004E653D"/>
    <w:rsid w:val="004F0CDC"/>
    <w:rsid w:val="00502516"/>
    <w:rsid w:val="00505F06"/>
    <w:rsid w:val="00506828"/>
    <w:rsid w:val="00507DE5"/>
    <w:rsid w:val="00510AA8"/>
    <w:rsid w:val="00517082"/>
    <w:rsid w:val="0053056E"/>
    <w:rsid w:val="00535202"/>
    <w:rsid w:val="005441EB"/>
    <w:rsid w:val="00554FDA"/>
    <w:rsid w:val="005949A2"/>
    <w:rsid w:val="005A3E71"/>
    <w:rsid w:val="005C784C"/>
    <w:rsid w:val="005D17F6"/>
    <w:rsid w:val="005E5539"/>
    <w:rsid w:val="00602BF5"/>
    <w:rsid w:val="00617FDD"/>
    <w:rsid w:val="0063037B"/>
    <w:rsid w:val="00633614"/>
    <w:rsid w:val="00633F68"/>
    <w:rsid w:val="00635EE4"/>
    <w:rsid w:val="00636EB2"/>
    <w:rsid w:val="006375B8"/>
    <w:rsid w:val="00650FEC"/>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4A8A"/>
    <w:rsid w:val="00746E59"/>
    <w:rsid w:val="00754C9A"/>
    <w:rsid w:val="0075599A"/>
    <w:rsid w:val="00761D52"/>
    <w:rsid w:val="00762E5C"/>
    <w:rsid w:val="0077749E"/>
    <w:rsid w:val="00790ADA"/>
    <w:rsid w:val="00791054"/>
    <w:rsid w:val="0079461E"/>
    <w:rsid w:val="007D2288"/>
    <w:rsid w:val="007D2C12"/>
    <w:rsid w:val="007D38BD"/>
    <w:rsid w:val="007E088F"/>
    <w:rsid w:val="007F7B32"/>
    <w:rsid w:val="00804BC2"/>
    <w:rsid w:val="0081431A"/>
    <w:rsid w:val="008276BB"/>
    <w:rsid w:val="0083216F"/>
    <w:rsid w:val="00860000"/>
    <w:rsid w:val="00863BD3"/>
    <w:rsid w:val="008641ED"/>
    <w:rsid w:val="00864D68"/>
    <w:rsid w:val="00866D66"/>
    <w:rsid w:val="008671C6"/>
    <w:rsid w:val="0087210A"/>
    <w:rsid w:val="00875803"/>
    <w:rsid w:val="008A2360"/>
    <w:rsid w:val="008B1B9C"/>
    <w:rsid w:val="008B459E"/>
    <w:rsid w:val="008D6800"/>
    <w:rsid w:val="008E13AE"/>
    <w:rsid w:val="008E1506"/>
    <w:rsid w:val="008E710C"/>
    <w:rsid w:val="008F69D6"/>
    <w:rsid w:val="00902823"/>
    <w:rsid w:val="00915CA6"/>
    <w:rsid w:val="00927834"/>
    <w:rsid w:val="009500A6"/>
    <w:rsid w:val="00956ED0"/>
    <w:rsid w:val="00957383"/>
    <w:rsid w:val="00957C18"/>
    <w:rsid w:val="009659BA"/>
    <w:rsid w:val="00983040"/>
    <w:rsid w:val="009B0327"/>
    <w:rsid w:val="009B3FB9"/>
    <w:rsid w:val="009C2465"/>
    <w:rsid w:val="009D35A0"/>
    <w:rsid w:val="009D7EB7"/>
    <w:rsid w:val="009E048A"/>
    <w:rsid w:val="009E08E9"/>
    <w:rsid w:val="009E1253"/>
    <w:rsid w:val="009E3DB9"/>
    <w:rsid w:val="009E6E35"/>
    <w:rsid w:val="009F0EDA"/>
    <w:rsid w:val="00A01A8F"/>
    <w:rsid w:val="00A03B96"/>
    <w:rsid w:val="00A05B19"/>
    <w:rsid w:val="00A1134E"/>
    <w:rsid w:val="00A24E7E"/>
    <w:rsid w:val="00A258C3"/>
    <w:rsid w:val="00A347C0"/>
    <w:rsid w:val="00A51431"/>
    <w:rsid w:val="00A539AD"/>
    <w:rsid w:val="00A94063"/>
    <w:rsid w:val="00AA6219"/>
    <w:rsid w:val="00AA74E0"/>
    <w:rsid w:val="00AB3E2C"/>
    <w:rsid w:val="00AB703F"/>
    <w:rsid w:val="00AC6BB8"/>
    <w:rsid w:val="00AE008F"/>
    <w:rsid w:val="00B00856"/>
    <w:rsid w:val="00B01FCD"/>
    <w:rsid w:val="00B14DDA"/>
    <w:rsid w:val="00B1776C"/>
    <w:rsid w:val="00B52583"/>
    <w:rsid w:val="00B52896"/>
    <w:rsid w:val="00B95236"/>
    <w:rsid w:val="00B96BD9"/>
    <w:rsid w:val="00BA1B01"/>
    <w:rsid w:val="00BA2641"/>
    <w:rsid w:val="00BB37AA"/>
    <w:rsid w:val="00BC53A0"/>
    <w:rsid w:val="00BE62AD"/>
    <w:rsid w:val="00BE758F"/>
    <w:rsid w:val="00BF121F"/>
    <w:rsid w:val="00BF1F80"/>
    <w:rsid w:val="00C130A8"/>
    <w:rsid w:val="00C166EF"/>
    <w:rsid w:val="00C17EB0"/>
    <w:rsid w:val="00C27F5F"/>
    <w:rsid w:val="00C30A0F"/>
    <w:rsid w:val="00C359C6"/>
    <w:rsid w:val="00C36E6F"/>
    <w:rsid w:val="00C37E61"/>
    <w:rsid w:val="00C70F1B"/>
    <w:rsid w:val="00C71A47"/>
    <w:rsid w:val="00C7464C"/>
    <w:rsid w:val="00C85588"/>
    <w:rsid w:val="00CA4765"/>
    <w:rsid w:val="00CD6755"/>
    <w:rsid w:val="00CD6856"/>
    <w:rsid w:val="00CE0089"/>
    <w:rsid w:val="00CE793C"/>
    <w:rsid w:val="00CF193C"/>
    <w:rsid w:val="00D023A2"/>
    <w:rsid w:val="00D0666C"/>
    <w:rsid w:val="00D173F1"/>
    <w:rsid w:val="00D67328"/>
    <w:rsid w:val="00D74CB0"/>
    <w:rsid w:val="00D8295D"/>
    <w:rsid w:val="00DC2A65"/>
    <w:rsid w:val="00DC550B"/>
    <w:rsid w:val="00DD7FB9"/>
    <w:rsid w:val="00DE15F0"/>
    <w:rsid w:val="00DE5663"/>
    <w:rsid w:val="00DE78AA"/>
    <w:rsid w:val="00DF18E1"/>
    <w:rsid w:val="00E053D0"/>
    <w:rsid w:val="00E15994"/>
    <w:rsid w:val="00E3114E"/>
    <w:rsid w:val="00E31A70"/>
    <w:rsid w:val="00E35B02"/>
    <w:rsid w:val="00E53CC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A91"/>
    <w:rsid w:val="00F66986"/>
    <w:rsid w:val="00F755E4"/>
    <w:rsid w:val="00F77D02"/>
    <w:rsid w:val="00F863B3"/>
    <w:rsid w:val="00F92188"/>
    <w:rsid w:val="00FB3A86"/>
    <w:rsid w:val="00FD238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1F8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4F0CDC"/>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096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FB6A-2325-4CB3-BC89-0F7F7C95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5</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Mal_avika _</cp:lastModifiedBy>
  <cp:revision>20</cp:revision>
  <cp:lastPrinted>1999-07-06T11:00:00Z</cp:lastPrinted>
  <dcterms:created xsi:type="dcterms:W3CDTF">2025-06-03T07:05:00Z</dcterms:created>
  <dcterms:modified xsi:type="dcterms:W3CDTF">2025-06-13T14:23:00Z</dcterms:modified>
</cp:coreProperties>
</file>