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A9C10" w14:textId="77777777" w:rsidR="00D21806" w:rsidRPr="00D21806" w:rsidRDefault="00D21806" w:rsidP="00D21806">
      <w:pPr>
        <w:jc w:val="center"/>
        <w:rPr>
          <w:rFonts w:ascii="Times New Roman" w:hAnsi="Times New Roman" w:cs="Times New Roman"/>
          <w:b/>
          <w:bCs/>
          <w:i/>
          <w:iCs/>
          <w:sz w:val="28"/>
          <w:szCs w:val="28"/>
          <w:u w:val="single"/>
        </w:rPr>
      </w:pPr>
      <w:r w:rsidRPr="00D21806">
        <w:rPr>
          <w:rFonts w:ascii="Times New Roman" w:hAnsi="Times New Roman" w:cs="Times New Roman"/>
          <w:b/>
          <w:bCs/>
          <w:i/>
          <w:iCs/>
          <w:sz w:val="28"/>
          <w:szCs w:val="28"/>
          <w:u w:val="single"/>
        </w:rPr>
        <w:t xml:space="preserve">Case report </w:t>
      </w:r>
    </w:p>
    <w:p w14:paraId="35DD705D" w14:textId="77777777" w:rsidR="00D21806" w:rsidRDefault="00D21806" w:rsidP="00CA2299">
      <w:pPr>
        <w:jc w:val="center"/>
        <w:rPr>
          <w:rFonts w:ascii="Times New Roman" w:hAnsi="Times New Roman" w:cs="Times New Roman"/>
          <w:b/>
          <w:sz w:val="28"/>
          <w:szCs w:val="28"/>
        </w:rPr>
      </w:pPr>
    </w:p>
    <w:p w14:paraId="73ED28B9" w14:textId="509199E6" w:rsidR="002C7ED2" w:rsidRPr="00764710" w:rsidRDefault="008551F8">
      <w:pPr>
        <w:rPr>
          <w:rFonts w:ascii="Times New Roman" w:hAnsi="Times New Roman" w:cs="Times New Roman"/>
          <w:sz w:val="36"/>
          <w:szCs w:val="36"/>
        </w:rPr>
      </w:pPr>
      <w:r w:rsidRPr="00764710">
        <w:rPr>
          <w:rFonts w:ascii="Times New Roman" w:hAnsi="Times New Roman" w:cs="Times New Roman"/>
          <w:sz w:val="36"/>
          <w:szCs w:val="36"/>
          <w:highlight w:val="yellow"/>
        </w:rPr>
        <w:t xml:space="preserve">High-Dose Methotrexate (HDMTX)-Induced </w:t>
      </w:r>
      <w:proofErr w:type="spellStart"/>
      <w:r w:rsidRPr="00764710">
        <w:rPr>
          <w:rFonts w:ascii="Times New Roman" w:hAnsi="Times New Roman" w:cs="Times New Roman"/>
          <w:sz w:val="36"/>
          <w:szCs w:val="36"/>
          <w:highlight w:val="yellow"/>
        </w:rPr>
        <w:t>Generalised</w:t>
      </w:r>
      <w:proofErr w:type="spellEnd"/>
      <w:r w:rsidRPr="00764710">
        <w:rPr>
          <w:rFonts w:ascii="Times New Roman" w:hAnsi="Times New Roman" w:cs="Times New Roman"/>
          <w:sz w:val="36"/>
          <w:szCs w:val="36"/>
          <w:highlight w:val="yellow"/>
        </w:rPr>
        <w:t xml:space="preserve"> Tonic-</w:t>
      </w:r>
      <w:proofErr w:type="spellStart"/>
      <w:r w:rsidRPr="00764710">
        <w:rPr>
          <w:rFonts w:ascii="Times New Roman" w:hAnsi="Times New Roman" w:cs="Times New Roman"/>
          <w:sz w:val="36"/>
          <w:szCs w:val="36"/>
          <w:highlight w:val="yellow"/>
        </w:rPr>
        <w:t>Clonic</w:t>
      </w:r>
      <w:proofErr w:type="spellEnd"/>
      <w:r w:rsidRPr="00764710">
        <w:rPr>
          <w:rFonts w:ascii="Times New Roman" w:hAnsi="Times New Roman" w:cs="Times New Roman"/>
          <w:sz w:val="36"/>
          <w:szCs w:val="36"/>
          <w:highlight w:val="yellow"/>
        </w:rPr>
        <w:t xml:space="preserve"> Seizures in a Relapsed B-ALL Patien</w:t>
      </w:r>
      <w:bookmarkStart w:id="0" w:name="_GoBack"/>
      <w:bookmarkEnd w:id="0"/>
      <w:r w:rsidRPr="00764710">
        <w:rPr>
          <w:rFonts w:ascii="Times New Roman" w:hAnsi="Times New Roman" w:cs="Times New Roman"/>
          <w:sz w:val="36"/>
          <w:szCs w:val="36"/>
          <w:highlight w:val="yellow"/>
        </w:rPr>
        <w:t>t: Challenges in Management and Continuation of HDMTX</w:t>
      </w:r>
    </w:p>
    <w:p w14:paraId="6C402AC7" w14:textId="77777777" w:rsidR="00EB10BF" w:rsidRDefault="00EB10BF" w:rsidP="00EB10BF">
      <w:pPr>
        <w:pStyle w:val="NormalWeb"/>
      </w:pPr>
      <w:r>
        <w:rPr>
          <w:rStyle w:val="Strong"/>
          <w:u w:val="single"/>
        </w:rPr>
        <w:t>Abstract:</w:t>
      </w:r>
    </w:p>
    <w:p w14:paraId="74B611F2" w14:textId="35D13DCD" w:rsidR="00EB10BF" w:rsidRDefault="00EB10BF" w:rsidP="00EB10BF">
      <w:pPr>
        <w:pStyle w:val="NormalWeb"/>
      </w:pPr>
      <w:r>
        <w:rPr>
          <w:rStyle w:val="Strong"/>
          <w:u w:val="single"/>
        </w:rPr>
        <w:t>Background:</w:t>
      </w:r>
      <w:r>
        <w:t xml:space="preserve"> Acute Lymphoblastic Leukaemia (ALL) is the most common childhood cancer. Methotrexate (MTX) is an important drug used in the treatment of ALL patients to eliminate clinically evident CNS disease at diagnosis as well as to prevent CNS relapse for both </w:t>
      </w:r>
      <w:r w:rsidR="008F5E13" w:rsidRPr="00764710">
        <w:rPr>
          <w:highlight w:val="yellow"/>
        </w:rPr>
        <w:t>CNS-involved</w:t>
      </w:r>
      <w:r w:rsidRPr="00764710">
        <w:rPr>
          <w:highlight w:val="yellow"/>
        </w:rPr>
        <w:t xml:space="preserve"> </w:t>
      </w:r>
      <w:r>
        <w:t xml:space="preserve">and non-involved groups at diagnosis. MTX is also responsible for neurotoxicity in some cases. Management of </w:t>
      </w:r>
      <w:r w:rsidR="008F5E13" w:rsidRPr="00764710">
        <w:rPr>
          <w:highlight w:val="yellow"/>
        </w:rPr>
        <w:t>MTX-induced</w:t>
      </w:r>
      <w:r w:rsidRPr="00764710">
        <w:rPr>
          <w:highlight w:val="yellow"/>
        </w:rPr>
        <w:t xml:space="preserve"> </w:t>
      </w:r>
      <w:r>
        <w:t>neurotoxicity and further continuation of MTX in such cases is a very challenging issue for physicians.</w:t>
      </w:r>
    </w:p>
    <w:p w14:paraId="5CDC1AC7" w14:textId="373CAF66" w:rsidR="00A83E24" w:rsidRDefault="008F5E13" w:rsidP="005B77DF">
      <w:pPr>
        <w:rPr>
          <w:rFonts w:ascii="Times New Roman" w:eastAsia="Times New Roman" w:hAnsi="Times New Roman" w:cs="Times New Roman"/>
          <w:kern w:val="0"/>
          <w:sz w:val="24"/>
          <w:szCs w:val="24"/>
          <w:lang w:val="en-AU" w:eastAsia="en-AU"/>
          <w14:ligatures w14:val="none"/>
        </w:rPr>
      </w:pPr>
      <w:r w:rsidRPr="00764710">
        <w:rPr>
          <w:rFonts w:ascii="Times New Roman" w:eastAsia="Times New Roman" w:hAnsi="Times New Roman" w:cs="Times New Roman"/>
          <w:b/>
          <w:bCs/>
          <w:kern w:val="0"/>
          <w:sz w:val="24"/>
          <w:szCs w:val="24"/>
          <w:highlight w:val="yellow"/>
          <w:lang w:val="en-AU" w:eastAsia="en-AU"/>
          <w14:ligatures w14:val="none"/>
        </w:rPr>
        <w:t>Aim</w:t>
      </w:r>
      <w:r w:rsidRPr="00764710">
        <w:rPr>
          <w:rFonts w:ascii="Times New Roman" w:eastAsia="Times New Roman" w:hAnsi="Times New Roman" w:cs="Times New Roman"/>
          <w:kern w:val="0"/>
          <w:sz w:val="24"/>
          <w:szCs w:val="24"/>
          <w:highlight w:val="yellow"/>
          <w:lang w:val="en-AU" w:eastAsia="en-AU"/>
          <w14:ligatures w14:val="none"/>
        </w:rPr>
        <w:t xml:space="preserve">: Here, a case </w:t>
      </w:r>
      <w:r w:rsidR="00CB32D5">
        <w:rPr>
          <w:highlight w:val="yellow"/>
        </w:rPr>
        <w:t xml:space="preserve">was described </w:t>
      </w:r>
      <w:r w:rsidRPr="00764710">
        <w:rPr>
          <w:rFonts w:ascii="Times New Roman" w:eastAsia="Times New Roman" w:hAnsi="Times New Roman" w:cs="Times New Roman"/>
          <w:kern w:val="0"/>
          <w:sz w:val="24"/>
          <w:szCs w:val="24"/>
          <w:highlight w:val="yellow"/>
          <w:lang w:val="en-AU" w:eastAsia="en-AU"/>
          <w14:ligatures w14:val="none"/>
        </w:rPr>
        <w:t>that developed MTX-induced neurotoxicity, the use of levetiracetam, and the successful continuation of all the remaining HDMTX and ITMTX without any further neurotoxic events.</w:t>
      </w:r>
    </w:p>
    <w:p w14:paraId="07DB6249" w14:textId="77777777" w:rsidR="00EB10BF" w:rsidRDefault="00EB10BF" w:rsidP="00EB10BF">
      <w:pPr>
        <w:pStyle w:val="NormalWeb"/>
      </w:pPr>
      <w:r>
        <w:rPr>
          <w:rStyle w:val="Strong"/>
          <w:u w:val="single"/>
        </w:rPr>
        <w:t>Case:</w:t>
      </w:r>
      <w:r>
        <w:t xml:space="preserve"> A six-year-old boy was diagnosed with B-ALL, treated with the MRC-11 protocol, and faced an event of generalised tonic-</w:t>
      </w:r>
      <w:proofErr w:type="spellStart"/>
      <w:r>
        <w:t>clonic</w:t>
      </w:r>
      <w:proofErr w:type="spellEnd"/>
      <w:r>
        <w:t xml:space="preserve"> seizures while receiving high-dose methotrexate (HDMTX), then rescued with intravenous diazepam. Following this, the MRC-11 protocol continued to use intrathecal (IT) and oral methotrexate (MTX), but HDMTX was taken out of the other treatments. After completing MRC-11 maintenance five years later at the age of fourteen, the patient experienced a relapse of B-ALL, with no involvement in the CNS or both testicles. We treated this relapsed case using the BFM 2002 protocol. Once again, the patient experienced generalised tonic-</w:t>
      </w:r>
      <w:proofErr w:type="spellStart"/>
      <w:r>
        <w:t>clonic</w:t>
      </w:r>
      <w:proofErr w:type="spellEnd"/>
      <w:r>
        <w:t xml:space="preserve"> seizures while receiving folic acid rescue following the completion of Day+8 HDMTX and IT MTX in the consolidation phase. The seizures subsided immediately, within three minutes of their onset, with the assistance of intravenous diazepam. Clinically, there was no focal sign of any neurological deficit and no abnormal enhancement in the brain's MRI. We kept the patient on regular oral levetiracetam. No further seizures were observed. The patient then received the remaining days (Day+22, Day+36, and Day+50) of HDMTX and ITMTX, as well as the intensification and maintenance phases, according to protocol, without any seizures. Anti-convulsant oral levetiracetam was continued for three (3) months more after the completion of the maintenance phase (total of two years and three months since starting); within this period, no seizure was reported, and then oral levetiracetam was discontinued.</w:t>
      </w:r>
    </w:p>
    <w:p w14:paraId="06563741" w14:textId="733D93EC" w:rsidR="00EB10BF" w:rsidRDefault="00EB10BF" w:rsidP="00EB10BF">
      <w:pPr>
        <w:pStyle w:val="NormalWeb"/>
      </w:pPr>
      <w:r>
        <w:rPr>
          <w:rStyle w:val="Strong"/>
          <w:u w:val="single"/>
        </w:rPr>
        <w:t>Conclusion:</w:t>
      </w:r>
      <w:r>
        <w:t xml:space="preserve"> MTX-related clinical neurotoxicity is transient, and most patients can receive subsequent MTX without recurrence of acute or subacute symptoms. In addition to this, </w:t>
      </w:r>
      <w:r w:rsidR="008F5E13" w:rsidRPr="00764710">
        <w:rPr>
          <w:highlight w:val="yellow"/>
        </w:rPr>
        <w:t>levetiracetam</w:t>
      </w:r>
      <w:r w:rsidR="008F5E13">
        <w:t xml:space="preserve"> </w:t>
      </w:r>
      <w:r>
        <w:t xml:space="preserve">can be an alternative drug for the long-term management and prevention of </w:t>
      </w:r>
      <w:r w:rsidR="008F5E13" w:rsidRPr="00764710">
        <w:rPr>
          <w:highlight w:val="yellow"/>
        </w:rPr>
        <w:t>HDMTX-related</w:t>
      </w:r>
      <w:r>
        <w:t xml:space="preserve"> neurotoxicity.</w:t>
      </w:r>
    </w:p>
    <w:p w14:paraId="34927CF3" w14:textId="77777777" w:rsidR="00730C5B" w:rsidRPr="00470A65" w:rsidRDefault="00730C5B">
      <w:pPr>
        <w:rPr>
          <w:rFonts w:ascii="Times New Roman" w:hAnsi="Times New Roman" w:cs="Times New Roman"/>
        </w:rPr>
      </w:pPr>
    </w:p>
    <w:p w14:paraId="3AA47755" w14:textId="77777777" w:rsidR="004E27EB" w:rsidRPr="00470A65" w:rsidRDefault="004E27EB" w:rsidP="004E27EB">
      <w:pPr>
        <w:shd w:val="clear" w:color="auto" w:fill="FFFFFB"/>
        <w:spacing w:before="300" w:after="300" w:line="360" w:lineRule="atLeast"/>
        <w:textAlignment w:val="baseline"/>
        <w:rPr>
          <w:rFonts w:ascii="Times New Roman" w:hAnsi="Times New Roman" w:cs="Times New Roman"/>
          <w:b/>
          <w:sz w:val="24"/>
          <w:szCs w:val="24"/>
          <w:u w:val="single"/>
        </w:rPr>
      </w:pPr>
      <w:r w:rsidRPr="00470A65">
        <w:rPr>
          <w:rFonts w:ascii="Times New Roman" w:hAnsi="Times New Roman" w:cs="Times New Roman"/>
          <w:b/>
          <w:sz w:val="24"/>
          <w:szCs w:val="24"/>
          <w:u w:val="single"/>
        </w:rPr>
        <w:t>Introduction:</w:t>
      </w:r>
    </w:p>
    <w:p w14:paraId="5282CDD2" w14:textId="5D898BD9" w:rsidR="00EB10BF" w:rsidRPr="00EB10BF" w:rsidRDefault="005B77DF" w:rsidP="00EB10BF">
      <w:pPr>
        <w:spacing w:after="0" w:line="240" w:lineRule="auto"/>
        <w:rPr>
          <w:rFonts w:ascii="Times New Roman" w:eastAsia="Times New Roman" w:hAnsi="Times New Roman" w:cs="Times New Roman"/>
          <w:kern w:val="0"/>
          <w:sz w:val="24"/>
          <w:szCs w:val="24"/>
          <w:lang w:val="en-AU" w:eastAsia="en-AU"/>
          <w14:ligatures w14:val="none"/>
        </w:rPr>
      </w:pPr>
      <w:r w:rsidRPr="00764710">
        <w:rPr>
          <w:rFonts w:ascii="Times New Roman" w:eastAsia="Times New Roman" w:hAnsi="Times New Roman" w:cs="Times New Roman"/>
          <w:kern w:val="0"/>
          <w:sz w:val="24"/>
          <w:szCs w:val="24"/>
          <w:highlight w:val="yellow"/>
          <w:lang w:val="en-AU" w:eastAsia="en-AU"/>
          <w14:ligatures w14:val="none"/>
        </w:rPr>
        <w:t xml:space="preserve">Acute lymphoblastic leukaemia (ALL) is a haematological malignancy </w:t>
      </w:r>
      <w:r w:rsidR="004B6C2B">
        <w:rPr>
          <w:rFonts w:ascii="Times New Roman" w:eastAsia="Times New Roman" w:hAnsi="Times New Roman" w:cs="Times New Roman"/>
          <w:kern w:val="0"/>
          <w:sz w:val="24"/>
          <w:szCs w:val="24"/>
          <w:highlight w:val="yellow"/>
          <w:lang w:val="en-AU" w:eastAsia="en-AU"/>
          <w14:ligatures w14:val="none"/>
        </w:rPr>
        <w:t>characterised</w:t>
      </w:r>
      <w:r w:rsidRPr="00764710">
        <w:rPr>
          <w:rFonts w:ascii="Times New Roman" w:eastAsia="Times New Roman" w:hAnsi="Times New Roman" w:cs="Times New Roman"/>
          <w:kern w:val="0"/>
          <w:sz w:val="24"/>
          <w:szCs w:val="24"/>
          <w:highlight w:val="yellow"/>
          <w:lang w:val="en-AU" w:eastAsia="en-AU"/>
          <w14:ligatures w14:val="none"/>
        </w:rPr>
        <w:t xml:space="preserve"> by the uncontrolled proliferation of immature lymphoid cells</w:t>
      </w:r>
      <w:r w:rsidR="004B6C2B" w:rsidRPr="00764710">
        <w:rPr>
          <w:rFonts w:ascii="Times New Roman" w:eastAsia="Times New Roman" w:hAnsi="Times New Roman" w:cs="Times New Roman"/>
          <w:kern w:val="0"/>
          <w:sz w:val="24"/>
          <w:szCs w:val="24"/>
          <w:highlight w:val="yellow"/>
          <w:lang w:val="en-AU" w:eastAsia="en-AU"/>
          <w14:ligatures w14:val="none"/>
        </w:rPr>
        <w:t xml:space="preserve"> (Pagliaro et al.,</w:t>
      </w:r>
      <w:r w:rsidR="001B79BB">
        <w:rPr>
          <w:rFonts w:ascii="Times New Roman" w:eastAsia="Times New Roman" w:hAnsi="Times New Roman" w:cs="Times New Roman"/>
          <w:kern w:val="0"/>
          <w:sz w:val="24"/>
          <w:szCs w:val="24"/>
          <w:highlight w:val="yellow"/>
          <w:lang w:val="en-AU" w:eastAsia="en-AU"/>
          <w14:ligatures w14:val="none"/>
        </w:rPr>
        <w:t xml:space="preserve"> </w:t>
      </w:r>
      <w:r w:rsidR="004B6C2B" w:rsidRPr="00764710">
        <w:rPr>
          <w:rFonts w:ascii="Times New Roman" w:eastAsia="Times New Roman" w:hAnsi="Times New Roman" w:cs="Times New Roman"/>
          <w:kern w:val="0"/>
          <w:sz w:val="24"/>
          <w:szCs w:val="24"/>
          <w:highlight w:val="yellow"/>
          <w:lang w:val="en-AU" w:eastAsia="en-AU"/>
          <w14:ligatures w14:val="none"/>
        </w:rPr>
        <w:t>2024)</w:t>
      </w:r>
      <w:r w:rsidRPr="005B77DF">
        <w:rPr>
          <w:rFonts w:ascii="Times New Roman" w:eastAsia="Times New Roman" w:hAnsi="Times New Roman" w:cs="Times New Roman"/>
          <w:kern w:val="0"/>
          <w:sz w:val="24"/>
          <w:szCs w:val="24"/>
          <w:lang w:val="en-AU" w:eastAsia="en-AU"/>
          <w14:ligatures w14:val="none"/>
        </w:rPr>
        <w:t>.</w:t>
      </w:r>
      <w:r>
        <w:rPr>
          <w:rFonts w:ascii="Times New Roman" w:eastAsia="Times New Roman" w:hAnsi="Times New Roman" w:cs="Times New Roman"/>
          <w:kern w:val="0"/>
          <w:sz w:val="24"/>
          <w:szCs w:val="24"/>
          <w:lang w:val="en-AU" w:eastAsia="en-AU"/>
          <w14:ligatures w14:val="none"/>
        </w:rPr>
        <w:t xml:space="preserve"> </w:t>
      </w:r>
      <w:r w:rsidR="00EB10BF" w:rsidRPr="00EB10BF">
        <w:rPr>
          <w:rFonts w:ascii="Times New Roman" w:eastAsia="Times New Roman" w:hAnsi="Times New Roman" w:cs="Times New Roman"/>
          <w:kern w:val="0"/>
          <w:sz w:val="24"/>
          <w:szCs w:val="24"/>
          <w:lang w:val="en-AU" w:eastAsia="en-AU"/>
          <w14:ligatures w14:val="none"/>
        </w:rPr>
        <w:t xml:space="preserve">ALL is the most common childhood cancer, with a prevalence of around 25% among those under the age of 15 and a five-year survival rate of over 90% when treated with modern ALL regimens [1–2]. Approximately 3% of the diagnosed population suffers from Central Nervous System-3 (CNS-3) disease, </w:t>
      </w:r>
      <w:r w:rsidR="008F5E13" w:rsidRPr="00764710">
        <w:rPr>
          <w:rFonts w:ascii="Times New Roman" w:eastAsia="Times New Roman" w:hAnsi="Times New Roman" w:cs="Times New Roman"/>
          <w:kern w:val="0"/>
          <w:sz w:val="24"/>
          <w:szCs w:val="24"/>
          <w:highlight w:val="yellow"/>
          <w:lang w:val="en-AU" w:eastAsia="en-AU"/>
          <w14:ligatures w14:val="none"/>
        </w:rPr>
        <w:t>characterised</w:t>
      </w:r>
      <w:r w:rsidR="008F5E13" w:rsidRPr="00EB10BF">
        <w:rPr>
          <w:rFonts w:ascii="Times New Roman" w:eastAsia="Times New Roman" w:hAnsi="Times New Roman" w:cs="Times New Roman"/>
          <w:kern w:val="0"/>
          <w:sz w:val="24"/>
          <w:szCs w:val="24"/>
          <w:lang w:val="en-AU" w:eastAsia="en-AU"/>
          <w14:ligatures w14:val="none"/>
        </w:rPr>
        <w:t xml:space="preserve"> </w:t>
      </w:r>
      <w:r w:rsidR="00EB10BF" w:rsidRPr="00EB10BF">
        <w:rPr>
          <w:rFonts w:ascii="Times New Roman" w:eastAsia="Times New Roman" w:hAnsi="Times New Roman" w:cs="Times New Roman"/>
          <w:kern w:val="0"/>
          <w:sz w:val="24"/>
          <w:szCs w:val="24"/>
          <w:lang w:val="en-AU" w:eastAsia="en-AU"/>
          <w14:ligatures w14:val="none"/>
        </w:rPr>
        <w:t xml:space="preserve">by a white blood cell count of 5 or more per microliter, lymphoblasts, and cranial nerve palsies in their cerebrospinal fluid. </w:t>
      </w:r>
      <w:r w:rsidR="004B6C2B" w:rsidRPr="00764710">
        <w:rPr>
          <w:rFonts w:ascii="Times New Roman" w:eastAsia="Times New Roman" w:hAnsi="Times New Roman" w:cs="Times New Roman"/>
          <w:kern w:val="0"/>
          <w:sz w:val="24"/>
          <w:szCs w:val="24"/>
          <w:highlight w:val="yellow"/>
          <w:lang w:val="en-AU" w:eastAsia="en-AU"/>
          <w14:ligatures w14:val="none"/>
        </w:rPr>
        <w:t>Outcomes in ALL have dramatically improved over the last several decades in both children and adults, owing in large part to the discovery of the central nervous system (CNS) as a sanctuary site for leukemic blasts and implementation of CNS-directed therapy</w:t>
      </w:r>
      <w:r w:rsidR="00F44EA0">
        <w:rPr>
          <w:rFonts w:ascii="Times New Roman" w:eastAsia="Times New Roman" w:hAnsi="Times New Roman" w:cs="Times New Roman"/>
          <w:kern w:val="0"/>
          <w:sz w:val="24"/>
          <w:szCs w:val="24"/>
          <w:highlight w:val="yellow"/>
          <w:lang w:val="en-AU" w:eastAsia="en-AU"/>
          <w14:ligatures w14:val="none"/>
        </w:rPr>
        <w:t xml:space="preserve"> </w:t>
      </w:r>
      <w:r w:rsidR="001E0E75">
        <w:rPr>
          <w:rFonts w:ascii="Times New Roman" w:eastAsia="Times New Roman" w:hAnsi="Times New Roman" w:cs="Times New Roman"/>
          <w:kern w:val="0"/>
          <w:sz w:val="24"/>
          <w:szCs w:val="24"/>
          <w:highlight w:val="yellow"/>
          <w:lang w:val="en-AU" w:eastAsia="en-AU"/>
          <w14:ligatures w14:val="none"/>
        </w:rPr>
        <w:t>(</w:t>
      </w:r>
      <w:r w:rsidR="001E0E75" w:rsidRPr="00764710">
        <w:rPr>
          <w:rFonts w:ascii="Times New Roman" w:eastAsia="Times New Roman" w:hAnsi="Times New Roman" w:cs="Times New Roman"/>
          <w:kern w:val="0"/>
          <w:sz w:val="24"/>
          <w:szCs w:val="24"/>
          <w:highlight w:val="yellow"/>
          <w:lang w:val="en-AU" w:eastAsia="en-AU"/>
          <w14:ligatures w14:val="none"/>
        </w:rPr>
        <w:t>Scherer &amp; Schafer,</w:t>
      </w:r>
      <w:r w:rsidR="001B79BB">
        <w:rPr>
          <w:rFonts w:ascii="Times New Roman" w:eastAsia="Times New Roman" w:hAnsi="Times New Roman" w:cs="Times New Roman"/>
          <w:kern w:val="0"/>
          <w:sz w:val="24"/>
          <w:szCs w:val="24"/>
          <w:highlight w:val="yellow"/>
          <w:lang w:val="en-AU" w:eastAsia="en-AU"/>
          <w14:ligatures w14:val="none"/>
        </w:rPr>
        <w:t xml:space="preserve"> </w:t>
      </w:r>
      <w:r w:rsidR="001E0E75" w:rsidRPr="00764710">
        <w:rPr>
          <w:rFonts w:ascii="Times New Roman" w:eastAsia="Times New Roman" w:hAnsi="Times New Roman" w:cs="Times New Roman"/>
          <w:kern w:val="0"/>
          <w:sz w:val="24"/>
          <w:szCs w:val="24"/>
          <w:highlight w:val="yellow"/>
          <w:lang w:val="en-AU" w:eastAsia="en-AU"/>
          <w14:ligatures w14:val="none"/>
        </w:rPr>
        <w:t>2022</w:t>
      </w:r>
      <w:r w:rsidR="001E0E75">
        <w:rPr>
          <w:rFonts w:ascii="Times New Roman" w:eastAsia="Times New Roman" w:hAnsi="Times New Roman" w:cs="Times New Roman"/>
          <w:kern w:val="0"/>
          <w:sz w:val="24"/>
          <w:szCs w:val="24"/>
          <w:highlight w:val="yellow"/>
          <w:lang w:val="en-AU" w:eastAsia="en-AU"/>
          <w14:ligatures w14:val="none"/>
        </w:rPr>
        <w:t>)</w:t>
      </w:r>
      <w:r w:rsidR="004B6C2B" w:rsidRPr="00764710">
        <w:rPr>
          <w:rFonts w:ascii="Times New Roman" w:eastAsia="Times New Roman" w:hAnsi="Times New Roman" w:cs="Times New Roman"/>
          <w:kern w:val="0"/>
          <w:sz w:val="24"/>
          <w:szCs w:val="24"/>
          <w:highlight w:val="yellow"/>
          <w:lang w:val="en-AU" w:eastAsia="en-AU"/>
          <w14:ligatures w14:val="none"/>
        </w:rPr>
        <w:t>.</w:t>
      </w:r>
      <w:r w:rsidR="001E0E75">
        <w:rPr>
          <w:rFonts w:ascii="Times New Roman" w:eastAsia="Times New Roman" w:hAnsi="Times New Roman" w:cs="Times New Roman"/>
          <w:kern w:val="0"/>
          <w:sz w:val="24"/>
          <w:szCs w:val="24"/>
          <w:lang w:val="en-AU" w:eastAsia="en-AU"/>
          <w14:ligatures w14:val="none"/>
        </w:rPr>
        <w:t xml:space="preserve"> </w:t>
      </w:r>
      <w:r w:rsidR="00EB10BF" w:rsidRPr="00EB10BF">
        <w:rPr>
          <w:rFonts w:ascii="Times New Roman" w:eastAsia="Times New Roman" w:hAnsi="Times New Roman" w:cs="Times New Roman"/>
          <w:kern w:val="0"/>
          <w:sz w:val="24"/>
          <w:szCs w:val="24"/>
          <w:lang w:val="en-AU" w:eastAsia="en-AU"/>
          <w14:ligatures w14:val="none"/>
        </w:rPr>
        <w:t xml:space="preserve">During the early phase of treatment, specific CNS-directed therapies are necessary to eliminate clinically evident CNS disease at diagnosis and prevent CNS relapse for both </w:t>
      </w:r>
      <w:r w:rsidR="008F5E13" w:rsidRPr="00764710">
        <w:rPr>
          <w:rFonts w:ascii="Times New Roman" w:eastAsia="Times New Roman" w:hAnsi="Times New Roman" w:cs="Times New Roman"/>
          <w:kern w:val="0"/>
          <w:sz w:val="24"/>
          <w:szCs w:val="24"/>
          <w:highlight w:val="yellow"/>
          <w:lang w:val="en-AU" w:eastAsia="en-AU"/>
          <w14:ligatures w14:val="none"/>
        </w:rPr>
        <w:t>CNS-involved</w:t>
      </w:r>
      <w:r w:rsidR="00EB10BF" w:rsidRPr="00764710">
        <w:rPr>
          <w:rFonts w:ascii="Times New Roman" w:eastAsia="Times New Roman" w:hAnsi="Times New Roman" w:cs="Times New Roman"/>
          <w:kern w:val="0"/>
          <w:sz w:val="24"/>
          <w:szCs w:val="24"/>
          <w:highlight w:val="yellow"/>
          <w:lang w:val="en-AU" w:eastAsia="en-AU"/>
          <w14:ligatures w14:val="none"/>
        </w:rPr>
        <w:t xml:space="preserve"> </w:t>
      </w:r>
      <w:r w:rsidR="00EB10BF" w:rsidRPr="00EB10BF">
        <w:rPr>
          <w:rFonts w:ascii="Times New Roman" w:eastAsia="Times New Roman" w:hAnsi="Times New Roman" w:cs="Times New Roman"/>
          <w:kern w:val="0"/>
          <w:sz w:val="24"/>
          <w:szCs w:val="24"/>
          <w:lang w:val="en-AU" w:eastAsia="en-AU"/>
          <w14:ligatures w14:val="none"/>
        </w:rPr>
        <w:t>and non</w:t>
      </w:r>
      <w:r w:rsidR="0073392B">
        <w:rPr>
          <w:rFonts w:ascii="Times New Roman" w:eastAsia="Times New Roman" w:hAnsi="Times New Roman" w:cs="Times New Roman"/>
          <w:kern w:val="0"/>
          <w:sz w:val="24"/>
          <w:szCs w:val="24"/>
          <w:lang w:val="en-AU" w:eastAsia="en-AU"/>
          <w14:ligatures w14:val="none"/>
        </w:rPr>
        <w:t>-</w:t>
      </w:r>
      <w:r w:rsidR="00EB10BF" w:rsidRPr="00EB10BF">
        <w:rPr>
          <w:rFonts w:ascii="Times New Roman" w:eastAsia="Times New Roman" w:hAnsi="Times New Roman" w:cs="Times New Roman"/>
          <w:kern w:val="0"/>
          <w:sz w:val="24"/>
          <w:szCs w:val="24"/>
          <w:lang w:val="en-AU" w:eastAsia="en-AU"/>
          <w14:ligatures w14:val="none"/>
        </w:rPr>
        <w:t xml:space="preserve">involved groups, as most children will eventually develop overt CNS involvement with </w:t>
      </w:r>
      <w:proofErr w:type="spellStart"/>
      <w:r w:rsidR="00EB10BF" w:rsidRPr="00EB10BF">
        <w:rPr>
          <w:rFonts w:ascii="Times New Roman" w:eastAsia="Times New Roman" w:hAnsi="Times New Roman" w:cs="Times New Roman"/>
          <w:kern w:val="0"/>
          <w:sz w:val="24"/>
          <w:szCs w:val="24"/>
          <w:lang w:val="en-AU" w:eastAsia="en-AU"/>
          <w14:ligatures w14:val="none"/>
        </w:rPr>
        <w:t>leukaemic</w:t>
      </w:r>
      <w:proofErr w:type="spellEnd"/>
      <w:r w:rsidR="00EB10BF" w:rsidRPr="00EB10BF">
        <w:rPr>
          <w:rFonts w:ascii="Times New Roman" w:eastAsia="Times New Roman" w:hAnsi="Times New Roman" w:cs="Times New Roman"/>
          <w:kern w:val="0"/>
          <w:sz w:val="24"/>
          <w:szCs w:val="24"/>
          <w:lang w:val="en-AU" w:eastAsia="en-AU"/>
          <w14:ligatures w14:val="none"/>
        </w:rPr>
        <w:t xml:space="preserve"> cells without CNS-directed therapy. For CNS-directed therapy, standard treatment options include a combination of intrathecal (IT) chemotherapy and CNS-directed systemic chemotherapy. Cranial radiation is another option, used in selective cases [3]. MTX is a crucial component for CNS-directed therapy but is also responsible for </w:t>
      </w:r>
      <w:r w:rsidR="008F5E13" w:rsidRPr="00764710">
        <w:rPr>
          <w:rFonts w:ascii="Times New Roman" w:eastAsia="Times New Roman" w:hAnsi="Times New Roman" w:cs="Times New Roman"/>
          <w:kern w:val="0"/>
          <w:sz w:val="24"/>
          <w:szCs w:val="24"/>
          <w:highlight w:val="yellow"/>
          <w:lang w:val="en-AU" w:eastAsia="en-AU"/>
          <w14:ligatures w14:val="none"/>
        </w:rPr>
        <w:t xml:space="preserve">neurotoxicity </w:t>
      </w:r>
      <w:r w:rsidR="00EB10BF" w:rsidRPr="00EB10BF">
        <w:rPr>
          <w:rFonts w:ascii="Times New Roman" w:eastAsia="Times New Roman" w:hAnsi="Times New Roman" w:cs="Times New Roman"/>
          <w:kern w:val="0"/>
          <w:sz w:val="24"/>
          <w:szCs w:val="24"/>
          <w:lang w:val="en-AU" w:eastAsia="en-AU"/>
          <w14:ligatures w14:val="none"/>
        </w:rPr>
        <w:t xml:space="preserve">in some cases [4–5]. </w:t>
      </w:r>
      <w:r w:rsidR="001E0E75" w:rsidRPr="00764710">
        <w:rPr>
          <w:rFonts w:ascii="Times New Roman" w:eastAsia="Times New Roman" w:hAnsi="Times New Roman" w:cs="Times New Roman"/>
          <w:kern w:val="0"/>
          <w:sz w:val="24"/>
          <w:szCs w:val="24"/>
          <w:highlight w:val="yellow"/>
          <w:lang w:val="en-AU" w:eastAsia="en-AU"/>
          <w14:ligatures w14:val="none"/>
        </w:rPr>
        <w:t>Methotrexate (MTX) is an antimetabolite with immunosuppressive and antineoplastic properties extensively used in cancer treatment (</w:t>
      </w:r>
      <w:proofErr w:type="spellStart"/>
      <w:r w:rsidR="001E0E75" w:rsidRPr="00764710">
        <w:rPr>
          <w:rFonts w:ascii="Times New Roman" w:eastAsia="Times New Roman" w:hAnsi="Times New Roman" w:cs="Times New Roman"/>
          <w:kern w:val="0"/>
          <w:sz w:val="24"/>
          <w:szCs w:val="24"/>
          <w:highlight w:val="yellow"/>
          <w:lang w:val="en-AU" w:eastAsia="en-AU"/>
          <w14:ligatures w14:val="none"/>
        </w:rPr>
        <w:t>Besora</w:t>
      </w:r>
      <w:proofErr w:type="spellEnd"/>
      <w:r w:rsidR="001E0E75" w:rsidRPr="00764710">
        <w:rPr>
          <w:rFonts w:ascii="Times New Roman" w:eastAsia="Times New Roman" w:hAnsi="Times New Roman" w:cs="Times New Roman"/>
          <w:kern w:val="0"/>
          <w:sz w:val="24"/>
          <w:szCs w:val="24"/>
          <w:highlight w:val="yellow"/>
          <w:lang w:val="en-AU" w:eastAsia="en-AU"/>
          <w14:ligatures w14:val="none"/>
        </w:rPr>
        <w:t xml:space="preserve"> et al.,</w:t>
      </w:r>
      <w:r w:rsidR="003E1B52">
        <w:rPr>
          <w:rFonts w:ascii="Times New Roman" w:eastAsia="Times New Roman" w:hAnsi="Times New Roman" w:cs="Times New Roman"/>
          <w:kern w:val="0"/>
          <w:sz w:val="24"/>
          <w:szCs w:val="24"/>
          <w:highlight w:val="yellow"/>
          <w:lang w:val="en-AU" w:eastAsia="en-AU"/>
          <w14:ligatures w14:val="none"/>
        </w:rPr>
        <w:t xml:space="preserve"> </w:t>
      </w:r>
      <w:r w:rsidR="001E0E75" w:rsidRPr="00764710">
        <w:rPr>
          <w:rFonts w:ascii="Times New Roman" w:eastAsia="Times New Roman" w:hAnsi="Times New Roman" w:cs="Times New Roman"/>
          <w:kern w:val="0"/>
          <w:sz w:val="24"/>
          <w:szCs w:val="24"/>
          <w:highlight w:val="yellow"/>
          <w:lang w:val="en-AU" w:eastAsia="en-AU"/>
          <w14:ligatures w14:val="none"/>
        </w:rPr>
        <w:t>2025)</w:t>
      </w:r>
      <w:r w:rsidR="001E0E75" w:rsidRPr="001E0E75">
        <w:rPr>
          <w:rFonts w:ascii="Times New Roman" w:eastAsia="Times New Roman" w:hAnsi="Times New Roman" w:cs="Times New Roman"/>
          <w:kern w:val="0"/>
          <w:sz w:val="24"/>
          <w:szCs w:val="24"/>
          <w:lang w:val="en-AU" w:eastAsia="en-AU"/>
          <w14:ligatures w14:val="none"/>
        </w:rPr>
        <w:t>.</w:t>
      </w:r>
      <w:r w:rsidR="001E0E75">
        <w:rPr>
          <w:rFonts w:ascii="Times New Roman" w:eastAsia="Times New Roman" w:hAnsi="Times New Roman" w:cs="Times New Roman"/>
          <w:kern w:val="0"/>
          <w:sz w:val="24"/>
          <w:szCs w:val="24"/>
          <w:lang w:val="en-AU" w:eastAsia="en-AU"/>
          <w14:ligatures w14:val="none"/>
        </w:rPr>
        <w:t xml:space="preserve"> </w:t>
      </w:r>
      <w:r w:rsidR="00EB10BF" w:rsidRPr="00EB10BF">
        <w:rPr>
          <w:rFonts w:ascii="Times New Roman" w:eastAsia="Times New Roman" w:hAnsi="Times New Roman" w:cs="Times New Roman"/>
          <w:kern w:val="0"/>
          <w:sz w:val="24"/>
          <w:szCs w:val="24"/>
          <w:lang w:val="en-AU" w:eastAsia="en-AU"/>
          <w14:ligatures w14:val="none"/>
        </w:rPr>
        <w:t>Management of MTX-induced neurotoxicity and further continuation of MTX in this condition is a very challenging issue for physicians. Here, we will describe a case that developed MTX-induced neurotoxicity, the use of levetiracetam, and the successful continuation of all the remaining HDMTX and ITMTX without any further neurotoxic events.</w:t>
      </w:r>
    </w:p>
    <w:p w14:paraId="7F1ED83D" w14:textId="77777777" w:rsidR="00730C5B" w:rsidRPr="00470A65" w:rsidRDefault="00730C5B">
      <w:pPr>
        <w:rPr>
          <w:rFonts w:ascii="Times New Roman" w:hAnsi="Times New Roman" w:cs="Times New Roman"/>
        </w:rPr>
      </w:pPr>
    </w:p>
    <w:p w14:paraId="5D5A8C07" w14:textId="052CB821" w:rsidR="00730C5B" w:rsidRPr="00470A65" w:rsidRDefault="00730C5B">
      <w:pPr>
        <w:rPr>
          <w:rFonts w:ascii="Times New Roman" w:hAnsi="Times New Roman" w:cs="Times New Roman"/>
          <w:b/>
          <w:sz w:val="24"/>
          <w:szCs w:val="24"/>
          <w:u w:val="single"/>
        </w:rPr>
      </w:pPr>
      <w:r w:rsidRPr="00470A65">
        <w:rPr>
          <w:rFonts w:ascii="Times New Roman" w:hAnsi="Times New Roman" w:cs="Times New Roman"/>
          <w:b/>
          <w:sz w:val="24"/>
          <w:szCs w:val="24"/>
          <w:u w:val="single"/>
        </w:rPr>
        <w:t>Case</w:t>
      </w:r>
      <w:r w:rsidR="00166763">
        <w:rPr>
          <w:rFonts w:ascii="Times New Roman" w:hAnsi="Times New Roman" w:cs="Times New Roman"/>
          <w:b/>
          <w:sz w:val="24"/>
          <w:szCs w:val="24"/>
          <w:u w:val="single"/>
        </w:rPr>
        <w:t xml:space="preserve"> Presentation</w:t>
      </w:r>
      <w:r w:rsidRPr="00470A65">
        <w:rPr>
          <w:rFonts w:ascii="Times New Roman" w:hAnsi="Times New Roman" w:cs="Times New Roman"/>
          <w:b/>
          <w:sz w:val="24"/>
          <w:szCs w:val="24"/>
          <w:u w:val="single"/>
        </w:rPr>
        <w:t>:</w:t>
      </w:r>
    </w:p>
    <w:p w14:paraId="75BAC9B9" w14:textId="00C6E1B9" w:rsidR="00BE7DD1" w:rsidRDefault="00BE7DD1" w:rsidP="00BE7DD1">
      <w:pPr>
        <w:pStyle w:val="NormalWeb"/>
      </w:pPr>
      <w:r>
        <w:t xml:space="preserve">A 14-year-old boy was admitted </w:t>
      </w:r>
      <w:r w:rsidR="008F5E13" w:rsidRPr="00764710">
        <w:rPr>
          <w:highlight w:val="yellow"/>
        </w:rPr>
        <w:t>with</w:t>
      </w:r>
      <w:r w:rsidR="008F5E13">
        <w:t xml:space="preserve"> </w:t>
      </w:r>
      <w:r>
        <w:t>a case of relapsed B-cell acute lymphoblastic leukaemia (B-ALL). The diagnosis of the first event of B-ALL at the time of relapse occurred eight (8) years ago, at the age of six (6) years. At that time, he received treatment using the MRC-11 protocol. There was an event of generalised tonic-</w:t>
      </w:r>
      <w:proofErr w:type="spellStart"/>
      <w:r>
        <w:t>clonic</w:t>
      </w:r>
      <w:proofErr w:type="spellEnd"/>
      <w:r>
        <w:t xml:space="preserve"> seizures while the patient receiving high-dose methotrexate (HDMTX) was rescued with intravenous diazepam. Following this, the remaining treatments discontinued HDMTX, while the MRC-11 protocol continued to administer intrathecal (IT) and oral methotrexate (MTX). After this first seizure, no further anticonvulsants were used. The whole protocol (induction to maintenance) was completed over 3 years. No further seizure events were reported during or after the completion of treatment.</w:t>
      </w:r>
    </w:p>
    <w:p w14:paraId="19D9AE9A" w14:textId="77777777" w:rsidR="00BE7DD1" w:rsidRDefault="00BE7DD1" w:rsidP="00BE7DD1">
      <w:pPr>
        <w:pStyle w:val="NormalWeb"/>
      </w:pPr>
      <w:r>
        <w:t xml:space="preserve">Five (5) years later, after completing MRC-11 maintenance, B-ALL relapsed. The immunophenotyping analysis of bone marrow samples after relapse showed that CD 10 was positive (bright) on about 95% of gated cells, CD 19 was positive (moderate to bright) on about 94% of gated cells, CD 20 was negative, CD 79a was positive (heterogenous) on about 88% of gated cells, CD 13 was mostly negative and positive on about 15% of gated cells, CD 33 was negative, CD 117 was negative, MPO was negative, CD 45 was down-regulated, CD 34 was </w:t>
      </w:r>
      <w:r>
        <w:lastRenderedPageBreak/>
        <w:t xml:space="preserve">positive (moderate to bright) on about 89% of gated cells, HLA-DR was positive (bright) on about 94% of gated cells, CD 38 was positive (dim to moderate) on about 82% of gated cells, CD 73 was negative, and CD 81 was positive (bright) on about 95% of gated cells. Karyotype was 46XY. Other cytogenetic findings were: negative t (12; 21). Negative, </w:t>
      </w:r>
      <w:proofErr w:type="gramStart"/>
      <w:r>
        <w:t>t(</w:t>
      </w:r>
      <w:proofErr w:type="gramEnd"/>
      <w:r>
        <w:t>4;11) Negative, t(9;11) Negative, t(1;19) - Negative, t(11;19)- Negative. CNS Negative. Ultrasonogram findings for both the testis and epididymis were normal. Ultrasonography of the whole abdomen revealed hepatosplenomegaly, liver 18.3 cm in the right mid-clavicular line, and spleen 28 cm x 15 cm. Risk stratification revealed intermediate risk.</w:t>
      </w:r>
    </w:p>
    <w:p w14:paraId="4F0C0F1B" w14:textId="77777777" w:rsidR="00BE7DD1" w:rsidRDefault="00BE7DD1" w:rsidP="00BE7DD1">
      <w:pPr>
        <w:pStyle w:val="NormalWeb"/>
      </w:pPr>
      <w:r>
        <w:t xml:space="preserve">The bone marrow transplantation option was beyond the patient's reach. In this case, we treated the patient using the BFM 2002 protocol. The patient successfully completed Phase I and Phase II of BFM 2022. During the induction phase, Day+14 bone marrow was in remission, and MRD (bone marrow sample) was positive (0.06%), while Day+33 MRD (bone marrow sample) was negative (0.001%). Before starting the consolidation phase, the MRD (bone marrow sample) was negative (0.002%). Then, we switched the patient to the consolidation phase of BFM 2002. We planned to administer HDMTX (2000 mg/m2 body surface area) and ITMTX (12 mg) on Days +8, +22, +36, and +50. We ensured that the patients were adequately hydrated, their urine was alkaline, and they received post-MTX </w:t>
      </w:r>
      <w:proofErr w:type="spellStart"/>
      <w:r>
        <w:t>Folinic</w:t>
      </w:r>
      <w:proofErr w:type="spellEnd"/>
      <w:r>
        <w:t xml:space="preserve"> Acid Rescue (15 mg/m2 body surface area) six hours a day; we administered the first three doses intravenously and the final three doses orally, totalling six doses. Biochemical findings at the time of Day+8 HDMTX were: Creatinine 0.60 mg/dl (N = 0.5–1.3), Urea 13 mg/dl (N = 15–45), Sodium 143 mmol/L (N = 135–145), Potassium 3.7 mmol/L (N = 3.5–5), Chloride 100 mmol/L (N = 98–108), Bicarbonate 24 mmol/L (N = 24–32), Serum Albumin 4.2 gm/dl (N = 3.5–5), Calcium 9.2 mg/dl (N = 8.5–10.5), Inorganic Phosphate 3.9 mg/dl (N = 2.5–4.5), Uric Acid 5 mg/dl (N = 3–7.2), Magnesium 2.0 mg/dl (N = 1.8–2.5), Total Bilirubin 0.4 mg/dl (N = 0.0–1.0), ALT 54 IU/L (N = 14–63), AST 39 IU/L (N = 15–45), Alkaline Phosphate 204 IU/L (N = &lt;385), GGT 29 IU/L (N = 10–50),  Urine PH 7.5, Hb 11.1 g/dl, WBC 5020/</w:t>
      </w:r>
      <w:proofErr w:type="spellStart"/>
      <w:r>
        <w:t>cmm</w:t>
      </w:r>
      <w:proofErr w:type="spellEnd"/>
      <w:r>
        <w:t>, N 60.9%, L 26.9%, M 4.4%, E 7.8%, B 0%, IG 0.2%, Platelets 220000/</w:t>
      </w:r>
      <w:proofErr w:type="spellStart"/>
      <w:r>
        <w:t>cmm</w:t>
      </w:r>
      <w:proofErr w:type="spellEnd"/>
      <w:r>
        <w:t>. The patient received Day+8 HDMTX and IT MTX without any incidents. However, during the folic acid rescue, the patient unexpectedly experienced generalised tonic-</w:t>
      </w:r>
      <w:proofErr w:type="spellStart"/>
      <w:r>
        <w:t>clonic</w:t>
      </w:r>
      <w:proofErr w:type="spellEnd"/>
      <w:r>
        <w:t xml:space="preserve"> seizures (GTCS). The parenteral Diazepam 10 mg stat dose immediately suppressed the seizure within three minutes of its onset. Clinically, there was no focal sign of any neurological deficit. 22 hours after the seizure onset, we performed an MRI of the brain with contrast, which revealed no abnormal enhancement. We kept the patient on regular oral Levetiracetam 500 mg twice daily. No further seizures were observed. The patient then received the remaining Day+22, Day+36, and Day+50 HDMTX and IT MTX as per protocol without any seizures. Subsequently, the patient completed Intensification Phase I and Phase II without any seizures. Before starting the maintenance phase, tests showed that the bone marrow had changed shape, the MRD (from the bone marrow sample) was negative (0.008%), and the CSF did not have any malignant cells. Following completion of the maintenance phase (week 29–week 104), the patient received oral and IT MTX according to protocol, and no seizure occurred. At the end of the maintenance phase, the bone marrow was in morphological remission, and the MRD (bone marrow sample) was negative (0.002%). Anti-convulsant oral levetiracetam 500 mg two times daily was continued three (3) months after completion of the maintenance phase (total of two years and three months since starting); within this period, no seizure was reported, and then oral levetiracetam was discontinued. </w:t>
      </w:r>
    </w:p>
    <w:p w14:paraId="1CAC4B63" w14:textId="77777777" w:rsidR="004E27EB" w:rsidRPr="00470A65" w:rsidRDefault="004E27EB" w:rsidP="004E27EB">
      <w:pPr>
        <w:jc w:val="both"/>
        <w:rPr>
          <w:rFonts w:ascii="Times New Roman" w:hAnsi="Times New Roman" w:cs="Times New Roman"/>
        </w:rPr>
      </w:pPr>
    </w:p>
    <w:p w14:paraId="18D4E0DF" w14:textId="77777777" w:rsidR="004E27EB" w:rsidRPr="00470A65" w:rsidRDefault="00AA271E" w:rsidP="004E27EB">
      <w:pPr>
        <w:jc w:val="both"/>
        <w:rPr>
          <w:rFonts w:ascii="Times New Roman" w:hAnsi="Times New Roman" w:cs="Times New Roman"/>
        </w:rPr>
      </w:pPr>
      <w:r w:rsidRPr="00470A65">
        <w:rPr>
          <w:rFonts w:ascii="Times New Roman" w:hAnsi="Times New Roman" w:cs="Times New Roman"/>
        </w:rPr>
        <w:lastRenderedPageBreak/>
        <w:t xml:space="preserve"> </w:t>
      </w:r>
      <w:r w:rsidR="009812DB" w:rsidRPr="00470A65">
        <w:rPr>
          <w:rFonts w:ascii="Times New Roman" w:hAnsi="Times New Roman" w:cs="Times New Roman"/>
        </w:rPr>
        <w:t xml:space="preserve"> </w:t>
      </w:r>
      <w:r w:rsidR="00D2720D" w:rsidRPr="00470A65">
        <w:rPr>
          <w:rFonts w:ascii="Times New Roman" w:hAnsi="Times New Roman" w:cs="Times New Roman"/>
        </w:rPr>
        <w:t xml:space="preserve">    </w:t>
      </w:r>
      <w:r w:rsidR="00207543" w:rsidRPr="00470A65">
        <w:rPr>
          <w:rFonts w:ascii="Times New Roman" w:hAnsi="Times New Roman" w:cs="Times New Roman"/>
        </w:rPr>
        <w:t xml:space="preserve">    </w:t>
      </w:r>
    </w:p>
    <w:p w14:paraId="39C37E90" w14:textId="77777777" w:rsidR="004E27EB" w:rsidRPr="00470A65" w:rsidRDefault="004E27EB" w:rsidP="004E27EB">
      <w:pPr>
        <w:jc w:val="both"/>
        <w:rPr>
          <w:rFonts w:ascii="Times New Roman" w:hAnsi="Times New Roman" w:cs="Times New Roman"/>
        </w:rPr>
      </w:pPr>
    </w:p>
    <w:p w14:paraId="1BDB32F5" w14:textId="77777777" w:rsidR="004E27EB" w:rsidRPr="00470A65" w:rsidRDefault="004E27EB" w:rsidP="004E27EB">
      <w:pPr>
        <w:shd w:val="clear" w:color="auto" w:fill="FFFFFB"/>
        <w:spacing w:before="300" w:after="300" w:line="360" w:lineRule="atLeast"/>
        <w:textAlignment w:val="baseline"/>
        <w:rPr>
          <w:rFonts w:ascii="Times New Roman" w:hAnsi="Times New Roman" w:cs="Times New Roman"/>
          <w:b/>
          <w:sz w:val="24"/>
          <w:szCs w:val="24"/>
          <w:u w:val="single"/>
        </w:rPr>
      </w:pPr>
      <w:r w:rsidRPr="00470A65">
        <w:rPr>
          <w:rFonts w:ascii="Times New Roman" w:hAnsi="Times New Roman" w:cs="Times New Roman"/>
          <w:b/>
          <w:sz w:val="24"/>
          <w:szCs w:val="24"/>
          <w:u w:val="single"/>
        </w:rPr>
        <w:t>Discussion:</w:t>
      </w:r>
    </w:p>
    <w:p w14:paraId="433E8FE9" w14:textId="68CE1A2C" w:rsidR="00BE7DD1" w:rsidRDefault="00BE7DD1" w:rsidP="00BE7DD1">
      <w:pPr>
        <w:pStyle w:val="NormalWeb"/>
      </w:pPr>
      <w:r>
        <w:t>MTX is an antimetabolite that interferes with folic acid metabolism. It binds to the enzyme dihydrofolate reductase inside cells and stops dihydrofolate from turning into tetrahydrofolate (THF). THF has an essential role in DNA synthesis; blockade of THF synthesis leads to the inability of cells to produce proteins and cell proliferation [9].</w:t>
      </w:r>
    </w:p>
    <w:p w14:paraId="5223AC3E" w14:textId="77777777" w:rsidR="00BE7DD1" w:rsidRDefault="00BE7DD1" w:rsidP="00BE7DD1">
      <w:pPr>
        <w:pStyle w:val="NormalWeb"/>
      </w:pPr>
      <w:r>
        <w:t>HDMTX therapy can cause significant toxicities, and neurotoxicity is one of them. Neurotoxicity can be acute, sub-acute, or long-term. The pathogenesis of HDMTX-associated neurotoxicity is not clear. Several hypotheses have been proposed. These include homocysteine toxicity, altered folate homeostasis, adenosine release, and/or direct neuronal damage by MTX [10–11].</w:t>
      </w:r>
    </w:p>
    <w:p w14:paraId="3D93B51E" w14:textId="24D0E376" w:rsidR="00BE7DD1" w:rsidRDefault="00BE7DD1" w:rsidP="00BE7DD1">
      <w:pPr>
        <w:pStyle w:val="NormalWeb"/>
      </w:pPr>
      <w:r>
        <w:t xml:space="preserve">Currently, there is no standard treatment for neurotoxicity related to HDMTX. Literature searching suggests that aminophylline and dextromethorphan may help relieve neurological symptoms. Aminophylline, a methylxanthine, acts as a competitive adenosine antagonist. Dextromethorphan, an </w:t>
      </w:r>
      <w:r w:rsidR="008F5E13" w:rsidRPr="00764710">
        <w:rPr>
          <w:highlight w:val="yellow"/>
        </w:rPr>
        <w:t>N-methyl-D-aspartate</w:t>
      </w:r>
      <w:r w:rsidRPr="00764710">
        <w:rPr>
          <w:highlight w:val="yellow"/>
        </w:rPr>
        <w:t xml:space="preserve"> </w:t>
      </w:r>
      <w:r>
        <w:t xml:space="preserve">receptor antagonist, inhibits homocysteine activity [12–14]. Levetiracetam is an </w:t>
      </w:r>
      <w:r w:rsidR="008F5E13" w:rsidRPr="00764710">
        <w:rPr>
          <w:highlight w:val="yellow"/>
        </w:rPr>
        <w:t>anticonvulsant</w:t>
      </w:r>
      <w:r>
        <w:t xml:space="preserve"> drug that is also used to treat </w:t>
      </w:r>
      <w:r w:rsidR="008F5E13" w:rsidRPr="00764710">
        <w:rPr>
          <w:highlight w:val="yellow"/>
        </w:rPr>
        <w:t>generalised</w:t>
      </w:r>
      <w:r w:rsidR="008F5E13">
        <w:t xml:space="preserve"> </w:t>
      </w:r>
      <w:r>
        <w:t>tonic-</w:t>
      </w:r>
      <w:proofErr w:type="spellStart"/>
      <w:r>
        <w:t>clonic</w:t>
      </w:r>
      <w:proofErr w:type="spellEnd"/>
      <w:r>
        <w:t xml:space="preserve"> seizures. It's not clear how exactly it works to stop seizures, but it might block voltage-dependent N-type calcium channels, bind to synaptic proteins that control neurotransmitter release, and make GABA-</w:t>
      </w:r>
      <w:proofErr w:type="spellStart"/>
      <w:r>
        <w:t>ergic</w:t>
      </w:r>
      <w:proofErr w:type="spellEnd"/>
      <w:r>
        <w:t xml:space="preserve"> inhibitory transmission easier by moving negative modulators out of the way.</w:t>
      </w:r>
    </w:p>
    <w:p w14:paraId="66981DA2" w14:textId="7617A1D1" w:rsidR="00BE7DD1" w:rsidRDefault="00BE7DD1" w:rsidP="00BE7DD1">
      <w:pPr>
        <w:pStyle w:val="NormalWeb"/>
      </w:pPr>
      <w:r>
        <w:t xml:space="preserve">Deepa </w:t>
      </w:r>
      <w:proofErr w:type="spellStart"/>
      <w:r>
        <w:t>Bhojwani</w:t>
      </w:r>
      <w:proofErr w:type="spellEnd"/>
      <w:r>
        <w:t xml:space="preserve"> et al. conducted an evaluation of methotrexate-induced neurotoxicity and leukoencephalopathy in children with childhood acute lymphoblastic leukaemia who received MTX treatment. In that study, neurologic symptoms were considered MTX-related clinical neurotoxicity if one of the neurologic symptoms, such as seizures, strokes, behavioural changes, or aphasia, occurred within 2 weeks of receiving MTX and other identiﬁable causes were reasonably ruled out. The study involved the </w:t>
      </w:r>
      <w:proofErr w:type="spellStart"/>
      <w:r>
        <w:t>enrollment</w:t>
      </w:r>
      <w:proofErr w:type="spellEnd"/>
      <w:r>
        <w:t xml:space="preserve"> of 369 children with ALL. Fourteen patients (3.8%) out of 369 patients developed MTX-related clinical neurotoxicity, and most episodes were brief. Seven patients presented with seizures, six with stroke-like symptoms, and one with ataxia. Thirteen patients were rechallenged with intrathecal and/or HDMTX. </w:t>
      </w:r>
      <w:r w:rsidR="008F5E13" w:rsidRPr="00764710">
        <w:rPr>
          <w:highlight w:val="yellow"/>
        </w:rPr>
        <w:t>Before</w:t>
      </w:r>
      <w:r>
        <w:t xml:space="preserve"> subsequent HDM, two of the thirteen MTX-induced neurotoxic patients received aminophylline prophylaxis. When HDMTX challenged one of the aminophylline-treated patients, it caused MTX-related neurotoxicity (severe headache and confusion), leading to the discontinuation of additional HDMTX. Meanwhile, twelve patients did not experience a recurrence of neurotoxicity. The authors concluded that stopping MTX treatments for this group of patients is unnecessary [8].</w:t>
      </w:r>
    </w:p>
    <w:p w14:paraId="74B5B29B" w14:textId="77777777" w:rsidR="00BE7DD1" w:rsidRDefault="00BE7DD1" w:rsidP="00BE7DD1">
      <w:pPr>
        <w:pStyle w:val="NormalWeb"/>
      </w:pPr>
      <w:r>
        <w:t xml:space="preserve">In our case, MTX-induced neurotoxicity was diagnosed because the symptoms were short-lived and went away completely, the person had a history of GTCS with HDMTX, and other causes were ruled out through clinical evaluation and a wide range of investigations. In their study, Deepa </w:t>
      </w:r>
      <w:proofErr w:type="spellStart"/>
      <w:r>
        <w:t>Bhojwani</w:t>
      </w:r>
      <w:proofErr w:type="spellEnd"/>
      <w:r>
        <w:t xml:space="preserve"> et al. found that all of the MTX-induced neurotoxic patients had signs of </w:t>
      </w:r>
      <w:proofErr w:type="spellStart"/>
      <w:r>
        <w:lastRenderedPageBreak/>
        <w:t>leucoencephalopathy</w:t>
      </w:r>
      <w:proofErr w:type="spellEnd"/>
      <w:r>
        <w:t xml:space="preserve"> on one of the brain MRIs that were done at different times during treatment. We performed a brain MRI on our patient 22 hours after the onset of seizures and found no abnormal intensity. We did not perform a subsequent brain MRI in this case.</w:t>
      </w:r>
    </w:p>
    <w:p w14:paraId="7991CD94" w14:textId="77777777" w:rsidR="00BE7DD1" w:rsidRDefault="00BE7DD1" w:rsidP="00BE7DD1">
      <w:pPr>
        <w:pStyle w:val="NormalWeb"/>
      </w:pPr>
      <w:r>
        <w:t>In different literatures, there are differences in the treatments used to manage acute MTX neurotoxicity, probably because the exact pathophysiology is still not well understood. Compared to other adverse effects of MTX, such as nephrotoxicity, the plasma MTX level does not correlate with the incidence of acute neurotoxicity, and this relationship remains poorly established [15]. In our case, the plasma MTX level was beyond the measurement scope.</w:t>
      </w:r>
    </w:p>
    <w:p w14:paraId="6988AEE8" w14:textId="143AE3B7" w:rsidR="00BE7DD1" w:rsidRDefault="00BE7DD1" w:rsidP="00BE7DD1">
      <w:pPr>
        <w:pStyle w:val="NormalWeb"/>
      </w:pPr>
      <w:r>
        <w:t xml:space="preserve">In our presented case, we used </w:t>
      </w:r>
      <w:r w:rsidR="008F5E13" w:rsidRPr="00764710">
        <w:rPr>
          <w:highlight w:val="yellow"/>
        </w:rPr>
        <w:t>levetiracetam</w:t>
      </w:r>
      <w:r w:rsidR="008F5E13">
        <w:t xml:space="preserve"> </w:t>
      </w:r>
      <w:r>
        <w:t xml:space="preserve">to prevent the recurrence of HDMTX-induced neurotoxicity. To our knowledge, levetiracetam has not been used to resume HDMTX in ALL patients who developed HDMTX-induced </w:t>
      </w:r>
      <w:proofErr w:type="spellStart"/>
      <w:r>
        <w:t>neurotoxicities</w:t>
      </w:r>
      <w:proofErr w:type="spellEnd"/>
      <w:r>
        <w:t xml:space="preserve">. To our knowledge, this is the first documented instance of Levetiracetam usage in a patient who experienced MTX neurotoxicity and effectively recovered from HDMTX and ITMTX without experiencing additional neurotoxicity. We submit this case as a rare example of a generalised </w:t>
      </w:r>
      <w:r w:rsidR="008F5E13" w:rsidRPr="00764710">
        <w:rPr>
          <w:highlight w:val="yellow"/>
        </w:rPr>
        <w:t>tonic-</w:t>
      </w:r>
      <w:proofErr w:type="spellStart"/>
      <w:r w:rsidR="008F5E13" w:rsidRPr="00764710">
        <w:rPr>
          <w:highlight w:val="yellow"/>
        </w:rPr>
        <w:t>clonic</w:t>
      </w:r>
      <w:proofErr w:type="spellEnd"/>
      <w:r>
        <w:t xml:space="preserve"> seizure presenting as an acute reaction to HDMTX in a childhood relapsed-ALL patient, along with the use of levetiracetam.</w:t>
      </w:r>
    </w:p>
    <w:p w14:paraId="3BAAFC22" w14:textId="77777777" w:rsidR="00BE7DD1" w:rsidRDefault="00BE7DD1" w:rsidP="00BE7DD1">
      <w:pPr>
        <w:pStyle w:val="NormalWeb"/>
      </w:pPr>
      <w:r>
        <w:rPr>
          <w:rStyle w:val="Strong"/>
          <w:u w:val="single"/>
        </w:rPr>
        <w:t>Conclusion:</w:t>
      </w:r>
    </w:p>
    <w:p w14:paraId="299775E0" w14:textId="323E9981" w:rsidR="00BE7DD1" w:rsidRDefault="00BE7DD1" w:rsidP="00BE7DD1">
      <w:pPr>
        <w:pStyle w:val="NormalWeb"/>
      </w:pPr>
      <w:r>
        <w:t xml:space="preserve">MTX-related clinical neurotoxicity is transient, and most patients can receive subsequent MTX without recurrence of acute or subacute symptoms. In addition to this, </w:t>
      </w:r>
      <w:r w:rsidR="008F5E13" w:rsidRPr="00764710">
        <w:rPr>
          <w:highlight w:val="yellow"/>
        </w:rPr>
        <w:t>levetiracetam</w:t>
      </w:r>
      <w:r w:rsidR="008F5E13">
        <w:t xml:space="preserve"> </w:t>
      </w:r>
      <w:r>
        <w:t>can be an alternative drug for the long-term management and prevention of HDMTX-related neurotoxicity.</w:t>
      </w:r>
    </w:p>
    <w:p w14:paraId="7CF43774" w14:textId="400066A2" w:rsidR="00617A77" w:rsidRDefault="00617A77" w:rsidP="00BE7DD1">
      <w:pPr>
        <w:pStyle w:val="NormalWeb"/>
      </w:pPr>
    </w:p>
    <w:p w14:paraId="21CDF948" w14:textId="77777777" w:rsidR="00617A77" w:rsidRPr="00FE7640" w:rsidRDefault="00617A77" w:rsidP="00617A77">
      <w:pPr>
        <w:rPr>
          <w:rFonts w:ascii="Calibri" w:eastAsia="Calibri" w:hAnsi="Calibri" w:cs="Times New Roman"/>
          <w:highlight w:val="yellow"/>
        </w:rPr>
      </w:pPr>
      <w:bookmarkStart w:id="1" w:name="_Hlk193540946"/>
      <w:bookmarkStart w:id="2" w:name="_Hlk180402183"/>
      <w:bookmarkStart w:id="3" w:name="_Hlk183680988"/>
      <w:r w:rsidRPr="00FE7640">
        <w:rPr>
          <w:rFonts w:ascii="Calibri" w:eastAsia="Calibri" w:hAnsi="Calibri" w:cs="Times New Roman"/>
          <w:highlight w:val="yellow"/>
        </w:rPr>
        <w:t>Disclaimer (Artificial intelligence)</w:t>
      </w:r>
    </w:p>
    <w:p w14:paraId="75E1115A" w14:textId="77777777" w:rsidR="00617A77" w:rsidRPr="009C5487" w:rsidRDefault="00617A77" w:rsidP="00617A77">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56638D80" w14:textId="77777777" w:rsidR="00617A77" w:rsidRPr="009C5487" w:rsidRDefault="00617A77" w:rsidP="00617A77">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44383F3E" w14:textId="77777777" w:rsidR="00617A77" w:rsidRPr="009C5487" w:rsidRDefault="00617A77" w:rsidP="00617A77">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3CDEFBE6" w14:textId="77777777" w:rsidR="00617A77" w:rsidRPr="009C5487" w:rsidRDefault="00617A77" w:rsidP="00617A77">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72803E" w14:textId="77777777" w:rsidR="00617A77" w:rsidRPr="009C5487" w:rsidRDefault="00617A77" w:rsidP="00617A77">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30AEB4A0" w14:textId="77777777" w:rsidR="00617A77" w:rsidRPr="009C5487" w:rsidRDefault="00617A77" w:rsidP="00617A77">
      <w:pPr>
        <w:rPr>
          <w:rFonts w:ascii="Calibri" w:eastAsia="Calibri" w:hAnsi="Calibri" w:cs="Times New Roman"/>
          <w:highlight w:val="yellow"/>
        </w:rPr>
      </w:pPr>
      <w:r w:rsidRPr="009C5487">
        <w:rPr>
          <w:rFonts w:ascii="Calibri" w:eastAsia="Calibri" w:hAnsi="Calibri" w:cs="Times New Roman"/>
          <w:highlight w:val="yellow"/>
        </w:rPr>
        <w:t>1.</w:t>
      </w:r>
    </w:p>
    <w:p w14:paraId="39541965" w14:textId="77777777" w:rsidR="00617A77" w:rsidRPr="009C5487" w:rsidRDefault="00617A77" w:rsidP="00617A77">
      <w:pPr>
        <w:rPr>
          <w:rFonts w:ascii="Calibri" w:eastAsia="Calibri" w:hAnsi="Calibri" w:cs="Times New Roman"/>
          <w:highlight w:val="yellow"/>
        </w:rPr>
      </w:pPr>
      <w:r w:rsidRPr="009C5487">
        <w:rPr>
          <w:rFonts w:ascii="Calibri" w:eastAsia="Calibri" w:hAnsi="Calibri" w:cs="Times New Roman"/>
          <w:highlight w:val="yellow"/>
        </w:rPr>
        <w:t>2.</w:t>
      </w:r>
    </w:p>
    <w:p w14:paraId="6A5F052A" w14:textId="77777777" w:rsidR="00617A77" w:rsidRPr="009C5487" w:rsidRDefault="00617A77" w:rsidP="00617A77">
      <w:pPr>
        <w:rPr>
          <w:rFonts w:ascii="Calibri" w:eastAsia="Calibri" w:hAnsi="Calibri" w:cs="Times New Roman"/>
        </w:rPr>
      </w:pPr>
      <w:r w:rsidRPr="009C5487">
        <w:rPr>
          <w:rFonts w:ascii="Calibri" w:eastAsia="Calibri" w:hAnsi="Calibri" w:cs="Times New Roman"/>
          <w:highlight w:val="yellow"/>
        </w:rPr>
        <w:lastRenderedPageBreak/>
        <w:t>3.</w:t>
      </w:r>
      <w:bookmarkEnd w:id="1"/>
    </w:p>
    <w:bookmarkEnd w:id="2"/>
    <w:bookmarkEnd w:id="3"/>
    <w:p w14:paraId="6A6E3AAD" w14:textId="77777777" w:rsidR="00617A77" w:rsidRDefault="00617A77" w:rsidP="00BE7DD1">
      <w:pPr>
        <w:pStyle w:val="NormalWeb"/>
      </w:pPr>
    </w:p>
    <w:p w14:paraId="3291DDD4" w14:textId="77777777" w:rsidR="004E27EB" w:rsidRPr="00470A65" w:rsidRDefault="004E27EB" w:rsidP="004E27EB">
      <w:pPr>
        <w:shd w:val="clear" w:color="auto" w:fill="FFFFFB"/>
        <w:spacing w:before="300" w:after="300" w:line="360" w:lineRule="atLeast"/>
        <w:textAlignment w:val="baseline"/>
        <w:rPr>
          <w:rFonts w:ascii="Times New Roman" w:hAnsi="Times New Roman" w:cs="Times New Roman"/>
          <w:b/>
          <w:sz w:val="24"/>
          <w:szCs w:val="24"/>
          <w:u w:val="single"/>
        </w:rPr>
      </w:pPr>
      <w:r w:rsidRPr="00470A65">
        <w:rPr>
          <w:rFonts w:ascii="Times New Roman" w:hAnsi="Times New Roman" w:cs="Times New Roman"/>
          <w:b/>
          <w:sz w:val="24"/>
          <w:szCs w:val="24"/>
          <w:u w:val="single"/>
        </w:rPr>
        <w:t>References:</w:t>
      </w:r>
    </w:p>
    <w:p w14:paraId="20F7E47C"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Pui</w:t>
      </w:r>
      <w:proofErr w:type="spellEnd"/>
      <w:r w:rsidRPr="00470A65">
        <w:rPr>
          <w:rFonts w:ascii="Times New Roman" w:hAnsi="Times New Roman" w:cs="Times New Roman"/>
        </w:rPr>
        <w:t xml:space="preserve">, C.-H. &amp; Evans, W. E. A 50-Year Journey to Cure Childhood Acute Lymphoblastic Leukemia. </w:t>
      </w:r>
      <w:r w:rsidRPr="00470A65">
        <w:rPr>
          <w:rFonts w:ascii="Times New Roman" w:hAnsi="Times New Roman" w:cs="Times New Roman"/>
          <w:iCs/>
        </w:rPr>
        <w:t>Seminars in Hematology. 2013;</w:t>
      </w:r>
      <w:r w:rsidRPr="00470A65">
        <w:rPr>
          <w:rFonts w:ascii="Times New Roman" w:hAnsi="Times New Roman" w:cs="Times New Roman"/>
          <w:bCs/>
        </w:rPr>
        <w:t>50</w:t>
      </w:r>
      <w:r w:rsidR="007E215C" w:rsidRPr="00470A65">
        <w:rPr>
          <w:rFonts w:ascii="Times New Roman" w:hAnsi="Times New Roman" w:cs="Times New Roman"/>
        </w:rPr>
        <w:t>(3):</w:t>
      </w:r>
      <w:r w:rsidRPr="00470A65">
        <w:rPr>
          <w:rFonts w:ascii="Times New Roman" w:hAnsi="Times New Roman" w:cs="Times New Roman"/>
        </w:rPr>
        <w:t>185–196.</w:t>
      </w:r>
    </w:p>
    <w:p w14:paraId="6105340C" w14:textId="77777777" w:rsidR="004E27EB" w:rsidRPr="00470A65" w:rsidRDefault="004E27EB" w:rsidP="00470A65">
      <w:pPr>
        <w:pStyle w:val="ListParagraph"/>
        <w:rPr>
          <w:rFonts w:ascii="Times New Roman" w:hAnsi="Times New Roman" w:cs="Times New Roman"/>
        </w:rPr>
      </w:pPr>
    </w:p>
    <w:p w14:paraId="1FAAA9BF"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eastAsia="Times New Roman" w:hAnsi="Times New Roman" w:cs="Times New Roman"/>
        </w:rPr>
        <w:t>Howlader</w:t>
      </w:r>
      <w:proofErr w:type="spellEnd"/>
      <w:r w:rsidRPr="00470A65">
        <w:rPr>
          <w:rFonts w:ascii="Times New Roman" w:eastAsia="Times New Roman" w:hAnsi="Times New Roman" w:cs="Times New Roman"/>
        </w:rPr>
        <w:t xml:space="preserve"> N, </w:t>
      </w:r>
      <w:proofErr w:type="spellStart"/>
      <w:r w:rsidRPr="00470A65">
        <w:rPr>
          <w:rFonts w:ascii="Times New Roman" w:eastAsia="Times New Roman" w:hAnsi="Times New Roman" w:cs="Times New Roman"/>
        </w:rPr>
        <w:t>Noone</w:t>
      </w:r>
      <w:proofErr w:type="spellEnd"/>
      <w:r w:rsidRPr="00470A65">
        <w:rPr>
          <w:rFonts w:ascii="Times New Roman" w:eastAsia="Times New Roman" w:hAnsi="Times New Roman" w:cs="Times New Roman"/>
        </w:rPr>
        <w:t xml:space="preserve"> AM, </w:t>
      </w:r>
      <w:proofErr w:type="spellStart"/>
      <w:r w:rsidRPr="00470A65">
        <w:rPr>
          <w:rFonts w:ascii="Times New Roman" w:eastAsia="Times New Roman" w:hAnsi="Times New Roman" w:cs="Times New Roman"/>
        </w:rPr>
        <w:t>Krapcho</w:t>
      </w:r>
      <w:proofErr w:type="spellEnd"/>
      <w:r w:rsidRPr="00470A65">
        <w:rPr>
          <w:rFonts w:ascii="Times New Roman" w:eastAsia="Times New Roman" w:hAnsi="Times New Roman" w:cs="Times New Roman"/>
        </w:rPr>
        <w:t xml:space="preserve"> M: SEER Cancer Statistics Review (CSR) 1975-2013. Bethesda, Md: National Cancer Institute, 2015. </w:t>
      </w:r>
      <w:hyperlink r:id="rId7" w:tooltip="http://seer.cancer.gov/csr/1975_2013/" w:history="1">
        <w:r w:rsidRPr="00470A65">
          <w:rPr>
            <w:rFonts w:ascii="Times New Roman" w:eastAsia="Times New Roman" w:hAnsi="Times New Roman" w:cs="Times New Roman"/>
            <w:u w:val="single"/>
          </w:rPr>
          <w:t>Available online</w:t>
        </w:r>
      </w:hyperlink>
      <w:r w:rsidRPr="00470A65">
        <w:rPr>
          <w:rFonts w:ascii="Times New Roman" w:eastAsia="Times New Roman" w:hAnsi="Times New Roman" w:cs="Times New Roman"/>
        </w:rPr>
        <w:t>. Last accessed June 04, 2021.</w:t>
      </w:r>
    </w:p>
    <w:p w14:paraId="713EC1C0" w14:textId="77777777" w:rsidR="007E215C" w:rsidRPr="00470A65" w:rsidRDefault="007E215C" w:rsidP="00470A65">
      <w:pPr>
        <w:pStyle w:val="ListParagraph"/>
        <w:rPr>
          <w:rFonts w:ascii="Times New Roman" w:hAnsi="Times New Roman" w:cs="Times New Roman"/>
        </w:rPr>
      </w:pPr>
    </w:p>
    <w:p w14:paraId="0F9BD9E4" w14:textId="77777777" w:rsidR="007E215C" w:rsidRPr="00470A65" w:rsidRDefault="007E215C" w:rsidP="00470A65">
      <w:pPr>
        <w:pStyle w:val="ListParagraph"/>
        <w:rPr>
          <w:rFonts w:ascii="Times New Roman" w:hAnsi="Times New Roman" w:cs="Times New Roman"/>
        </w:rPr>
      </w:pPr>
    </w:p>
    <w:p w14:paraId="6902AC1C"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eastAsia="Times New Roman" w:hAnsi="Times New Roman" w:cs="Times New Roman"/>
          <w:sz w:val="24"/>
          <w:szCs w:val="24"/>
        </w:rPr>
        <w:t xml:space="preserve">Richards S, </w:t>
      </w:r>
      <w:proofErr w:type="spellStart"/>
      <w:r w:rsidRPr="00470A65">
        <w:rPr>
          <w:rFonts w:ascii="Times New Roman" w:eastAsia="Times New Roman" w:hAnsi="Times New Roman" w:cs="Times New Roman"/>
          <w:sz w:val="24"/>
          <w:szCs w:val="24"/>
        </w:rPr>
        <w:t>Pui</w:t>
      </w:r>
      <w:proofErr w:type="spellEnd"/>
      <w:r w:rsidRPr="00470A65">
        <w:rPr>
          <w:rFonts w:ascii="Times New Roman" w:eastAsia="Times New Roman" w:hAnsi="Times New Roman" w:cs="Times New Roman"/>
          <w:sz w:val="24"/>
          <w:szCs w:val="24"/>
        </w:rPr>
        <w:t xml:space="preserve"> CH, </w:t>
      </w:r>
      <w:proofErr w:type="spellStart"/>
      <w:r w:rsidRPr="00470A65">
        <w:rPr>
          <w:rFonts w:ascii="Times New Roman" w:eastAsia="Times New Roman" w:hAnsi="Times New Roman" w:cs="Times New Roman"/>
          <w:sz w:val="24"/>
          <w:szCs w:val="24"/>
        </w:rPr>
        <w:t>Gayon</w:t>
      </w:r>
      <w:proofErr w:type="spellEnd"/>
      <w:r w:rsidRPr="00470A65">
        <w:rPr>
          <w:rFonts w:ascii="Times New Roman" w:eastAsia="Times New Roman" w:hAnsi="Times New Roman" w:cs="Times New Roman"/>
          <w:sz w:val="24"/>
          <w:szCs w:val="24"/>
        </w:rPr>
        <w:t xml:space="preserve"> P, et al.: Systematic review and meta-analysis of randomized trials of central nervous system directed therapy for childhood acute lymphoblastic leukemia. </w:t>
      </w:r>
      <w:proofErr w:type="spellStart"/>
      <w:r w:rsidRPr="00470A65">
        <w:rPr>
          <w:rFonts w:ascii="Times New Roman" w:eastAsia="Times New Roman" w:hAnsi="Times New Roman" w:cs="Times New Roman"/>
          <w:sz w:val="24"/>
          <w:szCs w:val="24"/>
        </w:rPr>
        <w:t>Pediatr</w:t>
      </w:r>
      <w:proofErr w:type="spellEnd"/>
      <w:r w:rsidRPr="00470A65">
        <w:rPr>
          <w:rFonts w:ascii="Times New Roman" w:eastAsia="Times New Roman" w:hAnsi="Times New Roman" w:cs="Times New Roman"/>
          <w:sz w:val="24"/>
          <w:szCs w:val="24"/>
        </w:rPr>
        <w:t xml:space="preserve"> Blood Cancer. 2013;</w:t>
      </w:r>
      <w:r w:rsidR="007E215C" w:rsidRPr="00470A65">
        <w:rPr>
          <w:rFonts w:ascii="Times New Roman" w:eastAsia="Times New Roman" w:hAnsi="Times New Roman" w:cs="Times New Roman"/>
          <w:sz w:val="24"/>
          <w:szCs w:val="24"/>
        </w:rPr>
        <w:t>60</w:t>
      </w:r>
      <w:r w:rsidRPr="00470A65">
        <w:rPr>
          <w:rFonts w:ascii="Times New Roman" w:eastAsia="Times New Roman" w:hAnsi="Times New Roman" w:cs="Times New Roman"/>
          <w:sz w:val="24"/>
          <w:szCs w:val="24"/>
        </w:rPr>
        <w:t>(2):185-95. </w:t>
      </w:r>
    </w:p>
    <w:p w14:paraId="2691956D" w14:textId="77777777" w:rsidR="004E27EB" w:rsidRPr="00470A65" w:rsidRDefault="004E27EB" w:rsidP="00470A65">
      <w:pPr>
        <w:pStyle w:val="ListParagraph"/>
        <w:rPr>
          <w:rFonts w:ascii="Times New Roman" w:hAnsi="Times New Roman" w:cs="Times New Roman"/>
        </w:rPr>
      </w:pPr>
    </w:p>
    <w:p w14:paraId="3A1E359D"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Lovblad</w:t>
      </w:r>
      <w:proofErr w:type="spellEnd"/>
      <w:r w:rsidRPr="00470A65">
        <w:rPr>
          <w:rFonts w:ascii="Times New Roman" w:hAnsi="Times New Roman" w:cs="Times New Roman"/>
        </w:rPr>
        <w:t xml:space="preserve"> K, Kelkar P, </w:t>
      </w:r>
      <w:proofErr w:type="spellStart"/>
      <w:r w:rsidRPr="00470A65">
        <w:rPr>
          <w:rFonts w:ascii="Times New Roman" w:hAnsi="Times New Roman" w:cs="Times New Roman"/>
        </w:rPr>
        <w:t>Ozdoba</w:t>
      </w:r>
      <w:proofErr w:type="spellEnd"/>
      <w:r w:rsidRPr="00470A65">
        <w:rPr>
          <w:rFonts w:ascii="Times New Roman" w:hAnsi="Times New Roman" w:cs="Times New Roman"/>
        </w:rPr>
        <w:t xml:space="preserve"> C, </w:t>
      </w:r>
      <w:proofErr w:type="spellStart"/>
      <w:r w:rsidRPr="00470A65">
        <w:rPr>
          <w:rFonts w:ascii="Times New Roman" w:hAnsi="Times New Roman" w:cs="Times New Roman"/>
        </w:rPr>
        <w:t>Ramelli</w:t>
      </w:r>
      <w:proofErr w:type="spellEnd"/>
      <w:r w:rsidRPr="00470A65">
        <w:rPr>
          <w:rFonts w:ascii="Times New Roman" w:hAnsi="Times New Roman" w:cs="Times New Roman"/>
        </w:rPr>
        <w:t xml:space="preserve"> G, </w:t>
      </w:r>
      <w:proofErr w:type="spellStart"/>
      <w:r w:rsidRPr="00470A65">
        <w:rPr>
          <w:rFonts w:ascii="Times New Roman" w:hAnsi="Times New Roman" w:cs="Times New Roman"/>
        </w:rPr>
        <w:t>Remonda</w:t>
      </w:r>
      <w:proofErr w:type="spellEnd"/>
      <w:r w:rsidRPr="00470A65">
        <w:rPr>
          <w:rFonts w:ascii="Times New Roman" w:hAnsi="Times New Roman" w:cs="Times New Roman"/>
        </w:rPr>
        <w:t xml:space="preserve"> L, </w:t>
      </w:r>
      <w:proofErr w:type="spellStart"/>
      <w:r w:rsidRPr="00470A65">
        <w:rPr>
          <w:rFonts w:ascii="Times New Roman" w:hAnsi="Times New Roman" w:cs="Times New Roman"/>
        </w:rPr>
        <w:t>Schroth</w:t>
      </w:r>
      <w:proofErr w:type="spellEnd"/>
      <w:r w:rsidRPr="00470A65">
        <w:rPr>
          <w:rFonts w:ascii="Times New Roman" w:hAnsi="Times New Roman" w:cs="Times New Roman"/>
        </w:rPr>
        <w:t xml:space="preserve"> G. Pure methotrexate encephalopathy presenting with seizures: CT and MRI features.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w:t>
      </w:r>
      <w:proofErr w:type="spellStart"/>
      <w:r w:rsidRPr="00470A65">
        <w:rPr>
          <w:rFonts w:ascii="Times New Roman" w:hAnsi="Times New Roman" w:cs="Times New Roman"/>
        </w:rPr>
        <w:t>Radiol</w:t>
      </w:r>
      <w:proofErr w:type="spellEnd"/>
      <w:r w:rsidRPr="00470A65">
        <w:rPr>
          <w:rFonts w:ascii="Times New Roman" w:hAnsi="Times New Roman" w:cs="Times New Roman"/>
        </w:rPr>
        <w:t xml:space="preserve"> </w:t>
      </w:r>
      <w:proofErr w:type="gramStart"/>
      <w:r w:rsidRPr="00470A65">
        <w:rPr>
          <w:rFonts w:ascii="Times New Roman" w:hAnsi="Times New Roman" w:cs="Times New Roman"/>
        </w:rPr>
        <w:t>1998;28:86</w:t>
      </w:r>
      <w:proofErr w:type="gramEnd"/>
      <w:r w:rsidRPr="00470A65">
        <w:rPr>
          <w:rFonts w:ascii="Times New Roman" w:hAnsi="Times New Roman" w:cs="Times New Roman"/>
        </w:rPr>
        <w:t>-91.</w:t>
      </w:r>
    </w:p>
    <w:p w14:paraId="33FB98A9" w14:textId="77777777" w:rsidR="004E27EB" w:rsidRPr="00470A65" w:rsidRDefault="004E27EB" w:rsidP="00470A65">
      <w:pPr>
        <w:pStyle w:val="ListParagraph"/>
        <w:rPr>
          <w:rFonts w:ascii="Times New Roman" w:hAnsi="Times New Roman" w:cs="Times New Roman"/>
        </w:rPr>
      </w:pPr>
    </w:p>
    <w:p w14:paraId="561C4FF4"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764710">
        <w:rPr>
          <w:rFonts w:ascii="Times New Roman" w:hAnsi="Times New Roman" w:cs="Times New Roman"/>
          <w:lang w:val="es-US"/>
        </w:rPr>
        <w:t>Wilks</w:t>
      </w:r>
      <w:proofErr w:type="spellEnd"/>
      <w:r w:rsidRPr="00764710">
        <w:rPr>
          <w:rFonts w:ascii="Times New Roman" w:hAnsi="Times New Roman" w:cs="Times New Roman"/>
          <w:lang w:val="es-US"/>
        </w:rPr>
        <w:t xml:space="preserve"> MJ, </w:t>
      </w:r>
      <w:proofErr w:type="spellStart"/>
      <w:r w:rsidRPr="00764710">
        <w:rPr>
          <w:rFonts w:ascii="Times New Roman" w:hAnsi="Times New Roman" w:cs="Times New Roman"/>
          <w:lang w:val="es-US"/>
        </w:rPr>
        <w:t>Tie</w:t>
      </w:r>
      <w:proofErr w:type="spellEnd"/>
      <w:r w:rsidRPr="00764710">
        <w:rPr>
          <w:rFonts w:ascii="Times New Roman" w:hAnsi="Times New Roman" w:cs="Times New Roman"/>
          <w:lang w:val="es-US"/>
        </w:rPr>
        <w:t xml:space="preserve"> ML, </w:t>
      </w:r>
      <w:proofErr w:type="spellStart"/>
      <w:r w:rsidRPr="00764710">
        <w:rPr>
          <w:rFonts w:ascii="Times New Roman" w:hAnsi="Times New Roman" w:cs="Times New Roman"/>
          <w:lang w:val="es-US"/>
        </w:rPr>
        <w:t>Pozza</w:t>
      </w:r>
      <w:proofErr w:type="spellEnd"/>
      <w:r w:rsidRPr="00764710">
        <w:rPr>
          <w:rFonts w:ascii="Times New Roman" w:hAnsi="Times New Roman" w:cs="Times New Roman"/>
          <w:lang w:val="es-US"/>
        </w:rPr>
        <w:t xml:space="preserve"> CH. </w:t>
      </w:r>
      <w:r w:rsidRPr="00470A65">
        <w:rPr>
          <w:rFonts w:ascii="Times New Roman" w:hAnsi="Times New Roman" w:cs="Times New Roman"/>
        </w:rPr>
        <w:t xml:space="preserve">CT and MRI appearances of methotrexate </w:t>
      </w:r>
      <w:proofErr w:type="spellStart"/>
      <w:r w:rsidRPr="00470A65">
        <w:rPr>
          <w:rFonts w:ascii="Times New Roman" w:hAnsi="Times New Roman" w:cs="Times New Roman"/>
        </w:rPr>
        <w:t>leucoencephalopathy</w:t>
      </w:r>
      <w:proofErr w:type="spellEnd"/>
      <w:r w:rsidRPr="00470A65">
        <w:rPr>
          <w:rFonts w:ascii="Times New Roman" w:hAnsi="Times New Roman" w:cs="Times New Roman"/>
        </w:rPr>
        <w:t xml:space="preserve">. </w:t>
      </w:r>
      <w:proofErr w:type="spellStart"/>
      <w:r w:rsidRPr="00470A65">
        <w:rPr>
          <w:rFonts w:ascii="Times New Roman" w:hAnsi="Times New Roman" w:cs="Times New Roman"/>
        </w:rPr>
        <w:t>Australas</w:t>
      </w:r>
      <w:proofErr w:type="spellEnd"/>
      <w:r w:rsidRPr="00470A65">
        <w:rPr>
          <w:rFonts w:ascii="Times New Roman" w:hAnsi="Times New Roman" w:cs="Times New Roman"/>
        </w:rPr>
        <w:t xml:space="preserve"> </w:t>
      </w:r>
      <w:proofErr w:type="spellStart"/>
      <w:r w:rsidRPr="00470A65">
        <w:rPr>
          <w:rFonts w:ascii="Times New Roman" w:hAnsi="Times New Roman" w:cs="Times New Roman"/>
        </w:rPr>
        <w:t>Radiol</w:t>
      </w:r>
      <w:proofErr w:type="spellEnd"/>
      <w:r w:rsidR="007E215C" w:rsidRPr="00470A65">
        <w:rPr>
          <w:rFonts w:ascii="Times New Roman" w:hAnsi="Times New Roman" w:cs="Times New Roman"/>
        </w:rPr>
        <w:t xml:space="preserve">. </w:t>
      </w:r>
      <w:proofErr w:type="gramStart"/>
      <w:r w:rsidR="007E215C" w:rsidRPr="00470A65">
        <w:rPr>
          <w:rFonts w:ascii="Times New Roman" w:hAnsi="Times New Roman" w:cs="Times New Roman"/>
        </w:rPr>
        <w:t>2002;46:</w:t>
      </w:r>
      <w:r w:rsidRPr="00470A65">
        <w:rPr>
          <w:rFonts w:ascii="Times New Roman" w:hAnsi="Times New Roman" w:cs="Times New Roman"/>
        </w:rPr>
        <w:t>80</w:t>
      </w:r>
      <w:proofErr w:type="gramEnd"/>
      <w:r w:rsidRPr="00470A65">
        <w:rPr>
          <w:rFonts w:ascii="Times New Roman" w:hAnsi="Times New Roman" w:cs="Times New Roman"/>
        </w:rPr>
        <w:t>-3.</w:t>
      </w:r>
    </w:p>
    <w:p w14:paraId="17342533" w14:textId="77777777" w:rsidR="004E27EB" w:rsidRPr="00470A65" w:rsidRDefault="004E27EB" w:rsidP="00470A65">
      <w:pPr>
        <w:pStyle w:val="ListParagraph"/>
        <w:rPr>
          <w:rFonts w:ascii="Times New Roman" w:hAnsi="Times New Roman" w:cs="Times New Roman"/>
        </w:rPr>
      </w:pPr>
    </w:p>
    <w:p w14:paraId="4683DC09"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Bernini JC, Fort DW, </w:t>
      </w:r>
      <w:proofErr w:type="spellStart"/>
      <w:r w:rsidRPr="00470A65">
        <w:rPr>
          <w:rFonts w:ascii="Times New Roman" w:hAnsi="Times New Roman" w:cs="Times New Roman"/>
        </w:rPr>
        <w:t>Griener</w:t>
      </w:r>
      <w:proofErr w:type="spellEnd"/>
      <w:r w:rsidRPr="00470A65">
        <w:rPr>
          <w:rFonts w:ascii="Times New Roman" w:hAnsi="Times New Roman" w:cs="Times New Roman"/>
        </w:rPr>
        <w:t xml:space="preserve"> JC, Kane BJ, Chappell WB, Kamen BA: Aminophylline for methotrexate-induced neurotoxicity. Lancet</w:t>
      </w:r>
      <w:r w:rsidR="007E215C" w:rsidRPr="00470A65">
        <w:rPr>
          <w:rFonts w:ascii="Times New Roman" w:hAnsi="Times New Roman" w:cs="Times New Roman"/>
        </w:rPr>
        <w:t>.</w:t>
      </w:r>
      <w:r w:rsidRPr="00470A65">
        <w:rPr>
          <w:rFonts w:ascii="Times New Roman" w:hAnsi="Times New Roman" w:cs="Times New Roman"/>
        </w:rPr>
        <w:t xml:space="preserve"> </w:t>
      </w:r>
      <w:proofErr w:type="gramStart"/>
      <w:r w:rsidRPr="00470A65">
        <w:rPr>
          <w:rFonts w:ascii="Times New Roman" w:hAnsi="Times New Roman" w:cs="Times New Roman"/>
        </w:rPr>
        <w:t>1995;345:544</w:t>
      </w:r>
      <w:proofErr w:type="gramEnd"/>
      <w:r w:rsidRPr="00470A65">
        <w:rPr>
          <w:rFonts w:ascii="Times New Roman" w:hAnsi="Times New Roman" w:cs="Times New Roman"/>
        </w:rPr>
        <w:t>–547.</w:t>
      </w:r>
    </w:p>
    <w:p w14:paraId="4B9D1C30" w14:textId="77777777" w:rsidR="004E27EB" w:rsidRPr="00470A65" w:rsidRDefault="004E27EB" w:rsidP="00470A65">
      <w:pPr>
        <w:pStyle w:val="ListParagraph"/>
        <w:rPr>
          <w:rFonts w:ascii="Times New Roman" w:hAnsi="Times New Roman" w:cs="Times New Roman"/>
        </w:rPr>
      </w:pPr>
    </w:p>
    <w:p w14:paraId="654F2BE3"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Peyriere</w:t>
      </w:r>
      <w:proofErr w:type="spellEnd"/>
      <w:r w:rsidRPr="00470A65">
        <w:rPr>
          <w:rFonts w:ascii="Times New Roman" w:hAnsi="Times New Roman" w:cs="Times New Roman"/>
        </w:rPr>
        <w:t xml:space="preserve"> H, </w:t>
      </w:r>
      <w:proofErr w:type="spellStart"/>
      <w:r w:rsidRPr="00470A65">
        <w:rPr>
          <w:rFonts w:ascii="Times New Roman" w:hAnsi="Times New Roman" w:cs="Times New Roman"/>
        </w:rPr>
        <w:t>Poiree</w:t>
      </w:r>
      <w:proofErr w:type="spellEnd"/>
      <w:r w:rsidRPr="00470A65">
        <w:rPr>
          <w:rFonts w:ascii="Times New Roman" w:hAnsi="Times New Roman" w:cs="Times New Roman"/>
        </w:rPr>
        <w:t xml:space="preserve"> M, </w:t>
      </w:r>
      <w:proofErr w:type="spellStart"/>
      <w:r w:rsidRPr="00470A65">
        <w:rPr>
          <w:rFonts w:ascii="Times New Roman" w:hAnsi="Times New Roman" w:cs="Times New Roman"/>
        </w:rPr>
        <w:t>Cociglio</w:t>
      </w:r>
      <w:proofErr w:type="spellEnd"/>
      <w:r w:rsidRPr="00470A65">
        <w:rPr>
          <w:rFonts w:ascii="Times New Roman" w:hAnsi="Times New Roman" w:cs="Times New Roman"/>
        </w:rPr>
        <w:t xml:space="preserve"> M, </w:t>
      </w:r>
      <w:proofErr w:type="spellStart"/>
      <w:r w:rsidRPr="00470A65">
        <w:rPr>
          <w:rFonts w:ascii="Times New Roman" w:hAnsi="Times New Roman" w:cs="Times New Roman"/>
        </w:rPr>
        <w:t>Margueritte</w:t>
      </w:r>
      <w:proofErr w:type="spellEnd"/>
      <w:r w:rsidRPr="00470A65">
        <w:rPr>
          <w:rFonts w:ascii="Times New Roman" w:hAnsi="Times New Roman" w:cs="Times New Roman"/>
        </w:rPr>
        <w:t xml:space="preserve"> G, Hansel S, </w:t>
      </w:r>
      <w:proofErr w:type="spellStart"/>
      <w:r w:rsidRPr="00470A65">
        <w:rPr>
          <w:rFonts w:ascii="Times New Roman" w:hAnsi="Times New Roman" w:cs="Times New Roman"/>
        </w:rPr>
        <w:t>Hillaire</w:t>
      </w:r>
      <w:proofErr w:type="spellEnd"/>
      <w:r w:rsidRPr="00470A65">
        <w:rPr>
          <w:rFonts w:ascii="Times New Roman" w:hAnsi="Times New Roman" w:cs="Times New Roman"/>
        </w:rPr>
        <w:t xml:space="preserve">-Buys D: Reversal of neurological disturbances related to high-dose methotrexate by aminophylline. Med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Oncol. </w:t>
      </w:r>
      <w:proofErr w:type="gramStart"/>
      <w:r w:rsidRPr="00470A65">
        <w:rPr>
          <w:rFonts w:ascii="Times New Roman" w:hAnsi="Times New Roman" w:cs="Times New Roman"/>
        </w:rPr>
        <w:t>2001;35:662</w:t>
      </w:r>
      <w:proofErr w:type="gramEnd"/>
      <w:r w:rsidRPr="00470A65">
        <w:rPr>
          <w:rFonts w:ascii="Times New Roman" w:hAnsi="Times New Roman" w:cs="Times New Roman"/>
        </w:rPr>
        <w:t xml:space="preserve">–664. </w:t>
      </w:r>
    </w:p>
    <w:p w14:paraId="29538420" w14:textId="77777777" w:rsidR="004E27EB" w:rsidRPr="00470A65" w:rsidRDefault="004E27EB" w:rsidP="00470A65">
      <w:pPr>
        <w:pStyle w:val="ListParagraph"/>
        <w:rPr>
          <w:rFonts w:ascii="Times New Roman" w:hAnsi="Times New Roman" w:cs="Times New Roman"/>
        </w:rPr>
      </w:pPr>
    </w:p>
    <w:p w14:paraId="04007F3E" w14:textId="77777777" w:rsidR="004E27EB" w:rsidRPr="00470A65" w:rsidRDefault="004E27EB" w:rsidP="00470A65">
      <w:pPr>
        <w:pStyle w:val="ListParagraph"/>
        <w:rPr>
          <w:rFonts w:ascii="Times New Roman" w:hAnsi="Times New Roman" w:cs="Times New Roman"/>
        </w:rPr>
      </w:pPr>
    </w:p>
    <w:p w14:paraId="221E292B"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764710">
        <w:rPr>
          <w:rFonts w:ascii="Times New Roman" w:hAnsi="Times New Roman" w:cs="Times New Roman"/>
          <w:lang w:val="es-US"/>
        </w:rPr>
        <w:t>Bhojwani</w:t>
      </w:r>
      <w:proofErr w:type="spellEnd"/>
      <w:r w:rsidRPr="00764710">
        <w:rPr>
          <w:rFonts w:ascii="Times New Roman" w:hAnsi="Times New Roman" w:cs="Times New Roman"/>
          <w:lang w:val="es-US"/>
        </w:rPr>
        <w:t xml:space="preserve"> D, Sabin ND, </w:t>
      </w:r>
      <w:proofErr w:type="spellStart"/>
      <w:r w:rsidRPr="00764710">
        <w:rPr>
          <w:rFonts w:ascii="Times New Roman" w:hAnsi="Times New Roman" w:cs="Times New Roman"/>
          <w:lang w:val="es-US"/>
        </w:rPr>
        <w:t>Pei</w:t>
      </w:r>
      <w:proofErr w:type="spellEnd"/>
      <w:r w:rsidRPr="00764710">
        <w:rPr>
          <w:rFonts w:ascii="Times New Roman" w:hAnsi="Times New Roman" w:cs="Times New Roman"/>
          <w:lang w:val="es-US"/>
        </w:rPr>
        <w:t xml:space="preserve"> D, et al. </w:t>
      </w:r>
      <w:r w:rsidRPr="00470A65">
        <w:rPr>
          <w:rFonts w:ascii="Times New Roman" w:hAnsi="Times New Roman" w:cs="Times New Roman"/>
        </w:rPr>
        <w:t xml:space="preserve">Methotrexate-induced neurotoxicity and leukoencephalopathy in childhood acute lymphoblastic leukemia. J Clin Oncol. </w:t>
      </w:r>
      <w:proofErr w:type="gramStart"/>
      <w:r w:rsidRPr="00470A65">
        <w:rPr>
          <w:rFonts w:ascii="Times New Roman" w:hAnsi="Times New Roman" w:cs="Times New Roman"/>
        </w:rPr>
        <w:t>2014;32:949</w:t>
      </w:r>
      <w:proofErr w:type="gramEnd"/>
      <w:r w:rsidRPr="00470A65">
        <w:rPr>
          <w:rFonts w:ascii="Times New Roman" w:hAnsi="Times New Roman" w:cs="Times New Roman"/>
        </w:rPr>
        <w:t>-959.</w:t>
      </w:r>
    </w:p>
    <w:p w14:paraId="7A1E2092" w14:textId="77777777" w:rsidR="004E27EB" w:rsidRPr="00470A65" w:rsidRDefault="004E27EB" w:rsidP="00470A65">
      <w:pPr>
        <w:pStyle w:val="ListParagraph"/>
        <w:rPr>
          <w:rFonts w:ascii="Times New Roman" w:hAnsi="Times New Roman" w:cs="Times New Roman"/>
        </w:rPr>
      </w:pPr>
    </w:p>
    <w:p w14:paraId="70D48BF4"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Howard SC, McCormick J, </w:t>
      </w:r>
      <w:proofErr w:type="spellStart"/>
      <w:r w:rsidRPr="00470A65">
        <w:rPr>
          <w:rFonts w:ascii="Times New Roman" w:hAnsi="Times New Roman" w:cs="Times New Roman"/>
        </w:rPr>
        <w:t>Pui</w:t>
      </w:r>
      <w:proofErr w:type="spellEnd"/>
      <w:r w:rsidRPr="00470A65">
        <w:rPr>
          <w:rFonts w:ascii="Times New Roman" w:hAnsi="Times New Roman" w:cs="Times New Roman"/>
        </w:rPr>
        <w:t xml:space="preserve"> CH, </w:t>
      </w:r>
      <w:proofErr w:type="spellStart"/>
      <w:r w:rsidRPr="00470A65">
        <w:rPr>
          <w:rFonts w:ascii="Times New Roman" w:hAnsi="Times New Roman" w:cs="Times New Roman"/>
        </w:rPr>
        <w:t>Buddington</w:t>
      </w:r>
      <w:proofErr w:type="spellEnd"/>
      <w:r w:rsidRPr="00470A65">
        <w:rPr>
          <w:rFonts w:ascii="Times New Roman" w:hAnsi="Times New Roman" w:cs="Times New Roman"/>
        </w:rPr>
        <w:t xml:space="preserve"> RK, Harvey RD. Preventing and managing toxicities of high-dose methotrexate. Oncologist. </w:t>
      </w:r>
      <w:proofErr w:type="gramStart"/>
      <w:r w:rsidRPr="00470A65">
        <w:rPr>
          <w:rFonts w:ascii="Times New Roman" w:hAnsi="Times New Roman" w:cs="Times New Roman"/>
        </w:rPr>
        <w:t>2016;21:1471</w:t>
      </w:r>
      <w:proofErr w:type="gramEnd"/>
      <w:r w:rsidRPr="00470A65">
        <w:rPr>
          <w:rFonts w:ascii="Times New Roman" w:hAnsi="Times New Roman" w:cs="Times New Roman"/>
        </w:rPr>
        <w:t xml:space="preserve">-1482. </w:t>
      </w:r>
    </w:p>
    <w:p w14:paraId="250A06DA" w14:textId="77777777" w:rsidR="004E27EB" w:rsidRPr="00470A65" w:rsidRDefault="004E27EB" w:rsidP="00470A65">
      <w:pPr>
        <w:pStyle w:val="ListParagraph"/>
        <w:rPr>
          <w:rFonts w:ascii="Times New Roman" w:hAnsi="Times New Roman" w:cs="Times New Roman"/>
        </w:rPr>
      </w:pPr>
    </w:p>
    <w:p w14:paraId="0CB5B2BD" w14:textId="77777777" w:rsidR="004E27EB" w:rsidRPr="00470A65" w:rsidRDefault="004E27EB" w:rsidP="00470A65">
      <w:pPr>
        <w:pStyle w:val="ListParagraph"/>
        <w:rPr>
          <w:rFonts w:ascii="Times New Roman" w:hAnsi="Times New Roman" w:cs="Times New Roman"/>
        </w:rPr>
      </w:pPr>
    </w:p>
    <w:p w14:paraId="3196B276"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Cole PD, Beckwith KA, </w:t>
      </w:r>
      <w:proofErr w:type="spellStart"/>
      <w:r w:rsidRPr="00470A65">
        <w:rPr>
          <w:rFonts w:ascii="Times New Roman" w:hAnsi="Times New Roman" w:cs="Times New Roman"/>
        </w:rPr>
        <w:t>Vijayanathan</w:t>
      </w:r>
      <w:proofErr w:type="spellEnd"/>
      <w:r w:rsidRPr="00470A65">
        <w:rPr>
          <w:rFonts w:ascii="Times New Roman" w:hAnsi="Times New Roman" w:cs="Times New Roman"/>
        </w:rPr>
        <w:t xml:space="preserve"> V, </w:t>
      </w:r>
      <w:proofErr w:type="spellStart"/>
      <w:r w:rsidRPr="00470A65">
        <w:rPr>
          <w:rFonts w:ascii="Times New Roman" w:hAnsi="Times New Roman" w:cs="Times New Roman"/>
        </w:rPr>
        <w:t>Roychowdhury</w:t>
      </w:r>
      <w:proofErr w:type="spellEnd"/>
      <w:r w:rsidRPr="00470A65">
        <w:rPr>
          <w:rFonts w:ascii="Times New Roman" w:hAnsi="Times New Roman" w:cs="Times New Roman"/>
        </w:rPr>
        <w:t xml:space="preserve"> S, Smith AK, Kamen BA. Folate homeostasis in cerebrospinal fluid during therapy for acute lymphoblastic leukemia.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Neurol. </w:t>
      </w:r>
      <w:proofErr w:type="gramStart"/>
      <w:r w:rsidRPr="00470A65">
        <w:rPr>
          <w:rFonts w:ascii="Times New Roman" w:hAnsi="Times New Roman" w:cs="Times New Roman"/>
        </w:rPr>
        <w:t>2009;40:34</w:t>
      </w:r>
      <w:proofErr w:type="gramEnd"/>
      <w:r w:rsidRPr="00470A65">
        <w:rPr>
          <w:rFonts w:ascii="Times New Roman" w:hAnsi="Times New Roman" w:cs="Times New Roman"/>
        </w:rPr>
        <w:t>-41.</w:t>
      </w:r>
    </w:p>
    <w:p w14:paraId="7D491C60" w14:textId="77777777" w:rsidR="004E27EB" w:rsidRPr="00470A65" w:rsidRDefault="004E27EB" w:rsidP="00470A65">
      <w:pPr>
        <w:pStyle w:val="ListParagraph"/>
        <w:rPr>
          <w:rFonts w:ascii="Times New Roman" w:hAnsi="Times New Roman" w:cs="Times New Roman"/>
        </w:rPr>
      </w:pPr>
    </w:p>
    <w:p w14:paraId="78D281F6"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Kishi</w:t>
      </w:r>
      <w:proofErr w:type="spellEnd"/>
      <w:r w:rsidRPr="00470A65">
        <w:rPr>
          <w:rFonts w:ascii="Times New Roman" w:hAnsi="Times New Roman" w:cs="Times New Roman"/>
        </w:rPr>
        <w:t xml:space="preserve"> S, </w:t>
      </w:r>
      <w:proofErr w:type="spellStart"/>
      <w:r w:rsidRPr="00470A65">
        <w:rPr>
          <w:rFonts w:ascii="Times New Roman" w:hAnsi="Times New Roman" w:cs="Times New Roman"/>
        </w:rPr>
        <w:t>Griener</w:t>
      </w:r>
      <w:proofErr w:type="spellEnd"/>
      <w:r w:rsidRPr="00470A65">
        <w:rPr>
          <w:rFonts w:ascii="Times New Roman" w:hAnsi="Times New Roman" w:cs="Times New Roman"/>
        </w:rPr>
        <w:t xml:space="preserve"> J, Cheng C, et al. Homocysteine, pharmacogenetics, and neurotoxicity in children with leukemia. J Clin Oncol. </w:t>
      </w:r>
      <w:proofErr w:type="gramStart"/>
      <w:r w:rsidRPr="00470A65">
        <w:rPr>
          <w:rFonts w:ascii="Times New Roman" w:hAnsi="Times New Roman" w:cs="Times New Roman"/>
        </w:rPr>
        <w:t>2003;21:3084</w:t>
      </w:r>
      <w:proofErr w:type="gramEnd"/>
      <w:r w:rsidRPr="00470A65">
        <w:rPr>
          <w:rFonts w:ascii="Times New Roman" w:hAnsi="Times New Roman" w:cs="Times New Roman"/>
        </w:rPr>
        <w:t>-3091.</w:t>
      </w:r>
    </w:p>
    <w:p w14:paraId="3ED0BA92" w14:textId="77777777" w:rsidR="004E27EB" w:rsidRPr="00470A65" w:rsidRDefault="004E27EB" w:rsidP="00470A65">
      <w:pPr>
        <w:pStyle w:val="ListParagraph"/>
        <w:rPr>
          <w:rFonts w:ascii="Times New Roman" w:hAnsi="Times New Roman" w:cs="Times New Roman"/>
        </w:rPr>
      </w:pPr>
    </w:p>
    <w:p w14:paraId="689244C9" w14:textId="77777777" w:rsidR="004E27EB" w:rsidRPr="00470A65" w:rsidRDefault="004E27EB" w:rsidP="00470A65">
      <w:pPr>
        <w:pStyle w:val="ListParagraph"/>
        <w:rPr>
          <w:rFonts w:ascii="Times New Roman" w:hAnsi="Times New Roman" w:cs="Times New Roman"/>
        </w:rPr>
      </w:pPr>
    </w:p>
    <w:p w14:paraId="4E65B360"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lastRenderedPageBreak/>
        <w:t xml:space="preserve">Bernini JC, Fort DW, </w:t>
      </w:r>
      <w:proofErr w:type="spellStart"/>
      <w:r w:rsidRPr="00470A65">
        <w:rPr>
          <w:rFonts w:ascii="Times New Roman" w:hAnsi="Times New Roman" w:cs="Times New Roman"/>
        </w:rPr>
        <w:t>Griener</w:t>
      </w:r>
      <w:proofErr w:type="spellEnd"/>
      <w:r w:rsidRPr="00470A65">
        <w:rPr>
          <w:rFonts w:ascii="Times New Roman" w:hAnsi="Times New Roman" w:cs="Times New Roman"/>
        </w:rPr>
        <w:t xml:space="preserve"> JC, Kane BJ, Chappell WB, Kamen BA. Aminophylline for methotrexate-induced neurotoxicity. Lancet. </w:t>
      </w:r>
      <w:proofErr w:type="gramStart"/>
      <w:r w:rsidRPr="00470A65">
        <w:rPr>
          <w:rFonts w:ascii="Times New Roman" w:hAnsi="Times New Roman" w:cs="Times New Roman"/>
        </w:rPr>
        <w:t>1995;345:544</w:t>
      </w:r>
      <w:proofErr w:type="gramEnd"/>
      <w:r w:rsidRPr="00470A65">
        <w:rPr>
          <w:rFonts w:ascii="Times New Roman" w:hAnsi="Times New Roman" w:cs="Times New Roman"/>
        </w:rPr>
        <w:t>-547.</w:t>
      </w:r>
    </w:p>
    <w:p w14:paraId="2E9F5A58" w14:textId="77777777" w:rsidR="004E27EB" w:rsidRPr="00470A65" w:rsidRDefault="004E27EB" w:rsidP="00470A65">
      <w:pPr>
        <w:pStyle w:val="ListParagraph"/>
        <w:rPr>
          <w:rFonts w:ascii="Times New Roman" w:hAnsi="Times New Roman" w:cs="Times New Roman"/>
        </w:rPr>
      </w:pPr>
    </w:p>
    <w:p w14:paraId="3259AE19" w14:textId="77777777" w:rsidR="004E27EB" w:rsidRPr="00470A65" w:rsidRDefault="004E27EB" w:rsidP="00470A65">
      <w:pPr>
        <w:pStyle w:val="ListParagraph"/>
        <w:numPr>
          <w:ilvl w:val="0"/>
          <w:numId w:val="1"/>
        </w:numPr>
        <w:rPr>
          <w:rFonts w:ascii="Times New Roman" w:hAnsi="Times New Roman" w:cs="Times New Roman"/>
        </w:rPr>
      </w:pPr>
      <w:r w:rsidRPr="00470A65">
        <w:rPr>
          <w:rFonts w:ascii="Times New Roman" w:hAnsi="Times New Roman" w:cs="Times New Roman"/>
        </w:rPr>
        <w:t xml:space="preserve">Afshar M, Birnbaum D, Golden C. Review of dextromethorphan administration in 18 patients with subacute methotrexate central nervous system toxicity.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Neurol. </w:t>
      </w:r>
      <w:proofErr w:type="gramStart"/>
      <w:r w:rsidRPr="00470A65">
        <w:rPr>
          <w:rFonts w:ascii="Times New Roman" w:hAnsi="Times New Roman" w:cs="Times New Roman"/>
        </w:rPr>
        <w:t>2014;50:625</w:t>
      </w:r>
      <w:proofErr w:type="gramEnd"/>
      <w:r w:rsidRPr="00470A65">
        <w:rPr>
          <w:rFonts w:ascii="Times New Roman" w:hAnsi="Times New Roman" w:cs="Times New Roman"/>
        </w:rPr>
        <w:t>-629.</w:t>
      </w:r>
    </w:p>
    <w:p w14:paraId="3578BD8A" w14:textId="77777777" w:rsidR="004E27EB" w:rsidRPr="00470A65" w:rsidRDefault="004E27EB" w:rsidP="00470A65">
      <w:pPr>
        <w:pStyle w:val="ListParagraph"/>
        <w:rPr>
          <w:rFonts w:ascii="Times New Roman" w:hAnsi="Times New Roman" w:cs="Times New Roman"/>
        </w:rPr>
      </w:pPr>
    </w:p>
    <w:p w14:paraId="740C2368" w14:textId="77777777" w:rsidR="004E27EB" w:rsidRPr="00470A65" w:rsidRDefault="004E27EB" w:rsidP="00470A65">
      <w:pPr>
        <w:pStyle w:val="ListParagraph"/>
        <w:rPr>
          <w:rFonts w:ascii="Times New Roman" w:hAnsi="Times New Roman" w:cs="Times New Roman"/>
        </w:rPr>
      </w:pPr>
    </w:p>
    <w:p w14:paraId="10B7498A"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Drachtman</w:t>
      </w:r>
      <w:proofErr w:type="spellEnd"/>
      <w:r w:rsidRPr="00470A65">
        <w:rPr>
          <w:rFonts w:ascii="Times New Roman" w:hAnsi="Times New Roman" w:cs="Times New Roman"/>
        </w:rPr>
        <w:t xml:space="preserve"> RA, Cole PD, Golden CB, et al. Dextromethorphan is effective in the treatment of subacute methotrexate neurotoxicity.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w:t>
      </w:r>
      <w:proofErr w:type="spellStart"/>
      <w:r w:rsidRPr="00470A65">
        <w:rPr>
          <w:rFonts w:ascii="Times New Roman" w:hAnsi="Times New Roman" w:cs="Times New Roman"/>
        </w:rPr>
        <w:t>Hematol</w:t>
      </w:r>
      <w:proofErr w:type="spellEnd"/>
      <w:r w:rsidRPr="00470A65">
        <w:rPr>
          <w:rFonts w:ascii="Times New Roman" w:hAnsi="Times New Roman" w:cs="Times New Roman"/>
        </w:rPr>
        <w:t xml:space="preserve"> Oncol. </w:t>
      </w:r>
      <w:proofErr w:type="gramStart"/>
      <w:r w:rsidRPr="00470A65">
        <w:rPr>
          <w:rFonts w:ascii="Times New Roman" w:hAnsi="Times New Roman" w:cs="Times New Roman"/>
        </w:rPr>
        <w:t>2002;19:319</w:t>
      </w:r>
      <w:proofErr w:type="gramEnd"/>
      <w:r w:rsidRPr="00470A65">
        <w:rPr>
          <w:rFonts w:ascii="Times New Roman" w:hAnsi="Times New Roman" w:cs="Times New Roman"/>
        </w:rPr>
        <w:t>-327.</w:t>
      </w:r>
    </w:p>
    <w:p w14:paraId="628CF73E" w14:textId="77777777" w:rsidR="004E27EB" w:rsidRPr="00470A65" w:rsidRDefault="004E27EB" w:rsidP="00470A65">
      <w:pPr>
        <w:pStyle w:val="ListParagraph"/>
        <w:rPr>
          <w:rFonts w:ascii="Times New Roman" w:hAnsi="Times New Roman" w:cs="Times New Roman"/>
        </w:rPr>
      </w:pPr>
    </w:p>
    <w:p w14:paraId="54F5E3A2" w14:textId="77777777" w:rsidR="004E27EB" w:rsidRPr="00470A65" w:rsidRDefault="004E27EB" w:rsidP="00470A65">
      <w:pPr>
        <w:pStyle w:val="ListParagraph"/>
        <w:numPr>
          <w:ilvl w:val="0"/>
          <w:numId w:val="1"/>
        </w:numPr>
        <w:rPr>
          <w:rFonts w:ascii="Times New Roman" w:hAnsi="Times New Roman" w:cs="Times New Roman"/>
        </w:rPr>
      </w:pPr>
      <w:proofErr w:type="spellStart"/>
      <w:r w:rsidRPr="00470A65">
        <w:rPr>
          <w:rFonts w:ascii="Times New Roman" w:hAnsi="Times New Roman" w:cs="Times New Roman"/>
        </w:rPr>
        <w:t>Tsurusawa</w:t>
      </w:r>
      <w:proofErr w:type="spellEnd"/>
      <w:r w:rsidRPr="00470A65">
        <w:rPr>
          <w:rFonts w:ascii="Times New Roman" w:hAnsi="Times New Roman" w:cs="Times New Roman"/>
        </w:rPr>
        <w:t xml:space="preserve"> M, </w:t>
      </w:r>
      <w:proofErr w:type="spellStart"/>
      <w:r w:rsidRPr="00470A65">
        <w:rPr>
          <w:rFonts w:ascii="Times New Roman" w:hAnsi="Times New Roman" w:cs="Times New Roman"/>
        </w:rPr>
        <w:t>Gosho</w:t>
      </w:r>
      <w:proofErr w:type="spellEnd"/>
      <w:r w:rsidRPr="00470A65">
        <w:rPr>
          <w:rFonts w:ascii="Times New Roman" w:hAnsi="Times New Roman" w:cs="Times New Roman"/>
        </w:rPr>
        <w:t xml:space="preserve"> M, Mori T, Mitsui T, </w:t>
      </w:r>
      <w:proofErr w:type="spellStart"/>
      <w:r w:rsidRPr="00470A65">
        <w:rPr>
          <w:rFonts w:ascii="Times New Roman" w:hAnsi="Times New Roman" w:cs="Times New Roman"/>
        </w:rPr>
        <w:t>Sunami</w:t>
      </w:r>
      <w:proofErr w:type="spellEnd"/>
      <w:r w:rsidRPr="00470A65">
        <w:rPr>
          <w:rFonts w:ascii="Times New Roman" w:hAnsi="Times New Roman" w:cs="Times New Roman"/>
        </w:rPr>
        <w:t xml:space="preserve"> S, Kobayashi R, </w:t>
      </w:r>
      <w:proofErr w:type="spellStart"/>
      <w:r w:rsidRPr="00470A65">
        <w:rPr>
          <w:rFonts w:ascii="Times New Roman" w:hAnsi="Times New Roman" w:cs="Times New Roman"/>
        </w:rPr>
        <w:t>Fukano</w:t>
      </w:r>
      <w:proofErr w:type="spellEnd"/>
      <w:r w:rsidRPr="00470A65">
        <w:rPr>
          <w:rFonts w:ascii="Times New Roman" w:hAnsi="Times New Roman" w:cs="Times New Roman"/>
        </w:rPr>
        <w:t xml:space="preserve"> R, Tanaka F, Fujita N, Inada H, et al: Statistical analysis of relation between plasma methotrexate concentration and toxicity in high-dose methotrexate therapy of childhood </w:t>
      </w:r>
      <w:proofErr w:type="spellStart"/>
      <w:r w:rsidRPr="00470A65">
        <w:rPr>
          <w:rFonts w:ascii="Times New Roman" w:hAnsi="Times New Roman" w:cs="Times New Roman"/>
        </w:rPr>
        <w:t>nonHodgkin</w:t>
      </w:r>
      <w:proofErr w:type="spellEnd"/>
      <w:r w:rsidRPr="00470A65">
        <w:rPr>
          <w:rFonts w:ascii="Times New Roman" w:hAnsi="Times New Roman" w:cs="Times New Roman"/>
        </w:rPr>
        <w:t xml:space="preserve"> lymphoma. </w:t>
      </w:r>
      <w:proofErr w:type="spellStart"/>
      <w:r w:rsidRPr="00470A65">
        <w:rPr>
          <w:rFonts w:ascii="Times New Roman" w:hAnsi="Times New Roman" w:cs="Times New Roman"/>
        </w:rPr>
        <w:t>Pediatr</w:t>
      </w:r>
      <w:proofErr w:type="spellEnd"/>
      <w:r w:rsidRPr="00470A65">
        <w:rPr>
          <w:rFonts w:ascii="Times New Roman" w:hAnsi="Times New Roman" w:cs="Times New Roman"/>
        </w:rPr>
        <w:t xml:space="preserve"> Blood Cancer</w:t>
      </w:r>
      <w:r w:rsidR="007E215C" w:rsidRPr="00470A65">
        <w:rPr>
          <w:rFonts w:ascii="Times New Roman" w:hAnsi="Times New Roman" w:cs="Times New Roman"/>
        </w:rPr>
        <w:t>. 2015; 62: 279-284</w:t>
      </w:r>
      <w:r w:rsidRPr="00470A65">
        <w:rPr>
          <w:rFonts w:ascii="Times New Roman" w:hAnsi="Times New Roman" w:cs="Times New Roman"/>
        </w:rPr>
        <w:t>.</w:t>
      </w:r>
    </w:p>
    <w:p w14:paraId="782A9D15" w14:textId="5474AD94" w:rsidR="004E27EB" w:rsidRPr="00764710" w:rsidRDefault="004B6C2B" w:rsidP="004E27EB">
      <w:pPr>
        <w:shd w:val="clear" w:color="auto" w:fill="FFFFFB"/>
        <w:spacing w:before="300" w:after="300" w:line="360" w:lineRule="atLeast"/>
        <w:jc w:val="both"/>
        <w:textAlignment w:val="baseline"/>
        <w:rPr>
          <w:rFonts w:ascii="Times New Roman" w:hAnsi="Times New Roman" w:cs="Times New Roman"/>
          <w:highlight w:val="yellow"/>
        </w:rPr>
      </w:pPr>
      <w:r w:rsidRPr="00764710">
        <w:rPr>
          <w:rFonts w:ascii="Times New Roman" w:hAnsi="Times New Roman" w:cs="Times New Roman"/>
          <w:highlight w:val="yellow"/>
        </w:rPr>
        <w:t xml:space="preserve">Pagliaro, L., Chen, S. J., </w:t>
      </w:r>
      <w:proofErr w:type="spellStart"/>
      <w:r w:rsidRPr="00764710">
        <w:rPr>
          <w:rFonts w:ascii="Times New Roman" w:hAnsi="Times New Roman" w:cs="Times New Roman"/>
          <w:highlight w:val="yellow"/>
        </w:rPr>
        <w:t>Herranz</w:t>
      </w:r>
      <w:proofErr w:type="spellEnd"/>
      <w:r w:rsidRPr="00764710">
        <w:rPr>
          <w:rFonts w:ascii="Times New Roman" w:hAnsi="Times New Roman" w:cs="Times New Roman"/>
          <w:highlight w:val="yellow"/>
        </w:rPr>
        <w:t xml:space="preserve">, D., </w:t>
      </w:r>
      <w:proofErr w:type="spellStart"/>
      <w:r w:rsidRPr="00764710">
        <w:rPr>
          <w:rFonts w:ascii="Times New Roman" w:hAnsi="Times New Roman" w:cs="Times New Roman"/>
          <w:highlight w:val="yellow"/>
        </w:rPr>
        <w:t>Mecucci</w:t>
      </w:r>
      <w:proofErr w:type="spellEnd"/>
      <w:r w:rsidRPr="00764710">
        <w:rPr>
          <w:rFonts w:ascii="Times New Roman" w:hAnsi="Times New Roman" w:cs="Times New Roman"/>
          <w:highlight w:val="yellow"/>
        </w:rPr>
        <w:t xml:space="preserve">, C., Harrison, C. J., </w:t>
      </w:r>
      <w:proofErr w:type="spellStart"/>
      <w:r w:rsidRPr="00764710">
        <w:rPr>
          <w:rFonts w:ascii="Times New Roman" w:hAnsi="Times New Roman" w:cs="Times New Roman"/>
          <w:highlight w:val="yellow"/>
        </w:rPr>
        <w:t>Mullighan</w:t>
      </w:r>
      <w:proofErr w:type="spellEnd"/>
      <w:r w:rsidRPr="00764710">
        <w:rPr>
          <w:rFonts w:ascii="Times New Roman" w:hAnsi="Times New Roman" w:cs="Times New Roman"/>
          <w:highlight w:val="yellow"/>
        </w:rPr>
        <w:t xml:space="preserve">, C. G., ... &amp; Roti, G. (2024). Acute lymphoblastic </w:t>
      </w:r>
      <w:proofErr w:type="spellStart"/>
      <w:r w:rsidRPr="00764710">
        <w:rPr>
          <w:rFonts w:ascii="Times New Roman" w:hAnsi="Times New Roman" w:cs="Times New Roman"/>
          <w:highlight w:val="yellow"/>
        </w:rPr>
        <w:t>leukaemia</w:t>
      </w:r>
      <w:proofErr w:type="spellEnd"/>
      <w:r w:rsidRPr="00764710">
        <w:rPr>
          <w:rFonts w:ascii="Times New Roman" w:hAnsi="Times New Roman" w:cs="Times New Roman"/>
          <w:highlight w:val="yellow"/>
        </w:rPr>
        <w:t xml:space="preserve">. Nature Reviews Disease Primers, 10(1), 41. </w:t>
      </w:r>
    </w:p>
    <w:p w14:paraId="6F8534DF" w14:textId="67A703A8" w:rsidR="001E0E75" w:rsidRDefault="001E0E75" w:rsidP="004E27EB">
      <w:pPr>
        <w:shd w:val="clear" w:color="auto" w:fill="FFFFFB"/>
        <w:spacing w:before="300" w:after="300" w:line="360" w:lineRule="atLeast"/>
        <w:jc w:val="both"/>
        <w:textAlignment w:val="baseline"/>
        <w:rPr>
          <w:rFonts w:ascii="Times New Roman" w:hAnsi="Times New Roman" w:cs="Times New Roman"/>
        </w:rPr>
      </w:pPr>
      <w:r w:rsidRPr="00764710">
        <w:rPr>
          <w:rFonts w:ascii="Times New Roman" w:hAnsi="Times New Roman" w:cs="Times New Roman"/>
          <w:highlight w:val="yellow"/>
        </w:rPr>
        <w:t>Scherer, L. D., &amp; Schafer, E. S. (2022). Prophylaxis and treatment of central nervous system (CNS) acute lymphoblastic leukemia. Clinical Management of Acute Lymphoblastic Leukemia: From Bench to Bedside, 235-265.</w:t>
      </w:r>
      <w:r>
        <w:rPr>
          <w:rFonts w:ascii="Times New Roman" w:hAnsi="Times New Roman" w:cs="Times New Roman"/>
        </w:rPr>
        <w:t xml:space="preserve"> </w:t>
      </w:r>
    </w:p>
    <w:p w14:paraId="15D929AA" w14:textId="3EC2ED47" w:rsidR="004E27EB" w:rsidRPr="00470A65" w:rsidRDefault="001E0E75" w:rsidP="004E27EB">
      <w:pPr>
        <w:shd w:val="clear" w:color="auto" w:fill="FFFFFB"/>
        <w:spacing w:before="300" w:after="300" w:line="360" w:lineRule="atLeast"/>
        <w:jc w:val="both"/>
        <w:textAlignment w:val="baseline"/>
        <w:rPr>
          <w:rFonts w:ascii="Times New Roman" w:hAnsi="Times New Roman" w:cs="Times New Roman"/>
        </w:rPr>
      </w:pPr>
      <w:r w:rsidRPr="00764710">
        <w:rPr>
          <w:rFonts w:ascii="Times New Roman" w:hAnsi="Times New Roman" w:cs="Times New Roman"/>
          <w:highlight w:val="yellow"/>
          <w:lang w:val="es-US"/>
        </w:rPr>
        <w:t xml:space="preserve">Besora, S., </w:t>
      </w:r>
      <w:proofErr w:type="spellStart"/>
      <w:r w:rsidRPr="00764710">
        <w:rPr>
          <w:rFonts w:ascii="Times New Roman" w:hAnsi="Times New Roman" w:cs="Times New Roman"/>
          <w:highlight w:val="yellow"/>
          <w:lang w:val="es-US"/>
        </w:rPr>
        <w:t>Garcilazo</w:t>
      </w:r>
      <w:proofErr w:type="spellEnd"/>
      <w:r w:rsidRPr="00764710">
        <w:rPr>
          <w:rFonts w:ascii="Times New Roman" w:hAnsi="Times New Roman" w:cs="Times New Roman"/>
          <w:highlight w:val="yellow"/>
          <w:lang w:val="es-US"/>
        </w:rPr>
        <w:t xml:space="preserve">-Reyes, Y., &amp; Velasco, R. (2025). </w:t>
      </w:r>
      <w:r w:rsidRPr="00764710">
        <w:rPr>
          <w:rFonts w:ascii="Times New Roman" w:hAnsi="Times New Roman" w:cs="Times New Roman"/>
          <w:highlight w:val="yellow"/>
        </w:rPr>
        <w:t xml:space="preserve">Methotrexate-induced neurotoxicity in oncology: Current issues for a classic drug. Journal of the Neurological Sciences, 123514. </w:t>
      </w:r>
    </w:p>
    <w:p w14:paraId="47201C20" w14:textId="77777777" w:rsidR="008D6EE8" w:rsidRPr="00470A65" w:rsidRDefault="00207543" w:rsidP="004E27EB">
      <w:pPr>
        <w:jc w:val="both"/>
        <w:rPr>
          <w:rFonts w:ascii="Times New Roman" w:hAnsi="Times New Roman" w:cs="Times New Roman"/>
        </w:rPr>
      </w:pPr>
      <w:r w:rsidRPr="00470A65">
        <w:rPr>
          <w:rFonts w:ascii="Times New Roman" w:hAnsi="Times New Roman" w:cs="Times New Roman"/>
        </w:rPr>
        <w:t xml:space="preserve">           </w:t>
      </w:r>
      <w:r w:rsidR="008D6EE8" w:rsidRPr="00470A65">
        <w:rPr>
          <w:rFonts w:ascii="Times New Roman" w:hAnsi="Times New Roman" w:cs="Times New Roman"/>
        </w:rPr>
        <w:t xml:space="preserve">   </w:t>
      </w:r>
    </w:p>
    <w:sectPr w:rsidR="008D6EE8" w:rsidRPr="00470A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1DAD8" w14:textId="77777777" w:rsidR="004370A0" w:rsidRDefault="004370A0" w:rsidP="00410D7C">
      <w:pPr>
        <w:spacing w:after="0" w:line="240" w:lineRule="auto"/>
      </w:pPr>
      <w:r>
        <w:separator/>
      </w:r>
    </w:p>
  </w:endnote>
  <w:endnote w:type="continuationSeparator" w:id="0">
    <w:p w14:paraId="5F448384" w14:textId="77777777" w:rsidR="004370A0" w:rsidRDefault="004370A0" w:rsidP="0041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A9121" w14:textId="77777777" w:rsidR="00410D7C" w:rsidRDefault="0041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C93D" w14:textId="77777777" w:rsidR="00410D7C" w:rsidRDefault="00410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DA07" w14:textId="77777777" w:rsidR="00410D7C" w:rsidRDefault="00410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D21E3" w14:textId="77777777" w:rsidR="004370A0" w:rsidRDefault="004370A0" w:rsidP="00410D7C">
      <w:pPr>
        <w:spacing w:after="0" w:line="240" w:lineRule="auto"/>
      </w:pPr>
      <w:r>
        <w:separator/>
      </w:r>
    </w:p>
  </w:footnote>
  <w:footnote w:type="continuationSeparator" w:id="0">
    <w:p w14:paraId="64CD6A48" w14:textId="77777777" w:rsidR="004370A0" w:rsidRDefault="004370A0" w:rsidP="00410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328B" w14:textId="3833FFEE" w:rsidR="00410D7C" w:rsidRDefault="004370A0">
    <w:pPr>
      <w:pStyle w:val="Header"/>
    </w:pPr>
    <w:r>
      <w:rPr>
        <w:noProof/>
      </w:rPr>
      <w:pict w14:anchorId="03E9B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228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5254" w14:textId="4949307E" w:rsidR="00410D7C" w:rsidRDefault="004370A0">
    <w:pPr>
      <w:pStyle w:val="Header"/>
    </w:pPr>
    <w:r>
      <w:rPr>
        <w:noProof/>
      </w:rPr>
      <w:pict w14:anchorId="7042A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228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B74A0" w14:textId="2E653722" w:rsidR="00410D7C" w:rsidRDefault="004370A0">
    <w:pPr>
      <w:pStyle w:val="Header"/>
    </w:pPr>
    <w:r>
      <w:rPr>
        <w:noProof/>
      </w:rPr>
      <w:pict w14:anchorId="20170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228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E0895"/>
    <w:multiLevelType w:val="hybridMultilevel"/>
    <w:tmpl w:val="FEB0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G0NDGwNDA3sDA1MzBW0lEKTi0uzszPAykwrgUAUsmvsSwAAAA="/>
  </w:docVars>
  <w:rsids>
    <w:rsidRoot w:val="00624508"/>
    <w:rsid w:val="000150D8"/>
    <w:rsid w:val="00021DB8"/>
    <w:rsid w:val="00063B0C"/>
    <w:rsid w:val="000C5F2F"/>
    <w:rsid w:val="000D62EE"/>
    <w:rsid w:val="000F6A3C"/>
    <w:rsid w:val="001049D6"/>
    <w:rsid w:val="00105000"/>
    <w:rsid w:val="001376D0"/>
    <w:rsid w:val="00152FE7"/>
    <w:rsid w:val="001538B3"/>
    <w:rsid w:val="00166763"/>
    <w:rsid w:val="00174C31"/>
    <w:rsid w:val="00192350"/>
    <w:rsid w:val="001B79BB"/>
    <w:rsid w:val="001E0E75"/>
    <w:rsid w:val="00207543"/>
    <w:rsid w:val="00262144"/>
    <w:rsid w:val="0029223A"/>
    <w:rsid w:val="002C7ED2"/>
    <w:rsid w:val="003172AB"/>
    <w:rsid w:val="0033058F"/>
    <w:rsid w:val="003552AB"/>
    <w:rsid w:val="00397E86"/>
    <w:rsid w:val="003C0AB0"/>
    <w:rsid w:val="003E0C9A"/>
    <w:rsid w:val="003E1B52"/>
    <w:rsid w:val="00410D7C"/>
    <w:rsid w:val="00417E84"/>
    <w:rsid w:val="004370A0"/>
    <w:rsid w:val="00470A65"/>
    <w:rsid w:val="00495A56"/>
    <w:rsid w:val="004A6170"/>
    <w:rsid w:val="004B6C2B"/>
    <w:rsid w:val="004E27EB"/>
    <w:rsid w:val="00533820"/>
    <w:rsid w:val="005B77DF"/>
    <w:rsid w:val="005D1A46"/>
    <w:rsid w:val="00606BB3"/>
    <w:rsid w:val="00617A77"/>
    <w:rsid w:val="00624508"/>
    <w:rsid w:val="006670EE"/>
    <w:rsid w:val="00671197"/>
    <w:rsid w:val="006C2B15"/>
    <w:rsid w:val="00730C5B"/>
    <w:rsid w:val="0073392B"/>
    <w:rsid w:val="00764710"/>
    <w:rsid w:val="007D1C4E"/>
    <w:rsid w:val="007E215C"/>
    <w:rsid w:val="007E4575"/>
    <w:rsid w:val="007F6D4F"/>
    <w:rsid w:val="00800F7E"/>
    <w:rsid w:val="008551F8"/>
    <w:rsid w:val="0086456E"/>
    <w:rsid w:val="008D6EE8"/>
    <w:rsid w:val="008F5E13"/>
    <w:rsid w:val="00902F76"/>
    <w:rsid w:val="00911AFF"/>
    <w:rsid w:val="00926302"/>
    <w:rsid w:val="009812DB"/>
    <w:rsid w:val="009A0D03"/>
    <w:rsid w:val="009F45CF"/>
    <w:rsid w:val="00A521C0"/>
    <w:rsid w:val="00A552C0"/>
    <w:rsid w:val="00A80C87"/>
    <w:rsid w:val="00A83E24"/>
    <w:rsid w:val="00AA271E"/>
    <w:rsid w:val="00AA308C"/>
    <w:rsid w:val="00AC0669"/>
    <w:rsid w:val="00AE61BE"/>
    <w:rsid w:val="00AF7FA4"/>
    <w:rsid w:val="00B10072"/>
    <w:rsid w:val="00B11145"/>
    <w:rsid w:val="00B13360"/>
    <w:rsid w:val="00B2596D"/>
    <w:rsid w:val="00B96223"/>
    <w:rsid w:val="00BA60B0"/>
    <w:rsid w:val="00BC2492"/>
    <w:rsid w:val="00BD66EC"/>
    <w:rsid w:val="00BE6EF4"/>
    <w:rsid w:val="00BE7DD1"/>
    <w:rsid w:val="00C01FE7"/>
    <w:rsid w:val="00C1130B"/>
    <w:rsid w:val="00C40A7E"/>
    <w:rsid w:val="00C47F5D"/>
    <w:rsid w:val="00C574A1"/>
    <w:rsid w:val="00C8204D"/>
    <w:rsid w:val="00C82676"/>
    <w:rsid w:val="00C91AA8"/>
    <w:rsid w:val="00CA2299"/>
    <w:rsid w:val="00CB2716"/>
    <w:rsid w:val="00CB32D5"/>
    <w:rsid w:val="00D21806"/>
    <w:rsid w:val="00D2720D"/>
    <w:rsid w:val="00D30A97"/>
    <w:rsid w:val="00DB4795"/>
    <w:rsid w:val="00DB512B"/>
    <w:rsid w:val="00E44145"/>
    <w:rsid w:val="00E861B3"/>
    <w:rsid w:val="00E94C93"/>
    <w:rsid w:val="00EA253E"/>
    <w:rsid w:val="00EA4C1A"/>
    <w:rsid w:val="00EB10BF"/>
    <w:rsid w:val="00ED17EF"/>
    <w:rsid w:val="00ED7618"/>
    <w:rsid w:val="00F22FB2"/>
    <w:rsid w:val="00F44EA0"/>
    <w:rsid w:val="00F6602D"/>
    <w:rsid w:val="00FA5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D9D189"/>
  <w15:docId w15:val="{56C9764A-FB5F-4F39-B29A-98DBBA05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7EB"/>
    <w:pPr>
      <w:spacing w:after="160" w:line="259" w:lineRule="auto"/>
      <w:ind w:left="720"/>
      <w:contextualSpacing/>
    </w:pPr>
    <w:rPr>
      <w:kern w:val="0"/>
      <w14:ligatures w14:val="none"/>
    </w:rPr>
  </w:style>
  <w:style w:type="paragraph" w:styleId="NormalWeb">
    <w:name w:val="Normal (Web)"/>
    <w:basedOn w:val="Normal"/>
    <w:uiPriority w:val="99"/>
    <w:semiHidden/>
    <w:unhideWhenUsed/>
    <w:rsid w:val="00EB10BF"/>
    <w:pPr>
      <w:spacing w:before="100" w:beforeAutospacing="1" w:after="100" w:afterAutospacing="1" w:line="240" w:lineRule="auto"/>
    </w:pPr>
    <w:rPr>
      <w:rFonts w:ascii="Times New Roman" w:eastAsia="Times New Roman" w:hAnsi="Times New Roman" w:cs="Times New Roman"/>
      <w:kern w:val="0"/>
      <w:sz w:val="24"/>
      <w:szCs w:val="24"/>
      <w:lang w:val="en-AU" w:eastAsia="en-AU"/>
      <w14:ligatures w14:val="none"/>
    </w:rPr>
  </w:style>
  <w:style w:type="character" w:styleId="Strong">
    <w:name w:val="Strong"/>
    <w:basedOn w:val="DefaultParagraphFont"/>
    <w:uiPriority w:val="22"/>
    <w:qFormat/>
    <w:rsid w:val="00EB10BF"/>
    <w:rPr>
      <w:b/>
      <w:bCs/>
    </w:rPr>
  </w:style>
  <w:style w:type="character" w:styleId="Hyperlink">
    <w:name w:val="Hyperlink"/>
    <w:basedOn w:val="DefaultParagraphFont"/>
    <w:uiPriority w:val="99"/>
    <w:unhideWhenUsed/>
    <w:rsid w:val="00166763"/>
    <w:rPr>
      <w:color w:val="0000FF" w:themeColor="hyperlink"/>
      <w:u w:val="single"/>
    </w:rPr>
  </w:style>
  <w:style w:type="character" w:styleId="UnresolvedMention">
    <w:name w:val="Unresolved Mention"/>
    <w:basedOn w:val="DefaultParagraphFont"/>
    <w:uiPriority w:val="99"/>
    <w:semiHidden/>
    <w:unhideWhenUsed/>
    <w:rsid w:val="00166763"/>
    <w:rPr>
      <w:color w:val="605E5C"/>
      <w:shd w:val="clear" w:color="auto" w:fill="E1DFDD"/>
    </w:rPr>
  </w:style>
  <w:style w:type="paragraph" w:styleId="Header">
    <w:name w:val="header"/>
    <w:basedOn w:val="Normal"/>
    <w:link w:val="HeaderChar"/>
    <w:uiPriority w:val="99"/>
    <w:unhideWhenUsed/>
    <w:rsid w:val="0041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D7C"/>
  </w:style>
  <w:style w:type="paragraph" w:styleId="Footer">
    <w:name w:val="footer"/>
    <w:basedOn w:val="Normal"/>
    <w:link w:val="FooterChar"/>
    <w:uiPriority w:val="99"/>
    <w:unhideWhenUsed/>
    <w:rsid w:val="0041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D7C"/>
  </w:style>
  <w:style w:type="paragraph" w:styleId="Revision">
    <w:name w:val="Revision"/>
    <w:hidden/>
    <w:uiPriority w:val="99"/>
    <w:semiHidden/>
    <w:rsid w:val="008F5E13"/>
    <w:pPr>
      <w:spacing w:after="0" w:line="240" w:lineRule="auto"/>
    </w:pPr>
  </w:style>
  <w:style w:type="paragraph" w:styleId="BalloonText">
    <w:name w:val="Balloon Text"/>
    <w:basedOn w:val="Normal"/>
    <w:link w:val="BalloonTextChar"/>
    <w:uiPriority w:val="99"/>
    <w:semiHidden/>
    <w:unhideWhenUsed/>
    <w:rsid w:val="00764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044702">
      <w:bodyDiv w:val="1"/>
      <w:marLeft w:val="0"/>
      <w:marRight w:val="0"/>
      <w:marTop w:val="0"/>
      <w:marBottom w:val="0"/>
      <w:divBdr>
        <w:top w:val="none" w:sz="0" w:space="0" w:color="auto"/>
        <w:left w:val="none" w:sz="0" w:space="0" w:color="auto"/>
        <w:bottom w:val="none" w:sz="0" w:space="0" w:color="auto"/>
        <w:right w:val="none" w:sz="0" w:space="0" w:color="auto"/>
      </w:divBdr>
    </w:div>
    <w:div w:id="968363342">
      <w:bodyDiv w:val="1"/>
      <w:marLeft w:val="0"/>
      <w:marRight w:val="0"/>
      <w:marTop w:val="0"/>
      <w:marBottom w:val="0"/>
      <w:divBdr>
        <w:top w:val="none" w:sz="0" w:space="0" w:color="auto"/>
        <w:left w:val="none" w:sz="0" w:space="0" w:color="auto"/>
        <w:bottom w:val="none" w:sz="0" w:space="0" w:color="auto"/>
        <w:right w:val="none" w:sz="0" w:space="0" w:color="auto"/>
      </w:divBdr>
    </w:div>
    <w:div w:id="1513184123">
      <w:bodyDiv w:val="1"/>
      <w:marLeft w:val="0"/>
      <w:marRight w:val="0"/>
      <w:marTop w:val="0"/>
      <w:marBottom w:val="0"/>
      <w:divBdr>
        <w:top w:val="none" w:sz="0" w:space="0" w:color="auto"/>
        <w:left w:val="none" w:sz="0" w:space="0" w:color="auto"/>
        <w:bottom w:val="none" w:sz="0" w:space="0" w:color="auto"/>
        <w:right w:val="none" w:sz="0" w:space="0" w:color="auto"/>
      </w:divBdr>
    </w:div>
    <w:div w:id="1726563911">
      <w:bodyDiv w:val="1"/>
      <w:marLeft w:val="0"/>
      <w:marRight w:val="0"/>
      <w:marTop w:val="0"/>
      <w:marBottom w:val="0"/>
      <w:divBdr>
        <w:top w:val="none" w:sz="0" w:space="0" w:color="auto"/>
        <w:left w:val="none" w:sz="0" w:space="0" w:color="auto"/>
        <w:bottom w:val="none" w:sz="0" w:space="0" w:color="auto"/>
        <w:right w:val="none" w:sz="0" w:space="0" w:color="auto"/>
      </w:divBdr>
    </w:div>
    <w:div w:id="17946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er.cancer.gov/csr/1975_201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3210</TotalTime>
  <Pages>7</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cp:lastModifiedBy>
  <cp:revision>65</cp:revision>
  <dcterms:created xsi:type="dcterms:W3CDTF">2024-07-21T05:51:00Z</dcterms:created>
  <dcterms:modified xsi:type="dcterms:W3CDTF">2025-06-12T11:55:00Z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75bf4983-0140-4c2c-994f-0ae8ee1d61f2</vt:lpwstr>
  </property>
</Properties>
</file>