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820F1" w14:textId="77777777" w:rsidR="00C974A7" w:rsidRPr="00C974A7" w:rsidRDefault="00C974A7" w:rsidP="00C974A7">
      <w:pPr>
        <w:jc w:val="right"/>
        <w:rPr>
          <w:rFonts w:ascii="Arial" w:hAnsi="Arial" w:cs="Arial"/>
          <w:b/>
          <w:bCs/>
          <w:i/>
          <w:iCs/>
          <w:sz w:val="36"/>
          <w:szCs w:val="36"/>
          <w:u w:val="single"/>
          <w:lang w:val="en-US"/>
        </w:rPr>
      </w:pPr>
      <w:bookmarkStart w:id="0" w:name="_Hlk199148864"/>
      <w:r w:rsidRPr="00C974A7">
        <w:rPr>
          <w:rFonts w:ascii="Arial" w:hAnsi="Arial" w:cs="Arial"/>
          <w:b/>
          <w:bCs/>
          <w:i/>
          <w:iCs/>
          <w:sz w:val="36"/>
          <w:szCs w:val="36"/>
          <w:u w:val="single"/>
          <w:lang w:val="en-US"/>
        </w:rPr>
        <w:t xml:space="preserve">Case report </w:t>
      </w:r>
    </w:p>
    <w:p w14:paraId="497C9CD4" w14:textId="77777777" w:rsidR="00C974A7" w:rsidRDefault="00C974A7" w:rsidP="005817C5">
      <w:pPr>
        <w:jc w:val="right"/>
        <w:rPr>
          <w:rFonts w:ascii="Arial" w:hAnsi="Arial" w:cs="Arial"/>
          <w:b/>
          <w:sz w:val="36"/>
          <w:szCs w:val="36"/>
        </w:rPr>
      </w:pPr>
    </w:p>
    <w:p w14:paraId="5C7B2EBD" w14:textId="2BF020A3" w:rsidR="00472741" w:rsidRPr="005817C5" w:rsidRDefault="00067F7C" w:rsidP="005817C5">
      <w:pPr>
        <w:jc w:val="right"/>
        <w:rPr>
          <w:rFonts w:ascii="Arial" w:hAnsi="Arial" w:cs="Arial"/>
          <w:b/>
          <w:sz w:val="36"/>
          <w:szCs w:val="36"/>
        </w:rPr>
      </w:pPr>
      <w:r>
        <w:rPr>
          <w:rFonts w:ascii="Arial" w:hAnsi="Arial" w:cs="Arial"/>
          <w:b/>
          <w:sz w:val="36"/>
          <w:szCs w:val="36"/>
          <w:highlight w:val="yellow"/>
        </w:rPr>
        <w:t xml:space="preserve">Case report on </w:t>
      </w:r>
      <w:r w:rsidR="00472741" w:rsidRPr="00472741">
        <w:rPr>
          <w:rFonts w:ascii="Arial" w:hAnsi="Arial" w:cs="Arial"/>
          <w:b/>
          <w:sz w:val="36"/>
          <w:szCs w:val="36"/>
          <w:highlight w:val="yellow"/>
        </w:rPr>
        <w:t xml:space="preserve">Monoclonal Immunoglobulin Deposition Disease (MIDD): A rare but not forgotten </w:t>
      </w:r>
      <w:bookmarkStart w:id="1" w:name="_GoBack"/>
      <w:bookmarkEnd w:id="1"/>
      <w:r w:rsidR="00472741" w:rsidRPr="00472741">
        <w:rPr>
          <w:rFonts w:ascii="Arial" w:hAnsi="Arial" w:cs="Arial"/>
          <w:b/>
          <w:sz w:val="36"/>
          <w:szCs w:val="36"/>
          <w:highlight w:val="yellow"/>
        </w:rPr>
        <w:t>diagnosis</w:t>
      </w:r>
    </w:p>
    <w:bookmarkEnd w:id="0"/>
    <w:p w14:paraId="3E60F402" w14:textId="77777777" w:rsidR="006D3DA4" w:rsidRPr="005817C5" w:rsidRDefault="006D3DA4" w:rsidP="005817C5">
      <w:pPr>
        <w:jc w:val="right"/>
        <w:rPr>
          <w:rFonts w:ascii="Arial" w:hAnsi="Arial" w:cs="Arial"/>
          <w:b/>
          <w:sz w:val="24"/>
          <w:szCs w:val="24"/>
        </w:rPr>
      </w:pPr>
    </w:p>
    <w:p w14:paraId="70A592A2" w14:textId="4F019EF0" w:rsidR="006D3DA4" w:rsidRPr="005817C5" w:rsidRDefault="005817C5" w:rsidP="005817C5">
      <w:pPr>
        <w:ind w:right="440"/>
        <w:rPr>
          <w:rFonts w:ascii="Arial" w:hAnsi="Arial" w:cs="Arial"/>
          <w:i/>
        </w:rPr>
      </w:pPr>
      <w:r w:rsidRPr="005817C5">
        <w:rPr>
          <w:noProof/>
        </w:rPr>
        <mc:AlternateContent>
          <mc:Choice Requires="wps">
            <w:drawing>
              <wp:anchor distT="0" distB="0" distL="114300" distR="114300" simplePos="0" relativeHeight="251659264" behindDoc="0" locked="0" layoutInCell="1" allowOverlap="1" wp14:anchorId="515CEFD0" wp14:editId="09F48E7C">
                <wp:simplePos x="0" y="0"/>
                <wp:positionH relativeFrom="margin">
                  <wp:align>center</wp:align>
                </wp:positionH>
                <wp:positionV relativeFrom="paragraph">
                  <wp:posOffset>321945</wp:posOffset>
                </wp:positionV>
                <wp:extent cx="6149340" cy="400050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6149340"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366B9" w14:textId="0E2A753F" w:rsidR="00991F06" w:rsidRDefault="00991F06" w:rsidP="00991F06">
                            <w:pPr>
                              <w:pStyle w:val="NormalWeb"/>
                            </w:pPr>
                            <w:r>
                              <w:rPr>
                                <w:rStyle w:val="Strong"/>
                              </w:rPr>
                              <w:t>Aim:</w:t>
                            </w:r>
                            <w:r>
                              <w:t xml:space="preserve"> To report a rare case of biopsy-proven Monoclonal Immunoglobulin Deposition Disease (MIDD) in Malaysia and emphasize the importance of early diagnosis and multidisciplinary management in resource-limited settings.</w:t>
                            </w:r>
                            <w:r>
                              <w:br/>
                            </w:r>
                            <w:r>
                              <w:rPr>
                                <w:rStyle w:val="Strong"/>
                              </w:rPr>
                              <w:t>Presentation:</w:t>
                            </w:r>
                            <w:r>
                              <w:t xml:space="preserve"> A 75-year-old Chinese woman with longstanding diabetes and hypertension was referred for progressive renal impairment, marked proteinuria, and elevated serum creatinine. Initial workup, including autoimmune and malignancy screening, was unremarkable. Serum free light chain assay revealed markedly elevated kappa and lambda levels. A first renal biopsy was inconclusive, showing only features of diabetic nephropathy. However, due to clinical suspicion, a repeat biopsy with electron microscopy was performed, which revealed linear kappa light chain deposition and characteristic “powdery” electron-dense deposits in the glomerular and tubular basement membranes, consistent with MIDD. The patient was started on a bortezomib-based chemotherapy regimen (Bortezomib, Thalidomide, Dexamethasone) but remained dialysis-dependent.</w:t>
                            </w:r>
                            <w:r>
                              <w:br/>
                            </w:r>
                            <w:r>
                              <w:rPr>
                                <w:rStyle w:val="Strong"/>
                              </w:rPr>
                              <w:t>Discussion:</w:t>
                            </w:r>
                            <w:r>
                              <w:t xml:space="preserve"> MIDD is a rare manifestation of Monoclonal Gammopathy of Renal Significance (MGRS) that often mimics diabetic or hypertensive nephropathy, leading to delayed diagnosis. Definitive diagnosis requires immunofluorescence and electron microscopy, which may not be readily available in all settings. Early identification and clone-directed therapy are crucial for halting progression.</w:t>
                            </w:r>
                            <w:r>
                              <w:br/>
                            </w:r>
                            <w:r>
                              <w:rPr>
                                <w:rStyle w:val="Strong"/>
                              </w:rPr>
                              <w:t>Conclusion:</w:t>
                            </w:r>
                            <w:r>
                              <w:t xml:space="preserve"> This case highlights the diagnostic complexity and aggressive nature of MIDD. A high index of suspicion and access to specialized diagnostics are essential. Early, multidisciplinary intervention remains key to improving outcomes, though renal recovery may be limited in advanced disease.</w:t>
                            </w:r>
                          </w:p>
                          <w:p w14:paraId="0784E144" w14:textId="77777777" w:rsidR="00991F06" w:rsidRDefault="00991F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CEFD0" id="_x0000_t202" coordsize="21600,21600" o:spt="202" path="m,l,21600r21600,l21600,xe">
                <v:stroke joinstyle="miter"/>
                <v:path gradientshapeok="t" o:connecttype="rect"/>
              </v:shapetype>
              <v:shape id="Text Box 1" o:spid="_x0000_s1026" type="#_x0000_t202" style="position:absolute;margin-left:0;margin-top:25.35pt;width:484.2pt;height: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" fillcolor="white [3201]" strokeweight=".5pt">
                <v:textbox>
                  <w:txbxContent>
                    <w:p w14:paraId="738366B9" w14:textId="0E2A753F" w:rsidR="00991F06" w:rsidRDefault="00991F06" w:rsidP="00991F06">
                      <w:pPr>
                        <w:pStyle w:val="NormalWeb"/>
                      </w:pPr>
                      <w:r>
                        <w:rPr>
                          <w:rStyle w:val="Strong"/>
                        </w:rPr>
                        <w:t>Aim:</w:t>
                      </w:r>
                      <w:r>
                        <w:t xml:space="preserve"> To report a rare case of biopsy-proven Monoclonal Immunoglobulin Deposition Disease (MIDD) in Malaysia and emphasize the importance of early diagnosis and multidisciplinary management in resource-limited settings.</w:t>
                      </w:r>
                      <w:r>
                        <w:br/>
                      </w:r>
                      <w:r>
                        <w:rPr>
                          <w:rStyle w:val="Strong"/>
                        </w:rPr>
                        <w:t>Presentation:</w:t>
                      </w:r>
                      <w:r>
                        <w:t xml:space="preserve"> A 75-year-old Chinese woman with longstanding diabetes and hypertension was referred for progressive renal impairment, marked proteinuria, and elevated serum creatinine. Initial workup, including autoimmune and malignancy screening, was unremarkable. Serum free light chain assay revealed markedly elevated kappa and lambda levels. A first renal biopsy was inconclusive, showing only features of diabetic nephropathy. However, due to clinical suspicion, a repeat biopsy with electron microscopy was performed, which revealed linear kappa light chain deposition and characteristic “powdery” electron-dense deposits in the glomerular and tubular basement membranes, consistent with MIDD. The patient was started on a bortezomib-based chemotherapy regimen (Bortezomib, Thalidomide, Dexamethasone) but remained dialysis-dependent.</w:t>
                      </w:r>
                      <w:r>
                        <w:br/>
                      </w:r>
                      <w:r>
                        <w:rPr>
                          <w:rStyle w:val="Strong"/>
                        </w:rPr>
                        <w:t>Discussion:</w:t>
                      </w:r>
                      <w:r>
                        <w:t xml:space="preserve"> MIDD is a rare manifestation of Monoclonal Gammopathy of Renal Significance (MGRS) that often mimics diabetic or hypertensive nephropathy, leading to delayed diagnosis. Definitive diagnosis requires immunofluorescence and electron microscopy, which may not be readily available in all settings. Early identification and clone-directed therapy are crucial for halting progression.</w:t>
                      </w:r>
                      <w:r>
                        <w:br/>
                      </w:r>
                      <w:r>
                        <w:rPr>
                          <w:rStyle w:val="Strong"/>
                        </w:rPr>
                        <w:t>Conclusion:</w:t>
                      </w:r>
                      <w:r>
                        <w:t xml:space="preserve"> This case highlights the diagnostic complexity and aggressive nature of MIDD. A high index of suspicion and access to specialized diagnostics are essential. Early, multidisciplinary intervention remains key to improving outcomes, though renal recovery may be limited in advanced disease.</w:t>
                      </w:r>
                    </w:p>
                    <w:p w14:paraId="0784E144" w14:textId="77777777" w:rsidR="00991F06" w:rsidRDefault="00991F06"/>
                  </w:txbxContent>
                </v:textbox>
                <w10:wrap anchorx="margin"/>
              </v:shape>
            </w:pict>
          </mc:Fallback>
        </mc:AlternateContent>
      </w:r>
      <w:r w:rsidRPr="005817C5">
        <w:rPr>
          <w:rFonts w:ascii="Arial" w:hAnsi="Arial" w:cs="Arial"/>
          <w:b/>
        </w:rPr>
        <w:t>ABSTRACT</w:t>
      </w:r>
    </w:p>
    <w:p w14:paraId="6F1EE0F3" w14:textId="402F23B1" w:rsidR="007A5C7F" w:rsidRPr="0009313A" w:rsidRDefault="007A5C7F" w:rsidP="007A5C7F">
      <w:pPr>
        <w:rPr>
          <w:rFonts w:ascii="Times New Roman" w:hAnsi="Times New Roman" w:cs="Times New Roman"/>
          <w:b/>
          <w:sz w:val="24"/>
          <w:szCs w:val="24"/>
        </w:rPr>
      </w:pPr>
    </w:p>
    <w:p w14:paraId="780E74CF" w14:textId="75F79866" w:rsidR="007A5C7F" w:rsidRPr="0009313A" w:rsidRDefault="007A5C7F" w:rsidP="007A5C7F">
      <w:pPr>
        <w:rPr>
          <w:rFonts w:ascii="Times New Roman" w:hAnsi="Times New Roman" w:cs="Times New Roman"/>
          <w:sz w:val="24"/>
          <w:szCs w:val="24"/>
        </w:rPr>
      </w:pPr>
    </w:p>
    <w:p w14:paraId="21AF7404" w14:textId="77777777" w:rsidR="00991F06" w:rsidRDefault="00991F06" w:rsidP="007A5C7F">
      <w:pPr>
        <w:rPr>
          <w:rFonts w:ascii="Times New Roman" w:hAnsi="Times New Roman" w:cs="Times New Roman"/>
          <w:b/>
          <w:sz w:val="24"/>
          <w:szCs w:val="24"/>
        </w:rPr>
      </w:pPr>
    </w:p>
    <w:p w14:paraId="63029412" w14:textId="77777777" w:rsidR="00991F06" w:rsidRDefault="00991F06" w:rsidP="007A5C7F">
      <w:pPr>
        <w:rPr>
          <w:rFonts w:ascii="Times New Roman" w:hAnsi="Times New Roman" w:cs="Times New Roman"/>
          <w:b/>
          <w:sz w:val="24"/>
          <w:szCs w:val="24"/>
        </w:rPr>
      </w:pPr>
    </w:p>
    <w:p w14:paraId="74F74F7A" w14:textId="77777777" w:rsidR="00991F06" w:rsidRDefault="00991F06" w:rsidP="007A5C7F">
      <w:pPr>
        <w:rPr>
          <w:rFonts w:ascii="Times New Roman" w:hAnsi="Times New Roman" w:cs="Times New Roman"/>
          <w:b/>
          <w:sz w:val="24"/>
          <w:szCs w:val="24"/>
        </w:rPr>
      </w:pPr>
    </w:p>
    <w:p w14:paraId="4EB0EC76" w14:textId="77777777" w:rsidR="00991F06" w:rsidRDefault="00991F06" w:rsidP="007A5C7F">
      <w:pPr>
        <w:rPr>
          <w:rFonts w:ascii="Times New Roman" w:hAnsi="Times New Roman" w:cs="Times New Roman"/>
          <w:b/>
          <w:sz w:val="24"/>
          <w:szCs w:val="24"/>
        </w:rPr>
      </w:pPr>
    </w:p>
    <w:p w14:paraId="746C4F7E" w14:textId="77777777" w:rsidR="00991F06" w:rsidRDefault="00991F06" w:rsidP="007A5C7F">
      <w:pPr>
        <w:rPr>
          <w:rFonts w:ascii="Times New Roman" w:hAnsi="Times New Roman" w:cs="Times New Roman"/>
          <w:b/>
          <w:sz w:val="24"/>
          <w:szCs w:val="24"/>
        </w:rPr>
      </w:pPr>
    </w:p>
    <w:p w14:paraId="7A3292CD" w14:textId="77777777" w:rsidR="00991F06" w:rsidRDefault="00991F06" w:rsidP="007A5C7F">
      <w:pPr>
        <w:rPr>
          <w:rFonts w:ascii="Times New Roman" w:hAnsi="Times New Roman" w:cs="Times New Roman"/>
          <w:b/>
          <w:sz w:val="24"/>
          <w:szCs w:val="24"/>
        </w:rPr>
      </w:pPr>
    </w:p>
    <w:p w14:paraId="0136B066" w14:textId="77777777" w:rsidR="00991F06" w:rsidRDefault="00991F06" w:rsidP="007A5C7F">
      <w:pPr>
        <w:rPr>
          <w:rFonts w:ascii="Times New Roman" w:hAnsi="Times New Roman" w:cs="Times New Roman"/>
          <w:b/>
          <w:sz w:val="24"/>
          <w:szCs w:val="24"/>
        </w:rPr>
      </w:pPr>
    </w:p>
    <w:p w14:paraId="2A19D827" w14:textId="77777777" w:rsidR="00991F06" w:rsidRDefault="00991F06" w:rsidP="007A5C7F">
      <w:pPr>
        <w:rPr>
          <w:rFonts w:ascii="Times New Roman" w:hAnsi="Times New Roman" w:cs="Times New Roman"/>
          <w:b/>
          <w:sz w:val="24"/>
          <w:szCs w:val="24"/>
        </w:rPr>
      </w:pPr>
    </w:p>
    <w:p w14:paraId="3C861242" w14:textId="77777777" w:rsidR="00991F06" w:rsidRDefault="00991F06" w:rsidP="007A5C7F">
      <w:pPr>
        <w:rPr>
          <w:rFonts w:ascii="Times New Roman" w:hAnsi="Times New Roman" w:cs="Times New Roman"/>
          <w:b/>
          <w:sz w:val="24"/>
          <w:szCs w:val="24"/>
        </w:rPr>
      </w:pPr>
    </w:p>
    <w:p w14:paraId="669A5C85" w14:textId="77777777" w:rsidR="00991F06" w:rsidRDefault="00991F06" w:rsidP="007A5C7F">
      <w:pPr>
        <w:rPr>
          <w:rFonts w:ascii="Times New Roman" w:hAnsi="Times New Roman" w:cs="Times New Roman"/>
          <w:b/>
          <w:sz w:val="24"/>
          <w:szCs w:val="24"/>
        </w:rPr>
      </w:pPr>
    </w:p>
    <w:p w14:paraId="4ADC4EAE" w14:textId="77777777" w:rsidR="00991F06" w:rsidRDefault="00991F06" w:rsidP="007A5C7F">
      <w:pPr>
        <w:rPr>
          <w:rFonts w:ascii="Times New Roman" w:hAnsi="Times New Roman" w:cs="Times New Roman"/>
          <w:b/>
          <w:sz w:val="24"/>
          <w:szCs w:val="24"/>
        </w:rPr>
      </w:pPr>
    </w:p>
    <w:p w14:paraId="00C3466D" w14:textId="77777777" w:rsidR="00991F06" w:rsidRDefault="00991F06" w:rsidP="007A5C7F">
      <w:pPr>
        <w:rPr>
          <w:rFonts w:ascii="Times New Roman" w:hAnsi="Times New Roman" w:cs="Times New Roman"/>
          <w:b/>
          <w:sz w:val="24"/>
          <w:szCs w:val="24"/>
        </w:rPr>
      </w:pPr>
    </w:p>
    <w:p w14:paraId="5921FD8A" w14:textId="28CC4B62" w:rsidR="00CC261C" w:rsidRPr="00CC261C" w:rsidRDefault="00CC261C" w:rsidP="007A5C7F">
      <w:pPr>
        <w:rPr>
          <w:rFonts w:ascii="Arial" w:hAnsi="Arial" w:cs="Arial"/>
          <w:i/>
          <w:sz w:val="20"/>
          <w:szCs w:val="20"/>
        </w:rPr>
      </w:pPr>
      <w:proofErr w:type="gramStart"/>
      <w:r w:rsidRPr="00CC261C">
        <w:rPr>
          <w:rFonts w:ascii="Arial" w:hAnsi="Arial" w:cs="Arial"/>
          <w:i/>
          <w:sz w:val="20"/>
          <w:szCs w:val="20"/>
        </w:rPr>
        <w:t>Keywords :</w:t>
      </w:r>
      <w:proofErr w:type="gramEnd"/>
      <w:r w:rsidRPr="00CC261C">
        <w:rPr>
          <w:rFonts w:ascii="Arial" w:hAnsi="Arial" w:cs="Arial"/>
          <w:i/>
          <w:sz w:val="20"/>
          <w:szCs w:val="20"/>
        </w:rPr>
        <w:t xml:space="preserve"> Monoclonal Immunoglobulin Deposition Disease(MIDD), Monoclonal Gammopathy of Renal Significance(MGRS), renal biopsy, proteinuria</w:t>
      </w:r>
    </w:p>
    <w:p w14:paraId="697BA8D3" w14:textId="77777777" w:rsidR="00CC261C" w:rsidRDefault="00CC261C" w:rsidP="007A5C7F">
      <w:pPr>
        <w:rPr>
          <w:rFonts w:ascii="Times New Roman" w:hAnsi="Times New Roman" w:cs="Times New Roman"/>
          <w:b/>
          <w:sz w:val="24"/>
          <w:szCs w:val="24"/>
        </w:rPr>
      </w:pPr>
    </w:p>
    <w:p w14:paraId="48088523" w14:textId="77777777" w:rsidR="00CC261C" w:rsidRDefault="00CC261C" w:rsidP="007A5C7F">
      <w:pPr>
        <w:rPr>
          <w:rFonts w:ascii="Times New Roman" w:hAnsi="Times New Roman" w:cs="Times New Roman"/>
          <w:b/>
          <w:sz w:val="24"/>
          <w:szCs w:val="24"/>
        </w:rPr>
      </w:pPr>
    </w:p>
    <w:p w14:paraId="5DA42EB8" w14:textId="77777777" w:rsidR="007A5C7F" w:rsidRPr="00CC261C" w:rsidRDefault="007A5C7F" w:rsidP="007A5C7F">
      <w:pPr>
        <w:rPr>
          <w:rFonts w:ascii="Arial" w:hAnsi="Arial" w:cs="Arial"/>
          <w:b/>
        </w:rPr>
      </w:pPr>
      <w:r w:rsidRPr="00CC261C">
        <w:rPr>
          <w:rFonts w:ascii="Arial" w:hAnsi="Arial" w:cs="Arial"/>
          <w:b/>
        </w:rPr>
        <w:t xml:space="preserve">Introduction </w:t>
      </w:r>
    </w:p>
    <w:p w14:paraId="7E948F4E" w14:textId="568C0891" w:rsidR="0046562C" w:rsidRPr="00CC261C" w:rsidRDefault="00FB4DA7" w:rsidP="00C707D6">
      <w:pPr>
        <w:pStyle w:val="inline"/>
        <w:rPr>
          <w:rFonts w:ascii="Arial" w:hAnsi="Arial" w:cs="Arial"/>
          <w:b/>
          <w:color w:val="000000"/>
          <w:sz w:val="20"/>
          <w:szCs w:val="20"/>
        </w:rPr>
      </w:pPr>
      <w:r w:rsidRPr="00CC261C">
        <w:rPr>
          <w:rStyle w:val="Strong"/>
          <w:rFonts w:ascii="Arial" w:hAnsi="Arial" w:cs="Arial"/>
          <w:sz w:val="20"/>
          <w:szCs w:val="20"/>
        </w:rPr>
        <w:t>Monoclonal Immunoglobulin Deposition Disease (MIDD)</w:t>
      </w:r>
      <w:r w:rsidRPr="00CC261C">
        <w:rPr>
          <w:rFonts w:ascii="Arial" w:hAnsi="Arial" w:cs="Arial"/>
          <w:sz w:val="20"/>
          <w:szCs w:val="20"/>
        </w:rPr>
        <w:t xml:space="preserve"> is a rare form of plasma cell dyscrasia that falls under the umbrella group of Monoclonal Gammopathy of Renal Significance (MGRS). MIDD is categorized based on the deposition of monoclonal immunoglobulins (</w:t>
      </w:r>
      <w:proofErr w:type="spellStart"/>
      <w:r w:rsidRPr="00CC261C">
        <w:rPr>
          <w:rFonts w:ascii="Arial" w:hAnsi="Arial" w:cs="Arial"/>
          <w:sz w:val="20"/>
          <w:szCs w:val="20"/>
        </w:rPr>
        <w:t>MIg</w:t>
      </w:r>
      <w:proofErr w:type="spellEnd"/>
      <w:r w:rsidRPr="00CC261C">
        <w:rPr>
          <w:rFonts w:ascii="Arial" w:hAnsi="Arial" w:cs="Arial"/>
          <w:sz w:val="20"/>
          <w:szCs w:val="20"/>
        </w:rPr>
        <w:t>) as light chain deposition disease (LCDD), heavy chain deposition disease (HCDD), or both, in the mesangium and tubular basement membranes</w:t>
      </w:r>
      <w:r w:rsidR="00735DB0">
        <w:rPr>
          <w:vertAlign w:val="superscript"/>
        </w:rPr>
        <w:t>1</w:t>
      </w:r>
      <w:r w:rsidRPr="00CC261C">
        <w:rPr>
          <w:rFonts w:ascii="Arial" w:hAnsi="Arial" w:cs="Arial"/>
          <w:sz w:val="20"/>
          <w:szCs w:val="20"/>
        </w:rPr>
        <w:t xml:space="preserve">. MIDD is a systemic disorder that predominantly involves renal manifestations and often results in progressive renal impairment with glomerular proteinuria or </w:t>
      </w:r>
      <w:proofErr w:type="spellStart"/>
      <w:r w:rsidRPr="00CC261C">
        <w:rPr>
          <w:rFonts w:ascii="Arial" w:hAnsi="Arial" w:cs="Arial"/>
          <w:sz w:val="20"/>
          <w:szCs w:val="20"/>
        </w:rPr>
        <w:t>hematuria</w:t>
      </w:r>
      <w:proofErr w:type="spellEnd"/>
      <w:r w:rsidRPr="00CC261C">
        <w:rPr>
          <w:rFonts w:ascii="Arial" w:hAnsi="Arial" w:cs="Arial"/>
          <w:sz w:val="20"/>
          <w:szCs w:val="20"/>
        </w:rPr>
        <w:t>. As MIDD is a rare disorder, the exact prevalence and incidence are unknown</w:t>
      </w:r>
      <w:r w:rsidR="00735DB0">
        <w:rPr>
          <w:vertAlign w:val="superscript"/>
          <w:lang w:val="en-GB"/>
        </w:rPr>
        <w:t>2</w:t>
      </w:r>
      <w:r w:rsidRPr="00CC261C">
        <w:rPr>
          <w:rFonts w:ascii="Arial" w:hAnsi="Arial" w:cs="Arial"/>
          <w:sz w:val="20"/>
          <w:szCs w:val="20"/>
        </w:rPr>
        <w:t xml:space="preserve">. The lack of widespread access to </w:t>
      </w:r>
      <w:r w:rsidRPr="00CC261C">
        <w:rPr>
          <w:rFonts w:ascii="Arial" w:hAnsi="Arial" w:cs="Arial"/>
          <w:sz w:val="20"/>
          <w:szCs w:val="20"/>
        </w:rPr>
        <w:lastRenderedPageBreak/>
        <w:t>electron microscopy (EM) hinders the identification and diagnostic process, especially in developing nations such as Malaysia. Herein, this case report details the first documented instance of biopsy-proven MIDD in an elderly Chinese woman who developed progressively deteriorating renal function and eventually became dialysis-dependent.</w:t>
      </w:r>
    </w:p>
    <w:p w14:paraId="4C74C4C2" w14:textId="77777777" w:rsidR="008E5803" w:rsidRPr="00CC261C" w:rsidRDefault="00C707D6" w:rsidP="008E5803">
      <w:pPr>
        <w:spacing w:before="100" w:beforeAutospacing="1" w:after="100" w:afterAutospacing="1"/>
        <w:rPr>
          <w:rFonts w:ascii="Arial" w:hAnsi="Arial" w:cs="Arial"/>
          <w:b/>
          <w:color w:val="000000"/>
        </w:rPr>
      </w:pPr>
      <w:r w:rsidRPr="00CC261C">
        <w:rPr>
          <w:rFonts w:ascii="Arial" w:hAnsi="Arial" w:cs="Arial"/>
          <w:b/>
          <w:color w:val="000000"/>
        </w:rPr>
        <w:t xml:space="preserve">Case presentation </w:t>
      </w:r>
    </w:p>
    <w:p w14:paraId="0636519B" w14:textId="58F850D5" w:rsidR="008E5803" w:rsidRPr="00F36A55" w:rsidRDefault="008E5803" w:rsidP="008E5803">
      <w:pPr>
        <w:spacing w:before="100" w:beforeAutospacing="1" w:after="100" w:afterAutospacing="1"/>
        <w:rPr>
          <w:rFonts w:ascii="Arial" w:eastAsia="Times New Roman" w:hAnsi="Arial" w:cs="Arial"/>
          <w:sz w:val="20"/>
          <w:szCs w:val="20"/>
        </w:rPr>
      </w:pPr>
      <w:r w:rsidRPr="00F36A55">
        <w:rPr>
          <w:rFonts w:ascii="Arial" w:eastAsia="Times New Roman" w:hAnsi="Arial" w:cs="Arial"/>
          <w:sz w:val="20"/>
          <w:szCs w:val="20"/>
        </w:rPr>
        <w:t xml:space="preserve">The patient is a 75-year-old Chinese female with a long-standing history of diabetes mellitus and hypertension, under the care of a local general practitioner (GP). In early March 2024, her GP referred her to a tertiary </w:t>
      </w:r>
      <w:proofErr w:type="spellStart"/>
      <w:r w:rsidRPr="00F36A55">
        <w:rPr>
          <w:rFonts w:ascii="Arial" w:eastAsia="Times New Roman" w:hAnsi="Arial" w:cs="Arial"/>
          <w:sz w:val="20"/>
          <w:szCs w:val="20"/>
        </w:rPr>
        <w:t>center</w:t>
      </w:r>
      <w:proofErr w:type="spellEnd"/>
      <w:r w:rsidRPr="00F36A55">
        <w:rPr>
          <w:rFonts w:ascii="Arial" w:eastAsia="Times New Roman" w:hAnsi="Arial" w:cs="Arial"/>
          <w:sz w:val="20"/>
          <w:szCs w:val="20"/>
        </w:rPr>
        <w:t xml:space="preserve"> as her routine blood tests showed a rapid rise in creatinine with significant proteinuria. She was asymptomatic with no clear evidence of infection, autoimmune features, signs of malignancy, or significant family history of renal disease. Unfortunately, she admitted to taking several oral supplements purchased from local stores for health and wellness. There were no other nephrotoxic drugs involved. Physical examination yielded unremarkable results.</w:t>
      </w:r>
    </w:p>
    <w:p w14:paraId="6CE55097"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Her blood investigations showed a </w:t>
      </w:r>
      <w:proofErr w:type="spellStart"/>
      <w:r w:rsidRPr="00F36A55">
        <w:rPr>
          <w:rFonts w:ascii="Arial" w:eastAsia="Times New Roman" w:hAnsi="Arial" w:cs="Arial"/>
          <w:sz w:val="20"/>
          <w:szCs w:val="20"/>
        </w:rPr>
        <w:t>hemoglobin</w:t>
      </w:r>
      <w:proofErr w:type="spellEnd"/>
      <w:r w:rsidRPr="00F36A55">
        <w:rPr>
          <w:rFonts w:ascii="Arial" w:eastAsia="Times New Roman" w:hAnsi="Arial" w:cs="Arial"/>
          <w:sz w:val="20"/>
          <w:szCs w:val="20"/>
        </w:rPr>
        <w:t xml:space="preserve"> level of 7.8 g/dL, white cell count of 5.7 × 10⁹/L, and platelet count of 192 × 10⁹/L. Her renal profile showed a urea level of 22 mmol/L and a creatinine level of 376 µmol/L (baseline: 70 µmol/L). Her </w:t>
      </w:r>
      <w:proofErr w:type="spellStart"/>
      <w:r w:rsidRPr="00F36A55">
        <w:rPr>
          <w:rFonts w:ascii="Arial" w:eastAsia="Times New Roman" w:hAnsi="Arial" w:cs="Arial"/>
          <w:sz w:val="20"/>
          <w:szCs w:val="20"/>
        </w:rPr>
        <w:t>glycemic</w:t>
      </w:r>
      <w:proofErr w:type="spellEnd"/>
      <w:r w:rsidRPr="00F36A55">
        <w:rPr>
          <w:rFonts w:ascii="Arial" w:eastAsia="Times New Roman" w:hAnsi="Arial" w:cs="Arial"/>
          <w:sz w:val="20"/>
          <w:szCs w:val="20"/>
        </w:rPr>
        <w:t xml:space="preserve"> control was poor, with an HbA1c of 8.9%. Urine analysis showed Protein 1+, RBC 1+, and a urine protein-creatinine ratio of 340 mg/mmol. An ultrasound of the kidneys, ureters, and bladder (USG KUB) showed no signs of obstructive uropathy, with the right kidney measuring 10.6 cm and the left 10.4 cm, and a simple renal cyst noted on the right side. Further investigations, including autoimmune workup, ANCA, </w:t>
      </w:r>
      <w:proofErr w:type="spellStart"/>
      <w:r w:rsidRPr="00F36A55">
        <w:rPr>
          <w:rFonts w:ascii="Arial" w:eastAsia="Times New Roman" w:hAnsi="Arial" w:cs="Arial"/>
          <w:sz w:val="20"/>
          <w:szCs w:val="20"/>
        </w:rPr>
        <w:t>tumor</w:t>
      </w:r>
      <w:proofErr w:type="spellEnd"/>
      <w:r w:rsidRPr="00F36A55">
        <w:rPr>
          <w:rFonts w:ascii="Arial" w:eastAsia="Times New Roman" w:hAnsi="Arial" w:cs="Arial"/>
          <w:sz w:val="20"/>
          <w:szCs w:val="20"/>
        </w:rPr>
        <w:t xml:space="preserve"> markers (CEA), and serum and urine electrophoresis, were negative.</w:t>
      </w:r>
    </w:p>
    <w:p w14:paraId="3451B448" w14:textId="5A67AC5B"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During her admission, the patient's kidney injury worsened, requiring multiple sessions of </w:t>
      </w:r>
      <w:proofErr w:type="spellStart"/>
      <w:r w:rsidRPr="00F36A55">
        <w:rPr>
          <w:rFonts w:ascii="Arial" w:eastAsia="Times New Roman" w:hAnsi="Arial" w:cs="Arial"/>
          <w:sz w:val="20"/>
          <w:szCs w:val="20"/>
        </w:rPr>
        <w:t>hemodialysis</w:t>
      </w:r>
      <w:proofErr w:type="spellEnd"/>
      <w:r w:rsidRPr="00F36A55">
        <w:rPr>
          <w:rFonts w:ascii="Arial" w:eastAsia="Times New Roman" w:hAnsi="Arial" w:cs="Arial"/>
          <w:sz w:val="20"/>
          <w:szCs w:val="20"/>
        </w:rPr>
        <w:t xml:space="preserve">. Due to rising creatinine, a renal biopsy was performed in April 2024, which revealed acute tubular necrosis, attributed to diabetic nephropathy or drug-induced injury. Immunofluorescence stains showed linear IgG (1+) positivity along the glomerular basement membrane, while other markers (IgA, IgM, C1q, and C3) were negative. </w:t>
      </w:r>
      <w:r w:rsidR="003A5E1D">
        <w:rPr>
          <w:rFonts w:ascii="Arial" w:eastAsia="Times New Roman" w:hAnsi="Arial" w:cs="Arial"/>
          <w:sz w:val="20"/>
          <w:szCs w:val="20"/>
        </w:rPr>
        <w:t>In view of the acute kidney injury and biopsy report indicating acute tubular injury, s</w:t>
      </w:r>
      <w:r w:rsidRPr="00F36A55">
        <w:rPr>
          <w:rFonts w:ascii="Arial" w:eastAsia="Times New Roman" w:hAnsi="Arial" w:cs="Arial"/>
          <w:sz w:val="20"/>
          <w:szCs w:val="20"/>
        </w:rPr>
        <w:t>he was treated with intravenous glucocorticoids and discharged with oral prednisolone</w:t>
      </w:r>
      <w:r w:rsidR="003A5E1D">
        <w:rPr>
          <w:rFonts w:ascii="Arial" w:eastAsia="Times New Roman" w:hAnsi="Arial" w:cs="Arial"/>
          <w:sz w:val="20"/>
          <w:szCs w:val="20"/>
        </w:rPr>
        <w:t xml:space="preserve"> (tapering dose)</w:t>
      </w:r>
      <w:r w:rsidRPr="00F36A55">
        <w:rPr>
          <w:rFonts w:ascii="Arial" w:eastAsia="Times New Roman" w:hAnsi="Arial" w:cs="Arial"/>
          <w:sz w:val="20"/>
          <w:szCs w:val="20"/>
        </w:rPr>
        <w:t xml:space="preserve">. Her renal function remained stable at the time of discharge, with a creatinine level of 357 µmol/L. She was scheduled for regular follow-up at the nephrology clinic to monitor renal </w:t>
      </w:r>
      <w:r w:rsidR="003A5E1D">
        <w:rPr>
          <w:rFonts w:ascii="Arial" w:eastAsia="Times New Roman" w:hAnsi="Arial" w:cs="Arial"/>
          <w:sz w:val="20"/>
          <w:szCs w:val="20"/>
        </w:rPr>
        <w:t>profile</w:t>
      </w:r>
      <w:r w:rsidRPr="00F36A55">
        <w:rPr>
          <w:rFonts w:ascii="Arial" w:eastAsia="Times New Roman" w:hAnsi="Arial" w:cs="Arial"/>
          <w:sz w:val="20"/>
          <w:szCs w:val="20"/>
        </w:rPr>
        <w:t>.</w:t>
      </w:r>
    </w:p>
    <w:p w14:paraId="3D7DF8B6"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Regrettably, her renal impairment worsened in August 2024, with creatinine increasing to 712 µmol/L. Further investigations, including serum free light chain testing, were conducted. The results showed a significantly elevated serum free kappa light chain level of 430 mg/L (normal range: 6.7–22.4 mg/L) and a lambda light chain level of 1380 mg/L (normal range: 8.3–27 mg/L). A bone marrow aspiration and trephine biopsy revealed plasma cells comprising less than 10% of total nucleated cells, with interstitial expression of CD138, kappa, and lambda. A second renal biopsy with electron microscopy was performed. This biopsy showed kappa linear positivity along the tubular and glomerular basement membranes, while IgG, IgA, IgM, C3, C1q, and lambda were negative. Congo red staining was negative for amyloid deposits.</w:t>
      </w:r>
    </w:p>
    <w:p w14:paraId="24BB2DB1"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Electron microscopy demonstrated a significantly expanded mesangium with increased mesangial matrix and cellularity, along with "powdery" electron-dense deposits. The glomerular basement membrane (GBM) was diffusely thickened, showing granular punctate regions of "powdery" electron-dense deposits near the subendothelial and intramembranous areas. Podocytes exhibited extensive foot process effacement (70%) with fusion, and many appeared abnormal, containing intracytoplasmic protein. These combined findings were consistent with monoclonal immunoglobulin deposition disease (MIDD) with monoclonal kappa light chain restriction, showing diffuse to nodular mesangial expansion and GBM thickening. There were 18 out of 33 globally sclerotic glomeruli and 1 showing segmental glomerulosclerosis, along with features of diabetic nephropathy.</w:t>
      </w:r>
    </w:p>
    <w:p w14:paraId="3BD4B565"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Multidisciplinary discussions and </w:t>
      </w:r>
      <w:proofErr w:type="spellStart"/>
      <w:r w:rsidRPr="00F36A55">
        <w:rPr>
          <w:rFonts w:ascii="Arial" w:eastAsia="Times New Roman" w:hAnsi="Arial" w:cs="Arial"/>
          <w:sz w:val="20"/>
          <w:szCs w:val="20"/>
        </w:rPr>
        <w:t>counseling</w:t>
      </w:r>
      <w:proofErr w:type="spellEnd"/>
      <w:r w:rsidRPr="00F36A55">
        <w:rPr>
          <w:rFonts w:ascii="Arial" w:eastAsia="Times New Roman" w:hAnsi="Arial" w:cs="Arial"/>
          <w:sz w:val="20"/>
          <w:szCs w:val="20"/>
        </w:rPr>
        <w:t xml:space="preserve"> were conducted with the </w:t>
      </w:r>
      <w:proofErr w:type="spellStart"/>
      <w:r w:rsidRPr="00F36A55">
        <w:rPr>
          <w:rFonts w:ascii="Arial" w:eastAsia="Times New Roman" w:hAnsi="Arial" w:cs="Arial"/>
          <w:sz w:val="20"/>
          <w:szCs w:val="20"/>
        </w:rPr>
        <w:t>hematology</w:t>
      </w:r>
      <w:proofErr w:type="spellEnd"/>
      <w:r w:rsidRPr="00F36A55">
        <w:rPr>
          <w:rFonts w:ascii="Arial" w:eastAsia="Times New Roman" w:hAnsi="Arial" w:cs="Arial"/>
          <w:sz w:val="20"/>
          <w:szCs w:val="20"/>
        </w:rPr>
        <w:t xml:space="preserve"> team. The patient is currently under </w:t>
      </w:r>
      <w:proofErr w:type="spellStart"/>
      <w:r w:rsidRPr="00F36A55">
        <w:rPr>
          <w:rFonts w:ascii="Arial" w:eastAsia="Times New Roman" w:hAnsi="Arial" w:cs="Arial"/>
          <w:sz w:val="20"/>
          <w:szCs w:val="20"/>
        </w:rPr>
        <w:t>hematology</w:t>
      </w:r>
      <w:proofErr w:type="spellEnd"/>
      <w:r w:rsidRPr="00F36A55">
        <w:rPr>
          <w:rFonts w:ascii="Arial" w:eastAsia="Times New Roman" w:hAnsi="Arial" w:cs="Arial"/>
          <w:sz w:val="20"/>
          <w:szCs w:val="20"/>
        </w:rPr>
        <w:t xml:space="preserve"> care and has been receiving chemotherapy consisting of Bortezomib (a proteasome inhibitor), Thalidomide (an immunomodulatory drug), and Dexamethasone (a corticosteroid). She is attending weekly visits to the hospital </w:t>
      </w:r>
      <w:proofErr w:type="spellStart"/>
      <w:r w:rsidRPr="00F36A55">
        <w:rPr>
          <w:rFonts w:ascii="Arial" w:eastAsia="Times New Roman" w:hAnsi="Arial" w:cs="Arial"/>
          <w:sz w:val="20"/>
          <w:szCs w:val="20"/>
        </w:rPr>
        <w:t>daycare</w:t>
      </w:r>
      <w:proofErr w:type="spellEnd"/>
      <w:r w:rsidRPr="00F36A55">
        <w:rPr>
          <w:rFonts w:ascii="Arial" w:eastAsia="Times New Roman" w:hAnsi="Arial" w:cs="Arial"/>
          <w:sz w:val="20"/>
          <w:szCs w:val="20"/>
        </w:rPr>
        <w:t xml:space="preserve"> </w:t>
      </w:r>
      <w:proofErr w:type="spellStart"/>
      <w:r w:rsidRPr="00F36A55">
        <w:rPr>
          <w:rFonts w:ascii="Arial" w:eastAsia="Times New Roman" w:hAnsi="Arial" w:cs="Arial"/>
          <w:sz w:val="20"/>
          <w:szCs w:val="20"/>
        </w:rPr>
        <w:t>center</w:t>
      </w:r>
      <w:proofErr w:type="spellEnd"/>
      <w:r w:rsidRPr="00F36A55">
        <w:rPr>
          <w:rFonts w:ascii="Arial" w:eastAsia="Times New Roman" w:hAnsi="Arial" w:cs="Arial"/>
          <w:sz w:val="20"/>
          <w:szCs w:val="20"/>
        </w:rPr>
        <w:t xml:space="preserve"> for her VTD regimen and </w:t>
      </w:r>
      <w:r w:rsidRPr="00F36A55">
        <w:rPr>
          <w:rFonts w:ascii="Arial" w:eastAsia="Times New Roman" w:hAnsi="Arial" w:cs="Arial"/>
          <w:sz w:val="20"/>
          <w:szCs w:val="20"/>
        </w:rPr>
        <w:lastRenderedPageBreak/>
        <w:t xml:space="preserve">has tolerated the treatment well without complications. However, her renal function has shown no signs of recovery, and she remains dependent on regular </w:t>
      </w:r>
      <w:proofErr w:type="spellStart"/>
      <w:r w:rsidRPr="00F36A55">
        <w:rPr>
          <w:rFonts w:ascii="Arial" w:eastAsia="Times New Roman" w:hAnsi="Arial" w:cs="Arial"/>
          <w:sz w:val="20"/>
          <w:szCs w:val="20"/>
        </w:rPr>
        <w:t>hemodialysis</w:t>
      </w:r>
      <w:proofErr w:type="spellEnd"/>
      <w:r w:rsidRPr="00F36A55">
        <w:rPr>
          <w:rFonts w:ascii="Arial" w:eastAsia="Times New Roman" w:hAnsi="Arial" w:cs="Arial"/>
          <w:sz w:val="20"/>
          <w:szCs w:val="20"/>
        </w:rPr>
        <w:t xml:space="preserve"> six months into therapy.</w:t>
      </w:r>
    </w:p>
    <w:p w14:paraId="48D29344" w14:textId="106FB08F" w:rsidR="008E5803" w:rsidRPr="00F36A55" w:rsidRDefault="00F36A55" w:rsidP="008E5803">
      <w:pPr>
        <w:spacing w:before="100" w:beforeAutospacing="1" w:after="100" w:afterAutospacing="1"/>
        <w:rPr>
          <w:rFonts w:ascii="Arial" w:eastAsia="Times New Roman" w:hAnsi="Arial" w:cs="Arial"/>
          <w:sz w:val="20"/>
          <w:szCs w:val="20"/>
        </w:rPr>
      </w:pPr>
      <w:r>
        <w:rPr>
          <w:rFonts w:ascii="Arial" w:eastAsia="Times New Roman" w:hAnsi="Arial" w:cs="Arial"/>
          <w:color w:val="000000"/>
          <w:sz w:val="20"/>
          <w:szCs w:val="20"/>
        </w:rPr>
        <w:br/>
      </w:r>
      <w:r w:rsidR="0009313A" w:rsidRPr="00F36A55">
        <w:rPr>
          <w:rFonts w:ascii="Arial" w:hAnsi="Arial" w:cs="Arial"/>
          <w:b/>
        </w:rPr>
        <w:t>Discussion</w:t>
      </w:r>
      <w:r w:rsidR="0009313A" w:rsidRPr="00F36A55">
        <w:rPr>
          <w:rFonts w:ascii="Arial" w:hAnsi="Arial" w:cs="Arial"/>
          <w:b/>
          <w:sz w:val="20"/>
          <w:szCs w:val="20"/>
        </w:rPr>
        <w:t xml:space="preserve"> </w:t>
      </w:r>
      <w:r w:rsidR="0009313A" w:rsidRPr="00F36A55">
        <w:rPr>
          <w:rFonts w:ascii="Arial" w:hAnsi="Arial" w:cs="Arial"/>
          <w:sz w:val="20"/>
          <w:szCs w:val="20"/>
        </w:rPr>
        <w:br/>
      </w:r>
      <w:r w:rsidR="0009313A" w:rsidRPr="00F36A55">
        <w:rPr>
          <w:rFonts w:ascii="Arial" w:hAnsi="Arial" w:cs="Arial"/>
          <w:sz w:val="20"/>
          <w:szCs w:val="20"/>
        </w:rPr>
        <w:br/>
      </w:r>
      <w:r w:rsidR="008E5803" w:rsidRPr="00F36A55">
        <w:rPr>
          <w:rFonts w:ascii="Arial" w:eastAsia="Times New Roman" w:hAnsi="Arial" w:cs="Arial"/>
          <w:sz w:val="20"/>
          <w:szCs w:val="20"/>
        </w:rPr>
        <w:t xml:space="preserve">Monoclonal immunoglobulins have been identified to manifest as systemic disorders that can cause organ damage, predominantly to the kidneys, even in the absence of clear evidence of malignancy. As more research and evidence are published, this understanding has led to the identification of </w:t>
      </w:r>
      <w:r w:rsidR="008E5803" w:rsidRPr="00F36A55">
        <w:rPr>
          <w:rFonts w:ascii="Arial" w:eastAsia="Times New Roman" w:hAnsi="Arial" w:cs="Arial"/>
          <w:b/>
          <w:bCs/>
          <w:sz w:val="20"/>
          <w:szCs w:val="20"/>
        </w:rPr>
        <w:t>Monoclonal Gammopathy of Renal Significance (MGRS)</w:t>
      </w:r>
      <w:r w:rsidR="008E5803" w:rsidRPr="00F36A55">
        <w:rPr>
          <w:rFonts w:ascii="Arial" w:eastAsia="Times New Roman" w:hAnsi="Arial" w:cs="Arial"/>
          <w:sz w:val="20"/>
          <w:szCs w:val="20"/>
        </w:rPr>
        <w:t>, a term describing clonal proliferative disorders of B cells or plasma cells that produce nephrotoxic monoclonal immunoglobulins and do not meet the hematologic criteria for treatment of a specific malignancy</w:t>
      </w:r>
      <w:r w:rsidR="00735DB0">
        <w:rPr>
          <w:rFonts w:ascii="Times New Roman" w:eastAsia="Times New Roman" w:hAnsi="Times New Roman" w:cs="Times New Roman"/>
          <w:sz w:val="24"/>
          <w:szCs w:val="24"/>
          <w:vertAlign w:val="superscript"/>
        </w:rPr>
        <w:t>3</w:t>
      </w:r>
      <w:r w:rsidR="008E5803" w:rsidRPr="00F36A55">
        <w:rPr>
          <w:rFonts w:ascii="Arial" w:eastAsia="Times New Roman" w:hAnsi="Arial" w:cs="Arial"/>
          <w:sz w:val="20"/>
          <w:szCs w:val="20"/>
        </w:rPr>
        <w:t xml:space="preserve">. The conceptualization of MGRS and associated entities not only emphasizes the harmful effects of monoclonal immunoglobulin deposits but also supports the use of clone-directed therapy to protect renal function and improve patient outcomes. These monoclonal proteins may be light chains, heavy chains, or intact immunoglobulins. </w:t>
      </w:r>
      <w:r w:rsidR="008E5803" w:rsidRPr="00F36A55">
        <w:rPr>
          <w:rFonts w:ascii="Arial" w:eastAsia="Times New Roman" w:hAnsi="Arial" w:cs="Arial"/>
          <w:b/>
          <w:bCs/>
          <w:sz w:val="20"/>
          <w:szCs w:val="20"/>
        </w:rPr>
        <w:t>Monoclonal Immunoglobulin Deposition Disease (MIDD)</w:t>
      </w:r>
      <w:r w:rsidR="008E5803" w:rsidRPr="00F36A55">
        <w:rPr>
          <w:rFonts w:ascii="Arial" w:eastAsia="Times New Roman" w:hAnsi="Arial" w:cs="Arial"/>
          <w:sz w:val="20"/>
          <w:szCs w:val="20"/>
        </w:rPr>
        <w:t>, as part of MGRS, is defined by the linear deposition of monoclonal immunoglobulins (</w:t>
      </w:r>
      <w:proofErr w:type="spellStart"/>
      <w:r w:rsidR="008E5803" w:rsidRPr="00F36A55">
        <w:rPr>
          <w:rFonts w:ascii="Arial" w:eastAsia="Times New Roman" w:hAnsi="Arial" w:cs="Arial"/>
          <w:sz w:val="20"/>
          <w:szCs w:val="20"/>
        </w:rPr>
        <w:t>MIg</w:t>
      </w:r>
      <w:proofErr w:type="spellEnd"/>
      <w:r w:rsidR="008E5803" w:rsidRPr="00F36A55">
        <w:rPr>
          <w:rFonts w:ascii="Arial" w:eastAsia="Times New Roman" w:hAnsi="Arial" w:cs="Arial"/>
          <w:sz w:val="20"/>
          <w:szCs w:val="20"/>
        </w:rPr>
        <w:t>) along renal basement membranes</w:t>
      </w:r>
      <w:r w:rsidR="00735DB0">
        <w:rPr>
          <w:rFonts w:ascii="Times New Roman" w:eastAsia="Times New Roman" w:hAnsi="Times New Roman" w:cs="Times New Roman"/>
          <w:sz w:val="24"/>
          <w:szCs w:val="24"/>
          <w:vertAlign w:val="superscript"/>
          <w:lang w:val="en-GB"/>
        </w:rPr>
        <w:t>4</w:t>
      </w:r>
      <w:r w:rsidR="008E5803" w:rsidRPr="00F36A55">
        <w:rPr>
          <w:rFonts w:ascii="Arial" w:eastAsia="Times New Roman" w:hAnsi="Arial" w:cs="Arial"/>
          <w:sz w:val="20"/>
          <w:szCs w:val="20"/>
        </w:rPr>
        <w:t>.</w:t>
      </w:r>
    </w:p>
    <w:p w14:paraId="51686B79" w14:textId="226CFC24"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MIDD is a rare disorder that predominantly presents in middle-aged males</w:t>
      </w:r>
      <w:r w:rsidR="00735DB0">
        <w:rPr>
          <w:rFonts w:ascii="Times New Roman" w:eastAsia="Times New Roman" w:hAnsi="Times New Roman" w:cs="Times New Roman"/>
          <w:sz w:val="24"/>
          <w:szCs w:val="24"/>
          <w:vertAlign w:val="superscript"/>
          <w:lang w:val="en-GB"/>
        </w:rPr>
        <w:t>5</w:t>
      </w:r>
      <w:r w:rsidR="00EF2F73">
        <w:rPr>
          <w:rFonts w:ascii="Arial" w:eastAsia="Times New Roman" w:hAnsi="Arial" w:cs="Arial"/>
          <w:sz w:val="20"/>
          <w:szCs w:val="20"/>
          <w:lang w:val="en-GB"/>
        </w:rPr>
        <w:t>, with median age at diagnosis around 58years</w:t>
      </w:r>
      <w:r w:rsidR="00EF2F73">
        <w:rPr>
          <w:rFonts w:ascii="Times New Roman" w:eastAsia="Times New Roman" w:hAnsi="Times New Roman" w:cs="Times New Roman"/>
          <w:sz w:val="24"/>
          <w:szCs w:val="24"/>
          <w:vertAlign w:val="superscript"/>
          <w:lang w:val="en-GB"/>
        </w:rPr>
        <w:t>6</w:t>
      </w:r>
      <w:r w:rsidR="00EF2F73">
        <w:rPr>
          <w:rFonts w:ascii="Arial" w:eastAsia="Times New Roman" w:hAnsi="Arial" w:cs="Arial"/>
          <w:sz w:val="20"/>
          <w:szCs w:val="20"/>
          <w:lang w:val="en-GB"/>
        </w:rPr>
        <w:t xml:space="preserve">. </w:t>
      </w:r>
      <w:r w:rsidRPr="00F36A55">
        <w:rPr>
          <w:rFonts w:ascii="Arial" w:eastAsia="Times New Roman" w:hAnsi="Arial" w:cs="Arial"/>
          <w:sz w:val="20"/>
          <w:szCs w:val="20"/>
        </w:rPr>
        <w:t>Renal involvement often includes chronic glomerular symptoms such as proteinuria, nephrotic syndrome, and renal insufficiency. Extra-renal involvement includes a spectrum of organs and tissues such as the liver (elevated liver enzymes), heart (</w:t>
      </w:r>
      <w:proofErr w:type="spellStart"/>
      <w:r w:rsidRPr="00F36A55">
        <w:rPr>
          <w:rFonts w:ascii="Arial" w:eastAsia="Times New Roman" w:hAnsi="Arial" w:cs="Arial"/>
          <w:sz w:val="20"/>
          <w:szCs w:val="20"/>
        </w:rPr>
        <w:t>dyspnea</w:t>
      </w:r>
      <w:proofErr w:type="spellEnd"/>
      <w:r w:rsidRPr="00F36A55">
        <w:rPr>
          <w:rFonts w:ascii="Arial" w:eastAsia="Times New Roman" w:hAnsi="Arial" w:cs="Arial"/>
          <w:sz w:val="20"/>
          <w:szCs w:val="20"/>
        </w:rPr>
        <w:t>, arrhythmias, prolonged QT interval, or sinus bradycardia), cystic lung disease, and peripheral neuropathy. MIDD deposits have also been identified in the gastrointestinal tract, pancreas, adrenal glands, lungs, thyroid, eyes, and salivary glands</w:t>
      </w:r>
      <w:r w:rsidR="00735DB0">
        <w:rPr>
          <w:rFonts w:ascii="Times New Roman" w:eastAsia="Times New Roman" w:hAnsi="Times New Roman" w:cs="Times New Roman"/>
          <w:sz w:val="24"/>
          <w:szCs w:val="24"/>
          <w:vertAlign w:val="superscript"/>
          <w:lang w:val="en-GB"/>
        </w:rPr>
        <w:t>2</w:t>
      </w:r>
      <w:r w:rsidRPr="00F36A55">
        <w:rPr>
          <w:rFonts w:ascii="Arial" w:eastAsia="Times New Roman" w:hAnsi="Arial" w:cs="Arial"/>
          <w:sz w:val="20"/>
          <w:szCs w:val="20"/>
        </w:rPr>
        <w:t>. In this case report, the patient's renal function deteriorated with significant proteinuria, necessitating a renal biopsy for diagnostic purposes.</w:t>
      </w:r>
    </w:p>
    <w:p w14:paraId="2DEFDDA5" w14:textId="23C39AAA"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Due to its rarity, renal histology plays a crucial role in diagnosing MIDD. MIDD often involves glomerular capillaries and the tubular basement membrane. Glomerular lesions predominantly involve the mesangium, with increased extracellular matrix expansion and glomerulosclerosis observed in the majority of cases (Figure 1). In order to confirm the diagnosis of MIDD, immunofluorescence studies must show diffuse linear staining along the basement membranes of glomeruli, tubules, and vascular myocytes for a single light chain (LC) isotype (usually kappa) in LCDD, a single immunoglobulin (Ig) heavy chain and LC in LHCDD, or a single class of Ig with a CH1 domain deletion and no corresponding LC in HCDD</w:t>
      </w:r>
      <w:r w:rsidR="00735DB0">
        <w:rPr>
          <w:rFonts w:ascii="Times New Roman" w:eastAsia="Times New Roman" w:hAnsi="Times New Roman" w:cs="Times New Roman"/>
          <w:sz w:val="24"/>
          <w:szCs w:val="24"/>
          <w:vertAlign w:val="superscript"/>
          <w:lang w:val="en-GB"/>
        </w:rPr>
        <w:t>2</w:t>
      </w:r>
      <w:r w:rsidRPr="00F36A55">
        <w:rPr>
          <w:rFonts w:ascii="Arial" w:eastAsia="Times New Roman" w:hAnsi="Arial" w:cs="Arial"/>
          <w:sz w:val="20"/>
          <w:szCs w:val="20"/>
        </w:rPr>
        <w:t>.</w:t>
      </w:r>
      <w:r w:rsidR="00A46A34">
        <w:rPr>
          <w:rFonts w:ascii="Arial" w:eastAsia="Times New Roman" w:hAnsi="Arial" w:cs="Arial"/>
          <w:sz w:val="20"/>
          <w:szCs w:val="20"/>
        </w:rPr>
        <w:t xml:space="preserve"> </w:t>
      </w:r>
      <w:r w:rsidR="00A46A34" w:rsidRPr="00A46A34">
        <w:rPr>
          <w:rFonts w:ascii="Arial" w:hAnsi="Arial" w:cs="Arial"/>
          <w:sz w:val="20"/>
          <w:szCs w:val="20"/>
        </w:rPr>
        <w:t>Among the three diseases, LCDD is the most prevalent and constitutes approximately 80% of MIDD, whereas LHCDD and HCDD are considered to be extremely rare</w:t>
      </w:r>
      <w:r w:rsidR="00A46A34">
        <w:rPr>
          <w:rFonts w:ascii="Times New Roman" w:eastAsia="Times New Roman" w:hAnsi="Times New Roman" w:cs="Times New Roman"/>
          <w:sz w:val="24"/>
          <w:szCs w:val="24"/>
          <w:vertAlign w:val="superscript"/>
        </w:rPr>
        <w:t>10</w:t>
      </w:r>
      <w:r w:rsidR="00A46A34" w:rsidRPr="00A46A34">
        <w:rPr>
          <w:rFonts w:ascii="Arial" w:hAnsi="Arial" w:cs="Arial"/>
          <w:sz w:val="20"/>
          <w:szCs w:val="20"/>
        </w:rPr>
        <w:t>.</w:t>
      </w:r>
      <w:r w:rsidRPr="00F36A55">
        <w:rPr>
          <w:rFonts w:ascii="Arial" w:eastAsia="Times New Roman" w:hAnsi="Arial" w:cs="Arial"/>
          <w:sz w:val="20"/>
          <w:szCs w:val="20"/>
        </w:rPr>
        <w:t xml:space="preserve"> Electron microscopy typically exhibits punctate "powdery" electron-dense deposits along the inner aspect of glomerular basement membranes and the outer aspect of tubular basement membranes (Figure 2).</w:t>
      </w:r>
    </w:p>
    <w:p w14:paraId="6616D0DD" w14:textId="44CB223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The treatment of MIDD involves several strategies, including clone-directed therapy followed by autologous stem cell transplantation (ASCT), or in some cases, kidney transplantation. Clone-directed therapy, particularly regimens containing bortezomib, has been shown to achieve good </w:t>
      </w:r>
      <w:proofErr w:type="spellStart"/>
      <w:r w:rsidRPr="00F36A55">
        <w:rPr>
          <w:rFonts w:ascii="Arial" w:eastAsia="Times New Roman" w:hAnsi="Arial" w:cs="Arial"/>
          <w:sz w:val="20"/>
          <w:szCs w:val="20"/>
        </w:rPr>
        <w:t>hematological</w:t>
      </w:r>
      <w:proofErr w:type="spellEnd"/>
      <w:r w:rsidRPr="00F36A55">
        <w:rPr>
          <w:rFonts w:ascii="Arial" w:eastAsia="Times New Roman" w:hAnsi="Arial" w:cs="Arial"/>
          <w:sz w:val="20"/>
          <w:szCs w:val="20"/>
        </w:rPr>
        <w:t xml:space="preserve"> and renal responses</w:t>
      </w:r>
      <w:r w:rsidR="00EF2F73">
        <w:rPr>
          <w:rFonts w:ascii="Arial" w:eastAsia="Times New Roman" w:hAnsi="Arial" w:cs="Arial"/>
          <w:sz w:val="20"/>
          <w:szCs w:val="20"/>
        </w:rPr>
        <w:t xml:space="preserve"> as long as no dose modification is made for renal impairment</w:t>
      </w:r>
      <w:r w:rsidR="0040305D">
        <w:rPr>
          <w:rFonts w:ascii="Times New Roman" w:eastAsia="Times New Roman" w:hAnsi="Times New Roman" w:cs="Times New Roman"/>
          <w:sz w:val="24"/>
          <w:szCs w:val="24"/>
          <w:vertAlign w:val="superscript"/>
        </w:rPr>
        <w:t>8</w:t>
      </w:r>
      <w:r w:rsidRPr="00F36A55">
        <w:rPr>
          <w:rFonts w:ascii="Arial" w:eastAsia="Times New Roman" w:hAnsi="Arial" w:cs="Arial"/>
          <w:sz w:val="20"/>
          <w:szCs w:val="20"/>
        </w:rPr>
        <w:t>. The definitions of response are as follows:</w:t>
      </w:r>
    </w:p>
    <w:p w14:paraId="1457AAE5" w14:textId="77777777" w:rsidR="008E5803" w:rsidRPr="00F36A55" w:rsidRDefault="008E5803" w:rsidP="008E5803">
      <w:pPr>
        <w:numPr>
          <w:ilvl w:val="0"/>
          <w:numId w:val="3"/>
        </w:num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b/>
          <w:bCs/>
          <w:sz w:val="20"/>
          <w:szCs w:val="20"/>
        </w:rPr>
        <w:t>Complete hematologic response (CR)</w:t>
      </w:r>
      <w:r w:rsidRPr="00F36A55">
        <w:rPr>
          <w:rFonts w:ascii="Arial" w:eastAsia="Times New Roman" w:hAnsi="Arial" w:cs="Arial"/>
          <w:sz w:val="20"/>
          <w:szCs w:val="20"/>
        </w:rPr>
        <w:t>: Normalization of free light chains (FLC) with negative serum immunofixation</w:t>
      </w:r>
    </w:p>
    <w:p w14:paraId="0243C94B" w14:textId="77777777" w:rsidR="008E5803" w:rsidRPr="00F36A55" w:rsidRDefault="008E5803" w:rsidP="008E5803">
      <w:pPr>
        <w:numPr>
          <w:ilvl w:val="0"/>
          <w:numId w:val="3"/>
        </w:num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b/>
          <w:bCs/>
          <w:sz w:val="20"/>
          <w:szCs w:val="20"/>
        </w:rPr>
        <w:t>Very good partial response (VGPR)</w:t>
      </w:r>
      <w:r w:rsidRPr="00F36A55">
        <w:rPr>
          <w:rFonts w:ascii="Arial" w:eastAsia="Times New Roman" w:hAnsi="Arial" w:cs="Arial"/>
          <w:sz w:val="20"/>
          <w:szCs w:val="20"/>
        </w:rPr>
        <w:t>: Difference in free light chains (</w:t>
      </w:r>
      <w:proofErr w:type="spellStart"/>
      <w:r w:rsidRPr="00F36A55">
        <w:rPr>
          <w:rFonts w:ascii="Arial" w:eastAsia="Times New Roman" w:hAnsi="Arial" w:cs="Arial"/>
          <w:sz w:val="20"/>
          <w:szCs w:val="20"/>
        </w:rPr>
        <w:t>dFLC</w:t>
      </w:r>
      <w:proofErr w:type="spellEnd"/>
      <w:r w:rsidRPr="00F36A55">
        <w:rPr>
          <w:rFonts w:ascii="Arial" w:eastAsia="Times New Roman" w:hAnsi="Arial" w:cs="Arial"/>
          <w:sz w:val="20"/>
          <w:szCs w:val="20"/>
        </w:rPr>
        <w:t>) &lt; 40 mg/L</w:t>
      </w:r>
    </w:p>
    <w:p w14:paraId="7D8DFB43" w14:textId="77777777" w:rsidR="008E5803" w:rsidRPr="00F36A55" w:rsidRDefault="008E5803" w:rsidP="008E5803">
      <w:pPr>
        <w:numPr>
          <w:ilvl w:val="0"/>
          <w:numId w:val="3"/>
        </w:num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b/>
          <w:bCs/>
          <w:sz w:val="20"/>
          <w:szCs w:val="20"/>
        </w:rPr>
        <w:t>Partial response (PR)</w:t>
      </w:r>
      <w:r w:rsidRPr="00F36A55">
        <w:rPr>
          <w:rFonts w:ascii="Arial" w:eastAsia="Times New Roman" w:hAnsi="Arial" w:cs="Arial"/>
          <w:sz w:val="20"/>
          <w:szCs w:val="20"/>
        </w:rPr>
        <w:t xml:space="preserve">: </w:t>
      </w:r>
      <w:proofErr w:type="spellStart"/>
      <w:r w:rsidRPr="00F36A55">
        <w:rPr>
          <w:rFonts w:ascii="Arial" w:eastAsia="Times New Roman" w:hAnsi="Arial" w:cs="Arial"/>
          <w:sz w:val="20"/>
          <w:szCs w:val="20"/>
        </w:rPr>
        <w:t>dFLC</w:t>
      </w:r>
      <w:proofErr w:type="spellEnd"/>
      <w:r w:rsidRPr="00F36A55">
        <w:rPr>
          <w:rFonts w:ascii="Arial" w:eastAsia="Times New Roman" w:hAnsi="Arial" w:cs="Arial"/>
          <w:sz w:val="20"/>
          <w:szCs w:val="20"/>
        </w:rPr>
        <w:t xml:space="preserve"> drop of ≥ 50%</w:t>
      </w:r>
    </w:p>
    <w:p w14:paraId="4AED4250" w14:textId="44BAFE1A"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Renal response is defined as a 50% decrease in proteinuria (&gt;0.5 g/day) without a ≥25% decrease in baseline eGFR</w:t>
      </w:r>
      <w:r w:rsidR="00EF2F73">
        <w:rPr>
          <w:rFonts w:ascii="Times New Roman" w:eastAsia="Times New Roman" w:hAnsi="Times New Roman" w:cs="Times New Roman"/>
          <w:sz w:val="24"/>
          <w:szCs w:val="24"/>
          <w:vertAlign w:val="superscript"/>
        </w:rPr>
        <w:t>7</w:t>
      </w:r>
      <w:r w:rsidRPr="00F36A55">
        <w:rPr>
          <w:rFonts w:ascii="Arial" w:eastAsia="Times New Roman" w:hAnsi="Arial" w:cs="Arial"/>
          <w:sz w:val="20"/>
          <w:szCs w:val="20"/>
        </w:rPr>
        <w:t>. However, these criteria still need further validation in MIDD</w:t>
      </w:r>
      <w:r w:rsidR="00735DB0">
        <w:rPr>
          <w:rFonts w:ascii="Times New Roman" w:eastAsia="Times New Roman" w:hAnsi="Times New Roman" w:cs="Times New Roman"/>
          <w:sz w:val="24"/>
          <w:szCs w:val="24"/>
          <w:vertAlign w:val="superscript"/>
          <w:lang w:val="en-GB"/>
        </w:rPr>
        <w:t>2</w:t>
      </w:r>
      <w:r w:rsidRPr="00F36A55">
        <w:rPr>
          <w:rFonts w:ascii="Arial" w:eastAsia="Times New Roman" w:hAnsi="Arial" w:cs="Arial"/>
          <w:sz w:val="20"/>
          <w:szCs w:val="20"/>
        </w:rPr>
        <w:t>. The role of ASCT in MIDD remains unclear and requires more studies</w:t>
      </w:r>
      <w:r w:rsidR="0040305D">
        <w:rPr>
          <w:rFonts w:ascii="Times New Roman" w:eastAsia="Times New Roman" w:hAnsi="Times New Roman" w:cs="Times New Roman"/>
          <w:sz w:val="24"/>
          <w:szCs w:val="24"/>
          <w:vertAlign w:val="superscript"/>
        </w:rPr>
        <w:t>9</w:t>
      </w:r>
      <w:r w:rsidRPr="00F36A55">
        <w:rPr>
          <w:rFonts w:ascii="Arial" w:eastAsia="Times New Roman" w:hAnsi="Arial" w:cs="Arial"/>
          <w:sz w:val="20"/>
          <w:szCs w:val="20"/>
        </w:rPr>
        <w:t xml:space="preserve">. Kidney transplantation raises concerns about </w:t>
      </w:r>
      <w:r w:rsidRPr="00F36A55">
        <w:rPr>
          <w:rFonts w:ascii="Arial" w:eastAsia="Times New Roman" w:hAnsi="Arial" w:cs="Arial"/>
          <w:sz w:val="20"/>
          <w:szCs w:val="20"/>
        </w:rPr>
        <w:lastRenderedPageBreak/>
        <w:t xml:space="preserve">disease relapse in the allograft and the risk of progression to symptomatic malignant </w:t>
      </w:r>
      <w:proofErr w:type="spellStart"/>
      <w:r w:rsidRPr="00F36A55">
        <w:rPr>
          <w:rFonts w:ascii="Arial" w:eastAsia="Times New Roman" w:hAnsi="Arial" w:cs="Arial"/>
          <w:sz w:val="20"/>
          <w:szCs w:val="20"/>
        </w:rPr>
        <w:t>hematological</w:t>
      </w:r>
      <w:proofErr w:type="spellEnd"/>
      <w:r w:rsidRPr="00F36A55">
        <w:rPr>
          <w:rFonts w:ascii="Arial" w:eastAsia="Times New Roman" w:hAnsi="Arial" w:cs="Arial"/>
          <w:sz w:val="20"/>
          <w:szCs w:val="20"/>
        </w:rPr>
        <w:t xml:space="preserve"> disease.</w:t>
      </w:r>
      <w:r w:rsidR="00F81664">
        <w:rPr>
          <w:rFonts w:ascii="Arial" w:eastAsia="Times New Roman" w:hAnsi="Arial" w:cs="Arial"/>
          <w:sz w:val="20"/>
          <w:szCs w:val="20"/>
        </w:rPr>
        <w:t xml:space="preserve"> </w:t>
      </w:r>
      <w:r w:rsidR="00F81664" w:rsidRPr="00F81664">
        <w:rPr>
          <w:rFonts w:ascii="Arial" w:hAnsi="Arial" w:cs="Arial"/>
          <w:sz w:val="20"/>
          <w:szCs w:val="20"/>
        </w:rPr>
        <w:t>Close coordination of post-transplant follow-up is essential to detect early hematologic or renal recurrence. The optimal strategy for managing hematologic relapse or recurrence of MIDD after kidney transplantation has yet to be established</w:t>
      </w:r>
      <w:r w:rsidR="00F81664">
        <w:rPr>
          <w:rFonts w:ascii="Times New Roman" w:eastAsia="Times New Roman" w:hAnsi="Times New Roman" w:cs="Times New Roman"/>
          <w:sz w:val="24"/>
          <w:szCs w:val="24"/>
          <w:vertAlign w:val="superscript"/>
        </w:rPr>
        <w:t>11.</w:t>
      </w:r>
    </w:p>
    <w:p w14:paraId="0B15C31E" w14:textId="77777777" w:rsidR="008E5803" w:rsidRPr="00F36A55" w:rsidRDefault="008E5803" w:rsidP="008E5803">
      <w:pPr>
        <w:spacing w:before="100" w:beforeAutospacing="1" w:after="100" w:afterAutospacing="1" w:line="240" w:lineRule="auto"/>
        <w:rPr>
          <w:rFonts w:ascii="Arial" w:eastAsia="Times New Roman" w:hAnsi="Arial" w:cs="Arial"/>
          <w:sz w:val="20"/>
          <w:szCs w:val="20"/>
        </w:rPr>
      </w:pPr>
      <w:r w:rsidRPr="00F36A55">
        <w:rPr>
          <w:rFonts w:ascii="Arial" w:eastAsia="Times New Roman" w:hAnsi="Arial" w:cs="Arial"/>
          <w:sz w:val="20"/>
          <w:szCs w:val="20"/>
        </w:rPr>
        <w:t xml:space="preserve">This patient was treated with a proteasome inhibitor-based combination as a first-line strategy but has yet to show a </w:t>
      </w:r>
      <w:proofErr w:type="spellStart"/>
      <w:r w:rsidRPr="00F36A55">
        <w:rPr>
          <w:rFonts w:ascii="Arial" w:eastAsia="Times New Roman" w:hAnsi="Arial" w:cs="Arial"/>
          <w:sz w:val="20"/>
          <w:szCs w:val="20"/>
        </w:rPr>
        <w:t>favorable</w:t>
      </w:r>
      <w:proofErr w:type="spellEnd"/>
      <w:r w:rsidRPr="00F36A55">
        <w:rPr>
          <w:rFonts w:ascii="Arial" w:eastAsia="Times New Roman" w:hAnsi="Arial" w:cs="Arial"/>
          <w:sz w:val="20"/>
          <w:szCs w:val="20"/>
        </w:rPr>
        <w:t xml:space="preserve"> hematologic or renal response.</w:t>
      </w:r>
    </w:p>
    <w:p w14:paraId="09F78A58" w14:textId="4FC0BA03" w:rsidR="004D55CB" w:rsidRDefault="004D55CB" w:rsidP="008E5803">
      <w:pPr>
        <w:spacing w:before="100" w:beforeAutospacing="1" w:after="100" w:afterAutospacing="1"/>
        <w:rPr>
          <w:rFonts w:ascii="Arial" w:eastAsia="Times New Roman" w:hAnsi="Arial" w:cs="Arial"/>
          <w:sz w:val="20"/>
          <w:szCs w:val="20"/>
        </w:rPr>
      </w:pPr>
    </w:p>
    <w:p w14:paraId="07736C5C" w14:textId="77777777" w:rsidR="00F61954" w:rsidRPr="00F36A55" w:rsidRDefault="00F61954" w:rsidP="008E5803">
      <w:pPr>
        <w:spacing w:before="100" w:beforeAutospacing="1" w:after="100" w:afterAutospacing="1"/>
        <w:rPr>
          <w:rFonts w:ascii="Arial" w:eastAsia="Times New Roman" w:hAnsi="Arial" w:cs="Arial"/>
          <w:sz w:val="20"/>
          <w:szCs w:val="20"/>
        </w:rPr>
      </w:pPr>
    </w:p>
    <w:p w14:paraId="53EF6135" w14:textId="1CD87145" w:rsidR="004D55CB" w:rsidRPr="00F36A55" w:rsidRDefault="004D55CB" w:rsidP="004D55CB">
      <w:pPr>
        <w:spacing w:before="100" w:beforeAutospacing="1" w:after="100" w:afterAutospacing="1"/>
        <w:rPr>
          <w:rFonts w:ascii="Arial" w:eastAsia="Times New Roman" w:hAnsi="Arial" w:cs="Arial"/>
          <w:b/>
          <w:bCs/>
          <w:lang w:val="en-GB"/>
        </w:rPr>
      </w:pPr>
      <w:r w:rsidRPr="00F36A55">
        <w:rPr>
          <w:rFonts w:ascii="Arial" w:eastAsia="Times New Roman" w:hAnsi="Arial" w:cs="Arial"/>
          <w:b/>
          <w:bCs/>
          <w:lang w:val="en-GB"/>
        </w:rPr>
        <w:t>Conclusion</w:t>
      </w:r>
    </w:p>
    <w:p w14:paraId="5398321F" w14:textId="660635B3" w:rsidR="006E6B5D" w:rsidRDefault="00EF23A9" w:rsidP="008F3909">
      <w:pPr>
        <w:spacing w:before="100" w:beforeAutospacing="1" w:after="100" w:afterAutospacing="1"/>
        <w:rPr>
          <w:rFonts w:ascii="Arial" w:eastAsia="Times New Roman" w:hAnsi="Arial" w:cs="Arial"/>
          <w:sz w:val="20"/>
          <w:szCs w:val="20"/>
        </w:rPr>
      </w:pPr>
      <w:r w:rsidRPr="00F36A55">
        <w:rPr>
          <w:rFonts w:ascii="Arial" w:eastAsia="Times New Roman" w:hAnsi="Arial" w:cs="Arial"/>
          <w:sz w:val="20"/>
          <w:szCs w:val="20"/>
        </w:rPr>
        <w:t xml:space="preserve">MIDD is an aggressive rare condition requiring prompt diagnosis and intervention to preserve organ function. A multidisciplinary approach involving </w:t>
      </w:r>
      <w:proofErr w:type="spellStart"/>
      <w:r w:rsidRPr="00F36A55">
        <w:rPr>
          <w:rFonts w:ascii="Arial" w:eastAsia="Times New Roman" w:hAnsi="Arial" w:cs="Arial"/>
          <w:sz w:val="20"/>
          <w:szCs w:val="20"/>
        </w:rPr>
        <w:t>hematology</w:t>
      </w:r>
      <w:proofErr w:type="spellEnd"/>
      <w:r w:rsidRPr="00F36A55">
        <w:rPr>
          <w:rFonts w:ascii="Arial" w:eastAsia="Times New Roman" w:hAnsi="Arial" w:cs="Arial"/>
          <w:sz w:val="20"/>
          <w:szCs w:val="20"/>
        </w:rPr>
        <w:t>, nephrology, and pathology is essential for optimal management.</w:t>
      </w:r>
    </w:p>
    <w:p w14:paraId="10C7ADAD" w14:textId="77777777" w:rsidR="006E6B5D" w:rsidRDefault="006E6B5D" w:rsidP="006E6B5D">
      <w:pPr>
        <w:rPr>
          <w:rFonts w:ascii="Arial" w:hAnsi="Arial" w:cs="Arial"/>
          <w:color w:val="222222"/>
          <w:shd w:val="clear" w:color="auto" w:fill="FFFFFF"/>
        </w:rPr>
      </w:pPr>
      <w:r w:rsidRPr="00D57B2C">
        <w:rPr>
          <w:rFonts w:ascii="Arial" w:hAnsi="Arial" w:cs="Arial"/>
          <w:noProof/>
          <w:color w:val="222222"/>
          <w:shd w:val="clear" w:color="auto" w:fill="FFFFFF"/>
        </w:rPr>
        <w:drawing>
          <wp:inline distT="0" distB="0" distL="0" distR="0" wp14:anchorId="5CF2246F" wp14:editId="506C8B5E">
            <wp:extent cx="5731510" cy="2068195"/>
            <wp:effectExtent l="0" t="0" r="0" b="1905"/>
            <wp:docPr id="1639810079"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10079" name="Picture 1" descr="A close-up of a microscope&#10;&#10;AI-generated content may be incorrect."/>
                    <pic:cNvPicPr/>
                  </pic:nvPicPr>
                  <pic:blipFill>
                    <a:blip r:embed="rId7"/>
                    <a:stretch>
                      <a:fillRect/>
                    </a:stretch>
                  </pic:blipFill>
                  <pic:spPr>
                    <a:xfrm>
                      <a:off x="0" y="0"/>
                      <a:ext cx="5731510" cy="2068195"/>
                    </a:xfrm>
                    <a:prstGeom prst="rect">
                      <a:avLst/>
                    </a:prstGeom>
                  </pic:spPr>
                </pic:pic>
              </a:graphicData>
            </a:graphic>
          </wp:inline>
        </w:drawing>
      </w:r>
    </w:p>
    <w:p w14:paraId="17904A48" w14:textId="77777777" w:rsidR="00F36A55" w:rsidRDefault="006E6B5D" w:rsidP="00F36A55">
      <w:pPr>
        <w:rPr>
          <w:rFonts w:ascii="Arial" w:hAnsi="Arial" w:cs="Arial"/>
          <w:color w:val="000000"/>
          <w:sz w:val="20"/>
          <w:szCs w:val="20"/>
          <w:shd w:val="clear" w:color="auto" w:fill="FFFFFF"/>
        </w:rPr>
      </w:pPr>
      <w:r w:rsidRPr="00F36A55">
        <w:rPr>
          <w:rFonts w:ascii="Arial" w:hAnsi="Arial" w:cs="Arial"/>
          <w:color w:val="222222"/>
          <w:sz w:val="20"/>
          <w:szCs w:val="20"/>
          <w:shd w:val="clear" w:color="auto" w:fill="FFFFFF"/>
        </w:rPr>
        <w:t>Figure 1 (A &amp; B): Light microscopy and special stain studies. In both, (A &amp; B), t</w:t>
      </w:r>
      <w:r w:rsidRPr="00F36A55">
        <w:rPr>
          <w:rFonts w:ascii="Arial" w:hAnsi="Arial" w:cs="Arial"/>
          <w:color w:val="000000"/>
          <w:sz w:val="20"/>
          <w:szCs w:val="20"/>
          <w:shd w:val="clear" w:color="auto" w:fill="FFFFFF"/>
        </w:rPr>
        <w:t>he glomeruli show moderate to marked diffuse mesangial matrix expansion with pale eosinophilic areas accompanied by patchy mesangial cells. There is thickening of the capillary walls of the glomerular tufts. One glomerulus show adhesion of the capillary tufts to Bowman capsule forming segmental glomerulosclerosis. Many of the tubules throughout the core show irregular dilatation with regenerative atypia. Many of the tubules show thickened basement membrane with homogenous pale appearance. (</w:t>
      </w:r>
      <w:r w:rsidRPr="00F36A55">
        <w:rPr>
          <w:rFonts w:ascii="Arial" w:hAnsi="Arial" w:cs="Arial"/>
          <w:color w:val="222222"/>
          <w:sz w:val="20"/>
          <w:szCs w:val="20"/>
          <w:shd w:val="clear" w:color="auto" w:fill="FFFFFF"/>
        </w:rPr>
        <w:t xml:space="preserve">A) Haematoxylin-eosin stain (H&amp;E; original magnification, x 200) &amp; (B) </w:t>
      </w:r>
      <w:r w:rsidRPr="00F36A55">
        <w:rPr>
          <w:rFonts w:ascii="Arial" w:hAnsi="Arial" w:cs="Arial"/>
          <w:color w:val="000000"/>
          <w:sz w:val="20"/>
          <w:szCs w:val="20"/>
          <w:shd w:val="clear" w:color="auto" w:fill="FFFFFF"/>
        </w:rPr>
        <w:t>Periodic Acid-Schiff stain</w:t>
      </w:r>
      <w:r w:rsidRPr="00F36A55">
        <w:rPr>
          <w:rFonts w:ascii="Arial" w:hAnsi="Arial" w:cs="Arial"/>
          <w:color w:val="222222"/>
          <w:sz w:val="20"/>
          <w:szCs w:val="20"/>
          <w:shd w:val="clear" w:color="auto" w:fill="FFFFFF"/>
        </w:rPr>
        <w:t>; PAS; original magnification, x 100)</w:t>
      </w:r>
    </w:p>
    <w:p w14:paraId="2831A255" w14:textId="77777777" w:rsidR="00F36A55" w:rsidRDefault="006E6B5D" w:rsidP="00F36A55">
      <w:pPr>
        <w:rPr>
          <w:rFonts w:ascii="Arial" w:hAnsi="Arial" w:cs="Arial"/>
          <w:color w:val="000000"/>
          <w:sz w:val="20"/>
          <w:szCs w:val="20"/>
          <w:shd w:val="clear" w:color="auto" w:fill="FFFFFF"/>
        </w:rPr>
      </w:pPr>
      <w:r w:rsidRPr="00F36A55">
        <w:rPr>
          <w:rFonts w:ascii="Arial" w:eastAsia="Times New Roman" w:hAnsi="Arial" w:cs="Arial"/>
          <w:noProof/>
          <w:color w:val="222222"/>
          <w:sz w:val="20"/>
          <w:szCs w:val="20"/>
        </w:rPr>
        <w:lastRenderedPageBreak/>
        <w:drawing>
          <wp:inline distT="0" distB="0" distL="0" distR="0" wp14:anchorId="547FB241" wp14:editId="41E64294">
            <wp:extent cx="5731510" cy="3239770"/>
            <wp:effectExtent l="0" t="0" r="0" b="0"/>
            <wp:docPr id="1204659706" name="Picture 1"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59706" name="Picture 1" descr="A collage of images of cells&#10;&#10;AI-generated content may be incorrect."/>
                    <pic:cNvPicPr/>
                  </pic:nvPicPr>
                  <pic:blipFill>
                    <a:blip r:embed="rId8"/>
                    <a:stretch>
                      <a:fillRect/>
                    </a:stretch>
                  </pic:blipFill>
                  <pic:spPr>
                    <a:xfrm>
                      <a:off x="0" y="0"/>
                      <a:ext cx="5731510" cy="3239770"/>
                    </a:xfrm>
                    <a:prstGeom prst="rect">
                      <a:avLst/>
                    </a:prstGeom>
                  </pic:spPr>
                </pic:pic>
              </a:graphicData>
            </a:graphic>
          </wp:inline>
        </w:drawing>
      </w:r>
    </w:p>
    <w:p w14:paraId="3B375333" w14:textId="132D64E2" w:rsidR="006E6B5D" w:rsidRPr="00F36A55" w:rsidRDefault="006E6B5D" w:rsidP="00F36A55">
      <w:pPr>
        <w:rPr>
          <w:rFonts w:ascii="Arial" w:hAnsi="Arial" w:cs="Arial"/>
          <w:color w:val="000000"/>
          <w:sz w:val="20"/>
          <w:szCs w:val="20"/>
          <w:shd w:val="clear" w:color="auto" w:fill="FFFFFF"/>
        </w:rPr>
      </w:pPr>
      <w:r w:rsidRPr="00F36A55">
        <w:rPr>
          <w:rFonts w:ascii="Arial" w:eastAsia="Times New Roman" w:hAnsi="Arial" w:cs="Arial"/>
          <w:color w:val="222222"/>
          <w:sz w:val="20"/>
          <w:szCs w:val="20"/>
          <w:lang w:eastAsia="en-GB"/>
        </w:rPr>
        <w:t xml:space="preserve">Figure 2: Electron </w:t>
      </w:r>
      <w:proofErr w:type="gramStart"/>
      <w:r w:rsidRPr="00F36A55">
        <w:rPr>
          <w:rFonts w:ascii="Arial" w:eastAsia="Times New Roman" w:hAnsi="Arial" w:cs="Arial"/>
          <w:color w:val="222222"/>
          <w:sz w:val="20"/>
          <w:szCs w:val="20"/>
          <w:lang w:eastAsia="en-GB"/>
        </w:rPr>
        <w:t>microscopy(</w:t>
      </w:r>
      <w:proofErr w:type="gramEnd"/>
      <w:r w:rsidRPr="00F36A55">
        <w:rPr>
          <w:rFonts w:ascii="Arial" w:eastAsia="Times New Roman" w:hAnsi="Arial" w:cs="Arial"/>
          <w:color w:val="222222"/>
          <w:sz w:val="20"/>
          <w:szCs w:val="20"/>
          <w:lang w:eastAsia="en-GB"/>
        </w:rPr>
        <w:t>EM) images in (A) demonstrate diffusely thickened glomerular basement membrane with markedly expanded mesangium demonstrating fine granular punctate, ‘powder’ electron dense deposits. Immunofluorescence findings in (B) demonstrates negative staining for Lambda and in (C) demonstrates strong positive linear staining for Kappa along the tubular basement membranes. (A) Electron microscopy (EM); original magnification, x 2700nm, (B) Lambda immunofluorescence (Lambda; original magnification, x100 &amp; (C) Kappa immunofluorescence (Kappa; original magnification, x100,)</w:t>
      </w:r>
    </w:p>
    <w:p w14:paraId="18496E38" w14:textId="77777777" w:rsidR="00051B1C" w:rsidRPr="00051B1C" w:rsidRDefault="00A0058D" w:rsidP="00051B1C">
      <w:pPr>
        <w:rPr>
          <w:rFonts w:ascii="Calibri" w:eastAsia="Calibri" w:hAnsi="Calibri" w:cs="Times New Roman"/>
          <w:b/>
          <w:sz w:val="28"/>
          <w:lang w:val="en-US" w:eastAsia="en-US"/>
        </w:rPr>
      </w:pPr>
      <w:r w:rsidRPr="00F36A55">
        <w:rPr>
          <w:rFonts w:ascii="Arial" w:eastAsia="Times New Roman" w:hAnsi="Arial" w:cs="Arial"/>
          <w:sz w:val="20"/>
          <w:szCs w:val="20"/>
          <w:lang w:val="en-GB"/>
        </w:rPr>
        <w:t xml:space="preserve"> </w:t>
      </w:r>
      <w:r w:rsidR="00AC153F" w:rsidRPr="00F36A55">
        <w:rPr>
          <w:rFonts w:ascii="Arial" w:eastAsia="Times New Roman" w:hAnsi="Arial" w:cs="Arial"/>
          <w:sz w:val="20"/>
          <w:szCs w:val="20"/>
          <w:lang w:val="en-GB"/>
        </w:rPr>
        <w:t xml:space="preserve"> </w:t>
      </w:r>
      <w:bookmarkStart w:id="2" w:name="_Hlk194405813"/>
      <w:r w:rsidR="00051B1C" w:rsidRPr="00051B1C">
        <w:rPr>
          <w:rFonts w:ascii="Calibri" w:eastAsia="Calibri" w:hAnsi="Calibri" w:cs="Times New Roman"/>
          <w:b/>
          <w:sz w:val="28"/>
          <w:lang w:val="en-US" w:eastAsia="en-US"/>
        </w:rPr>
        <w:t>Ethical Approval:</w:t>
      </w:r>
    </w:p>
    <w:p w14:paraId="54161C94" w14:textId="77777777" w:rsidR="00051B1C" w:rsidRPr="00051B1C" w:rsidRDefault="00051B1C" w:rsidP="00051B1C">
      <w:pPr>
        <w:spacing w:after="200" w:line="276" w:lineRule="auto"/>
        <w:rPr>
          <w:rFonts w:ascii="Calibri" w:eastAsia="Times New Roman" w:hAnsi="Calibri" w:cs="Times New Roman"/>
          <w:lang w:val="en-US" w:eastAsia="en-US"/>
        </w:rPr>
      </w:pPr>
      <w:r w:rsidRPr="00051B1C">
        <w:rPr>
          <w:rFonts w:ascii="Calibri" w:eastAsia="Times New Roman" w:hAnsi="Calibri" w:cs="Times New Roman"/>
          <w:lang w:val="en-US" w:eastAsia="en-US"/>
        </w:rPr>
        <w:t>As per international standards or university standards written ethical approval has been collected and preserved by the author(s).</w:t>
      </w:r>
    </w:p>
    <w:bookmarkEnd w:id="2"/>
    <w:p w14:paraId="1331BE64" w14:textId="77777777" w:rsidR="00051B1C" w:rsidRPr="00051B1C" w:rsidRDefault="00051B1C" w:rsidP="00051B1C">
      <w:pPr>
        <w:spacing w:before="100" w:beforeAutospacing="1" w:after="100" w:afterAutospacing="1"/>
        <w:rPr>
          <w:rFonts w:ascii="Arial" w:eastAsia="Times New Roman" w:hAnsi="Arial" w:cs="Arial"/>
          <w:sz w:val="20"/>
          <w:szCs w:val="20"/>
          <w:lang w:val="en-GB"/>
        </w:rPr>
      </w:pPr>
      <w:r w:rsidRPr="00051B1C">
        <w:rPr>
          <w:rFonts w:ascii="Arial" w:eastAsia="Times New Roman" w:hAnsi="Arial" w:cs="Arial"/>
          <w:sz w:val="20"/>
          <w:szCs w:val="20"/>
          <w:lang w:val="en-GB"/>
        </w:rPr>
        <w:t xml:space="preserve">Consent </w:t>
      </w:r>
    </w:p>
    <w:p w14:paraId="067BB20F" w14:textId="7661B99F" w:rsidR="008F3909" w:rsidRDefault="00051B1C" w:rsidP="00051B1C">
      <w:pPr>
        <w:spacing w:before="100" w:beforeAutospacing="1" w:after="100" w:afterAutospacing="1"/>
        <w:rPr>
          <w:rFonts w:ascii="Arial" w:eastAsia="Times New Roman" w:hAnsi="Arial" w:cs="Arial"/>
          <w:sz w:val="20"/>
          <w:szCs w:val="20"/>
          <w:lang w:val="en-GB"/>
        </w:rPr>
      </w:pPr>
      <w:r w:rsidRPr="00051B1C">
        <w:rPr>
          <w:rFonts w:ascii="Arial" w:eastAsia="Times New Roman" w:hAnsi="Arial" w:cs="Arial"/>
          <w:sz w:val="20"/>
          <w:szCs w:val="20"/>
          <w:lang w:val="en-GB"/>
        </w:rPr>
        <w:t>As per international standards or university standards, patient(s) written consent has been collected and preserved by the author(s).</w:t>
      </w:r>
    </w:p>
    <w:p w14:paraId="3EF0B88B" w14:textId="77777777" w:rsidR="00D3351B" w:rsidRPr="00EB3E44" w:rsidRDefault="00D3351B" w:rsidP="00D3351B">
      <w:pPr>
        <w:rPr>
          <w:rFonts w:ascii="Arial" w:eastAsia="Calibri" w:hAnsi="Arial" w:cs="Arial"/>
          <w:b/>
          <w:kern w:val="2"/>
          <w:lang w:val="en-US"/>
        </w:rPr>
      </w:pPr>
      <w:bookmarkStart w:id="3" w:name="_Hlk193540946"/>
      <w:bookmarkStart w:id="4" w:name="_Hlk180402183"/>
      <w:bookmarkStart w:id="5" w:name="_Hlk183680988"/>
      <w:r w:rsidRPr="00EB3E44">
        <w:rPr>
          <w:rFonts w:ascii="Arial" w:eastAsia="Calibri" w:hAnsi="Arial" w:cs="Arial"/>
          <w:b/>
          <w:kern w:val="2"/>
          <w:lang w:val="en-US"/>
        </w:rPr>
        <w:t>Disclaimer (Artificial intelligence)</w:t>
      </w:r>
    </w:p>
    <w:p w14:paraId="5FDD301B" w14:textId="77777777" w:rsidR="00D3351B" w:rsidRPr="00EB3E44" w:rsidRDefault="00D3351B" w:rsidP="00D3351B">
      <w:pPr>
        <w:rPr>
          <w:rFonts w:ascii="Arial" w:eastAsia="Calibri" w:hAnsi="Arial" w:cs="Arial"/>
          <w:kern w:val="2"/>
          <w:sz w:val="20"/>
          <w:szCs w:val="20"/>
          <w:lang w:val="en-US"/>
        </w:rPr>
      </w:pPr>
      <w:r w:rsidRPr="00EB3E44">
        <w:rPr>
          <w:rFonts w:ascii="Arial" w:eastAsia="Calibri" w:hAnsi="Arial" w:cs="Arial"/>
          <w:kern w:val="2"/>
          <w:sz w:val="20"/>
          <w:szCs w:val="20"/>
          <w:lang w:val="en-US"/>
        </w:rPr>
        <w:t xml:space="preserve">Author(s) hereby declare that NO generative AI technologies such as Large Language Models (ChatGPT, COPILOT, etc.) and text-to-image generators have been used during the writing or editing of this manuscript. </w:t>
      </w:r>
    </w:p>
    <w:bookmarkEnd w:id="3"/>
    <w:bookmarkEnd w:id="4"/>
    <w:bookmarkEnd w:id="5"/>
    <w:p w14:paraId="1EAF1CCD" w14:textId="77777777" w:rsidR="00D3351B" w:rsidRPr="00F36A55" w:rsidRDefault="00D3351B" w:rsidP="008F3909">
      <w:pPr>
        <w:spacing w:before="100" w:beforeAutospacing="1" w:after="100" w:afterAutospacing="1"/>
        <w:rPr>
          <w:rFonts w:ascii="Arial" w:eastAsia="Times New Roman" w:hAnsi="Arial" w:cs="Arial"/>
          <w:sz w:val="20"/>
          <w:szCs w:val="20"/>
          <w:lang w:val="en-GB"/>
        </w:rPr>
      </w:pPr>
    </w:p>
    <w:p w14:paraId="5B7B2F8E" w14:textId="308563E0" w:rsidR="00F31F4B" w:rsidRPr="00F36A55" w:rsidRDefault="006E6B5D" w:rsidP="006E6B5D">
      <w:pPr>
        <w:spacing w:before="100" w:beforeAutospacing="1" w:after="100" w:afterAutospacing="1"/>
        <w:rPr>
          <w:rFonts w:ascii="Arial" w:eastAsia="Times New Roman" w:hAnsi="Arial" w:cs="Arial"/>
          <w:b/>
          <w:bCs/>
          <w:sz w:val="20"/>
          <w:szCs w:val="20"/>
          <w:lang w:val="en-GB"/>
        </w:rPr>
      </w:pPr>
      <w:r w:rsidRPr="00F36A55">
        <w:rPr>
          <w:rFonts w:ascii="Arial" w:hAnsi="Arial" w:cs="Arial"/>
          <w:b/>
          <w:bCs/>
          <w:sz w:val="20"/>
          <w:szCs w:val="20"/>
        </w:rPr>
        <w:t>References</w:t>
      </w:r>
    </w:p>
    <w:p w14:paraId="5ED3DFC2" w14:textId="134087CD" w:rsidR="00F31F4B" w:rsidRPr="00F36A55" w:rsidRDefault="00F31F4B" w:rsidP="00F31F4B">
      <w:pPr>
        <w:pStyle w:val="ListParagraph"/>
        <w:numPr>
          <w:ilvl w:val="0"/>
          <w:numId w:val="2"/>
        </w:numPr>
        <w:rPr>
          <w:rFonts w:ascii="Arial" w:hAnsi="Arial" w:cs="Arial"/>
          <w:sz w:val="20"/>
          <w:szCs w:val="20"/>
        </w:rPr>
      </w:pPr>
      <w:r w:rsidRPr="00F36A55">
        <w:rPr>
          <w:rFonts w:ascii="Arial" w:hAnsi="Arial" w:cs="Arial"/>
          <w:sz w:val="20"/>
          <w:szCs w:val="20"/>
        </w:rPr>
        <w:t xml:space="preserve">Bridoux, F.; Leung, N.; Hutchison, C.A.; Touchard, G.; Sethi, S.; </w:t>
      </w:r>
      <w:proofErr w:type="spellStart"/>
      <w:r w:rsidRPr="00F36A55">
        <w:rPr>
          <w:rFonts w:ascii="Arial" w:hAnsi="Arial" w:cs="Arial"/>
          <w:sz w:val="20"/>
          <w:szCs w:val="20"/>
        </w:rPr>
        <w:t>Fermand</w:t>
      </w:r>
      <w:proofErr w:type="spellEnd"/>
      <w:r w:rsidRPr="00F36A55">
        <w:rPr>
          <w:rFonts w:ascii="Arial" w:hAnsi="Arial" w:cs="Arial"/>
          <w:sz w:val="20"/>
          <w:szCs w:val="20"/>
        </w:rPr>
        <w:t xml:space="preserve">, J.-P.; Picken, M.M.; Herrera, G.A.; </w:t>
      </w:r>
      <w:proofErr w:type="spellStart"/>
      <w:r w:rsidRPr="00F36A55">
        <w:rPr>
          <w:rFonts w:ascii="Arial" w:hAnsi="Arial" w:cs="Arial"/>
          <w:sz w:val="20"/>
          <w:szCs w:val="20"/>
        </w:rPr>
        <w:t>Kastritis</w:t>
      </w:r>
      <w:proofErr w:type="spellEnd"/>
      <w:r w:rsidRPr="00F36A55">
        <w:rPr>
          <w:rFonts w:ascii="Arial" w:hAnsi="Arial" w:cs="Arial"/>
          <w:sz w:val="20"/>
          <w:szCs w:val="20"/>
        </w:rPr>
        <w:t>, E.; Merlini, G.; et al. Diagnosis of Monoclonal Gammopathy of Renal Significance. Kidney Int. 2015, 87, 698–711</w:t>
      </w:r>
    </w:p>
    <w:p w14:paraId="68CEBBAF" w14:textId="1D75211F" w:rsidR="00F31F4B" w:rsidRPr="00F36A55" w:rsidRDefault="00D90131" w:rsidP="00F31F4B">
      <w:pPr>
        <w:pStyle w:val="ListParagraph"/>
        <w:numPr>
          <w:ilvl w:val="0"/>
          <w:numId w:val="2"/>
        </w:numPr>
        <w:rPr>
          <w:rFonts w:ascii="Arial" w:hAnsi="Arial" w:cs="Arial"/>
          <w:sz w:val="20"/>
          <w:szCs w:val="20"/>
        </w:rPr>
      </w:pPr>
      <w:r w:rsidRPr="00F36A55">
        <w:rPr>
          <w:rFonts w:ascii="Arial" w:hAnsi="Arial" w:cs="Arial"/>
          <w:sz w:val="20"/>
          <w:szCs w:val="20"/>
        </w:rPr>
        <w:t xml:space="preserve">Cohen C, Joly F, </w:t>
      </w:r>
      <w:proofErr w:type="spellStart"/>
      <w:r w:rsidRPr="00F36A55">
        <w:rPr>
          <w:rFonts w:ascii="Arial" w:hAnsi="Arial" w:cs="Arial"/>
          <w:sz w:val="20"/>
          <w:szCs w:val="20"/>
        </w:rPr>
        <w:t>Sibille</w:t>
      </w:r>
      <w:proofErr w:type="spellEnd"/>
      <w:r w:rsidRPr="00F36A55">
        <w:rPr>
          <w:rFonts w:ascii="Arial" w:hAnsi="Arial" w:cs="Arial"/>
          <w:sz w:val="20"/>
          <w:szCs w:val="20"/>
        </w:rPr>
        <w:t xml:space="preserve"> A, </w:t>
      </w:r>
      <w:proofErr w:type="spellStart"/>
      <w:r w:rsidRPr="00F36A55">
        <w:rPr>
          <w:rFonts w:ascii="Arial" w:hAnsi="Arial" w:cs="Arial"/>
          <w:sz w:val="20"/>
          <w:szCs w:val="20"/>
        </w:rPr>
        <w:t>Javaugue</w:t>
      </w:r>
      <w:proofErr w:type="spellEnd"/>
      <w:r w:rsidRPr="00F36A55">
        <w:rPr>
          <w:rFonts w:ascii="Arial" w:hAnsi="Arial" w:cs="Arial"/>
          <w:sz w:val="20"/>
          <w:szCs w:val="20"/>
        </w:rPr>
        <w:t xml:space="preserve"> V, </w:t>
      </w:r>
      <w:proofErr w:type="spellStart"/>
      <w:r w:rsidRPr="00F36A55">
        <w:rPr>
          <w:rFonts w:ascii="Arial" w:hAnsi="Arial" w:cs="Arial"/>
          <w:sz w:val="20"/>
          <w:szCs w:val="20"/>
        </w:rPr>
        <w:t>Desport</w:t>
      </w:r>
      <w:proofErr w:type="spellEnd"/>
      <w:r w:rsidRPr="00F36A55">
        <w:rPr>
          <w:rFonts w:ascii="Arial" w:hAnsi="Arial" w:cs="Arial"/>
          <w:sz w:val="20"/>
          <w:szCs w:val="20"/>
        </w:rPr>
        <w:t xml:space="preserve"> E, Goujon JM, </w:t>
      </w:r>
      <w:proofErr w:type="spellStart"/>
      <w:r w:rsidRPr="00F36A55">
        <w:rPr>
          <w:rFonts w:ascii="Arial" w:hAnsi="Arial" w:cs="Arial"/>
          <w:sz w:val="20"/>
          <w:szCs w:val="20"/>
        </w:rPr>
        <w:t>Touchard</w:t>
      </w:r>
      <w:proofErr w:type="spellEnd"/>
      <w:r w:rsidRPr="00F36A55">
        <w:rPr>
          <w:rFonts w:ascii="Arial" w:hAnsi="Arial" w:cs="Arial"/>
          <w:sz w:val="20"/>
          <w:szCs w:val="20"/>
        </w:rPr>
        <w:t xml:space="preserve"> G, </w:t>
      </w:r>
      <w:proofErr w:type="spellStart"/>
      <w:r w:rsidRPr="00F36A55">
        <w:rPr>
          <w:rFonts w:ascii="Arial" w:hAnsi="Arial" w:cs="Arial"/>
          <w:sz w:val="20"/>
          <w:szCs w:val="20"/>
        </w:rPr>
        <w:t>Fermand</w:t>
      </w:r>
      <w:proofErr w:type="spellEnd"/>
      <w:r w:rsidRPr="00F36A55">
        <w:rPr>
          <w:rFonts w:ascii="Arial" w:hAnsi="Arial" w:cs="Arial"/>
          <w:sz w:val="20"/>
          <w:szCs w:val="20"/>
        </w:rPr>
        <w:t xml:space="preserve"> JP, </w:t>
      </w:r>
      <w:proofErr w:type="spellStart"/>
      <w:r w:rsidRPr="00F36A55">
        <w:rPr>
          <w:rFonts w:ascii="Arial" w:hAnsi="Arial" w:cs="Arial"/>
          <w:sz w:val="20"/>
          <w:szCs w:val="20"/>
        </w:rPr>
        <w:t>Sirac</w:t>
      </w:r>
      <w:proofErr w:type="spellEnd"/>
      <w:r w:rsidRPr="00F36A55">
        <w:rPr>
          <w:rFonts w:ascii="Arial" w:hAnsi="Arial" w:cs="Arial"/>
          <w:sz w:val="20"/>
          <w:szCs w:val="20"/>
        </w:rPr>
        <w:t xml:space="preserve"> C, </w:t>
      </w:r>
      <w:proofErr w:type="spellStart"/>
      <w:r w:rsidRPr="00F36A55">
        <w:rPr>
          <w:rFonts w:ascii="Arial" w:hAnsi="Arial" w:cs="Arial"/>
          <w:sz w:val="20"/>
          <w:szCs w:val="20"/>
        </w:rPr>
        <w:t>Bridoux</w:t>
      </w:r>
      <w:proofErr w:type="spellEnd"/>
      <w:r w:rsidRPr="00F36A55">
        <w:rPr>
          <w:rFonts w:ascii="Arial" w:hAnsi="Arial" w:cs="Arial"/>
          <w:sz w:val="20"/>
          <w:szCs w:val="20"/>
        </w:rPr>
        <w:t xml:space="preserve"> F. Randall-type monoclonal immunoglobulin deposition disease: new </w:t>
      </w:r>
      <w:r w:rsidRPr="00F36A55">
        <w:rPr>
          <w:rFonts w:ascii="Arial" w:hAnsi="Arial" w:cs="Arial"/>
          <w:sz w:val="20"/>
          <w:szCs w:val="20"/>
        </w:rPr>
        <w:lastRenderedPageBreak/>
        <w:t xml:space="preserve">insights into the pathogenesis, diagnosis and management. Diagnostics. 2021 Mar 2;11(3):420. </w:t>
      </w:r>
    </w:p>
    <w:p w14:paraId="0E126925" w14:textId="77777777" w:rsidR="007E38DD" w:rsidRPr="00F36A55" w:rsidRDefault="007E38DD" w:rsidP="007E38DD">
      <w:pPr>
        <w:pStyle w:val="ListParagraph"/>
        <w:numPr>
          <w:ilvl w:val="0"/>
          <w:numId w:val="2"/>
        </w:numPr>
        <w:rPr>
          <w:rFonts w:ascii="Arial" w:hAnsi="Arial" w:cs="Arial"/>
          <w:sz w:val="20"/>
          <w:szCs w:val="20"/>
        </w:rPr>
      </w:pPr>
      <w:r w:rsidRPr="00F36A55">
        <w:rPr>
          <w:rFonts w:ascii="Arial" w:hAnsi="Arial" w:cs="Arial"/>
          <w:sz w:val="20"/>
          <w:szCs w:val="20"/>
        </w:rPr>
        <w:t xml:space="preserve">Alonso-Titos J, Martínez-Esteban MD, López V, León M, Martin-Reyes G, Ruiz-Esteban P, Hernández D. Monoclonal gammopathy of renal significance: Early diagnosis is key. </w:t>
      </w:r>
      <w:proofErr w:type="spellStart"/>
      <w:r w:rsidRPr="00F36A55">
        <w:rPr>
          <w:rFonts w:ascii="Arial" w:hAnsi="Arial" w:cs="Arial"/>
          <w:sz w:val="20"/>
          <w:szCs w:val="20"/>
        </w:rPr>
        <w:t>nefrologia</w:t>
      </w:r>
      <w:proofErr w:type="spellEnd"/>
      <w:r w:rsidRPr="00F36A55">
        <w:rPr>
          <w:rFonts w:ascii="Arial" w:hAnsi="Arial" w:cs="Arial"/>
          <w:sz w:val="20"/>
          <w:szCs w:val="20"/>
        </w:rPr>
        <w:t>. 2021 Sep 1;41(5):502-13.</w:t>
      </w:r>
    </w:p>
    <w:p w14:paraId="310DBE16" w14:textId="27A8CFD3" w:rsidR="007E38DD" w:rsidRPr="00F36A55" w:rsidRDefault="003D7045" w:rsidP="00F31F4B">
      <w:pPr>
        <w:pStyle w:val="ListParagraph"/>
        <w:numPr>
          <w:ilvl w:val="0"/>
          <w:numId w:val="2"/>
        </w:numPr>
        <w:rPr>
          <w:rFonts w:ascii="Arial" w:hAnsi="Arial" w:cs="Arial"/>
          <w:sz w:val="20"/>
          <w:szCs w:val="20"/>
        </w:rPr>
      </w:pPr>
      <w:r w:rsidRPr="00F36A55">
        <w:rPr>
          <w:rFonts w:ascii="Arial" w:hAnsi="Arial" w:cs="Arial"/>
          <w:sz w:val="20"/>
          <w:szCs w:val="20"/>
        </w:rPr>
        <w:t xml:space="preserve">Lin, J.; Markowitz, G.S.; Valeri, A.M.; </w:t>
      </w:r>
      <w:proofErr w:type="spellStart"/>
      <w:r w:rsidRPr="00F36A55">
        <w:rPr>
          <w:rFonts w:ascii="Arial" w:hAnsi="Arial" w:cs="Arial"/>
          <w:sz w:val="20"/>
          <w:szCs w:val="20"/>
        </w:rPr>
        <w:t>Kambham</w:t>
      </w:r>
      <w:proofErr w:type="spellEnd"/>
      <w:r w:rsidRPr="00F36A55">
        <w:rPr>
          <w:rFonts w:ascii="Arial" w:hAnsi="Arial" w:cs="Arial"/>
          <w:sz w:val="20"/>
          <w:szCs w:val="20"/>
        </w:rPr>
        <w:t xml:space="preserve">, N.; Sherman, W.H.; Appel, G.B.; </w:t>
      </w:r>
      <w:proofErr w:type="spellStart"/>
      <w:r w:rsidRPr="00F36A55">
        <w:rPr>
          <w:rFonts w:ascii="Arial" w:hAnsi="Arial" w:cs="Arial"/>
          <w:sz w:val="20"/>
          <w:szCs w:val="20"/>
        </w:rPr>
        <w:t>D’Agati</w:t>
      </w:r>
      <w:proofErr w:type="spellEnd"/>
      <w:r w:rsidRPr="00F36A55">
        <w:rPr>
          <w:rFonts w:ascii="Arial" w:hAnsi="Arial" w:cs="Arial"/>
          <w:sz w:val="20"/>
          <w:szCs w:val="20"/>
        </w:rPr>
        <w:t>, V.D. Renal Monoclonal Immunoglobulin Deposition Disease: The Disease Spectrum. J. Am. Soc. Nephrol. 2001, 12, 1482–1492.</w:t>
      </w:r>
    </w:p>
    <w:p w14:paraId="4A11BA6F" w14:textId="77777777" w:rsidR="00EF2F73" w:rsidRDefault="002A5415" w:rsidP="002A5415">
      <w:pPr>
        <w:pStyle w:val="ListParagraph"/>
        <w:numPr>
          <w:ilvl w:val="0"/>
          <w:numId w:val="2"/>
        </w:numPr>
        <w:rPr>
          <w:rFonts w:ascii="Arial" w:hAnsi="Arial" w:cs="Arial"/>
          <w:sz w:val="20"/>
          <w:szCs w:val="20"/>
        </w:rPr>
      </w:pPr>
      <w:r w:rsidRPr="00F36A55">
        <w:rPr>
          <w:rFonts w:ascii="Arial" w:hAnsi="Arial" w:cs="Arial"/>
          <w:sz w:val="20"/>
          <w:szCs w:val="20"/>
        </w:rPr>
        <w:t xml:space="preserve">Joly, F.; Cohen, C.; </w:t>
      </w:r>
      <w:proofErr w:type="spellStart"/>
      <w:r w:rsidRPr="00F36A55">
        <w:rPr>
          <w:rFonts w:ascii="Arial" w:hAnsi="Arial" w:cs="Arial"/>
          <w:sz w:val="20"/>
          <w:szCs w:val="20"/>
        </w:rPr>
        <w:t>Javaugue</w:t>
      </w:r>
      <w:proofErr w:type="spellEnd"/>
      <w:r w:rsidRPr="00F36A55">
        <w:rPr>
          <w:rFonts w:ascii="Arial" w:hAnsi="Arial" w:cs="Arial"/>
          <w:sz w:val="20"/>
          <w:szCs w:val="20"/>
        </w:rPr>
        <w:t xml:space="preserve">, V.; Bender, S.; </w:t>
      </w:r>
      <w:proofErr w:type="spellStart"/>
      <w:r w:rsidRPr="00F36A55">
        <w:rPr>
          <w:rFonts w:ascii="Arial" w:hAnsi="Arial" w:cs="Arial"/>
          <w:sz w:val="20"/>
          <w:szCs w:val="20"/>
        </w:rPr>
        <w:t>Belmouaz</w:t>
      </w:r>
      <w:proofErr w:type="spellEnd"/>
      <w:r w:rsidRPr="00F36A55">
        <w:rPr>
          <w:rFonts w:ascii="Arial" w:hAnsi="Arial" w:cs="Arial"/>
          <w:sz w:val="20"/>
          <w:szCs w:val="20"/>
        </w:rPr>
        <w:t xml:space="preserve">, M.; Arnulf, B.; </w:t>
      </w:r>
      <w:proofErr w:type="spellStart"/>
      <w:r w:rsidRPr="00F36A55">
        <w:rPr>
          <w:rFonts w:ascii="Arial" w:hAnsi="Arial" w:cs="Arial"/>
          <w:sz w:val="20"/>
          <w:szCs w:val="20"/>
        </w:rPr>
        <w:t>Knebelmann</w:t>
      </w:r>
      <w:proofErr w:type="spellEnd"/>
      <w:r w:rsidRPr="00F36A55">
        <w:rPr>
          <w:rFonts w:ascii="Arial" w:hAnsi="Arial" w:cs="Arial"/>
          <w:sz w:val="20"/>
          <w:szCs w:val="20"/>
        </w:rPr>
        <w:t xml:space="preserve">, B.; </w:t>
      </w:r>
      <w:proofErr w:type="spellStart"/>
      <w:r w:rsidRPr="00F36A55">
        <w:rPr>
          <w:rFonts w:ascii="Arial" w:hAnsi="Arial" w:cs="Arial"/>
          <w:sz w:val="20"/>
          <w:szCs w:val="20"/>
        </w:rPr>
        <w:t>Nouvier</w:t>
      </w:r>
      <w:proofErr w:type="spellEnd"/>
      <w:r w:rsidRPr="00F36A55">
        <w:rPr>
          <w:rFonts w:ascii="Arial" w:hAnsi="Arial" w:cs="Arial"/>
          <w:sz w:val="20"/>
          <w:szCs w:val="20"/>
        </w:rPr>
        <w:t xml:space="preserve">, M.; </w:t>
      </w:r>
      <w:proofErr w:type="spellStart"/>
      <w:r w:rsidRPr="00F36A55">
        <w:rPr>
          <w:rFonts w:ascii="Arial" w:hAnsi="Arial" w:cs="Arial"/>
          <w:sz w:val="20"/>
          <w:szCs w:val="20"/>
        </w:rPr>
        <w:t>Audard</w:t>
      </w:r>
      <w:proofErr w:type="spellEnd"/>
      <w:r w:rsidRPr="00F36A55">
        <w:rPr>
          <w:rFonts w:ascii="Arial" w:hAnsi="Arial" w:cs="Arial"/>
          <w:sz w:val="20"/>
          <w:szCs w:val="20"/>
        </w:rPr>
        <w:t xml:space="preserve">, V.; </w:t>
      </w:r>
      <w:proofErr w:type="spellStart"/>
      <w:r w:rsidRPr="00F36A55">
        <w:rPr>
          <w:rFonts w:ascii="Arial" w:hAnsi="Arial" w:cs="Arial"/>
          <w:sz w:val="20"/>
          <w:szCs w:val="20"/>
        </w:rPr>
        <w:t>Provot</w:t>
      </w:r>
      <w:proofErr w:type="spellEnd"/>
      <w:r w:rsidRPr="00F36A55">
        <w:rPr>
          <w:rFonts w:ascii="Arial" w:hAnsi="Arial" w:cs="Arial"/>
          <w:sz w:val="20"/>
          <w:szCs w:val="20"/>
        </w:rPr>
        <w:t>, F.; et al. Randall-Type Monoclonal Immunoglobulin Deposition Disease: Novel Insights from a Nationwide Cohort Study. Blood 2019, 133, 576–587.</w:t>
      </w:r>
    </w:p>
    <w:p w14:paraId="5FB1E525" w14:textId="77777777" w:rsidR="00EF2F73" w:rsidRDefault="00EF2F73" w:rsidP="00EF2F73">
      <w:pPr>
        <w:pStyle w:val="ListParagraph"/>
        <w:numPr>
          <w:ilvl w:val="0"/>
          <w:numId w:val="2"/>
        </w:numPr>
        <w:rPr>
          <w:rFonts w:ascii="Arial" w:hAnsi="Arial" w:cs="Arial"/>
          <w:sz w:val="20"/>
          <w:szCs w:val="20"/>
        </w:rPr>
      </w:pPr>
      <w:r w:rsidRPr="00EF2F73">
        <w:rPr>
          <w:rFonts w:ascii="Arial" w:hAnsi="Arial" w:cs="Arial"/>
          <w:sz w:val="20"/>
          <w:szCs w:val="20"/>
        </w:rPr>
        <w:t xml:space="preserve">Masood A, Ehsan H, Iqbal Q, Salman A, Hashmi H. Treatment of Light Chain Deposition Disease: A Systematic Review. J Hematol. 2022 Aug;11(4):123-130. </w:t>
      </w:r>
      <w:proofErr w:type="spellStart"/>
      <w:r w:rsidRPr="00EF2F73">
        <w:rPr>
          <w:rFonts w:ascii="Arial" w:hAnsi="Arial" w:cs="Arial"/>
          <w:sz w:val="20"/>
          <w:szCs w:val="20"/>
        </w:rPr>
        <w:t>doi</w:t>
      </w:r>
      <w:proofErr w:type="spellEnd"/>
      <w:r w:rsidRPr="00EF2F73">
        <w:rPr>
          <w:rFonts w:ascii="Arial" w:hAnsi="Arial" w:cs="Arial"/>
          <w:sz w:val="20"/>
          <w:szCs w:val="20"/>
        </w:rPr>
        <w:t xml:space="preserve">: 10.14740/jh1038. </w:t>
      </w:r>
      <w:proofErr w:type="spellStart"/>
      <w:r w:rsidRPr="00EF2F73">
        <w:rPr>
          <w:rFonts w:ascii="Arial" w:hAnsi="Arial" w:cs="Arial"/>
          <w:sz w:val="20"/>
          <w:szCs w:val="20"/>
        </w:rPr>
        <w:t>Epub</w:t>
      </w:r>
      <w:proofErr w:type="spellEnd"/>
      <w:r w:rsidRPr="00EF2F73">
        <w:rPr>
          <w:rFonts w:ascii="Arial" w:hAnsi="Arial" w:cs="Arial"/>
          <w:sz w:val="20"/>
          <w:szCs w:val="20"/>
        </w:rPr>
        <w:t xml:space="preserve"> 2022 Aug 30. PMID: 36118549; PMCID: PMC9451548.</w:t>
      </w:r>
    </w:p>
    <w:p w14:paraId="4FE6FC69" w14:textId="097B4044" w:rsidR="003D7045" w:rsidRDefault="002A5415" w:rsidP="00EF2F73">
      <w:pPr>
        <w:pStyle w:val="ListParagraph"/>
        <w:numPr>
          <w:ilvl w:val="0"/>
          <w:numId w:val="2"/>
        </w:numPr>
        <w:rPr>
          <w:rFonts w:ascii="Arial" w:hAnsi="Arial" w:cs="Arial"/>
          <w:sz w:val="20"/>
          <w:szCs w:val="20"/>
        </w:rPr>
      </w:pPr>
      <w:r w:rsidRPr="00F36A55">
        <w:rPr>
          <w:rFonts w:ascii="Arial" w:hAnsi="Arial" w:cs="Arial"/>
          <w:sz w:val="20"/>
          <w:szCs w:val="20"/>
        </w:rPr>
        <w:t xml:space="preserve"> </w:t>
      </w:r>
      <w:r w:rsidR="00EF2F73" w:rsidRPr="00EF2F73">
        <w:rPr>
          <w:rFonts w:ascii="Arial" w:hAnsi="Arial" w:cs="Arial"/>
          <w:sz w:val="20"/>
          <w:szCs w:val="20"/>
        </w:rPr>
        <w:t xml:space="preserve">Wang Y, Chen D, Hu R, Zhang Y, Liang D, Xu F, Liu F, Zhu X, Lin Y, Yang X, Liu X, Xing G, Liang S, Zeng C. Clinicopathological Characteristics of Light and Heavy Chain Deposition Disease: A Case Series. Am J Kidney Dis. 2024 Oct;84(4):447-456.e1. </w:t>
      </w:r>
      <w:proofErr w:type="spellStart"/>
      <w:r w:rsidR="00EF2F73" w:rsidRPr="00EF2F73">
        <w:rPr>
          <w:rFonts w:ascii="Arial" w:hAnsi="Arial" w:cs="Arial"/>
          <w:sz w:val="20"/>
          <w:szCs w:val="20"/>
        </w:rPr>
        <w:t>doi</w:t>
      </w:r>
      <w:proofErr w:type="spellEnd"/>
      <w:r w:rsidR="00EF2F73" w:rsidRPr="00EF2F73">
        <w:rPr>
          <w:rFonts w:ascii="Arial" w:hAnsi="Arial" w:cs="Arial"/>
          <w:sz w:val="20"/>
          <w:szCs w:val="20"/>
        </w:rPr>
        <w:t xml:space="preserve">: 10.1053/j.ajkd.2024.03.021. </w:t>
      </w:r>
      <w:proofErr w:type="spellStart"/>
      <w:r w:rsidR="00EF2F73" w:rsidRPr="00EF2F73">
        <w:rPr>
          <w:rFonts w:ascii="Arial" w:hAnsi="Arial" w:cs="Arial"/>
          <w:sz w:val="20"/>
          <w:szCs w:val="20"/>
        </w:rPr>
        <w:t>Epub</w:t>
      </w:r>
      <w:proofErr w:type="spellEnd"/>
      <w:r w:rsidR="00EF2F73" w:rsidRPr="00EF2F73">
        <w:rPr>
          <w:rFonts w:ascii="Arial" w:hAnsi="Arial" w:cs="Arial"/>
          <w:sz w:val="20"/>
          <w:szCs w:val="20"/>
        </w:rPr>
        <w:t xml:space="preserve"> 2024 May 14. PMID: 38750878.</w:t>
      </w:r>
    </w:p>
    <w:p w14:paraId="585D211B" w14:textId="7E3195AD" w:rsidR="00EF2F73" w:rsidRDefault="0040305D" w:rsidP="0040305D">
      <w:pPr>
        <w:pStyle w:val="ListParagraph"/>
        <w:numPr>
          <w:ilvl w:val="0"/>
          <w:numId w:val="2"/>
        </w:numPr>
        <w:rPr>
          <w:rFonts w:ascii="Arial" w:hAnsi="Arial" w:cs="Arial"/>
          <w:sz w:val="20"/>
          <w:szCs w:val="20"/>
        </w:rPr>
      </w:pPr>
      <w:proofErr w:type="spellStart"/>
      <w:r w:rsidRPr="0040305D">
        <w:rPr>
          <w:rFonts w:ascii="Arial" w:hAnsi="Arial" w:cs="Arial"/>
          <w:sz w:val="20"/>
          <w:szCs w:val="20"/>
        </w:rPr>
        <w:t>Cassano</w:t>
      </w:r>
      <w:proofErr w:type="spellEnd"/>
      <w:r w:rsidRPr="0040305D">
        <w:rPr>
          <w:rFonts w:ascii="Arial" w:hAnsi="Arial" w:cs="Arial"/>
          <w:sz w:val="20"/>
          <w:szCs w:val="20"/>
        </w:rPr>
        <w:t xml:space="preserve"> </w:t>
      </w:r>
      <w:proofErr w:type="spellStart"/>
      <w:r w:rsidRPr="0040305D">
        <w:rPr>
          <w:rFonts w:ascii="Arial" w:hAnsi="Arial" w:cs="Arial"/>
          <w:sz w:val="20"/>
          <w:szCs w:val="20"/>
        </w:rPr>
        <w:t>Cassano</w:t>
      </w:r>
      <w:proofErr w:type="spellEnd"/>
      <w:r w:rsidRPr="0040305D">
        <w:rPr>
          <w:rFonts w:ascii="Arial" w:hAnsi="Arial" w:cs="Arial"/>
          <w:sz w:val="20"/>
          <w:szCs w:val="20"/>
        </w:rPr>
        <w:t xml:space="preserve"> R, </w:t>
      </w:r>
      <w:proofErr w:type="spellStart"/>
      <w:r w:rsidRPr="0040305D">
        <w:rPr>
          <w:rFonts w:ascii="Arial" w:hAnsi="Arial" w:cs="Arial"/>
          <w:sz w:val="20"/>
          <w:szCs w:val="20"/>
        </w:rPr>
        <w:t>Bonadio</w:t>
      </w:r>
      <w:proofErr w:type="spellEnd"/>
      <w:r w:rsidRPr="0040305D">
        <w:rPr>
          <w:rFonts w:ascii="Arial" w:hAnsi="Arial" w:cs="Arial"/>
          <w:sz w:val="20"/>
          <w:szCs w:val="20"/>
        </w:rPr>
        <w:t xml:space="preserve"> AG, Del Giudice ML, </w:t>
      </w:r>
      <w:proofErr w:type="spellStart"/>
      <w:r w:rsidRPr="0040305D">
        <w:rPr>
          <w:rFonts w:ascii="Arial" w:hAnsi="Arial" w:cs="Arial"/>
          <w:sz w:val="20"/>
          <w:szCs w:val="20"/>
        </w:rPr>
        <w:t>Giannese</w:t>
      </w:r>
      <w:proofErr w:type="spellEnd"/>
      <w:r w:rsidRPr="0040305D">
        <w:rPr>
          <w:rFonts w:ascii="Arial" w:hAnsi="Arial" w:cs="Arial"/>
          <w:sz w:val="20"/>
          <w:szCs w:val="20"/>
        </w:rPr>
        <w:t xml:space="preserve"> D, </w:t>
      </w:r>
      <w:proofErr w:type="spellStart"/>
      <w:r w:rsidRPr="0040305D">
        <w:rPr>
          <w:rFonts w:ascii="Arial" w:hAnsi="Arial" w:cs="Arial"/>
          <w:sz w:val="20"/>
          <w:szCs w:val="20"/>
        </w:rPr>
        <w:t>Galimberti</w:t>
      </w:r>
      <w:proofErr w:type="spellEnd"/>
      <w:r w:rsidRPr="0040305D">
        <w:rPr>
          <w:rFonts w:ascii="Arial" w:hAnsi="Arial" w:cs="Arial"/>
          <w:sz w:val="20"/>
          <w:szCs w:val="20"/>
        </w:rPr>
        <w:t xml:space="preserve"> S, Buda G. Light chain deposition disease: pathogenesis, clinical characteristics and treatment strategies. Ann Hematol. 2025 Apr;104(4):2083-2093. </w:t>
      </w:r>
      <w:proofErr w:type="spellStart"/>
      <w:r w:rsidRPr="0040305D">
        <w:rPr>
          <w:rFonts w:ascii="Arial" w:hAnsi="Arial" w:cs="Arial"/>
          <w:sz w:val="20"/>
          <w:szCs w:val="20"/>
        </w:rPr>
        <w:t>doi</w:t>
      </w:r>
      <w:proofErr w:type="spellEnd"/>
      <w:r w:rsidRPr="0040305D">
        <w:rPr>
          <w:rFonts w:ascii="Arial" w:hAnsi="Arial" w:cs="Arial"/>
          <w:sz w:val="20"/>
          <w:szCs w:val="20"/>
        </w:rPr>
        <w:t xml:space="preserve">: 10.1007/s00277-024-05911-9. </w:t>
      </w:r>
      <w:proofErr w:type="spellStart"/>
      <w:r w:rsidRPr="0040305D">
        <w:rPr>
          <w:rFonts w:ascii="Arial" w:hAnsi="Arial" w:cs="Arial"/>
          <w:sz w:val="20"/>
          <w:szCs w:val="20"/>
        </w:rPr>
        <w:t>Epub</w:t>
      </w:r>
      <w:proofErr w:type="spellEnd"/>
      <w:r w:rsidRPr="0040305D">
        <w:rPr>
          <w:rFonts w:ascii="Arial" w:hAnsi="Arial" w:cs="Arial"/>
          <w:sz w:val="20"/>
          <w:szCs w:val="20"/>
        </w:rPr>
        <w:t xml:space="preserve"> 2024 Aug 28. PMID: 39196376; PMCID: PMC12052853.</w:t>
      </w:r>
    </w:p>
    <w:p w14:paraId="3806A914" w14:textId="0A15D121" w:rsidR="0040305D" w:rsidRDefault="0040305D" w:rsidP="00A46A34">
      <w:pPr>
        <w:pStyle w:val="ListParagraph"/>
        <w:numPr>
          <w:ilvl w:val="0"/>
          <w:numId w:val="2"/>
        </w:numPr>
        <w:rPr>
          <w:rFonts w:ascii="Arial" w:hAnsi="Arial" w:cs="Arial"/>
          <w:sz w:val="20"/>
          <w:szCs w:val="20"/>
        </w:rPr>
      </w:pPr>
      <w:r w:rsidRPr="0040305D">
        <w:rPr>
          <w:rFonts w:ascii="Arial" w:hAnsi="Arial" w:cs="Arial"/>
          <w:sz w:val="20"/>
          <w:szCs w:val="20"/>
        </w:rPr>
        <w:t xml:space="preserve">Huang J, Sun C, Su H, Zhang C, Xiong J. Bortezomib-Based Chemotherapy with Autologous Stem Cell Transplantation for Monoclonal Gammopathy of Renal Significance: A Case Report and Literature Review. Kidney Blood Press Res. 2019;44(4):858-869. </w:t>
      </w:r>
      <w:proofErr w:type="spellStart"/>
      <w:r w:rsidRPr="0040305D">
        <w:rPr>
          <w:rFonts w:ascii="Arial" w:hAnsi="Arial" w:cs="Arial"/>
          <w:sz w:val="20"/>
          <w:szCs w:val="20"/>
        </w:rPr>
        <w:t>doi</w:t>
      </w:r>
      <w:proofErr w:type="spellEnd"/>
      <w:r w:rsidRPr="0040305D">
        <w:rPr>
          <w:rFonts w:ascii="Arial" w:hAnsi="Arial" w:cs="Arial"/>
          <w:sz w:val="20"/>
          <w:szCs w:val="20"/>
        </w:rPr>
        <w:t xml:space="preserve">: 10.1159/000501314. </w:t>
      </w:r>
      <w:proofErr w:type="spellStart"/>
      <w:r w:rsidRPr="0040305D">
        <w:rPr>
          <w:rFonts w:ascii="Arial" w:hAnsi="Arial" w:cs="Arial"/>
          <w:sz w:val="20"/>
          <w:szCs w:val="20"/>
        </w:rPr>
        <w:t>Epub</w:t>
      </w:r>
      <w:proofErr w:type="spellEnd"/>
      <w:r w:rsidRPr="0040305D">
        <w:rPr>
          <w:rFonts w:ascii="Arial" w:hAnsi="Arial" w:cs="Arial"/>
          <w:sz w:val="20"/>
          <w:szCs w:val="20"/>
        </w:rPr>
        <w:t xml:space="preserve"> 2019 Jul 26. PMID: 31352451.</w:t>
      </w:r>
    </w:p>
    <w:p w14:paraId="020492EB" w14:textId="7AFCE2A7" w:rsidR="00A46A34" w:rsidRDefault="00A46A34" w:rsidP="00A46A34">
      <w:pPr>
        <w:pStyle w:val="ListParagraph"/>
        <w:numPr>
          <w:ilvl w:val="0"/>
          <w:numId w:val="2"/>
        </w:numPr>
        <w:rPr>
          <w:rFonts w:ascii="Arial" w:hAnsi="Arial" w:cs="Arial"/>
          <w:sz w:val="20"/>
          <w:szCs w:val="20"/>
        </w:rPr>
      </w:pPr>
      <w:r w:rsidRPr="00A46A34">
        <w:rPr>
          <w:rFonts w:ascii="Arial" w:hAnsi="Arial" w:cs="Arial"/>
          <w:sz w:val="20"/>
          <w:szCs w:val="20"/>
        </w:rPr>
        <w:t xml:space="preserve">Kanzaki G, Okabayashi Y, Nagahama K, Ohashi R, Tsuboi N, Yokoo T, Shimizu A. Monoclonal Immunoglobulin Deposition Disease and Related Diseases. J Nippon Med Sch. 2019;86(1):2-9. </w:t>
      </w:r>
      <w:proofErr w:type="spellStart"/>
      <w:r w:rsidRPr="00A46A34">
        <w:rPr>
          <w:rFonts w:ascii="Arial" w:hAnsi="Arial" w:cs="Arial"/>
          <w:sz w:val="20"/>
          <w:szCs w:val="20"/>
        </w:rPr>
        <w:t>doi</w:t>
      </w:r>
      <w:proofErr w:type="spellEnd"/>
      <w:r w:rsidRPr="00A46A34">
        <w:rPr>
          <w:rFonts w:ascii="Arial" w:hAnsi="Arial" w:cs="Arial"/>
          <w:sz w:val="20"/>
          <w:szCs w:val="20"/>
        </w:rPr>
        <w:t>: 10.1272/jnms.JNMS.2019_86-1. PMID: 30918151.</w:t>
      </w:r>
    </w:p>
    <w:p w14:paraId="3B14B177" w14:textId="77777777" w:rsidR="00F81664" w:rsidRPr="00F81664" w:rsidRDefault="00F81664" w:rsidP="00F81664">
      <w:pPr>
        <w:pStyle w:val="ListParagraph"/>
        <w:numPr>
          <w:ilvl w:val="0"/>
          <w:numId w:val="2"/>
        </w:numPr>
        <w:rPr>
          <w:rFonts w:ascii="Arial" w:hAnsi="Arial" w:cs="Arial"/>
          <w:sz w:val="20"/>
          <w:szCs w:val="20"/>
        </w:rPr>
      </w:pPr>
      <w:r w:rsidRPr="00F81664">
        <w:rPr>
          <w:rFonts w:ascii="Arial" w:hAnsi="Arial" w:cs="Arial"/>
          <w:sz w:val="20"/>
          <w:szCs w:val="20"/>
        </w:rPr>
        <w:t xml:space="preserve">Alicia Molina-Andújar, Natalia Tovar, Elena </w:t>
      </w:r>
      <w:proofErr w:type="spellStart"/>
      <w:r w:rsidRPr="00F81664">
        <w:rPr>
          <w:rFonts w:ascii="Arial" w:hAnsi="Arial" w:cs="Arial"/>
          <w:sz w:val="20"/>
          <w:szCs w:val="20"/>
        </w:rPr>
        <w:t>Cuadrado</w:t>
      </w:r>
      <w:proofErr w:type="spellEnd"/>
      <w:r w:rsidRPr="00F81664">
        <w:rPr>
          <w:rFonts w:ascii="Arial" w:hAnsi="Arial" w:cs="Arial"/>
          <w:sz w:val="20"/>
          <w:szCs w:val="20"/>
        </w:rPr>
        <w:t xml:space="preserve">, Natalia </w:t>
      </w:r>
      <w:proofErr w:type="spellStart"/>
      <w:r w:rsidRPr="00F81664">
        <w:rPr>
          <w:rFonts w:ascii="Arial" w:hAnsi="Arial" w:cs="Arial"/>
          <w:sz w:val="20"/>
          <w:szCs w:val="20"/>
        </w:rPr>
        <w:t>Castrejón</w:t>
      </w:r>
      <w:proofErr w:type="spellEnd"/>
      <w:r w:rsidRPr="00F81664">
        <w:rPr>
          <w:rFonts w:ascii="Arial" w:hAnsi="Arial" w:cs="Arial"/>
          <w:sz w:val="20"/>
          <w:szCs w:val="20"/>
        </w:rPr>
        <w:t xml:space="preserve"> de Anta, Ignacio </w:t>
      </w:r>
      <w:proofErr w:type="spellStart"/>
      <w:r w:rsidRPr="00F81664">
        <w:rPr>
          <w:rFonts w:ascii="Arial" w:hAnsi="Arial" w:cs="Arial"/>
          <w:sz w:val="20"/>
          <w:szCs w:val="20"/>
        </w:rPr>
        <w:t>Revuelta</w:t>
      </w:r>
      <w:proofErr w:type="spellEnd"/>
      <w:r w:rsidRPr="00F81664">
        <w:rPr>
          <w:rFonts w:ascii="Arial" w:hAnsi="Arial" w:cs="Arial"/>
          <w:sz w:val="20"/>
          <w:szCs w:val="20"/>
        </w:rPr>
        <w:t xml:space="preserve">, David </w:t>
      </w:r>
      <w:proofErr w:type="spellStart"/>
      <w:r w:rsidRPr="00F81664">
        <w:rPr>
          <w:rFonts w:ascii="Arial" w:hAnsi="Arial" w:cs="Arial"/>
          <w:sz w:val="20"/>
          <w:szCs w:val="20"/>
        </w:rPr>
        <w:t>Cucchiari</w:t>
      </w:r>
      <w:proofErr w:type="spellEnd"/>
      <w:r w:rsidRPr="00F81664">
        <w:rPr>
          <w:rFonts w:ascii="Arial" w:hAnsi="Arial" w:cs="Arial"/>
          <w:sz w:val="20"/>
          <w:szCs w:val="20"/>
        </w:rPr>
        <w:t xml:space="preserve">, Frederic </w:t>
      </w:r>
      <w:proofErr w:type="spellStart"/>
      <w:r w:rsidRPr="00F81664">
        <w:rPr>
          <w:rFonts w:ascii="Arial" w:hAnsi="Arial" w:cs="Arial"/>
          <w:sz w:val="20"/>
          <w:szCs w:val="20"/>
        </w:rPr>
        <w:t>Cofan</w:t>
      </w:r>
      <w:proofErr w:type="spellEnd"/>
      <w:r w:rsidRPr="00F81664">
        <w:rPr>
          <w:rFonts w:ascii="Arial" w:hAnsi="Arial" w:cs="Arial"/>
          <w:sz w:val="20"/>
          <w:szCs w:val="20"/>
        </w:rPr>
        <w:t xml:space="preserve">, </w:t>
      </w:r>
      <w:proofErr w:type="spellStart"/>
      <w:r w:rsidRPr="00F81664">
        <w:rPr>
          <w:rFonts w:ascii="Arial" w:hAnsi="Arial" w:cs="Arial"/>
          <w:sz w:val="20"/>
          <w:szCs w:val="20"/>
        </w:rPr>
        <w:t>Núria</w:t>
      </w:r>
      <w:proofErr w:type="spellEnd"/>
      <w:r w:rsidRPr="00F81664">
        <w:rPr>
          <w:rFonts w:ascii="Arial" w:hAnsi="Arial" w:cs="Arial"/>
          <w:sz w:val="20"/>
          <w:szCs w:val="20"/>
        </w:rPr>
        <w:t xml:space="preserve"> </w:t>
      </w:r>
      <w:proofErr w:type="spellStart"/>
      <w:r w:rsidRPr="00F81664">
        <w:rPr>
          <w:rFonts w:ascii="Arial" w:hAnsi="Arial" w:cs="Arial"/>
          <w:sz w:val="20"/>
          <w:szCs w:val="20"/>
        </w:rPr>
        <w:t>Esforzado</w:t>
      </w:r>
      <w:proofErr w:type="spellEnd"/>
      <w:r w:rsidRPr="00F81664">
        <w:rPr>
          <w:rFonts w:ascii="Arial" w:hAnsi="Arial" w:cs="Arial"/>
          <w:sz w:val="20"/>
          <w:szCs w:val="20"/>
        </w:rPr>
        <w:t xml:space="preserve">, M. Teresa </w:t>
      </w:r>
      <w:proofErr w:type="spellStart"/>
      <w:r w:rsidRPr="00F81664">
        <w:rPr>
          <w:rFonts w:ascii="Arial" w:hAnsi="Arial" w:cs="Arial"/>
          <w:sz w:val="20"/>
          <w:szCs w:val="20"/>
        </w:rPr>
        <w:t>Cibeira</w:t>
      </w:r>
      <w:proofErr w:type="spellEnd"/>
      <w:r w:rsidRPr="00F81664">
        <w:rPr>
          <w:rFonts w:ascii="Arial" w:hAnsi="Arial" w:cs="Arial"/>
          <w:sz w:val="20"/>
          <w:szCs w:val="20"/>
        </w:rPr>
        <w:t xml:space="preserve">, Laura </w:t>
      </w:r>
      <w:proofErr w:type="spellStart"/>
      <w:r w:rsidRPr="00F81664">
        <w:rPr>
          <w:rFonts w:ascii="Arial" w:hAnsi="Arial" w:cs="Arial"/>
          <w:sz w:val="20"/>
          <w:szCs w:val="20"/>
        </w:rPr>
        <w:t>Rosiñol</w:t>
      </w:r>
      <w:proofErr w:type="spellEnd"/>
      <w:r w:rsidRPr="00F81664">
        <w:rPr>
          <w:rFonts w:ascii="Arial" w:hAnsi="Arial" w:cs="Arial"/>
          <w:sz w:val="20"/>
          <w:szCs w:val="20"/>
        </w:rPr>
        <w:t xml:space="preserve">, Joan </w:t>
      </w:r>
      <w:proofErr w:type="spellStart"/>
      <w:r w:rsidRPr="00F81664">
        <w:rPr>
          <w:rFonts w:ascii="Arial" w:hAnsi="Arial" w:cs="Arial"/>
          <w:sz w:val="20"/>
          <w:szCs w:val="20"/>
        </w:rPr>
        <w:t>Bladé</w:t>
      </w:r>
      <w:proofErr w:type="spellEnd"/>
      <w:r w:rsidRPr="00F81664">
        <w:rPr>
          <w:rFonts w:ascii="Arial" w:hAnsi="Arial" w:cs="Arial"/>
          <w:sz w:val="20"/>
          <w:szCs w:val="20"/>
        </w:rPr>
        <w:t xml:space="preserve">, Fritz </w:t>
      </w:r>
      <w:proofErr w:type="spellStart"/>
      <w:r w:rsidRPr="00F81664">
        <w:rPr>
          <w:rFonts w:ascii="Arial" w:hAnsi="Arial" w:cs="Arial"/>
          <w:sz w:val="20"/>
          <w:szCs w:val="20"/>
        </w:rPr>
        <w:t>Diekmann</w:t>
      </w:r>
      <w:proofErr w:type="spellEnd"/>
      <w:r w:rsidRPr="00F81664">
        <w:rPr>
          <w:rFonts w:ascii="Arial" w:hAnsi="Arial" w:cs="Arial"/>
          <w:sz w:val="20"/>
          <w:szCs w:val="20"/>
        </w:rPr>
        <w:t>, Carlos Fernández de Larrea, Luis F. Quintana,</w:t>
      </w:r>
    </w:p>
    <w:p w14:paraId="727FB775" w14:textId="60BC5620" w:rsidR="00F81664" w:rsidRPr="00F81664" w:rsidRDefault="00F81664" w:rsidP="00F81664">
      <w:pPr>
        <w:pStyle w:val="ListParagraph"/>
        <w:rPr>
          <w:rFonts w:ascii="Arial" w:hAnsi="Arial" w:cs="Arial"/>
          <w:sz w:val="20"/>
          <w:szCs w:val="20"/>
        </w:rPr>
      </w:pPr>
      <w:r w:rsidRPr="00F81664">
        <w:rPr>
          <w:rFonts w:ascii="Arial" w:hAnsi="Arial" w:cs="Arial"/>
          <w:sz w:val="20"/>
          <w:szCs w:val="20"/>
        </w:rPr>
        <w:t xml:space="preserve">Kidney Transplantation in Monoclonal Immunoglobulin Deposition Disease: A Report of 6 </w:t>
      </w:r>
      <w:proofErr w:type="spellStart"/>
      <w:proofErr w:type="gramStart"/>
      <w:r w:rsidRPr="00F81664">
        <w:rPr>
          <w:rFonts w:ascii="Arial" w:hAnsi="Arial" w:cs="Arial"/>
          <w:sz w:val="20"/>
          <w:szCs w:val="20"/>
        </w:rPr>
        <w:t>Cases,American</w:t>
      </w:r>
      <w:proofErr w:type="spellEnd"/>
      <w:proofErr w:type="gramEnd"/>
      <w:r w:rsidRPr="00F81664">
        <w:rPr>
          <w:rFonts w:ascii="Arial" w:hAnsi="Arial" w:cs="Arial"/>
          <w:sz w:val="20"/>
          <w:szCs w:val="20"/>
        </w:rPr>
        <w:t xml:space="preserve"> Journal of Kidney </w:t>
      </w:r>
      <w:proofErr w:type="spellStart"/>
      <w:r w:rsidRPr="00F81664">
        <w:rPr>
          <w:rFonts w:ascii="Arial" w:hAnsi="Arial" w:cs="Arial"/>
          <w:sz w:val="20"/>
          <w:szCs w:val="20"/>
        </w:rPr>
        <w:t>Diseases,Volume</w:t>
      </w:r>
      <w:proofErr w:type="spellEnd"/>
      <w:r w:rsidRPr="00F81664">
        <w:rPr>
          <w:rFonts w:ascii="Arial" w:hAnsi="Arial" w:cs="Arial"/>
          <w:sz w:val="20"/>
          <w:szCs w:val="20"/>
        </w:rPr>
        <w:t xml:space="preserve"> 78, Issue 5,2021,Pages 755-759,</w:t>
      </w:r>
      <w:r>
        <w:rPr>
          <w:rFonts w:ascii="Arial" w:hAnsi="Arial" w:cs="Arial"/>
          <w:sz w:val="20"/>
          <w:szCs w:val="20"/>
        </w:rPr>
        <w:t>ISSN 0272-6386</w:t>
      </w:r>
    </w:p>
    <w:p w14:paraId="4D9A2249" w14:textId="77777777" w:rsidR="002A5415" w:rsidRPr="00F36A55" w:rsidRDefault="002A5415" w:rsidP="00835DEA">
      <w:pPr>
        <w:rPr>
          <w:rFonts w:ascii="Arial" w:hAnsi="Arial" w:cs="Arial"/>
          <w:sz w:val="20"/>
          <w:szCs w:val="20"/>
        </w:rPr>
      </w:pPr>
    </w:p>
    <w:sectPr w:rsidR="002A5415" w:rsidRPr="00F36A5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0BD58" w14:textId="77777777" w:rsidR="00AC620B" w:rsidRDefault="00AC620B" w:rsidP="000575A7">
      <w:pPr>
        <w:spacing w:after="0" w:line="240" w:lineRule="auto"/>
      </w:pPr>
      <w:r>
        <w:separator/>
      </w:r>
    </w:p>
  </w:endnote>
  <w:endnote w:type="continuationSeparator" w:id="0">
    <w:p w14:paraId="07CC8F4E" w14:textId="77777777" w:rsidR="00AC620B" w:rsidRDefault="00AC620B" w:rsidP="00057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7A461" w14:textId="77777777" w:rsidR="000575A7" w:rsidRDefault="00057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C2D3" w14:textId="77777777" w:rsidR="000575A7" w:rsidRDefault="000575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C2014" w14:textId="77777777" w:rsidR="000575A7" w:rsidRDefault="00057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C211C" w14:textId="77777777" w:rsidR="00AC620B" w:rsidRDefault="00AC620B" w:rsidP="000575A7">
      <w:pPr>
        <w:spacing w:after="0" w:line="240" w:lineRule="auto"/>
      </w:pPr>
      <w:r>
        <w:separator/>
      </w:r>
    </w:p>
  </w:footnote>
  <w:footnote w:type="continuationSeparator" w:id="0">
    <w:p w14:paraId="6D02DD90" w14:textId="77777777" w:rsidR="00AC620B" w:rsidRDefault="00AC620B" w:rsidP="00057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13FCE" w14:textId="44DA3FD4" w:rsidR="000575A7" w:rsidRDefault="00F71BA1">
    <w:pPr>
      <w:pStyle w:val="Header"/>
    </w:pPr>
    <w:r>
      <w:rPr>
        <w:noProof/>
      </w:rPr>
      <w:pict w14:anchorId="73093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48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8FDF1" w14:textId="44EBA824" w:rsidR="000575A7" w:rsidRDefault="00F71BA1">
    <w:pPr>
      <w:pStyle w:val="Header"/>
    </w:pPr>
    <w:r>
      <w:rPr>
        <w:noProof/>
      </w:rPr>
      <w:pict w14:anchorId="50902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48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3B1A" w14:textId="7F38D039" w:rsidR="000575A7" w:rsidRDefault="00F71BA1">
    <w:pPr>
      <w:pStyle w:val="Header"/>
    </w:pPr>
    <w:r>
      <w:rPr>
        <w:noProof/>
      </w:rPr>
      <w:pict w14:anchorId="763F8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48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0588"/>
    <w:multiLevelType w:val="multilevel"/>
    <w:tmpl w:val="A7F0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C475E"/>
    <w:multiLevelType w:val="hybridMultilevel"/>
    <w:tmpl w:val="24F4F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610964"/>
    <w:multiLevelType w:val="hybridMultilevel"/>
    <w:tmpl w:val="D82A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xMDEzNDE3NzQzsDRT0lEKTi0uzszPAykwrAUAoXoylSwAAAA="/>
  </w:docVars>
  <w:rsids>
    <w:rsidRoot w:val="00C707D6"/>
    <w:rsid w:val="00025578"/>
    <w:rsid w:val="00027D28"/>
    <w:rsid w:val="00033660"/>
    <w:rsid w:val="00051B1C"/>
    <w:rsid w:val="000575A7"/>
    <w:rsid w:val="00067F7C"/>
    <w:rsid w:val="00086DCE"/>
    <w:rsid w:val="0009313A"/>
    <w:rsid w:val="000B1F6A"/>
    <w:rsid w:val="000D5412"/>
    <w:rsid w:val="000F2A56"/>
    <w:rsid w:val="00146087"/>
    <w:rsid w:val="001B395D"/>
    <w:rsid w:val="001B7D1F"/>
    <w:rsid w:val="002A5415"/>
    <w:rsid w:val="002B741B"/>
    <w:rsid w:val="00330F40"/>
    <w:rsid w:val="00346479"/>
    <w:rsid w:val="003A5E1D"/>
    <w:rsid w:val="003D7045"/>
    <w:rsid w:val="0040305D"/>
    <w:rsid w:val="00427A89"/>
    <w:rsid w:val="00437E3D"/>
    <w:rsid w:val="00455EF5"/>
    <w:rsid w:val="0046562C"/>
    <w:rsid w:val="00472741"/>
    <w:rsid w:val="004779C3"/>
    <w:rsid w:val="004A767B"/>
    <w:rsid w:val="004D55CB"/>
    <w:rsid w:val="005817C5"/>
    <w:rsid w:val="005C0CB7"/>
    <w:rsid w:val="005E54EC"/>
    <w:rsid w:val="005F70ED"/>
    <w:rsid w:val="00613B7B"/>
    <w:rsid w:val="006175DA"/>
    <w:rsid w:val="00641EB3"/>
    <w:rsid w:val="0064493A"/>
    <w:rsid w:val="00683B62"/>
    <w:rsid w:val="006C6279"/>
    <w:rsid w:val="006D3DA4"/>
    <w:rsid w:val="006E6B5D"/>
    <w:rsid w:val="006F6E40"/>
    <w:rsid w:val="00710AD1"/>
    <w:rsid w:val="00735DB0"/>
    <w:rsid w:val="007608FC"/>
    <w:rsid w:val="007A5C7F"/>
    <w:rsid w:val="007E38DD"/>
    <w:rsid w:val="008245BB"/>
    <w:rsid w:val="00835DEA"/>
    <w:rsid w:val="00875F8E"/>
    <w:rsid w:val="008A4470"/>
    <w:rsid w:val="008C3E37"/>
    <w:rsid w:val="008E5803"/>
    <w:rsid w:val="008F3909"/>
    <w:rsid w:val="00946BFD"/>
    <w:rsid w:val="00991F06"/>
    <w:rsid w:val="009A5C6E"/>
    <w:rsid w:val="009D1BF3"/>
    <w:rsid w:val="00A0058D"/>
    <w:rsid w:val="00A1581E"/>
    <w:rsid w:val="00A46A34"/>
    <w:rsid w:val="00A97327"/>
    <w:rsid w:val="00AC153F"/>
    <w:rsid w:val="00AC620B"/>
    <w:rsid w:val="00B2556D"/>
    <w:rsid w:val="00B61B97"/>
    <w:rsid w:val="00B6764A"/>
    <w:rsid w:val="00BD466A"/>
    <w:rsid w:val="00C707D6"/>
    <w:rsid w:val="00C974A7"/>
    <w:rsid w:val="00CC261C"/>
    <w:rsid w:val="00CE5703"/>
    <w:rsid w:val="00CF7569"/>
    <w:rsid w:val="00D3351B"/>
    <w:rsid w:val="00D90131"/>
    <w:rsid w:val="00E26208"/>
    <w:rsid w:val="00E832C4"/>
    <w:rsid w:val="00EB3E44"/>
    <w:rsid w:val="00EC1765"/>
    <w:rsid w:val="00EF23A9"/>
    <w:rsid w:val="00EF2F73"/>
    <w:rsid w:val="00F31F4B"/>
    <w:rsid w:val="00F36A55"/>
    <w:rsid w:val="00F61954"/>
    <w:rsid w:val="00F71BA1"/>
    <w:rsid w:val="00F81664"/>
    <w:rsid w:val="00FA0626"/>
    <w:rsid w:val="00FB4DA7"/>
    <w:rsid w:val="00FC2C66"/>
    <w:rsid w:val="00FF310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FA1B0"/>
  <w15:chartTrackingRefBased/>
  <w15:docId w15:val="{4DB49B39-DE6B-4907-AC55-B6505DBE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line">
    <w:name w:val="inline"/>
    <w:basedOn w:val="Normal"/>
    <w:rsid w:val="00C707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313A"/>
    <w:rPr>
      <w:b/>
      <w:bCs/>
    </w:rPr>
  </w:style>
  <w:style w:type="paragraph" w:styleId="ListParagraph">
    <w:name w:val="List Paragraph"/>
    <w:basedOn w:val="Normal"/>
    <w:uiPriority w:val="34"/>
    <w:qFormat/>
    <w:rsid w:val="006D3DA4"/>
    <w:pPr>
      <w:ind w:left="720"/>
      <w:contextualSpacing/>
    </w:pPr>
  </w:style>
  <w:style w:type="character" w:styleId="Hyperlink">
    <w:name w:val="Hyperlink"/>
    <w:basedOn w:val="DefaultParagraphFont"/>
    <w:uiPriority w:val="99"/>
    <w:unhideWhenUsed/>
    <w:rsid w:val="007E38DD"/>
    <w:rPr>
      <w:color w:val="0563C1" w:themeColor="hyperlink"/>
      <w:u w:val="single"/>
    </w:rPr>
  </w:style>
  <w:style w:type="character" w:customStyle="1" w:styleId="UnresolvedMention1">
    <w:name w:val="Unresolved Mention1"/>
    <w:basedOn w:val="DefaultParagraphFont"/>
    <w:uiPriority w:val="99"/>
    <w:semiHidden/>
    <w:unhideWhenUsed/>
    <w:rsid w:val="007E38DD"/>
    <w:rPr>
      <w:color w:val="605E5C"/>
      <w:shd w:val="clear" w:color="auto" w:fill="E1DFDD"/>
    </w:rPr>
  </w:style>
  <w:style w:type="paragraph" w:styleId="NormalWeb">
    <w:name w:val="Normal (Web)"/>
    <w:basedOn w:val="Normal"/>
    <w:uiPriority w:val="99"/>
    <w:semiHidden/>
    <w:unhideWhenUsed/>
    <w:rsid w:val="00991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27D28"/>
    <w:rPr>
      <w:color w:val="605E5C"/>
      <w:shd w:val="clear" w:color="auto" w:fill="E1DFDD"/>
    </w:rPr>
  </w:style>
  <w:style w:type="paragraph" w:styleId="Header">
    <w:name w:val="header"/>
    <w:basedOn w:val="Normal"/>
    <w:link w:val="HeaderChar"/>
    <w:uiPriority w:val="99"/>
    <w:unhideWhenUsed/>
    <w:rsid w:val="00057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5A7"/>
  </w:style>
  <w:style w:type="paragraph" w:styleId="Footer">
    <w:name w:val="footer"/>
    <w:basedOn w:val="Normal"/>
    <w:link w:val="FooterChar"/>
    <w:uiPriority w:val="99"/>
    <w:unhideWhenUsed/>
    <w:rsid w:val="00057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5460">
      <w:bodyDiv w:val="1"/>
      <w:marLeft w:val="0"/>
      <w:marRight w:val="0"/>
      <w:marTop w:val="0"/>
      <w:marBottom w:val="0"/>
      <w:divBdr>
        <w:top w:val="none" w:sz="0" w:space="0" w:color="auto"/>
        <w:left w:val="none" w:sz="0" w:space="0" w:color="auto"/>
        <w:bottom w:val="none" w:sz="0" w:space="0" w:color="auto"/>
        <w:right w:val="none" w:sz="0" w:space="0" w:color="auto"/>
      </w:divBdr>
    </w:div>
    <w:div w:id="119804492">
      <w:bodyDiv w:val="1"/>
      <w:marLeft w:val="0"/>
      <w:marRight w:val="0"/>
      <w:marTop w:val="0"/>
      <w:marBottom w:val="0"/>
      <w:divBdr>
        <w:top w:val="none" w:sz="0" w:space="0" w:color="auto"/>
        <w:left w:val="none" w:sz="0" w:space="0" w:color="auto"/>
        <w:bottom w:val="none" w:sz="0" w:space="0" w:color="auto"/>
        <w:right w:val="none" w:sz="0" w:space="0" w:color="auto"/>
      </w:divBdr>
    </w:div>
    <w:div w:id="180361016">
      <w:bodyDiv w:val="1"/>
      <w:marLeft w:val="0"/>
      <w:marRight w:val="0"/>
      <w:marTop w:val="0"/>
      <w:marBottom w:val="0"/>
      <w:divBdr>
        <w:top w:val="none" w:sz="0" w:space="0" w:color="auto"/>
        <w:left w:val="none" w:sz="0" w:space="0" w:color="auto"/>
        <w:bottom w:val="none" w:sz="0" w:space="0" w:color="auto"/>
        <w:right w:val="none" w:sz="0" w:space="0" w:color="auto"/>
      </w:divBdr>
    </w:div>
    <w:div w:id="200292353">
      <w:bodyDiv w:val="1"/>
      <w:marLeft w:val="0"/>
      <w:marRight w:val="0"/>
      <w:marTop w:val="0"/>
      <w:marBottom w:val="0"/>
      <w:divBdr>
        <w:top w:val="none" w:sz="0" w:space="0" w:color="auto"/>
        <w:left w:val="none" w:sz="0" w:space="0" w:color="auto"/>
        <w:bottom w:val="none" w:sz="0" w:space="0" w:color="auto"/>
        <w:right w:val="none" w:sz="0" w:space="0" w:color="auto"/>
      </w:divBdr>
    </w:div>
    <w:div w:id="597518824">
      <w:bodyDiv w:val="1"/>
      <w:marLeft w:val="0"/>
      <w:marRight w:val="0"/>
      <w:marTop w:val="0"/>
      <w:marBottom w:val="0"/>
      <w:divBdr>
        <w:top w:val="none" w:sz="0" w:space="0" w:color="auto"/>
        <w:left w:val="none" w:sz="0" w:space="0" w:color="auto"/>
        <w:bottom w:val="none" w:sz="0" w:space="0" w:color="auto"/>
        <w:right w:val="none" w:sz="0" w:space="0" w:color="auto"/>
      </w:divBdr>
    </w:div>
    <w:div w:id="943801375">
      <w:bodyDiv w:val="1"/>
      <w:marLeft w:val="0"/>
      <w:marRight w:val="0"/>
      <w:marTop w:val="0"/>
      <w:marBottom w:val="0"/>
      <w:divBdr>
        <w:top w:val="none" w:sz="0" w:space="0" w:color="auto"/>
        <w:left w:val="none" w:sz="0" w:space="0" w:color="auto"/>
        <w:bottom w:val="none" w:sz="0" w:space="0" w:color="auto"/>
        <w:right w:val="none" w:sz="0" w:space="0" w:color="auto"/>
      </w:divBdr>
    </w:div>
    <w:div w:id="1096754112">
      <w:bodyDiv w:val="1"/>
      <w:marLeft w:val="0"/>
      <w:marRight w:val="0"/>
      <w:marTop w:val="0"/>
      <w:marBottom w:val="0"/>
      <w:divBdr>
        <w:top w:val="none" w:sz="0" w:space="0" w:color="auto"/>
        <w:left w:val="none" w:sz="0" w:space="0" w:color="auto"/>
        <w:bottom w:val="none" w:sz="0" w:space="0" w:color="auto"/>
        <w:right w:val="none" w:sz="0" w:space="0" w:color="auto"/>
      </w:divBdr>
    </w:div>
    <w:div w:id="1180508138">
      <w:bodyDiv w:val="1"/>
      <w:marLeft w:val="0"/>
      <w:marRight w:val="0"/>
      <w:marTop w:val="0"/>
      <w:marBottom w:val="0"/>
      <w:divBdr>
        <w:top w:val="none" w:sz="0" w:space="0" w:color="auto"/>
        <w:left w:val="none" w:sz="0" w:space="0" w:color="auto"/>
        <w:bottom w:val="none" w:sz="0" w:space="0" w:color="auto"/>
        <w:right w:val="none" w:sz="0" w:space="0" w:color="auto"/>
      </w:divBdr>
    </w:div>
    <w:div w:id="1256088368">
      <w:bodyDiv w:val="1"/>
      <w:marLeft w:val="0"/>
      <w:marRight w:val="0"/>
      <w:marTop w:val="0"/>
      <w:marBottom w:val="0"/>
      <w:divBdr>
        <w:top w:val="none" w:sz="0" w:space="0" w:color="auto"/>
        <w:left w:val="none" w:sz="0" w:space="0" w:color="auto"/>
        <w:bottom w:val="none" w:sz="0" w:space="0" w:color="auto"/>
        <w:right w:val="none" w:sz="0" w:space="0" w:color="auto"/>
      </w:divBdr>
    </w:div>
    <w:div w:id="1329212796">
      <w:bodyDiv w:val="1"/>
      <w:marLeft w:val="0"/>
      <w:marRight w:val="0"/>
      <w:marTop w:val="0"/>
      <w:marBottom w:val="0"/>
      <w:divBdr>
        <w:top w:val="none" w:sz="0" w:space="0" w:color="auto"/>
        <w:left w:val="none" w:sz="0" w:space="0" w:color="auto"/>
        <w:bottom w:val="none" w:sz="0" w:space="0" w:color="auto"/>
        <w:right w:val="none" w:sz="0" w:space="0" w:color="auto"/>
      </w:divBdr>
    </w:div>
    <w:div w:id="1380862480">
      <w:bodyDiv w:val="1"/>
      <w:marLeft w:val="0"/>
      <w:marRight w:val="0"/>
      <w:marTop w:val="0"/>
      <w:marBottom w:val="0"/>
      <w:divBdr>
        <w:top w:val="none" w:sz="0" w:space="0" w:color="auto"/>
        <w:left w:val="none" w:sz="0" w:space="0" w:color="auto"/>
        <w:bottom w:val="none" w:sz="0" w:space="0" w:color="auto"/>
        <w:right w:val="none" w:sz="0" w:space="0" w:color="auto"/>
      </w:divBdr>
    </w:div>
    <w:div w:id="1448700403">
      <w:bodyDiv w:val="1"/>
      <w:marLeft w:val="0"/>
      <w:marRight w:val="0"/>
      <w:marTop w:val="0"/>
      <w:marBottom w:val="0"/>
      <w:divBdr>
        <w:top w:val="none" w:sz="0" w:space="0" w:color="auto"/>
        <w:left w:val="none" w:sz="0" w:space="0" w:color="auto"/>
        <w:bottom w:val="none" w:sz="0" w:space="0" w:color="auto"/>
        <w:right w:val="none" w:sz="0" w:space="0" w:color="auto"/>
      </w:divBdr>
    </w:div>
    <w:div w:id="1511946388">
      <w:bodyDiv w:val="1"/>
      <w:marLeft w:val="0"/>
      <w:marRight w:val="0"/>
      <w:marTop w:val="0"/>
      <w:marBottom w:val="0"/>
      <w:divBdr>
        <w:top w:val="none" w:sz="0" w:space="0" w:color="auto"/>
        <w:left w:val="none" w:sz="0" w:space="0" w:color="auto"/>
        <w:bottom w:val="none" w:sz="0" w:space="0" w:color="auto"/>
        <w:right w:val="none" w:sz="0" w:space="0" w:color="auto"/>
      </w:divBdr>
      <w:divsChild>
        <w:div w:id="955059305">
          <w:marLeft w:val="0"/>
          <w:marRight w:val="0"/>
          <w:marTop w:val="0"/>
          <w:marBottom w:val="0"/>
          <w:divBdr>
            <w:top w:val="none" w:sz="0" w:space="0" w:color="auto"/>
            <w:left w:val="none" w:sz="0" w:space="0" w:color="auto"/>
            <w:bottom w:val="none" w:sz="0" w:space="0" w:color="auto"/>
            <w:right w:val="none" w:sz="0" w:space="0" w:color="auto"/>
          </w:divBdr>
          <w:divsChild>
            <w:div w:id="1299532246">
              <w:marLeft w:val="-315"/>
              <w:marRight w:val="0"/>
              <w:marTop w:val="90"/>
              <w:marBottom w:val="0"/>
              <w:divBdr>
                <w:top w:val="none" w:sz="0" w:space="0" w:color="auto"/>
                <w:left w:val="single" w:sz="6" w:space="0" w:color="DADCE0"/>
                <w:bottom w:val="none" w:sz="0" w:space="0" w:color="auto"/>
                <w:right w:val="none" w:sz="0" w:space="0" w:color="auto"/>
              </w:divBdr>
              <w:divsChild>
                <w:div w:id="780606518">
                  <w:marLeft w:val="0"/>
                  <w:marRight w:val="0"/>
                  <w:marTop w:val="0"/>
                  <w:marBottom w:val="0"/>
                  <w:divBdr>
                    <w:top w:val="none" w:sz="0" w:space="0" w:color="auto"/>
                    <w:left w:val="none" w:sz="0" w:space="0" w:color="auto"/>
                    <w:bottom w:val="none" w:sz="0" w:space="0" w:color="auto"/>
                    <w:right w:val="none" w:sz="0" w:space="0" w:color="auto"/>
                  </w:divBdr>
                  <w:divsChild>
                    <w:div w:id="1464495783">
                      <w:marLeft w:val="0"/>
                      <w:marRight w:val="0"/>
                      <w:marTop w:val="0"/>
                      <w:marBottom w:val="0"/>
                      <w:divBdr>
                        <w:top w:val="none" w:sz="0" w:space="0" w:color="auto"/>
                        <w:left w:val="none" w:sz="0" w:space="0" w:color="auto"/>
                        <w:bottom w:val="none" w:sz="0" w:space="0" w:color="auto"/>
                        <w:right w:val="none" w:sz="0" w:space="0" w:color="auto"/>
                      </w:divBdr>
                      <w:divsChild>
                        <w:div w:id="1870140980">
                          <w:marLeft w:val="0"/>
                          <w:marRight w:val="0"/>
                          <w:marTop w:val="0"/>
                          <w:marBottom w:val="0"/>
                          <w:divBdr>
                            <w:top w:val="none" w:sz="0" w:space="0" w:color="auto"/>
                            <w:left w:val="none" w:sz="0" w:space="0" w:color="auto"/>
                            <w:bottom w:val="none" w:sz="0" w:space="0" w:color="auto"/>
                            <w:right w:val="none" w:sz="0" w:space="0" w:color="auto"/>
                          </w:divBdr>
                          <w:divsChild>
                            <w:div w:id="1521435282">
                              <w:marLeft w:val="0"/>
                              <w:marRight w:val="0"/>
                              <w:marTop w:val="0"/>
                              <w:marBottom w:val="0"/>
                              <w:divBdr>
                                <w:top w:val="none" w:sz="0" w:space="0" w:color="auto"/>
                                <w:left w:val="none" w:sz="0" w:space="0" w:color="auto"/>
                                <w:bottom w:val="none" w:sz="0" w:space="0" w:color="auto"/>
                                <w:right w:val="none" w:sz="0" w:space="0" w:color="auto"/>
                              </w:divBdr>
                              <w:divsChild>
                                <w:div w:id="1052853392">
                                  <w:marLeft w:val="0"/>
                                  <w:marRight w:val="0"/>
                                  <w:marTop w:val="0"/>
                                  <w:marBottom w:val="0"/>
                                  <w:divBdr>
                                    <w:top w:val="none" w:sz="0" w:space="0" w:color="auto"/>
                                    <w:left w:val="none" w:sz="0" w:space="0" w:color="auto"/>
                                    <w:bottom w:val="none" w:sz="0" w:space="0" w:color="auto"/>
                                    <w:right w:val="none" w:sz="0" w:space="0" w:color="auto"/>
                                  </w:divBdr>
                                  <w:divsChild>
                                    <w:div w:id="85156392">
                                      <w:marLeft w:val="0"/>
                                      <w:marRight w:val="0"/>
                                      <w:marTop w:val="0"/>
                                      <w:marBottom w:val="0"/>
                                      <w:divBdr>
                                        <w:top w:val="none" w:sz="0" w:space="0" w:color="auto"/>
                                        <w:left w:val="none" w:sz="0" w:space="0" w:color="auto"/>
                                        <w:bottom w:val="none" w:sz="0" w:space="0" w:color="auto"/>
                                        <w:right w:val="none" w:sz="0" w:space="0" w:color="auto"/>
                                      </w:divBdr>
                                      <w:divsChild>
                                        <w:div w:id="285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9579">
          <w:marLeft w:val="0"/>
          <w:marRight w:val="0"/>
          <w:marTop w:val="90"/>
          <w:marBottom w:val="0"/>
          <w:divBdr>
            <w:top w:val="none" w:sz="0" w:space="0" w:color="auto"/>
            <w:left w:val="single" w:sz="6" w:space="15" w:color="DADCE0"/>
            <w:bottom w:val="none" w:sz="0" w:space="0" w:color="auto"/>
            <w:right w:val="none" w:sz="0" w:space="0" w:color="auto"/>
          </w:divBdr>
          <w:divsChild>
            <w:div w:id="1176194686">
              <w:marLeft w:val="0"/>
              <w:marRight w:val="0"/>
              <w:marTop w:val="0"/>
              <w:marBottom w:val="0"/>
              <w:divBdr>
                <w:top w:val="none" w:sz="0" w:space="0" w:color="auto"/>
                <w:left w:val="none" w:sz="0" w:space="0" w:color="auto"/>
                <w:bottom w:val="none" w:sz="0" w:space="0" w:color="auto"/>
                <w:right w:val="none" w:sz="0" w:space="0" w:color="auto"/>
              </w:divBdr>
              <w:divsChild>
                <w:div w:id="1387535480">
                  <w:marLeft w:val="0"/>
                  <w:marRight w:val="0"/>
                  <w:marTop w:val="0"/>
                  <w:marBottom w:val="0"/>
                  <w:divBdr>
                    <w:top w:val="none" w:sz="0" w:space="0" w:color="auto"/>
                    <w:left w:val="none" w:sz="0" w:space="0" w:color="auto"/>
                    <w:bottom w:val="none" w:sz="0" w:space="0" w:color="auto"/>
                    <w:right w:val="none" w:sz="0" w:space="0" w:color="auto"/>
                  </w:divBdr>
                  <w:divsChild>
                    <w:div w:id="646520449">
                      <w:marLeft w:val="0"/>
                      <w:marRight w:val="0"/>
                      <w:marTop w:val="0"/>
                      <w:marBottom w:val="0"/>
                      <w:divBdr>
                        <w:top w:val="none" w:sz="0" w:space="0" w:color="auto"/>
                        <w:left w:val="none" w:sz="0" w:space="0" w:color="auto"/>
                        <w:bottom w:val="none" w:sz="0" w:space="0" w:color="auto"/>
                        <w:right w:val="none" w:sz="0" w:space="0" w:color="auto"/>
                      </w:divBdr>
                      <w:divsChild>
                        <w:div w:id="2037778123">
                          <w:marLeft w:val="0"/>
                          <w:marRight w:val="0"/>
                          <w:marTop w:val="0"/>
                          <w:marBottom w:val="0"/>
                          <w:divBdr>
                            <w:top w:val="none" w:sz="0" w:space="0" w:color="auto"/>
                            <w:left w:val="none" w:sz="0" w:space="0" w:color="auto"/>
                            <w:bottom w:val="none" w:sz="0" w:space="0" w:color="auto"/>
                            <w:right w:val="none" w:sz="0" w:space="0" w:color="auto"/>
                          </w:divBdr>
                          <w:divsChild>
                            <w:div w:id="192695718">
                              <w:marLeft w:val="0"/>
                              <w:marRight w:val="0"/>
                              <w:marTop w:val="0"/>
                              <w:marBottom w:val="0"/>
                              <w:divBdr>
                                <w:top w:val="none" w:sz="0" w:space="0" w:color="auto"/>
                                <w:left w:val="none" w:sz="0" w:space="0" w:color="auto"/>
                                <w:bottom w:val="none" w:sz="0" w:space="0" w:color="auto"/>
                                <w:right w:val="none" w:sz="0" w:space="0" w:color="auto"/>
                              </w:divBdr>
                              <w:divsChild>
                                <w:div w:id="1457522472">
                                  <w:marLeft w:val="0"/>
                                  <w:marRight w:val="0"/>
                                  <w:marTop w:val="0"/>
                                  <w:marBottom w:val="0"/>
                                  <w:divBdr>
                                    <w:top w:val="none" w:sz="0" w:space="0" w:color="auto"/>
                                    <w:left w:val="none" w:sz="0" w:space="0" w:color="auto"/>
                                    <w:bottom w:val="none" w:sz="0" w:space="0" w:color="auto"/>
                                    <w:right w:val="none" w:sz="0" w:space="0" w:color="auto"/>
                                  </w:divBdr>
                                  <w:divsChild>
                                    <w:div w:id="428359516">
                                      <w:marLeft w:val="0"/>
                                      <w:marRight w:val="0"/>
                                      <w:marTop w:val="0"/>
                                      <w:marBottom w:val="0"/>
                                      <w:divBdr>
                                        <w:top w:val="none" w:sz="0" w:space="0" w:color="auto"/>
                                        <w:left w:val="none" w:sz="0" w:space="0" w:color="auto"/>
                                        <w:bottom w:val="none" w:sz="0" w:space="0" w:color="auto"/>
                                        <w:right w:val="none" w:sz="0" w:space="0" w:color="auto"/>
                                      </w:divBdr>
                                      <w:divsChild>
                                        <w:div w:id="996878950">
                                          <w:marLeft w:val="0"/>
                                          <w:marRight w:val="0"/>
                                          <w:marTop w:val="0"/>
                                          <w:marBottom w:val="0"/>
                                          <w:divBdr>
                                            <w:top w:val="none" w:sz="0" w:space="0" w:color="auto"/>
                                            <w:left w:val="none" w:sz="0" w:space="0" w:color="auto"/>
                                            <w:bottom w:val="none" w:sz="0" w:space="0" w:color="auto"/>
                                            <w:right w:val="none" w:sz="0" w:space="0" w:color="auto"/>
                                          </w:divBdr>
                                          <w:divsChild>
                                            <w:div w:id="176775596">
                                              <w:marLeft w:val="0"/>
                                              <w:marRight w:val="0"/>
                                              <w:marTop w:val="120"/>
                                              <w:marBottom w:val="0"/>
                                              <w:divBdr>
                                                <w:top w:val="none" w:sz="0" w:space="0" w:color="auto"/>
                                                <w:left w:val="none" w:sz="0" w:space="0" w:color="auto"/>
                                                <w:bottom w:val="none" w:sz="0" w:space="0" w:color="auto"/>
                                                <w:right w:val="none" w:sz="0" w:space="0" w:color="auto"/>
                                              </w:divBdr>
                                              <w:divsChild>
                                                <w:div w:id="833566457">
                                                  <w:marLeft w:val="0"/>
                                                  <w:marRight w:val="0"/>
                                                  <w:marTop w:val="0"/>
                                                  <w:marBottom w:val="0"/>
                                                  <w:divBdr>
                                                    <w:top w:val="none" w:sz="0" w:space="0" w:color="auto"/>
                                                    <w:left w:val="none" w:sz="0" w:space="0" w:color="auto"/>
                                                    <w:bottom w:val="none" w:sz="0" w:space="0" w:color="auto"/>
                                                    <w:right w:val="none" w:sz="0" w:space="0" w:color="auto"/>
                                                  </w:divBdr>
                                                  <w:divsChild>
                                                    <w:div w:id="1983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257419">
      <w:bodyDiv w:val="1"/>
      <w:marLeft w:val="0"/>
      <w:marRight w:val="0"/>
      <w:marTop w:val="0"/>
      <w:marBottom w:val="0"/>
      <w:divBdr>
        <w:top w:val="none" w:sz="0" w:space="0" w:color="auto"/>
        <w:left w:val="none" w:sz="0" w:space="0" w:color="auto"/>
        <w:bottom w:val="none" w:sz="0" w:space="0" w:color="auto"/>
        <w:right w:val="none" w:sz="0" w:space="0" w:color="auto"/>
      </w:divBdr>
    </w:div>
    <w:div w:id="1701782835">
      <w:bodyDiv w:val="1"/>
      <w:marLeft w:val="0"/>
      <w:marRight w:val="0"/>
      <w:marTop w:val="0"/>
      <w:marBottom w:val="0"/>
      <w:divBdr>
        <w:top w:val="none" w:sz="0" w:space="0" w:color="auto"/>
        <w:left w:val="none" w:sz="0" w:space="0" w:color="auto"/>
        <w:bottom w:val="none" w:sz="0" w:space="0" w:color="auto"/>
        <w:right w:val="none" w:sz="0" w:space="0" w:color="auto"/>
      </w:divBdr>
    </w:div>
    <w:div w:id="1710766402">
      <w:bodyDiv w:val="1"/>
      <w:marLeft w:val="0"/>
      <w:marRight w:val="0"/>
      <w:marTop w:val="0"/>
      <w:marBottom w:val="0"/>
      <w:divBdr>
        <w:top w:val="none" w:sz="0" w:space="0" w:color="auto"/>
        <w:left w:val="none" w:sz="0" w:space="0" w:color="auto"/>
        <w:bottom w:val="none" w:sz="0" w:space="0" w:color="auto"/>
        <w:right w:val="none" w:sz="0" w:space="0" w:color="auto"/>
      </w:divBdr>
    </w:div>
    <w:div w:id="1794205470">
      <w:bodyDiv w:val="1"/>
      <w:marLeft w:val="0"/>
      <w:marRight w:val="0"/>
      <w:marTop w:val="0"/>
      <w:marBottom w:val="0"/>
      <w:divBdr>
        <w:top w:val="none" w:sz="0" w:space="0" w:color="auto"/>
        <w:left w:val="none" w:sz="0" w:space="0" w:color="auto"/>
        <w:bottom w:val="none" w:sz="0" w:space="0" w:color="auto"/>
        <w:right w:val="none" w:sz="0" w:space="0" w:color="auto"/>
      </w:divBdr>
    </w:div>
    <w:div w:id="1814177206">
      <w:bodyDiv w:val="1"/>
      <w:marLeft w:val="0"/>
      <w:marRight w:val="0"/>
      <w:marTop w:val="0"/>
      <w:marBottom w:val="0"/>
      <w:divBdr>
        <w:top w:val="none" w:sz="0" w:space="0" w:color="auto"/>
        <w:left w:val="none" w:sz="0" w:space="0" w:color="auto"/>
        <w:bottom w:val="none" w:sz="0" w:space="0" w:color="auto"/>
        <w:right w:val="none" w:sz="0" w:space="0" w:color="auto"/>
      </w:divBdr>
    </w:div>
    <w:div w:id="1846942807">
      <w:bodyDiv w:val="1"/>
      <w:marLeft w:val="0"/>
      <w:marRight w:val="0"/>
      <w:marTop w:val="0"/>
      <w:marBottom w:val="0"/>
      <w:divBdr>
        <w:top w:val="none" w:sz="0" w:space="0" w:color="auto"/>
        <w:left w:val="none" w:sz="0" w:space="0" w:color="auto"/>
        <w:bottom w:val="none" w:sz="0" w:space="0" w:color="auto"/>
        <w:right w:val="none" w:sz="0" w:space="0" w:color="auto"/>
      </w:divBdr>
    </w:div>
    <w:div w:id="1863009500">
      <w:bodyDiv w:val="1"/>
      <w:marLeft w:val="0"/>
      <w:marRight w:val="0"/>
      <w:marTop w:val="0"/>
      <w:marBottom w:val="0"/>
      <w:divBdr>
        <w:top w:val="none" w:sz="0" w:space="0" w:color="auto"/>
        <w:left w:val="none" w:sz="0" w:space="0" w:color="auto"/>
        <w:bottom w:val="none" w:sz="0" w:space="0" w:color="auto"/>
        <w:right w:val="none" w:sz="0" w:space="0" w:color="auto"/>
      </w:divBdr>
      <w:divsChild>
        <w:div w:id="491141343">
          <w:marLeft w:val="0"/>
          <w:marRight w:val="0"/>
          <w:marTop w:val="0"/>
          <w:marBottom w:val="0"/>
          <w:divBdr>
            <w:top w:val="none" w:sz="0" w:space="0" w:color="auto"/>
            <w:left w:val="none" w:sz="0" w:space="0" w:color="auto"/>
            <w:bottom w:val="none" w:sz="0" w:space="0" w:color="auto"/>
            <w:right w:val="none" w:sz="0" w:space="0" w:color="auto"/>
          </w:divBdr>
          <w:divsChild>
            <w:div w:id="734477567">
              <w:marLeft w:val="-315"/>
              <w:marRight w:val="0"/>
              <w:marTop w:val="90"/>
              <w:marBottom w:val="0"/>
              <w:divBdr>
                <w:top w:val="none" w:sz="0" w:space="0" w:color="auto"/>
                <w:left w:val="single" w:sz="6" w:space="0" w:color="DADCE0"/>
                <w:bottom w:val="none" w:sz="0" w:space="0" w:color="auto"/>
                <w:right w:val="none" w:sz="0" w:space="0" w:color="auto"/>
              </w:divBdr>
              <w:divsChild>
                <w:div w:id="482352968">
                  <w:marLeft w:val="0"/>
                  <w:marRight w:val="0"/>
                  <w:marTop w:val="0"/>
                  <w:marBottom w:val="0"/>
                  <w:divBdr>
                    <w:top w:val="none" w:sz="0" w:space="0" w:color="auto"/>
                    <w:left w:val="none" w:sz="0" w:space="0" w:color="auto"/>
                    <w:bottom w:val="none" w:sz="0" w:space="0" w:color="auto"/>
                    <w:right w:val="none" w:sz="0" w:space="0" w:color="auto"/>
                  </w:divBdr>
                  <w:divsChild>
                    <w:div w:id="646014377">
                      <w:marLeft w:val="0"/>
                      <w:marRight w:val="0"/>
                      <w:marTop w:val="0"/>
                      <w:marBottom w:val="0"/>
                      <w:divBdr>
                        <w:top w:val="none" w:sz="0" w:space="0" w:color="auto"/>
                        <w:left w:val="none" w:sz="0" w:space="0" w:color="auto"/>
                        <w:bottom w:val="none" w:sz="0" w:space="0" w:color="auto"/>
                        <w:right w:val="none" w:sz="0" w:space="0" w:color="auto"/>
                      </w:divBdr>
                      <w:divsChild>
                        <w:div w:id="2094230943">
                          <w:marLeft w:val="0"/>
                          <w:marRight w:val="0"/>
                          <w:marTop w:val="0"/>
                          <w:marBottom w:val="0"/>
                          <w:divBdr>
                            <w:top w:val="none" w:sz="0" w:space="0" w:color="auto"/>
                            <w:left w:val="none" w:sz="0" w:space="0" w:color="auto"/>
                            <w:bottom w:val="none" w:sz="0" w:space="0" w:color="auto"/>
                            <w:right w:val="none" w:sz="0" w:space="0" w:color="auto"/>
                          </w:divBdr>
                          <w:divsChild>
                            <w:div w:id="1033116534">
                              <w:marLeft w:val="0"/>
                              <w:marRight w:val="0"/>
                              <w:marTop w:val="0"/>
                              <w:marBottom w:val="0"/>
                              <w:divBdr>
                                <w:top w:val="none" w:sz="0" w:space="0" w:color="auto"/>
                                <w:left w:val="none" w:sz="0" w:space="0" w:color="auto"/>
                                <w:bottom w:val="none" w:sz="0" w:space="0" w:color="auto"/>
                                <w:right w:val="none" w:sz="0" w:space="0" w:color="auto"/>
                              </w:divBdr>
                              <w:divsChild>
                                <w:div w:id="1117681667">
                                  <w:marLeft w:val="0"/>
                                  <w:marRight w:val="0"/>
                                  <w:marTop w:val="0"/>
                                  <w:marBottom w:val="0"/>
                                  <w:divBdr>
                                    <w:top w:val="none" w:sz="0" w:space="0" w:color="auto"/>
                                    <w:left w:val="none" w:sz="0" w:space="0" w:color="auto"/>
                                    <w:bottom w:val="none" w:sz="0" w:space="0" w:color="auto"/>
                                    <w:right w:val="none" w:sz="0" w:space="0" w:color="auto"/>
                                  </w:divBdr>
                                  <w:divsChild>
                                    <w:div w:id="1355500928">
                                      <w:marLeft w:val="0"/>
                                      <w:marRight w:val="0"/>
                                      <w:marTop w:val="0"/>
                                      <w:marBottom w:val="0"/>
                                      <w:divBdr>
                                        <w:top w:val="none" w:sz="0" w:space="0" w:color="auto"/>
                                        <w:left w:val="none" w:sz="0" w:space="0" w:color="auto"/>
                                        <w:bottom w:val="none" w:sz="0" w:space="0" w:color="auto"/>
                                        <w:right w:val="none" w:sz="0" w:space="0" w:color="auto"/>
                                      </w:divBdr>
                                      <w:divsChild>
                                        <w:div w:id="5548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160218">
          <w:marLeft w:val="0"/>
          <w:marRight w:val="0"/>
          <w:marTop w:val="90"/>
          <w:marBottom w:val="0"/>
          <w:divBdr>
            <w:top w:val="none" w:sz="0" w:space="0" w:color="auto"/>
            <w:left w:val="single" w:sz="6" w:space="15" w:color="DADCE0"/>
            <w:bottom w:val="none" w:sz="0" w:space="0" w:color="auto"/>
            <w:right w:val="none" w:sz="0" w:space="0" w:color="auto"/>
          </w:divBdr>
          <w:divsChild>
            <w:div w:id="209195620">
              <w:marLeft w:val="0"/>
              <w:marRight w:val="0"/>
              <w:marTop w:val="0"/>
              <w:marBottom w:val="0"/>
              <w:divBdr>
                <w:top w:val="none" w:sz="0" w:space="0" w:color="auto"/>
                <w:left w:val="none" w:sz="0" w:space="0" w:color="auto"/>
                <w:bottom w:val="none" w:sz="0" w:space="0" w:color="auto"/>
                <w:right w:val="none" w:sz="0" w:space="0" w:color="auto"/>
              </w:divBdr>
              <w:divsChild>
                <w:div w:id="1096555259">
                  <w:marLeft w:val="0"/>
                  <w:marRight w:val="0"/>
                  <w:marTop w:val="0"/>
                  <w:marBottom w:val="0"/>
                  <w:divBdr>
                    <w:top w:val="none" w:sz="0" w:space="0" w:color="auto"/>
                    <w:left w:val="none" w:sz="0" w:space="0" w:color="auto"/>
                    <w:bottom w:val="none" w:sz="0" w:space="0" w:color="auto"/>
                    <w:right w:val="none" w:sz="0" w:space="0" w:color="auto"/>
                  </w:divBdr>
                  <w:divsChild>
                    <w:div w:id="1871919293">
                      <w:marLeft w:val="0"/>
                      <w:marRight w:val="0"/>
                      <w:marTop w:val="0"/>
                      <w:marBottom w:val="0"/>
                      <w:divBdr>
                        <w:top w:val="none" w:sz="0" w:space="0" w:color="auto"/>
                        <w:left w:val="none" w:sz="0" w:space="0" w:color="auto"/>
                        <w:bottom w:val="none" w:sz="0" w:space="0" w:color="auto"/>
                        <w:right w:val="none" w:sz="0" w:space="0" w:color="auto"/>
                      </w:divBdr>
                      <w:divsChild>
                        <w:div w:id="207569177">
                          <w:marLeft w:val="0"/>
                          <w:marRight w:val="0"/>
                          <w:marTop w:val="0"/>
                          <w:marBottom w:val="0"/>
                          <w:divBdr>
                            <w:top w:val="none" w:sz="0" w:space="0" w:color="auto"/>
                            <w:left w:val="none" w:sz="0" w:space="0" w:color="auto"/>
                            <w:bottom w:val="none" w:sz="0" w:space="0" w:color="auto"/>
                            <w:right w:val="none" w:sz="0" w:space="0" w:color="auto"/>
                          </w:divBdr>
                          <w:divsChild>
                            <w:div w:id="1262370894">
                              <w:marLeft w:val="0"/>
                              <w:marRight w:val="0"/>
                              <w:marTop w:val="0"/>
                              <w:marBottom w:val="0"/>
                              <w:divBdr>
                                <w:top w:val="none" w:sz="0" w:space="0" w:color="auto"/>
                                <w:left w:val="none" w:sz="0" w:space="0" w:color="auto"/>
                                <w:bottom w:val="none" w:sz="0" w:space="0" w:color="auto"/>
                                <w:right w:val="none" w:sz="0" w:space="0" w:color="auto"/>
                              </w:divBdr>
                              <w:divsChild>
                                <w:div w:id="2110655160">
                                  <w:marLeft w:val="0"/>
                                  <w:marRight w:val="0"/>
                                  <w:marTop w:val="0"/>
                                  <w:marBottom w:val="0"/>
                                  <w:divBdr>
                                    <w:top w:val="none" w:sz="0" w:space="0" w:color="auto"/>
                                    <w:left w:val="none" w:sz="0" w:space="0" w:color="auto"/>
                                    <w:bottom w:val="none" w:sz="0" w:space="0" w:color="auto"/>
                                    <w:right w:val="none" w:sz="0" w:space="0" w:color="auto"/>
                                  </w:divBdr>
                                  <w:divsChild>
                                    <w:div w:id="1242644851">
                                      <w:marLeft w:val="0"/>
                                      <w:marRight w:val="0"/>
                                      <w:marTop w:val="0"/>
                                      <w:marBottom w:val="0"/>
                                      <w:divBdr>
                                        <w:top w:val="none" w:sz="0" w:space="0" w:color="auto"/>
                                        <w:left w:val="none" w:sz="0" w:space="0" w:color="auto"/>
                                        <w:bottom w:val="none" w:sz="0" w:space="0" w:color="auto"/>
                                        <w:right w:val="none" w:sz="0" w:space="0" w:color="auto"/>
                                      </w:divBdr>
                                      <w:divsChild>
                                        <w:div w:id="2004041027">
                                          <w:marLeft w:val="0"/>
                                          <w:marRight w:val="0"/>
                                          <w:marTop w:val="0"/>
                                          <w:marBottom w:val="0"/>
                                          <w:divBdr>
                                            <w:top w:val="none" w:sz="0" w:space="0" w:color="auto"/>
                                            <w:left w:val="none" w:sz="0" w:space="0" w:color="auto"/>
                                            <w:bottom w:val="none" w:sz="0" w:space="0" w:color="auto"/>
                                            <w:right w:val="none" w:sz="0" w:space="0" w:color="auto"/>
                                          </w:divBdr>
                                          <w:divsChild>
                                            <w:div w:id="748649987">
                                              <w:marLeft w:val="0"/>
                                              <w:marRight w:val="0"/>
                                              <w:marTop w:val="120"/>
                                              <w:marBottom w:val="0"/>
                                              <w:divBdr>
                                                <w:top w:val="none" w:sz="0" w:space="0" w:color="auto"/>
                                                <w:left w:val="none" w:sz="0" w:space="0" w:color="auto"/>
                                                <w:bottom w:val="none" w:sz="0" w:space="0" w:color="auto"/>
                                                <w:right w:val="none" w:sz="0" w:space="0" w:color="auto"/>
                                              </w:divBdr>
                                              <w:divsChild>
                                                <w:div w:id="1401292098">
                                                  <w:marLeft w:val="0"/>
                                                  <w:marRight w:val="0"/>
                                                  <w:marTop w:val="0"/>
                                                  <w:marBottom w:val="0"/>
                                                  <w:divBdr>
                                                    <w:top w:val="none" w:sz="0" w:space="0" w:color="auto"/>
                                                    <w:left w:val="none" w:sz="0" w:space="0" w:color="auto"/>
                                                    <w:bottom w:val="none" w:sz="0" w:space="0" w:color="auto"/>
                                                    <w:right w:val="none" w:sz="0" w:space="0" w:color="auto"/>
                                                  </w:divBdr>
                                                  <w:divsChild>
                                                    <w:div w:id="4514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264097">
      <w:bodyDiv w:val="1"/>
      <w:marLeft w:val="0"/>
      <w:marRight w:val="0"/>
      <w:marTop w:val="0"/>
      <w:marBottom w:val="0"/>
      <w:divBdr>
        <w:top w:val="none" w:sz="0" w:space="0" w:color="auto"/>
        <w:left w:val="none" w:sz="0" w:space="0" w:color="auto"/>
        <w:bottom w:val="none" w:sz="0" w:space="0" w:color="auto"/>
        <w:right w:val="none" w:sz="0" w:space="0" w:color="auto"/>
      </w:divBdr>
    </w:div>
    <w:div w:id="200523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6</Pages>
  <Words>2278</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PC New 16</cp:lastModifiedBy>
  <cp:revision>20</cp:revision>
  <dcterms:created xsi:type="dcterms:W3CDTF">2025-05-24T06:50:00Z</dcterms:created>
  <dcterms:modified xsi:type="dcterms:W3CDTF">2025-06-03T06:11:00Z</dcterms:modified>
</cp:coreProperties>
</file>