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A9BB" w14:textId="229356C4" w:rsidR="00476E30" w:rsidRPr="00476E30" w:rsidRDefault="00476E30" w:rsidP="00476E30">
      <w:pPr>
        <w:widowControl/>
        <w:autoSpaceDE/>
        <w:autoSpaceDN/>
        <w:spacing w:after="160" w:line="259" w:lineRule="auto"/>
        <w:rPr>
          <w:rFonts w:ascii="Arial" w:eastAsiaTheme="minorHAnsi" w:hAnsi="Arial" w:cs="Arial"/>
          <w:b/>
          <w:spacing w:val="6"/>
          <w:sz w:val="24"/>
          <w:szCs w:val="20"/>
          <w:u w:val="single"/>
          <w:lang w:val="en-IN"/>
        </w:rPr>
      </w:pPr>
      <w:r w:rsidRPr="00476E30">
        <w:rPr>
          <w:rFonts w:ascii="Arial" w:eastAsiaTheme="minorHAnsi" w:hAnsi="Arial" w:cs="Arial"/>
          <w:b/>
          <w:spacing w:val="6"/>
          <w:sz w:val="24"/>
          <w:szCs w:val="20"/>
          <w:u w:val="single"/>
          <w:lang w:val="en-IN"/>
        </w:rPr>
        <w:t>Original Research Article</w:t>
      </w:r>
    </w:p>
    <w:p w14:paraId="2CA183C1" w14:textId="6A4B8A54" w:rsidR="00EC7F13" w:rsidRPr="003B7A14" w:rsidRDefault="000D2F35" w:rsidP="00191192">
      <w:pPr>
        <w:widowControl/>
        <w:autoSpaceDE/>
        <w:autoSpaceDN/>
        <w:spacing w:after="160" w:line="259" w:lineRule="auto"/>
        <w:jc w:val="right"/>
        <w:rPr>
          <w:rFonts w:ascii="Arial" w:eastAsiaTheme="minorHAnsi" w:hAnsi="Arial" w:cs="Arial"/>
          <w:b/>
          <w:sz w:val="40"/>
          <w:szCs w:val="28"/>
          <w:lang w:val="en-IN"/>
        </w:rPr>
      </w:pPr>
      <w:r w:rsidRPr="003B7A14">
        <w:rPr>
          <w:rFonts w:ascii="Arial" w:eastAsiaTheme="minorHAnsi" w:hAnsi="Arial" w:cs="Arial"/>
          <w:b/>
          <w:spacing w:val="6"/>
          <w:sz w:val="36"/>
          <w:szCs w:val="26"/>
          <w:lang w:val="en-IN"/>
        </w:rPr>
        <w:t>TRANSFORMATION OF ZINC UNDER AEROBIC AND ANAEROBIC CONDITIONS IN SOME SOILS OF KANDHAMAL DISTRICT, ODISHA</w:t>
      </w:r>
      <w:r w:rsidRPr="003B7A14">
        <w:rPr>
          <w:rFonts w:ascii="Arial" w:eastAsiaTheme="minorHAnsi" w:hAnsi="Arial" w:cs="Arial"/>
          <w:b/>
          <w:sz w:val="40"/>
          <w:szCs w:val="28"/>
          <w:lang w:val="en-IN"/>
        </w:rPr>
        <w:t xml:space="preserve"> </w:t>
      </w:r>
    </w:p>
    <w:p w14:paraId="1CAF203A" w14:textId="21B15CB4" w:rsidR="00964D7B" w:rsidRPr="003B7A14" w:rsidRDefault="00964D7B" w:rsidP="00964D7B">
      <w:pPr>
        <w:spacing w:line="360" w:lineRule="auto"/>
        <w:ind w:left="-284" w:right="4"/>
        <w:jc w:val="right"/>
        <w:rPr>
          <w:rFonts w:ascii="Arial" w:hAnsi="Arial" w:cs="Arial"/>
          <w:bCs/>
          <w:iCs/>
          <w:sz w:val="20"/>
          <w:szCs w:val="20"/>
        </w:rPr>
      </w:pPr>
      <w:r>
        <w:rPr>
          <w:rFonts w:ascii="Arial" w:hAnsi="Arial" w:cs="Arial"/>
          <w:bCs/>
          <w:iCs/>
          <w:sz w:val="20"/>
          <w:szCs w:val="20"/>
        </w:rPr>
        <w:t xml:space="preserve"> </w:t>
      </w:r>
    </w:p>
    <w:p w14:paraId="16B45992" w14:textId="77777777" w:rsidR="00F34EB8" w:rsidRPr="003B7A14" w:rsidRDefault="00F34EB8" w:rsidP="00F34EB8">
      <w:pPr>
        <w:widowControl/>
        <w:adjustRightInd w:val="0"/>
        <w:spacing w:after="240" w:line="360" w:lineRule="auto"/>
        <w:jc w:val="both"/>
        <w:rPr>
          <w:rFonts w:ascii="Arial" w:eastAsiaTheme="minorHAnsi" w:hAnsi="Arial" w:cs="Arial"/>
          <w:sz w:val="24"/>
          <w:szCs w:val="24"/>
        </w:rPr>
      </w:pPr>
    </w:p>
    <w:p w14:paraId="77E2B51C" w14:textId="22AB0A3C" w:rsidR="007833B6" w:rsidRPr="003B7A14" w:rsidRDefault="00F34EB8" w:rsidP="00F34EB8">
      <w:pPr>
        <w:widowControl/>
        <w:adjustRightInd w:val="0"/>
        <w:spacing w:after="240" w:line="360" w:lineRule="auto"/>
        <w:jc w:val="both"/>
        <w:rPr>
          <w:rFonts w:ascii="Arial" w:eastAsiaTheme="minorHAnsi" w:hAnsi="Arial" w:cs="Arial"/>
          <w:b/>
          <w:bCs/>
        </w:rPr>
      </w:pPr>
      <w:r w:rsidRPr="003B7A14">
        <w:rPr>
          <w:rFonts w:ascii="Arial" w:eastAsiaTheme="minorHAnsi" w:hAnsi="Arial" w:cs="Arial"/>
          <w:b/>
          <w:bCs/>
        </w:rPr>
        <w:t>ABSTRACT</w:t>
      </w:r>
    </w:p>
    <w:p w14:paraId="24174E1F" w14:textId="3541FF43" w:rsidR="00F34EB8" w:rsidRPr="003B7A14" w:rsidRDefault="007833B6" w:rsidP="00F34EB8">
      <w:pPr>
        <w:pStyle w:val="ListParagraph"/>
        <w:widowControl/>
        <w:adjustRightInd w:val="0"/>
        <w:spacing w:before="240" w:after="240" w:line="360" w:lineRule="auto"/>
        <w:ind w:left="0" w:firstLine="567"/>
        <w:jc w:val="both"/>
        <w:rPr>
          <w:rFonts w:ascii="Arial" w:eastAsiaTheme="minorHAnsi" w:hAnsi="Arial" w:cs="Arial"/>
          <w:sz w:val="20"/>
          <w:szCs w:val="20"/>
        </w:rPr>
      </w:pPr>
      <w:r w:rsidRPr="003B7A14">
        <w:rPr>
          <w:rFonts w:ascii="Arial" w:hAnsi="Arial" w:cs="Arial"/>
          <w:sz w:val="20"/>
          <w:szCs w:val="20"/>
        </w:rPr>
        <w:t xml:space="preserve">An incubation study was carried out in </w:t>
      </w:r>
      <w:r w:rsidR="00F34EB8" w:rsidRPr="003B7A14">
        <w:rPr>
          <w:rFonts w:ascii="Arial" w:hAnsi="Arial" w:cs="Arial"/>
          <w:sz w:val="20"/>
          <w:szCs w:val="20"/>
        </w:rPr>
        <w:t>the laboratories of the Department of Soil Science and Agricultural Chemistry, Visva-Bharati (WB),</w:t>
      </w:r>
      <w:r w:rsidRPr="003B7A14">
        <w:rPr>
          <w:rFonts w:ascii="Arial" w:hAnsi="Arial" w:cs="Arial"/>
          <w:sz w:val="20"/>
          <w:szCs w:val="20"/>
        </w:rPr>
        <w:t xml:space="preserve"> to study the transformation of native soil zinc fractions under aerobic and anaerobic conditions. Four surface soil samples of different available zinc content </w:t>
      </w:r>
      <w:bookmarkStart w:id="0" w:name="_Hlk200693195"/>
      <w:r w:rsidRPr="003B7A14">
        <w:rPr>
          <w:rFonts w:ascii="Arial" w:hAnsi="Arial" w:cs="Arial"/>
          <w:sz w:val="20"/>
          <w:szCs w:val="20"/>
        </w:rPr>
        <w:t>(0.408, 0.63, 1.016, 4.194 mg kg</w:t>
      </w:r>
      <w:r w:rsidRPr="003B7A14">
        <w:rPr>
          <w:rFonts w:ascii="Arial" w:hAnsi="Arial" w:cs="Arial"/>
          <w:sz w:val="20"/>
          <w:szCs w:val="20"/>
          <w:vertAlign w:val="superscript"/>
        </w:rPr>
        <w:t>-1</w:t>
      </w:r>
      <w:r w:rsidRPr="003B7A14">
        <w:rPr>
          <w:rFonts w:ascii="Arial" w:hAnsi="Arial" w:cs="Arial"/>
          <w:sz w:val="20"/>
          <w:szCs w:val="20"/>
        </w:rPr>
        <w:t xml:space="preserve">) </w:t>
      </w:r>
      <w:bookmarkEnd w:id="0"/>
      <w:r w:rsidRPr="003B7A14">
        <w:rPr>
          <w:rFonts w:ascii="Arial" w:hAnsi="Arial" w:cs="Arial"/>
          <w:sz w:val="20"/>
          <w:szCs w:val="20"/>
        </w:rPr>
        <w:t xml:space="preserve">were taken for this experiment. Soil samples were collected from </w:t>
      </w:r>
      <w:r w:rsidR="00F34EB8" w:rsidRPr="003B7A14">
        <w:rPr>
          <w:rFonts w:ascii="Arial" w:hAnsi="Arial" w:cs="Arial"/>
          <w:sz w:val="20"/>
          <w:szCs w:val="20"/>
        </w:rPr>
        <w:t>farmers’ fields in rice-growing</w:t>
      </w:r>
      <w:r w:rsidRPr="003B7A14">
        <w:rPr>
          <w:rFonts w:ascii="Arial" w:hAnsi="Arial" w:cs="Arial"/>
          <w:sz w:val="20"/>
          <w:szCs w:val="20"/>
        </w:rPr>
        <w:t xml:space="preserve"> areas of </w:t>
      </w:r>
      <w:proofErr w:type="spellStart"/>
      <w:r w:rsidRPr="003B7A14">
        <w:rPr>
          <w:rFonts w:ascii="Arial" w:hAnsi="Arial" w:cs="Arial"/>
          <w:sz w:val="20"/>
          <w:szCs w:val="20"/>
        </w:rPr>
        <w:t>Kandhamal</w:t>
      </w:r>
      <w:proofErr w:type="spellEnd"/>
      <w:r w:rsidRPr="003B7A14">
        <w:rPr>
          <w:rFonts w:ascii="Arial" w:hAnsi="Arial" w:cs="Arial"/>
          <w:sz w:val="20"/>
          <w:szCs w:val="20"/>
        </w:rPr>
        <w:t xml:space="preserve"> district of Odisha and analyzed for initial physicochemical properties. </w:t>
      </w:r>
      <w:r w:rsidR="0014278F" w:rsidRPr="003B7A14">
        <w:rPr>
          <w:rFonts w:ascii="Arial" w:hAnsi="Arial" w:cs="Arial"/>
          <w:sz w:val="20"/>
          <w:szCs w:val="20"/>
        </w:rPr>
        <w:t>A five-gram</w:t>
      </w:r>
      <w:r w:rsidRPr="003B7A14">
        <w:rPr>
          <w:rFonts w:ascii="Arial" w:hAnsi="Arial" w:cs="Arial"/>
          <w:sz w:val="20"/>
          <w:szCs w:val="20"/>
        </w:rPr>
        <w:t xml:space="preserve"> portion of each soil sample was incubated in a 50 ml centrifuge tube at room temperature for a period of 0, 15, 30, 45, 60, 75</w:t>
      </w:r>
      <w:r w:rsidR="00F34EB8" w:rsidRPr="003B7A14">
        <w:rPr>
          <w:rFonts w:ascii="Arial" w:hAnsi="Arial" w:cs="Arial"/>
          <w:sz w:val="20"/>
          <w:szCs w:val="20"/>
        </w:rPr>
        <w:t xml:space="preserve">, and </w:t>
      </w:r>
      <w:r w:rsidRPr="003B7A14">
        <w:rPr>
          <w:rFonts w:ascii="Arial" w:hAnsi="Arial" w:cs="Arial"/>
          <w:sz w:val="20"/>
          <w:szCs w:val="20"/>
        </w:rPr>
        <w:t>90 days under both aerobic and anaerobic conditions.</w:t>
      </w:r>
      <w:r w:rsidRPr="003B7A14">
        <w:rPr>
          <w:rFonts w:ascii="Arial" w:hAnsi="Arial" w:cs="Arial"/>
          <w:iCs/>
          <w:sz w:val="20"/>
          <w:szCs w:val="20"/>
        </w:rPr>
        <w:t xml:space="preserve"> Destructive sampling was done</w:t>
      </w:r>
      <w:r w:rsidR="00F34EB8" w:rsidRPr="003B7A14">
        <w:rPr>
          <w:rFonts w:ascii="Arial" w:hAnsi="Arial" w:cs="Arial"/>
          <w:iCs/>
          <w:sz w:val="20"/>
          <w:szCs w:val="20"/>
        </w:rPr>
        <w:t>,</w:t>
      </w:r>
      <w:r w:rsidRPr="003B7A14">
        <w:rPr>
          <w:rFonts w:ascii="Arial" w:hAnsi="Arial" w:cs="Arial"/>
          <w:iCs/>
          <w:sz w:val="20"/>
          <w:szCs w:val="20"/>
        </w:rPr>
        <w:t xml:space="preserve"> and different zinc fractions were determined after every interval. Both aeration </w:t>
      </w:r>
      <w:r w:rsidR="00F34EB8" w:rsidRPr="003B7A14">
        <w:rPr>
          <w:rFonts w:ascii="Arial" w:hAnsi="Arial" w:cs="Arial"/>
          <w:iCs/>
          <w:sz w:val="20"/>
          <w:szCs w:val="20"/>
        </w:rPr>
        <w:t>conditions</w:t>
      </w:r>
      <w:r w:rsidRPr="003B7A14">
        <w:rPr>
          <w:rFonts w:ascii="Arial" w:hAnsi="Arial" w:cs="Arial"/>
          <w:iCs/>
          <w:sz w:val="20"/>
          <w:szCs w:val="20"/>
        </w:rPr>
        <w:t xml:space="preserve"> and incubation period largely influenced the transformation of native zinc fractions in soil. Irrespective of </w:t>
      </w:r>
      <w:r w:rsidR="00F34EB8" w:rsidRPr="003B7A14">
        <w:rPr>
          <w:rFonts w:ascii="Arial" w:hAnsi="Arial" w:cs="Arial"/>
          <w:iCs/>
          <w:sz w:val="20"/>
          <w:szCs w:val="20"/>
        </w:rPr>
        <w:t xml:space="preserve">the incubation period, the anaerobic condition of the soil helped to lower the content of WSEX-ZN, CRYOX-Zn, OC-Zn, </w:t>
      </w:r>
      <w:proofErr w:type="spellStart"/>
      <w:r w:rsidR="00F34EB8" w:rsidRPr="003B7A14">
        <w:rPr>
          <w:rFonts w:ascii="Arial" w:hAnsi="Arial" w:cs="Arial"/>
          <w:iCs/>
          <w:sz w:val="20"/>
          <w:szCs w:val="20"/>
        </w:rPr>
        <w:t>MnOx</w:t>
      </w:r>
      <w:proofErr w:type="spellEnd"/>
      <w:r w:rsidR="00F34EB8" w:rsidRPr="003B7A14">
        <w:rPr>
          <w:rFonts w:ascii="Arial" w:hAnsi="Arial" w:cs="Arial"/>
          <w:iCs/>
          <w:sz w:val="20"/>
          <w:szCs w:val="20"/>
        </w:rPr>
        <w:t>-Zn, and to increase the content of AMOX-Zn and</w:t>
      </w:r>
      <w:r w:rsidRPr="003B7A14">
        <w:rPr>
          <w:rFonts w:ascii="Arial" w:hAnsi="Arial" w:cs="Arial"/>
          <w:iCs/>
          <w:sz w:val="20"/>
          <w:szCs w:val="20"/>
        </w:rPr>
        <w:t xml:space="preserve"> RES-Zn fractions. </w:t>
      </w:r>
      <w:r w:rsidRPr="003B7A14">
        <w:rPr>
          <w:rFonts w:ascii="Arial" w:eastAsiaTheme="minorHAnsi" w:hAnsi="Arial" w:cs="Arial"/>
          <w:sz w:val="20"/>
          <w:szCs w:val="20"/>
        </w:rPr>
        <w:t xml:space="preserve">Under anaerobic </w:t>
      </w:r>
      <w:r w:rsidR="00F34EB8" w:rsidRPr="003B7A14">
        <w:rPr>
          <w:rFonts w:ascii="Arial" w:eastAsiaTheme="minorHAnsi" w:hAnsi="Arial" w:cs="Arial"/>
          <w:sz w:val="20"/>
          <w:szCs w:val="20"/>
        </w:rPr>
        <w:t xml:space="preserve">conditions, with an incubation period, a gradual decrease in WSEX-Zn and CRYOX-Zn fractions and an increase in AMOX-Zn and RES-Zn fractions were observed, whereas the OC-Zn and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 xml:space="preserve">-Zn fractions were decreased after showing an increase during the </w:t>
      </w:r>
      <w:r w:rsidRPr="003B7A14">
        <w:rPr>
          <w:rFonts w:ascii="Arial" w:eastAsiaTheme="minorHAnsi" w:hAnsi="Arial" w:cs="Arial"/>
          <w:sz w:val="20"/>
          <w:szCs w:val="20"/>
        </w:rPr>
        <w:t xml:space="preserve">initial period of incubation. Under aerobic </w:t>
      </w:r>
      <w:r w:rsidR="00F34EB8" w:rsidRPr="003B7A14">
        <w:rPr>
          <w:rFonts w:ascii="Arial" w:eastAsiaTheme="minorHAnsi" w:hAnsi="Arial" w:cs="Arial"/>
          <w:sz w:val="20"/>
          <w:szCs w:val="20"/>
        </w:rPr>
        <w:t xml:space="preserve">conditions, WSEX-Zn, OC-Zn, CRYOX-Zn content decreased, and AMOX-Zn content increased; however, the RES-Zn and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 xml:space="preserve">-Zn showed no remarkable changes with the </w:t>
      </w:r>
      <w:r w:rsidRPr="003B7A14">
        <w:rPr>
          <w:rFonts w:ascii="Arial" w:eastAsiaTheme="minorHAnsi" w:hAnsi="Arial" w:cs="Arial"/>
          <w:sz w:val="20"/>
          <w:szCs w:val="20"/>
        </w:rPr>
        <w:t xml:space="preserve">incubation period. The transformation was more </w:t>
      </w:r>
      <w:r w:rsidR="00F34EB8" w:rsidRPr="003B7A14">
        <w:rPr>
          <w:rFonts w:ascii="Arial" w:eastAsiaTheme="minorHAnsi" w:hAnsi="Arial" w:cs="Arial"/>
          <w:sz w:val="20"/>
          <w:szCs w:val="20"/>
        </w:rPr>
        <w:t>remarkable under anaerobic conditions than under aerobic conditions</w:t>
      </w:r>
      <w:r w:rsidRPr="003B7A14">
        <w:rPr>
          <w:rFonts w:ascii="Arial" w:eastAsiaTheme="minorHAnsi" w:hAnsi="Arial" w:cs="Arial"/>
          <w:sz w:val="20"/>
          <w:szCs w:val="20"/>
        </w:rPr>
        <w:t>. Thus</w:t>
      </w:r>
      <w:r w:rsidR="00F34EB8" w:rsidRPr="003B7A14">
        <w:rPr>
          <w:rFonts w:ascii="Arial" w:eastAsiaTheme="minorHAnsi" w:hAnsi="Arial" w:cs="Arial"/>
          <w:sz w:val="20"/>
          <w:szCs w:val="20"/>
        </w:rPr>
        <w:t xml:space="preserve">, anaerobic conditions over the 90-day incubation study helped to decrease the content of WSEX-Zn, OC-Zn, CRYOX-Zn,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-Zn, and to increase the content of AMOX-Zn and RES-Zn</w:t>
      </w:r>
      <w:r w:rsidRPr="003B7A14">
        <w:rPr>
          <w:rFonts w:ascii="Arial" w:eastAsiaTheme="minorHAnsi" w:hAnsi="Arial" w:cs="Arial"/>
          <w:sz w:val="20"/>
          <w:szCs w:val="20"/>
        </w:rPr>
        <w:t xml:space="preserve">.  Among the entire zinc fractions studied, both the content and percent contribution of RES-Zn fraction to the total zinc </w:t>
      </w:r>
      <w:r w:rsidR="00F34EB8" w:rsidRPr="003B7A14">
        <w:rPr>
          <w:rFonts w:ascii="Arial" w:eastAsiaTheme="minorHAnsi" w:hAnsi="Arial" w:cs="Arial"/>
          <w:sz w:val="20"/>
          <w:szCs w:val="20"/>
        </w:rPr>
        <w:t xml:space="preserve">remained highest throughout the incubation study, whereas WSEX-Zn content </w:t>
      </w:r>
      <w:r w:rsidRPr="003B7A14">
        <w:rPr>
          <w:rFonts w:ascii="Arial" w:eastAsiaTheme="minorHAnsi" w:hAnsi="Arial" w:cs="Arial"/>
          <w:sz w:val="20"/>
          <w:szCs w:val="20"/>
        </w:rPr>
        <w:t>remained lowest. Change in relative preponderance order of different native zinc fractions was also observed after 90 days of incubation</w:t>
      </w:r>
      <w:r w:rsidR="00F34EB8" w:rsidRPr="003B7A14">
        <w:rPr>
          <w:rFonts w:ascii="Arial" w:eastAsiaTheme="minorHAnsi" w:hAnsi="Arial" w:cs="Arial"/>
          <w:sz w:val="20"/>
          <w:szCs w:val="20"/>
        </w:rPr>
        <w:t>, both under aerobic and anaerobic conditions; however, it is more prominent in the case of the latter</w:t>
      </w:r>
      <w:r w:rsidRPr="003B7A14">
        <w:rPr>
          <w:rFonts w:ascii="Arial" w:eastAsiaTheme="minorHAnsi" w:hAnsi="Arial" w:cs="Arial"/>
          <w:sz w:val="20"/>
          <w:szCs w:val="20"/>
        </w:rPr>
        <w:t xml:space="preserve">. </w:t>
      </w:r>
    </w:p>
    <w:p w14:paraId="627BD646" w14:textId="5C91B2B4" w:rsidR="00F34EB8" w:rsidRDefault="00F34EB8" w:rsidP="00F34EB8">
      <w:pPr>
        <w:widowControl/>
        <w:adjustRightInd w:val="0"/>
        <w:spacing w:before="240" w:after="240" w:line="360" w:lineRule="auto"/>
        <w:jc w:val="both"/>
        <w:rPr>
          <w:rFonts w:ascii="Arial" w:hAnsi="Arial" w:cs="Arial"/>
          <w:sz w:val="20"/>
          <w:szCs w:val="20"/>
        </w:rPr>
      </w:pPr>
      <w:r w:rsidRPr="009C2130">
        <w:rPr>
          <w:rFonts w:ascii="Arial" w:hAnsi="Arial" w:cs="Arial"/>
          <w:b/>
          <w:bCs/>
          <w:sz w:val="20"/>
          <w:szCs w:val="20"/>
        </w:rPr>
        <w:t>Keywords:</w:t>
      </w:r>
      <w:r w:rsidR="00D67E5B" w:rsidRPr="00D67E5B">
        <w:rPr>
          <w:rFonts w:ascii="Arial" w:hAnsi="Arial" w:cs="Arial"/>
          <w:sz w:val="20"/>
          <w:szCs w:val="20"/>
        </w:rPr>
        <w:t xml:space="preserve"> Zinc, Fractions, Anaerobic, Aerobic</w:t>
      </w:r>
    </w:p>
    <w:p w14:paraId="652A4FDF" w14:textId="77777777" w:rsidR="0007799C" w:rsidRDefault="0007799C" w:rsidP="00F34EB8">
      <w:pPr>
        <w:widowControl/>
        <w:adjustRightInd w:val="0"/>
        <w:spacing w:before="240" w:after="240" w:line="360" w:lineRule="auto"/>
        <w:jc w:val="both"/>
        <w:rPr>
          <w:rFonts w:ascii="Arial" w:hAnsi="Arial" w:cs="Arial"/>
          <w:sz w:val="20"/>
          <w:szCs w:val="20"/>
        </w:rPr>
      </w:pPr>
    </w:p>
    <w:p w14:paraId="76376580" w14:textId="77777777" w:rsidR="0007799C" w:rsidRPr="00D67E5B" w:rsidRDefault="0007799C" w:rsidP="00F34EB8">
      <w:pPr>
        <w:widowControl/>
        <w:adjustRightInd w:val="0"/>
        <w:spacing w:before="240" w:after="240" w:line="360" w:lineRule="auto"/>
        <w:jc w:val="both"/>
        <w:rPr>
          <w:rFonts w:ascii="Arial" w:eastAsiaTheme="minorHAnsi" w:hAnsi="Arial" w:cs="Arial"/>
          <w:sz w:val="20"/>
          <w:szCs w:val="20"/>
        </w:rPr>
      </w:pPr>
    </w:p>
    <w:p w14:paraId="09B7F801" w14:textId="4FF51050" w:rsidR="007833B6" w:rsidRPr="00D67E5B" w:rsidRDefault="00D67E5B" w:rsidP="00D67E5B">
      <w:pPr>
        <w:widowControl/>
        <w:adjustRightInd w:val="0"/>
        <w:spacing w:after="240" w:line="360" w:lineRule="auto"/>
        <w:jc w:val="both"/>
        <w:rPr>
          <w:rFonts w:ascii="Arial" w:eastAsiaTheme="minorHAnsi" w:hAnsi="Arial" w:cs="Arial"/>
          <w:b/>
          <w:bCs/>
        </w:rPr>
      </w:pPr>
      <w:r>
        <w:rPr>
          <w:rFonts w:ascii="Arial" w:eastAsiaTheme="minorHAnsi" w:hAnsi="Arial" w:cs="Arial"/>
          <w:b/>
          <w:bCs/>
        </w:rPr>
        <w:lastRenderedPageBreak/>
        <w:t xml:space="preserve">1. </w:t>
      </w:r>
      <w:r w:rsidRPr="00D67E5B">
        <w:rPr>
          <w:rFonts w:ascii="Arial" w:eastAsiaTheme="minorHAnsi" w:hAnsi="Arial" w:cs="Arial"/>
          <w:b/>
          <w:bCs/>
        </w:rPr>
        <w:t>INTRODUCTION</w:t>
      </w:r>
    </w:p>
    <w:p w14:paraId="62CD505F" w14:textId="3ACBECDA" w:rsidR="00826061" w:rsidRPr="00D67E5B" w:rsidRDefault="00FC5A6B" w:rsidP="00826061">
      <w:pPr>
        <w:widowControl/>
        <w:adjustRightInd w:val="0"/>
        <w:spacing w:after="240" w:line="360" w:lineRule="auto"/>
        <w:ind w:firstLine="567"/>
        <w:jc w:val="both"/>
        <w:rPr>
          <w:rFonts w:ascii="Arial" w:eastAsia="CIDFont+F6" w:hAnsi="Arial" w:cs="Arial"/>
          <w:sz w:val="20"/>
          <w:szCs w:val="20"/>
        </w:rPr>
      </w:pPr>
      <w:r w:rsidRPr="00D67E5B">
        <w:rPr>
          <w:rFonts w:ascii="Arial" w:eastAsiaTheme="minorHAnsi" w:hAnsi="Arial" w:cs="Arial"/>
          <w:sz w:val="20"/>
          <w:szCs w:val="20"/>
        </w:rPr>
        <w:t>I</w:t>
      </w:r>
      <w:r w:rsidR="00826061" w:rsidRPr="00D67E5B">
        <w:rPr>
          <w:rFonts w:ascii="Arial" w:eastAsiaTheme="minorHAnsi" w:hAnsi="Arial" w:cs="Arial"/>
          <w:sz w:val="20"/>
          <w:szCs w:val="20"/>
        </w:rPr>
        <w:t xml:space="preserve">t was estimated that about 30% of the agricultural soils may be zinc deficient to the extent that normal growth and development of </w:t>
      </w:r>
      <w:r w:rsidRPr="00D67E5B">
        <w:rPr>
          <w:rFonts w:ascii="Arial" w:eastAsiaTheme="minorHAnsi" w:hAnsi="Arial" w:cs="Arial"/>
          <w:sz w:val="20"/>
          <w:szCs w:val="20"/>
        </w:rPr>
        <w:t xml:space="preserve">a </w:t>
      </w:r>
      <w:r w:rsidR="00826061" w:rsidRPr="00D67E5B">
        <w:rPr>
          <w:rFonts w:ascii="Arial" w:eastAsiaTheme="minorHAnsi" w:hAnsi="Arial" w:cs="Arial"/>
          <w:sz w:val="20"/>
          <w:szCs w:val="20"/>
        </w:rPr>
        <w:t>wide range of agriculturally important crops are affected</w:t>
      </w:r>
      <w:r w:rsidRPr="00D67E5B">
        <w:rPr>
          <w:rFonts w:ascii="Arial" w:eastAsiaTheme="minorHAnsi" w:hAnsi="Arial" w:cs="Arial"/>
          <w:sz w:val="20"/>
          <w:szCs w:val="20"/>
        </w:rPr>
        <w:t xml:space="preserve"> worldwide</w:t>
      </w:r>
      <w:r w:rsidR="00826061" w:rsidRPr="00D67E5B">
        <w:rPr>
          <w:rFonts w:ascii="Arial" w:eastAsiaTheme="minorHAnsi" w:hAnsi="Arial" w:cs="Arial"/>
          <w:sz w:val="20"/>
          <w:szCs w:val="20"/>
        </w:rPr>
        <w:t xml:space="preserve"> (</w:t>
      </w:r>
      <w:r w:rsidR="004926B0">
        <w:rPr>
          <w:rFonts w:ascii="Arial" w:eastAsiaTheme="minorHAnsi" w:hAnsi="Arial" w:cs="Arial"/>
          <w:sz w:val="20"/>
          <w:szCs w:val="20"/>
        </w:rPr>
        <w:t xml:space="preserve">Shukla </w:t>
      </w:r>
      <w:bookmarkStart w:id="1" w:name="_Hlk201260438"/>
      <w:r w:rsidR="004926B0" w:rsidRPr="00464FF3">
        <w:rPr>
          <w:rFonts w:ascii="Arial" w:eastAsiaTheme="minorHAnsi" w:hAnsi="Arial" w:cs="Arial"/>
          <w:i/>
          <w:iCs/>
          <w:sz w:val="20"/>
          <w:szCs w:val="20"/>
        </w:rPr>
        <w:t>et al</w:t>
      </w:r>
      <w:r w:rsidR="004926B0">
        <w:rPr>
          <w:rFonts w:ascii="Arial" w:eastAsiaTheme="minorHAnsi" w:hAnsi="Arial" w:cs="Arial"/>
          <w:sz w:val="20"/>
          <w:szCs w:val="20"/>
        </w:rPr>
        <w:t xml:space="preserve">., </w:t>
      </w:r>
      <w:bookmarkEnd w:id="1"/>
      <w:r w:rsidR="004926B0">
        <w:rPr>
          <w:rFonts w:ascii="Arial" w:eastAsiaTheme="minorHAnsi" w:hAnsi="Arial" w:cs="Arial"/>
          <w:sz w:val="20"/>
          <w:szCs w:val="20"/>
        </w:rPr>
        <w:t>2021</w:t>
      </w:r>
      <w:r w:rsidR="00826061" w:rsidRPr="00D67E5B">
        <w:rPr>
          <w:rFonts w:ascii="Arial" w:eastAsiaTheme="minorHAnsi" w:hAnsi="Arial" w:cs="Arial"/>
          <w:sz w:val="20"/>
          <w:szCs w:val="20"/>
        </w:rPr>
        <w:t xml:space="preserve">). Work done by </w:t>
      </w:r>
      <w:r w:rsidR="00783DF6" w:rsidRPr="00D67E5B">
        <w:rPr>
          <w:rFonts w:ascii="Arial" w:eastAsiaTheme="minorHAnsi" w:hAnsi="Arial" w:cs="Arial"/>
          <w:sz w:val="20"/>
          <w:szCs w:val="20"/>
        </w:rPr>
        <w:t>the All India Coordinated Scheme on micronutrients in soils and plants has shown that 47 per cent of Indian soils are deficient in zinc (</w:t>
      </w:r>
      <w:bookmarkStart w:id="2" w:name="_Hlk201256423"/>
      <w:proofErr w:type="spellStart"/>
      <w:r w:rsidR="004926B0" w:rsidRPr="004926B0">
        <w:rPr>
          <w:rFonts w:ascii="Arial" w:eastAsiaTheme="minorHAnsi" w:hAnsi="Arial" w:cs="Arial"/>
          <w:sz w:val="20"/>
          <w:szCs w:val="20"/>
        </w:rPr>
        <w:t>Mahadevakumar</w:t>
      </w:r>
      <w:proofErr w:type="spellEnd"/>
      <w:r w:rsidR="00464FF3" w:rsidRPr="00464FF3">
        <w:t xml:space="preserve"> </w:t>
      </w:r>
      <w:r w:rsidR="00464FF3" w:rsidRPr="00464FF3">
        <w:rPr>
          <w:rFonts w:ascii="Arial" w:eastAsiaTheme="minorHAnsi" w:hAnsi="Arial" w:cs="Arial"/>
          <w:i/>
          <w:iCs/>
          <w:sz w:val="20"/>
          <w:szCs w:val="20"/>
        </w:rPr>
        <w:t>et al</w:t>
      </w:r>
      <w:r w:rsidR="00464FF3" w:rsidRPr="00464FF3">
        <w:rPr>
          <w:rFonts w:ascii="Arial" w:eastAsiaTheme="minorHAnsi" w:hAnsi="Arial" w:cs="Arial"/>
          <w:sz w:val="20"/>
          <w:szCs w:val="20"/>
        </w:rPr>
        <w:t>.</w:t>
      </w:r>
      <w:bookmarkEnd w:id="2"/>
      <w:r w:rsidR="00BD39C6" w:rsidRPr="00464FF3">
        <w:rPr>
          <w:rFonts w:ascii="Arial" w:eastAsiaTheme="minorHAnsi" w:hAnsi="Arial" w:cs="Arial"/>
          <w:sz w:val="20"/>
          <w:szCs w:val="20"/>
        </w:rPr>
        <w:t xml:space="preserve">, </w:t>
      </w:r>
      <w:r w:rsidR="00BD39C6" w:rsidRPr="004926B0">
        <w:rPr>
          <w:rFonts w:ascii="Arial" w:eastAsiaTheme="minorHAnsi" w:hAnsi="Arial" w:cs="Arial"/>
          <w:sz w:val="20"/>
          <w:szCs w:val="20"/>
        </w:rPr>
        <w:t>2020</w:t>
      </w:r>
      <w:r w:rsidR="00783DF6" w:rsidRPr="00D67E5B">
        <w:rPr>
          <w:rFonts w:ascii="Arial" w:eastAsiaTheme="minorHAnsi" w:hAnsi="Arial" w:cs="Arial"/>
          <w:sz w:val="20"/>
          <w:szCs w:val="20"/>
        </w:rPr>
        <w:t xml:space="preserve">), while </w:t>
      </w:r>
      <w:proofErr w:type="spellStart"/>
      <w:r w:rsidR="00783DF6" w:rsidRPr="00D67E5B">
        <w:rPr>
          <w:rFonts w:ascii="Arial" w:eastAsiaTheme="minorHAnsi" w:hAnsi="Arial" w:cs="Arial"/>
          <w:sz w:val="20"/>
          <w:szCs w:val="20"/>
        </w:rPr>
        <w:t>Takkar</w:t>
      </w:r>
      <w:proofErr w:type="spellEnd"/>
      <w:r w:rsidR="00783DF6" w:rsidRPr="00D67E5B">
        <w:rPr>
          <w:rFonts w:ascii="Arial" w:eastAsiaTheme="minorHAnsi" w:hAnsi="Arial" w:cs="Arial"/>
          <w:sz w:val="20"/>
          <w:szCs w:val="20"/>
        </w:rPr>
        <w:t xml:space="preserve"> (1996) indicated that among all the micronutrients, zinc deficiency is widespread</w:t>
      </w:r>
      <w:r w:rsidR="00826061" w:rsidRPr="00D67E5B">
        <w:rPr>
          <w:rFonts w:ascii="Arial" w:eastAsiaTheme="minorHAnsi" w:hAnsi="Arial" w:cs="Arial"/>
          <w:sz w:val="20"/>
          <w:szCs w:val="20"/>
        </w:rPr>
        <w:t xml:space="preserve"> in Indian soil. </w:t>
      </w:r>
      <w:r w:rsidR="00180810">
        <w:rPr>
          <w:rFonts w:ascii="Arial" w:eastAsiaTheme="minorHAnsi" w:hAnsi="Arial" w:cs="Arial"/>
          <w:sz w:val="20"/>
          <w:szCs w:val="20"/>
        </w:rPr>
        <w:t>The problem is aggravated under anaerobic condition due to abiotic stress</w:t>
      </w:r>
      <w:r w:rsidR="00180810" w:rsidRPr="00180810">
        <w:t xml:space="preserve"> </w:t>
      </w:r>
      <w:r w:rsidR="00180810">
        <w:t>(</w:t>
      </w:r>
      <w:proofErr w:type="spellStart"/>
      <w:r w:rsidR="00180810" w:rsidRPr="00180810">
        <w:rPr>
          <w:rFonts w:ascii="Arial" w:eastAsiaTheme="minorHAnsi" w:hAnsi="Arial" w:cs="Arial"/>
          <w:sz w:val="20"/>
          <w:szCs w:val="20"/>
        </w:rPr>
        <w:t>Hacisalihoglu</w:t>
      </w:r>
      <w:proofErr w:type="spellEnd"/>
      <w:r w:rsidR="00180810">
        <w:rPr>
          <w:rFonts w:ascii="Arial" w:eastAsiaTheme="minorHAnsi" w:hAnsi="Arial" w:cs="Arial"/>
          <w:sz w:val="20"/>
          <w:szCs w:val="20"/>
        </w:rPr>
        <w:t xml:space="preserve"> </w:t>
      </w:r>
      <w:r w:rsidR="00180810" w:rsidRPr="00180810">
        <w:rPr>
          <w:rFonts w:ascii="Arial" w:eastAsiaTheme="minorHAnsi" w:hAnsi="Arial" w:cs="Arial"/>
          <w:i/>
          <w:iCs/>
          <w:sz w:val="20"/>
          <w:szCs w:val="20"/>
        </w:rPr>
        <w:t>et al</w:t>
      </w:r>
      <w:r w:rsidR="00180810">
        <w:rPr>
          <w:rFonts w:ascii="Arial" w:eastAsiaTheme="minorHAnsi" w:hAnsi="Arial" w:cs="Arial"/>
          <w:sz w:val="20"/>
          <w:szCs w:val="20"/>
        </w:rPr>
        <w:t xml:space="preserve">., 2003) in which rice is mostly grown in India. </w:t>
      </w:r>
      <w:r w:rsidR="00826061" w:rsidRPr="00D67E5B">
        <w:rPr>
          <w:rFonts w:ascii="Arial" w:eastAsiaTheme="minorHAnsi" w:hAnsi="Arial" w:cs="Arial"/>
          <w:sz w:val="20"/>
          <w:szCs w:val="20"/>
        </w:rPr>
        <w:t xml:space="preserve">Jena </w:t>
      </w:r>
      <w:r w:rsidR="00826061" w:rsidRPr="00D67E5B">
        <w:rPr>
          <w:rFonts w:ascii="Arial" w:eastAsiaTheme="minorHAnsi" w:hAnsi="Arial" w:cs="Arial"/>
          <w:i/>
          <w:sz w:val="20"/>
          <w:szCs w:val="20"/>
        </w:rPr>
        <w:t>et al</w:t>
      </w:r>
      <w:r w:rsidR="00826061" w:rsidRPr="00D67E5B">
        <w:rPr>
          <w:rFonts w:ascii="Arial" w:eastAsiaTheme="minorHAnsi" w:hAnsi="Arial" w:cs="Arial"/>
          <w:sz w:val="20"/>
          <w:szCs w:val="20"/>
        </w:rPr>
        <w:t xml:space="preserve">. (2016) reported that 33.45 % of the soil of </w:t>
      </w:r>
      <w:proofErr w:type="spellStart"/>
      <w:r w:rsidR="00826061" w:rsidRPr="00D67E5B">
        <w:rPr>
          <w:rFonts w:ascii="Arial" w:eastAsiaTheme="minorHAnsi" w:hAnsi="Arial" w:cs="Arial"/>
          <w:sz w:val="20"/>
          <w:szCs w:val="20"/>
        </w:rPr>
        <w:t>Kandhamal</w:t>
      </w:r>
      <w:proofErr w:type="spellEnd"/>
      <w:r w:rsidR="00826061" w:rsidRPr="00D67E5B">
        <w:rPr>
          <w:rFonts w:ascii="Arial" w:eastAsiaTheme="minorHAnsi" w:hAnsi="Arial" w:cs="Arial"/>
          <w:sz w:val="20"/>
          <w:szCs w:val="20"/>
        </w:rPr>
        <w:t xml:space="preserve"> district (Odisha) is deficient in zinc.</w:t>
      </w:r>
      <w:r w:rsidR="001932CE" w:rsidRPr="00D67E5B">
        <w:rPr>
          <w:rFonts w:ascii="Arial" w:eastAsiaTheme="minorHAnsi" w:hAnsi="Arial" w:cs="Arial"/>
          <w:sz w:val="20"/>
          <w:szCs w:val="20"/>
        </w:rPr>
        <w:t xml:space="preserve"> </w:t>
      </w:r>
      <w:r w:rsidR="00826061" w:rsidRPr="00D67E5B">
        <w:rPr>
          <w:rFonts w:ascii="Arial" w:hAnsi="Arial" w:cs="Arial"/>
          <w:sz w:val="20"/>
          <w:szCs w:val="20"/>
        </w:rPr>
        <w:t xml:space="preserve">In soil the total zinc fraction exists in different chemical pools, </w:t>
      </w:r>
      <w:r w:rsidR="00826061" w:rsidRPr="00D67E5B">
        <w:rPr>
          <w:rFonts w:ascii="Arial" w:hAnsi="Arial" w:cs="Arial"/>
          <w:i/>
          <w:sz w:val="20"/>
          <w:szCs w:val="20"/>
        </w:rPr>
        <w:t>viz.</w:t>
      </w:r>
      <w:r w:rsidR="00826061" w:rsidRPr="00D67E5B">
        <w:rPr>
          <w:rFonts w:ascii="Arial" w:hAnsi="Arial" w:cs="Arial"/>
          <w:sz w:val="20"/>
          <w:szCs w:val="20"/>
        </w:rPr>
        <w:t xml:space="preserve"> water soluble, easily exchangeable, adsorbed, chelated, or complexed, occluded by or co-precipitated with metal oxides, carbonates or phosphates and other secondary minerals and also held in primary minerals (Viets, 1962). But these discrete chemical forms are differing in their solubility and thus availability to plants</w:t>
      </w:r>
      <w:r w:rsidR="00886B9A">
        <w:rPr>
          <w:rFonts w:ascii="Arial" w:hAnsi="Arial" w:cs="Arial"/>
          <w:sz w:val="20"/>
          <w:szCs w:val="20"/>
        </w:rPr>
        <w:t>.</w:t>
      </w:r>
      <w:r w:rsidR="00826061" w:rsidRPr="00D67E5B">
        <w:rPr>
          <w:rFonts w:ascii="Arial" w:hAnsi="Arial" w:cs="Arial"/>
          <w:sz w:val="20"/>
          <w:szCs w:val="20"/>
        </w:rPr>
        <w:t xml:space="preserve"> </w:t>
      </w:r>
      <w:r w:rsidR="00886B9A" w:rsidRPr="001B1014">
        <w:rPr>
          <w:rFonts w:ascii="Arial" w:eastAsiaTheme="minorHAnsi" w:hAnsi="Arial" w:cs="Arial"/>
          <w:sz w:val="20"/>
          <w:szCs w:val="20"/>
        </w:rPr>
        <w:t xml:space="preserve">Organic amendments increase </w:t>
      </w:r>
      <w:r w:rsidR="00886B9A" w:rsidRPr="001B1014">
        <w:rPr>
          <w:rFonts w:ascii="Arial" w:eastAsiaTheme="minorHAnsi" w:hAnsi="Arial" w:cs="Arial"/>
          <w:sz w:val="20"/>
          <w:szCs w:val="20"/>
        </w:rPr>
        <w:t xml:space="preserve">availability of certain </w:t>
      </w:r>
      <w:r w:rsidR="00886B9A" w:rsidRPr="001B1014">
        <w:rPr>
          <w:rFonts w:ascii="Arial" w:eastAsiaTheme="minorHAnsi" w:hAnsi="Arial" w:cs="Arial"/>
          <w:sz w:val="20"/>
          <w:szCs w:val="20"/>
        </w:rPr>
        <w:t xml:space="preserve">zinc fractions, which can improve the nutrient uptake and </w:t>
      </w:r>
      <w:r w:rsidR="00886B9A" w:rsidRPr="001B1014">
        <w:rPr>
          <w:rFonts w:ascii="Arial" w:eastAsiaTheme="minorHAnsi" w:hAnsi="Arial" w:cs="Arial"/>
          <w:sz w:val="20"/>
          <w:szCs w:val="20"/>
        </w:rPr>
        <w:t xml:space="preserve">finally </w:t>
      </w:r>
      <w:r w:rsidR="00886B9A" w:rsidRPr="001B1014">
        <w:rPr>
          <w:rFonts w:ascii="Arial" w:eastAsiaTheme="minorHAnsi" w:hAnsi="Arial" w:cs="Arial"/>
          <w:sz w:val="20"/>
          <w:szCs w:val="20"/>
        </w:rPr>
        <w:t xml:space="preserve">yield (Raza </w:t>
      </w:r>
      <w:r w:rsidR="00886B9A" w:rsidRPr="001B1014">
        <w:rPr>
          <w:rFonts w:ascii="Arial" w:eastAsiaTheme="minorHAnsi" w:hAnsi="Arial" w:cs="Arial"/>
          <w:i/>
          <w:iCs/>
          <w:sz w:val="20"/>
          <w:szCs w:val="20"/>
        </w:rPr>
        <w:t>et al</w:t>
      </w:r>
      <w:r w:rsidR="00886B9A" w:rsidRPr="001B1014">
        <w:rPr>
          <w:rFonts w:ascii="Arial" w:eastAsiaTheme="minorHAnsi" w:hAnsi="Arial" w:cs="Arial"/>
          <w:sz w:val="20"/>
          <w:szCs w:val="20"/>
        </w:rPr>
        <w:t>., 2025).</w:t>
      </w:r>
      <w:r w:rsidR="00886B9A">
        <w:rPr>
          <w:rFonts w:ascii="Arial" w:eastAsiaTheme="minorHAnsi" w:hAnsi="Arial" w:cs="Arial"/>
          <w:sz w:val="20"/>
          <w:szCs w:val="20"/>
        </w:rPr>
        <w:t xml:space="preserve"> </w:t>
      </w:r>
      <w:r w:rsidR="00886B9A">
        <w:rPr>
          <w:rFonts w:ascii="Arial" w:eastAsiaTheme="minorHAnsi" w:hAnsi="Arial" w:cs="Arial"/>
          <w:sz w:val="20"/>
          <w:szCs w:val="20"/>
        </w:rPr>
        <w:t>This increase in Zn availability is of great importance since only</w:t>
      </w:r>
      <w:r w:rsidR="00826061" w:rsidRPr="00D67E5B">
        <w:rPr>
          <w:rFonts w:ascii="Arial" w:hAnsi="Arial" w:cs="Arial"/>
          <w:sz w:val="20"/>
          <w:szCs w:val="20"/>
        </w:rPr>
        <w:t xml:space="preserve"> 5% or less than 5 % of total Zn present in soil is available to plants at any given time. The form, in which Zn is present in soil, plays a crucial role in determining its availability to plants. Water soluble plus exchangeable and organically complexed forms are considered to be available, amorphous sesquioxide bound form is potentially available and crystalline sesquioxide bound and residual zinc forms are unavailable to plants (Mandal </w:t>
      </w:r>
      <w:r w:rsidR="00826061" w:rsidRPr="00D67E5B">
        <w:rPr>
          <w:rFonts w:ascii="Arial" w:hAnsi="Arial" w:cs="Arial"/>
          <w:i/>
          <w:iCs/>
          <w:sz w:val="20"/>
          <w:szCs w:val="20"/>
        </w:rPr>
        <w:t xml:space="preserve">et al., </w:t>
      </w:r>
      <w:r w:rsidR="00826061" w:rsidRPr="00D67E5B">
        <w:rPr>
          <w:rFonts w:ascii="Arial" w:hAnsi="Arial" w:cs="Arial"/>
          <w:sz w:val="20"/>
          <w:szCs w:val="20"/>
        </w:rPr>
        <w:t>1992).</w:t>
      </w:r>
      <w:r w:rsidR="001932CE" w:rsidRPr="00D67E5B">
        <w:rPr>
          <w:rFonts w:ascii="Arial" w:hAnsi="Arial" w:cs="Arial"/>
          <w:sz w:val="20"/>
          <w:szCs w:val="20"/>
        </w:rPr>
        <w:t xml:space="preserve"> </w:t>
      </w:r>
      <w:r w:rsidR="00826061" w:rsidRPr="00D67E5B">
        <w:rPr>
          <w:rFonts w:ascii="Arial" w:eastAsiaTheme="minorHAnsi" w:hAnsi="Arial" w:cs="Arial"/>
          <w:sz w:val="20"/>
          <w:szCs w:val="20"/>
        </w:rPr>
        <w:t xml:space="preserve">The equilibrium among the different pools is influenced by soil electro chemical properties like pH &amp; </w:t>
      </w:r>
      <w:proofErr w:type="gramStart"/>
      <w:r w:rsidR="00826061" w:rsidRPr="00D67E5B">
        <w:rPr>
          <w:rFonts w:ascii="Arial" w:eastAsiaTheme="minorHAnsi" w:hAnsi="Arial" w:cs="Arial"/>
          <w:sz w:val="20"/>
          <w:szCs w:val="20"/>
        </w:rPr>
        <w:t>Eh</w:t>
      </w:r>
      <w:proofErr w:type="gramEnd"/>
      <w:r w:rsidR="00826061" w:rsidRPr="00D67E5B">
        <w:rPr>
          <w:rFonts w:ascii="Arial" w:eastAsiaTheme="minorHAnsi" w:hAnsi="Arial" w:cs="Arial"/>
          <w:sz w:val="20"/>
          <w:szCs w:val="20"/>
        </w:rPr>
        <w:t>, concentration of zinc and other cations, particularly Fe &amp; Mn (</w:t>
      </w:r>
      <w:bookmarkStart w:id="3" w:name="_Hlk201260889"/>
      <w:r w:rsidR="004926B0">
        <w:rPr>
          <w:rFonts w:ascii="Arial" w:eastAsiaTheme="minorHAnsi" w:hAnsi="Arial" w:cs="Arial"/>
          <w:sz w:val="20"/>
          <w:szCs w:val="20"/>
        </w:rPr>
        <w:t xml:space="preserve">Ramjan </w:t>
      </w:r>
      <w:r w:rsidR="004926B0" w:rsidRPr="004926B0">
        <w:rPr>
          <w:rFonts w:ascii="Arial" w:eastAsiaTheme="minorHAnsi" w:hAnsi="Arial" w:cs="Arial"/>
          <w:i/>
          <w:iCs/>
          <w:sz w:val="20"/>
          <w:szCs w:val="20"/>
        </w:rPr>
        <w:t>et al</w:t>
      </w:r>
      <w:r w:rsidR="004926B0">
        <w:rPr>
          <w:rFonts w:ascii="Arial" w:eastAsiaTheme="minorHAnsi" w:hAnsi="Arial" w:cs="Arial"/>
          <w:sz w:val="20"/>
          <w:szCs w:val="20"/>
        </w:rPr>
        <w:t>., 2014</w:t>
      </w:r>
      <w:bookmarkEnd w:id="3"/>
      <w:r w:rsidR="00826061" w:rsidRPr="00D67E5B">
        <w:rPr>
          <w:rFonts w:ascii="Arial" w:eastAsiaTheme="minorHAnsi" w:hAnsi="Arial" w:cs="Arial"/>
          <w:sz w:val="20"/>
          <w:szCs w:val="20"/>
        </w:rPr>
        <w:t>). The most important effect of submerging a soil in water is to reduce the oxygen supply. As a result, the entrained oxygen is quickly exhausted and the soil becomes almost or fully devoid of oxygen in a few days of submergence. The lack of free oxygen or the prevalence of anaerobic condition causes soil reduction and triggers a series of physical, chemical, and biological processes. Eh along with pH regulate several biochemical reactions in submerged soils that may control the distribution of different fractions of zinc and its availability under flooded condition (</w:t>
      </w:r>
      <w:proofErr w:type="spellStart"/>
      <w:r w:rsidR="00826061" w:rsidRPr="00D67E5B">
        <w:rPr>
          <w:rFonts w:ascii="Arial" w:eastAsiaTheme="minorHAnsi" w:hAnsi="Arial" w:cs="Arial"/>
          <w:sz w:val="20"/>
          <w:szCs w:val="20"/>
        </w:rPr>
        <w:t>Sahrawat</w:t>
      </w:r>
      <w:proofErr w:type="spellEnd"/>
      <w:r w:rsidR="00826061" w:rsidRPr="00D67E5B">
        <w:rPr>
          <w:rFonts w:ascii="Arial" w:eastAsiaTheme="minorHAnsi" w:hAnsi="Arial" w:cs="Arial"/>
          <w:sz w:val="20"/>
          <w:szCs w:val="20"/>
        </w:rPr>
        <w:t>, 2015). It is known that much of the Zn remain in soils bound by oxides of iron. On submergence, these oxides undergo reduction due to anaerobiosis to the lower valent forms which are more soluble. The bound Zn is therefore released and may become available.</w:t>
      </w:r>
      <w:r w:rsidR="001932CE" w:rsidRPr="00D67E5B">
        <w:rPr>
          <w:rFonts w:ascii="Arial" w:eastAsiaTheme="minorHAnsi" w:hAnsi="Arial" w:cs="Arial"/>
          <w:sz w:val="20"/>
          <w:szCs w:val="20"/>
        </w:rPr>
        <w:t xml:space="preserve"> </w:t>
      </w:r>
      <w:r w:rsidR="00886B9A">
        <w:rPr>
          <w:rFonts w:ascii="Arial" w:eastAsiaTheme="minorHAnsi" w:hAnsi="Arial" w:cs="Arial"/>
          <w:sz w:val="20"/>
          <w:szCs w:val="20"/>
        </w:rPr>
        <w:t xml:space="preserve">Earlier it was observed that </w:t>
      </w:r>
      <w:r w:rsidR="00886B9A" w:rsidRPr="00886B9A">
        <w:rPr>
          <w:rFonts w:ascii="Arial" w:eastAsiaTheme="minorHAnsi" w:hAnsi="Arial" w:cs="Arial"/>
          <w:sz w:val="20"/>
          <w:szCs w:val="20"/>
        </w:rPr>
        <w:t>Zinc and its fraction</w:t>
      </w:r>
      <w:r w:rsidR="00886B9A">
        <w:rPr>
          <w:rFonts w:ascii="Arial" w:eastAsiaTheme="minorHAnsi" w:hAnsi="Arial" w:cs="Arial"/>
          <w:sz w:val="20"/>
          <w:szCs w:val="20"/>
        </w:rPr>
        <w:t>s</w:t>
      </w:r>
      <w:r w:rsidR="00886B9A" w:rsidRPr="00886B9A">
        <w:rPr>
          <w:rFonts w:ascii="Arial" w:eastAsiaTheme="minorHAnsi" w:hAnsi="Arial" w:cs="Arial"/>
          <w:sz w:val="20"/>
          <w:szCs w:val="20"/>
        </w:rPr>
        <w:t xml:space="preserve"> gradually </w:t>
      </w:r>
      <w:r w:rsidR="00886B9A">
        <w:rPr>
          <w:rFonts w:ascii="Arial" w:eastAsiaTheme="minorHAnsi" w:hAnsi="Arial" w:cs="Arial"/>
          <w:sz w:val="20"/>
          <w:szCs w:val="20"/>
        </w:rPr>
        <w:t xml:space="preserve">gets </w:t>
      </w:r>
      <w:r w:rsidR="00886B9A" w:rsidRPr="00886B9A">
        <w:rPr>
          <w:rFonts w:ascii="Arial" w:eastAsiaTheme="minorHAnsi" w:hAnsi="Arial" w:cs="Arial"/>
          <w:sz w:val="20"/>
          <w:szCs w:val="20"/>
        </w:rPr>
        <w:t>reduce</w:t>
      </w:r>
      <w:r w:rsidR="00886B9A">
        <w:rPr>
          <w:rFonts w:ascii="Arial" w:eastAsiaTheme="minorHAnsi" w:hAnsi="Arial" w:cs="Arial"/>
          <w:sz w:val="20"/>
          <w:szCs w:val="20"/>
        </w:rPr>
        <w:t>d</w:t>
      </w:r>
      <w:r w:rsidR="00886B9A" w:rsidRPr="00886B9A">
        <w:rPr>
          <w:rFonts w:ascii="Arial" w:eastAsiaTheme="minorHAnsi" w:hAnsi="Arial" w:cs="Arial"/>
          <w:sz w:val="20"/>
          <w:szCs w:val="20"/>
        </w:rPr>
        <w:t xml:space="preserve"> in 35 days of incubation (Fogat et al., 2025).</w:t>
      </w:r>
      <w:r w:rsidR="00886B9A">
        <w:rPr>
          <w:rFonts w:ascii="Arial" w:eastAsiaTheme="minorHAnsi" w:hAnsi="Arial" w:cs="Arial"/>
          <w:sz w:val="20"/>
          <w:szCs w:val="20"/>
        </w:rPr>
        <w:t xml:space="preserve"> </w:t>
      </w:r>
      <w:r w:rsidR="00826061" w:rsidRPr="00D67E5B">
        <w:rPr>
          <w:rFonts w:ascii="Arial" w:eastAsiaTheme="minorHAnsi" w:hAnsi="Arial" w:cs="Arial"/>
          <w:sz w:val="20"/>
          <w:szCs w:val="20"/>
        </w:rPr>
        <w:t>Therefore</w:t>
      </w:r>
      <w:r w:rsidR="00057F43" w:rsidRPr="00D67E5B">
        <w:rPr>
          <w:rFonts w:ascii="Arial" w:eastAsiaTheme="minorHAnsi" w:hAnsi="Arial" w:cs="Arial"/>
          <w:sz w:val="20"/>
          <w:szCs w:val="20"/>
        </w:rPr>
        <w:t>,</w:t>
      </w:r>
      <w:r w:rsidR="00826061" w:rsidRPr="00D67E5B">
        <w:rPr>
          <w:rFonts w:ascii="Arial" w:eastAsiaTheme="minorHAnsi" w:hAnsi="Arial" w:cs="Arial"/>
          <w:sz w:val="20"/>
          <w:szCs w:val="20"/>
        </w:rPr>
        <w:t xml:space="preserve"> the knowledge of the transformation of native soil zinc in different fractions under submerged (anaerobic) condition at different residence period is essential</w:t>
      </w:r>
      <w:r w:rsidR="00826061" w:rsidRPr="00D67E5B">
        <w:rPr>
          <w:rFonts w:ascii="Arial" w:eastAsia="CIDFont+F6" w:hAnsi="Arial" w:cs="Arial"/>
          <w:sz w:val="20"/>
          <w:szCs w:val="20"/>
        </w:rPr>
        <w:t xml:space="preserve"> to predict the appropriate time for Zn fertilizer application and to know the importance of flooding or pre-flooding on soil Zn availability (Soltani </w:t>
      </w:r>
      <w:r w:rsidR="00826061" w:rsidRPr="00D67E5B">
        <w:rPr>
          <w:rFonts w:ascii="Arial" w:eastAsia="CIDFont+F6" w:hAnsi="Arial" w:cs="Arial"/>
          <w:i/>
          <w:sz w:val="20"/>
          <w:szCs w:val="20"/>
        </w:rPr>
        <w:t>et al</w:t>
      </w:r>
      <w:r w:rsidR="00826061" w:rsidRPr="00D67E5B">
        <w:rPr>
          <w:rFonts w:ascii="Arial" w:eastAsia="CIDFont+F6" w:hAnsi="Arial" w:cs="Arial"/>
          <w:sz w:val="20"/>
          <w:szCs w:val="20"/>
        </w:rPr>
        <w:t xml:space="preserve">., 2015). </w:t>
      </w:r>
    </w:p>
    <w:p w14:paraId="1AB9236F" w14:textId="259B02F3" w:rsidR="001932CE" w:rsidRPr="00D67E5B" w:rsidRDefault="00D67E5B" w:rsidP="00D67E5B">
      <w:pPr>
        <w:widowControl/>
        <w:adjustRightInd w:val="0"/>
        <w:spacing w:after="240" w:line="360" w:lineRule="auto"/>
        <w:jc w:val="both"/>
        <w:rPr>
          <w:rFonts w:ascii="Arial" w:eastAsia="CIDFont+F6" w:hAnsi="Arial" w:cs="Arial"/>
          <w:b/>
          <w:bCs/>
        </w:rPr>
      </w:pPr>
      <w:r w:rsidRPr="00D67E5B">
        <w:rPr>
          <w:rFonts w:ascii="Arial" w:eastAsia="CIDFont+F6" w:hAnsi="Arial" w:cs="Arial"/>
          <w:b/>
          <w:bCs/>
        </w:rPr>
        <w:t xml:space="preserve">2. </w:t>
      </w:r>
      <w:r w:rsidR="001932CE" w:rsidRPr="00D67E5B">
        <w:rPr>
          <w:rFonts w:ascii="Arial" w:eastAsia="CIDFont+F6" w:hAnsi="Arial" w:cs="Arial"/>
          <w:b/>
          <w:bCs/>
        </w:rPr>
        <w:t>Materials and methods</w:t>
      </w:r>
    </w:p>
    <w:p w14:paraId="656642FD" w14:textId="5F1B829A" w:rsidR="001932CE" w:rsidRPr="00D67E5B" w:rsidRDefault="001932CE" w:rsidP="00AE6666">
      <w:pPr>
        <w:pStyle w:val="Default"/>
        <w:spacing w:after="240" w:line="360" w:lineRule="auto"/>
        <w:ind w:firstLine="567"/>
        <w:jc w:val="both"/>
        <w:rPr>
          <w:rFonts w:ascii="Arial" w:hAnsi="Arial" w:cs="Arial"/>
          <w:b/>
          <w:color w:val="auto"/>
          <w:sz w:val="20"/>
          <w:szCs w:val="20"/>
        </w:rPr>
      </w:pPr>
      <w:r w:rsidRPr="00D67E5B">
        <w:rPr>
          <w:rFonts w:ascii="Arial" w:hAnsi="Arial" w:cs="Arial"/>
          <w:color w:val="auto"/>
          <w:sz w:val="20"/>
          <w:szCs w:val="20"/>
        </w:rPr>
        <w:lastRenderedPageBreak/>
        <w:t xml:space="preserve">The four soil samples are from different village’s </w:t>
      </w:r>
      <w:r w:rsidRPr="00D67E5B">
        <w:rPr>
          <w:rFonts w:ascii="Arial" w:hAnsi="Arial" w:cs="Arial"/>
          <w:i/>
          <w:color w:val="auto"/>
          <w:sz w:val="20"/>
          <w:szCs w:val="20"/>
        </w:rPr>
        <w:t>viz</w:t>
      </w:r>
      <w:r w:rsidRPr="00D67E5B">
        <w:rPr>
          <w:rFonts w:ascii="Arial" w:hAnsi="Arial" w:cs="Arial"/>
          <w:color w:val="auto"/>
          <w:sz w:val="20"/>
          <w:szCs w:val="20"/>
        </w:rPr>
        <w:t xml:space="preserve">. </w:t>
      </w:r>
      <w:proofErr w:type="spellStart"/>
      <w:r w:rsidRPr="00D67E5B">
        <w:rPr>
          <w:rFonts w:ascii="Arial" w:hAnsi="Arial" w:cs="Arial"/>
          <w:color w:val="auto"/>
          <w:sz w:val="20"/>
          <w:szCs w:val="20"/>
        </w:rPr>
        <w:t>Dutipada</w:t>
      </w:r>
      <w:proofErr w:type="spellEnd"/>
      <w:r w:rsidRPr="00D67E5B">
        <w:rPr>
          <w:rFonts w:ascii="Arial" w:hAnsi="Arial" w:cs="Arial"/>
          <w:color w:val="auto"/>
          <w:sz w:val="20"/>
          <w:szCs w:val="20"/>
        </w:rPr>
        <w:t xml:space="preserve">, </w:t>
      </w:r>
      <w:proofErr w:type="spellStart"/>
      <w:r w:rsidRPr="00D67E5B">
        <w:rPr>
          <w:rFonts w:ascii="Arial" w:hAnsi="Arial" w:cs="Arial"/>
          <w:color w:val="auto"/>
          <w:sz w:val="20"/>
          <w:szCs w:val="20"/>
        </w:rPr>
        <w:t>Balaskumpa</w:t>
      </w:r>
      <w:proofErr w:type="spellEnd"/>
      <w:r w:rsidRPr="00D67E5B">
        <w:rPr>
          <w:rFonts w:ascii="Arial" w:hAnsi="Arial" w:cs="Arial"/>
          <w:color w:val="auto"/>
          <w:sz w:val="20"/>
          <w:szCs w:val="20"/>
        </w:rPr>
        <w:t xml:space="preserve">, </w:t>
      </w:r>
      <w:proofErr w:type="spellStart"/>
      <w:r w:rsidRPr="00D67E5B">
        <w:rPr>
          <w:rFonts w:ascii="Arial" w:hAnsi="Arial" w:cs="Arial"/>
          <w:color w:val="auto"/>
          <w:sz w:val="20"/>
          <w:szCs w:val="20"/>
        </w:rPr>
        <w:t>Bilabari</w:t>
      </w:r>
      <w:proofErr w:type="spellEnd"/>
      <w:r w:rsidRPr="00D67E5B">
        <w:rPr>
          <w:rFonts w:ascii="Arial" w:hAnsi="Arial" w:cs="Arial"/>
          <w:color w:val="auto"/>
          <w:sz w:val="20"/>
          <w:szCs w:val="20"/>
        </w:rPr>
        <w:t xml:space="preserve"> &amp; </w:t>
      </w:r>
      <w:proofErr w:type="spellStart"/>
      <w:r w:rsidRPr="00D67E5B">
        <w:rPr>
          <w:rFonts w:ascii="Arial" w:hAnsi="Arial" w:cs="Arial"/>
          <w:color w:val="auto"/>
          <w:sz w:val="20"/>
          <w:szCs w:val="20"/>
        </w:rPr>
        <w:t>Bisipara</w:t>
      </w:r>
      <w:proofErr w:type="spellEnd"/>
      <w:r w:rsidRPr="00D67E5B">
        <w:rPr>
          <w:rFonts w:ascii="Arial" w:hAnsi="Arial" w:cs="Arial"/>
          <w:color w:val="auto"/>
          <w:sz w:val="20"/>
          <w:szCs w:val="20"/>
        </w:rPr>
        <w:t xml:space="preserve">. These villages are situated in </w:t>
      </w:r>
      <w:proofErr w:type="spellStart"/>
      <w:r w:rsidRPr="00D67E5B">
        <w:rPr>
          <w:rFonts w:ascii="Arial" w:hAnsi="Arial" w:cs="Arial"/>
          <w:color w:val="auto"/>
          <w:sz w:val="20"/>
          <w:szCs w:val="20"/>
        </w:rPr>
        <w:t>Kandhamal</w:t>
      </w:r>
      <w:proofErr w:type="spellEnd"/>
      <w:r w:rsidRPr="00D67E5B">
        <w:rPr>
          <w:rFonts w:ascii="Arial" w:hAnsi="Arial" w:cs="Arial"/>
          <w:color w:val="auto"/>
          <w:sz w:val="20"/>
          <w:szCs w:val="20"/>
        </w:rPr>
        <w:t xml:space="preserve">, district of Odisha. The </w:t>
      </w:r>
      <w:r w:rsidRPr="00D67E5B">
        <w:rPr>
          <w:rFonts w:ascii="Arial" w:hAnsi="Arial" w:cs="Arial"/>
          <w:bCs/>
          <w:color w:val="auto"/>
          <w:sz w:val="20"/>
          <w:szCs w:val="20"/>
        </w:rPr>
        <w:t>four soil samples (S</w:t>
      </w:r>
      <w:r w:rsidRPr="00D67E5B">
        <w:rPr>
          <w:rFonts w:ascii="Arial" w:hAnsi="Arial" w:cs="Arial"/>
          <w:bCs/>
          <w:color w:val="auto"/>
          <w:sz w:val="20"/>
          <w:szCs w:val="20"/>
          <w:vertAlign w:val="subscript"/>
        </w:rPr>
        <w:t>1</w:t>
      </w:r>
      <w:r w:rsidRPr="00D67E5B">
        <w:rPr>
          <w:rFonts w:ascii="Arial" w:hAnsi="Arial" w:cs="Arial"/>
          <w:bCs/>
          <w:color w:val="auto"/>
          <w:sz w:val="20"/>
          <w:szCs w:val="20"/>
        </w:rPr>
        <w:t>, S</w:t>
      </w:r>
      <w:r w:rsidRPr="00D67E5B">
        <w:rPr>
          <w:rFonts w:ascii="Arial" w:hAnsi="Arial" w:cs="Arial"/>
          <w:bCs/>
          <w:color w:val="auto"/>
          <w:sz w:val="20"/>
          <w:szCs w:val="20"/>
          <w:vertAlign w:val="subscript"/>
        </w:rPr>
        <w:t xml:space="preserve">2, </w:t>
      </w:r>
      <w:r w:rsidRPr="00D67E5B">
        <w:rPr>
          <w:rFonts w:ascii="Arial" w:hAnsi="Arial" w:cs="Arial"/>
          <w:bCs/>
          <w:color w:val="auto"/>
          <w:sz w:val="20"/>
          <w:szCs w:val="20"/>
        </w:rPr>
        <w:t>S</w:t>
      </w:r>
      <w:r w:rsidRPr="00D67E5B">
        <w:rPr>
          <w:rFonts w:ascii="Arial" w:hAnsi="Arial" w:cs="Arial"/>
          <w:bCs/>
          <w:color w:val="auto"/>
          <w:sz w:val="20"/>
          <w:szCs w:val="20"/>
          <w:vertAlign w:val="subscript"/>
        </w:rPr>
        <w:t xml:space="preserve">3, </w:t>
      </w:r>
      <w:r w:rsidRPr="00D67E5B">
        <w:rPr>
          <w:rFonts w:ascii="Arial" w:hAnsi="Arial" w:cs="Arial"/>
          <w:bCs/>
          <w:color w:val="auto"/>
          <w:sz w:val="20"/>
          <w:szCs w:val="20"/>
        </w:rPr>
        <w:t>S</w:t>
      </w:r>
      <w:r w:rsidRPr="00D67E5B">
        <w:rPr>
          <w:rFonts w:ascii="Arial" w:hAnsi="Arial" w:cs="Arial"/>
          <w:bCs/>
          <w:color w:val="auto"/>
          <w:sz w:val="20"/>
          <w:szCs w:val="20"/>
          <w:vertAlign w:val="subscript"/>
        </w:rPr>
        <w:t>4</w:t>
      </w:r>
      <w:r w:rsidRPr="00D67E5B">
        <w:rPr>
          <w:rFonts w:ascii="Arial" w:hAnsi="Arial" w:cs="Arial"/>
          <w:bCs/>
          <w:color w:val="auto"/>
          <w:sz w:val="20"/>
          <w:szCs w:val="20"/>
        </w:rPr>
        <w:t>),</w:t>
      </w:r>
      <w:r w:rsidRPr="00D67E5B">
        <w:rPr>
          <w:rFonts w:ascii="Arial" w:hAnsi="Arial" w:cs="Arial"/>
          <w:color w:val="auto"/>
          <w:sz w:val="20"/>
          <w:szCs w:val="20"/>
        </w:rPr>
        <w:t xml:space="preserve"> differing in their available Zn content</w:t>
      </w:r>
      <w:r w:rsidR="007833B6" w:rsidRPr="00D67E5B">
        <w:rPr>
          <w:rFonts w:ascii="Arial" w:hAnsi="Arial" w:cs="Arial"/>
          <w:color w:val="auto"/>
          <w:sz w:val="20"/>
          <w:szCs w:val="20"/>
        </w:rPr>
        <w:t xml:space="preserve"> (0.408, 0.63, 1.016, 4.194 mg kg</w:t>
      </w:r>
      <w:r w:rsidR="007833B6" w:rsidRPr="00D67E5B">
        <w:rPr>
          <w:rFonts w:ascii="Arial" w:hAnsi="Arial" w:cs="Arial"/>
          <w:color w:val="auto"/>
          <w:sz w:val="20"/>
          <w:szCs w:val="20"/>
          <w:vertAlign w:val="superscript"/>
        </w:rPr>
        <w:t>-1</w:t>
      </w:r>
      <w:r w:rsidR="007833B6" w:rsidRPr="00D67E5B">
        <w:rPr>
          <w:rFonts w:ascii="Arial" w:hAnsi="Arial" w:cs="Arial"/>
          <w:color w:val="auto"/>
          <w:sz w:val="20"/>
          <w:szCs w:val="20"/>
        </w:rPr>
        <w:t>)</w:t>
      </w:r>
      <w:r w:rsidRPr="00D67E5B">
        <w:rPr>
          <w:rFonts w:ascii="Arial" w:hAnsi="Arial" w:cs="Arial"/>
          <w:color w:val="auto"/>
          <w:sz w:val="20"/>
          <w:szCs w:val="20"/>
        </w:rPr>
        <w:t xml:space="preserve">, were taken as four experimental </w:t>
      </w:r>
      <w:r w:rsidR="007833B6" w:rsidRPr="00D67E5B">
        <w:rPr>
          <w:rFonts w:ascii="Arial" w:hAnsi="Arial" w:cs="Arial"/>
          <w:color w:val="auto"/>
          <w:sz w:val="20"/>
          <w:szCs w:val="20"/>
        </w:rPr>
        <w:t>material</w:t>
      </w:r>
      <w:r w:rsidRPr="00D67E5B">
        <w:rPr>
          <w:rFonts w:ascii="Arial" w:hAnsi="Arial" w:cs="Arial"/>
          <w:color w:val="auto"/>
          <w:sz w:val="20"/>
          <w:szCs w:val="20"/>
        </w:rPr>
        <w:t xml:space="preserve"> for the present study. Each sample was incubate</w:t>
      </w:r>
      <w:r w:rsidR="00AE6666" w:rsidRPr="00D67E5B">
        <w:rPr>
          <w:rFonts w:ascii="Arial" w:hAnsi="Arial" w:cs="Arial"/>
          <w:color w:val="auto"/>
          <w:sz w:val="20"/>
          <w:szCs w:val="20"/>
        </w:rPr>
        <w:t>d</w:t>
      </w:r>
      <w:r w:rsidRPr="00D67E5B">
        <w:rPr>
          <w:rFonts w:ascii="Arial" w:hAnsi="Arial" w:cs="Arial"/>
          <w:color w:val="auto"/>
          <w:sz w:val="20"/>
          <w:szCs w:val="20"/>
        </w:rPr>
        <w:t xml:space="preserve"> for 0,15,30,45,60,75 and 90 days under both aerobic and anaerobic conditions. Each experimental unit </w:t>
      </w:r>
      <w:r w:rsidR="00AE6666" w:rsidRPr="00D67E5B">
        <w:rPr>
          <w:rFonts w:ascii="Arial" w:hAnsi="Arial" w:cs="Arial"/>
          <w:color w:val="auto"/>
          <w:sz w:val="20"/>
          <w:szCs w:val="20"/>
        </w:rPr>
        <w:t>(total 4 x 7x 2 x</w:t>
      </w:r>
      <w:r w:rsidR="002D3BBE">
        <w:rPr>
          <w:rFonts w:ascii="Arial" w:hAnsi="Arial" w:cs="Arial"/>
          <w:color w:val="auto"/>
          <w:sz w:val="20"/>
          <w:szCs w:val="20"/>
        </w:rPr>
        <w:t xml:space="preserve"> </w:t>
      </w:r>
      <w:r w:rsidR="00AE6666" w:rsidRPr="00D67E5B">
        <w:rPr>
          <w:rFonts w:ascii="Arial" w:hAnsi="Arial" w:cs="Arial"/>
          <w:color w:val="auto"/>
          <w:sz w:val="20"/>
          <w:szCs w:val="20"/>
        </w:rPr>
        <w:t xml:space="preserve">3 replications =168) </w:t>
      </w:r>
      <w:r w:rsidRPr="00D67E5B">
        <w:rPr>
          <w:rFonts w:ascii="Arial" w:hAnsi="Arial" w:cs="Arial"/>
          <w:color w:val="auto"/>
          <w:sz w:val="20"/>
          <w:szCs w:val="20"/>
        </w:rPr>
        <w:t>consist</w:t>
      </w:r>
      <w:r w:rsidR="004926B0">
        <w:rPr>
          <w:rFonts w:ascii="Arial" w:hAnsi="Arial" w:cs="Arial"/>
          <w:color w:val="auto"/>
          <w:sz w:val="20"/>
          <w:szCs w:val="20"/>
        </w:rPr>
        <w:t>ed</w:t>
      </w:r>
      <w:r w:rsidRPr="00D67E5B">
        <w:rPr>
          <w:rFonts w:ascii="Arial" w:hAnsi="Arial" w:cs="Arial"/>
          <w:color w:val="auto"/>
          <w:sz w:val="20"/>
          <w:szCs w:val="20"/>
        </w:rPr>
        <w:t xml:space="preserve"> of exactly 5 gram of respective soil in a 50 ml polyethylene centrifuge tube. Aerobic conditions were maintained inside the respective experimental units by maintaining the soil at nearly about field capacity moisture content and for anaerobic conditions 5±0.5 cm height of standing water (double distilled) </w:t>
      </w:r>
      <w:r w:rsidR="00057F43" w:rsidRPr="00D67E5B">
        <w:rPr>
          <w:rFonts w:ascii="Arial" w:hAnsi="Arial" w:cs="Arial"/>
          <w:color w:val="auto"/>
          <w:sz w:val="20"/>
          <w:szCs w:val="20"/>
        </w:rPr>
        <w:t>was</w:t>
      </w:r>
      <w:r w:rsidRPr="00D67E5B">
        <w:rPr>
          <w:rFonts w:ascii="Arial" w:hAnsi="Arial" w:cs="Arial"/>
          <w:color w:val="auto"/>
          <w:sz w:val="20"/>
          <w:szCs w:val="20"/>
        </w:rPr>
        <w:t xml:space="preserve"> maintained above the soil in the experimental unit. Any loss of water through evaporation was compensated by periodic addition of double distilled water. The respective experimental units were incubated under laboratory conditions at room temperature</w:t>
      </w:r>
      <w:r w:rsidR="00AE6666" w:rsidRPr="00D67E5B">
        <w:rPr>
          <w:rFonts w:ascii="Arial" w:hAnsi="Arial" w:cs="Arial"/>
          <w:color w:val="auto"/>
          <w:sz w:val="20"/>
          <w:szCs w:val="20"/>
        </w:rPr>
        <w:t xml:space="preserve">. </w:t>
      </w:r>
      <w:r w:rsidRPr="00D67E5B">
        <w:rPr>
          <w:rFonts w:ascii="Arial" w:hAnsi="Arial" w:cs="Arial"/>
          <w:color w:val="auto"/>
          <w:sz w:val="20"/>
          <w:szCs w:val="20"/>
        </w:rPr>
        <w:t>After completion of each incubation period destructive sampling was done and the soils in respective experimental units were subjected for determination of different zinc fractions (fertility fractions), which are as follows.</w:t>
      </w:r>
      <w:r w:rsidR="00AE6666" w:rsidRPr="00D67E5B">
        <w:rPr>
          <w:rFonts w:ascii="Arial" w:hAnsi="Arial" w:cs="Arial"/>
          <w:color w:val="auto"/>
          <w:sz w:val="20"/>
          <w:szCs w:val="20"/>
        </w:rPr>
        <w:t xml:space="preserve"> </w:t>
      </w:r>
      <w:r w:rsidRPr="00D67E5B">
        <w:rPr>
          <w:rFonts w:ascii="Arial" w:hAnsi="Arial" w:cs="Arial"/>
          <w:color w:val="auto"/>
          <w:sz w:val="20"/>
          <w:szCs w:val="20"/>
        </w:rPr>
        <w:t>Water soluble plus exchangeable zinc (WSEX-Zn</w:t>
      </w:r>
      <w:r w:rsidR="007833B6" w:rsidRPr="00D67E5B">
        <w:rPr>
          <w:rFonts w:ascii="Arial" w:hAnsi="Arial" w:cs="Arial"/>
          <w:color w:val="auto"/>
          <w:sz w:val="20"/>
          <w:szCs w:val="20"/>
        </w:rPr>
        <w:t>), Organically</w:t>
      </w:r>
      <w:r w:rsidRPr="00D67E5B">
        <w:rPr>
          <w:rFonts w:ascii="Arial" w:hAnsi="Arial" w:cs="Arial"/>
          <w:color w:val="auto"/>
          <w:sz w:val="20"/>
          <w:szCs w:val="20"/>
        </w:rPr>
        <w:t xml:space="preserve"> complexed zinc (OC-Zn)</w:t>
      </w:r>
      <w:r w:rsidR="00AE6666" w:rsidRPr="00D67E5B">
        <w:rPr>
          <w:rFonts w:ascii="Arial" w:hAnsi="Arial" w:cs="Arial"/>
          <w:color w:val="auto"/>
          <w:sz w:val="20"/>
          <w:szCs w:val="20"/>
        </w:rPr>
        <w:t xml:space="preserve">, </w:t>
      </w:r>
      <w:r w:rsidRPr="00D67E5B">
        <w:rPr>
          <w:rFonts w:ascii="Arial" w:hAnsi="Arial" w:cs="Arial"/>
          <w:color w:val="auto"/>
          <w:sz w:val="20"/>
          <w:szCs w:val="20"/>
        </w:rPr>
        <w:t>Amorphous sesquioxide bound zinc (AMOX-Zn)</w:t>
      </w:r>
      <w:r w:rsidR="00AE6666" w:rsidRPr="00D67E5B">
        <w:rPr>
          <w:rFonts w:ascii="Arial" w:hAnsi="Arial" w:cs="Arial"/>
          <w:color w:val="auto"/>
          <w:sz w:val="20"/>
          <w:szCs w:val="20"/>
        </w:rPr>
        <w:t xml:space="preserve">, </w:t>
      </w:r>
      <w:r w:rsidRPr="00D67E5B">
        <w:rPr>
          <w:rFonts w:ascii="Arial" w:hAnsi="Arial" w:cs="Arial"/>
          <w:color w:val="auto"/>
          <w:sz w:val="20"/>
          <w:szCs w:val="20"/>
        </w:rPr>
        <w:t>Crystalline sesquioxide bound zinc (CRYOX-Zn)</w:t>
      </w:r>
      <w:r w:rsidR="00AE6666" w:rsidRPr="00D67E5B">
        <w:rPr>
          <w:rFonts w:ascii="Arial" w:hAnsi="Arial" w:cs="Arial"/>
          <w:color w:val="auto"/>
          <w:sz w:val="20"/>
          <w:szCs w:val="20"/>
        </w:rPr>
        <w:t xml:space="preserve">, </w:t>
      </w:r>
      <w:r w:rsidRPr="00D67E5B">
        <w:rPr>
          <w:rFonts w:ascii="Arial" w:hAnsi="Arial" w:cs="Arial"/>
          <w:color w:val="auto"/>
          <w:sz w:val="20"/>
          <w:szCs w:val="20"/>
        </w:rPr>
        <w:t>Easily reducible manganese oxide bound zinc (</w:t>
      </w:r>
      <w:proofErr w:type="spellStart"/>
      <w:r w:rsidRPr="00D67E5B">
        <w:rPr>
          <w:rFonts w:ascii="Arial" w:hAnsi="Arial" w:cs="Arial"/>
          <w:color w:val="auto"/>
          <w:sz w:val="20"/>
          <w:szCs w:val="20"/>
        </w:rPr>
        <w:t>MnOx</w:t>
      </w:r>
      <w:proofErr w:type="spellEnd"/>
      <w:r w:rsidRPr="00D67E5B">
        <w:rPr>
          <w:rFonts w:ascii="Arial" w:hAnsi="Arial" w:cs="Arial"/>
          <w:color w:val="auto"/>
          <w:sz w:val="20"/>
          <w:szCs w:val="20"/>
        </w:rPr>
        <w:t>-Zn)</w:t>
      </w:r>
      <w:r w:rsidR="00AE6666" w:rsidRPr="00D67E5B">
        <w:rPr>
          <w:rFonts w:ascii="Arial" w:hAnsi="Arial" w:cs="Arial"/>
          <w:color w:val="auto"/>
          <w:sz w:val="20"/>
          <w:szCs w:val="20"/>
        </w:rPr>
        <w:t xml:space="preserve"> and </w:t>
      </w:r>
      <w:r w:rsidRPr="00D67E5B">
        <w:rPr>
          <w:rFonts w:ascii="Arial" w:hAnsi="Arial" w:cs="Arial"/>
          <w:color w:val="auto"/>
          <w:sz w:val="20"/>
          <w:szCs w:val="20"/>
        </w:rPr>
        <w:t>Residual zinc (RES-Zn)</w:t>
      </w:r>
    </w:p>
    <w:p w14:paraId="628A8E54" w14:textId="16DCD212" w:rsidR="001932CE" w:rsidRPr="00D67E5B" w:rsidRDefault="001932CE" w:rsidP="00AE6666">
      <w:pPr>
        <w:pStyle w:val="Default"/>
        <w:spacing w:after="240" w:line="360" w:lineRule="auto"/>
        <w:ind w:firstLine="567"/>
        <w:jc w:val="both"/>
        <w:rPr>
          <w:rFonts w:ascii="Arial" w:hAnsi="Arial" w:cs="Arial"/>
          <w:color w:val="auto"/>
          <w:sz w:val="20"/>
          <w:szCs w:val="20"/>
        </w:rPr>
      </w:pPr>
      <w:r w:rsidRPr="00D67E5B">
        <w:rPr>
          <w:rFonts w:ascii="Arial" w:hAnsi="Arial" w:cs="Arial"/>
          <w:color w:val="auto"/>
          <w:sz w:val="20"/>
          <w:szCs w:val="20"/>
        </w:rPr>
        <w:t>The Zn fractionations (fertility fractions) were determined using a modified sequential extraction procedure of Murthy (1982) proposed by Mandal and Mandal (1986). The Zn pools in soils were divided into six fractions (mentioned in section 3.6.4 of this chapter)</w:t>
      </w:r>
      <w:r w:rsidR="00D67E5B">
        <w:rPr>
          <w:rFonts w:ascii="Arial" w:hAnsi="Arial" w:cs="Arial"/>
          <w:color w:val="auto"/>
          <w:sz w:val="20"/>
          <w:szCs w:val="20"/>
        </w:rPr>
        <w:t>,</w:t>
      </w:r>
      <w:r w:rsidRPr="00D67E5B">
        <w:rPr>
          <w:rFonts w:ascii="Arial" w:hAnsi="Arial" w:cs="Arial"/>
          <w:color w:val="auto"/>
          <w:sz w:val="20"/>
          <w:szCs w:val="20"/>
        </w:rPr>
        <w:t xml:space="preserve"> including residual. Zn forms in soils, except residual</w:t>
      </w:r>
      <w:r w:rsidR="00D67E5B">
        <w:rPr>
          <w:rFonts w:ascii="Arial" w:hAnsi="Arial" w:cs="Arial"/>
          <w:color w:val="auto"/>
          <w:sz w:val="20"/>
          <w:szCs w:val="20"/>
        </w:rPr>
        <w:t xml:space="preserve">, were extracted from soils by the </w:t>
      </w:r>
      <w:r w:rsidRPr="00D67E5B">
        <w:rPr>
          <w:rFonts w:ascii="Arial" w:hAnsi="Arial" w:cs="Arial"/>
          <w:color w:val="auto"/>
          <w:sz w:val="20"/>
          <w:szCs w:val="20"/>
        </w:rPr>
        <w:t>addition of individual extracting solutions (see Table 3.5) and shaken in a rotary shaker at room temperature.</w:t>
      </w:r>
      <w:r w:rsidRPr="00D67E5B">
        <w:rPr>
          <w:rFonts w:ascii="Arial" w:hAnsi="Arial" w:cs="Arial"/>
          <w:iCs/>
          <w:color w:val="auto"/>
          <w:sz w:val="20"/>
          <w:szCs w:val="20"/>
        </w:rPr>
        <w:t xml:space="preserve"> </w:t>
      </w:r>
      <w:r w:rsidRPr="00D67E5B">
        <w:rPr>
          <w:rFonts w:ascii="Arial" w:hAnsi="Arial" w:cs="Arial"/>
          <w:color w:val="auto"/>
          <w:sz w:val="20"/>
          <w:szCs w:val="20"/>
        </w:rPr>
        <w:t>The supernatant solutions obtained from each successive stage of extraction were centrifuged at 3,500 rpm for 15 min, decanted</w:t>
      </w:r>
      <w:r w:rsidR="00D67E5B">
        <w:rPr>
          <w:rFonts w:ascii="Arial" w:hAnsi="Arial" w:cs="Arial"/>
          <w:color w:val="auto"/>
          <w:sz w:val="20"/>
          <w:szCs w:val="20"/>
        </w:rPr>
        <w:t>,</w:t>
      </w:r>
      <w:r w:rsidRPr="00D67E5B">
        <w:rPr>
          <w:rFonts w:ascii="Arial" w:hAnsi="Arial" w:cs="Arial"/>
          <w:color w:val="auto"/>
          <w:sz w:val="20"/>
          <w:szCs w:val="20"/>
        </w:rPr>
        <w:t xml:space="preserve"> and filtered with Whatman No. 42 filter paper. </w:t>
      </w:r>
      <w:r w:rsidRPr="00D67E5B">
        <w:rPr>
          <w:rFonts w:ascii="Arial" w:hAnsi="Arial" w:cs="Arial"/>
          <w:iCs/>
          <w:color w:val="auto"/>
          <w:sz w:val="20"/>
          <w:szCs w:val="20"/>
        </w:rPr>
        <w:t xml:space="preserve">Residual Zn </w:t>
      </w:r>
      <w:r w:rsidRPr="00D67E5B">
        <w:rPr>
          <w:rFonts w:ascii="Arial" w:hAnsi="Arial" w:cs="Arial"/>
          <w:color w:val="auto"/>
          <w:sz w:val="20"/>
          <w:szCs w:val="20"/>
        </w:rPr>
        <w:t>was extracted by digesting the residue of 5</w:t>
      </w:r>
      <w:r w:rsidRPr="00D67E5B">
        <w:rPr>
          <w:rFonts w:ascii="Arial" w:hAnsi="Arial" w:cs="Arial"/>
          <w:color w:val="auto"/>
          <w:sz w:val="20"/>
          <w:szCs w:val="20"/>
          <w:vertAlign w:val="superscript"/>
        </w:rPr>
        <w:t>th</w:t>
      </w:r>
      <w:r w:rsidRPr="00D67E5B">
        <w:rPr>
          <w:rFonts w:ascii="Arial" w:hAnsi="Arial" w:cs="Arial"/>
          <w:color w:val="auto"/>
          <w:sz w:val="20"/>
          <w:szCs w:val="20"/>
        </w:rPr>
        <w:t xml:space="preserve"> fraction with a mixture of 5ml of concentrated nitric acid, 10 m</w:t>
      </w:r>
      <w:r w:rsidR="004926B0">
        <w:rPr>
          <w:rFonts w:ascii="Arial" w:hAnsi="Arial" w:cs="Arial"/>
          <w:color w:val="auto"/>
          <w:sz w:val="20"/>
          <w:szCs w:val="20"/>
        </w:rPr>
        <w:t>L</w:t>
      </w:r>
      <w:r w:rsidRPr="00D67E5B">
        <w:rPr>
          <w:rFonts w:ascii="Arial" w:hAnsi="Arial" w:cs="Arial"/>
          <w:color w:val="auto"/>
          <w:sz w:val="20"/>
          <w:szCs w:val="20"/>
        </w:rPr>
        <w:t xml:space="preserve"> of hydrofluoric acid and 10 m</w:t>
      </w:r>
      <w:r w:rsidR="004926B0">
        <w:rPr>
          <w:rFonts w:ascii="Arial" w:hAnsi="Arial" w:cs="Arial"/>
          <w:color w:val="auto"/>
          <w:sz w:val="20"/>
          <w:szCs w:val="20"/>
        </w:rPr>
        <w:t>L</w:t>
      </w:r>
      <w:r w:rsidRPr="00D67E5B">
        <w:rPr>
          <w:rFonts w:ascii="Arial" w:hAnsi="Arial" w:cs="Arial"/>
          <w:color w:val="auto"/>
          <w:sz w:val="20"/>
          <w:szCs w:val="20"/>
        </w:rPr>
        <w:t xml:space="preserve"> of perchloric acid, the cooled solution was transferred to a 50 m</w:t>
      </w:r>
      <w:r w:rsidR="004926B0">
        <w:rPr>
          <w:rFonts w:ascii="Arial" w:hAnsi="Arial" w:cs="Arial"/>
          <w:color w:val="auto"/>
          <w:sz w:val="20"/>
          <w:szCs w:val="20"/>
        </w:rPr>
        <w:t>L</w:t>
      </w:r>
      <w:r w:rsidRPr="00D67E5B">
        <w:rPr>
          <w:rFonts w:ascii="Arial" w:hAnsi="Arial" w:cs="Arial"/>
          <w:color w:val="auto"/>
          <w:sz w:val="20"/>
          <w:szCs w:val="20"/>
        </w:rPr>
        <w:t xml:space="preserve"> volumetric flask and subsequently diluted to volume with double distilled water and stored for analysis (</w:t>
      </w:r>
      <w:proofErr w:type="spellStart"/>
      <w:r w:rsidRPr="00D67E5B">
        <w:rPr>
          <w:rFonts w:ascii="Arial" w:hAnsi="Arial" w:cs="Arial"/>
          <w:color w:val="auto"/>
          <w:sz w:val="20"/>
          <w:szCs w:val="20"/>
        </w:rPr>
        <w:t>Spalbar</w:t>
      </w:r>
      <w:proofErr w:type="spellEnd"/>
      <w:r w:rsidRPr="00D67E5B">
        <w:rPr>
          <w:rFonts w:ascii="Arial" w:hAnsi="Arial" w:cs="Arial"/>
          <w:color w:val="auto"/>
          <w:sz w:val="20"/>
          <w:szCs w:val="20"/>
        </w:rPr>
        <w:t xml:space="preserve"> </w:t>
      </w:r>
      <w:r w:rsidRPr="00D67E5B">
        <w:rPr>
          <w:rFonts w:ascii="Arial" w:hAnsi="Arial" w:cs="Arial"/>
          <w:i/>
          <w:color w:val="auto"/>
          <w:sz w:val="20"/>
          <w:szCs w:val="20"/>
        </w:rPr>
        <w:t>et al.</w:t>
      </w:r>
      <w:r w:rsidRPr="00D67E5B">
        <w:rPr>
          <w:rFonts w:ascii="Arial" w:hAnsi="Arial" w:cs="Arial"/>
          <w:color w:val="auto"/>
          <w:sz w:val="20"/>
          <w:szCs w:val="20"/>
        </w:rPr>
        <w:t xml:space="preserve">, 2017). </w:t>
      </w:r>
      <w:r w:rsidR="00AE6666" w:rsidRPr="00D67E5B">
        <w:rPr>
          <w:rFonts w:ascii="Arial" w:hAnsi="Arial" w:cs="Arial"/>
          <w:color w:val="auto"/>
          <w:sz w:val="20"/>
          <w:szCs w:val="20"/>
        </w:rPr>
        <w:t xml:space="preserve"> </w:t>
      </w:r>
      <w:r w:rsidRPr="00D67E5B">
        <w:rPr>
          <w:rFonts w:ascii="Arial" w:hAnsi="Arial" w:cs="Arial"/>
          <w:color w:val="auto"/>
          <w:sz w:val="20"/>
          <w:szCs w:val="20"/>
        </w:rPr>
        <w:t xml:space="preserve">The concentration of zinc in the extractant was determined by Atomic Absorption Spectrophotometer (Page </w:t>
      </w:r>
      <w:r w:rsidRPr="00D67E5B">
        <w:rPr>
          <w:rFonts w:ascii="Arial" w:hAnsi="Arial" w:cs="Arial"/>
          <w:i/>
          <w:color w:val="auto"/>
          <w:sz w:val="20"/>
          <w:szCs w:val="20"/>
        </w:rPr>
        <w:t>et al</w:t>
      </w:r>
      <w:r w:rsidRPr="00D67E5B">
        <w:rPr>
          <w:rFonts w:ascii="Arial" w:hAnsi="Arial" w:cs="Arial"/>
          <w:color w:val="auto"/>
          <w:sz w:val="20"/>
          <w:szCs w:val="20"/>
        </w:rPr>
        <w:t>.,</w:t>
      </w:r>
      <w:r w:rsidRPr="00D67E5B">
        <w:rPr>
          <w:rFonts w:ascii="Arial" w:hAnsi="Arial" w:cs="Arial"/>
          <w:color w:val="auto"/>
          <w:spacing w:val="-4"/>
          <w:sz w:val="20"/>
          <w:szCs w:val="20"/>
        </w:rPr>
        <w:t xml:space="preserve"> </w:t>
      </w:r>
      <w:r w:rsidRPr="00D67E5B">
        <w:rPr>
          <w:rFonts w:ascii="Arial" w:hAnsi="Arial" w:cs="Arial"/>
          <w:color w:val="auto"/>
          <w:sz w:val="20"/>
          <w:szCs w:val="20"/>
        </w:rPr>
        <w:t>1982).</w:t>
      </w:r>
    </w:p>
    <w:p w14:paraId="06FC6869" w14:textId="5FB941BE" w:rsidR="00AE6666" w:rsidRPr="00D67E5B" w:rsidRDefault="00D67E5B" w:rsidP="00D67E5B">
      <w:pPr>
        <w:pStyle w:val="Default"/>
        <w:spacing w:after="240" w:line="360" w:lineRule="auto"/>
        <w:rPr>
          <w:rFonts w:ascii="Arial" w:hAnsi="Arial" w:cs="Arial"/>
          <w:b/>
          <w:bCs/>
          <w:color w:val="auto"/>
          <w:sz w:val="22"/>
          <w:szCs w:val="22"/>
        </w:rPr>
      </w:pPr>
      <w:r>
        <w:rPr>
          <w:rFonts w:ascii="Arial" w:hAnsi="Arial" w:cs="Arial"/>
          <w:b/>
          <w:bCs/>
          <w:color w:val="auto"/>
          <w:sz w:val="22"/>
          <w:szCs w:val="22"/>
        </w:rPr>
        <w:t xml:space="preserve">3. </w:t>
      </w:r>
      <w:r w:rsidRPr="00D67E5B">
        <w:rPr>
          <w:rFonts w:ascii="Arial" w:hAnsi="Arial" w:cs="Arial"/>
          <w:b/>
          <w:bCs/>
          <w:color w:val="auto"/>
          <w:sz w:val="22"/>
          <w:szCs w:val="22"/>
        </w:rPr>
        <w:t>RESULTS AND DISCUSSION</w:t>
      </w:r>
    </w:p>
    <w:p w14:paraId="3D8937D7" w14:textId="18C6EF43" w:rsidR="009D081E" w:rsidRPr="00D67E5B" w:rsidRDefault="00D67E5B" w:rsidP="00057F43">
      <w:pPr>
        <w:widowControl/>
        <w:adjustRightInd w:val="0"/>
        <w:spacing w:line="360" w:lineRule="auto"/>
        <w:jc w:val="both"/>
        <w:rPr>
          <w:rFonts w:ascii="Arial" w:eastAsiaTheme="minorHAnsi" w:hAnsi="Arial" w:cs="Arial"/>
          <w:b/>
        </w:rPr>
      </w:pPr>
      <w:r w:rsidRPr="00D67E5B">
        <w:rPr>
          <w:rFonts w:ascii="Arial" w:eastAsiaTheme="minorHAnsi" w:hAnsi="Arial" w:cs="Arial"/>
          <w:b/>
        </w:rPr>
        <w:t>3.1.</w:t>
      </w:r>
      <w:r>
        <w:rPr>
          <w:rFonts w:ascii="Arial" w:eastAsiaTheme="minorHAnsi" w:hAnsi="Arial" w:cs="Arial"/>
          <w:b/>
        </w:rPr>
        <w:t xml:space="preserve"> </w:t>
      </w:r>
      <w:r w:rsidR="009D081E" w:rsidRPr="00D67E5B">
        <w:rPr>
          <w:rFonts w:ascii="Arial" w:eastAsiaTheme="minorHAnsi" w:hAnsi="Arial" w:cs="Arial"/>
          <w:b/>
        </w:rPr>
        <w:t xml:space="preserve">Transformation of </w:t>
      </w:r>
      <w:r w:rsidR="003B7A14" w:rsidRPr="00D67E5B">
        <w:rPr>
          <w:rFonts w:ascii="Arial" w:eastAsiaTheme="minorHAnsi" w:hAnsi="Arial" w:cs="Arial"/>
          <w:b/>
        </w:rPr>
        <w:t>water-soluble</w:t>
      </w:r>
      <w:r w:rsidR="009D081E" w:rsidRPr="00D67E5B">
        <w:rPr>
          <w:rFonts w:ascii="Arial" w:eastAsiaTheme="minorHAnsi" w:hAnsi="Arial" w:cs="Arial"/>
          <w:b/>
        </w:rPr>
        <w:t xml:space="preserve"> plus exchangeable zinc (WSEX-Zn) fraction</w:t>
      </w:r>
    </w:p>
    <w:p w14:paraId="14518C7D" w14:textId="215A5A73" w:rsidR="009D081E" w:rsidRPr="00D67E5B" w:rsidRDefault="003B7A14" w:rsidP="005430BA">
      <w:pPr>
        <w:widowControl/>
        <w:adjustRightInd w:val="0"/>
        <w:spacing w:line="360" w:lineRule="auto"/>
        <w:ind w:firstLine="567"/>
        <w:jc w:val="both"/>
        <w:rPr>
          <w:rFonts w:ascii="Arial" w:eastAsiaTheme="minorHAnsi" w:hAnsi="Arial" w:cs="Arial"/>
          <w:sz w:val="20"/>
          <w:szCs w:val="20"/>
        </w:rPr>
      </w:pPr>
      <w:r w:rsidRPr="00D67E5B">
        <w:rPr>
          <w:rFonts w:ascii="Arial" w:eastAsiaTheme="minorHAnsi" w:hAnsi="Arial" w:cs="Arial"/>
          <w:sz w:val="20"/>
          <w:szCs w:val="20"/>
        </w:rPr>
        <w:t>The transformation pattern of WSEX-Zn fraction under aerobic and anaerobic conditions at 0, 15, 30, 45, 60, 75, and 90 DAI is presented in Table</w:t>
      </w:r>
      <w:r w:rsidR="00FF4155">
        <w:rPr>
          <w:rFonts w:ascii="Arial" w:eastAsiaTheme="minorHAnsi" w:hAnsi="Arial" w:cs="Arial"/>
          <w:sz w:val="20"/>
          <w:szCs w:val="20"/>
        </w:rPr>
        <w:t>s</w:t>
      </w:r>
      <w:r w:rsidRPr="00D67E5B">
        <w:rPr>
          <w:rFonts w:ascii="Arial" w:eastAsiaTheme="minorHAnsi" w:hAnsi="Arial" w:cs="Arial"/>
          <w:sz w:val="20"/>
          <w:szCs w:val="20"/>
        </w:rPr>
        <w:t xml:space="preserve"> 1</w:t>
      </w:r>
      <w:r w:rsidR="00FF4155">
        <w:rPr>
          <w:rFonts w:ascii="Arial" w:eastAsiaTheme="minorHAnsi" w:hAnsi="Arial" w:cs="Arial"/>
          <w:sz w:val="20"/>
          <w:szCs w:val="20"/>
        </w:rPr>
        <w:t>-4</w:t>
      </w:r>
      <w:r w:rsidRPr="00D67E5B">
        <w:rPr>
          <w:rFonts w:ascii="Arial" w:eastAsiaTheme="minorHAnsi" w:hAnsi="Arial" w:cs="Arial"/>
          <w:sz w:val="20"/>
          <w:szCs w:val="20"/>
        </w:rPr>
        <w:t>. It was observed that the aeration condition has a</w:t>
      </w:r>
      <w:r w:rsidR="009D081E" w:rsidRPr="00D67E5B">
        <w:rPr>
          <w:rFonts w:ascii="Arial" w:eastAsiaTheme="minorHAnsi" w:hAnsi="Arial" w:cs="Arial"/>
          <w:sz w:val="20"/>
          <w:szCs w:val="20"/>
        </w:rPr>
        <w:t xml:space="preserve"> significant effect on WSEX-Zn content in all four soils. Irrespective of the incubation period, significantly lower WSEX-Zn content of 0.185, 0.148, 0.204, and 0.248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t>
      </w:r>
      <w:r w:rsidRPr="00D67E5B">
        <w:rPr>
          <w:rFonts w:ascii="Arial" w:eastAsiaTheme="minorHAnsi" w:hAnsi="Arial" w:cs="Arial"/>
          <w:sz w:val="20"/>
          <w:szCs w:val="20"/>
        </w:rPr>
        <w:t>was recorded under anaerobic conditions (M2) than 0.260, 0.209, 0.294, and 0.340 mg kg</w:t>
      </w:r>
      <w:r w:rsidRPr="004926B0">
        <w:rPr>
          <w:rFonts w:ascii="Arial" w:eastAsiaTheme="minorHAnsi" w:hAnsi="Arial" w:cs="Arial"/>
          <w:sz w:val="20"/>
          <w:szCs w:val="20"/>
          <w:vertAlign w:val="superscript"/>
        </w:rPr>
        <w:t>-1</w:t>
      </w:r>
      <w:r w:rsidRPr="00D67E5B">
        <w:rPr>
          <w:rFonts w:ascii="Arial" w:eastAsiaTheme="minorHAnsi" w:hAnsi="Arial" w:cs="Arial"/>
          <w:sz w:val="20"/>
          <w:szCs w:val="20"/>
        </w:rPr>
        <w:t xml:space="preserve"> </w:t>
      </w:r>
      <w:r w:rsidR="00C54D7A">
        <w:rPr>
          <w:rFonts w:ascii="Arial" w:eastAsiaTheme="minorHAnsi" w:hAnsi="Arial" w:cs="Arial"/>
          <w:sz w:val="20"/>
          <w:szCs w:val="20"/>
        </w:rPr>
        <w:t xml:space="preserve">recorded </w:t>
      </w:r>
      <w:r w:rsidRPr="00D67E5B">
        <w:rPr>
          <w:rFonts w:ascii="Arial" w:eastAsiaTheme="minorHAnsi" w:hAnsi="Arial" w:cs="Arial"/>
          <w:sz w:val="20"/>
          <w:szCs w:val="20"/>
        </w:rPr>
        <w:t>under aerobic conditions</w:t>
      </w:r>
      <w:r w:rsidR="009D081E" w:rsidRPr="00D67E5B">
        <w:rPr>
          <w:rFonts w:ascii="Arial" w:eastAsiaTheme="minorHAnsi" w:hAnsi="Arial" w:cs="Arial"/>
          <w:sz w:val="20"/>
          <w:szCs w:val="20"/>
        </w:rPr>
        <w:t xml:space="preserve">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xml:space="preserve">) in S1, S2, S3, and S4, respectively. </w:t>
      </w:r>
      <w:r w:rsidRPr="00D67E5B">
        <w:rPr>
          <w:rFonts w:ascii="Arial" w:eastAsiaTheme="minorHAnsi" w:hAnsi="Arial" w:cs="Arial"/>
          <w:sz w:val="20"/>
          <w:szCs w:val="20"/>
        </w:rPr>
        <w:t>A similar type of finding</w:t>
      </w:r>
      <w:r w:rsidR="009D081E" w:rsidRPr="00D67E5B">
        <w:rPr>
          <w:rFonts w:ascii="Arial" w:eastAsiaTheme="minorHAnsi" w:hAnsi="Arial" w:cs="Arial"/>
          <w:sz w:val="20"/>
          <w:szCs w:val="20"/>
        </w:rPr>
        <w:t xml:space="preserve"> has also been observed by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(2007). The incubation period (I) has also shown </w:t>
      </w:r>
      <w:r w:rsidRPr="00D67E5B">
        <w:rPr>
          <w:rFonts w:ascii="Arial" w:eastAsiaTheme="minorHAnsi" w:hAnsi="Arial" w:cs="Arial"/>
          <w:sz w:val="20"/>
          <w:szCs w:val="20"/>
        </w:rPr>
        <w:t xml:space="preserve">a significant effect </w:t>
      </w:r>
      <w:r w:rsidRPr="00D67E5B">
        <w:rPr>
          <w:rFonts w:ascii="Arial" w:eastAsiaTheme="minorHAnsi" w:hAnsi="Arial" w:cs="Arial"/>
          <w:sz w:val="20"/>
          <w:szCs w:val="20"/>
        </w:rPr>
        <w:lastRenderedPageBreak/>
        <w:t xml:space="preserve">on WSEX-Zn content, which significantly decreased along with the incubation period in all </w:t>
      </w:r>
      <w:r w:rsidR="009D081E" w:rsidRPr="00D67E5B">
        <w:rPr>
          <w:rFonts w:ascii="Arial" w:eastAsiaTheme="minorHAnsi" w:hAnsi="Arial" w:cs="Arial"/>
          <w:sz w:val="20"/>
          <w:szCs w:val="20"/>
        </w:rPr>
        <w:t>four soils. This finding is in line with the observation of Sharma (2002). Significantly highest WSEX-Zn amount of 0.323, 0.265, 0.336, and 0.459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was recorded in S1, S2, S3, and S4, respectively</w:t>
      </w:r>
      <w:r w:rsidR="00D67E5B">
        <w:rPr>
          <w:rFonts w:ascii="Arial" w:eastAsiaTheme="minorHAnsi" w:hAnsi="Arial" w:cs="Arial"/>
          <w:sz w:val="20"/>
          <w:szCs w:val="20"/>
        </w:rPr>
        <w:t>, at 0 DAI,</w:t>
      </w:r>
      <w:r w:rsidR="009D081E" w:rsidRPr="00D67E5B">
        <w:rPr>
          <w:rFonts w:ascii="Arial" w:eastAsiaTheme="minorHAnsi" w:hAnsi="Arial" w:cs="Arial"/>
          <w:sz w:val="20"/>
          <w:szCs w:val="20"/>
        </w:rPr>
        <w:t xml:space="preserve"> which is at par with the value of 15 DAI in case of S2 &amp; S3. In all the four soils the WSEX-Zn has shown a significant decrease along with the progress of the incubation period (I) under both aerobic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and anerobic (M</w:t>
      </w:r>
      <w:r w:rsidR="009D081E" w:rsidRPr="00D67E5B">
        <w:rPr>
          <w:rFonts w:ascii="Arial" w:eastAsiaTheme="minorHAnsi" w:hAnsi="Arial" w:cs="Arial"/>
          <w:sz w:val="20"/>
          <w:szCs w:val="20"/>
          <w:vertAlign w:val="subscript"/>
        </w:rPr>
        <w:t>2</w:t>
      </w:r>
      <w:r w:rsidR="009D081E" w:rsidRPr="00D67E5B">
        <w:rPr>
          <w:rFonts w:ascii="Arial" w:eastAsiaTheme="minorHAnsi" w:hAnsi="Arial" w:cs="Arial"/>
          <w:sz w:val="20"/>
          <w:szCs w:val="20"/>
        </w:rPr>
        <w:t xml:space="preserve">) conditions however, the decrease </w:t>
      </w:r>
      <w:r w:rsidR="00C54D7A">
        <w:rPr>
          <w:rFonts w:ascii="Arial" w:eastAsiaTheme="minorHAnsi" w:hAnsi="Arial" w:cs="Arial"/>
          <w:sz w:val="20"/>
          <w:szCs w:val="20"/>
        </w:rPr>
        <w:t>was</w:t>
      </w:r>
      <w:r w:rsidR="009D081E" w:rsidRPr="00D67E5B">
        <w:rPr>
          <w:rFonts w:ascii="Arial" w:eastAsiaTheme="minorHAnsi" w:hAnsi="Arial" w:cs="Arial"/>
          <w:sz w:val="20"/>
          <w:szCs w:val="20"/>
        </w:rPr>
        <w:t xml:space="preserve"> more under the later one</w:t>
      </w:r>
      <w:r w:rsidR="00C54D7A">
        <w:rPr>
          <w:rFonts w:ascii="Arial" w:eastAsiaTheme="minorHAnsi" w:hAnsi="Arial" w:cs="Arial"/>
          <w:sz w:val="20"/>
          <w:szCs w:val="20"/>
        </w:rPr>
        <w:t xml:space="preserve">. </w:t>
      </w:r>
      <w:r w:rsidR="009D081E" w:rsidRPr="00D67E5B">
        <w:rPr>
          <w:rFonts w:ascii="Arial" w:eastAsiaTheme="minorHAnsi" w:hAnsi="Arial" w:cs="Arial"/>
          <w:sz w:val="20"/>
          <w:szCs w:val="20"/>
        </w:rPr>
        <w:t>Similar findings w</w:t>
      </w:r>
      <w:r w:rsidR="00014C4F" w:rsidRPr="00D67E5B">
        <w:rPr>
          <w:rFonts w:ascii="Arial" w:eastAsiaTheme="minorHAnsi" w:hAnsi="Arial" w:cs="Arial"/>
          <w:sz w:val="20"/>
          <w:szCs w:val="20"/>
        </w:rPr>
        <w:t>ere</w:t>
      </w:r>
      <w:r w:rsidR="009D081E" w:rsidRPr="00D67E5B">
        <w:rPr>
          <w:rFonts w:ascii="Arial" w:eastAsiaTheme="minorHAnsi" w:hAnsi="Arial" w:cs="Arial"/>
          <w:sz w:val="20"/>
          <w:szCs w:val="20"/>
        </w:rPr>
        <w:t xml:space="preserve"> observed by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2007. Under aerobic condition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significantly highest WSEX-Zn value of 0.326, 0.264, 0.336, and 0.453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were observed in S1, S2, S3 and S4 respectively at 0 DAI and this maximum value is at par with the values observed at 15 DAI &amp; 30 DAI (in S1 &amp; S2), at 15DAI, 30 DAI, &amp; 45 DAI (in S3). </w:t>
      </w:r>
      <w:r w:rsidRPr="00D67E5B">
        <w:rPr>
          <w:rFonts w:ascii="Arial" w:eastAsiaTheme="minorHAnsi" w:hAnsi="Arial" w:cs="Arial"/>
          <w:sz w:val="20"/>
          <w:szCs w:val="20"/>
        </w:rPr>
        <w:t>Similarly,</w:t>
      </w:r>
      <w:r w:rsidR="009D081E" w:rsidRPr="00D67E5B">
        <w:rPr>
          <w:rFonts w:ascii="Arial" w:eastAsiaTheme="minorHAnsi" w:hAnsi="Arial" w:cs="Arial"/>
          <w:sz w:val="20"/>
          <w:szCs w:val="20"/>
        </w:rPr>
        <w:t xml:space="preserve"> under anaerobic </w:t>
      </w:r>
      <w:r w:rsidR="00014C4F" w:rsidRPr="00D67E5B">
        <w:rPr>
          <w:rFonts w:ascii="Arial" w:eastAsiaTheme="minorHAnsi" w:hAnsi="Arial" w:cs="Arial"/>
          <w:sz w:val="20"/>
          <w:szCs w:val="20"/>
        </w:rPr>
        <w:t>conditions (M2), significantly the highest WSEX-Zn values of 0.319, 0.266, 0.337, and 0.464 mg kg</w:t>
      </w:r>
      <w:r w:rsidR="00014C4F" w:rsidRPr="00C54D7A">
        <w:rPr>
          <w:rFonts w:ascii="Arial" w:eastAsiaTheme="minorHAnsi" w:hAnsi="Arial" w:cs="Arial"/>
          <w:sz w:val="20"/>
          <w:szCs w:val="20"/>
          <w:vertAlign w:val="superscript"/>
        </w:rPr>
        <w:t>-1</w:t>
      </w:r>
      <w:r w:rsidR="00014C4F" w:rsidRPr="00D67E5B">
        <w:rPr>
          <w:rFonts w:ascii="Arial" w:eastAsiaTheme="minorHAnsi" w:hAnsi="Arial" w:cs="Arial"/>
          <w:sz w:val="20"/>
          <w:szCs w:val="20"/>
        </w:rPr>
        <w:t xml:space="preserve"> were observed in S1, S2, S3, and S4, respectively, at 0 DAI, which is at par with 15 DAI only in the </w:t>
      </w:r>
      <w:r w:rsidR="009D081E" w:rsidRPr="00D67E5B">
        <w:rPr>
          <w:rFonts w:ascii="Arial" w:eastAsiaTheme="minorHAnsi" w:hAnsi="Arial" w:cs="Arial"/>
          <w:sz w:val="20"/>
          <w:szCs w:val="20"/>
        </w:rPr>
        <w:t>case of S3. After 0DAI</w:t>
      </w:r>
      <w:r w:rsidR="00D67E5B">
        <w:rPr>
          <w:rFonts w:ascii="Arial" w:eastAsiaTheme="minorHAnsi" w:hAnsi="Arial" w:cs="Arial"/>
          <w:sz w:val="20"/>
          <w:szCs w:val="20"/>
        </w:rPr>
        <w:t>, the value of WSEX-Zn under anaerobic conditions (M2) was always lower than that of aerobic conditions (M1), but it was found to be significant from 30 DAI onwards up to 90 DAI,</w:t>
      </w:r>
      <w:r w:rsidR="009D081E" w:rsidRPr="00D67E5B">
        <w:rPr>
          <w:rFonts w:ascii="Arial" w:eastAsiaTheme="minorHAnsi" w:hAnsi="Arial" w:cs="Arial"/>
          <w:sz w:val="20"/>
          <w:szCs w:val="20"/>
        </w:rPr>
        <w:t xml:space="preserve"> except in S4, where a significant decrease was observed after 15 DAI. The decrease in WSEX –Zn fraction under anaerobic (M</w:t>
      </w:r>
      <w:r w:rsidR="009D081E" w:rsidRPr="00D67E5B">
        <w:rPr>
          <w:rFonts w:ascii="Arial" w:eastAsiaTheme="minorHAnsi" w:hAnsi="Arial" w:cs="Arial"/>
          <w:sz w:val="20"/>
          <w:szCs w:val="20"/>
          <w:vertAlign w:val="subscript"/>
        </w:rPr>
        <w:t>2</w:t>
      </w:r>
      <w:r w:rsidR="009D081E" w:rsidRPr="00D67E5B">
        <w:rPr>
          <w:rFonts w:ascii="Arial" w:eastAsiaTheme="minorHAnsi" w:hAnsi="Arial" w:cs="Arial"/>
          <w:sz w:val="20"/>
          <w:szCs w:val="20"/>
        </w:rPr>
        <w:t>) situation has been observed by many workers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2014</w:t>
      </w:r>
      <w:r w:rsidR="00D67E5B">
        <w:rPr>
          <w:rFonts w:ascii="Arial" w:eastAsiaTheme="minorHAnsi" w:hAnsi="Arial" w:cs="Arial"/>
          <w:sz w:val="20"/>
          <w:szCs w:val="20"/>
        </w:rPr>
        <w:t>;</w:t>
      </w:r>
      <w:r w:rsidR="009D081E" w:rsidRPr="00D67E5B">
        <w:rPr>
          <w:rFonts w:ascii="Arial" w:eastAsiaTheme="minorHAnsi" w:hAnsi="Arial" w:cs="Arial"/>
          <w:sz w:val="20"/>
          <w:szCs w:val="20"/>
        </w:rPr>
        <w:t xml:space="preserve"> </w:t>
      </w:r>
      <w:r w:rsidR="004926B0" w:rsidRPr="004926B0">
        <w:rPr>
          <w:rFonts w:ascii="Arial" w:eastAsiaTheme="minorHAnsi" w:hAnsi="Arial" w:cs="Arial"/>
          <w:sz w:val="20"/>
          <w:szCs w:val="20"/>
        </w:rPr>
        <w:t>Kumar and Babel (2011)</w:t>
      </w:r>
      <w:r w:rsidR="00972996">
        <w:rPr>
          <w:rFonts w:ascii="Arial" w:eastAsiaTheme="minorHAnsi" w:hAnsi="Arial" w:cs="Arial"/>
          <w:sz w:val="20"/>
          <w:szCs w:val="20"/>
        </w:rPr>
        <w:t xml:space="preserve"> and</w:t>
      </w:r>
      <w:r w:rsidR="004926B0" w:rsidRPr="004926B0">
        <w:rPr>
          <w:rFonts w:ascii="Arial" w:eastAsiaTheme="minorHAnsi" w:hAnsi="Arial" w:cs="Arial"/>
          <w:sz w:val="20"/>
          <w:szCs w:val="20"/>
        </w:rPr>
        <w:t xml:space="preserve"> Ramzan et al., (2014)</w:t>
      </w:r>
      <w:r w:rsidR="00972996">
        <w:rPr>
          <w:rFonts w:ascii="Arial" w:eastAsiaTheme="minorHAnsi" w:hAnsi="Arial" w:cs="Arial"/>
          <w:sz w:val="20"/>
          <w:szCs w:val="20"/>
        </w:rPr>
        <w:t xml:space="preserve"> </w:t>
      </w:r>
      <w:r w:rsidR="009D081E" w:rsidRPr="00D67E5B">
        <w:rPr>
          <w:rFonts w:ascii="Arial" w:eastAsiaTheme="minorHAnsi" w:hAnsi="Arial" w:cs="Arial"/>
          <w:sz w:val="20"/>
          <w:szCs w:val="20"/>
        </w:rPr>
        <w:t>in their incubation stud</w:t>
      </w:r>
      <w:r w:rsidR="00C54D7A">
        <w:rPr>
          <w:rFonts w:ascii="Arial" w:eastAsiaTheme="minorHAnsi" w:hAnsi="Arial" w:cs="Arial"/>
          <w:sz w:val="20"/>
          <w:szCs w:val="20"/>
        </w:rPr>
        <w:t>ies</w:t>
      </w:r>
      <w:r w:rsidR="009D081E" w:rsidRPr="00D67E5B">
        <w:rPr>
          <w:rFonts w:ascii="Arial" w:eastAsiaTheme="minorHAnsi" w:hAnsi="Arial" w:cs="Arial"/>
          <w:sz w:val="20"/>
          <w:szCs w:val="20"/>
        </w:rPr>
        <w:t xml:space="preserve"> on </w:t>
      </w:r>
      <w:r w:rsidR="00D67E5B">
        <w:rPr>
          <w:rFonts w:ascii="Arial" w:eastAsiaTheme="minorHAnsi" w:hAnsi="Arial" w:cs="Arial"/>
          <w:sz w:val="20"/>
          <w:szCs w:val="20"/>
        </w:rPr>
        <w:t xml:space="preserve">the </w:t>
      </w:r>
      <w:r w:rsidR="009D081E" w:rsidRPr="00D67E5B">
        <w:rPr>
          <w:rFonts w:ascii="Arial" w:eastAsiaTheme="minorHAnsi" w:hAnsi="Arial" w:cs="Arial"/>
          <w:sz w:val="20"/>
          <w:szCs w:val="20"/>
        </w:rPr>
        <w:t>transformation of native soil zinc. This decrease might be due to the increase in soil pH value under submergence which decreased the solubility of the native WSEX-Zn by precipitation of some amount of it as hydroxides and/or adsorption on the surface of freshly formed hydrated oxides of Fe &amp; Mn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2014).</w:t>
      </w:r>
    </w:p>
    <w:p w14:paraId="1B67B715" w14:textId="77777777" w:rsidR="00014C4F" w:rsidRPr="00D67E5B" w:rsidRDefault="00014C4F" w:rsidP="00014C4F">
      <w:pPr>
        <w:widowControl/>
        <w:adjustRightInd w:val="0"/>
        <w:spacing w:line="360" w:lineRule="auto"/>
        <w:jc w:val="both"/>
        <w:rPr>
          <w:rFonts w:ascii="Arial" w:eastAsiaTheme="minorHAnsi" w:hAnsi="Arial" w:cs="Arial"/>
          <w:b/>
          <w:sz w:val="20"/>
          <w:szCs w:val="20"/>
        </w:rPr>
      </w:pPr>
    </w:p>
    <w:p w14:paraId="178754B4" w14:textId="1B7DCA25" w:rsidR="009D081E" w:rsidRPr="00651E97" w:rsidRDefault="00651E97" w:rsidP="00014C4F">
      <w:pPr>
        <w:widowControl/>
        <w:adjustRightInd w:val="0"/>
        <w:spacing w:line="360" w:lineRule="auto"/>
        <w:jc w:val="both"/>
        <w:rPr>
          <w:rFonts w:ascii="Arial" w:eastAsiaTheme="minorHAnsi" w:hAnsi="Arial" w:cs="Arial"/>
          <w:b/>
        </w:rPr>
      </w:pPr>
      <w:r>
        <w:rPr>
          <w:rFonts w:ascii="Arial" w:eastAsiaTheme="minorHAnsi" w:hAnsi="Arial" w:cs="Arial"/>
          <w:b/>
        </w:rPr>
        <w:t xml:space="preserve">3.2. </w:t>
      </w:r>
      <w:r w:rsidR="009D081E" w:rsidRPr="00651E97">
        <w:rPr>
          <w:rFonts w:ascii="Arial" w:eastAsiaTheme="minorHAnsi" w:hAnsi="Arial" w:cs="Arial"/>
          <w:b/>
        </w:rPr>
        <w:t>Transformation of organically complexed zinc (OC-Zn) fraction</w:t>
      </w:r>
    </w:p>
    <w:p w14:paraId="5A904954" w14:textId="0A468938" w:rsidR="009D081E" w:rsidRPr="00651E97" w:rsidRDefault="009D081E" w:rsidP="005430BA">
      <w:pPr>
        <w:widowControl/>
        <w:adjustRightInd w:val="0"/>
        <w:spacing w:after="240" w:line="360" w:lineRule="auto"/>
        <w:ind w:firstLine="567"/>
        <w:jc w:val="both"/>
        <w:rPr>
          <w:rFonts w:ascii="Arial" w:eastAsiaTheme="minorHAnsi" w:hAnsi="Arial" w:cs="Arial"/>
          <w:sz w:val="20"/>
          <w:szCs w:val="20"/>
        </w:rPr>
      </w:pPr>
      <w:r w:rsidRPr="00651E97">
        <w:rPr>
          <w:rFonts w:ascii="Arial" w:eastAsiaTheme="minorHAnsi" w:hAnsi="Arial" w:cs="Arial"/>
          <w:sz w:val="20"/>
          <w:szCs w:val="20"/>
        </w:rPr>
        <w:t xml:space="preserve">From the table </w:t>
      </w:r>
      <w:r w:rsidR="00FF4155">
        <w:rPr>
          <w:rFonts w:ascii="Arial" w:eastAsiaTheme="minorHAnsi" w:hAnsi="Arial" w:cs="Arial"/>
          <w:sz w:val="20"/>
          <w:szCs w:val="20"/>
        </w:rPr>
        <w:t>1-4</w:t>
      </w:r>
      <w:r w:rsidRPr="00651E97">
        <w:rPr>
          <w:rFonts w:ascii="Arial" w:eastAsiaTheme="minorHAnsi" w:hAnsi="Arial" w:cs="Arial"/>
          <w:sz w:val="20"/>
          <w:szCs w:val="20"/>
        </w:rPr>
        <w:t xml:space="preserve"> it was observed that the aeration condition of soil ha</w:t>
      </w:r>
      <w:r w:rsidR="00FF4155">
        <w:rPr>
          <w:rFonts w:ascii="Arial" w:eastAsiaTheme="minorHAnsi" w:hAnsi="Arial" w:cs="Arial"/>
          <w:sz w:val="20"/>
          <w:szCs w:val="20"/>
        </w:rPr>
        <w:t>d</w:t>
      </w:r>
      <w:r w:rsidRPr="00651E97">
        <w:rPr>
          <w:rFonts w:ascii="Arial" w:eastAsiaTheme="minorHAnsi" w:hAnsi="Arial" w:cs="Arial"/>
          <w:sz w:val="20"/>
          <w:szCs w:val="20"/>
        </w:rPr>
        <w:t xml:space="preserve"> shown a significant effect on OC-Zn content and significantly higher value</w:t>
      </w:r>
      <w:r w:rsidR="00C54D7A">
        <w:rPr>
          <w:rFonts w:ascii="Arial" w:eastAsiaTheme="minorHAnsi" w:hAnsi="Arial" w:cs="Arial"/>
          <w:sz w:val="20"/>
          <w:szCs w:val="20"/>
        </w:rPr>
        <w:t>s</w:t>
      </w:r>
      <w:r w:rsidRPr="00651E97">
        <w:rPr>
          <w:rFonts w:ascii="Arial" w:eastAsiaTheme="minorHAnsi" w:hAnsi="Arial" w:cs="Arial"/>
          <w:sz w:val="20"/>
          <w:szCs w:val="20"/>
        </w:rPr>
        <w:t xml:space="preserve"> of 1.706, 1.767, 2.159 and 3.811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were recorded under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than 1.582, 1.661, 2.024 and 3.712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w:t>
      </w:r>
      <w:r w:rsidR="00FF4155">
        <w:rPr>
          <w:rFonts w:ascii="Arial" w:eastAsiaTheme="minorHAnsi" w:hAnsi="Arial" w:cs="Arial"/>
          <w:sz w:val="20"/>
          <w:szCs w:val="20"/>
        </w:rPr>
        <w:t xml:space="preserve">recorded </w:t>
      </w:r>
      <w:r w:rsidRPr="00651E97">
        <w:rPr>
          <w:rFonts w:ascii="Arial" w:eastAsiaTheme="minorHAnsi" w:hAnsi="Arial" w:cs="Arial"/>
          <w:sz w:val="20"/>
          <w:szCs w:val="20"/>
        </w:rPr>
        <w:t>under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xml:space="preserve">) in S1, S2, S3, and S4, respectively. Such effect of aeration is in line with the findings of </w:t>
      </w:r>
      <w:proofErr w:type="spellStart"/>
      <w:r w:rsidRPr="00651E97">
        <w:rPr>
          <w:rFonts w:ascii="Arial" w:eastAsiaTheme="minorHAnsi" w:hAnsi="Arial" w:cs="Arial"/>
          <w:sz w:val="20"/>
          <w:szCs w:val="20"/>
        </w:rPr>
        <w:t>Wijebandara</w:t>
      </w:r>
      <w:proofErr w:type="spellEnd"/>
      <w:r w:rsidRPr="00651E97">
        <w:rPr>
          <w:rFonts w:ascii="Arial" w:eastAsiaTheme="minorHAnsi" w:hAnsi="Arial" w:cs="Arial"/>
          <w:sz w:val="20"/>
          <w:szCs w:val="20"/>
        </w:rPr>
        <w:t xml:space="preserve"> (2007) under field capacity and submergence moisture regime.</w:t>
      </w:r>
      <w:r w:rsidR="00DA357A" w:rsidRPr="00651E97">
        <w:rPr>
          <w:rFonts w:ascii="Arial" w:eastAsiaTheme="minorHAnsi" w:hAnsi="Arial" w:cs="Arial"/>
          <w:sz w:val="20"/>
          <w:szCs w:val="20"/>
        </w:rPr>
        <w:t xml:space="preserve"> </w:t>
      </w:r>
      <w:r w:rsidRPr="00651E97">
        <w:rPr>
          <w:rFonts w:ascii="Arial" w:eastAsiaTheme="minorHAnsi" w:hAnsi="Arial" w:cs="Arial"/>
          <w:sz w:val="20"/>
          <w:szCs w:val="20"/>
        </w:rPr>
        <w:t>The incubation period (I) also sho</w:t>
      </w:r>
      <w:r w:rsidR="00FF4155">
        <w:rPr>
          <w:rFonts w:ascii="Arial" w:eastAsiaTheme="minorHAnsi" w:hAnsi="Arial" w:cs="Arial"/>
          <w:sz w:val="20"/>
          <w:szCs w:val="20"/>
        </w:rPr>
        <w:t>wed</w:t>
      </w:r>
      <w:r w:rsidRPr="00651E97">
        <w:rPr>
          <w:rFonts w:ascii="Arial" w:eastAsiaTheme="minorHAnsi" w:hAnsi="Arial" w:cs="Arial"/>
          <w:sz w:val="20"/>
          <w:szCs w:val="20"/>
        </w:rPr>
        <w:t xml:space="preserve"> significant effect on OC-Zn content in all the four soils. In S1 &amp; S4 maximum OC-Zn content of 1.907 &amp; 4.821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w</w:t>
      </w:r>
      <w:r w:rsidR="00FF4155">
        <w:rPr>
          <w:rFonts w:ascii="Arial" w:eastAsiaTheme="minorHAnsi" w:hAnsi="Arial" w:cs="Arial"/>
          <w:sz w:val="20"/>
          <w:szCs w:val="20"/>
        </w:rPr>
        <w:t>ere</w:t>
      </w:r>
      <w:r w:rsidRPr="00651E97">
        <w:rPr>
          <w:rFonts w:ascii="Arial" w:eastAsiaTheme="minorHAnsi" w:hAnsi="Arial" w:cs="Arial"/>
          <w:sz w:val="20"/>
          <w:szCs w:val="20"/>
        </w:rPr>
        <w:t xml:space="preserve"> observed at 15 DAI, respectively and it was 1.990 &amp; 2.524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at 30 DAI for S2 &amp; S3, respectively. These maximum values are at par with the values </w:t>
      </w:r>
      <w:r w:rsidR="00FF4155">
        <w:rPr>
          <w:rFonts w:ascii="Arial" w:eastAsiaTheme="minorHAnsi" w:hAnsi="Arial" w:cs="Arial"/>
          <w:sz w:val="20"/>
          <w:szCs w:val="20"/>
        </w:rPr>
        <w:t xml:space="preserve">observed </w:t>
      </w:r>
      <w:r w:rsidRPr="00651E97">
        <w:rPr>
          <w:rFonts w:ascii="Arial" w:eastAsiaTheme="minorHAnsi" w:hAnsi="Arial" w:cs="Arial"/>
          <w:sz w:val="20"/>
          <w:szCs w:val="20"/>
        </w:rPr>
        <w:t xml:space="preserve">at 0DAI &amp; 30 DAI in S1 &amp; S4 and with </w:t>
      </w:r>
      <w:r w:rsidR="00FF4155">
        <w:rPr>
          <w:rFonts w:ascii="Arial" w:eastAsiaTheme="minorHAnsi" w:hAnsi="Arial" w:cs="Arial"/>
          <w:sz w:val="20"/>
          <w:szCs w:val="20"/>
        </w:rPr>
        <w:t>that</w:t>
      </w:r>
      <w:r w:rsidRPr="00651E97">
        <w:rPr>
          <w:rFonts w:ascii="Arial" w:eastAsiaTheme="minorHAnsi" w:hAnsi="Arial" w:cs="Arial"/>
          <w:sz w:val="20"/>
          <w:szCs w:val="20"/>
        </w:rPr>
        <w:t xml:space="preserve"> at 0DAI &amp; 15 DAI in S2 &amp;S3. In all the four soils after approaching the maximum at 15 or 30 DAI, the values gradually decreased and reached to minimum content of 1.315, 1.377, 1.590, 2.571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at 90 DAI in S1, S2, S3, &amp; S4, respectively and these minimum values are at par with the value</w:t>
      </w:r>
      <w:r w:rsidR="00FF4155">
        <w:rPr>
          <w:rFonts w:ascii="Arial" w:eastAsiaTheme="minorHAnsi" w:hAnsi="Arial" w:cs="Arial"/>
          <w:sz w:val="20"/>
          <w:szCs w:val="20"/>
        </w:rPr>
        <w:t>s obtained</w:t>
      </w:r>
      <w:r w:rsidRPr="00651E97">
        <w:rPr>
          <w:rFonts w:ascii="Arial" w:eastAsiaTheme="minorHAnsi" w:hAnsi="Arial" w:cs="Arial"/>
          <w:sz w:val="20"/>
          <w:szCs w:val="20"/>
        </w:rPr>
        <w:t xml:space="preserve"> at 75DAI in respective soils. Decreasing effect of incubation period was also observed by </w:t>
      </w:r>
      <w:proofErr w:type="spellStart"/>
      <w:r w:rsidRPr="00651E97">
        <w:rPr>
          <w:rFonts w:ascii="Arial" w:eastAsiaTheme="minorHAnsi" w:hAnsi="Arial" w:cs="Arial"/>
          <w:sz w:val="20"/>
          <w:szCs w:val="20"/>
        </w:rPr>
        <w:t>Wijebandara</w:t>
      </w:r>
      <w:proofErr w:type="spellEnd"/>
      <w:r w:rsidRPr="00651E97">
        <w:rPr>
          <w:rFonts w:ascii="Arial" w:eastAsiaTheme="minorHAnsi" w:hAnsi="Arial" w:cs="Arial"/>
          <w:sz w:val="20"/>
          <w:szCs w:val="20"/>
        </w:rPr>
        <w:t xml:space="preserve"> (2007) during his 30, 60 &amp; 90 days of incubation study under field capacity and submergence moisture regime. </w:t>
      </w:r>
      <w:r w:rsidR="005430BA" w:rsidRPr="00651E97">
        <w:rPr>
          <w:rFonts w:ascii="Arial" w:eastAsiaTheme="minorHAnsi" w:hAnsi="Arial" w:cs="Arial"/>
          <w:sz w:val="20"/>
          <w:szCs w:val="20"/>
        </w:rPr>
        <w:t>It was also</w:t>
      </w:r>
      <w:r w:rsidRPr="00651E97">
        <w:rPr>
          <w:rFonts w:ascii="Arial" w:eastAsiaTheme="minorHAnsi" w:hAnsi="Arial" w:cs="Arial"/>
          <w:sz w:val="20"/>
          <w:szCs w:val="20"/>
        </w:rPr>
        <w:t xml:space="preserve"> observed that in all the four soils, under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xml:space="preserve">), the amount of OC-Zn showed an increase immediately after submergence, attained a peak value of 2.021, 2.128, 2.751 &amp; 5.576 at 30 DAI in S1, S2, S3 &amp; S4, respectively and </w:t>
      </w:r>
      <w:r w:rsidRPr="00651E97">
        <w:rPr>
          <w:rFonts w:ascii="Arial" w:eastAsiaTheme="minorHAnsi" w:hAnsi="Arial" w:cs="Arial"/>
          <w:sz w:val="20"/>
          <w:szCs w:val="20"/>
        </w:rPr>
        <w:lastRenderedPageBreak/>
        <w:t>thereafter showed a declining trend by significantly decreasing from the initial value at 45 DAI .The maximum value at 30 DAI is at par with that at 15 DAI &amp; O DAI in all the soils except S4, where it is at par with only 15 DAI i.e.</w:t>
      </w:r>
      <w:r w:rsidR="00FF4155">
        <w:rPr>
          <w:rFonts w:ascii="Arial" w:eastAsiaTheme="minorHAnsi" w:hAnsi="Arial" w:cs="Arial"/>
          <w:sz w:val="20"/>
          <w:szCs w:val="20"/>
        </w:rPr>
        <w:t>,</w:t>
      </w:r>
      <w:r w:rsidRPr="00651E97">
        <w:rPr>
          <w:rFonts w:ascii="Arial" w:eastAsiaTheme="minorHAnsi" w:hAnsi="Arial" w:cs="Arial"/>
          <w:sz w:val="20"/>
          <w:szCs w:val="20"/>
        </w:rPr>
        <w:t xml:space="preserve"> significantly increased from the initial value. Similar trend was also reported by Chatterjee </w:t>
      </w:r>
      <w:r w:rsidRPr="00651E97">
        <w:rPr>
          <w:rFonts w:ascii="Arial" w:eastAsiaTheme="minorHAnsi" w:hAnsi="Arial" w:cs="Arial"/>
          <w:i/>
          <w:sz w:val="20"/>
          <w:szCs w:val="20"/>
        </w:rPr>
        <w:t>et al</w:t>
      </w:r>
      <w:r w:rsidRPr="00651E97">
        <w:rPr>
          <w:rFonts w:ascii="Arial" w:eastAsiaTheme="minorHAnsi" w:hAnsi="Arial" w:cs="Arial"/>
          <w:sz w:val="20"/>
          <w:szCs w:val="20"/>
        </w:rPr>
        <w:t xml:space="preserve">. (1992) and Singh (2018). Singh (2018) explained that such </w:t>
      </w:r>
      <w:r w:rsidR="00651E97">
        <w:rPr>
          <w:rFonts w:ascii="Arial" w:eastAsiaTheme="minorHAnsi" w:hAnsi="Arial" w:cs="Arial"/>
          <w:sz w:val="20"/>
          <w:szCs w:val="20"/>
        </w:rPr>
        <w:t xml:space="preserve">an increase is possible due to the release of Zn bound by crystalline </w:t>
      </w:r>
      <w:proofErr w:type="spellStart"/>
      <w:r w:rsidR="00651E97">
        <w:rPr>
          <w:rFonts w:ascii="Arial" w:eastAsiaTheme="minorHAnsi" w:hAnsi="Arial" w:cs="Arial"/>
          <w:sz w:val="20"/>
          <w:szCs w:val="20"/>
        </w:rPr>
        <w:t>sesquioxides</w:t>
      </w:r>
      <w:proofErr w:type="spellEnd"/>
      <w:r w:rsidR="00651E97">
        <w:rPr>
          <w:rFonts w:ascii="Arial" w:eastAsiaTheme="minorHAnsi" w:hAnsi="Arial" w:cs="Arial"/>
          <w:sz w:val="20"/>
          <w:szCs w:val="20"/>
        </w:rPr>
        <w:t xml:space="preserve"> under submerged conditions and its subsequent chelation by metal-binding biochemical substances resulting from incomplete microbial decomposition of soil organic matter under anaerobic conditions</w:t>
      </w:r>
      <w:r w:rsidRPr="00651E97">
        <w:rPr>
          <w:rFonts w:ascii="Arial" w:eastAsiaTheme="minorHAnsi" w:hAnsi="Arial" w:cs="Arial"/>
          <w:sz w:val="20"/>
          <w:szCs w:val="20"/>
        </w:rPr>
        <w:t xml:space="preserve">. Further the declining trend towards the latter period of submergence might be due to the decrease in stability of Zn-organic complexes at lower Eh of the soil attained after prolonged submergence (Mandal </w:t>
      </w:r>
      <w:r w:rsidRPr="00651E97">
        <w:rPr>
          <w:rFonts w:ascii="Arial" w:eastAsiaTheme="minorHAnsi" w:hAnsi="Arial" w:cs="Arial"/>
          <w:i/>
          <w:sz w:val="20"/>
          <w:szCs w:val="20"/>
        </w:rPr>
        <w:t>et al.,</w:t>
      </w:r>
      <w:r w:rsidRPr="00651E97">
        <w:rPr>
          <w:rFonts w:ascii="Arial" w:eastAsiaTheme="minorHAnsi" w:hAnsi="Arial" w:cs="Arial"/>
          <w:sz w:val="20"/>
          <w:szCs w:val="20"/>
        </w:rPr>
        <w:t xml:space="preserve"> 1992). Under aerobic </w:t>
      </w:r>
      <w:r w:rsidR="00651E97">
        <w:rPr>
          <w:rFonts w:ascii="Arial" w:eastAsiaTheme="minorHAnsi" w:hAnsi="Arial" w:cs="Arial"/>
          <w:sz w:val="20"/>
          <w:szCs w:val="20"/>
        </w:rPr>
        <w:t>conditions (M1) in all soils, there was a gradual decrement in OC-Zn content throughout the incubation period, with a significant decrease from the initial at 60DAI in S1 &amp; S2, at 45DAI in S3,</w:t>
      </w:r>
      <w:r w:rsidRPr="00651E97">
        <w:rPr>
          <w:rFonts w:ascii="Arial" w:eastAsiaTheme="minorHAnsi" w:hAnsi="Arial" w:cs="Arial"/>
          <w:sz w:val="20"/>
          <w:szCs w:val="20"/>
        </w:rPr>
        <w:t xml:space="preserve"> and at 15 DAI in S4. However, significantly lower amount of OC-Zn was observed in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than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xml:space="preserve">) from 45DAI onwards in all soils except S2 where </w:t>
      </w:r>
      <w:r w:rsidR="00FF4155">
        <w:rPr>
          <w:rFonts w:ascii="Arial" w:eastAsiaTheme="minorHAnsi" w:hAnsi="Arial" w:cs="Arial"/>
          <w:sz w:val="20"/>
          <w:szCs w:val="20"/>
        </w:rPr>
        <w:t>the decrease was observed after</w:t>
      </w:r>
      <w:r w:rsidRPr="00651E97">
        <w:rPr>
          <w:rFonts w:ascii="Arial" w:eastAsiaTheme="minorHAnsi" w:hAnsi="Arial" w:cs="Arial"/>
          <w:sz w:val="20"/>
          <w:szCs w:val="20"/>
        </w:rPr>
        <w:t xml:space="preserve"> 60 DAI. But in initial periods</w:t>
      </w:r>
      <w:r w:rsidR="00651E97">
        <w:rPr>
          <w:rFonts w:ascii="Arial" w:eastAsiaTheme="minorHAnsi" w:hAnsi="Arial" w:cs="Arial"/>
          <w:sz w:val="20"/>
          <w:szCs w:val="20"/>
        </w:rPr>
        <w:t>, a significantly higher value was observed under anaerobic conditions (M2) than that of aerobic conditions (M1) at 15 DAI and</w:t>
      </w:r>
      <w:r w:rsidRPr="00651E97">
        <w:rPr>
          <w:rFonts w:ascii="Arial" w:eastAsiaTheme="minorHAnsi" w:hAnsi="Arial" w:cs="Arial"/>
          <w:sz w:val="20"/>
          <w:szCs w:val="20"/>
        </w:rPr>
        <w:t xml:space="preserve"> 30 DAI in all the soils except S1, where it is significant only at 30 DAI. Similar findings of decrease of OC-Zn content under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was also reported by Alvarez and Gonzalez (2006).</w:t>
      </w:r>
    </w:p>
    <w:p w14:paraId="6C59F4E7" w14:textId="704DD12C" w:rsidR="009D081E" w:rsidRPr="003B7A14" w:rsidRDefault="00651E97" w:rsidP="005430BA">
      <w:pPr>
        <w:widowControl/>
        <w:adjustRightInd w:val="0"/>
        <w:spacing w:line="360" w:lineRule="auto"/>
        <w:jc w:val="both"/>
        <w:rPr>
          <w:rFonts w:ascii="Arial" w:eastAsiaTheme="minorHAnsi" w:hAnsi="Arial" w:cs="Arial"/>
          <w:b/>
          <w:sz w:val="24"/>
          <w:szCs w:val="24"/>
        </w:rPr>
      </w:pPr>
      <w:r>
        <w:rPr>
          <w:rFonts w:ascii="Arial" w:eastAsiaTheme="minorHAnsi" w:hAnsi="Arial" w:cs="Arial"/>
          <w:b/>
          <w:sz w:val="24"/>
          <w:szCs w:val="24"/>
        </w:rPr>
        <w:t xml:space="preserve">3.3. </w:t>
      </w:r>
      <w:r w:rsidR="009D081E" w:rsidRPr="003B7A14">
        <w:rPr>
          <w:rFonts w:ascii="Arial" w:eastAsiaTheme="minorHAnsi" w:hAnsi="Arial" w:cs="Arial"/>
          <w:b/>
          <w:sz w:val="24"/>
          <w:szCs w:val="24"/>
        </w:rPr>
        <w:t>Transformation of amorphous sesquioxide bound zinc (AMOX-Zn) fraction</w:t>
      </w:r>
    </w:p>
    <w:p w14:paraId="0C8898A9" w14:textId="1C28D66D" w:rsidR="005430BA" w:rsidRPr="00651E97" w:rsidRDefault="005430BA" w:rsidP="005430BA">
      <w:pPr>
        <w:widowControl/>
        <w:adjustRightInd w:val="0"/>
        <w:spacing w:after="240" w:line="360" w:lineRule="auto"/>
        <w:ind w:firstLine="567"/>
        <w:jc w:val="both"/>
        <w:rPr>
          <w:rFonts w:ascii="Arial" w:eastAsiaTheme="minorHAnsi" w:hAnsi="Arial" w:cs="Arial"/>
          <w:sz w:val="20"/>
          <w:szCs w:val="20"/>
        </w:rPr>
      </w:pPr>
      <w:r w:rsidRPr="00651E97">
        <w:rPr>
          <w:rFonts w:ascii="Arial" w:eastAsiaTheme="minorHAnsi" w:hAnsi="Arial" w:cs="Arial"/>
          <w:sz w:val="20"/>
          <w:szCs w:val="20"/>
        </w:rPr>
        <w:t>The</w:t>
      </w:r>
      <w:r w:rsidR="009D081E" w:rsidRPr="00651E97">
        <w:rPr>
          <w:rFonts w:ascii="Arial" w:eastAsiaTheme="minorHAnsi" w:hAnsi="Arial" w:cs="Arial"/>
          <w:sz w:val="20"/>
          <w:szCs w:val="20"/>
        </w:rPr>
        <w:t xml:space="preserve"> AMOX-Zn content was significantly affected by the aeration condition (M) and significantly higher AMOX-Zn value of 2.445, 2.258, 3.906 and 11.821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were found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than 1.938, 1.728, 3.124 and 10.510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in S1, S2, S3, and S4, respectively. Similar finding of higher AMOX-Zn content under field capacity than submergence moisture regime was also obtained by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(2007).</w:t>
      </w:r>
      <w:r w:rsidRPr="00651E97">
        <w:rPr>
          <w:rFonts w:ascii="Arial" w:eastAsiaTheme="minorHAnsi" w:hAnsi="Arial" w:cs="Arial"/>
          <w:sz w:val="20"/>
          <w:szCs w:val="20"/>
        </w:rPr>
        <w:t xml:space="preserve"> </w:t>
      </w:r>
      <w:r w:rsidR="009D081E" w:rsidRPr="00651E97">
        <w:rPr>
          <w:rFonts w:ascii="Arial" w:eastAsiaTheme="minorHAnsi" w:hAnsi="Arial" w:cs="Arial"/>
          <w:sz w:val="20"/>
          <w:szCs w:val="20"/>
        </w:rPr>
        <w:t>In all the four soils the AMOX-Zn content significantly varied with the incubation period (I) and showed an increasing pattern of transformation with progress of incubation period. Significant increase in the value from initial was observed at 30 DAI in all the four soils. Maximum values of 2.775, 2.604, 4.460 &amp; 13.433 mg kg</w:t>
      </w:r>
      <w:r w:rsidR="009D081E" w:rsidRPr="00651E97">
        <w:rPr>
          <w:rFonts w:ascii="Arial" w:eastAsiaTheme="minorHAnsi" w:hAnsi="Arial" w:cs="Arial"/>
          <w:sz w:val="20"/>
          <w:szCs w:val="20"/>
          <w:vertAlign w:val="superscript"/>
        </w:rPr>
        <w:t xml:space="preserve">-1 </w:t>
      </w:r>
      <w:r w:rsidR="009D081E" w:rsidRPr="00651E97">
        <w:rPr>
          <w:rFonts w:ascii="Arial" w:eastAsiaTheme="minorHAnsi" w:hAnsi="Arial" w:cs="Arial"/>
          <w:sz w:val="20"/>
          <w:szCs w:val="20"/>
        </w:rPr>
        <w:t xml:space="preserve">were observed at 90 DAI in S1, S2, S3, &amp; S4, respectively and these values are at par with the values recorded at 75 DAI in S1, S2 &amp; S3. Similar increase in AMOX-Zn with incubation time was also reported by Kamali </w:t>
      </w:r>
      <w:r w:rsidR="009D081E" w:rsidRPr="00651E97">
        <w:rPr>
          <w:rFonts w:ascii="Arial" w:eastAsiaTheme="minorHAnsi" w:hAnsi="Arial" w:cs="Arial"/>
          <w:i/>
          <w:sz w:val="20"/>
          <w:szCs w:val="20"/>
        </w:rPr>
        <w:t xml:space="preserve">et al. </w:t>
      </w:r>
      <w:r w:rsidR="009D081E" w:rsidRPr="00651E97">
        <w:rPr>
          <w:rFonts w:ascii="Arial" w:eastAsiaTheme="minorHAnsi" w:hAnsi="Arial" w:cs="Arial"/>
          <w:sz w:val="20"/>
          <w:szCs w:val="20"/>
        </w:rPr>
        <w:t>(2010).</w:t>
      </w:r>
      <w:r w:rsidRPr="00651E97">
        <w:rPr>
          <w:rFonts w:ascii="Arial" w:eastAsiaTheme="minorHAnsi" w:hAnsi="Arial" w:cs="Arial"/>
          <w:sz w:val="20"/>
          <w:szCs w:val="20"/>
        </w:rPr>
        <w:t xml:space="preserve"> It can be</w:t>
      </w:r>
      <w:r w:rsidR="009D081E" w:rsidRPr="00651E97">
        <w:rPr>
          <w:rFonts w:ascii="Arial" w:eastAsiaTheme="minorHAnsi" w:hAnsi="Arial" w:cs="Arial"/>
          <w:sz w:val="20"/>
          <w:szCs w:val="20"/>
        </w:rPr>
        <w:t xml:space="preserve"> interpreted that,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the AMOX-Zn fraction have shown an increasing trend with the progress of incubation period in all the four soils under study. A significant increase in the value was observed at 45 DAI in both S1 &amp; S3 where as it is 15 DAI, &amp; 30 DAI in S2 &amp; S4, respectively. The significantly highest values of 3.265, 3.101, 5.247 &amp; 15.115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were recorded at 90 DAI in S1, S2, S3 and S4, respectively. The highest value recorded at 90 DAI is at par with the value at 75 DAI in all the soil except S4.  Increasing in AMOX-Zn fraction with incubation period under submergence condition was also observed by </w:t>
      </w:r>
      <w:r w:rsidR="00F149A1" w:rsidRPr="00F149A1">
        <w:rPr>
          <w:rFonts w:ascii="Arial" w:eastAsiaTheme="minorHAnsi" w:hAnsi="Arial" w:cs="Arial"/>
          <w:sz w:val="20"/>
          <w:szCs w:val="20"/>
        </w:rPr>
        <w:t xml:space="preserve">Tehrani (2005); Bahera et al., (2008) and Safari et al., (2009). </w:t>
      </w:r>
      <w:r w:rsidR="009D081E" w:rsidRPr="00651E97">
        <w:rPr>
          <w:rFonts w:ascii="Arial" w:eastAsiaTheme="minorHAnsi" w:hAnsi="Arial" w:cs="Arial"/>
          <w:sz w:val="20"/>
          <w:szCs w:val="20"/>
        </w:rPr>
        <w:t xml:space="preserve">and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w:t>
      </w:r>
      <w:r w:rsidR="009D081E" w:rsidRPr="00651E97">
        <w:rPr>
          <w:rFonts w:ascii="Arial" w:eastAsiaTheme="minorHAnsi" w:hAnsi="Arial" w:cs="Arial"/>
          <w:i/>
          <w:sz w:val="20"/>
          <w:szCs w:val="20"/>
        </w:rPr>
        <w:t>et al.</w:t>
      </w:r>
      <w:r w:rsidR="009D081E" w:rsidRPr="00651E97">
        <w:rPr>
          <w:rFonts w:ascii="Arial" w:eastAsiaTheme="minorHAnsi" w:hAnsi="Arial" w:cs="Arial"/>
          <w:sz w:val="20"/>
          <w:szCs w:val="20"/>
        </w:rPr>
        <w:t xml:space="preserve"> (2014). Under the reducing condition in an anaerobic soil, due to submergence, </w:t>
      </w:r>
      <w:r w:rsidR="009D081E" w:rsidRPr="00651E97">
        <w:rPr>
          <w:rFonts w:ascii="Arial" w:eastAsiaTheme="minorHAnsi" w:hAnsi="Arial" w:cs="Arial"/>
          <w:sz w:val="20"/>
          <w:szCs w:val="20"/>
        </w:rPr>
        <w:lastRenderedPageBreak/>
        <w:t xml:space="preserve">there </w:t>
      </w:r>
      <w:r w:rsidR="00F149A1">
        <w:rPr>
          <w:rFonts w:ascii="Arial" w:eastAsiaTheme="minorHAnsi" w:hAnsi="Arial" w:cs="Arial"/>
          <w:sz w:val="20"/>
          <w:szCs w:val="20"/>
        </w:rPr>
        <w:t>was</w:t>
      </w:r>
      <w:r w:rsidR="009D081E" w:rsidRPr="00651E97">
        <w:rPr>
          <w:rFonts w:ascii="Arial" w:eastAsiaTheme="minorHAnsi" w:hAnsi="Arial" w:cs="Arial"/>
          <w:sz w:val="20"/>
          <w:szCs w:val="20"/>
        </w:rPr>
        <w:t xml:space="preserve"> an increase in the formation of hydrated oxides of Fe</w:t>
      </w:r>
      <w:r w:rsidR="009D081E" w:rsidRPr="00651E97">
        <w:rPr>
          <w:rFonts w:ascii="Arial" w:eastAsiaTheme="minorHAnsi" w:hAnsi="Arial" w:cs="Arial"/>
          <w:sz w:val="20"/>
          <w:szCs w:val="20"/>
          <w:vertAlign w:val="superscript"/>
        </w:rPr>
        <w:t>2+</w:t>
      </w:r>
      <w:r w:rsidR="009D081E" w:rsidRPr="00651E97">
        <w:rPr>
          <w:rFonts w:ascii="Arial" w:eastAsiaTheme="minorHAnsi" w:hAnsi="Arial" w:cs="Arial"/>
          <w:sz w:val="20"/>
          <w:szCs w:val="20"/>
        </w:rPr>
        <w:t xml:space="preserve"> </w:t>
      </w:r>
      <w:r w:rsidR="00F149A1" w:rsidRPr="00651E97">
        <w:rPr>
          <w:rFonts w:ascii="Arial" w:eastAsiaTheme="minorHAnsi" w:hAnsi="Arial" w:cs="Arial"/>
          <w:sz w:val="20"/>
          <w:szCs w:val="20"/>
        </w:rPr>
        <w:t>iron and</w:t>
      </w:r>
      <w:r w:rsidR="009D081E" w:rsidRPr="00651E97">
        <w:rPr>
          <w:rFonts w:ascii="Arial" w:eastAsiaTheme="minorHAnsi" w:hAnsi="Arial" w:cs="Arial"/>
          <w:sz w:val="20"/>
          <w:szCs w:val="20"/>
        </w:rPr>
        <w:t xml:space="preserve"> Mn</w:t>
      </w:r>
      <w:r w:rsidR="009D081E" w:rsidRPr="00651E97">
        <w:rPr>
          <w:rFonts w:ascii="Arial" w:eastAsiaTheme="minorHAnsi" w:hAnsi="Arial" w:cs="Arial"/>
          <w:sz w:val="20"/>
          <w:szCs w:val="20"/>
          <w:vertAlign w:val="superscript"/>
        </w:rPr>
        <w:t>2+</w:t>
      </w:r>
      <w:r w:rsidR="009D081E" w:rsidRPr="00651E97">
        <w:rPr>
          <w:rFonts w:ascii="Arial" w:eastAsiaTheme="minorHAnsi" w:hAnsi="Arial" w:cs="Arial"/>
          <w:sz w:val="20"/>
          <w:szCs w:val="20"/>
        </w:rPr>
        <w:t xml:space="preserve"> manganese which, when freshly formed, have a high surface area and hence possess strong adsorptive capacity. The WSEX-Zn fraction already </w:t>
      </w:r>
      <w:proofErr w:type="gramStart"/>
      <w:r w:rsidR="00972996" w:rsidRPr="00651E97">
        <w:rPr>
          <w:rFonts w:ascii="Arial" w:eastAsiaTheme="minorHAnsi" w:hAnsi="Arial" w:cs="Arial"/>
          <w:sz w:val="20"/>
          <w:szCs w:val="20"/>
        </w:rPr>
        <w:t>present</w:t>
      </w:r>
      <w:proofErr w:type="gramEnd"/>
      <w:r w:rsidR="009D081E" w:rsidRPr="00651E97">
        <w:rPr>
          <w:rFonts w:ascii="Arial" w:eastAsiaTheme="minorHAnsi" w:hAnsi="Arial" w:cs="Arial"/>
          <w:sz w:val="20"/>
          <w:szCs w:val="20"/>
        </w:rPr>
        <w:t xml:space="preserve"> in soil or that released from other forms might have been adsorbed on the surface of these freshly precipitated hydrated oxides, resulting in an increase in the AMOX-Zn fraction content in anaerobic condition of the soil under submergence</w:t>
      </w:r>
      <w:r w:rsidR="00F149A1">
        <w:rPr>
          <w:rFonts w:ascii="Arial" w:eastAsiaTheme="minorHAnsi" w:hAnsi="Arial" w:cs="Arial"/>
          <w:sz w:val="20"/>
          <w:szCs w:val="20"/>
        </w:rPr>
        <w:t>.</w:t>
      </w:r>
      <w:r w:rsidR="009D081E" w:rsidRPr="00651E97">
        <w:rPr>
          <w:rFonts w:ascii="Arial" w:eastAsiaTheme="minorHAnsi" w:hAnsi="Arial" w:cs="Arial"/>
          <w:sz w:val="20"/>
          <w:szCs w:val="20"/>
        </w:rPr>
        <w:t xml:space="preserve">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the AMOX-Zn content also showed an increasing trend of transformation with the period of incubation, by significantly increasing from the initial at 45 DAI (in S1 &amp; S3) and at 30 DAI (in S2 &amp; S4). This increasing pattern, under aerobic </w:t>
      </w:r>
      <w:r w:rsidR="00651E97">
        <w:rPr>
          <w:rFonts w:ascii="Arial" w:eastAsiaTheme="minorHAnsi" w:hAnsi="Arial" w:cs="Arial"/>
          <w:sz w:val="20"/>
          <w:szCs w:val="20"/>
        </w:rPr>
        <w:t xml:space="preserve">conditions, is in line with the findings of Kamali </w:t>
      </w:r>
      <w:r w:rsidR="00651E97" w:rsidRPr="00692BA0">
        <w:rPr>
          <w:rFonts w:ascii="Arial" w:eastAsiaTheme="minorHAnsi" w:hAnsi="Arial" w:cs="Arial"/>
          <w:i/>
          <w:iCs/>
          <w:sz w:val="20"/>
          <w:szCs w:val="20"/>
        </w:rPr>
        <w:t>et al</w:t>
      </w:r>
      <w:r w:rsidR="00651E97">
        <w:rPr>
          <w:rFonts w:ascii="Arial" w:eastAsiaTheme="minorHAnsi" w:hAnsi="Arial" w:cs="Arial"/>
          <w:sz w:val="20"/>
          <w:szCs w:val="20"/>
        </w:rPr>
        <w:t>. (2010) at 15, 45, and 90 days of incubation</w:t>
      </w:r>
      <w:r w:rsidR="009D081E" w:rsidRPr="00651E97">
        <w:rPr>
          <w:rFonts w:ascii="Arial" w:eastAsiaTheme="minorHAnsi" w:hAnsi="Arial" w:cs="Arial"/>
          <w:sz w:val="20"/>
          <w:szCs w:val="20"/>
        </w:rPr>
        <w:t>.  Although more or less identical values of AMOX-Zn fraction, under both aeration conditions, were recorded up to 30 DAI, the value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xml:space="preserve">) significantly </w:t>
      </w:r>
      <w:r w:rsidR="005564EF">
        <w:rPr>
          <w:rFonts w:ascii="Arial" w:eastAsiaTheme="minorHAnsi" w:hAnsi="Arial" w:cs="Arial"/>
          <w:sz w:val="20"/>
          <w:szCs w:val="20"/>
        </w:rPr>
        <w:t>exceeded</w:t>
      </w:r>
      <w:r w:rsidR="009D081E" w:rsidRPr="00651E97">
        <w:rPr>
          <w:rFonts w:ascii="Arial" w:eastAsiaTheme="minorHAnsi" w:hAnsi="Arial" w:cs="Arial"/>
          <w:sz w:val="20"/>
          <w:szCs w:val="20"/>
        </w:rPr>
        <w:t xml:space="preserve"> that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from 45 DAI onwards up to 90 DAI. Such significantly higher values under anaerobic </w:t>
      </w:r>
      <w:r w:rsidR="00651E97">
        <w:rPr>
          <w:rFonts w:ascii="Arial" w:eastAsiaTheme="minorHAnsi" w:hAnsi="Arial" w:cs="Arial"/>
          <w:sz w:val="20"/>
          <w:szCs w:val="20"/>
        </w:rPr>
        <w:t>conditions (M2) than aerobic (M2) conditions</w:t>
      </w:r>
      <w:r w:rsidR="009D081E" w:rsidRPr="00651E97">
        <w:rPr>
          <w:rFonts w:ascii="Arial" w:eastAsiaTheme="minorHAnsi" w:hAnsi="Arial" w:cs="Arial"/>
          <w:sz w:val="20"/>
          <w:szCs w:val="20"/>
        </w:rPr>
        <w:t xml:space="preserve"> are in line with the findings of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(2007).</w:t>
      </w:r>
    </w:p>
    <w:p w14:paraId="04C5E6EA" w14:textId="55289839" w:rsidR="009D081E" w:rsidRPr="00651E97" w:rsidRDefault="00651E97" w:rsidP="005430BA">
      <w:pPr>
        <w:widowControl/>
        <w:adjustRightInd w:val="0"/>
        <w:spacing w:after="240" w:line="360" w:lineRule="auto"/>
        <w:jc w:val="both"/>
        <w:rPr>
          <w:rFonts w:ascii="Arial" w:eastAsiaTheme="minorHAnsi" w:hAnsi="Arial" w:cs="Arial"/>
          <w:b/>
        </w:rPr>
      </w:pPr>
      <w:r>
        <w:rPr>
          <w:rFonts w:ascii="Arial" w:eastAsiaTheme="minorHAnsi" w:hAnsi="Arial" w:cs="Arial"/>
          <w:b/>
        </w:rPr>
        <w:t xml:space="preserve">3.4. </w:t>
      </w:r>
      <w:r w:rsidR="009D081E" w:rsidRPr="00651E97">
        <w:rPr>
          <w:rFonts w:ascii="Arial" w:eastAsiaTheme="minorHAnsi" w:hAnsi="Arial" w:cs="Arial"/>
          <w:b/>
        </w:rPr>
        <w:t xml:space="preserve">Transformation of crystalline </w:t>
      </w:r>
      <w:r w:rsidR="005564EF">
        <w:rPr>
          <w:rFonts w:ascii="Arial" w:eastAsiaTheme="minorHAnsi" w:hAnsi="Arial" w:cs="Arial"/>
          <w:b/>
        </w:rPr>
        <w:t>sesquioxide-bound</w:t>
      </w:r>
      <w:r w:rsidR="009D081E" w:rsidRPr="00651E97">
        <w:rPr>
          <w:rFonts w:ascii="Arial" w:eastAsiaTheme="minorHAnsi" w:hAnsi="Arial" w:cs="Arial"/>
          <w:b/>
        </w:rPr>
        <w:t xml:space="preserve"> zinc (CRYOX-Zn) fraction</w:t>
      </w:r>
    </w:p>
    <w:p w14:paraId="4A871BF8" w14:textId="27E99BE0" w:rsidR="005430BA" w:rsidRPr="005564EF" w:rsidRDefault="005430BA" w:rsidP="005430BA">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t>The</w:t>
      </w:r>
      <w:r w:rsidR="009D081E" w:rsidRPr="005564EF">
        <w:rPr>
          <w:rFonts w:ascii="Arial" w:eastAsiaTheme="minorHAnsi" w:hAnsi="Arial" w:cs="Arial"/>
          <w:sz w:val="20"/>
          <w:szCs w:val="20"/>
        </w:rPr>
        <w:t xml:space="preserve"> aeration condition (M) has </w:t>
      </w:r>
      <w:r w:rsidR="005564EF" w:rsidRPr="005564EF">
        <w:rPr>
          <w:rFonts w:ascii="Arial" w:eastAsiaTheme="minorHAnsi" w:hAnsi="Arial" w:cs="Arial"/>
          <w:sz w:val="20"/>
          <w:szCs w:val="20"/>
        </w:rPr>
        <w:t xml:space="preserve">a significant effect on the CRYOX-Zn fraction in all </w:t>
      </w:r>
      <w:r w:rsidR="009D081E" w:rsidRPr="005564EF">
        <w:rPr>
          <w:rFonts w:ascii="Arial" w:eastAsiaTheme="minorHAnsi" w:hAnsi="Arial" w:cs="Arial"/>
          <w:sz w:val="20"/>
          <w:szCs w:val="20"/>
        </w:rPr>
        <w:t>four soils. Significantly higher values of 19.25, 16.37, 15.36</w:t>
      </w:r>
      <w:r w:rsidR="005564EF" w:rsidRPr="005564EF">
        <w:rPr>
          <w:rFonts w:ascii="Arial" w:eastAsiaTheme="minorHAnsi" w:hAnsi="Arial" w:cs="Arial"/>
          <w:sz w:val="20"/>
          <w:szCs w:val="20"/>
        </w:rPr>
        <w:t>, and 17.97 mg kg</w:t>
      </w:r>
      <w:r w:rsidR="005564EF" w:rsidRPr="00692BA0">
        <w:rPr>
          <w:rFonts w:ascii="Arial" w:eastAsiaTheme="minorHAnsi" w:hAnsi="Arial" w:cs="Arial"/>
          <w:sz w:val="20"/>
          <w:szCs w:val="20"/>
          <w:vertAlign w:val="superscript"/>
        </w:rPr>
        <w:t>-1</w:t>
      </w:r>
      <w:r w:rsidR="005564EF" w:rsidRPr="005564EF">
        <w:rPr>
          <w:rFonts w:ascii="Arial" w:eastAsiaTheme="minorHAnsi" w:hAnsi="Arial" w:cs="Arial"/>
          <w:sz w:val="20"/>
          <w:szCs w:val="20"/>
        </w:rPr>
        <w:t xml:space="preserve"> were found under aerobic conditions (M1) than 15, 12.77, 11.33, and 13.22 mg kg</w:t>
      </w:r>
      <w:r w:rsidR="005564EF" w:rsidRPr="00692BA0">
        <w:rPr>
          <w:rFonts w:ascii="Arial" w:eastAsiaTheme="minorHAnsi" w:hAnsi="Arial" w:cs="Arial"/>
          <w:sz w:val="20"/>
          <w:szCs w:val="20"/>
          <w:vertAlign w:val="superscript"/>
        </w:rPr>
        <w:t>-1</w:t>
      </w:r>
      <w:r w:rsidR="005564EF" w:rsidRPr="005564EF">
        <w:rPr>
          <w:rFonts w:ascii="Arial" w:eastAsiaTheme="minorHAnsi" w:hAnsi="Arial" w:cs="Arial"/>
          <w:sz w:val="20"/>
          <w:szCs w:val="20"/>
        </w:rPr>
        <w:t xml:space="preserve"> under anaerobic conditions</w:t>
      </w:r>
      <w:r w:rsidR="009D081E" w:rsidRPr="005564EF">
        <w:rPr>
          <w:rFonts w:ascii="Arial" w:eastAsiaTheme="minorHAnsi" w:hAnsi="Arial" w:cs="Arial"/>
          <w:sz w:val="20"/>
          <w:szCs w:val="20"/>
        </w:rPr>
        <w:t xml:space="preserve">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xml:space="preserve">) in S1, S2, S3, and S4, respectively. </w:t>
      </w:r>
      <w:proofErr w:type="spellStart"/>
      <w:r w:rsidR="009D081E" w:rsidRPr="005564EF">
        <w:rPr>
          <w:rFonts w:ascii="Arial" w:eastAsiaTheme="minorHAnsi" w:hAnsi="Arial" w:cs="Arial"/>
          <w:sz w:val="20"/>
          <w:szCs w:val="20"/>
        </w:rPr>
        <w:t>Wijebandara</w:t>
      </w:r>
      <w:proofErr w:type="spellEnd"/>
      <w:r w:rsidR="009D081E" w:rsidRPr="005564EF">
        <w:rPr>
          <w:rFonts w:ascii="Arial" w:eastAsiaTheme="minorHAnsi" w:hAnsi="Arial" w:cs="Arial"/>
          <w:sz w:val="20"/>
          <w:szCs w:val="20"/>
        </w:rPr>
        <w:t xml:space="preserve"> (2007) has also reported </w:t>
      </w:r>
      <w:r w:rsidR="005564EF" w:rsidRPr="005564EF">
        <w:rPr>
          <w:rFonts w:ascii="Arial" w:eastAsiaTheme="minorHAnsi" w:hAnsi="Arial" w:cs="Arial"/>
          <w:sz w:val="20"/>
          <w:szCs w:val="20"/>
        </w:rPr>
        <w:t xml:space="preserve">a higher value of CRYOX-Zn content under the </w:t>
      </w:r>
      <w:r w:rsidR="009D081E" w:rsidRPr="005564EF">
        <w:rPr>
          <w:rFonts w:ascii="Arial" w:eastAsiaTheme="minorHAnsi" w:hAnsi="Arial" w:cs="Arial"/>
          <w:sz w:val="20"/>
          <w:szCs w:val="20"/>
        </w:rPr>
        <w:t>field capacity moisture regime than that under submergence.</w:t>
      </w:r>
      <w:r w:rsidRPr="005564EF">
        <w:rPr>
          <w:rFonts w:ascii="Arial" w:eastAsiaTheme="minorHAnsi" w:hAnsi="Arial" w:cs="Arial"/>
          <w:sz w:val="20"/>
          <w:szCs w:val="20"/>
        </w:rPr>
        <w:t xml:space="preserve"> </w:t>
      </w:r>
      <w:r w:rsidR="009D081E" w:rsidRPr="005564EF">
        <w:rPr>
          <w:rFonts w:ascii="Arial" w:eastAsiaTheme="minorHAnsi" w:hAnsi="Arial" w:cs="Arial"/>
          <w:sz w:val="20"/>
          <w:szCs w:val="20"/>
        </w:rPr>
        <w:t>The CRYOX-Zn fraction was significantly varied with the incubation period (I) in all the four soils. The values showed a decreasing pattern of transformation with progress of incubation period up to 90 DAI. Significantly higher value</w:t>
      </w:r>
      <w:r w:rsidR="00692BA0">
        <w:rPr>
          <w:rFonts w:ascii="Arial" w:eastAsiaTheme="minorHAnsi" w:hAnsi="Arial" w:cs="Arial"/>
          <w:sz w:val="20"/>
          <w:szCs w:val="20"/>
        </w:rPr>
        <w:t>s</w:t>
      </w:r>
      <w:r w:rsidR="009D081E" w:rsidRPr="005564EF">
        <w:rPr>
          <w:rFonts w:ascii="Arial" w:eastAsiaTheme="minorHAnsi" w:hAnsi="Arial" w:cs="Arial"/>
          <w:sz w:val="20"/>
          <w:szCs w:val="20"/>
        </w:rPr>
        <w:t xml:space="preserve"> of 20.34, 17.19, 16.26 &amp; 19.06 mg kg</w:t>
      </w:r>
      <w:r w:rsidR="009D081E" w:rsidRPr="005564EF">
        <w:rPr>
          <w:rFonts w:ascii="Arial" w:eastAsiaTheme="minorHAnsi" w:hAnsi="Arial" w:cs="Arial"/>
          <w:sz w:val="20"/>
          <w:szCs w:val="20"/>
          <w:vertAlign w:val="superscript"/>
        </w:rPr>
        <w:t>-1</w:t>
      </w:r>
      <w:r w:rsidR="009D081E" w:rsidRPr="005564EF">
        <w:rPr>
          <w:rFonts w:ascii="Arial" w:eastAsiaTheme="minorHAnsi" w:hAnsi="Arial" w:cs="Arial"/>
          <w:sz w:val="20"/>
          <w:szCs w:val="20"/>
        </w:rPr>
        <w:t xml:space="preserve"> w</w:t>
      </w:r>
      <w:r w:rsidR="00692BA0">
        <w:rPr>
          <w:rFonts w:ascii="Arial" w:eastAsiaTheme="minorHAnsi" w:hAnsi="Arial" w:cs="Arial"/>
          <w:sz w:val="20"/>
          <w:szCs w:val="20"/>
        </w:rPr>
        <w:t>ere</w:t>
      </w:r>
      <w:r w:rsidR="009D081E" w:rsidRPr="005564EF">
        <w:rPr>
          <w:rFonts w:ascii="Arial" w:eastAsiaTheme="minorHAnsi" w:hAnsi="Arial" w:cs="Arial"/>
          <w:sz w:val="20"/>
          <w:szCs w:val="20"/>
        </w:rPr>
        <w:t xml:space="preserve"> observed at 0 DAI in S1, S2, S3 and S4, respectively.  This higher value at 0DAI is identical with that at 15 &amp; 30 DAI in both S1 &amp; S2</w:t>
      </w:r>
      <w:r w:rsidR="005564EF" w:rsidRPr="005564EF">
        <w:rPr>
          <w:rFonts w:ascii="Arial" w:eastAsiaTheme="minorHAnsi" w:hAnsi="Arial" w:cs="Arial"/>
          <w:sz w:val="20"/>
          <w:szCs w:val="20"/>
        </w:rPr>
        <w:t xml:space="preserve">, and only with 15 DAI in the </w:t>
      </w:r>
      <w:r w:rsidR="009D081E" w:rsidRPr="005564EF">
        <w:rPr>
          <w:rFonts w:ascii="Arial" w:eastAsiaTheme="minorHAnsi" w:hAnsi="Arial" w:cs="Arial"/>
          <w:sz w:val="20"/>
          <w:szCs w:val="20"/>
        </w:rPr>
        <w:t>case of S4. Its value significantly decreased from the initial at 45 DAI (in S1 &amp; S2), at 15 DAI (in S3), at 30 DAI (in S4) and reached minimum at 90 DAI in all the four soils. Sharma (2002) has also found the significant increasing effect of incubation time on CRYOX-Zn fraction.</w:t>
      </w:r>
      <w:r w:rsidR="00F76A66" w:rsidRPr="005564EF">
        <w:rPr>
          <w:rFonts w:ascii="Arial" w:eastAsiaTheme="minorHAnsi" w:hAnsi="Arial" w:cs="Arial"/>
          <w:sz w:val="20"/>
          <w:szCs w:val="20"/>
        </w:rPr>
        <w:t xml:space="preserve"> </w:t>
      </w:r>
      <w:r w:rsidRPr="005564EF">
        <w:rPr>
          <w:rFonts w:ascii="Arial" w:eastAsiaTheme="minorHAnsi" w:hAnsi="Arial" w:cs="Arial"/>
          <w:sz w:val="20"/>
          <w:szCs w:val="20"/>
        </w:rPr>
        <w:t>U</w:t>
      </w:r>
      <w:r w:rsidR="009D081E" w:rsidRPr="005564EF">
        <w:rPr>
          <w:rFonts w:ascii="Arial" w:eastAsiaTheme="minorHAnsi" w:hAnsi="Arial" w:cs="Arial"/>
          <w:sz w:val="20"/>
          <w:szCs w:val="20"/>
        </w:rPr>
        <w:t>nder aerobic condition (M</w:t>
      </w:r>
      <w:r w:rsidR="009D081E" w:rsidRPr="005564EF">
        <w:rPr>
          <w:rFonts w:ascii="Arial" w:eastAsiaTheme="minorHAnsi" w:hAnsi="Arial" w:cs="Arial"/>
          <w:sz w:val="20"/>
          <w:szCs w:val="20"/>
          <w:vertAlign w:val="subscript"/>
        </w:rPr>
        <w:t>1</w:t>
      </w:r>
      <w:r w:rsidR="009D081E" w:rsidRPr="005564EF">
        <w:rPr>
          <w:rFonts w:ascii="Arial" w:eastAsiaTheme="minorHAnsi" w:hAnsi="Arial" w:cs="Arial"/>
          <w:sz w:val="20"/>
          <w:szCs w:val="20"/>
        </w:rPr>
        <w:t xml:space="preserve">), the CRYOX-Zn content was significantly decreased with the progress of incubation </w:t>
      </w:r>
      <w:r w:rsidR="00692BA0" w:rsidRPr="005564EF">
        <w:rPr>
          <w:rFonts w:ascii="Arial" w:eastAsiaTheme="minorHAnsi" w:hAnsi="Arial" w:cs="Arial"/>
          <w:sz w:val="20"/>
          <w:szCs w:val="20"/>
        </w:rPr>
        <w:t>period only</w:t>
      </w:r>
      <w:r w:rsidR="009D081E" w:rsidRPr="005564EF">
        <w:rPr>
          <w:rFonts w:ascii="Arial" w:eastAsiaTheme="minorHAnsi" w:hAnsi="Arial" w:cs="Arial"/>
          <w:sz w:val="20"/>
          <w:szCs w:val="20"/>
        </w:rPr>
        <w:t xml:space="preserve"> in S3 whereas, the effect is not significant in S1, S2, &amp; S4. Under anaerobic condition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xml:space="preserve">), in S3 and S4, significant decrease in CRYOX-Zn fraction was observed with the increase in incubation period up to 90 DAI and the decrease from initial (O DAI) became significant at 15 DAI (in S3) </w:t>
      </w:r>
      <w:r w:rsidRPr="005564EF">
        <w:rPr>
          <w:rFonts w:ascii="Arial" w:eastAsiaTheme="minorHAnsi" w:hAnsi="Arial" w:cs="Arial"/>
          <w:sz w:val="20"/>
          <w:szCs w:val="20"/>
        </w:rPr>
        <w:t>and 30</w:t>
      </w:r>
      <w:r w:rsidR="009D081E" w:rsidRPr="005564EF">
        <w:rPr>
          <w:rFonts w:ascii="Arial" w:eastAsiaTheme="minorHAnsi" w:hAnsi="Arial" w:cs="Arial"/>
          <w:sz w:val="20"/>
          <w:szCs w:val="20"/>
        </w:rPr>
        <w:t xml:space="preserve"> DAI (in S4).  Under anaerobic condition, significantly higher values of 16.26 &amp; 19.06 mg kg</w:t>
      </w:r>
      <w:r w:rsidR="009D081E" w:rsidRPr="005564EF">
        <w:rPr>
          <w:rFonts w:ascii="Arial" w:eastAsiaTheme="minorHAnsi" w:hAnsi="Arial" w:cs="Arial"/>
          <w:sz w:val="20"/>
          <w:szCs w:val="20"/>
          <w:vertAlign w:val="superscript"/>
        </w:rPr>
        <w:t>-1</w:t>
      </w:r>
      <w:r w:rsidR="009D081E" w:rsidRPr="005564EF">
        <w:rPr>
          <w:rFonts w:ascii="Arial" w:eastAsiaTheme="minorHAnsi" w:hAnsi="Arial" w:cs="Arial"/>
          <w:sz w:val="20"/>
          <w:szCs w:val="20"/>
        </w:rPr>
        <w:t xml:space="preserve"> CRYOX-Zn content was observed at 0DAI in S3 &amp; S4, respectively and this higher value is at par with that of 30 DAI in S4. In all the four soils, the CRYOX-Zn content is always less under anaerobic condition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than under aerobic condition (M</w:t>
      </w:r>
      <w:r w:rsidR="009D081E" w:rsidRPr="005564EF">
        <w:rPr>
          <w:rFonts w:ascii="Arial" w:eastAsiaTheme="minorHAnsi" w:hAnsi="Arial" w:cs="Arial"/>
          <w:sz w:val="20"/>
          <w:szCs w:val="20"/>
          <w:vertAlign w:val="subscript"/>
        </w:rPr>
        <w:t>1</w:t>
      </w:r>
      <w:r w:rsidR="009D081E" w:rsidRPr="005564EF">
        <w:rPr>
          <w:rFonts w:ascii="Arial" w:eastAsiaTheme="minorHAnsi" w:hAnsi="Arial" w:cs="Arial"/>
          <w:sz w:val="20"/>
          <w:szCs w:val="20"/>
        </w:rPr>
        <w:t>) but this difference, which is prominent from 15 DAI up to 90 DAI, is significant only in case of S3 &amp; S4. Singh (2018)</w:t>
      </w:r>
      <w:r w:rsidR="00692BA0">
        <w:rPr>
          <w:rFonts w:ascii="Arial" w:eastAsiaTheme="minorHAnsi" w:hAnsi="Arial" w:cs="Arial"/>
          <w:sz w:val="20"/>
          <w:szCs w:val="20"/>
        </w:rPr>
        <w:t xml:space="preserve"> and</w:t>
      </w:r>
      <w:r w:rsidR="009D081E" w:rsidRPr="005564EF">
        <w:rPr>
          <w:rFonts w:ascii="Arial" w:eastAsiaTheme="minorHAnsi" w:hAnsi="Arial" w:cs="Arial"/>
          <w:sz w:val="20"/>
          <w:szCs w:val="20"/>
        </w:rPr>
        <w:t xml:space="preserve"> </w:t>
      </w:r>
      <w:proofErr w:type="spellStart"/>
      <w:r w:rsidR="009D081E" w:rsidRPr="005564EF">
        <w:rPr>
          <w:rFonts w:ascii="Arial" w:eastAsiaTheme="minorHAnsi" w:hAnsi="Arial" w:cs="Arial"/>
          <w:sz w:val="20"/>
          <w:szCs w:val="20"/>
        </w:rPr>
        <w:t>Wijebandara</w:t>
      </w:r>
      <w:proofErr w:type="spellEnd"/>
      <w:r w:rsidR="009D081E" w:rsidRPr="005564EF">
        <w:rPr>
          <w:rFonts w:ascii="Arial" w:eastAsiaTheme="minorHAnsi" w:hAnsi="Arial" w:cs="Arial"/>
          <w:sz w:val="20"/>
          <w:szCs w:val="20"/>
        </w:rPr>
        <w:t xml:space="preserve"> </w:t>
      </w:r>
      <w:r w:rsidR="009D081E" w:rsidRPr="005564EF">
        <w:rPr>
          <w:rFonts w:ascii="Arial" w:eastAsiaTheme="minorHAnsi" w:hAnsi="Arial" w:cs="Arial"/>
          <w:i/>
          <w:sz w:val="20"/>
          <w:szCs w:val="20"/>
        </w:rPr>
        <w:t>et al</w:t>
      </w:r>
      <w:r w:rsidR="009D081E" w:rsidRPr="005564EF">
        <w:rPr>
          <w:rFonts w:ascii="Arial" w:eastAsiaTheme="minorHAnsi" w:hAnsi="Arial" w:cs="Arial"/>
          <w:sz w:val="20"/>
          <w:szCs w:val="20"/>
        </w:rPr>
        <w:t xml:space="preserve">. (2014) </w:t>
      </w:r>
      <w:r w:rsidR="005564EF">
        <w:rPr>
          <w:rFonts w:ascii="Arial" w:eastAsiaTheme="minorHAnsi" w:hAnsi="Arial" w:cs="Arial"/>
          <w:sz w:val="20"/>
          <w:szCs w:val="20"/>
        </w:rPr>
        <w:t>have also observed the decreasing pattern of transformation of CRYOX-Zn fraction under flooded moisture conditions</w:t>
      </w:r>
      <w:r w:rsidR="009D081E" w:rsidRPr="005564EF">
        <w:rPr>
          <w:rFonts w:ascii="Arial" w:eastAsiaTheme="minorHAnsi" w:hAnsi="Arial" w:cs="Arial"/>
          <w:sz w:val="20"/>
          <w:szCs w:val="20"/>
        </w:rPr>
        <w:t xml:space="preserve">. This result also </w:t>
      </w:r>
      <w:r w:rsidR="005564EF">
        <w:rPr>
          <w:rFonts w:ascii="Arial" w:eastAsiaTheme="minorHAnsi" w:hAnsi="Arial" w:cs="Arial"/>
          <w:sz w:val="20"/>
          <w:szCs w:val="20"/>
        </w:rPr>
        <w:t>corroborates the findings of Mandal et al. (1992), who reported significantly less transformation of applied zinc into CRYOX-Zn fraction in 15 days pre-flooded soil than in 0 days pre-flooded</w:t>
      </w:r>
      <w:r w:rsidR="009D081E" w:rsidRPr="005564EF">
        <w:rPr>
          <w:rFonts w:ascii="Arial" w:eastAsiaTheme="minorHAnsi" w:hAnsi="Arial" w:cs="Arial"/>
          <w:sz w:val="20"/>
          <w:szCs w:val="20"/>
        </w:rPr>
        <w:t xml:space="preserve"> soil. </w:t>
      </w:r>
      <w:r w:rsidR="009D081E" w:rsidRPr="005564EF">
        <w:rPr>
          <w:rFonts w:ascii="Arial" w:eastAsiaTheme="minorHAnsi" w:hAnsi="Arial" w:cs="Arial"/>
          <w:sz w:val="20"/>
          <w:szCs w:val="20"/>
        </w:rPr>
        <w:lastRenderedPageBreak/>
        <w:t xml:space="preserve">Under reducing </w:t>
      </w:r>
      <w:r w:rsidR="005564EF">
        <w:rPr>
          <w:rFonts w:ascii="Arial" w:eastAsiaTheme="minorHAnsi" w:hAnsi="Arial" w:cs="Arial"/>
          <w:sz w:val="20"/>
          <w:szCs w:val="20"/>
        </w:rPr>
        <w:t xml:space="preserve">conditions in anaerobic soil, due to submergence, some of the crystalline </w:t>
      </w:r>
      <w:proofErr w:type="spellStart"/>
      <w:r w:rsidR="005564EF">
        <w:rPr>
          <w:rFonts w:ascii="Arial" w:eastAsiaTheme="minorHAnsi" w:hAnsi="Arial" w:cs="Arial"/>
          <w:sz w:val="20"/>
          <w:szCs w:val="20"/>
        </w:rPr>
        <w:t>sesquioxides</w:t>
      </w:r>
      <w:proofErr w:type="spellEnd"/>
      <w:r w:rsidR="005564EF">
        <w:rPr>
          <w:rFonts w:ascii="Arial" w:eastAsiaTheme="minorHAnsi" w:hAnsi="Arial" w:cs="Arial"/>
          <w:sz w:val="20"/>
          <w:szCs w:val="20"/>
        </w:rPr>
        <w:t xml:space="preserve"> might have undergone transformation to an amorphous form,</w:t>
      </w:r>
      <w:r w:rsidR="009D081E" w:rsidRPr="005564EF">
        <w:rPr>
          <w:rFonts w:ascii="Arial" w:eastAsiaTheme="minorHAnsi" w:hAnsi="Arial" w:cs="Arial"/>
          <w:sz w:val="20"/>
          <w:szCs w:val="20"/>
        </w:rPr>
        <w:t xml:space="preserve"> resulting in the release of a part of the Zn occluded by the former and the subsequent adsorption of this by the latter</w:t>
      </w:r>
      <w:r w:rsidR="00692BA0">
        <w:rPr>
          <w:rFonts w:ascii="Arial" w:eastAsiaTheme="minorHAnsi" w:hAnsi="Arial" w:cs="Arial"/>
          <w:sz w:val="20"/>
          <w:szCs w:val="20"/>
        </w:rPr>
        <w:t>.</w:t>
      </w:r>
      <w:r w:rsidR="009D081E" w:rsidRPr="005564EF">
        <w:rPr>
          <w:rFonts w:ascii="Arial" w:eastAsiaTheme="minorHAnsi" w:hAnsi="Arial" w:cs="Arial"/>
          <w:sz w:val="20"/>
          <w:szCs w:val="20"/>
        </w:rPr>
        <w:t xml:space="preserve"> This can explain the decreasing pattern of CRYOX-Zn fraction with </w:t>
      </w:r>
      <w:r w:rsidR="005564EF">
        <w:rPr>
          <w:rFonts w:ascii="Arial" w:eastAsiaTheme="minorHAnsi" w:hAnsi="Arial" w:cs="Arial"/>
          <w:sz w:val="20"/>
          <w:szCs w:val="20"/>
        </w:rPr>
        <w:t>the progress of the incubation period under anaerobic conditions</w:t>
      </w:r>
      <w:r w:rsidR="009D081E" w:rsidRPr="005564EF">
        <w:rPr>
          <w:rFonts w:ascii="Arial" w:eastAsiaTheme="minorHAnsi" w:hAnsi="Arial" w:cs="Arial"/>
          <w:sz w:val="20"/>
          <w:szCs w:val="20"/>
        </w:rPr>
        <w:t>.</w:t>
      </w:r>
    </w:p>
    <w:p w14:paraId="42DD3E4D" w14:textId="77FBF9DA" w:rsidR="009D081E" w:rsidRPr="003B7A14" w:rsidRDefault="005564EF" w:rsidP="005430BA">
      <w:pPr>
        <w:widowControl/>
        <w:adjustRightInd w:val="0"/>
        <w:spacing w:after="240" w:line="360" w:lineRule="auto"/>
        <w:jc w:val="both"/>
        <w:rPr>
          <w:rFonts w:ascii="Arial" w:eastAsiaTheme="minorHAnsi" w:hAnsi="Arial" w:cs="Arial"/>
          <w:b/>
          <w:sz w:val="24"/>
          <w:szCs w:val="24"/>
        </w:rPr>
      </w:pPr>
      <w:r>
        <w:rPr>
          <w:rFonts w:ascii="Arial" w:eastAsiaTheme="minorHAnsi" w:hAnsi="Arial" w:cs="Arial"/>
          <w:b/>
          <w:sz w:val="24"/>
          <w:szCs w:val="24"/>
        </w:rPr>
        <w:t xml:space="preserve">3.5. </w:t>
      </w:r>
      <w:r w:rsidR="009D081E" w:rsidRPr="003B7A14">
        <w:rPr>
          <w:rFonts w:ascii="Arial" w:eastAsiaTheme="minorHAnsi" w:hAnsi="Arial" w:cs="Arial"/>
          <w:b/>
          <w:sz w:val="24"/>
          <w:szCs w:val="24"/>
        </w:rPr>
        <w:t>Transformation of Manganese oxide bound zinc (</w:t>
      </w:r>
      <w:proofErr w:type="spellStart"/>
      <w:r w:rsidR="009D081E" w:rsidRPr="003B7A14">
        <w:rPr>
          <w:rFonts w:ascii="Arial" w:eastAsiaTheme="minorHAnsi" w:hAnsi="Arial" w:cs="Arial"/>
          <w:b/>
          <w:sz w:val="24"/>
          <w:szCs w:val="24"/>
        </w:rPr>
        <w:t>MnOx</w:t>
      </w:r>
      <w:proofErr w:type="spellEnd"/>
      <w:r w:rsidR="009D081E" w:rsidRPr="003B7A14">
        <w:rPr>
          <w:rFonts w:ascii="Arial" w:eastAsiaTheme="minorHAnsi" w:hAnsi="Arial" w:cs="Arial"/>
          <w:b/>
          <w:sz w:val="24"/>
          <w:szCs w:val="24"/>
        </w:rPr>
        <w:t>-Zn) fraction</w:t>
      </w:r>
    </w:p>
    <w:p w14:paraId="529EEAEB" w14:textId="5D71FB0B" w:rsidR="005430BA" w:rsidRDefault="009D081E" w:rsidP="005430BA">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t xml:space="preserve">It was observed that aeration condition of soil showed significant effect on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content in all the four soils and significantly lower values of 3.218, 3.346, 3.026 and 4.827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were recorded under anaerobic condition (M</w:t>
      </w:r>
      <w:r w:rsidRPr="005564EF">
        <w:rPr>
          <w:rFonts w:ascii="Arial" w:eastAsiaTheme="minorHAnsi" w:hAnsi="Arial" w:cs="Arial"/>
          <w:sz w:val="20"/>
          <w:szCs w:val="20"/>
          <w:vertAlign w:val="subscript"/>
        </w:rPr>
        <w:t>2</w:t>
      </w:r>
      <w:r w:rsidRPr="005564EF">
        <w:rPr>
          <w:rFonts w:ascii="Arial" w:eastAsiaTheme="minorHAnsi" w:hAnsi="Arial" w:cs="Arial"/>
          <w:sz w:val="20"/>
          <w:szCs w:val="20"/>
        </w:rPr>
        <w:t>) than 3.490, 3.700, 3.238 and 6.004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in S1, S2, S3, and S4, respectively. Incubation period (I) has also shown </w:t>
      </w:r>
      <w:r w:rsidR="005564EF">
        <w:rPr>
          <w:rFonts w:ascii="Arial" w:eastAsiaTheme="minorHAnsi" w:hAnsi="Arial" w:cs="Arial"/>
          <w:sz w:val="20"/>
          <w:szCs w:val="20"/>
        </w:rPr>
        <w:t xml:space="preserve">a significant effect on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 xml:space="preserve">-Zn content in all </w:t>
      </w:r>
      <w:r w:rsidRPr="005564EF">
        <w:rPr>
          <w:rFonts w:ascii="Arial" w:eastAsiaTheme="minorHAnsi" w:hAnsi="Arial" w:cs="Arial"/>
          <w:sz w:val="20"/>
          <w:szCs w:val="20"/>
        </w:rPr>
        <w:t xml:space="preserve">four soils. In all the soils, during the initial periods of incubation, the value gradually increased and reached </w:t>
      </w:r>
      <w:r w:rsidR="005564EF">
        <w:rPr>
          <w:rFonts w:ascii="Arial" w:eastAsiaTheme="minorHAnsi" w:hAnsi="Arial" w:cs="Arial"/>
          <w:sz w:val="20"/>
          <w:szCs w:val="20"/>
        </w:rPr>
        <w:t xml:space="preserve">a </w:t>
      </w:r>
      <w:r w:rsidRPr="005564EF">
        <w:rPr>
          <w:rFonts w:ascii="Arial" w:eastAsiaTheme="minorHAnsi" w:hAnsi="Arial" w:cs="Arial"/>
          <w:sz w:val="20"/>
          <w:szCs w:val="20"/>
        </w:rPr>
        <w:t xml:space="preserve">maximum at 30 DAI, which significantly differed from the initial value in S3 &amp; S4 and at par in S1 &amp; S2. After attaining the maximum at 30 DAI, it was decreased from </w:t>
      </w:r>
      <w:r w:rsidR="005564EF">
        <w:rPr>
          <w:rFonts w:ascii="Arial" w:eastAsiaTheme="minorHAnsi" w:hAnsi="Arial" w:cs="Arial"/>
          <w:sz w:val="20"/>
          <w:szCs w:val="20"/>
        </w:rPr>
        <w:t xml:space="preserve">the initial </w:t>
      </w:r>
      <w:r w:rsidRPr="005564EF">
        <w:rPr>
          <w:rFonts w:ascii="Arial" w:eastAsiaTheme="minorHAnsi" w:hAnsi="Arial" w:cs="Arial"/>
          <w:sz w:val="20"/>
          <w:szCs w:val="20"/>
        </w:rPr>
        <w:t>45 DAI (in S2 &amp; S4) or 60 DAI (in S1 &amp; S3) and became minimum at 90 DAI. However</w:t>
      </w:r>
      <w:r w:rsidR="005564EF">
        <w:rPr>
          <w:rFonts w:ascii="Arial" w:eastAsiaTheme="minorHAnsi" w:hAnsi="Arial" w:cs="Arial"/>
          <w:sz w:val="20"/>
          <w:szCs w:val="20"/>
        </w:rPr>
        <w:t xml:space="preserve">, the decrease from the </w:t>
      </w:r>
      <w:r w:rsidRPr="005564EF">
        <w:rPr>
          <w:rFonts w:ascii="Arial" w:eastAsiaTheme="minorHAnsi" w:hAnsi="Arial" w:cs="Arial"/>
          <w:sz w:val="20"/>
          <w:szCs w:val="20"/>
        </w:rPr>
        <w:t>initial was significant only in S4.</w:t>
      </w:r>
      <w:r w:rsidR="005430BA" w:rsidRPr="005564EF">
        <w:rPr>
          <w:rFonts w:ascii="Arial" w:eastAsiaTheme="minorHAnsi" w:hAnsi="Arial" w:cs="Arial"/>
          <w:sz w:val="20"/>
          <w:szCs w:val="20"/>
        </w:rPr>
        <w:t xml:space="preserve"> </w:t>
      </w:r>
      <w:r w:rsidRPr="005564EF">
        <w:rPr>
          <w:rFonts w:ascii="Arial" w:eastAsiaTheme="minorHAnsi" w:hAnsi="Arial" w:cs="Arial"/>
          <w:sz w:val="20"/>
          <w:szCs w:val="20"/>
        </w:rPr>
        <w:t xml:space="preserve">Under anaerobic </w:t>
      </w:r>
      <w:r w:rsidR="005564EF">
        <w:rPr>
          <w:rFonts w:ascii="Arial" w:eastAsiaTheme="minorHAnsi" w:hAnsi="Arial" w:cs="Arial"/>
          <w:sz w:val="20"/>
          <w:szCs w:val="20"/>
        </w:rPr>
        <w:t xml:space="preserve">conditions (M2), the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-Zn fraction was gradually increased and reached maximum values of 4.019, 4.425, 4.100,</w:t>
      </w:r>
      <w:r w:rsidRPr="005564EF">
        <w:rPr>
          <w:rFonts w:ascii="Arial" w:eastAsiaTheme="minorHAnsi" w:hAnsi="Arial" w:cs="Arial"/>
          <w:sz w:val="20"/>
          <w:szCs w:val="20"/>
        </w:rPr>
        <w:t xml:space="preserve"> and 6.760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30 DAI in all the soils. The increment from the initial is significant in all the soil except S4, where it was at par with the value at 0</w:t>
      </w:r>
      <w:r w:rsidR="00972996">
        <w:rPr>
          <w:rFonts w:ascii="Arial" w:eastAsiaTheme="minorHAnsi" w:hAnsi="Arial" w:cs="Arial"/>
          <w:sz w:val="20"/>
          <w:szCs w:val="20"/>
        </w:rPr>
        <w:t xml:space="preserve"> </w:t>
      </w:r>
      <w:r w:rsidRPr="005564EF">
        <w:rPr>
          <w:rFonts w:ascii="Arial" w:eastAsiaTheme="minorHAnsi" w:hAnsi="Arial" w:cs="Arial"/>
          <w:sz w:val="20"/>
          <w:szCs w:val="20"/>
        </w:rPr>
        <w:t>DAI. After reaching the maximum at 30 DAI (in all soils), it gradually started to decrease, became significantly lower from the initial value at 60 DAI (in S1 &amp; S4) or 75 DAI (in S2 &amp; S3) and reached to a</w:t>
      </w:r>
      <w:r w:rsidR="00692BA0">
        <w:rPr>
          <w:rFonts w:ascii="Arial" w:eastAsiaTheme="minorHAnsi" w:hAnsi="Arial" w:cs="Arial"/>
          <w:sz w:val="20"/>
          <w:szCs w:val="20"/>
        </w:rPr>
        <w:t xml:space="preserve"> </w:t>
      </w:r>
      <w:r w:rsidR="00692BA0" w:rsidRPr="005564EF">
        <w:rPr>
          <w:rFonts w:ascii="Arial" w:eastAsiaTheme="minorHAnsi" w:hAnsi="Arial" w:cs="Arial"/>
          <w:sz w:val="20"/>
          <w:szCs w:val="20"/>
        </w:rPr>
        <w:t>minimum value</w:t>
      </w:r>
      <w:r w:rsidRPr="005564EF">
        <w:rPr>
          <w:rFonts w:ascii="Arial" w:eastAsiaTheme="minorHAnsi" w:hAnsi="Arial" w:cs="Arial"/>
          <w:sz w:val="20"/>
          <w:szCs w:val="20"/>
        </w:rPr>
        <w:t xml:space="preserve"> of 2.422, 2.327, 2.160 &amp; 3.263 mg kg</w:t>
      </w:r>
      <w:r w:rsidRPr="005564EF">
        <w:rPr>
          <w:rFonts w:ascii="Arial" w:eastAsiaTheme="minorHAnsi" w:hAnsi="Arial" w:cs="Arial"/>
          <w:sz w:val="20"/>
          <w:szCs w:val="20"/>
          <w:vertAlign w:val="superscript"/>
        </w:rPr>
        <w:t>-</w:t>
      </w:r>
      <w:r w:rsidR="00972996" w:rsidRPr="005564EF">
        <w:rPr>
          <w:rFonts w:ascii="Arial" w:eastAsiaTheme="minorHAnsi" w:hAnsi="Arial" w:cs="Arial"/>
          <w:sz w:val="20"/>
          <w:szCs w:val="20"/>
          <w:vertAlign w:val="superscript"/>
        </w:rPr>
        <w:t>1</w:t>
      </w:r>
      <w:r w:rsidR="00972996" w:rsidRPr="005564EF">
        <w:rPr>
          <w:rFonts w:ascii="Arial" w:eastAsiaTheme="minorHAnsi" w:hAnsi="Arial" w:cs="Arial"/>
          <w:sz w:val="20"/>
          <w:szCs w:val="20"/>
        </w:rPr>
        <w:t xml:space="preserve"> at</w:t>
      </w:r>
      <w:r w:rsidRPr="005564EF">
        <w:rPr>
          <w:rFonts w:ascii="Arial" w:eastAsiaTheme="minorHAnsi" w:hAnsi="Arial" w:cs="Arial"/>
          <w:sz w:val="20"/>
          <w:szCs w:val="20"/>
        </w:rPr>
        <w:t xml:space="preserve"> 90 DAI in S1, S2, S3 &amp; S4, respectively. </w:t>
      </w:r>
      <w:r w:rsidR="005564EF">
        <w:rPr>
          <w:rFonts w:ascii="Arial" w:eastAsiaTheme="minorHAnsi" w:hAnsi="Arial" w:cs="Arial"/>
          <w:sz w:val="20"/>
          <w:szCs w:val="20"/>
        </w:rPr>
        <w:t xml:space="preserve">A similar pattern of transformation of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-Zn, under submerged conditions</w:t>
      </w:r>
      <w:r w:rsidRPr="005564EF">
        <w:rPr>
          <w:rFonts w:ascii="Arial" w:eastAsiaTheme="minorHAnsi" w:hAnsi="Arial" w:cs="Arial"/>
          <w:sz w:val="20"/>
          <w:szCs w:val="20"/>
        </w:rPr>
        <w:t xml:space="preserve">, has also been observed by Singh (2018) and Chatterjee </w:t>
      </w:r>
      <w:r w:rsidRPr="005564EF">
        <w:rPr>
          <w:rFonts w:ascii="Arial" w:eastAsiaTheme="minorHAnsi" w:hAnsi="Arial" w:cs="Arial"/>
          <w:i/>
          <w:sz w:val="20"/>
          <w:szCs w:val="20"/>
        </w:rPr>
        <w:t>et al</w:t>
      </w:r>
      <w:r w:rsidRPr="005564EF">
        <w:rPr>
          <w:rFonts w:ascii="Arial" w:eastAsiaTheme="minorHAnsi" w:hAnsi="Arial" w:cs="Arial"/>
          <w:sz w:val="20"/>
          <w:szCs w:val="20"/>
        </w:rPr>
        <w:t xml:space="preserve">. (1992). Singh (2018) also explained the reason of this pattern of transformation as follows. Under anaerobic </w:t>
      </w:r>
      <w:r w:rsidR="00191192">
        <w:rPr>
          <w:rFonts w:ascii="Arial" w:eastAsiaTheme="minorHAnsi" w:hAnsi="Arial" w:cs="Arial"/>
          <w:sz w:val="20"/>
          <w:szCs w:val="20"/>
        </w:rPr>
        <w:t xml:space="preserve">conditions, some amount of higher oxides of manganese are converted to the lower valent compounds (Chatterjee et al., 1992), which on diffusion to the </w:t>
      </w:r>
      <w:proofErr w:type="spellStart"/>
      <w:r w:rsidR="00191192">
        <w:rPr>
          <w:rFonts w:ascii="Arial" w:eastAsiaTheme="minorHAnsi" w:hAnsi="Arial" w:cs="Arial"/>
          <w:sz w:val="20"/>
          <w:szCs w:val="20"/>
        </w:rPr>
        <w:t>oxic</w:t>
      </w:r>
      <w:proofErr w:type="spellEnd"/>
      <w:r w:rsidR="00191192">
        <w:rPr>
          <w:rFonts w:ascii="Arial" w:eastAsiaTheme="minorHAnsi" w:hAnsi="Arial" w:cs="Arial"/>
          <w:sz w:val="20"/>
          <w:szCs w:val="20"/>
        </w:rPr>
        <w:t xml:space="preserve"> region get </w:t>
      </w:r>
      <w:proofErr w:type="spellStart"/>
      <w:r w:rsidR="00191192">
        <w:rPr>
          <w:rFonts w:ascii="Arial" w:eastAsiaTheme="minorHAnsi" w:hAnsi="Arial" w:cs="Arial"/>
          <w:sz w:val="20"/>
          <w:szCs w:val="20"/>
        </w:rPr>
        <w:t>reoxidized</w:t>
      </w:r>
      <w:proofErr w:type="spellEnd"/>
      <w:r w:rsidR="00191192">
        <w:rPr>
          <w:rFonts w:ascii="Arial" w:eastAsiaTheme="minorHAnsi" w:hAnsi="Arial" w:cs="Arial"/>
          <w:sz w:val="20"/>
          <w:szCs w:val="20"/>
        </w:rPr>
        <w:t xml:space="preserve"> with subsequent formation of manganic hydroxides having a </w:t>
      </w:r>
      <w:r w:rsidRPr="005564EF">
        <w:rPr>
          <w:rFonts w:ascii="Arial" w:eastAsiaTheme="minorHAnsi" w:hAnsi="Arial" w:cs="Arial"/>
          <w:sz w:val="20"/>
          <w:szCs w:val="20"/>
        </w:rPr>
        <w:t xml:space="preserve">large specific surface area and hence high adsorption capacity. The zinc released from other bound forms might have been held by the manganic hydroxides resulting in an increase in the content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fraction. But during the latter period of incubation, the redox potential of soil is decreased</w:t>
      </w:r>
      <w:r w:rsidR="00191192">
        <w:rPr>
          <w:rFonts w:ascii="Arial" w:eastAsiaTheme="minorHAnsi" w:hAnsi="Arial" w:cs="Arial"/>
          <w:sz w:val="20"/>
          <w:szCs w:val="20"/>
        </w:rPr>
        <w:t>, which causes the reduction of the freshly formed manganic hydroxide,</w:t>
      </w:r>
      <w:r w:rsidRPr="005564EF">
        <w:rPr>
          <w:rFonts w:ascii="Arial" w:eastAsiaTheme="minorHAnsi" w:hAnsi="Arial" w:cs="Arial"/>
          <w:sz w:val="20"/>
          <w:szCs w:val="20"/>
        </w:rPr>
        <w:t xml:space="preserve"> resulting in the release of the adsorbed zinc and hence the decrease in the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fraction. In all the four soils,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the value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 xml:space="preserve">-Zn was gradually increased up to 90 DAI but the increase is not significant except in S4, where the maximum value, recorded at 90 DAI only, was significantly higher than the value recorded at 0 DAI. During the initial period, up to 30 DAI, the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 xml:space="preserve">-Zn fraction under anaerobic </w:t>
      </w:r>
      <w:r w:rsidR="00191192">
        <w:rPr>
          <w:rFonts w:ascii="Arial" w:eastAsiaTheme="minorHAnsi" w:hAnsi="Arial" w:cs="Arial"/>
          <w:sz w:val="20"/>
          <w:szCs w:val="20"/>
        </w:rPr>
        <w:t>conditions (M2) was higher than that under aerobic conditions</w:t>
      </w:r>
      <w:r w:rsidRPr="005564EF">
        <w:rPr>
          <w:rFonts w:ascii="Arial" w:eastAsiaTheme="minorHAnsi" w:hAnsi="Arial" w:cs="Arial"/>
          <w:sz w:val="20"/>
          <w:szCs w:val="20"/>
        </w:rPr>
        <w:t xml:space="preserve">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However, this increasing difference was prominent at both 15 &amp; 30 DAI (in S2 &amp; S3) or only at 30 DAI (in S4) and insignificant in case of S1. Significantly lower value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content was also observed from 60 DAI onwards (in S1), 75 DAI onwards (in S2 &amp; S3) and 45 DAI onwards (in S4).</w:t>
      </w:r>
    </w:p>
    <w:p w14:paraId="26C1B78C" w14:textId="77777777" w:rsidR="00191192" w:rsidRPr="005564EF" w:rsidRDefault="00191192" w:rsidP="005430BA">
      <w:pPr>
        <w:widowControl/>
        <w:adjustRightInd w:val="0"/>
        <w:spacing w:after="240" w:line="360" w:lineRule="auto"/>
        <w:ind w:firstLine="567"/>
        <w:jc w:val="both"/>
        <w:rPr>
          <w:rFonts w:ascii="Arial" w:eastAsiaTheme="minorHAnsi" w:hAnsi="Arial" w:cs="Arial"/>
        </w:rPr>
      </w:pPr>
    </w:p>
    <w:p w14:paraId="7BE67D58" w14:textId="1DC25745" w:rsidR="009D081E" w:rsidRPr="005564EF" w:rsidRDefault="005564EF" w:rsidP="005564EF">
      <w:pPr>
        <w:widowControl/>
        <w:adjustRightInd w:val="0"/>
        <w:spacing w:after="240" w:line="360" w:lineRule="auto"/>
        <w:jc w:val="both"/>
        <w:rPr>
          <w:rFonts w:ascii="Arial" w:eastAsiaTheme="minorHAnsi" w:hAnsi="Arial" w:cs="Arial"/>
          <w:b/>
        </w:rPr>
      </w:pPr>
      <w:r w:rsidRPr="005564EF">
        <w:rPr>
          <w:rFonts w:ascii="Arial" w:eastAsiaTheme="minorHAnsi" w:hAnsi="Arial" w:cs="Arial"/>
          <w:b/>
        </w:rPr>
        <w:t xml:space="preserve">3.6. </w:t>
      </w:r>
      <w:r w:rsidR="009D081E" w:rsidRPr="005564EF">
        <w:rPr>
          <w:rFonts w:ascii="Arial" w:eastAsiaTheme="minorHAnsi" w:hAnsi="Arial" w:cs="Arial"/>
          <w:b/>
        </w:rPr>
        <w:t>Transformation of residual zinc (RES-Zn) fraction</w:t>
      </w:r>
    </w:p>
    <w:p w14:paraId="78F20902" w14:textId="16D53F5C" w:rsidR="00F34EB8" w:rsidRPr="005564EF" w:rsidRDefault="009D081E" w:rsidP="005564EF">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t>Aeration condition (M) has shown significant effect on the RES-Zn fraction in all the four soils. Significantly higher values of 46.97, 51.32, 39.01 &amp; 75.38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were recorded under anaerobic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than 42.76, 47.72, 35.33 &amp; 70.567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in S1, S2, S3 and S4, respectivel</w:t>
      </w:r>
      <w:r w:rsidR="003C29E0" w:rsidRPr="005564EF">
        <w:rPr>
          <w:rFonts w:ascii="Arial" w:eastAsiaTheme="minorHAnsi" w:hAnsi="Arial" w:cs="Arial"/>
          <w:sz w:val="20"/>
          <w:szCs w:val="20"/>
        </w:rPr>
        <w:t xml:space="preserve">y. </w:t>
      </w:r>
      <w:r w:rsidRPr="005564EF">
        <w:rPr>
          <w:rFonts w:ascii="Arial" w:eastAsiaTheme="minorHAnsi" w:hAnsi="Arial" w:cs="Arial"/>
          <w:sz w:val="20"/>
          <w:szCs w:val="20"/>
        </w:rPr>
        <w:t xml:space="preserve">It was observed that </w:t>
      </w:r>
      <w:r w:rsidR="004D19B6" w:rsidRPr="005564EF">
        <w:rPr>
          <w:rFonts w:ascii="Arial" w:eastAsiaTheme="minorHAnsi" w:hAnsi="Arial" w:cs="Arial"/>
          <w:sz w:val="20"/>
          <w:szCs w:val="20"/>
        </w:rPr>
        <w:t xml:space="preserve">the Incubation period (I) has also shown a significant increasing effect on the content of RES-Zn fraction in all </w:t>
      </w:r>
      <w:r w:rsidRPr="005564EF">
        <w:rPr>
          <w:rFonts w:ascii="Arial" w:eastAsiaTheme="minorHAnsi" w:hAnsi="Arial" w:cs="Arial"/>
          <w:sz w:val="20"/>
          <w:szCs w:val="20"/>
        </w:rPr>
        <w:t>four soils. As the incubation period progressed, the value increased and significantly differed from the initial at 45 DAI (in S1 &amp; S4) or 60 DAI (in S2) or 15 DAI (in S3), and attained maximum values of 47.00, 51.50, 39.03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90 DAI</w:t>
      </w:r>
      <w:r w:rsidRPr="005564EF">
        <w:rPr>
          <w:rFonts w:ascii="Arial" w:eastAsiaTheme="minorHAnsi" w:hAnsi="Arial" w:cs="Arial"/>
          <w:sz w:val="20"/>
          <w:szCs w:val="20"/>
          <w:vertAlign w:val="superscript"/>
        </w:rPr>
        <w:t xml:space="preserve"> </w:t>
      </w:r>
      <w:r w:rsidRPr="005564EF">
        <w:rPr>
          <w:rFonts w:ascii="Arial" w:eastAsiaTheme="minorHAnsi" w:hAnsi="Arial" w:cs="Arial"/>
          <w:sz w:val="20"/>
          <w:szCs w:val="20"/>
        </w:rPr>
        <w:t>in S1, S2, &amp; S3, respectively. In S4, the maximum value of 74.85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was observed at 75 DAI, which is at par with those values at 45, 60 &amp; 90 DAI.</w:t>
      </w:r>
      <w:r w:rsidR="003C29E0" w:rsidRPr="005564EF">
        <w:rPr>
          <w:rFonts w:ascii="Arial" w:eastAsiaTheme="minorHAnsi" w:hAnsi="Arial" w:cs="Arial"/>
          <w:sz w:val="20"/>
          <w:szCs w:val="20"/>
        </w:rPr>
        <w:t xml:space="preserve"> </w:t>
      </w:r>
      <w:r w:rsidRPr="005564EF">
        <w:rPr>
          <w:rFonts w:ascii="Arial" w:eastAsiaTheme="minorHAnsi" w:hAnsi="Arial" w:cs="Arial"/>
          <w:sz w:val="20"/>
          <w:szCs w:val="20"/>
        </w:rPr>
        <w:t>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the RES-Zn fraction recorded an increasing trend along with the progress of incubation period (I) but, the increment was not significantly different from the initial value in all the soils except in S4, where it significantly differed only at 90 DAI. Under anaerobic </w:t>
      </w:r>
      <w:r w:rsidR="004D19B6" w:rsidRPr="005564EF">
        <w:rPr>
          <w:rFonts w:ascii="Arial" w:eastAsiaTheme="minorHAnsi" w:hAnsi="Arial" w:cs="Arial"/>
          <w:sz w:val="20"/>
          <w:szCs w:val="20"/>
        </w:rPr>
        <w:t xml:space="preserve">conditions (M2), the value of RES-Zn also showed an increasing pattern with the </w:t>
      </w:r>
      <w:r w:rsidRPr="005564EF">
        <w:rPr>
          <w:rFonts w:ascii="Arial" w:eastAsiaTheme="minorHAnsi" w:hAnsi="Arial" w:cs="Arial"/>
          <w:sz w:val="20"/>
          <w:szCs w:val="20"/>
        </w:rPr>
        <w:t xml:space="preserve">incubation period (I). The RES-Zn fraction content was significantly increased from the initial value at 45 DAI (in S1), 15 DAI (in S3), and 30 DAI (in S4) and recorded significantly highest value of </w:t>
      </w:r>
      <w:r w:rsidR="00692BA0" w:rsidRPr="005564EF">
        <w:rPr>
          <w:rFonts w:ascii="Arial" w:eastAsiaTheme="minorHAnsi" w:hAnsi="Arial" w:cs="Arial"/>
          <w:sz w:val="20"/>
          <w:szCs w:val="20"/>
        </w:rPr>
        <w:t>50.45,</w:t>
      </w:r>
      <w:r w:rsidRPr="005564EF">
        <w:rPr>
          <w:rFonts w:ascii="Arial" w:eastAsiaTheme="minorHAnsi" w:hAnsi="Arial" w:cs="Arial"/>
          <w:sz w:val="20"/>
          <w:szCs w:val="20"/>
        </w:rPr>
        <w:t xml:space="preserve"> 41.97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90 DAI in S1 and S3 but in S4, it is 78.86 mg kg</w:t>
      </w:r>
      <w:r w:rsidRPr="005564EF">
        <w:rPr>
          <w:rFonts w:ascii="Arial" w:eastAsiaTheme="minorHAnsi" w:hAnsi="Arial" w:cs="Arial"/>
          <w:sz w:val="20"/>
          <w:szCs w:val="20"/>
          <w:vertAlign w:val="superscript"/>
        </w:rPr>
        <w:t xml:space="preserve">-1 </w:t>
      </w:r>
      <w:r w:rsidRPr="005564EF">
        <w:rPr>
          <w:rFonts w:ascii="Arial" w:eastAsiaTheme="minorHAnsi" w:hAnsi="Arial" w:cs="Arial"/>
          <w:sz w:val="20"/>
          <w:szCs w:val="20"/>
        </w:rPr>
        <w:t xml:space="preserve">at 75 DAI, which is at par with 90 &amp; 60DAI. Similar progressive increase in RES-Zn fraction has also been observed by </w:t>
      </w:r>
      <w:proofErr w:type="spellStart"/>
      <w:r w:rsidRPr="005564EF">
        <w:rPr>
          <w:rFonts w:ascii="Arial" w:eastAsiaTheme="minorHAnsi" w:hAnsi="Arial" w:cs="Arial"/>
          <w:sz w:val="20"/>
          <w:szCs w:val="20"/>
        </w:rPr>
        <w:t>Wijebandara</w:t>
      </w:r>
      <w:proofErr w:type="spellEnd"/>
      <w:r w:rsidRPr="005564EF">
        <w:rPr>
          <w:rFonts w:ascii="Arial" w:eastAsiaTheme="minorHAnsi" w:hAnsi="Arial" w:cs="Arial"/>
          <w:sz w:val="20"/>
          <w:szCs w:val="20"/>
        </w:rPr>
        <w:t xml:space="preserve"> </w:t>
      </w:r>
      <w:r w:rsidRPr="005564EF">
        <w:rPr>
          <w:rFonts w:ascii="Arial" w:eastAsiaTheme="minorHAnsi" w:hAnsi="Arial" w:cs="Arial"/>
          <w:i/>
          <w:sz w:val="20"/>
          <w:szCs w:val="20"/>
        </w:rPr>
        <w:t xml:space="preserve">et al. </w:t>
      </w:r>
      <w:r w:rsidRPr="005564EF">
        <w:rPr>
          <w:rFonts w:ascii="Arial" w:eastAsiaTheme="minorHAnsi" w:hAnsi="Arial" w:cs="Arial"/>
          <w:sz w:val="20"/>
          <w:szCs w:val="20"/>
        </w:rPr>
        <w:t>(2014) in his 30, 60 &amp; 90 days of incubation study under submerged condition. This progressive increase in RES-Zn fraction with advancement of incubation period indicated considerable mobilization of Zn to residual fraction from other fractions (</w:t>
      </w:r>
      <w:proofErr w:type="spellStart"/>
      <w:r w:rsidRPr="005564EF">
        <w:rPr>
          <w:rFonts w:ascii="Arial" w:eastAsiaTheme="minorHAnsi" w:hAnsi="Arial" w:cs="Arial"/>
          <w:sz w:val="20"/>
          <w:szCs w:val="20"/>
        </w:rPr>
        <w:t>Wijebandara</w:t>
      </w:r>
      <w:proofErr w:type="spellEnd"/>
      <w:r w:rsidRPr="005564EF">
        <w:rPr>
          <w:rFonts w:ascii="Arial" w:eastAsiaTheme="minorHAnsi" w:hAnsi="Arial" w:cs="Arial"/>
          <w:sz w:val="20"/>
          <w:szCs w:val="20"/>
        </w:rPr>
        <w:t xml:space="preserve"> </w:t>
      </w:r>
      <w:r w:rsidRPr="005564EF">
        <w:rPr>
          <w:rFonts w:ascii="Arial" w:eastAsiaTheme="minorHAnsi" w:hAnsi="Arial" w:cs="Arial"/>
          <w:i/>
          <w:sz w:val="20"/>
          <w:szCs w:val="20"/>
        </w:rPr>
        <w:t>et al.,</w:t>
      </w:r>
      <w:r w:rsidRPr="005564EF">
        <w:rPr>
          <w:rFonts w:ascii="Arial" w:eastAsiaTheme="minorHAnsi" w:hAnsi="Arial" w:cs="Arial"/>
          <w:sz w:val="20"/>
          <w:szCs w:val="20"/>
        </w:rPr>
        <w:t xml:space="preserve"> 2014). However, significantly higher values of RES-Zn fraction were observed under M</w:t>
      </w:r>
      <w:r w:rsidRPr="005564EF">
        <w:rPr>
          <w:rFonts w:ascii="Arial" w:eastAsiaTheme="minorHAnsi" w:hAnsi="Arial" w:cs="Arial"/>
          <w:sz w:val="20"/>
          <w:szCs w:val="20"/>
          <w:vertAlign w:val="subscript"/>
        </w:rPr>
        <w:t>2</w:t>
      </w:r>
      <w:r w:rsidRPr="005564EF">
        <w:rPr>
          <w:rFonts w:ascii="Arial" w:eastAsiaTheme="minorHAnsi" w:hAnsi="Arial" w:cs="Arial"/>
          <w:sz w:val="20"/>
          <w:szCs w:val="20"/>
        </w:rPr>
        <w:t xml:space="preserve"> than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from 45 DAI onwards in S1 &amp; S4 but in S3, it was observed from 30 DAI onwards. </w:t>
      </w:r>
      <w:r w:rsidR="00464FF3">
        <w:rPr>
          <w:rFonts w:ascii="Arial" w:eastAsiaTheme="minorHAnsi" w:hAnsi="Arial" w:cs="Arial"/>
          <w:sz w:val="20"/>
          <w:szCs w:val="20"/>
        </w:rPr>
        <w:t xml:space="preserve">Enoch </w:t>
      </w:r>
      <w:r w:rsidR="00464FF3" w:rsidRPr="00464FF3">
        <w:rPr>
          <w:rFonts w:ascii="Arial" w:eastAsiaTheme="minorHAnsi" w:hAnsi="Arial" w:cs="Arial"/>
          <w:i/>
          <w:iCs/>
          <w:sz w:val="20"/>
          <w:szCs w:val="20"/>
        </w:rPr>
        <w:t>et al</w:t>
      </w:r>
      <w:r w:rsidR="00464FF3">
        <w:rPr>
          <w:rFonts w:ascii="Arial" w:eastAsiaTheme="minorHAnsi" w:hAnsi="Arial" w:cs="Arial"/>
          <w:sz w:val="20"/>
          <w:szCs w:val="20"/>
        </w:rPr>
        <w:t xml:space="preserve">., 2017, </w:t>
      </w:r>
      <w:r w:rsidR="00692BA0" w:rsidRPr="00692BA0">
        <w:rPr>
          <w:rFonts w:ascii="Arial" w:eastAsiaTheme="minorHAnsi" w:hAnsi="Arial" w:cs="Arial"/>
          <w:sz w:val="20"/>
          <w:szCs w:val="20"/>
        </w:rPr>
        <w:t xml:space="preserve">Singh, (2011) and Kamali </w:t>
      </w:r>
      <w:r w:rsidR="00692BA0" w:rsidRPr="00692BA0">
        <w:rPr>
          <w:rFonts w:ascii="Arial" w:eastAsiaTheme="minorHAnsi" w:hAnsi="Arial" w:cs="Arial"/>
          <w:i/>
          <w:iCs/>
          <w:sz w:val="20"/>
          <w:szCs w:val="20"/>
        </w:rPr>
        <w:t>et al</w:t>
      </w:r>
      <w:r w:rsidR="00692BA0" w:rsidRPr="00692BA0">
        <w:rPr>
          <w:rFonts w:ascii="Arial" w:eastAsiaTheme="minorHAnsi" w:hAnsi="Arial" w:cs="Arial"/>
          <w:sz w:val="20"/>
          <w:szCs w:val="20"/>
        </w:rPr>
        <w:t>., (2010)</w:t>
      </w:r>
      <w:r w:rsidR="00692BA0">
        <w:rPr>
          <w:rFonts w:ascii="Arial" w:eastAsiaTheme="minorHAnsi" w:hAnsi="Arial" w:cs="Arial"/>
          <w:sz w:val="20"/>
          <w:szCs w:val="20"/>
        </w:rPr>
        <w:t xml:space="preserve"> </w:t>
      </w:r>
      <w:r w:rsidRPr="005564EF">
        <w:rPr>
          <w:rFonts w:ascii="Arial" w:eastAsiaTheme="minorHAnsi" w:hAnsi="Arial" w:cs="Arial"/>
          <w:sz w:val="20"/>
          <w:szCs w:val="20"/>
        </w:rPr>
        <w:t>also reported significantly higher value of RES-Zn fraction under submergence moisture regime than field capacity moisture regime.</w:t>
      </w:r>
    </w:p>
    <w:p w14:paraId="71FACA2B" w14:textId="5938F3E9" w:rsidR="00F34EB8" w:rsidRPr="003B7A14" w:rsidRDefault="00F34EB8" w:rsidP="003C29E0">
      <w:pPr>
        <w:widowControl/>
        <w:adjustRightInd w:val="0"/>
        <w:spacing w:after="240" w:line="360" w:lineRule="auto"/>
        <w:ind w:firstLine="567"/>
        <w:jc w:val="both"/>
        <w:rPr>
          <w:rFonts w:ascii="Arial" w:eastAsiaTheme="minorHAnsi" w:hAnsi="Arial" w:cs="Arial"/>
          <w:sz w:val="24"/>
          <w:szCs w:val="24"/>
        </w:rPr>
        <w:sectPr w:rsidR="00F34EB8" w:rsidRPr="003B7A14" w:rsidSect="009D081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871" w:header="709" w:footer="709" w:gutter="0"/>
          <w:pgNumType w:start="33"/>
          <w:cols w:space="708"/>
          <w:docGrid w:linePitch="360"/>
        </w:sectPr>
      </w:pPr>
    </w:p>
    <w:tbl>
      <w:tblPr>
        <w:tblpPr w:leftFromText="180" w:rightFromText="180" w:vertAnchor="page" w:horzAnchor="margin" w:tblpXSpec="center" w:tblpY="2806"/>
        <w:tblW w:w="4930" w:type="pct"/>
        <w:tblLayout w:type="fixed"/>
        <w:tblLook w:val="04A0" w:firstRow="1" w:lastRow="0" w:firstColumn="1" w:lastColumn="0" w:noHBand="0" w:noVBand="1"/>
      </w:tblPr>
      <w:tblGrid>
        <w:gridCol w:w="945"/>
        <w:gridCol w:w="697"/>
        <w:gridCol w:w="700"/>
        <w:gridCol w:w="700"/>
        <w:gridCol w:w="699"/>
        <w:gridCol w:w="699"/>
        <w:gridCol w:w="696"/>
        <w:gridCol w:w="699"/>
        <w:gridCol w:w="696"/>
        <w:gridCol w:w="837"/>
        <w:gridCol w:w="699"/>
        <w:gridCol w:w="837"/>
        <w:gridCol w:w="699"/>
        <w:gridCol w:w="699"/>
        <w:gridCol w:w="699"/>
        <w:gridCol w:w="699"/>
        <w:gridCol w:w="696"/>
        <w:gridCol w:w="669"/>
        <w:gridCol w:w="699"/>
      </w:tblGrid>
      <w:tr w:rsidR="003B7A14" w:rsidRPr="003B7A14" w14:paraId="2CD3F102" w14:textId="77777777" w:rsidTr="009A182B">
        <w:trPr>
          <w:trHeight w:val="437"/>
        </w:trPr>
        <w:tc>
          <w:tcPr>
            <w:tcW w:w="5000" w:type="pct"/>
            <w:gridSpan w:val="19"/>
            <w:tcBorders>
              <w:bottom w:val="single" w:sz="12" w:space="0" w:color="auto"/>
            </w:tcBorders>
            <w:shd w:val="clear" w:color="auto" w:fill="auto"/>
            <w:noWrap/>
            <w:vAlign w:val="center"/>
            <w:hideMark/>
          </w:tcPr>
          <w:p w14:paraId="3D2AC4FD" w14:textId="044000CD" w:rsidR="009D081E" w:rsidRPr="003B7A14" w:rsidRDefault="009D081E" w:rsidP="009A182B">
            <w:pPr>
              <w:widowControl/>
              <w:autoSpaceDE/>
              <w:autoSpaceDN/>
              <w:jc w:val="both"/>
              <w:rPr>
                <w:b/>
                <w:bCs/>
                <w:sz w:val="24"/>
                <w:szCs w:val="24"/>
              </w:rPr>
            </w:pPr>
            <w:r w:rsidRPr="003B7A14">
              <w:rPr>
                <w:b/>
                <w:bCs/>
                <w:sz w:val="24"/>
                <w:szCs w:val="24"/>
              </w:rPr>
              <w:lastRenderedPageBreak/>
              <w:t>Table 1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soil-1 (S1)</w:t>
            </w:r>
          </w:p>
        </w:tc>
      </w:tr>
      <w:tr w:rsidR="003B7A14" w:rsidRPr="003B7A14" w14:paraId="497ACA5F" w14:textId="77777777" w:rsidTr="009A182B">
        <w:trPr>
          <w:trHeight w:val="425"/>
        </w:trPr>
        <w:tc>
          <w:tcPr>
            <w:tcW w:w="343" w:type="pct"/>
            <w:tcBorders>
              <w:top w:val="single" w:sz="12" w:space="0" w:color="auto"/>
            </w:tcBorders>
            <w:shd w:val="clear" w:color="auto" w:fill="auto"/>
            <w:noWrap/>
            <w:vAlign w:val="center"/>
            <w:hideMark/>
          </w:tcPr>
          <w:p w14:paraId="59D19E0F" w14:textId="77777777" w:rsidR="009D081E" w:rsidRPr="003B7A14" w:rsidRDefault="009D081E" w:rsidP="009A182B">
            <w:pPr>
              <w:widowControl/>
              <w:autoSpaceDE/>
              <w:autoSpaceDN/>
              <w:jc w:val="center"/>
              <w:rPr>
                <w:b/>
                <w:bCs/>
                <w:sz w:val="20"/>
                <w:szCs w:val="20"/>
              </w:rPr>
            </w:pPr>
          </w:p>
        </w:tc>
        <w:tc>
          <w:tcPr>
            <w:tcW w:w="761" w:type="pct"/>
            <w:gridSpan w:val="3"/>
            <w:tcBorders>
              <w:top w:val="single" w:sz="12" w:space="0" w:color="auto"/>
              <w:bottom w:val="single" w:sz="4" w:space="0" w:color="auto"/>
            </w:tcBorders>
            <w:shd w:val="clear" w:color="auto" w:fill="auto"/>
            <w:noWrap/>
            <w:vAlign w:val="center"/>
            <w:hideMark/>
          </w:tcPr>
          <w:p w14:paraId="59A99877" w14:textId="77777777" w:rsidR="009D081E" w:rsidRPr="003B7A14" w:rsidRDefault="009D081E" w:rsidP="009A182B">
            <w:pPr>
              <w:widowControl/>
              <w:autoSpaceDE/>
              <w:autoSpaceDN/>
              <w:jc w:val="center"/>
              <w:rPr>
                <w:b/>
                <w:bCs/>
                <w:szCs w:val="20"/>
              </w:rPr>
            </w:pPr>
            <w:r w:rsidRPr="003B7A14">
              <w:rPr>
                <w:b/>
                <w:bCs/>
                <w:szCs w:val="20"/>
              </w:rPr>
              <w:t>WSEX-Zn</w:t>
            </w:r>
          </w:p>
        </w:tc>
        <w:tc>
          <w:tcPr>
            <w:tcW w:w="761" w:type="pct"/>
            <w:gridSpan w:val="3"/>
            <w:tcBorders>
              <w:top w:val="single" w:sz="12" w:space="0" w:color="auto"/>
              <w:bottom w:val="single" w:sz="4" w:space="0" w:color="auto"/>
            </w:tcBorders>
            <w:shd w:val="clear" w:color="auto" w:fill="auto"/>
            <w:noWrap/>
            <w:vAlign w:val="center"/>
            <w:hideMark/>
          </w:tcPr>
          <w:p w14:paraId="5A4AE01A" w14:textId="77777777" w:rsidR="009D081E" w:rsidRPr="003B7A14" w:rsidRDefault="009D081E" w:rsidP="009A182B">
            <w:pPr>
              <w:widowControl/>
              <w:autoSpaceDE/>
              <w:autoSpaceDN/>
              <w:jc w:val="center"/>
              <w:rPr>
                <w:b/>
                <w:bCs/>
                <w:szCs w:val="20"/>
              </w:rPr>
            </w:pPr>
            <w:r w:rsidRPr="003B7A14">
              <w:rPr>
                <w:b/>
                <w:bCs/>
                <w:szCs w:val="20"/>
              </w:rPr>
              <w:t>OC-Zn</w:t>
            </w:r>
          </w:p>
        </w:tc>
        <w:tc>
          <w:tcPr>
            <w:tcW w:w="811" w:type="pct"/>
            <w:gridSpan w:val="3"/>
            <w:tcBorders>
              <w:top w:val="single" w:sz="12" w:space="0" w:color="auto"/>
              <w:bottom w:val="single" w:sz="4" w:space="0" w:color="auto"/>
            </w:tcBorders>
            <w:shd w:val="clear" w:color="auto" w:fill="auto"/>
            <w:noWrap/>
            <w:vAlign w:val="center"/>
            <w:hideMark/>
          </w:tcPr>
          <w:p w14:paraId="05841B3E" w14:textId="77777777" w:rsidR="009D081E" w:rsidRPr="003B7A14" w:rsidRDefault="009D081E" w:rsidP="009A182B">
            <w:pPr>
              <w:widowControl/>
              <w:autoSpaceDE/>
              <w:autoSpaceDN/>
              <w:jc w:val="center"/>
              <w:rPr>
                <w:b/>
                <w:bCs/>
                <w:szCs w:val="20"/>
              </w:rPr>
            </w:pPr>
            <w:r w:rsidRPr="003B7A14">
              <w:rPr>
                <w:b/>
                <w:bCs/>
                <w:szCs w:val="20"/>
              </w:rPr>
              <w:t>AMOX-Zn</w:t>
            </w:r>
          </w:p>
        </w:tc>
        <w:tc>
          <w:tcPr>
            <w:tcW w:w="812" w:type="pct"/>
            <w:gridSpan w:val="3"/>
            <w:tcBorders>
              <w:top w:val="single" w:sz="12" w:space="0" w:color="auto"/>
              <w:bottom w:val="single" w:sz="4" w:space="0" w:color="auto"/>
            </w:tcBorders>
            <w:shd w:val="clear" w:color="auto" w:fill="auto"/>
            <w:noWrap/>
            <w:vAlign w:val="center"/>
            <w:hideMark/>
          </w:tcPr>
          <w:p w14:paraId="3815CC2D" w14:textId="77777777" w:rsidR="009D081E" w:rsidRPr="003B7A14" w:rsidRDefault="009D081E" w:rsidP="009A182B">
            <w:pPr>
              <w:widowControl/>
              <w:autoSpaceDE/>
              <w:autoSpaceDN/>
              <w:jc w:val="center"/>
              <w:rPr>
                <w:b/>
                <w:bCs/>
                <w:szCs w:val="20"/>
              </w:rPr>
            </w:pPr>
            <w:r w:rsidRPr="003B7A14">
              <w:rPr>
                <w:b/>
                <w:bCs/>
                <w:szCs w:val="20"/>
              </w:rPr>
              <w:t>CRYOX-Zn</w:t>
            </w:r>
          </w:p>
        </w:tc>
        <w:tc>
          <w:tcPr>
            <w:tcW w:w="762" w:type="pct"/>
            <w:gridSpan w:val="3"/>
            <w:tcBorders>
              <w:top w:val="single" w:sz="12" w:space="0" w:color="auto"/>
              <w:bottom w:val="single" w:sz="4" w:space="0" w:color="auto"/>
            </w:tcBorders>
            <w:shd w:val="clear" w:color="auto" w:fill="auto"/>
            <w:noWrap/>
            <w:vAlign w:val="center"/>
            <w:hideMark/>
          </w:tcPr>
          <w:p w14:paraId="3746AC18" w14:textId="77777777" w:rsidR="009D081E" w:rsidRPr="003B7A14" w:rsidRDefault="009D081E" w:rsidP="009A182B">
            <w:pPr>
              <w:widowControl/>
              <w:autoSpaceDE/>
              <w:autoSpaceDN/>
              <w:jc w:val="center"/>
              <w:rPr>
                <w:b/>
                <w:bCs/>
                <w:szCs w:val="20"/>
              </w:rPr>
            </w:pPr>
            <w:proofErr w:type="spellStart"/>
            <w:r w:rsidRPr="003B7A14">
              <w:rPr>
                <w:b/>
                <w:bCs/>
                <w:szCs w:val="20"/>
              </w:rPr>
              <w:t>MnOx</w:t>
            </w:r>
            <w:proofErr w:type="spellEnd"/>
            <w:r w:rsidRPr="003B7A14">
              <w:rPr>
                <w:b/>
                <w:bCs/>
                <w:szCs w:val="20"/>
              </w:rPr>
              <w:t>-Zn</w:t>
            </w:r>
          </w:p>
        </w:tc>
        <w:tc>
          <w:tcPr>
            <w:tcW w:w="750" w:type="pct"/>
            <w:gridSpan w:val="3"/>
            <w:tcBorders>
              <w:top w:val="single" w:sz="12" w:space="0" w:color="auto"/>
              <w:bottom w:val="single" w:sz="4" w:space="0" w:color="auto"/>
            </w:tcBorders>
            <w:shd w:val="clear" w:color="auto" w:fill="auto"/>
            <w:noWrap/>
            <w:vAlign w:val="center"/>
            <w:hideMark/>
          </w:tcPr>
          <w:p w14:paraId="2D44F514" w14:textId="77777777" w:rsidR="009D081E" w:rsidRPr="003B7A14" w:rsidRDefault="009D081E" w:rsidP="009A182B">
            <w:pPr>
              <w:widowControl/>
              <w:autoSpaceDE/>
              <w:autoSpaceDN/>
              <w:jc w:val="center"/>
              <w:rPr>
                <w:b/>
                <w:bCs/>
                <w:szCs w:val="20"/>
              </w:rPr>
            </w:pPr>
            <w:r w:rsidRPr="003B7A14">
              <w:rPr>
                <w:b/>
                <w:bCs/>
                <w:szCs w:val="20"/>
              </w:rPr>
              <w:t>RES-Zn</w:t>
            </w:r>
          </w:p>
        </w:tc>
      </w:tr>
      <w:tr w:rsidR="003B7A14" w:rsidRPr="003B7A14" w14:paraId="6ACB4BB0" w14:textId="77777777" w:rsidTr="009A182B">
        <w:trPr>
          <w:trHeight w:val="425"/>
        </w:trPr>
        <w:tc>
          <w:tcPr>
            <w:tcW w:w="343" w:type="pct"/>
            <w:tcBorders>
              <w:bottom w:val="single" w:sz="4" w:space="0" w:color="auto"/>
            </w:tcBorders>
            <w:shd w:val="clear" w:color="auto" w:fill="auto"/>
            <w:noWrap/>
            <w:vAlign w:val="center"/>
            <w:hideMark/>
          </w:tcPr>
          <w:p w14:paraId="06B26AA5" w14:textId="77777777" w:rsidR="009D081E" w:rsidRPr="003B7A14" w:rsidRDefault="009D081E" w:rsidP="009A182B">
            <w:pPr>
              <w:widowControl/>
              <w:autoSpaceDE/>
              <w:autoSpaceDN/>
              <w:jc w:val="center"/>
              <w:rPr>
                <w:b/>
                <w:bCs/>
                <w:sz w:val="20"/>
                <w:szCs w:val="20"/>
              </w:rPr>
            </w:pPr>
          </w:p>
        </w:tc>
        <w:tc>
          <w:tcPr>
            <w:tcW w:w="253" w:type="pct"/>
            <w:tcBorders>
              <w:top w:val="single" w:sz="4" w:space="0" w:color="auto"/>
              <w:bottom w:val="single" w:sz="4" w:space="0" w:color="auto"/>
            </w:tcBorders>
            <w:shd w:val="clear" w:color="auto" w:fill="auto"/>
            <w:noWrap/>
            <w:vAlign w:val="center"/>
            <w:hideMark/>
          </w:tcPr>
          <w:p w14:paraId="05B1DE0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139FCB8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7450904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51BAD1A6"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0709A473"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17F68CC6"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688335DC"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0CB6200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304" w:type="pct"/>
            <w:tcBorders>
              <w:top w:val="single" w:sz="4" w:space="0" w:color="auto"/>
              <w:bottom w:val="single" w:sz="4" w:space="0" w:color="auto"/>
            </w:tcBorders>
            <w:shd w:val="clear" w:color="auto" w:fill="auto"/>
            <w:noWrap/>
            <w:vAlign w:val="center"/>
            <w:hideMark/>
          </w:tcPr>
          <w:p w14:paraId="41F75D9F"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49CF75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304" w:type="pct"/>
            <w:tcBorders>
              <w:top w:val="single" w:sz="4" w:space="0" w:color="auto"/>
              <w:bottom w:val="single" w:sz="4" w:space="0" w:color="auto"/>
            </w:tcBorders>
            <w:shd w:val="clear" w:color="auto" w:fill="auto"/>
            <w:noWrap/>
            <w:vAlign w:val="center"/>
            <w:hideMark/>
          </w:tcPr>
          <w:p w14:paraId="36E0654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599AFD35"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29F0C9F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158128A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170073CB"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0766FB4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43" w:type="pct"/>
            <w:tcBorders>
              <w:top w:val="single" w:sz="4" w:space="0" w:color="auto"/>
              <w:bottom w:val="single" w:sz="4" w:space="0" w:color="auto"/>
            </w:tcBorders>
            <w:shd w:val="clear" w:color="auto" w:fill="auto"/>
            <w:noWrap/>
            <w:vAlign w:val="center"/>
            <w:hideMark/>
          </w:tcPr>
          <w:p w14:paraId="14C2A60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0A689FE8"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78AF1269" w14:textId="77777777" w:rsidTr="009A182B">
        <w:trPr>
          <w:trHeight w:val="425"/>
        </w:trPr>
        <w:tc>
          <w:tcPr>
            <w:tcW w:w="343" w:type="pct"/>
            <w:tcBorders>
              <w:top w:val="single" w:sz="4" w:space="0" w:color="auto"/>
            </w:tcBorders>
            <w:shd w:val="clear" w:color="auto" w:fill="auto"/>
            <w:noWrap/>
            <w:vAlign w:val="center"/>
            <w:hideMark/>
          </w:tcPr>
          <w:p w14:paraId="142398EC"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0</w:t>
            </w:r>
          </w:p>
        </w:tc>
        <w:tc>
          <w:tcPr>
            <w:tcW w:w="253" w:type="pct"/>
            <w:tcBorders>
              <w:top w:val="single" w:sz="4" w:space="0" w:color="auto"/>
            </w:tcBorders>
            <w:shd w:val="clear" w:color="auto" w:fill="auto"/>
            <w:noWrap/>
            <w:vAlign w:val="center"/>
            <w:hideMark/>
          </w:tcPr>
          <w:p w14:paraId="34AE647C" w14:textId="77777777" w:rsidR="009D081E" w:rsidRPr="003B7A14" w:rsidRDefault="009D081E" w:rsidP="009A182B">
            <w:pPr>
              <w:widowControl/>
              <w:autoSpaceDE/>
              <w:autoSpaceDN/>
              <w:jc w:val="center"/>
              <w:rPr>
                <w:sz w:val="20"/>
                <w:szCs w:val="20"/>
              </w:rPr>
            </w:pPr>
            <w:r w:rsidRPr="003B7A14">
              <w:rPr>
                <w:sz w:val="20"/>
                <w:szCs w:val="20"/>
              </w:rPr>
              <w:t>0.326</w:t>
            </w:r>
          </w:p>
        </w:tc>
        <w:tc>
          <w:tcPr>
            <w:tcW w:w="254" w:type="pct"/>
            <w:tcBorders>
              <w:top w:val="single" w:sz="4" w:space="0" w:color="auto"/>
            </w:tcBorders>
            <w:shd w:val="clear" w:color="auto" w:fill="auto"/>
            <w:noWrap/>
            <w:vAlign w:val="center"/>
            <w:hideMark/>
          </w:tcPr>
          <w:p w14:paraId="2151BF37" w14:textId="77777777" w:rsidR="009D081E" w:rsidRPr="003B7A14" w:rsidRDefault="009D081E" w:rsidP="009A182B">
            <w:pPr>
              <w:widowControl/>
              <w:autoSpaceDE/>
              <w:autoSpaceDN/>
              <w:jc w:val="center"/>
              <w:rPr>
                <w:sz w:val="20"/>
                <w:szCs w:val="20"/>
              </w:rPr>
            </w:pPr>
            <w:r w:rsidRPr="003B7A14">
              <w:rPr>
                <w:sz w:val="20"/>
                <w:szCs w:val="20"/>
              </w:rPr>
              <w:t>0.319</w:t>
            </w:r>
          </w:p>
        </w:tc>
        <w:tc>
          <w:tcPr>
            <w:tcW w:w="254" w:type="pct"/>
            <w:tcBorders>
              <w:top w:val="single" w:sz="4" w:space="0" w:color="auto"/>
            </w:tcBorders>
            <w:shd w:val="clear" w:color="auto" w:fill="auto"/>
            <w:noWrap/>
            <w:vAlign w:val="center"/>
            <w:hideMark/>
          </w:tcPr>
          <w:p w14:paraId="58217679" w14:textId="77777777" w:rsidR="009D081E" w:rsidRPr="003B7A14" w:rsidRDefault="009D081E" w:rsidP="009A182B">
            <w:pPr>
              <w:widowControl/>
              <w:autoSpaceDE/>
              <w:autoSpaceDN/>
              <w:jc w:val="center"/>
              <w:rPr>
                <w:sz w:val="20"/>
                <w:szCs w:val="20"/>
              </w:rPr>
            </w:pPr>
            <w:r w:rsidRPr="003B7A14">
              <w:rPr>
                <w:sz w:val="20"/>
                <w:szCs w:val="20"/>
              </w:rPr>
              <w:t>0.323</w:t>
            </w:r>
          </w:p>
        </w:tc>
        <w:tc>
          <w:tcPr>
            <w:tcW w:w="254" w:type="pct"/>
            <w:tcBorders>
              <w:top w:val="single" w:sz="4" w:space="0" w:color="auto"/>
            </w:tcBorders>
            <w:shd w:val="clear" w:color="auto" w:fill="auto"/>
            <w:noWrap/>
            <w:vAlign w:val="center"/>
            <w:hideMark/>
          </w:tcPr>
          <w:p w14:paraId="16CAE377" w14:textId="77777777" w:rsidR="009D081E" w:rsidRPr="003B7A14" w:rsidRDefault="009D081E" w:rsidP="009A182B">
            <w:pPr>
              <w:widowControl/>
              <w:autoSpaceDE/>
              <w:autoSpaceDN/>
              <w:jc w:val="center"/>
              <w:rPr>
                <w:sz w:val="20"/>
                <w:szCs w:val="20"/>
              </w:rPr>
            </w:pPr>
            <w:r w:rsidRPr="003B7A14">
              <w:rPr>
                <w:sz w:val="20"/>
                <w:szCs w:val="20"/>
              </w:rPr>
              <w:t>1.900</w:t>
            </w:r>
          </w:p>
        </w:tc>
        <w:tc>
          <w:tcPr>
            <w:tcW w:w="254" w:type="pct"/>
            <w:tcBorders>
              <w:top w:val="single" w:sz="4" w:space="0" w:color="auto"/>
            </w:tcBorders>
            <w:shd w:val="clear" w:color="auto" w:fill="auto"/>
            <w:noWrap/>
            <w:vAlign w:val="center"/>
            <w:hideMark/>
          </w:tcPr>
          <w:p w14:paraId="0085081A" w14:textId="77777777" w:rsidR="009D081E" w:rsidRPr="003B7A14" w:rsidRDefault="009D081E" w:rsidP="009A182B">
            <w:pPr>
              <w:widowControl/>
              <w:autoSpaceDE/>
              <w:autoSpaceDN/>
              <w:jc w:val="center"/>
              <w:rPr>
                <w:sz w:val="20"/>
                <w:szCs w:val="20"/>
              </w:rPr>
            </w:pPr>
            <w:r w:rsidRPr="003B7A14">
              <w:rPr>
                <w:sz w:val="20"/>
                <w:szCs w:val="20"/>
              </w:rPr>
              <w:t>1.906</w:t>
            </w:r>
          </w:p>
        </w:tc>
        <w:tc>
          <w:tcPr>
            <w:tcW w:w="253" w:type="pct"/>
            <w:tcBorders>
              <w:top w:val="single" w:sz="4" w:space="0" w:color="auto"/>
            </w:tcBorders>
            <w:shd w:val="clear" w:color="auto" w:fill="auto"/>
            <w:noWrap/>
            <w:vAlign w:val="center"/>
            <w:hideMark/>
          </w:tcPr>
          <w:p w14:paraId="0A9485F2" w14:textId="77777777" w:rsidR="009D081E" w:rsidRPr="003B7A14" w:rsidRDefault="009D081E" w:rsidP="009A182B">
            <w:pPr>
              <w:widowControl/>
              <w:autoSpaceDE/>
              <w:autoSpaceDN/>
              <w:jc w:val="center"/>
              <w:rPr>
                <w:sz w:val="20"/>
                <w:szCs w:val="20"/>
              </w:rPr>
            </w:pPr>
            <w:r w:rsidRPr="003B7A14">
              <w:rPr>
                <w:sz w:val="20"/>
                <w:szCs w:val="20"/>
              </w:rPr>
              <w:t>1.903</w:t>
            </w:r>
          </w:p>
        </w:tc>
        <w:tc>
          <w:tcPr>
            <w:tcW w:w="254" w:type="pct"/>
            <w:tcBorders>
              <w:top w:val="single" w:sz="4" w:space="0" w:color="auto"/>
            </w:tcBorders>
            <w:shd w:val="clear" w:color="auto" w:fill="auto"/>
            <w:noWrap/>
            <w:vAlign w:val="center"/>
            <w:hideMark/>
          </w:tcPr>
          <w:p w14:paraId="7EE346BD" w14:textId="77777777" w:rsidR="009D081E" w:rsidRPr="003B7A14" w:rsidRDefault="009D081E" w:rsidP="009A182B">
            <w:pPr>
              <w:widowControl/>
              <w:autoSpaceDE/>
              <w:autoSpaceDN/>
              <w:jc w:val="center"/>
              <w:rPr>
                <w:sz w:val="20"/>
                <w:szCs w:val="20"/>
              </w:rPr>
            </w:pPr>
            <w:r w:rsidRPr="003B7A14">
              <w:rPr>
                <w:sz w:val="20"/>
                <w:szCs w:val="20"/>
              </w:rPr>
              <w:t>1.600</w:t>
            </w:r>
          </w:p>
        </w:tc>
        <w:tc>
          <w:tcPr>
            <w:tcW w:w="253" w:type="pct"/>
            <w:tcBorders>
              <w:top w:val="single" w:sz="4" w:space="0" w:color="auto"/>
            </w:tcBorders>
            <w:shd w:val="clear" w:color="auto" w:fill="auto"/>
            <w:noWrap/>
            <w:vAlign w:val="center"/>
            <w:hideMark/>
          </w:tcPr>
          <w:p w14:paraId="701DC458" w14:textId="77777777" w:rsidR="009D081E" w:rsidRPr="003B7A14" w:rsidRDefault="009D081E" w:rsidP="009A182B">
            <w:pPr>
              <w:widowControl/>
              <w:autoSpaceDE/>
              <w:autoSpaceDN/>
              <w:jc w:val="center"/>
              <w:rPr>
                <w:sz w:val="20"/>
                <w:szCs w:val="20"/>
              </w:rPr>
            </w:pPr>
            <w:r w:rsidRPr="003B7A14">
              <w:rPr>
                <w:sz w:val="20"/>
                <w:szCs w:val="20"/>
              </w:rPr>
              <w:t>1.594</w:t>
            </w:r>
          </w:p>
        </w:tc>
        <w:tc>
          <w:tcPr>
            <w:tcW w:w="304" w:type="pct"/>
            <w:tcBorders>
              <w:top w:val="single" w:sz="4" w:space="0" w:color="auto"/>
            </w:tcBorders>
            <w:shd w:val="clear" w:color="auto" w:fill="auto"/>
            <w:noWrap/>
            <w:vAlign w:val="center"/>
            <w:hideMark/>
          </w:tcPr>
          <w:p w14:paraId="410259FB" w14:textId="77777777" w:rsidR="009D081E" w:rsidRPr="003B7A14" w:rsidRDefault="009D081E" w:rsidP="009A182B">
            <w:pPr>
              <w:widowControl/>
              <w:autoSpaceDE/>
              <w:autoSpaceDN/>
              <w:jc w:val="center"/>
              <w:rPr>
                <w:sz w:val="20"/>
                <w:szCs w:val="20"/>
              </w:rPr>
            </w:pPr>
            <w:r w:rsidRPr="003B7A14">
              <w:rPr>
                <w:sz w:val="20"/>
                <w:szCs w:val="20"/>
              </w:rPr>
              <w:t>1.597</w:t>
            </w:r>
          </w:p>
        </w:tc>
        <w:tc>
          <w:tcPr>
            <w:tcW w:w="254" w:type="pct"/>
            <w:tcBorders>
              <w:top w:val="single" w:sz="4" w:space="0" w:color="auto"/>
            </w:tcBorders>
            <w:shd w:val="clear" w:color="auto" w:fill="auto"/>
            <w:noWrap/>
            <w:vAlign w:val="center"/>
            <w:hideMark/>
          </w:tcPr>
          <w:p w14:paraId="1242CF53" w14:textId="77777777" w:rsidR="009D081E" w:rsidRPr="003B7A14" w:rsidRDefault="009D081E" w:rsidP="009A182B">
            <w:pPr>
              <w:jc w:val="center"/>
              <w:rPr>
                <w:sz w:val="20"/>
                <w:szCs w:val="20"/>
              </w:rPr>
            </w:pPr>
            <w:r w:rsidRPr="003B7A14">
              <w:rPr>
                <w:sz w:val="20"/>
                <w:szCs w:val="20"/>
              </w:rPr>
              <w:t>20.35</w:t>
            </w:r>
          </w:p>
        </w:tc>
        <w:tc>
          <w:tcPr>
            <w:tcW w:w="304" w:type="pct"/>
            <w:tcBorders>
              <w:top w:val="single" w:sz="4" w:space="0" w:color="auto"/>
            </w:tcBorders>
            <w:shd w:val="clear" w:color="auto" w:fill="auto"/>
            <w:noWrap/>
            <w:vAlign w:val="center"/>
            <w:hideMark/>
          </w:tcPr>
          <w:p w14:paraId="28184E2A" w14:textId="77777777" w:rsidR="009D081E" w:rsidRPr="003B7A14" w:rsidRDefault="009D081E" w:rsidP="009A182B">
            <w:pPr>
              <w:jc w:val="center"/>
              <w:rPr>
                <w:sz w:val="20"/>
                <w:szCs w:val="20"/>
              </w:rPr>
            </w:pPr>
            <w:r w:rsidRPr="003B7A14">
              <w:rPr>
                <w:sz w:val="20"/>
                <w:szCs w:val="20"/>
              </w:rPr>
              <w:t>20.34</w:t>
            </w:r>
          </w:p>
        </w:tc>
        <w:tc>
          <w:tcPr>
            <w:tcW w:w="254" w:type="pct"/>
            <w:tcBorders>
              <w:top w:val="single" w:sz="4" w:space="0" w:color="auto"/>
            </w:tcBorders>
            <w:shd w:val="clear" w:color="auto" w:fill="auto"/>
            <w:noWrap/>
            <w:vAlign w:val="center"/>
            <w:hideMark/>
          </w:tcPr>
          <w:p w14:paraId="477B5EC6" w14:textId="77777777" w:rsidR="009D081E" w:rsidRPr="003B7A14" w:rsidRDefault="009D081E" w:rsidP="009A182B">
            <w:pPr>
              <w:jc w:val="center"/>
              <w:rPr>
                <w:sz w:val="20"/>
                <w:szCs w:val="20"/>
              </w:rPr>
            </w:pPr>
            <w:r w:rsidRPr="003B7A14">
              <w:rPr>
                <w:sz w:val="20"/>
                <w:szCs w:val="20"/>
              </w:rPr>
              <w:t>20.34</w:t>
            </w:r>
          </w:p>
        </w:tc>
        <w:tc>
          <w:tcPr>
            <w:tcW w:w="254" w:type="pct"/>
            <w:tcBorders>
              <w:top w:val="single" w:sz="4" w:space="0" w:color="auto"/>
            </w:tcBorders>
            <w:shd w:val="clear" w:color="auto" w:fill="auto"/>
            <w:noWrap/>
            <w:vAlign w:val="center"/>
            <w:hideMark/>
          </w:tcPr>
          <w:p w14:paraId="62EFB0A3" w14:textId="77777777" w:rsidR="009D081E" w:rsidRPr="003B7A14" w:rsidRDefault="009D081E" w:rsidP="009A182B">
            <w:pPr>
              <w:widowControl/>
              <w:autoSpaceDE/>
              <w:autoSpaceDN/>
              <w:jc w:val="center"/>
              <w:rPr>
                <w:sz w:val="20"/>
                <w:szCs w:val="20"/>
              </w:rPr>
            </w:pPr>
            <w:r w:rsidRPr="003B7A14">
              <w:rPr>
                <w:sz w:val="20"/>
                <w:szCs w:val="20"/>
              </w:rPr>
              <w:t>3.325</w:t>
            </w:r>
          </w:p>
        </w:tc>
        <w:tc>
          <w:tcPr>
            <w:tcW w:w="254" w:type="pct"/>
            <w:tcBorders>
              <w:top w:val="single" w:sz="4" w:space="0" w:color="auto"/>
            </w:tcBorders>
            <w:shd w:val="clear" w:color="auto" w:fill="auto"/>
            <w:noWrap/>
            <w:vAlign w:val="center"/>
            <w:hideMark/>
          </w:tcPr>
          <w:p w14:paraId="20584DD6" w14:textId="77777777" w:rsidR="009D081E" w:rsidRPr="003B7A14" w:rsidRDefault="009D081E" w:rsidP="009A182B">
            <w:pPr>
              <w:widowControl/>
              <w:autoSpaceDE/>
              <w:autoSpaceDN/>
              <w:jc w:val="center"/>
              <w:rPr>
                <w:sz w:val="20"/>
                <w:szCs w:val="20"/>
              </w:rPr>
            </w:pPr>
            <w:r w:rsidRPr="003B7A14">
              <w:rPr>
                <w:sz w:val="20"/>
                <w:szCs w:val="20"/>
              </w:rPr>
              <w:t>3.315</w:t>
            </w:r>
          </w:p>
        </w:tc>
        <w:tc>
          <w:tcPr>
            <w:tcW w:w="254" w:type="pct"/>
            <w:tcBorders>
              <w:top w:val="single" w:sz="4" w:space="0" w:color="auto"/>
            </w:tcBorders>
            <w:shd w:val="clear" w:color="auto" w:fill="auto"/>
            <w:noWrap/>
            <w:vAlign w:val="center"/>
            <w:hideMark/>
          </w:tcPr>
          <w:p w14:paraId="76AEBE71" w14:textId="77777777" w:rsidR="009D081E" w:rsidRPr="003B7A14" w:rsidRDefault="009D081E" w:rsidP="009A182B">
            <w:pPr>
              <w:widowControl/>
              <w:autoSpaceDE/>
              <w:autoSpaceDN/>
              <w:jc w:val="center"/>
              <w:rPr>
                <w:sz w:val="20"/>
                <w:szCs w:val="20"/>
              </w:rPr>
            </w:pPr>
            <w:r w:rsidRPr="003B7A14">
              <w:rPr>
                <w:sz w:val="20"/>
                <w:szCs w:val="20"/>
              </w:rPr>
              <w:t>3.320</w:t>
            </w:r>
          </w:p>
        </w:tc>
        <w:tc>
          <w:tcPr>
            <w:tcW w:w="253" w:type="pct"/>
            <w:tcBorders>
              <w:top w:val="single" w:sz="4" w:space="0" w:color="auto"/>
            </w:tcBorders>
            <w:shd w:val="clear" w:color="auto" w:fill="auto"/>
            <w:noWrap/>
            <w:vAlign w:val="center"/>
            <w:hideMark/>
          </w:tcPr>
          <w:p w14:paraId="28CCDBA1" w14:textId="77777777" w:rsidR="009D081E" w:rsidRPr="003B7A14" w:rsidRDefault="009D081E" w:rsidP="009A182B">
            <w:pPr>
              <w:jc w:val="center"/>
              <w:rPr>
                <w:sz w:val="20"/>
                <w:szCs w:val="20"/>
              </w:rPr>
            </w:pPr>
            <w:r w:rsidRPr="003B7A14">
              <w:rPr>
                <w:sz w:val="20"/>
                <w:szCs w:val="20"/>
              </w:rPr>
              <w:t>41.91</w:t>
            </w:r>
          </w:p>
        </w:tc>
        <w:tc>
          <w:tcPr>
            <w:tcW w:w="243" w:type="pct"/>
            <w:tcBorders>
              <w:top w:val="single" w:sz="4" w:space="0" w:color="auto"/>
            </w:tcBorders>
            <w:shd w:val="clear" w:color="auto" w:fill="auto"/>
            <w:noWrap/>
            <w:vAlign w:val="center"/>
            <w:hideMark/>
          </w:tcPr>
          <w:p w14:paraId="56127C97" w14:textId="77777777" w:rsidR="009D081E" w:rsidRPr="003B7A14" w:rsidRDefault="009D081E" w:rsidP="009A182B">
            <w:pPr>
              <w:jc w:val="center"/>
              <w:rPr>
                <w:sz w:val="20"/>
                <w:szCs w:val="20"/>
              </w:rPr>
            </w:pPr>
            <w:r w:rsidRPr="003B7A14">
              <w:rPr>
                <w:sz w:val="20"/>
                <w:szCs w:val="20"/>
              </w:rPr>
              <w:t>41.93</w:t>
            </w:r>
          </w:p>
        </w:tc>
        <w:tc>
          <w:tcPr>
            <w:tcW w:w="254" w:type="pct"/>
            <w:tcBorders>
              <w:top w:val="single" w:sz="4" w:space="0" w:color="auto"/>
            </w:tcBorders>
            <w:shd w:val="clear" w:color="auto" w:fill="auto"/>
            <w:noWrap/>
            <w:vAlign w:val="center"/>
            <w:hideMark/>
          </w:tcPr>
          <w:p w14:paraId="1E42832D" w14:textId="77777777" w:rsidR="009D081E" w:rsidRPr="003B7A14" w:rsidRDefault="009D081E" w:rsidP="009A182B">
            <w:pPr>
              <w:jc w:val="center"/>
              <w:rPr>
                <w:sz w:val="20"/>
                <w:szCs w:val="20"/>
              </w:rPr>
            </w:pPr>
            <w:r w:rsidRPr="003B7A14">
              <w:rPr>
                <w:sz w:val="20"/>
                <w:szCs w:val="20"/>
              </w:rPr>
              <w:t>41.92</w:t>
            </w:r>
          </w:p>
        </w:tc>
      </w:tr>
      <w:tr w:rsidR="003B7A14" w:rsidRPr="003B7A14" w14:paraId="42807511" w14:textId="77777777" w:rsidTr="009A182B">
        <w:trPr>
          <w:trHeight w:val="425"/>
        </w:trPr>
        <w:tc>
          <w:tcPr>
            <w:tcW w:w="343" w:type="pct"/>
            <w:shd w:val="clear" w:color="auto" w:fill="auto"/>
            <w:noWrap/>
            <w:vAlign w:val="center"/>
            <w:hideMark/>
          </w:tcPr>
          <w:p w14:paraId="6F6247C5"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15</w:t>
            </w:r>
          </w:p>
        </w:tc>
        <w:tc>
          <w:tcPr>
            <w:tcW w:w="253" w:type="pct"/>
            <w:shd w:val="clear" w:color="auto" w:fill="auto"/>
            <w:noWrap/>
            <w:vAlign w:val="center"/>
            <w:hideMark/>
          </w:tcPr>
          <w:p w14:paraId="286833B3" w14:textId="77777777" w:rsidR="009D081E" w:rsidRPr="003B7A14" w:rsidRDefault="009D081E" w:rsidP="009A182B">
            <w:pPr>
              <w:widowControl/>
              <w:autoSpaceDE/>
              <w:autoSpaceDN/>
              <w:jc w:val="center"/>
              <w:rPr>
                <w:sz w:val="20"/>
                <w:szCs w:val="20"/>
              </w:rPr>
            </w:pPr>
            <w:r w:rsidRPr="003B7A14">
              <w:rPr>
                <w:sz w:val="20"/>
                <w:szCs w:val="20"/>
              </w:rPr>
              <w:t>0.299</w:t>
            </w:r>
          </w:p>
        </w:tc>
        <w:tc>
          <w:tcPr>
            <w:tcW w:w="254" w:type="pct"/>
            <w:shd w:val="clear" w:color="auto" w:fill="auto"/>
            <w:noWrap/>
            <w:vAlign w:val="center"/>
            <w:hideMark/>
          </w:tcPr>
          <w:p w14:paraId="4094197E" w14:textId="77777777" w:rsidR="009D081E" w:rsidRPr="003B7A14" w:rsidRDefault="009D081E" w:rsidP="009A182B">
            <w:pPr>
              <w:widowControl/>
              <w:autoSpaceDE/>
              <w:autoSpaceDN/>
              <w:jc w:val="center"/>
              <w:rPr>
                <w:sz w:val="20"/>
                <w:szCs w:val="20"/>
              </w:rPr>
            </w:pPr>
            <w:r w:rsidRPr="003B7A14">
              <w:rPr>
                <w:sz w:val="20"/>
                <w:szCs w:val="20"/>
              </w:rPr>
              <w:t>0.254</w:t>
            </w:r>
          </w:p>
        </w:tc>
        <w:tc>
          <w:tcPr>
            <w:tcW w:w="254" w:type="pct"/>
            <w:shd w:val="clear" w:color="auto" w:fill="auto"/>
            <w:noWrap/>
            <w:vAlign w:val="center"/>
            <w:hideMark/>
          </w:tcPr>
          <w:p w14:paraId="0CA2CAD9" w14:textId="77777777" w:rsidR="009D081E" w:rsidRPr="003B7A14" w:rsidRDefault="009D081E" w:rsidP="009A182B">
            <w:pPr>
              <w:widowControl/>
              <w:autoSpaceDE/>
              <w:autoSpaceDN/>
              <w:jc w:val="center"/>
              <w:rPr>
                <w:sz w:val="20"/>
                <w:szCs w:val="20"/>
              </w:rPr>
            </w:pPr>
            <w:r w:rsidRPr="003B7A14">
              <w:rPr>
                <w:sz w:val="20"/>
                <w:szCs w:val="20"/>
              </w:rPr>
              <w:t>0.276</w:t>
            </w:r>
          </w:p>
        </w:tc>
        <w:tc>
          <w:tcPr>
            <w:tcW w:w="254" w:type="pct"/>
            <w:shd w:val="clear" w:color="auto" w:fill="auto"/>
            <w:noWrap/>
            <w:vAlign w:val="center"/>
            <w:hideMark/>
          </w:tcPr>
          <w:p w14:paraId="5C4C92AA" w14:textId="77777777" w:rsidR="009D081E" w:rsidRPr="003B7A14" w:rsidRDefault="009D081E" w:rsidP="009A182B">
            <w:pPr>
              <w:widowControl/>
              <w:autoSpaceDE/>
              <w:autoSpaceDN/>
              <w:jc w:val="center"/>
              <w:rPr>
                <w:sz w:val="20"/>
                <w:szCs w:val="20"/>
              </w:rPr>
            </w:pPr>
            <w:r w:rsidRPr="003B7A14">
              <w:rPr>
                <w:sz w:val="20"/>
                <w:szCs w:val="20"/>
              </w:rPr>
              <w:t>1.850</w:t>
            </w:r>
          </w:p>
        </w:tc>
        <w:tc>
          <w:tcPr>
            <w:tcW w:w="254" w:type="pct"/>
            <w:shd w:val="clear" w:color="auto" w:fill="auto"/>
            <w:noWrap/>
            <w:vAlign w:val="center"/>
            <w:hideMark/>
          </w:tcPr>
          <w:p w14:paraId="00A36791" w14:textId="77777777" w:rsidR="009D081E" w:rsidRPr="003B7A14" w:rsidRDefault="009D081E" w:rsidP="009A182B">
            <w:pPr>
              <w:widowControl/>
              <w:autoSpaceDE/>
              <w:autoSpaceDN/>
              <w:jc w:val="center"/>
              <w:rPr>
                <w:sz w:val="20"/>
                <w:szCs w:val="20"/>
              </w:rPr>
            </w:pPr>
            <w:r w:rsidRPr="003B7A14">
              <w:rPr>
                <w:sz w:val="20"/>
                <w:szCs w:val="20"/>
              </w:rPr>
              <w:t>1.965</w:t>
            </w:r>
          </w:p>
        </w:tc>
        <w:tc>
          <w:tcPr>
            <w:tcW w:w="253" w:type="pct"/>
            <w:shd w:val="clear" w:color="auto" w:fill="auto"/>
            <w:noWrap/>
            <w:vAlign w:val="center"/>
            <w:hideMark/>
          </w:tcPr>
          <w:p w14:paraId="17C8D70E" w14:textId="77777777" w:rsidR="009D081E" w:rsidRPr="003B7A14" w:rsidRDefault="009D081E" w:rsidP="009A182B">
            <w:pPr>
              <w:widowControl/>
              <w:autoSpaceDE/>
              <w:autoSpaceDN/>
              <w:jc w:val="center"/>
              <w:rPr>
                <w:sz w:val="20"/>
                <w:szCs w:val="20"/>
              </w:rPr>
            </w:pPr>
            <w:r w:rsidRPr="003B7A14">
              <w:rPr>
                <w:sz w:val="20"/>
                <w:szCs w:val="20"/>
              </w:rPr>
              <w:t>1.907</w:t>
            </w:r>
          </w:p>
        </w:tc>
        <w:tc>
          <w:tcPr>
            <w:tcW w:w="254" w:type="pct"/>
            <w:shd w:val="clear" w:color="auto" w:fill="auto"/>
            <w:noWrap/>
            <w:vAlign w:val="center"/>
            <w:hideMark/>
          </w:tcPr>
          <w:p w14:paraId="0EEF0277" w14:textId="77777777" w:rsidR="009D081E" w:rsidRPr="003B7A14" w:rsidRDefault="009D081E" w:rsidP="009A182B">
            <w:pPr>
              <w:widowControl/>
              <w:autoSpaceDE/>
              <w:autoSpaceDN/>
              <w:jc w:val="center"/>
              <w:rPr>
                <w:sz w:val="20"/>
                <w:szCs w:val="20"/>
              </w:rPr>
            </w:pPr>
            <w:r w:rsidRPr="003B7A14">
              <w:rPr>
                <w:sz w:val="20"/>
                <w:szCs w:val="20"/>
              </w:rPr>
              <w:t>1.627</w:t>
            </w:r>
          </w:p>
        </w:tc>
        <w:tc>
          <w:tcPr>
            <w:tcW w:w="253" w:type="pct"/>
            <w:shd w:val="clear" w:color="auto" w:fill="auto"/>
            <w:noWrap/>
            <w:vAlign w:val="center"/>
            <w:hideMark/>
          </w:tcPr>
          <w:p w14:paraId="023E4E10" w14:textId="77777777" w:rsidR="009D081E" w:rsidRPr="003B7A14" w:rsidRDefault="009D081E" w:rsidP="009A182B">
            <w:pPr>
              <w:widowControl/>
              <w:autoSpaceDE/>
              <w:autoSpaceDN/>
              <w:jc w:val="center"/>
              <w:rPr>
                <w:sz w:val="20"/>
                <w:szCs w:val="20"/>
              </w:rPr>
            </w:pPr>
            <w:r w:rsidRPr="003B7A14">
              <w:rPr>
                <w:sz w:val="20"/>
                <w:szCs w:val="20"/>
              </w:rPr>
              <w:t>1.738</w:t>
            </w:r>
          </w:p>
        </w:tc>
        <w:tc>
          <w:tcPr>
            <w:tcW w:w="304" w:type="pct"/>
            <w:shd w:val="clear" w:color="auto" w:fill="auto"/>
            <w:noWrap/>
            <w:vAlign w:val="center"/>
            <w:hideMark/>
          </w:tcPr>
          <w:p w14:paraId="2B4567D6" w14:textId="77777777" w:rsidR="009D081E" w:rsidRPr="003B7A14" w:rsidRDefault="009D081E" w:rsidP="009A182B">
            <w:pPr>
              <w:widowControl/>
              <w:autoSpaceDE/>
              <w:autoSpaceDN/>
              <w:jc w:val="center"/>
              <w:rPr>
                <w:sz w:val="20"/>
                <w:szCs w:val="20"/>
              </w:rPr>
            </w:pPr>
            <w:r w:rsidRPr="003B7A14">
              <w:rPr>
                <w:sz w:val="20"/>
                <w:szCs w:val="20"/>
              </w:rPr>
              <w:t>1.682</w:t>
            </w:r>
          </w:p>
        </w:tc>
        <w:tc>
          <w:tcPr>
            <w:tcW w:w="254" w:type="pct"/>
            <w:shd w:val="clear" w:color="auto" w:fill="auto"/>
            <w:noWrap/>
            <w:vAlign w:val="center"/>
            <w:hideMark/>
          </w:tcPr>
          <w:p w14:paraId="20AD386D" w14:textId="77777777" w:rsidR="009D081E" w:rsidRPr="003B7A14" w:rsidRDefault="009D081E" w:rsidP="009A182B">
            <w:pPr>
              <w:jc w:val="center"/>
              <w:rPr>
                <w:sz w:val="20"/>
                <w:szCs w:val="20"/>
              </w:rPr>
            </w:pPr>
            <w:r w:rsidRPr="003B7A14">
              <w:rPr>
                <w:sz w:val="20"/>
                <w:szCs w:val="20"/>
              </w:rPr>
              <w:t>19.81</w:t>
            </w:r>
          </w:p>
        </w:tc>
        <w:tc>
          <w:tcPr>
            <w:tcW w:w="304" w:type="pct"/>
            <w:shd w:val="clear" w:color="auto" w:fill="auto"/>
            <w:noWrap/>
            <w:vAlign w:val="center"/>
            <w:hideMark/>
          </w:tcPr>
          <w:p w14:paraId="305A7EDC" w14:textId="77777777" w:rsidR="009D081E" w:rsidRPr="003B7A14" w:rsidRDefault="009D081E" w:rsidP="009A182B">
            <w:pPr>
              <w:jc w:val="center"/>
              <w:rPr>
                <w:sz w:val="20"/>
                <w:szCs w:val="20"/>
              </w:rPr>
            </w:pPr>
            <w:r w:rsidRPr="003B7A14">
              <w:rPr>
                <w:sz w:val="20"/>
                <w:szCs w:val="20"/>
              </w:rPr>
              <w:t>18.81</w:t>
            </w:r>
          </w:p>
        </w:tc>
        <w:tc>
          <w:tcPr>
            <w:tcW w:w="254" w:type="pct"/>
            <w:shd w:val="clear" w:color="auto" w:fill="auto"/>
            <w:noWrap/>
            <w:vAlign w:val="center"/>
            <w:hideMark/>
          </w:tcPr>
          <w:p w14:paraId="1AC1842B" w14:textId="77777777" w:rsidR="009D081E" w:rsidRPr="003B7A14" w:rsidRDefault="009D081E" w:rsidP="009A182B">
            <w:pPr>
              <w:jc w:val="center"/>
              <w:rPr>
                <w:sz w:val="20"/>
                <w:szCs w:val="20"/>
              </w:rPr>
            </w:pPr>
            <w:r w:rsidRPr="003B7A14">
              <w:rPr>
                <w:sz w:val="20"/>
                <w:szCs w:val="20"/>
              </w:rPr>
              <w:t>19.31</w:t>
            </w:r>
          </w:p>
        </w:tc>
        <w:tc>
          <w:tcPr>
            <w:tcW w:w="254" w:type="pct"/>
            <w:shd w:val="clear" w:color="auto" w:fill="auto"/>
            <w:noWrap/>
            <w:vAlign w:val="center"/>
            <w:hideMark/>
          </w:tcPr>
          <w:p w14:paraId="0CF83755" w14:textId="77777777" w:rsidR="009D081E" w:rsidRPr="003B7A14" w:rsidRDefault="009D081E" w:rsidP="009A182B">
            <w:pPr>
              <w:widowControl/>
              <w:autoSpaceDE/>
              <w:autoSpaceDN/>
              <w:jc w:val="center"/>
              <w:rPr>
                <w:sz w:val="20"/>
                <w:szCs w:val="20"/>
              </w:rPr>
            </w:pPr>
            <w:r w:rsidRPr="003B7A14">
              <w:rPr>
                <w:sz w:val="20"/>
                <w:szCs w:val="20"/>
              </w:rPr>
              <w:t>3.391</w:t>
            </w:r>
          </w:p>
        </w:tc>
        <w:tc>
          <w:tcPr>
            <w:tcW w:w="254" w:type="pct"/>
            <w:shd w:val="clear" w:color="auto" w:fill="auto"/>
            <w:noWrap/>
            <w:vAlign w:val="center"/>
            <w:hideMark/>
          </w:tcPr>
          <w:p w14:paraId="296F8193" w14:textId="77777777" w:rsidR="009D081E" w:rsidRPr="003B7A14" w:rsidRDefault="009D081E" w:rsidP="009A182B">
            <w:pPr>
              <w:widowControl/>
              <w:autoSpaceDE/>
              <w:autoSpaceDN/>
              <w:jc w:val="center"/>
              <w:rPr>
                <w:sz w:val="20"/>
                <w:szCs w:val="20"/>
              </w:rPr>
            </w:pPr>
            <w:r w:rsidRPr="003B7A14">
              <w:rPr>
                <w:sz w:val="20"/>
                <w:szCs w:val="20"/>
              </w:rPr>
              <w:t>3.957</w:t>
            </w:r>
          </w:p>
        </w:tc>
        <w:tc>
          <w:tcPr>
            <w:tcW w:w="254" w:type="pct"/>
            <w:shd w:val="clear" w:color="auto" w:fill="auto"/>
            <w:noWrap/>
            <w:vAlign w:val="center"/>
            <w:hideMark/>
          </w:tcPr>
          <w:p w14:paraId="35CA9D63" w14:textId="77777777" w:rsidR="009D081E" w:rsidRPr="003B7A14" w:rsidRDefault="009D081E" w:rsidP="009A182B">
            <w:pPr>
              <w:widowControl/>
              <w:autoSpaceDE/>
              <w:autoSpaceDN/>
              <w:jc w:val="center"/>
              <w:rPr>
                <w:sz w:val="20"/>
                <w:szCs w:val="20"/>
              </w:rPr>
            </w:pPr>
            <w:r w:rsidRPr="003B7A14">
              <w:rPr>
                <w:sz w:val="20"/>
                <w:szCs w:val="20"/>
              </w:rPr>
              <w:t>3.674</w:t>
            </w:r>
          </w:p>
        </w:tc>
        <w:tc>
          <w:tcPr>
            <w:tcW w:w="253" w:type="pct"/>
            <w:shd w:val="clear" w:color="auto" w:fill="auto"/>
            <w:noWrap/>
            <w:vAlign w:val="center"/>
            <w:hideMark/>
          </w:tcPr>
          <w:p w14:paraId="3904AAE8" w14:textId="77777777" w:rsidR="009D081E" w:rsidRPr="003B7A14" w:rsidRDefault="009D081E" w:rsidP="009A182B">
            <w:pPr>
              <w:jc w:val="center"/>
              <w:rPr>
                <w:sz w:val="20"/>
                <w:szCs w:val="20"/>
              </w:rPr>
            </w:pPr>
            <w:r w:rsidRPr="003B7A14">
              <w:rPr>
                <w:sz w:val="20"/>
                <w:szCs w:val="20"/>
              </w:rPr>
              <w:t>42.43</w:t>
            </w:r>
          </w:p>
        </w:tc>
        <w:tc>
          <w:tcPr>
            <w:tcW w:w="243" w:type="pct"/>
            <w:shd w:val="clear" w:color="auto" w:fill="auto"/>
            <w:noWrap/>
            <w:vAlign w:val="center"/>
            <w:hideMark/>
          </w:tcPr>
          <w:p w14:paraId="031D5077" w14:textId="77777777" w:rsidR="009D081E" w:rsidRPr="003B7A14" w:rsidRDefault="009D081E" w:rsidP="009A182B">
            <w:pPr>
              <w:jc w:val="center"/>
              <w:rPr>
                <w:sz w:val="20"/>
                <w:szCs w:val="20"/>
              </w:rPr>
            </w:pPr>
            <w:r w:rsidRPr="003B7A14">
              <w:rPr>
                <w:sz w:val="20"/>
                <w:szCs w:val="20"/>
              </w:rPr>
              <w:t>42.67</w:t>
            </w:r>
          </w:p>
        </w:tc>
        <w:tc>
          <w:tcPr>
            <w:tcW w:w="254" w:type="pct"/>
            <w:shd w:val="clear" w:color="auto" w:fill="auto"/>
            <w:noWrap/>
            <w:vAlign w:val="center"/>
            <w:hideMark/>
          </w:tcPr>
          <w:p w14:paraId="16A491F7" w14:textId="77777777" w:rsidR="009D081E" w:rsidRPr="003B7A14" w:rsidRDefault="009D081E" w:rsidP="009A182B">
            <w:pPr>
              <w:jc w:val="center"/>
              <w:rPr>
                <w:sz w:val="20"/>
                <w:szCs w:val="20"/>
              </w:rPr>
            </w:pPr>
            <w:r w:rsidRPr="003B7A14">
              <w:rPr>
                <w:sz w:val="20"/>
                <w:szCs w:val="20"/>
              </w:rPr>
              <w:t>42.55</w:t>
            </w:r>
          </w:p>
        </w:tc>
      </w:tr>
      <w:tr w:rsidR="003B7A14" w:rsidRPr="003B7A14" w14:paraId="6E593E06" w14:textId="77777777" w:rsidTr="009A182B">
        <w:trPr>
          <w:trHeight w:val="425"/>
        </w:trPr>
        <w:tc>
          <w:tcPr>
            <w:tcW w:w="343" w:type="pct"/>
            <w:shd w:val="clear" w:color="auto" w:fill="auto"/>
            <w:noWrap/>
            <w:vAlign w:val="center"/>
            <w:hideMark/>
          </w:tcPr>
          <w:p w14:paraId="5517F0D4"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30</w:t>
            </w:r>
          </w:p>
        </w:tc>
        <w:tc>
          <w:tcPr>
            <w:tcW w:w="253" w:type="pct"/>
            <w:shd w:val="clear" w:color="auto" w:fill="auto"/>
            <w:noWrap/>
            <w:vAlign w:val="center"/>
            <w:hideMark/>
          </w:tcPr>
          <w:p w14:paraId="127EE530" w14:textId="77777777" w:rsidR="009D081E" w:rsidRPr="003B7A14" w:rsidRDefault="009D081E" w:rsidP="009A182B">
            <w:pPr>
              <w:widowControl/>
              <w:autoSpaceDE/>
              <w:autoSpaceDN/>
              <w:jc w:val="center"/>
              <w:rPr>
                <w:sz w:val="20"/>
                <w:szCs w:val="20"/>
              </w:rPr>
            </w:pPr>
            <w:r w:rsidRPr="003B7A14">
              <w:rPr>
                <w:sz w:val="20"/>
                <w:szCs w:val="20"/>
              </w:rPr>
              <w:t>0.286</w:t>
            </w:r>
          </w:p>
        </w:tc>
        <w:tc>
          <w:tcPr>
            <w:tcW w:w="254" w:type="pct"/>
            <w:shd w:val="clear" w:color="auto" w:fill="auto"/>
            <w:noWrap/>
            <w:vAlign w:val="center"/>
            <w:hideMark/>
          </w:tcPr>
          <w:p w14:paraId="292B12B1" w14:textId="77777777" w:rsidR="009D081E" w:rsidRPr="003B7A14" w:rsidRDefault="009D081E" w:rsidP="009A182B">
            <w:pPr>
              <w:widowControl/>
              <w:autoSpaceDE/>
              <w:autoSpaceDN/>
              <w:jc w:val="center"/>
              <w:rPr>
                <w:sz w:val="20"/>
                <w:szCs w:val="20"/>
              </w:rPr>
            </w:pPr>
            <w:r w:rsidRPr="003B7A14">
              <w:rPr>
                <w:sz w:val="20"/>
                <w:szCs w:val="20"/>
              </w:rPr>
              <w:t>0.212</w:t>
            </w:r>
          </w:p>
        </w:tc>
        <w:tc>
          <w:tcPr>
            <w:tcW w:w="254" w:type="pct"/>
            <w:shd w:val="clear" w:color="auto" w:fill="auto"/>
            <w:noWrap/>
            <w:vAlign w:val="center"/>
            <w:hideMark/>
          </w:tcPr>
          <w:p w14:paraId="7478E93D" w14:textId="77777777" w:rsidR="009D081E" w:rsidRPr="003B7A14" w:rsidRDefault="009D081E" w:rsidP="009A182B">
            <w:pPr>
              <w:widowControl/>
              <w:autoSpaceDE/>
              <w:autoSpaceDN/>
              <w:jc w:val="center"/>
              <w:rPr>
                <w:sz w:val="20"/>
                <w:szCs w:val="20"/>
              </w:rPr>
            </w:pPr>
            <w:r w:rsidRPr="003B7A14">
              <w:rPr>
                <w:sz w:val="20"/>
                <w:szCs w:val="20"/>
              </w:rPr>
              <w:t>0.249</w:t>
            </w:r>
          </w:p>
        </w:tc>
        <w:tc>
          <w:tcPr>
            <w:tcW w:w="254" w:type="pct"/>
            <w:shd w:val="clear" w:color="auto" w:fill="auto"/>
            <w:noWrap/>
            <w:vAlign w:val="center"/>
            <w:hideMark/>
          </w:tcPr>
          <w:p w14:paraId="5D98BA4D" w14:textId="77777777" w:rsidR="009D081E" w:rsidRPr="003B7A14" w:rsidRDefault="009D081E" w:rsidP="009A182B">
            <w:pPr>
              <w:widowControl/>
              <w:autoSpaceDE/>
              <w:autoSpaceDN/>
              <w:jc w:val="center"/>
              <w:rPr>
                <w:sz w:val="20"/>
                <w:szCs w:val="20"/>
              </w:rPr>
            </w:pPr>
            <w:r w:rsidRPr="003B7A14">
              <w:rPr>
                <w:sz w:val="20"/>
                <w:szCs w:val="20"/>
              </w:rPr>
              <w:t>1.770</w:t>
            </w:r>
          </w:p>
        </w:tc>
        <w:tc>
          <w:tcPr>
            <w:tcW w:w="254" w:type="pct"/>
            <w:shd w:val="clear" w:color="auto" w:fill="auto"/>
            <w:noWrap/>
            <w:vAlign w:val="center"/>
            <w:hideMark/>
          </w:tcPr>
          <w:p w14:paraId="4730009A" w14:textId="77777777" w:rsidR="009D081E" w:rsidRPr="003B7A14" w:rsidRDefault="009D081E" w:rsidP="009A182B">
            <w:pPr>
              <w:widowControl/>
              <w:autoSpaceDE/>
              <w:autoSpaceDN/>
              <w:jc w:val="center"/>
              <w:rPr>
                <w:sz w:val="20"/>
                <w:szCs w:val="20"/>
              </w:rPr>
            </w:pPr>
            <w:r w:rsidRPr="003B7A14">
              <w:rPr>
                <w:sz w:val="20"/>
                <w:szCs w:val="20"/>
              </w:rPr>
              <w:t>2.021</w:t>
            </w:r>
          </w:p>
        </w:tc>
        <w:tc>
          <w:tcPr>
            <w:tcW w:w="253" w:type="pct"/>
            <w:shd w:val="clear" w:color="auto" w:fill="auto"/>
            <w:noWrap/>
            <w:vAlign w:val="center"/>
            <w:hideMark/>
          </w:tcPr>
          <w:p w14:paraId="1793EB9D" w14:textId="77777777" w:rsidR="009D081E" w:rsidRPr="003B7A14" w:rsidRDefault="009D081E" w:rsidP="009A182B">
            <w:pPr>
              <w:widowControl/>
              <w:autoSpaceDE/>
              <w:autoSpaceDN/>
              <w:jc w:val="center"/>
              <w:rPr>
                <w:sz w:val="20"/>
                <w:szCs w:val="20"/>
              </w:rPr>
            </w:pPr>
            <w:r w:rsidRPr="003B7A14">
              <w:rPr>
                <w:sz w:val="20"/>
                <w:szCs w:val="20"/>
              </w:rPr>
              <w:t>1.895</w:t>
            </w:r>
          </w:p>
        </w:tc>
        <w:tc>
          <w:tcPr>
            <w:tcW w:w="254" w:type="pct"/>
            <w:shd w:val="clear" w:color="auto" w:fill="auto"/>
            <w:noWrap/>
            <w:vAlign w:val="center"/>
            <w:hideMark/>
          </w:tcPr>
          <w:p w14:paraId="20C2AD72" w14:textId="77777777" w:rsidR="009D081E" w:rsidRPr="003B7A14" w:rsidRDefault="009D081E" w:rsidP="009A182B">
            <w:pPr>
              <w:widowControl/>
              <w:autoSpaceDE/>
              <w:autoSpaceDN/>
              <w:jc w:val="center"/>
              <w:rPr>
                <w:sz w:val="20"/>
                <w:szCs w:val="20"/>
              </w:rPr>
            </w:pPr>
            <w:r w:rsidRPr="003B7A14">
              <w:rPr>
                <w:sz w:val="20"/>
                <w:szCs w:val="20"/>
              </w:rPr>
              <w:t>1.757</w:t>
            </w:r>
          </w:p>
        </w:tc>
        <w:tc>
          <w:tcPr>
            <w:tcW w:w="253" w:type="pct"/>
            <w:shd w:val="clear" w:color="auto" w:fill="auto"/>
            <w:noWrap/>
            <w:vAlign w:val="center"/>
            <w:hideMark/>
          </w:tcPr>
          <w:p w14:paraId="6784A5DC" w14:textId="77777777" w:rsidR="009D081E" w:rsidRPr="003B7A14" w:rsidRDefault="009D081E" w:rsidP="009A182B">
            <w:pPr>
              <w:widowControl/>
              <w:autoSpaceDE/>
              <w:autoSpaceDN/>
              <w:jc w:val="center"/>
              <w:rPr>
                <w:sz w:val="20"/>
                <w:szCs w:val="20"/>
              </w:rPr>
            </w:pPr>
            <w:r w:rsidRPr="003B7A14">
              <w:rPr>
                <w:sz w:val="20"/>
                <w:szCs w:val="20"/>
              </w:rPr>
              <w:t>1.802</w:t>
            </w:r>
          </w:p>
        </w:tc>
        <w:tc>
          <w:tcPr>
            <w:tcW w:w="304" w:type="pct"/>
            <w:shd w:val="clear" w:color="auto" w:fill="auto"/>
            <w:noWrap/>
            <w:vAlign w:val="center"/>
            <w:hideMark/>
          </w:tcPr>
          <w:p w14:paraId="66DBD2A5" w14:textId="77777777" w:rsidR="009D081E" w:rsidRPr="003B7A14" w:rsidRDefault="009D081E" w:rsidP="009A182B">
            <w:pPr>
              <w:widowControl/>
              <w:autoSpaceDE/>
              <w:autoSpaceDN/>
              <w:jc w:val="center"/>
              <w:rPr>
                <w:sz w:val="20"/>
                <w:szCs w:val="20"/>
              </w:rPr>
            </w:pPr>
            <w:r w:rsidRPr="003B7A14">
              <w:rPr>
                <w:sz w:val="20"/>
                <w:szCs w:val="20"/>
              </w:rPr>
              <w:t>1.780</w:t>
            </w:r>
          </w:p>
        </w:tc>
        <w:tc>
          <w:tcPr>
            <w:tcW w:w="254" w:type="pct"/>
            <w:shd w:val="clear" w:color="auto" w:fill="auto"/>
            <w:noWrap/>
            <w:vAlign w:val="center"/>
            <w:hideMark/>
          </w:tcPr>
          <w:p w14:paraId="1A2CE919" w14:textId="77777777" w:rsidR="009D081E" w:rsidRPr="003B7A14" w:rsidRDefault="009D081E" w:rsidP="009A182B">
            <w:pPr>
              <w:jc w:val="center"/>
              <w:rPr>
                <w:sz w:val="20"/>
                <w:szCs w:val="20"/>
              </w:rPr>
            </w:pPr>
            <w:r w:rsidRPr="003B7A14">
              <w:rPr>
                <w:sz w:val="20"/>
                <w:szCs w:val="20"/>
              </w:rPr>
              <w:t>19.55</w:t>
            </w:r>
          </w:p>
        </w:tc>
        <w:tc>
          <w:tcPr>
            <w:tcW w:w="304" w:type="pct"/>
            <w:shd w:val="clear" w:color="auto" w:fill="auto"/>
            <w:noWrap/>
            <w:vAlign w:val="center"/>
            <w:hideMark/>
          </w:tcPr>
          <w:p w14:paraId="47F71FCD" w14:textId="77777777" w:rsidR="009D081E" w:rsidRPr="003B7A14" w:rsidRDefault="009D081E" w:rsidP="009A182B">
            <w:pPr>
              <w:jc w:val="center"/>
              <w:rPr>
                <w:sz w:val="20"/>
                <w:szCs w:val="20"/>
              </w:rPr>
            </w:pPr>
            <w:r w:rsidRPr="003B7A14">
              <w:rPr>
                <w:sz w:val="20"/>
                <w:szCs w:val="20"/>
              </w:rPr>
              <w:t>15.74</w:t>
            </w:r>
          </w:p>
        </w:tc>
        <w:tc>
          <w:tcPr>
            <w:tcW w:w="254" w:type="pct"/>
            <w:shd w:val="clear" w:color="auto" w:fill="auto"/>
            <w:noWrap/>
            <w:vAlign w:val="center"/>
            <w:hideMark/>
          </w:tcPr>
          <w:p w14:paraId="6E8BCC65" w14:textId="77777777" w:rsidR="009D081E" w:rsidRPr="003B7A14" w:rsidRDefault="009D081E" w:rsidP="009A182B">
            <w:pPr>
              <w:jc w:val="center"/>
              <w:rPr>
                <w:sz w:val="20"/>
                <w:szCs w:val="20"/>
              </w:rPr>
            </w:pPr>
            <w:r w:rsidRPr="003B7A14">
              <w:rPr>
                <w:sz w:val="20"/>
                <w:szCs w:val="20"/>
              </w:rPr>
              <w:t>17.64</w:t>
            </w:r>
          </w:p>
        </w:tc>
        <w:tc>
          <w:tcPr>
            <w:tcW w:w="254" w:type="pct"/>
            <w:shd w:val="clear" w:color="auto" w:fill="auto"/>
            <w:noWrap/>
            <w:vAlign w:val="center"/>
            <w:hideMark/>
          </w:tcPr>
          <w:p w14:paraId="042D1F21" w14:textId="77777777" w:rsidR="009D081E" w:rsidRPr="003B7A14" w:rsidRDefault="009D081E" w:rsidP="009A182B">
            <w:pPr>
              <w:widowControl/>
              <w:autoSpaceDE/>
              <w:autoSpaceDN/>
              <w:jc w:val="center"/>
              <w:rPr>
                <w:sz w:val="20"/>
                <w:szCs w:val="20"/>
              </w:rPr>
            </w:pPr>
            <w:r w:rsidRPr="003B7A14">
              <w:rPr>
                <w:sz w:val="20"/>
                <w:szCs w:val="20"/>
              </w:rPr>
              <w:t>3.454</w:t>
            </w:r>
          </w:p>
        </w:tc>
        <w:tc>
          <w:tcPr>
            <w:tcW w:w="254" w:type="pct"/>
            <w:shd w:val="clear" w:color="auto" w:fill="auto"/>
            <w:noWrap/>
            <w:vAlign w:val="center"/>
            <w:hideMark/>
          </w:tcPr>
          <w:p w14:paraId="520FDFC6" w14:textId="77777777" w:rsidR="009D081E" w:rsidRPr="003B7A14" w:rsidRDefault="009D081E" w:rsidP="009A182B">
            <w:pPr>
              <w:widowControl/>
              <w:autoSpaceDE/>
              <w:autoSpaceDN/>
              <w:jc w:val="center"/>
              <w:rPr>
                <w:sz w:val="20"/>
                <w:szCs w:val="20"/>
              </w:rPr>
            </w:pPr>
            <w:r w:rsidRPr="003B7A14">
              <w:rPr>
                <w:sz w:val="20"/>
                <w:szCs w:val="20"/>
              </w:rPr>
              <w:t>4.019</w:t>
            </w:r>
          </w:p>
        </w:tc>
        <w:tc>
          <w:tcPr>
            <w:tcW w:w="254" w:type="pct"/>
            <w:shd w:val="clear" w:color="auto" w:fill="auto"/>
            <w:noWrap/>
            <w:vAlign w:val="center"/>
            <w:hideMark/>
          </w:tcPr>
          <w:p w14:paraId="46087DE7" w14:textId="77777777" w:rsidR="009D081E" w:rsidRPr="003B7A14" w:rsidRDefault="009D081E" w:rsidP="009A182B">
            <w:pPr>
              <w:widowControl/>
              <w:autoSpaceDE/>
              <w:autoSpaceDN/>
              <w:jc w:val="center"/>
              <w:rPr>
                <w:sz w:val="20"/>
                <w:szCs w:val="20"/>
              </w:rPr>
            </w:pPr>
            <w:r w:rsidRPr="003B7A14">
              <w:rPr>
                <w:sz w:val="20"/>
                <w:szCs w:val="20"/>
              </w:rPr>
              <w:t>3.736</w:t>
            </w:r>
          </w:p>
        </w:tc>
        <w:tc>
          <w:tcPr>
            <w:tcW w:w="253" w:type="pct"/>
            <w:shd w:val="clear" w:color="auto" w:fill="auto"/>
            <w:noWrap/>
            <w:vAlign w:val="center"/>
            <w:hideMark/>
          </w:tcPr>
          <w:p w14:paraId="4ED2F1FD" w14:textId="77777777" w:rsidR="009D081E" w:rsidRPr="003B7A14" w:rsidRDefault="009D081E" w:rsidP="009A182B">
            <w:pPr>
              <w:jc w:val="center"/>
              <w:rPr>
                <w:sz w:val="20"/>
                <w:szCs w:val="20"/>
              </w:rPr>
            </w:pPr>
            <w:r w:rsidRPr="003B7A14">
              <w:rPr>
                <w:sz w:val="20"/>
                <w:szCs w:val="20"/>
              </w:rPr>
              <w:t>42.60</w:t>
            </w:r>
          </w:p>
        </w:tc>
        <w:tc>
          <w:tcPr>
            <w:tcW w:w="243" w:type="pct"/>
            <w:shd w:val="clear" w:color="auto" w:fill="auto"/>
            <w:noWrap/>
            <w:vAlign w:val="center"/>
            <w:hideMark/>
          </w:tcPr>
          <w:p w14:paraId="0D9A6668" w14:textId="77777777" w:rsidR="009D081E" w:rsidRPr="003B7A14" w:rsidRDefault="009D081E" w:rsidP="009A182B">
            <w:pPr>
              <w:jc w:val="center"/>
              <w:rPr>
                <w:sz w:val="20"/>
                <w:szCs w:val="20"/>
              </w:rPr>
            </w:pPr>
            <w:r w:rsidRPr="003B7A14">
              <w:rPr>
                <w:sz w:val="20"/>
                <w:szCs w:val="20"/>
              </w:rPr>
              <w:t>45.61</w:t>
            </w:r>
          </w:p>
        </w:tc>
        <w:tc>
          <w:tcPr>
            <w:tcW w:w="254" w:type="pct"/>
            <w:shd w:val="clear" w:color="auto" w:fill="auto"/>
            <w:noWrap/>
            <w:vAlign w:val="center"/>
            <w:hideMark/>
          </w:tcPr>
          <w:p w14:paraId="7757620B" w14:textId="77777777" w:rsidR="009D081E" w:rsidRPr="003B7A14" w:rsidRDefault="009D081E" w:rsidP="009A182B">
            <w:pPr>
              <w:jc w:val="center"/>
              <w:rPr>
                <w:sz w:val="20"/>
                <w:szCs w:val="20"/>
              </w:rPr>
            </w:pPr>
            <w:r w:rsidRPr="003B7A14">
              <w:rPr>
                <w:sz w:val="20"/>
                <w:szCs w:val="20"/>
              </w:rPr>
              <w:t>44.10</w:t>
            </w:r>
          </w:p>
        </w:tc>
      </w:tr>
      <w:tr w:rsidR="003B7A14" w:rsidRPr="003B7A14" w14:paraId="63AB5435" w14:textId="77777777" w:rsidTr="009A182B">
        <w:trPr>
          <w:trHeight w:val="425"/>
        </w:trPr>
        <w:tc>
          <w:tcPr>
            <w:tcW w:w="343" w:type="pct"/>
            <w:shd w:val="clear" w:color="auto" w:fill="auto"/>
            <w:noWrap/>
            <w:vAlign w:val="center"/>
            <w:hideMark/>
          </w:tcPr>
          <w:p w14:paraId="70AD5A19"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45</w:t>
            </w:r>
          </w:p>
        </w:tc>
        <w:tc>
          <w:tcPr>
            <w:tcW w:w="253" w:type="pct"/>
            <w:shd w:val="clear" w:color="auto" w:fill="auto"/>
            <w:noWrap/>
            <w:vAlign w:val="center"/>
            <w:hideMark/>
          </w:tcPr>
          <w:p w14:paraId="45665CE7" w14:textId="77777777" w:rsidR="009D081E" w:rsidRPr="003B7A14" w:rsidRDefault="009D081E" w:rsidP="009A182B">
            <w:pPr>
              <w:widowControl/>
              <w:autoSpaceDE/>
              <w:autoSpaceDN/>
              <w:jc w:val="center"/>
              <w:rPr>
                <w:sz w:val="20"/>
                <w:szCs w:val="20"/>
              </w:rPr>
            </w:pPr>
            <w:r w:rsidRPr="003B7A14">
              <w:rPr>
                <w:sz w:val="20"/>
                <w:szCs w:val="20"/>
              </w:rPr>
              <w:t>0.243</w:t>
            </w:r>
          </w:p>
        </w:tc>
        <w:tc>
          <w:tcPr>
            <w:tcW w:w="254" w:type="pct"/>
            <w:shd w:val="clear" w:color="auto" w:fill="auto"/>
            <w:noWrap/>
            <w:vAlign w:val="center"/>
            <w:hideMark/>
          </w:tcPr>
          <w:p w14:paraId="0306F272" w14:textId="77777777" w:rsidR="009D081E" w:rsidRPr="003B7A14" w:rsidRDefault="009D081E" w:rsidP="009A182B">
            <w:pPr>
              <w:widowControl/>
              <w:autoSpaceDE/>
              <w:autoSpaceDN/>
              <w:jc w:val="center"/>
              <w:rPr>
                <w:sz w:val="20"/>
                <w:szCs w:val="20"/>
              </w:rPr>
            </w:pPr>
            <w:r w:rsidRPr="003B7A14">
              <w:rPr>
                <w:sz w:val="20"/>
                <w:szCs w:val="20"/>
              </w:rPr>
              <w:t>0.162</w:t>
            </w:r>
          </w:p>
        </w:tc>
        <w:tc>
          <w:tcPr>
            <w:tcW w:w="254" w:type="pct"/>
            <w:shd w:val="clear" w:color="auto" w:fill="auto"/>
            <w:noWrap/>
            <w:vAlign w:val="center"/>
            <w:hideMark/>
          </w:tcPr>
          <w:p w14:paraId="3C8FC1CD" w14:textId="77777777" w:rsidR="009D081E" w:rsidRPr="003B7A14" w:rsidRDefault="009D081E" w:rsidP="009A182B">
            <w:pPr>
              <w:widowControl/>
              <w:autoSpaceDE/>
              <w:autoSpaceDN/>
              <w:jc w:val="center"/>
              <w:rPr>
                <w:sz w:val="20"/>
                <w:szCs w:val="20"/>
              </w:rPr>
            </w:pPr>
            <w:r w:rsidRPr="003B7A14">
              <w:rPr>
                <w:sz w:val="20"/>
                <w:szCs w:val="20"/>
              </w:rPr>
              <w:t>0.203</w:t>
            </w:r>
          </w:p>
        </w:tc>
        <w:tc>
          <w:tcPr>
            <w:tcW w:w="254" w:type="pct"/>
            <w:shd w:val="clear" w:color="auto" w:fill="auto"/>
            <w:noWrap/>
            <w:vAlign w:val="center"/>
            <w:hideMark/>
          </w:tcPr>
          <w:p w14:paraId="720AACC4" w14:textId="77777777" w:rsidR="009D081E" w:rsidRPr="003B7A14" w:rsidRDefault="009D081E" w:rsidP="009A182B">
            <w:pPr>
              <w:widowControl/>
              <w:autoSpaceDE/>
              <w:autoSpaceDN/>
              <w:jc w:val="center"/>
              <w:rPr>
                <w:sz w:val="20"/>
                <w:szCs w:val="20"/>
              </w:rPr>
            </w:pPr>
            <w:r w:rsidRPr="003B7A14">
              <w:rPr>
                <w:sz w:val="20"/>
                <w:szCs w:val="20"/>
              </w:rPr>
              <w:t>1.723</w:t>
            </w:r>
          </w:p>
        </w:tc>
        <w:tc>
          <w:tcPr>
            <w:tcW w:w="254" w:type="pct"/>
            <w:shd w:val="clear" w:color="auto" w:fill="auto"/>
            <w:noWrap/>
            <w:vAlign w:val="center"/>
            <w:hideMark/>
          </w:tcPr>
          <w:p w14:paraId="1E92BD23" w14:textId="77777777" w:rsidR="009D081E" w:rsidRPr="003B7A14" w:rsidRDefault="009D081E" w:rsidP="009A182B">
            <w:pPr>
              <w:widowControl/>
              <w:autoSpaceDE/>
              <w:autoSpaceDN/>
              <w:jc w:val="center"/>
              <w:rPr>
                <w:sz w:val="20"/>
                <w:szCs w:val="20"/>
              </w:rPr>
            </w:pPr>
            <w:r w:rsidRPr="003B7A14">
              <w:rPr>
                <w:sz w:val="20"/>
                <w:szCs w:val="20"/>
              </w:rPr>
              <w:t>1.498</w:t>
            </w:r>
          </w:p>
        </w:tc>
        <w:tc>
          <w:tcPr>
            <w:tcW w:w="253" w:type="pct"/>
            <w:shd w:val="clear" w:color="auto" w:fill="auto"/>
            <w:noWrap/>
            <w:vAlign w:val="center"/>
            <w:hideMark/>
          </w:tcPr>
          <w:p w14:paraId="7E6EAAC6" w14:textId="77777777" w:rsidR="009D081E" w:rsidRPr="003B7A14" w:rsidRDefault="009D081E" w:rsidP="009A182B">
            <w:pPr>
              <w:widowControl/>
              <w:autoSpaceDE/>
              <w:autoSpaceDN/>
              <w:jc w:val="center"/>
              <w:rPr>
                <w:sz w:val="20"/>
                <w:szCs w:val="20"/>
              </w:rPr>
            </w:pPr>
            <w:r w:rsidRPr="003B7A14">
              <w:rPr>
                <w:sz w:val="20"/>
                <w:szCs w:val="20"/>
              </w:rPr>
              <w:t>1.611</w:t>
            </w:r>
          </w:p>
        </w:tc>
        <w:tc>
          <w:tcPr>
            <w:tcW w:w="254" w:type="pct"/>
            <w:shd w:val="clear" w:color="auto" w:fill="auto"/>
            <w:noWrap/>
            <w:vAlign w:val="center"/>
            <w:hideMark/>
          </w:tcPr>
          <w:p w14:paraId="769A5D92" w14:textId="77777777" w:rsidR="009D081E" w:rsidRPr="003B7A14" w:rsidRDefault="009D081E" w:rsidP="009A182B">
            <w:pPr>
              <w:widowControl/>
              <w:autoSpaceDE/>
              <w:autoSpaceDN/>
              <w:jc w:val="center"/>
              <w:rPr>
                <w:sz w:val="20"/>
                <w:szCs w:val="20"/>
              </w:rPr>
            </w:pPr>
            <w:r w:rsidRPr="003B7A14">
              <w:rPr>
                <w:sz w:val="20"/>
                <w:szCs w:val="20"/>
              </w:rPr>
              <w:t>1.909</w:t>
            </w:r>
          </w:p>
        </w:tc>
        <w:tc>
          <w:tcPr>
            <w:tcW w:w="253" w:type="pct"/>
            <w:shd w:val="clear" w:color="auto" w:fill="auto"/>
            <w:noWrap/>
            <w:vAlign w:val="center"/>
            <w:hideMark/>
          </w:tcPr>
          <w:p w14:paraId="1B049CC2" w14:textId="77777777" w:rsidR="009D081E" w:rsidRPr="003B7A14" w:rsidRDefault="009D081E" w:rsidP="009A182B">
            <w:pPr>
              <w:widowControl/>
              <w:autoSpaceDE/>
              <w:autoSpaceDN/>
              <w:jc w:val="center"/>
              <w:rPr>
                <w:sz w:val="20"/>
                <w:szCs w:val="20"/>
              </w:rPr>
            </w:pPr>
            <w:r w:rsidRPr="003B7A14">
              <w:rPr>
                <w:sz w:val="20"/>
                <w:szCs w:val="20"/>
              </w:rPr>
              <w:t>2.728</w:t>
            </w:r>
          </w:p>
        </w:tc>
        <w:tc>
          <w:tcPr>
            <w:tcW w:w="304" w:type="pct"/>
            <w:shd w:val="clear" w:color="auto" w:fill="auto"/>
            <w:noWrap/>
            <w:vAlign w:val="center"/>
            <w:hideMark/>
          </w:tcPr>
          <w:p w14:paraId="1AFE758D" w14:textId="77777777" w:rsidR="009D081E" w:rsidRPr="003B7A14" w:rsidRDefault="009D081E" w:rsidP="009A182B">
            <w:pPr>
              <w:widowControl/>
              <w:autoSpaceDE/>
              <w:autoSpaceDN/>
              <w:jc w:val="center"/>
              <w:rPr>
                <w:sz w:val="20"/>
                <w:szCs w:val="20"/>
              </w:rPr>
            </w:pPr>
            <w:r w:rsidRPr="003B7A14">
              <w:rPr>
                <w:sz w:val="20"/>
                <w:szCs w:val="20"/>
              </w:rPr>
              <w:t>2.319</w:t>
            </w:r>
          </w:p>
        </w:tc>
        <w:tc>
          <w:tcPr>
            <w:tcW w:w="254" w:type="pct"/>
            <w:shd w:val="clear" w:color="auto" w:fill="auto"/>
            <w:noWrap/>
            <w:vAlign w:val="center"/>
            <w:hideMark/>
          </w:tcPr>
          <w:p w14:paraId="2EF0691B" w14:textId="77777777" w:rsidR="009D081E" w:rsidRPr="003B7A14" w:rsidRDefault="009D081E" w:rsidP="009A182B">
            <w:pPr>
              <w:jc w:val="center"/>
              <w:rPr>
                <w:sz w:val="20"/>
                <w:szCs w:val="20"/>
              </w:rPr>
            </w:pPr>
            <w:r w:rsidRPr="003B7A14">
              <w:rPr>
                <w:sz w:val="20"/>
                <w:szCs w:val="20"/>
              </w:rPr>
              <w:t>19.30</w:t>
            </w:r>
          </w:p>
        </w:tc>
        <w:tc>
          <w:tcPr>
            <w:tcW w:w="304" w:type="pct"/>
            <w:shd w:val="clear" w:color="auto" w:fill="auto"/>
            <w:noWrap/>
            <w:vAlign w:val="center"/>
            <w:hideMark/>
          </w:tcPr>
          <w:p w14:paraId="57FD0434" w14:textId="77777777" w:rsidR="009D081E" w:rsidRPr="003B7A14" w:rsidRDefault="009D081E" w:rsidP="009A182B">
            <w:pPr>
              <w:jc w:val="center"/>
              <w:rPr>
                <w:sz w:val="20"/>
                <w:szCs w:val="20"/>
              </w:rPr>
            </w:pPr>
            <w:r w:rsidRPr="003B7A14">
              <w:rPr>
                <w:sz w:val="20"/>
                <w:szCs w:val="20"/>
              </w:rPr>
              <w:t>13.43</w:t>
            </w:r>
          </w:p>
        </w:tc>
        <w:tc>
          <w:tcPr>
            <w:tcW w:w="254" w:type="pct"/>
            <w:shd w:val="clear" w:color="auto" w:fill="auto"/>
            <w:noWrap/>
            <w:vAlign w:val="center"/>
            <w:hideMark/>
          </w:tcPr>
          <w:p w14:paraId="20971F1A" w14:textId="77777777" w:rsidR="009D081E" w:rsidRPr="003B7A14" w:rsidRDefault="009D081E" w:rsidP="009A182B">
            <w:pPr>
              <w:jc w:val="center"/>
              <w:rPr>
                <w:sz w:val="20"/>
                <w:szCs w:val="20"/>
              </w:rPr>
            </w:pPr>
            <w:r w:rsidRPr="003B7A14">
              <w:rPr>
                <w:sz w:val="20"/>
                <w:szCs w:val="20"/>
              </w:rPr>
              <w:t>16.37</w:t>
            </w:r>
          </w:p>
        </w:tc>
        <w:tc>
          <w:tcPr>
            <w:tcW w:w="254" w:type="pct"/>
            <w:shd w:val="clear" w:color="auto" w:fill="auto"/>
            <w:noWrap/>
            <w:vAlign w:val="center"/>
            <w:hideMark/>
          </w:tcPr>
          <w:p w14:paraId="6090E49C" w14:textId="77777777" w:rsidR="009D081E" w:rsidRPr="003B7A14" w:rsidRDefault="009D081E" w:rsidP="009A182B">
            <w:pPr>
              <w:widowControl/>
              <w:autoSpaceDE/>
              <w:autoSpaceDN/>
              <w:jc w:val="center"/>
              <w:rPr>
                <w:sz w:val="20"/>
                <w:szCs w:val="20"/>
              </w:rPr>
            </w:pPr>
            <w:r w:rsidRPr="003B7A14">
              <w:rPr>
                <w:sz w:val="20"/>
                <w:szCs w:val="20"/>
              </w:rPr>
              <w:t>3.457</w:t>
            </w:r>
          </w:p>
        </w:tc>
        <w:tc>
          <w:tcPr>
            <w:tcW w:w="254" w:type="pct"/>
            <w:shd w:val="clear" w:color="auto" w:fill="auto"/>
            <w:noWrap/>
            <w:vAlign w:val="center"/>
            <w:hideMark/>
          </w:tcPr>
          <w:p w14:paraId="319F2F68" w14:textId="77777777" w:rsidR="009D081E" w:rsidRPr="003B7A14" w:rsidRDefault="009D081E" w:rsidP="009A182B">
            <w:pPr>
              <w:widowControl/>
              <w:autoSpaceDE/>
              <w:autoSpaceDN/>
              <w:jc w:val="center"/>
              <w:rPr>
                <w:sz w:val="20"/>
                <w:szCs w:val="20"/>
              </w:rPr>
            </w:pPr>
            <w:r w:rsidRPr="003B7A14">
              <w:rPr>
                <w:sz w:val="20"/>
                <w:szCs w:val="20"/>
              </w:rPr>
              <w:t>3.651</w:t>
            </w:r>
          </w:p>
        </w:tc>
        <w:tc>
          <w:tcPr>
            <w:tcW w:w="254" w:type="pct"/>
            <w:shd w:val="clear" w:color="auto" w:fill="auto"/>
            <w:noWrap/>
            <w:vAlign w:val="center"/>
            <w:hideMark/>
          </w:tcPr>
          <w:p w14:paraId="42EA707D" w14:textId="77777777" w:rsidR="009D081E" w:rsidRPr="003B7A14" w:rsidRDefault="009D081E" w:rsidP="009A182B">
            <w:pPr>
              <w:widowControl/>
              <w:autoSpaceDE/>
              <w:autoSpaceDN/>
              <w:jc w:val="center"/>
              <w:rPr>
                <w:sz w:val="20"/>
                <w:szCs w:val="20"/>
              </w:rPr>
            </w:pPr>
            <w:r w:rsidRPr="003B7A14">
              <w:rPr>
                <w:sz w:val="20"/>
                <w:szCs w:val="20"/>
              </w:rPr>
              <w:t>3.554</w:t>
            </w:r>
          </w:p>
        </w:tc>
        <w:tc>
          <w:tcPr>
            <w:tcW w:w="253" w:type="pct"/>
            <w:shd w:val="clear" w:color="auto" w:fill="auto"/>
            <w:noWrap/>
            <w:vAlign w:val="center"/>
            <w:hideMark/>
          </w:tcPr>
          <w:p w14:paraId="36EA3EBB" w14:textId="77777777" w:rsidR="009D081E" w:rsidRPr="003B7A14" w:rsidRDefault="009D081E" w:rsidP="009A182B">
            <w:pPr>
              <w:jc w:val="center"/>
              <w:rPr>
                <w:sz w:val="20"/>
                <w:szCs w:val="20"/>
              </w:rPr>
            </w:pPr>
            <w:r w:rsidRPr="003B7A14">
              <w:rPr>
                <w:sz w:val="20"/>
                <w:szCs w:val="20"/>
              </w:rPr>
              <w:t>42.76</w:t>
            </w:r>
          </w:p>
        </w:tc>
        <w:tc>
          <w:tcPr>
            <w:tcW w:w="243" w:type="pct"/>
            <w:shd w:val="clear" w:color="auto" w:fill="auto"/>
            <w:noWrap/>
            <w:vAlign w:val="center"/>
            <w:hideMark/>
          </w:tcPr>
          <w:p w14:paraId="5375652C" w14:textId="77777777" w:rsidR="009D081E" w:rsidRPr="003B7A14" w:rsidRDefault="009D081E" w:rsidP="009A182B">
            <w:pPr>
              <w:jc w:val="center"/>
              <w:rPr>
                <w:sz w:val="20"/>
                <w:szCs w:val="20"/>
              </w:rPr>
            </w:pPr>
            <w:r w:rsidRPr="003B7A14">
              <w:rPr>
                <w:sz w:val="20"/>
                <w:szCs w:val="20"/>
              </w:rPr>
              <w:t>47.92</w:t>
            </w:r>
          </w:p>
        </w:tc>
        <w:tc>
          <w:tcPr>
            <w:tcW w:w="254" w:type="pct"/>
            <w:shd w:val="clear" w:color="auto" w:fill="auto"/>
            <w:noWrap/>
            <w:vAlign w:val="center"/>
            <w:hideMark/>
          </w:tcPr>
          <w:p w14:paraId="59B72FA3" w14:textId="77777777" w:rsidR="009D081E" w:rsidRPr="003B7A14" w:rsidRDefault="009D081E" w:rsidP="009A182B">
            <w:pPr>
              <w:jc w:val="center"/>
              <w:rPr>
                <w:sz w:val="20"/>
                <w:szCs w:val="20"/>
              </w:rPr>
            </w:pPr>
            <w:r w:rsidRPr="003B7A14">
              <w:rPr>
                <w:sz w:val="20"/>
                <w:szCs w:val="20"/>
              </w:rPr>
              <w:t>45.34</w:t>
            </w:r>
          </w:p>
        </w:tc>
      </w:tr>
      <w:tr w:rsidR="003B7A14" w:rsidRPr="003B7A14" w14:paraId="1BB53051" w14:textId="77777777" w:rsidTr="009A182B">
        <w:trPr>
          <w:trHeight w:val="425"/>
        </w:trPr>
        <w:tc>
          <w:tcPr>
            <w:tcW w:w="343" w:type="pct"/>
            <w:shd w:val="clear" w:color="auto" w:fill="auto"/>
            <w:noWrap/>
            <w:vAlign w:val="center"/>
            <w:hideMark/>
          </w:tcPr>
          <w:p w14:paraId="3ECA66D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60</w:t>
            </w:r>
          </w:p>
        </w:tc>
        <w:tc>
          <w:tcPr>
            <w:tcW w:w="253" w:type="pct"/>
            <w:shd w:val="clear" w:color="auto" w:fill="auto"/>
            <w:noWrap/>
            <w:vAlign w:val="center"/>
            <w:hideMark/>
          </w:tcPr>
          <w:p w14:paraId="75D85464" w14:textId="77777777" w:rsidR="009D081E" w:rsidRPr="003B7A14" w:rsidRDefault="009D081E" w:rsidP="009A182B">
            <w:pPr>
              <w:widowControl/>
              <w:autoSpaceDE/>
              <w:autoSpaceDN/>
              <w:jc w:val="center"/>
              <w:rPr>
                <w:sz w:val="20"/>
                <w:szCs w:val="20"/>
              </w:rPr>
            </w:pPr>
            <w:r w:rsidRPr="003B7A14">
              <w:rPr>
                <w:sz w:val="20"/>
                <w:szCs w:val="20"/>
              </w:rPr>
              <w:t>0.242</w:t>
            </w:r>
          </w:p>
        </w:tc>
        <w:tc>
          <w:tcPr>
            <w:tcW w:w="254" w:type="pct"/>
            <w:shd w:val="clear" w:color="auto" w:fill="auto"/>
            <w:noWrap/>
            <w:vAlign w:val="center"/>
            <w:hideMark/>
          </w:tcPr>
          <w:p w14:paraId="072A7E10" w14:textId="77777777" w:rsidR="009D081E" w:rsidRPr="003B7A14" w:rsidRDefault="009D081E" w:rsidP="009A182B">
            <w:pPr>
              <w:widowControl/>
              <w:autoSpaceDE/>
              <w:autoSpaceDN/>
              <w:jc w:val="center"/>
              <w:rPr>
                <w:sz w:val="20"/>
                <w:szCs w:val="20"/>
              </w:rPr>
            </w:pPr>
            <w:r w:rsidRPr="003B7A14">
              <w:rPr>
                <w:sz w:val="20"/>
                <w:szCs w:val="20"/>
              </w:rPr>
              <w:t>0.122</w:t>
            </w:r>
          </w:p>
        </w:tc>
        <w:tc>
          <w:tcPr>
            <w:tcW w:w="254" w:type="pct"/>
            <w:shd w:val="clear" w:color="auto" w:fill="auto"/>
            <w:noWrap/>
            <w:vAlign w:val="center"/>
            <w:hideMark/>
          </w:tcPr>
          <w:p w14:paraId="0432D780" w14:textId="77777777" w:rsidR="009D081E" w:rsidRPr="003B7A14" w:rsidRDefault="009D081E" w:rsidP="009A182B">
            <w:pPr>
              <w:widowControl/>
              <w:autoSpaceDE/>
              <w:autoSpaceDN/>
              <w:jc w:val="center"/>
              <w:rPr>
                <w:sz w:val="20"/>
                <w:szCs w:val="20"/>
              </w:rPr>
            </w:pPr>
            <w:r w:rsidRPr="003B7A14">
              <w:rPr>
                <w:sz w:val="20"/>
                <w:szCs w:val="20"/>
              </w:rPr>
              <w:t>0.182</w:t>
            </w:r>
          </w:p>
        </w:tc>
        <w:tc>
          <w:tcPr>
            <w:tcW w:w="254" w:type="pct"/>
            <w:shd w:val="clear" w:color="auto" w:fill="auto"/>
            <w:noWrap/>
            <w:vAlign w:val="center"/>
            <w:hideMark/>
          </w:tcPr>
          <w:p w14:paraId="2D81F902" w14:textId="77777777" w:rsidR="009D081E" w:rsidRPr="003B7A14" w:rsidRDefault="009D081E" w:rsidP="009A182B">
            <w:pPr>
              <w:widowControl/>
              <w:autoSpaceDE/>
              <w:autoSpaceDN/>
              <w:jc w:val="center"/>
              <w:rPr>
                <w:sz w:val="20"/>
                <w:szCs w:val="20"/>
              </w:rPr>
            </w:pPr>
            <w:r w:rsidRPr="003B7A14">
              <w:rPr>
                <w:sz w:val="20"/>
                <w:szCs w:val="20"/>
              </w:rPr>
              <w:t>1.634</w:t>
            </w:r>
          </w:p>
        </w:tc>
        <w:tc>
          <w:tcPr>
            <w:tcW w:w="254" w:type="pct"/>
            <w:shd w:val="clear" w:color="auto" w:fill="auto"/>
            <w:noWrap/>
            <w:vAlign w:val="center"/>
            <w:hideMark/>
          </w:tcPr>
          <w:p w14:paraId="6E3A7B58" w14:textId="77777777" w:rsidR="009D081E" w:rsidRPr="003B7A14" w:rsidRDefault="009D081E" w:rsidP="009A182B">
            <w:pPr>
              <w:widowControl/>
              <w:autoSpaceDE/>
              <w:autoSpaceDN/>
              <w:jc w:val="center"/>
              <w:rPr>
                <w:sz w:val="20"/>
                <w:szCs w:val="20"/>
              </w:rPr>
            </w:pPr>
            <w:r w:rsidRPr="003B7A14">
              <w:rPr>
                <w:sz w:val="20"/>
                <w:szCs w:val="20"/>
              </w:rPr>
              <w:t>1.421</w:t>
            </w:r>
          </w:p>
        </w:tc>
        <w:tc>
          <w:tcPr>
            <w:tcW w:w="253" w:type="pct"/>
            <w:shd w:val="clear" w:color="auto" w:fill="auto"/>
            <w:noWrap/>
            <w:vAlign w:val="center"/>
            <w:hideMark/>
          </w:tcPr>
          <w:p w14:paraId="549AD2F5" w14:textId="77777777" w:rsidR="009D081E" w:rsidRPr="003B7A14" w:rsidRDefault="009D081E" w:rsidP="009A182B">
            <w:pPr>
              <w:widowControl/>
              <w:autoSpaceDE/>
              <w:autoSpaceDN/>
              <w:jc w:val="center"/>
              <w:rPr>
                <w:sz w:val="20"/>
                <w:szCs w:val="20"/>
              </w:rPr>
            </w:pPr>
            <w:r w:rsidRPr="003B7A14">
              <w:rPr>
                <w:sz w:val="20"/>
                <w:szCs w:val="20"/>
              </w:rPr>
              <w:t>1.528</w:t>
            </w:r>
          </w:p>
        </w:tc>
        <w:tc>
          <w:tcPr>
            <w:tcW w:w="254" w:type="pct"/>
            <w:shd w:val="clear" w:color="auto" w:fill="auto"/>
            <w:noWrap/>
            <w:vAlign w:val="center"/>
            <w:hideMark/>
          </w:tcPr>
          <w:p w14:paraId="529BE1BC" w14:textId="77777777" w:rsidR="009D081E" w:rsidRPr="003B7A14" w:rsidRDefault="009D081E" w:rsidP="009A182B">
            <w:pPr>
              <w:widowControl/>
              <w:autoSpaceDE/>
              <w:autoSpaceDN/>
              <w:jc w:val="center"/>
              <w:rPr>
                <w:sz w:val="20"/>
                <w:szCs w:val="20"/>
              </w:rPr>
            </w:pPr>
            <w:r w:rsidRPr="003B7A14">
              <w:rPr>
                <w:sz w:val="20"/>
                <w:szCs w:val="20"/>
              </w:rPr>
              <w:t>2.138</w:t>
            </w:r>
          </w:p>
        </w:tc>
        <w:tc>
          <w:tcPr>
            <w:tcW w:w="253" w:type="pct"/>
            <w:shd w:val="clear" w:color="auto" w:fill="auto"/>
            <w:noWrap/>
            <w:vAlign w:val="center"/>
            <w:hideMark/>
          </w:tcPr>
          <w:p w14:paraId="412FD63E" w14:textId="77777777" w:rsidR="009D081E" w:rsidRPr="003B7A14" w:rsidRDefault="009D081E" w:rsidP="009A182B">
            <w:pPr>
              <w:widowControl/>
              <w:autoSpaceDE/>
              <w:autoSpaceDN/>
              <w:jc w:val="center"/>
              <w:rPr>
                <w:sz w:val="20"/>
                <w:szCs w:val="20"/>
              </w:rPr>
            </w:pPr>
            <w:r w:rsidRPr="003B7A14">
              <w:rPr>
                <w:sz w:val="20"/>
                <w:szCs w:val="20"/>
              </w:rPr>
              <w:t>2.776</w:t>
            </w:r>
          </w:p>
        </w:tc>
        <w:tc>
          <w:tcPr>
            <w:tcW w:w="304" w:type="pct"/>
            <w:shd w:val="clear" w:color="auto" w:fill="auto"/>
            <w:noWrap/>
            <w:vAlign w:val="center"/>
            <w:hideMark/>
          </w:tcPr>
          <w:p w14:paraId="633AE668" w14:textId="77777777" w:rsidR="009D081E" w:rsidRPr="003B7A14" w:rsidRDefault="009D081E" w:rsidP="009A182B">
            <w:pPr>
              <w:widowControl/>
              <w:autoSpaceDE/>
              <w:autoSpaceDN/>
              <w:jc w:val="center"/>
              <w:rPr>
                <w:sz w:val="20"/>
                <w:szCs w:val="20"/>
              </w:rPr>
            </w:pPr>
            <w:r w:rsidRPr="003B7A14">
              <w:rPr>
                <w:sz w:val="20"/>
                <w:szCs w:val="20"/>
              </w:rPr>
              <w:t>2.457</w:t>
            </w:r>
          </w:p>
        </w:tc>
        <w:tc>
          <w:tcPr>
            <w:tcW w:w="254" w:type="pct"/>
            <w:shd w:val="clear" w:color="auto" w:fill="auto"/>
            <w:noWrap/>
            <w:vAlign w:val="center"/>
            <w:hideMark/>
          </w:tcPr>
          <w:p w14:paraId="65A61479" w14:textId="77777777" w:rsidR="009D081E" w:rsidRPr="003B7A14" w:rsidRDefault="009D081E" w:rsidP="009A182B">
            <w:pPr>
              <w:jc w:val="center"/>
              <w:rPr>
                <w:sz w:val="20"/>
                <w:szCs w:val="20"/>
              </w:rPr>
            </w:pPr>
            <w:r w:rsidRPr="003B7A14">
              <w:rPr>
                <w:sz w:val="20"/>
                <w:szCs w:val="20"/>
              </w:rPr>
              <w:t>18.96</w:t>
            </w:r>
          </w:p>
        </w:tc>
        <w:tc>
          <w:tcPr>
            <w:tcW w:w="304" w:type="pct"/>
            <w:shd w:val="clear" w:color="auto" w:fill="auto"/>
            <w:noWrap/>
            <w:vAlign w:val="center"/>
            <w:hideMark/>
          </w:tcPr>
          <w:p w14:paraId="2F6C46FE" w14:textId="77777777" w:rsidR="009D081E" w:rsidRPr="003B7A14" w:rsidRDefault="009D081E" w:rsidP="009A182B">
            <w:pPr>
              <w:jc w:val="center"/>
              <w:rPr>
                <w:sz w:val="20"/>
                <w:szCs w:val="20"/>
              </w:rPr>
            </w:pPr>
            <w:r w:rsidRPr="003B7A14">
              <w:rPr>
                <w:sz w:val="20"/>
                <w:szCs w:val="20"/>
              </w:rPr>
              <w:t>12.51</w:t>
            </w:r>
          </w:p>
        </w:tc>
        <w:tc>
          <w:tcPr>
            <w:tcW w:w="254" w:type="pct"/>
            <w:shd w:val="clear" w:color="auto" w:fill="auto"/>
            <w:noWrap/>
            <w:vAlign w:val="center"/>
            <w:hideMark/>
          </w:tcPr>
          <w:p w14:paraId="67EC3A5D" w14:textId="77777777" w:rsidR="009D081E" w:rsidRPr="003B7A14" w:rsidRDefault="009D081E" w:rsidP="009A182B">
            <w:pPr>
              <w:jc w:val="center"/>
              <w:rPr>
                <w:sz w:val="20"/>
                <w:szCs w:val="20"/>
              </w:rPr>
            </w:pPr>
            <w:r w:rsidRPr="003B7A14">
              <w:rPr>
                <w:sz w:val="20"/>
                <w:szCs w:val="20"/>
              </w:rPr>
              <w:t>15.73</w:t>
            </w:r>
          </w:p>
        </w:tc>
        <w:tc>
          <w:tcPr>
            <w:tcW w:w="254" w:type="pct"/>
            <w:shd w:val="clear" w:color="auto" w:fill="auto"/>
            <w:noWrap/>
            <w:vAlign w:val="center"/>
            <w:hideMark/>
          </w:tcPr>
          <w:p w14:paraId="6C87F58C" w14:textId="77777777" w:rsidR="009D081E" w:rsidRPr="003B7A14" w:rsidRDefault="009D081E" w:rsidP="009A182B">
            <w:pPr>
              <w:widowControl/>
              <w:autoSpaceDE/>
              <w:autoSpaceDN/>
              <w:jc w:val="center"/>
              <w:rPr>
                <w:sz w:val="20"/>
                <w:szCs w:val="20"/>
              </w:rPr>
            </w:pPr>
            <w:r w:rsidRPr="003B7A14">
              <w:rPr>
                <w:sz w:val="20"/>
                <w:szCs w:val="20"/>
              </w:rPr>
              <w:t>3.514</w:t>
            </w:r>
          </w:p>
        </w:tc>
        <w:tc>
          <w:tcPr>
            <w:tcW w:w="254" w:type="pct"/>
            <w:shd w:val="clear" w:color="auto" w:fill="auto"/>
            <w:noWrap/>
            <w:vAlign w:val="center"/>
            <w:hideMark/>
          </w:tcPr>
          <w:p w14:paraId="36E3EE0D" w14:textId="77777777" w:rsidR="009D081E" w:rsidRPr="003B7A14" w:rsidRDefault="009D081E" w:rsidP="009A182B">
            <w:pPr>
              <w:widowControl/>
              <w:autoSpaceDE/>
              <w:autoSpaceDN/>
              <w:jc w:val="center"/>
              <w:rPr>
                <w:sz w:val="20"/>
                <w:szCs w:val="20"/>
              </w:rPr>
            </w:pPr>
            <w:r w:rsidRPr="003B7A14">
              <w:rPr>
                <w:sz w:val="20"/>
                <w:szCs w:val="20"/>
              </w:rPr>
              <w:t>2.681</w:t>
            </w:r>
          </w:p>
        </w:tc>
        <w:tc>
          <w:tcPr>
            <w:tcW w:w="254" w:type="pct"/>
            <w:shd w:val="clear" w:color="auto" w:fill="auto"/>
            <w:noWrap/>
            <w:vAlign w:val="center"/>
            <w:hideMark/>
          </w:tcPr>
          <w:p w14:paraId="61303BAB" w14:textId="77777777" w:rsidR="009D081E" w:rsidRPr="003B7A14" w:rsidRDefault="009D081E" w:rsidP="009A182B">
            <w:pPr>
              <w:widowControl/>
              <w:autoSpaceDE/>
              <w:autoSpaceDN/>
              <w:jc w:val="center"/>
              <w:rPr>
                <w:sz w:val="20"/>
                <w:szCs w:val="20"/>
              </w:rPr>
            </w:pPr>
            <w:r w:rsidRPr="003B7A14">
              <w:rPr>
                <w:sz w:val="20"/>
                <w:szCs w:val="20"/>
              </w:rPr>
              <w:t>3.097</w:t>
            </w:r>
          </w:p>
        </w:tc>
        <w:tc>
          <w:tcPr>
            <w:tcW w:w="253" w:type="pct"/>
            <w:shd w:val="clear" w:color="auto" w:fill="auto"/>
            <w:noWrap/>
            <w:vAlign w:val="center"/>
            <w:hideMark/>
          </w:tcPr>
          <w:p w14:paraId="126DEBE3" w14:textId="77777777" w:rsidR="009D081E" w:rsidRPr="003B7A14" w:rsidRDefault="009D081E" w:rsidP="009A182B">
            <w:pPr>
              <w:jc w:val="center"/>
              <w:rPr>
                <w:sz w:val="20"/>
                <w:szCs w:val="20"/>
              </w:rPr>
            </w:pPr>
            <w:r w:rsidRPr="003B7A14">
              <w:rPr>
                <w:sz w:val="20"/>
                <w:szCs w:val="20"/>
              </w:rPr>
              <w:t>42.92</w:t>
            </w:r>
          </w:p>
        </w:tc>
        <w:tc>
          <w:tcPr>
            <w:tcW w:w="243" w:type="pct"/>
            <w:shd w:val="clear" w:color="auto" w:fill="auto"/>
            <w:noWrap/>
            <w:vAlign w:val="center"/>
            <w:hideMark/>
          </w:tcPr>
          <w:p w14:paraId="1DFF11FF" w14:textId="77777777" w:rsidR="009D081E" w:rsidRPr="003B7A14" w:rsidRDefault="009D081E" w:rsidP="009A182B">
            <w:pPr>
              <w:jc w:val="center"/>
              <w:rPr>
                <w:sz w:val="20"/>
                <w:szCs w:val="20"/>
              </w:rPr>
            </w:pPr>
            <w:r w:rsidRPr="003B7A14">
              <w:rPr>
                <w:sz w:val="20"/>
                <w:szCs w:val="20"/>
              </w:rPr>
              <w:t>49.89</w:t>
            </w:r>
          </w:p>
        </w:tc>
        <w:tc>
          <w:tcPr>
            <w:tcW w:w="254" w:type="pct"/>
            <w:shd w:val="clear" w:color="auto" w:fill="auto"/>
            <w:noWrap/>
            <w:vAlign w:val="center"/>
            <w:hideMark/>
          </w:tcPr>
          <w:p w14:paraId="5D6235C2" w14:textId="77777777" w:rsidR="009D081E" w:rsidRPr="003B7A14" w:rsidRDefault="009D081E" w:rsidP="009A182B">
            <w:pPr>
              <w:jc w:val="center"/>
              <w:rPr>
                <w:sz w:val="20"/>
                <w:szCs w:val="20"/>
              </w:rPr>
            </w:pPr>
            <w:r w:rsidRPr="003B7A14">
              <w:rPr>
                <w:sz w:val="20"/>
                <w:szCs w:val="20"/>
              </w:rPr>
              <w:t>46.40</w:t>
            </w:r>
          </w:p>
        </w:tc>
      </w:tr>
      <w:tr w:rsidR="003B7A14" w:rsidRPr="003B7A14" w14:paraId="70A9838D" w14:textId="77777777" w:rsidTr="009A182B">
        <w:trPr>
          <w:trHeight w:val="425"/>
        </w:trPr>
        <w:tc>
          <w:tcPr>
            <w:tcW w:w="343" w:type="pct"/>
            <w:shd w:val="clear" w:color="auto" w:fill="auto"/>
            <w:noWrap/>
            <w:vAlign w:val="center"/>
            <w:hideMark/>
          </w:tcPr>
          <w:p w14:paraId="110B48EE"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75</w:t>
            </w:r>
          </w:p>
        </w:tc>
        <w:tc>
          <w:tcPr>
            <w:tcW w:w="253" w:type="pct"/>
            <w:shd w:val="clear" w:color="auto" w:fill="auto"/>
            <w:noWrap/>
            <w:vAlign w:val="center"/>
            <w:hideMark/>
          </w:tcPr>
          <w:p w14:paraId="78F97A18" w14:textId="77777777" w:rsidR="009D081E" w:rsidRPr="003B7A14" w:rsidRDefault="009D081E" w:rsidP="009A182B">
            <w:pPr>
              <w:widowControl/>
              <w:autoSpaceDE/>
              <w:autoSpaceDN/>
              <w:jc w:val="center"/>
              <w:rPr>
                <w:sz w:val="20"/>
                <w:szCs w:val="20"/>
              </w:rPr>
            </w:pPr>
            <w:r w:rsidRPr="003B7A14">
              <w:rPr>
                <w:sz w:val="20"/>
                <w:szCs w:val="20"/>
              </w:rPr>
              <w:t>0.218</w:t>
            </w:r>
          </w:p>
        </w:tc>
        <w:tc>
          <w:tcPr>
            <w:tcW w:w="254" w:type="pct"/>
            <w:shd w:val="clear" w:color="auto" w:fill="auto"/>
            <w:noWrap/>
            <w:vAlign w:val="center"/>
            <w:hideMark/>
          </w:tcPr>
          <w:p w14:paraId="15CDEE4C" w14:textId="77777777" w:rsidR="009D081E" w:rsidRPr="003B7A14" w:rsidRDefault="009D081E" w:rsidP="009A182B">
            <w:pPr>
              <w:widowControl/>
              <w:autoSpaceDE/>
              <w:autoSpaceDN/>
              <w:jc w:val="center"/>
              <w:rPr>
                <w:sz w:val="20"/>
                <w:szCs w:val="20"/>
              </w:rPr>
            </w:pPr>
            <w:r w:rsidRPr="003B7A14">
              <w:rPr>
                <w:sz w:val="20"/>
                <w:szCs w:val="20"/>
              </w:rPr>
              <w:t>0.116</w:t>
            </w:r>
          </w:p>
        </w:tc>
        <w:tc>
          <w:tcPr>
            <w:tcW w:w="254" w:type="pct"/>
            <w:shd w:val="clear" w:color="auto" w:fill="auto"/>
            <w:noWrap/>
            <w:vAlign w:val="center"/>
            <w:hideMark/>
          </w:tcPr>
          <w:p w14:paraId="183B8B97" w14:textId="77777777" w:rsidR="009D081E" w:rsidRPr="003B7A14" w:rsidRDefault="009D081E" w:rsidP="009A182B">
            <w:pPr>
              <w:widowControl/>
              <w:autoSpaceDE/>
              <w:autoSpaceDN/>
              <w:jc w:val="center"/>
              <w:rPr>
                <w:sz w:val="20"/>
                <w:szCs w:val="20"/>
              </w:rPr>
            </w:pPr>
            <w:r w:rsidRPr="003B7A14">
              <w:rPr>
                <w:sz w:val="20"/>
                <w:szCs w:val="20"/>
              </w:rPr>
              <w:t>0.167</w:t>
            </w:r>
          </w:p>
        </w:tc>
        <w:tc>
          <w:tcPr>
            <w:tcW w:w="254" w:type="pct"/>
            <w:shd w:val="clear" w:color="auto" w:fill="auto"/>
            <w:noWrap/>
            <w:vAlign w:val="center"/>
            <w:hideMark/>
          </w:tcPr>
          <w:p w14:paraId="3F66D940" w14:textId="77777777" w:rsidR="009D081E" w:rsidRPr="003B7A14" w:rsidRDefault="009D081E" w:rsidP="009A182B">
            <w:pPr>
              <w:widowControl/>
              <w:autoSpaceDE/>
              <w:autoSpaceDN/>
              <w:jc w:val="center"/>
              <w:rPr>
                <w:sz w:val="20"/>
                <w:szCs w:val="20"/>
              </w:rPr>
            </w:pPr>
            <w:r w:rsidRPr="003B7A14">
              <w:rPr>
                <w:sz w:val="20"/>
                <w:szCs w:val="20"/>
              </w:rPr>
              <w:t>1.546</w:t>
            </w:r>
          </w:p>
        </w:tc>
        <w:tc>
          <w:tcPr>
            <w:tcW w:w="254" w:type="pct"/>
            <w:shd w:val="clear" w:color="auto" w:fill="auto"/>
            <w:noWrap/>
            <w:vAlign w:val="center"/>
            <w:hideMark/>
          </w:tcPr>
          <w:p w14:paraId="67A94B55" w14:textId="77777777" w:rsidR="009D081E" w:rsidRPr="003B7A14" w:rsidRDefault="009D081E" w:rsidP="009A182B">
            <w:pPr>
              <w:widowControl/>
              <w:autoSpaceDE/>
              <w:autoSpaceDN/>
              <w:jc w:val="center"/>
              <w:rPr>
                <w:sz w:val="20"/>
                <w:szCs w:val="20"/>
              </w:rPr>
            </w:pPr>
            <w:r w:rsidRPr="003B7A14">
              <w:rPr>
                <w:sz w:val="20"/>
                <w:szCs w:val="20"/>
              </w:rPr>
              <w:t>1.157</w:t>
            </w:r>
          </w:p>
        </w:tc>
        <w:tc>
          <w:tcPr>
            <w:tcW w:w="253" w:type="pct"/>
            <w:shd w:val="clear" w:color="auto" w:fill="auto"/>
            <w:noWrap/>
            <w:vAlign w:val="center"/>
            <w:hideMark/>
          </w:tcPr>
          <w:p w14:paraId="64BBE8F9" w14:textId="77777777" w:rsidR="009D081E" w:rsidRPr="003B7A14" w:rsidRDefault="009D081E" w:rsidP="009A182B">
            <w:pPr>
              <w:widowControl/>
              <w:autoSpaceDE/>
              <w:autoSpaceDN/>
              <w:jc w:val="center"/>
              <w:rPr>
                <w:sz w:val="20"/>
                <w:szCs w:val="20"/>
              </w:rPr>
            </w:pPr>
            <w:r w:rsidRPr="003B7A14">
              <w:rPr>
                <w:sz w:val="20"/>
                <w:szCs w:val="20"/>
              </w:rPr>
              <w:t>1.352</w:t>
            </w:r>
          </w:p>
        </w:tc>
        <w:tc>
          <w:tcPr>
            <w:tcW w:w="254" w:type="pct"/>
            <w:shd w:val="clear" w:color="auto" w:fill="auto"/>
            <w:noWrap/>
            <w:vAlign w:val="center"/>
            <w:hideMark/>
          </w:tcPr>
          <w:p w14:paraId="17E58448" w14:textId="77777777" w:rsidR="009D081E" w:rsidRPr="003B7A14" w:rsidRDefault="009D081E" w:rsidP="009A182B">
            <w:pPr>
              <w:widowControl/>
              <w:autoSpaceDE/>
              <w:autoSpaceDN/>
              <w:jc w:val="center"/>
              <w:rPr>
                <w:sz w:val="20"/>
                <w:szCs w:val="20"/>
              </w:rPr>
            </w:pPr>
            <w:r w:rsidRPr="003B7A14">
              <w:rPr>
                <w:sz w:val="20"/>
                <w:szCs w:val="20"/>
              </w:rPr>
              <w:t>2.249</w:t>
            </w:r>
          </w:p>
        </w:tc>
        <w:tc>
          <w:tcPr>
            <w:tcW w:w="253" w:type="pct"/>
            <w:shd w:val="clear" w:color="auto" w:fill="auto"/>
            <w:noWrap/>
            <w:vAlign w:val="center"/>
            <w:hideMark/>
          </w:tcPr>
          <w:p w14:paraId="5B10803E" w14:textId="77777777" w:rsidR="009D081E" w:rsidRPr="003B7A14" w:rsidRDefault="009D081E" w:rsidP="009A182B">
            <w:pPr>
              <w:widowControl/>
              <w:autoSpaceDE/>
              <w:autoSpaceDN/>
              <w:jc w:val="center"/>
              <w:rPr>
                <w:sz w:val="20"/>
                <w:szCs w:val="20"/>
              </w:rPr>
            </w:pPr>
            <w:r w:rsidRPr="003B7A14">
              <w:rPr>
                <w:sz w:val="20"/>
                <w:szCs w:val="20"/>
              </w:rPr>
              <w:t>3.213</w:t>
            </w:r>
          </w:p>
        </w:tc>
        <w:tc>
          <w:tcPr>
            <w:tcW w:w="304" w:type="pct"/>
            <w:shd w:val="clear" w:color="auto" w:fill="auto"/>
            <w:noWrap/>
            <w:vAlign w:val="center"/>
            <w:hideMark/>
          </w:tcPr>
          <w:p w14:paraId="2314AC4F" w14:textId="77777777" w:rsidR="009D081E" w:rsidRPr="003B7A14" w:rsidRDefault="009D081E" w:rsidP="009A182B">
            <w:pPr>
              <w:widowControl/>
              <w:autoSpaceDE/>
              <w:autoSpaceDN/>
              <w:jc w:val="center"/>
              <w:rPr>
                <w:sz w:val="20"/>
                <w:szCs w:val="20"/>
              </w:rPr>
            </w:pPr>
            <w:r w:rsidRPr="003B7A14">
              <w:rPr>
                <w:sz w:val="20"/>
                <w:szCs w:val="20"/>
              </w:rPr>
              <w:t>2.731</w:t>
            </w:r>
          </w:p>
        </w:tc>
        <w:tc>
          <w:tcPr>
            <w:tcW w:w="254" w:type="pct"/>
            <w:shd w:val="clear" w:color="auto" w:fill="auto"/>
            <w:noWrap/>
            <w:vAlign w:val="center"/>
            <w:hideMark/>
          </w:tcPr>
          <w:p w14:paraId="6B2307BF" w14:textId="77777777" w:rsidR="009D081E" w:rsidRPr="003B7A14" w:rsidRDefault="009D081E" w:rsidP="009A182B">
            <w:pPr>
              <w:jc w:val="center"/>
              <w:rPr>
                <w:sz w:val="20"/>
                <w:szCs w:val="20"/>
              </w:rPr>
            </w:pPr>
            <w:r w:rsidRPr="003B7A14">
              <w:rPr>
                <w:sz w:val="20"/>
                <w:szCs w:val="20"/>
              </w:rPr>
              <w:t>18.69</w:t>
            </w:r>
          </w:p>
        </w:tc>
        <w:tc>
          <w:tcPr>
            <w:tcW w:w="304" w:type="pct"/>
            <w:shd w:val="clear" w:color="auto" w:fill="auto"/>
            <w:noWrap/>
            <w:vAlign w:val="center"/>
            <w:hideMark/>
          </w:tcPr>
          <w:p w14:paraId="39ED1B4E" w14:textId="77777777" w:rsidR="009D081E" w:rsidRPr="003B7A14" w:rsidRDefault="009D081E" w:rsidP="009A182B">
            <w:pPr>
              <w:jc w:val="center"/>
              <w:rPr>
                <w:sz w:val="20"/>
                <w:szCs w:val="20"/>
              </w:rPr>
            </w:pPr>
            <w:r w:rsidRPr="003B7A14">
              <w:rPr>
                <w:sz w:val="20"/>
                <w:szCs w:val="20"/>
              </w:rPr>
              <w:t>12.12</w:t>
            </w:r>
          </w:p>
        </w:tc>
        <w:tc>
          <w:tcPr>
            <w:tcW w:w="254" w:type="pct"/>
            <w:shd w:val="clear" w:color="auto" w:fill="auto"/>
            <w:noWrap/>
            <w:vAlign w:val="center"/>
            <w:hideMark/>
          </w:tcPr>
          <w:p w14:paraId="583D4EFC" w14:textId="77777777" w:rsidR="009D081E" w:rsidRPr="003B7A14" w:rsidRDefault="009D081E" w:rsidP="009A182B">
            <w:pPr>
              <w:jc w:val="center"/>
              <w:rPr>
                <w:sz w:val="20"/>
                <w:szCs w:val="20"/>
              </w:rPr>
            </w:pPr>
            <w:r w:rsidRPr="003B7A14">
              <w:rPr>
                <w:sz w:val="20"/>
                <w:szCs w:val="20"/>
              </w:rPr>
              <w:t>15.40</w:t>
            </w:r>
          </w:p>
        </w:tc>
        <w:tc>
          <w:tcPr>
            <w:tcW w:w="254" w:type="pct"/>
            <w:shd w:val="clear" w:color="auto" w:fill="auto"/>
            <w:noWrap/>
            <w:vAlign w:val="center"/>
            <w:hideMark/>
          </w:tcPr>
          <w:p w14:paraId="430BF69C" w14:textId="77777777" w:rsidR="009D081E" w:rsidRPr="003B7A14" w:rsidRDefault="009D081E" w:rsidP="009A182B">
            <w:pPr>
              <w:widowControl/>
              <w:autoSpaceDE/>
              <w:autoSpaceDN/>
              <w:jc w:val="center"/>
              <w:rPr>
                <w:sz w:val="20"/>
                <w:szCs w:val="20"/>
              </w:rPr>
            </w:pPr>
            <w:r w:rsidRPr="003B7A14">
              <w:rPr>
                <w:sz w:val="20"/>
                <w:szCs w:val="20"/>
              </w:rPr>
              <w:t>3.584</w:t>
            </w:r>
          </w:p>
        </w:tc>
        <w:tc>
          <w:tcPr>
            <w:tcW w:w="254" w:type="pct"/>
            <w:shd w:val="clear" w:color="auto" w:fill="auto"/>
            <w:noWrap/>
            <w:vAlign w:val="center"/>
            <w:hideMark/>
          </w:tcPr>
          <w:p w14:paraId="3D008914" w14:textId="77777777" w:rsidR="009D081E" w:rsidRPr="003B7A14" w:rsidRDefault="009D081E" w:rsidP="009A182B">
            <w:pPr>
              <w:widowControl/>
              <w:autoSpaceDE/>
              <w:autoSpaceDN/>
              <w:jc w:val="center"/>
              <w:rPr>
                <w:sz w:val="20"/>
                <w:szCs w:val="20"/>
              </w:rPr>
            </w:pPr>
            <w:r w:rsidRPr="003B7A14">
              <w:rPr>
                <w:sz w:val="20"/>
                <w:szCs w:val="20"/>
              </w:rPr>
              <w:t>2.484</w:t>
            </w:r>
          </w:p>
        </w:tc>
        <w:tc>
          <w:tcPr>
            <w:tcW w:w="254" w:type="pct"/>
            <w:shd w:val="clear" w:color="auto" w:fill="auto"/>
            <w:noWrap/>
            <w:vAlign w:val="center"/>
            <w:hideMark/>
          </w:tcPr>
          <w:p w14:paraId="589785E7" w14:textId="77777777" w:rsidR="009D081E" w:rsidRPr="003B7A14" w:rsidRDefault="009D081E" w:rsidP="009A182B">
            <w:pPr>
              <w:widowControl/>
              <w:autoSpaceDE/>
              <w:autoSpaceDN/>
              <w:jc w:val="center"/>
              <w:rPr>
                <w:sz w:val="20"/>
                <w:szCs w:val="20"/>
              </w:rPr>
            </w:pPr>
            <w:r w:rsidRPr="003B7A14">
              <w:rPr>
                <w:sz w:val="20"/>
                <w:szCs w:val="20"/>
              </w:rPr>
              <w:t>3.034</w:t>
            </w:r>
          </w:p>
        </w:tc>
        <w:tc>
          <w:tcPr>
            <w:tcW w:w="253" w:type="pct"/>
            <w:shd w:val="clear" w:color="auto" w:fill="auto"/>
            <w:noWrap/>
            <w:vAlign w:val="center"/>
            <w:hideMark/>
          </w:tcPr>
          <w:p w14:paraId="47F8CD41" w14:textId="77777777" w:rsidR="009D081E" w:rsidRPr="003B7A14" w:rsidRDefault="009D081E" w:rsidP="009A182B">
            <w:pPr>
              <w:jc w:val="center"/>
              <w:rPr>
                <w:sz w:val="20"/>
                <w:szCs w:val="20"/>
              </w:rPr>
            </w:pPr>
            <w:r w:rsidRPr="003B7A14">
              <w:rPr>
                <w:sz w:val="20"/>
                <w:szCs w:val="20"/>
              </w:rPr>
              <w:t>43.12</w:t>
            </w:r>
          </w:p>
        </w:tc>
        <w:tc>
          <w:tcPr>
            <w:tcW w:w="243" w:type="pct"/>
            <w:shd w:val="clear" w:color="auto" w:fill="auto"/>
            <w:noWrap/>
            <w:vAlign w:val="center"/>
            <w:hideMark/>
          </w:tcPr>
          <w:p w14:paraId="2EE70464" w14:textId="77777777" w:rsidR="009D081E" w:rsidRPr="003B7A14" w:rsidRDefault="009D081E" w:rsidP="009A182B">
            <w:pPr>
              <w:jc w:val="center"/>
              <w:rPr>
                <w:sz w:val="20"/>
                <w:szCs w:val="20"/>
              </w:rPr>
            </w:pPr>
            <w:r w:rsidRPr="003B7A14">
              <w:rPr>
                <w:sz w:val="20"/>
                <w:szCs w:val="20"/>
              </w:rPr>
              <w:t>50.32</w:t>
            </w:r>
          </w:p>
        </w:tc>
        <w:tc>
          <w:tcPr>
            <w:tcW w:w="254" w:type="pct"/>
            <w:shd w:val="clear" w:color="auto" w:fill="auto"/>
            <w:noWrap/>
            <w:vAlign w:val="center"/>
            <w:hideMark/>
          </w:tcPr>
          <w:p w14:paraId="6FA038A2" w14:textId="77777777" w:rsidR="009D081E" w:rsidRPr="003B7A14" w:rsidRDefault="009D081E" w:rsidP="009A182B">
            <w:pPr>
              <w:jc w:val="center"/>
              <w:rPr>
                <w:sz w:val="20"/>
                <w:szCs w:val="20"/>
              </w:rPr>
            </w:pPr>
            <w:r w:rsidRPr="003B7A14">
              <w:rPr>
                <w:sz w:val="20"/>
                <w:szCs w:val="20"/>
              </w:rPr>
              <w:t>46.72</w:t>
            </w:r>
          </w:p>
        </w:tc>
      </w:tr>
      <w:tr w:rsidR="003B7A14" w:rsidRPr="003B7A14" w14:paraId="673AA54A" w14:textId="77777777" w:rsidTr="009A182B">
        <w:trPr>
          <w:trHeight w:val="425"/>
        </w:trPr>
        <w:tc>
          <w:tcPr>
            <w:tcW w:w="343" w:type="pct"/>
            <w:shd w:val="clear" w:color="auto" w:fill="auto"/>
            <w:noWrap/>
            <w:vAlign w:val="center"/>
            <w:hideMark/>
          </w:tcPr>
          <w:p w14:paraId="3228BD39"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90</w:t>
            </w:r>
          </w:p>
        </w:tc>
        <w:tc>
          <w:tcPr>
            <w:tcW w:w="253" w:type="pct"/>
            <w:shd w:val="clear" w:color="auto" w:fill="auto"/>
            <w:noWrap/>
            <w:vAlign w:val="center"/>
            <w:hideMark/>
          </w:tcPr>
          <w:p w14:paraId="5FEFF711" w14:textId="77777777" w:rsidR="009D081E" w:rsidRPr="003B7A14" w:rsidRDefault="009D081E" w:rsidP="009A182B">
            <w:pPr>
              <w:widowControl/>
              <w:autoSpaceDE/>
              <w:autoSpaceDN/>
              <w:jc w:val="center"/>
              <w:rPr>
                <w:sz w:val="20"/>
                <w:szCs w:val="20"/>
              </w:rPr>
            </w:pPr>
            <w:r w:rsidRPr="003B7A14">
              <w:rPr>
                <w:sz w:val="20"/>
                <w:szCs w:val="20"/>
              </w:rPr>
              <w:t>0.205</w:t>
            </w:r>
          </w:p>
        </w:tc>
        <w:tc>
          <w:tcPr>
            <w:tcW w:w="254" w:type="pct"/>
            <w:shd w:val="clear" w:color="auto" w:fill="auto"/>
            <w:noWrap/>
            <w:vAlign w:val="center"/>
            <w:hideMark/>
          </w:tcPr>
          <w:p w14:paraId="13E62C55" w14:textId="77777777" w:rsidR="009D081E" w:rsidRPr="003B7A14" w:rsidRDefault="009D081E" w:rsidP="009A182B">
            <w:pPr>
              <w:widowControl/>
              <w:autoSpaceDE/>
              <w:autoSpaceDN/>
              <w:jc w:val="center"/>
              <w:rPr>
                <w:sz w:val="20"/>
                <w:szCs w:val="20"/>
              </w:rPr>
            </w:pPr>
            <w:r w:rsidRPr="003B7A14">
              <w:rPr>
                <w:sz w:val="20"/>
                <w:szCs w:val="20"/>
              </w:rPr>
              <w:t>0.111</w:t>
            </w:r>
          </w:p>
        </w:tc>
        <w:tc>
          <w:tcPr>
            <w:tcW w:w="254" w:type="pct"/>
            <w:shd w:val="clear" w:color="auto" w:fill="auto"/>
            <w:noWrap/>
            <w:vAlign w:val="center"/>
            <w:hideMark/>
          </w:tcPr>
          <w:p w14:paraId="003F749A" w14:textId="77777777" w:rsidR="009D081E" w:rsidRPr="003B7A14" w:rsidRDefault="009D081E" w:rsidP="009A182B">
            <w:pPr>
              <w:widowControl/>
              <w:autoSpaceDE/>
              <w:autoSpaceDN/>
              <w:jc w:val="center"/>
              <w:rPr>
                <w:sz w:val="20"/>
                <w:szCs w:val="20"/>
              </w:rPr>
            </w:pPr>
            <w:r w:rsidRPr="003B7A14">
              <w:rPr>
                <w:sz w:val="20"/>
                <w:szCs w:val="20"/>
              </w:rPr>
              <w:t>0.158</w:t>
            </w:r>
          </w:p>
        </w:tc>
        <w:tc>
          <w:tcPr>
            <w:tcW w:w="254" w:type="pct"/>
            <w:shd w:val="clear" w:color="auto" w:fill="auto"/>
            <w:noWrap/>
            <w:vAlign w:val="center"/>
            <w:hideMark/>
          </w:tcPr>
          <w:p w14:paraId="1D68E282" w14:textId="77777777" w:rsidR="009D081E" w:rsidRPr="003B7A14" w:rsidRDefault="009D081E" w:rsidP="009A182B">
            <w:pPr>
              <w:widowControl/>
              <w:autoSpaceDE/>
              <w:autoSpaceDN/>
              <w:jc w:val="center"/>
              <w:rPr>
                <w:sz w:val="20"/>
                <w:szCs w:val="20"/>
              </w:rPr>
            </w:pPr>
            <w:r w:rsidRPr="003B7A14">
              <w:rPr>
                <w:sz w:val="20"/>
                <w:szCs w:val="20"/>
              </w:rPr>
              <w:t>1.520</w:t>
            </w:r>
          </w:p>
        </w:tc>
        <w:tc>
          <w:tcPr>
            <w:tcW w:w="254" w:type="pct"/>
            <w:shd w:val="clear" w:color="auto" w:fill="auto"/>
            <w:noWrap/>
            <w:vAlign w:val="center"/>
            <w:hideMark/>
          </w:tcPr>
          <w:p w14:paraId="5BC64F4C" w14:textId="77777777" w:rsidR="009D081E" w:rsidRPr="003B7A14" w:rsidRDefault="009D081E" w:rsidP="009A182B">
            <w:pPr>
              <w:widowControl/>
              <w:autoSpaceDE/>
              <w:autoSpaceDN/>
              <w:jc w:val="center"/>
              <w:rPr>
                <w:sz w:val="20"/>
                <w:szCs w:val="20"/>
              </w:rPr>
            </w:pPr>
            <w:r w:rsidRPr="003B7A14">
              <w:rPr>
                <w:sz w:val="20"/>
                <w:szCs w:val="20"/>
              </w:rPr>
              <w:t>1.110</w:t>
            </w:r>
          </w:p>
        </w:tc>
        <w:tc>
          <w:tcPr>
            <w:tcW w:w="253" w:type="pct"/>
            <w:shd w:val="clear" w:color="auto" w:fill="auto"/>
            <w:noWrap/>
            <w:vAlign w:val="center"/>
            <w:hideMark/>
          </w:tcPr>
          <w:p w14:paraId="61DCF611" w14:textId="77777777" w:rsidR="009D081E" w:rsidRPr="003B7A14" w:rsidRDefault="009D081E" w:rsidP="009A182B">
            <w:pPr>
              <w:widowControl/>
              <w:autoSpaceDE/>
              <w:autoSpaceDN/>
              <w:jc w:val="center"/>
              <w:rPr>
                <w:sz w:val="20"/>
                <w:szCs w:val="20"/>
              </w:rPr>
            </w:pPr>
            <w:r w:rsidRPr="003B7A14">
              <w:rPr>
                <w:sz w:val="20"/>
                <w:szCs w:val="20"/>
              </w:rPr>
              <w:t>1.315</w:t>
            </w:r>
          </w:p>
        </w:tc>
        <w:tc>
          <w:tcPr>
            <w:tcW w:w="254" w:type="pct"/>
            <w:shd w:val="clear" w:color="auto" w:fill="auto"/>
            <w:noWrap/>
            <w:vAlign w:val="center"/>
            <w:hideMark/>
          </w:tcPr>
          <w:p w14:paraId="74D8D3BF" w14:textId="77777777" w:rsidR="009D081E" w:rsidRPr="003B7A14" w:rsidRDefault="009D081E" w:rsidP="009A182B">
            <w:pPr>
              <w:widowControl/>
              <w:autoSpaceDE/>
              <w:autoSpaceDN/>
              <w:jc w:val="center"/>
              <w:rPr>
                <w:sz w:val="20"/>
                <w:szCs w:val="20"/>
              </w:rPr>
            </w:pPr>
            <w:r w:rsidRPr="003B7A14">
              <w:rPr>
                <w:sz w:val="20"/>
                <w:szCs w:val="20"/>
              </w:rPr>
              <w:t>2.286</w:t>
            </w:r>
          </w:p>
        </w:tc>
        <w:tc>
          <w:tcPr>
            <w:tcW w:w="253" w:type="pct"/>
            <w:shd w:val="clear" w:color="auto" w:fill="auto"/>
            <w:noWrap/>
            <w:vAlign w:val="center"/>
            <w:hideMark/>
          </w:tcPr>
          <w:p w14:paraId="3D4043F8" w14:textId="77777777" w:rsidR="009D081E" w:rsidRPr="003B7A14" w:rsidRDefault="009D081E" w:rsidP="009A182B">
            <w:pPr>
              <w:widowControl/>
              <w:autoSpaceDE/>
              <w:autoSpaceDN/>
              <w:jc w:val="center"/>
              <w:rPr>
                <w:sz w:val="20"/>
                <w:szCs w:val="20"/>
              </w:rPr>
            </w:pPr>
            <w:r w:rsidRPr="003B7A14">
              <w:rPr>
                <w:sz w:val="20"/>
                <w:szCs w:val="20"/>
              </w:rPr>
              <w:t>3.265</w:t>
            </w:r>
          </w:p>
        </w:tc>
        <w:tc>
          <w:tcPr>
            <w:tcW w:w="304" w:type="pct"/>
            <w:shd w:val="clear" w:color="auto" w:fill="auto"/>
            <w:noWrap/>
            <w:vAlign w:val="center"/>
            <w:hideMark/>
          </w:tcPr>
          <w:p w14:paraId="657C450D" w14:textId="77777777" w:rsidR="009D081E" w:rsidRPr="003B7A14" w:rsidRDefault="009D081E" w:rsidP="009A182B">
            <w:pPr>
              <w:widowControl/>
              <w:autoSpaceDE/>
              <w:autoSpaceDN/>
              <w:jc w:val="center"/>
              <w:rPr>
                <w:sz w:val="20"/>
                <w:szCs w:val="20"/>
              </w:rPr>
            </w:pPr>
            <w:r w:rsidRPr="003B7A14">
              <w:rPr>
                <w:sz w:val="20"/>
                <w:szCs w:val="20"/>
              </w:rPr>
              <w:t>2.775</w:t>
            </w:r>
          </w:p>
        </w:tc>
        <w:tc>
          <w:tcPr>
            <w:tcW w:w="254" w:type="pct"/>
            <w:shd w:val="clear" w:color="auto" w:fill="auto"/>
            <w:noWrap/>
            <w:vAlign w:val="center"/>
            <w:hideMark/>
          </w:tcPr>
          <w:p w14:paraId="6B71FA42" w14:textId="77777777" w:rsidR="009D081E" w:rsidRPr="003B7A14" w:rsidRDefault="009D081E" w:rsidP="009A182B">
            <w:pPr>
              <w:jc w:val="center"/>
              <w:rPr>
                <w:sz w:val="20"/>
                <w:szCs w:val="20"/>
              </w:rPr>
            </w:pPr>
            <w:r w:rsidRPr="003B7A14">
              <w:rPr>
                <w:sz w:val="20"/>
                <w:szCs w:val="20"/>
              </w:rPr>
              <w:t>18.12</w:t>
            </w:r>
          </w:p>
        </w:tc>
        <w:tc>
          <w:tcPr>
            <w:tcW w:w="304" w:type="pct"/>
            <w:shd w:val="clear" w:color="auto" w:fill="auto"/>
            <w:noWrap/>
            <w:vAlign w:val="center"/>
            <w:hideMark/>
          </w:tcPr>
          <w:p w14:paraId="0E9A9D75" w14:textId="77777777" w:rsidR="009D081E" w:rsidRPr="003B7A14" w:rsidRDefault="009D081E" w:rsidP="009A182B">
            <w:pPr>
              <w:jc w:val="center"/>
              <w:rPr>
                <w:sz w:val="20"/>
                <w:szCs w:val="20"/>
              </w:rPr>
            </w:pPr>
            <w:r w:rsidRPr="003B7A14">
              <w:rPr>
                <w:sz w:val="20"/>
                <w:szCs w:val="20"/>
              </w:rPr>
              <w:t>12.05</w:t>
            </w:r>
          </w:p>
        </w:tc>
        <w:tc>
          <w:tcPr>
            <w:tcW w:w="254" w:type="pct"/>
            <w:shd w:val="clear" w:color="auto" w:fill="auto"/>
            <w:noWrap/>
            <w:vAlign w:val="center"/>
            <w:hideMark/>
          </w:tcPr>
          <w:p w14:paraId="5C973F22" w14:textId="77777777" w:rsidR="009D081E" w:rsidRPr="003B7A14" w:rsidRDefault="009D081E" w:rsidP="009A182B">
            <w:pPr>
              <w:jc w:val="center"/>
              <w:rPr>
                <w:sz w:val="20"/>
                <w:szCs w:val="20"/>
              </w:rPr>
            </w:pPr>
            <w:r w:rsidRPr="003B7A14">
              <w:rPr>
                <w:sz w:val="20"/>
                <w:szCs w:val="20"/>
              </w:rPr>
              <w:t>15.09</w:t>
            </w:r>
          </w:p>
        </w:tc>
        <w:tc>
          <w:tcPr>
            <w:tcW w:w="254" w:type="pct"/>
            <w:shd w:val="clear" w:color="auto" w:fill="auto"/>
            <w:noWrap/>
            <w:vAlign w:val="center"/>
            <w:hideMark/>
          </w:tcPr>
          <w:p w14:paraId="315DECF2" w14:textId="77777777" w:rsidR="009D081E" w:rsidRPr="003B7A14" w:rsidRDefault="009D081E" w:rsidP="009A182B">
            <w:pPr>
              <w:widowControl/>
              <w:autoSpaceDE/>
              <w:autoSpaceDN/>
              <w:jc w:val="center"/>
              <w:rPr>
                <w:sz w:val="20"/>
                <w:szCs w:val="20"/>
              </w:rPr>
            </w:pPr>
            <w:r w:rsidRPr="003B7A14">
              <w:rPr>
                <w:sz w:val="20"/>
                <w:szCs w:val="20"/>
              </w:rPr>
              <w:t>3.703</w:t>
            </w:r>
          </w:p>
        </w:tc>
        <w:tc>
          <w:tcPr>
            <w:tcW w:w="254" w:type="pct"/>
            <w:shd w:val="clear" w:color="auto" w:fill="auto"/>
            <w:noWrap/>
            <w:vAlign w:val="center"/>
            <w:hideMark/>
          </w:tcPr>
          <w:p w14:paraId="7B57C179" w14:textId="77777777" w:rsidR="009D081E" w:rsidRPr="003B7A14" w:rsidRDefault="009D081E" w:rsidP="009A182B">
            <w:pPr>
              <w:widowControl/>
              <w:autoSpaceDE/>
              <w:autoSpaceDN/>
              <w:jc w:val="center"/>
              <w:rPr>
                <w:sz w:val="20"/>
                <w:szCs w:val="20"/>
              </w:rPr>
            </w:pPr>
            <w:r w:rsidRPr="003B7A14">
              <w:rPr>
                <w:sz w:val="20"/>
                <w:szCs w:val="20"/>
              </w:rPr>
              <w:t>2.422</w:t>
            </w:r>
          </w:p>
        </w:tc>
        <w:tc>
          <w:tcPr>
            <w:tcW w:w="254" w:type="pct"/>
            <w:shd w:val="clear" w:color="auto" w:fill="auto"/>
            <w:noWrap/>
            <w:vAlign w:val="center"/>
            <w:hideMark/>
          </w:tcPr>
          <w:p w14:paraId="70A63CAF" w14:textId="77777777" w:rsidR="009D081E" w:rsidRPr="003B7A14" w:rsidRDefault="009D081E" w:rsidP="009A182B">
            <w:pPr>
              <w:widowControl/>
              <w:autoSpaceDE/>
              <w:autoSpaceDN/>
              <w:jc w:val="center"/>
              <w:rPr>
                <w:sz w:val="20"/>
                <w:szCs w:val="20"/>
              </w:rPr>
            </w:pPr>
            <w:r w:rsidRPr="003B7A14">
              <w:rPr>
                <w:sz w:val="20"/>
                <w:szCs w:val="20"/>
              </w:rPr>
              <w:t>3.062</w:t>
            </w:r>
          </w:p>
        </w:tc>
        <w:tc>
          <w:tcPr>
            <w:tcW w:w="253" w:type="pct"/>
            <w:shd w:val="clear" w:color="auto" w:fill="auto"/>
            <w:noWrap/>
            <w:vAlign w:val="center"/>
            <w:hideMark/>
          </w:tcPr>
          <w:p w14:paraId="3472FDFC" w14:textId="77777777" w:rsidR="009D081E" w:rsidRPr="003B7A14" w:rsidRDefault="009D081E" w:rsidP="009A182B">
            <w:pPr>
              <w:jc w:val="center"/>
              <w:rPr>
                <w:sz w:val="20"/>
                <w:szCs w:val="20"/>
              </w:rPr>
            </w:pPr>
            <w:r w:rsidRPr="003B7A14">
              <w:rPr>
                <w:sz w:val="20"/>
                <w:szCs w:val="20"/>
              </w:rPr>
              <w:t>43.56</w:t>
            </w:r>
          </w:p>
        </w:tc>
        <w:tc>
          <w:tcPr>
            <w:tcW w:w="243" w:type="pct"/>
            <w:shd w:val="clear" w:color="auto" w:fill="auto"/>
            <w:noWrap/>
            <w:vAlign w:val="center"/>
            <w:hideMark/>
          </w:tcPr>
          <w:p w14:paraId="3A86827E" w14:textId="77777777" w:rsidR="009D081E" w:rsidRPr="003B7A14" w:rsidRDefault="009D081E" w:rsidP="009A182B">
            <w:pPr>
              <w:jc w:val="center"/>
              <w:rPr>
                <w:sz w:val="20"/>
                <w:szCs w:val="20"/>
              </w:rPr>
            </w:pPr>
            <w:r w:rsidRPr="003B7A14">
              <w:rPr>
                <w:sz w:val="20"/>
                <w:szCs w:val="20"/>
              </w:rPr>
              <w:t>50.45</w:t>
            </w:r>
          </w:p>
        </w:tc>
        <w:tc>
          <w:tcPr>
            <w:tcW w:w="254" w:type="pct"/>
            <w:shd w:val="clear" w:color="auto" w:fill="auto"/>
            <w:noWrap/>
            <w:vAlign w:val="center"/>
            <w:hideMark/>
          </w:tcPr>
          <w:p w14:paraId="5548DC5C" w14:textId="77777777" w:rsidR="009D081E" w:rsidRPr="003B7A14" w:rsidRDefault="009D081E" w:rsidP="009A182B">
            <w:pPr>
              <w:jc w:val="center"/>
              <w:rPr>
                <w:sz w:val="20"/>
                <w:szCs w:val="20"/>
              </w:rPr>
            </w:pPr>
            <w:r w:rsidRPr="003B7A14">
              <w:rPr>
                <w:sz w:val="20"/>
                <w:szCs w:val="20"/>
              </w:rPr>
              <w:t>47.00</w:t>
            </w:r>
          </w:p>
        </w:tc>
      </w:tr>
      <w:tr w:rsidR="003B7A14" w:rsidRPr="003B7A14" w14:paraId="5325511F" w14:textId="77777777" w:rsidTr="009A182B">
        <w:trPr>
          <w:trHeight w:val="425"/>
        </w:trPr>
        <w:tc>
          <w:tcPr>
            <w:tcW w:w="343" w:type="pct"/>
            <w:tcBorders>
              <w:bottom w:val="single" w:sz="4" w:space="0" w:color="auto"/>
            </w:tcBorders>
            <w:shd w:val="clear" w:color="auto" w:fill="auto"/>
            <w:noWrap/>
            <w:vAlign w:val="center"/>
            <w:hideMark/>
          </w:tcPr>
          <w:p w14:paraId="4FE3E8FD" w14:textId="77777777" w:rsidR="009D081E" w:rsidRPr="003B7A14" w:rsidRDefault="009D081E" w:rsidP="009A182B">
            <w:pPr>
              <w:widowControl/>
              <w:autoSpaceDE/>
              <w:autoSpaceDN/>
              <w:jc w:val="center"/>
              <w:rPr>
                <w:b/>
                <w:bCs/>
                <w:sz w:val="24"/>
                <w:szCs w:val="20"/>
              </w:rPr>
            </w:pPr>
            <w:r w:rsidRPr="003B7A14">
              <w:rPr>
                <w:b/>
                <w:bCs/>
                <w:szCs w:val="20"/>
              </w:rPr>
              <w:t>Mean</w:t>
            </w:r>
          </w:p>
        </w:tc>
        <w:tc>
          <w:tcPr>
            <w:tcW w:w="253" w:type="pct"/>
            <w:tcBorders>
              <w:bottom w:val="single" w:sz="4" w:space="0" w:color="auto"/>
            </w:tcBorders>
            <w:shd w:val="clear" w:color="auto" w:fill="auto"/>
            <w:noWrap/>
            <w:vAlign w:val="center"/>
            <w:hideMark/>
          </w:tcPr>
          <w:p w14:paraId="756E1B55" w14:textId="77777777" w:rsidR="009D081E" w:rsidRPr="003B7A14" w:rsidRDefault="009D081E" w:rsidP="009A182B">
            <w:pPr>
              <w:widowControl/>
              <w:autoSpaceDE/>
              <w:autoSpaceDN/>
              <w:jc w:val="center"/>
              <w:rPr>
                <w:sz w:val="20"/>
                <w:szCs w:val="20"/>
              </w:rPr>
            </w:pPr>
            <w:r w:rsidRPr="003B7A14">
              <w:rPr>
                <w:sz w:val="20"/>
                <w:szCs w:val="20"/>
              </w:rPr>
              <w:t>0.260</w:t>
            </w:r>
          </w:p>
        </w:tc>
        <w:tc>
          <w:tcPr>
            <w:tcW w:w="254" w:type="pct"/>
            <w:tcBorders>
              <w:bottom w:val="single" w:sz="4" w:space="0" w:color="auto"/>
            </w:tcBorders>
            <w:shd w:val="clear" w:color="auto" w:fill="auto"/>
            <w:noWrap/>
            <w:vAlign w:val="center"/>
            <w:hideMark/>
          </w:tcPr>
          <w:p w14:paraId="1C1B7B86" w14:textId="77777777" w:rsidR="009D081E" w:rsidRPr="003B7A14" w:rsidRDefault="009D081E" w:rsidP="009A182B">
            <w:pPr>
              <w:widowControl/>
              <w:autoSpaceDE/>
              <w:autoSpaceDN/>
              <w:jc w:val="center"/>
              <w:rPr>
                <w:sz w:val="20"/>
                <w:szCs w:val="20"/>
              </w:rPr>
            </w:pPr>
            <w:r w:rsidRPr="003B7A14">
              <w:rPr>
                <w:sz w:val="20"/>
                <w:szCs w:val="20"/>
              </w:rPr>
              <w:t>0.185</w:t>
            </w:r>
          </w:p>
        </w:tc>
        <w:tc>
          <w:tcPr>
            <w:tcW w:w="254" w:type="pct"/>
            <w:tcBorders>
              <w:bottom w:val="single" w:sz="4" w:space="0" w:color="auto"/>
            </w:tcBorders>
            <w:shd w:val="clear" w:color="auto" w:fill="auto"/>
            <w:noWrap/>
            <w:vAlign w:val="center"/>
            <w:hideMark/>
          </w:tcPr>
          <w:p w14:paraId="655E9008"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77C86044" w14:textId="77777777" w:rsidR="009D081E" w:rsidRPr="003B7A14" w:rsidRDefault="009D081E" w:rsidP="009A182B">
            <w:pPr>
              <w:widowControl/>
              <w:autoSpaceDE/>
              <w:autoSpaceDN/>
              <w:jc w:val="center"/>
              <w:rPr>
                <w:sz w:val="20"/>
                <w:szCs w:val="20"/>
              </w:rPr>
            </w:pPr>
            <w:r w:rsidRPr="003B7A14">
              <w:rPr>
                <w:sz w:val="20"/>
                <w:szCs w:val="20"/>
              </w:rPr>
              <w:t>1.706</w:t>
            </w:r>
          </w:p>
        </w:tc>
        <w:tc>
          <w:tcPr>
            <w:tcW w:w="254" w:type="pct"/>
            <w:tcBorders>
              <w:bottom w:val="single" w:sz="4" w:space="0" w:color="auto"/>
            </w:tcBorders>
            <w:shd w:val="clear" w:color="auto" w:fill="auto"/>
            <w:noWrap/>
            <w:vAlign w:val="center"/>
            <w:hideMark/>
          </w:tcPr>
          <w:p w14:paraId="5D21F6FB" w14:textId="77777777" w:rsidR="009D081E" w:rsidRPr="003B7A14" w:rsidRDefault="009D081E" w:rsidP="009A182B">
            <w:pPr>
              <w:widowControl/>
              <w:autoSpaceDE/>
              <w:autoSpaceDN/>
              <w:jc w:val="center"/>
              <w:rPr>
                <w:sz w:val="20"/>
                <w:szCs w:val="20"/>
              </w:rPr>
            </w:pPr>
            <w:r w:rsidRPr="003B7A14">
              <w:rPr>
                <w:sz w:val="20"/>
                <w:szCs w:val="20"/>
              </w:rPr>
              <w:t>1.582</w:t>
            </w:r>
          </w:p>
        </w:tc>
        <w:tc>
          <w:tcPr>
            <w:tcW w:w="253" w:type="pct"/>
            <w:tcBorders>
              <w:bottom w:val="single" w:sz="4" w:space="0" w:color="auto"/>
            </w:tcBorders>
            <w:shd w:val="clear" w:color="auto" w:fill="auto"/>
            <w:noWrap/>
            <w:vAlign w:val="center"/>
            <w:hideMark/>
          </w:tcPr>
          <w:p w14:paraId="7B0CD2C6"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35FEDCBB" w14:textId="77777777" w:rsidR="009D081E" w:rsidRPr="003B7A14" w:rsidRDefault="009D081E" w:rsidP="009A182B">
            <w:pPr>
              <w:widowControl/>
              <w:autoSpaceDE/>
              <w:autoSpaceDN/>
              <w:jc w:val="center"/>
              <w:rPr>
                <w:sz w:val="20"/>
                <w:szCs w:val="20"/>
              </w:rPr>
            </w:pPr>
            <w:r w:rsidRPr="003B7A14">
              <w:rPr>
                <w:sz w:val="20"/>
                <w:szCs w:val="20"/>
              </w:rPr>
              <w:t>1.938</w:t>
            </w:r>
          </w:p>
        </w:tc>
        <w:tc>
          <w:tcPr>
            <w:tcW w:w="253" w:type="pct"/>
            <w:tcBorders>
              <w:bottom w:val="single" w:sz="4" w:space="0" w:color="auto"/>
            </w:tcBorders>
            <w:shd w:val="clear" w:color="auto" w:fill="auto"/>
            <w:noWrap/>
            <w:vAlign w:val="center"/>
            <w:hideMark/>
          </w:tcPr>
          <w:p w14:paraId="0D66D3DE" w14:textId="77777777" w:rsidR="009D081E" w:rsidRPr="003B7A14" w:rsidRDefault="009D081E" w:rsidP="009A182B">
            <w:pPr>
              <w:widowControl/>
              <w:autoSpaceDE/>
              <w:autoSpaceDN/>
              <w:jc w:val="center"/>
              <w:rPr>
                <w:sz w:val="20"/>
                <w:szCs w:val="20"/>
              </w:rPr>
            </w:pPr>
            <w:r w:rsidRPr="003B7A14">
              <w:rPr>
                <w:sz w:val="20"/>
                <w:szCs w:val="20"/>
              </w:rPr>
              <w:t>2.445</w:t>
            </w:r>
          </w:p>
        </w:tc>
        <w:tc>
          <w:tcPr>
            <w:tcW w:w="304" w:type="pct"/>
            <w:tcBorders>
              <w:bottom w:val="single" w:sz="4" w:space="0" w:color="auto"/>
            </w:tcBorders>
            <w:shd w:val="clear" w:color="auto" w:fill="auto"/>
            <w:noWrap/>
            <w:vAlign w:val="center"/>
            <w:hideMark/>
          </w:tcPr>
          <w:p w14:paraId="3CDAAEA3"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2C6A6587" w14:textId="77777777" w:rsidR="009D081E" w:rsidRPr="003B7A14" w:rsidRDefault="009D081E" w:rsidP="009A182B">
            <w:pPr>
              <w:jc w:val="center"/>
              <w:rPr>
                <w:sz w:val="20"/>
                <w:szCs w:val="20"/>
              </w:rPr>
            </w:pPr>
            <w:r w:rsidRPr="003B7A14">
              <w:rPr>
                <w:sz w:val="20"/>
                <w:szCs w:val="20"/>
              </w:rPr>
              <w:t>19.25</w:t>
            </w:r>
          </w:p>
        </w:tc>
        <w:tc>
          <w:tcPr>
            <w:tcW w:w="304" w:type="pct"/>
            <w:tcBorders>
              <w:bottom w:val="single" w:sz="4" w:space="0" w:color="auto"/>
            </w:tcBorders>
            <w:shd w:val="clear" w:color="auto" w:fill="auto"/>
            <w:noWrap/>
            <w:vAlign w:val="center"/>
            <w:hideMark/>
          </w:tcPr>
          <w:p w14:paraId="08C5BC5F" w14:textId="77777777" w:rsidR="009D081E" w:rsidRPr="003B7A14" w:rsidRDefault="009D081E" w:rsidP="009A182B">
            <w:pPr>
              <w:jc w:val="center"/>
              <w:rPr>
                <w:sz w:val="20"/>
                <w:szCs w:val="20"/>
              </w:rPr>
            </w:pPr>
            <w:r w:rsidRPr="003B7A14">
              <w:rPr>
                <w:sz w:val="20"/>
                <w:szCs w:val="20"/>
              </w:rPr>
              <w:t>15.00</w:t>
            </w:r>
          </w:p>
        </w:tc>
        <w:tc>
          <w:tcPr>
            <w:tcW w:w="254" w:type="pct"/>
            <w:tcBorders>
              <w:bottom w:val="single" w:sz="4" w:space="0" w:color="auto"/>
            </w:tcBorders>
            <w:shd w:val="clear" w:color="auto" w:fill="auto"/>
            <w:noWrap/>
            <w:vAlign w:val="center"/>
            <w:hideMark/>
          </w:tcPr>
          <w:p w14:paraId="24D83133" w14:textId="77777777" w:rsidR="009D081E" w:rsidRPr="003B7A14" w:rsidRDefault="009D081E" w:rsidP="009A182B">
            <w:pPr>
              <w:jc w:val="center"/>
              <w:rPr>
                <w:sz w:val="20"/>
                <w:szCs w:val="20"/>
              </w:rPr>
            </w:pPr>
          </w:p>
        </w:tc>
        <w:tc>
          <w:tcPr>
            <w:tcW w:w="254" w:type="pct"/>
            <w:tcBorders>
              <w:bottom w:val="single" w:sz="4" w:space="0" w:color="auto"/>
            </w:tcBorders>
            <w:shd w:val="clear" w:color="auto" w:fill="auto"/>
            <w:noWrap/>
            <w:vAlign w:val="center"/>
            <w:hideMark/>
          </w:tcPr>
          <w:p w14:paraId="14E43D35" w14:textId="77777777" w:rsidR="009D081E" w:rsidRPr="003B7A14" w:rsidRDefault="009D081E" w:rsidP="009A182B">
            <w:pPr>
              <w:widowControl/>
              <w:autoSpaceDE/>
              <w:autoSpaceDN/>
              <w:jc w:val="center"/>
              <w:rPr>
                <w:sz w:val="20"/>
                <w:szCs w:val="20"/>
              </w:rPr>
            </w:pPr>
            <w:r w:rsidRPr="003B7A14">
              <w:rPr>
                <w:sz w:val="20"/>
                <w:szCs w:val="20"/>
              </w:rPr>
              <w:t>3.490</w:t>
            </w:r>
          </w:p>
        </w:tc>
        <w:tc>
          <w:tcPr>
            <w:tcW w:w="254" w:type="pct"/>
            <w:tcBorders>
              <w:bottom w:val="single" w:sz="4" w:space="0" w:color="auto"/>
            </w:tcBorders>
            <w:shd w:val="clear" w:color="auto" w:fill="auto"/>
            <w:noWrap/>
            <w:vAlign w:val="center"/>
            <w:hideMark/>
          </w:tcPr>
          <w:p w14:paraId="130CDF44" w14:textId="77777777" w:rsidR="009D081E" w:rsidRPr="003B7A14" w:rsidRDefault="009D081E" w:rsidP="009A182B">
            <w:pPr>
              <w:widowControl/>
              <w:autoSpaceDE/>
              <w:autoSpaceDN/>
              <w:jc w:val="center"/>
              <w:rPr>
                <w:sz w:val="20"/>
                <w:szCs w:val="20"/>
              </w:rPr>
            </w:pPr>
            <w:r w:rsidRPr="003B7A14">
              <w:rPr>
                <w:sz w:val="20"/>
                <w:szCs w:val="20"/>
              </w:rPr>
              <w:t>3.218</w:t>
            </w:r>
          </w:p>
        </w:tc>
        <w:tc>
          <w:tcPr>
            <w:tcW w:w="254" w:type="pct"/>
            <w:tcBorders>
              <w:bottom w:val="single" w:sz="4" w:space="0" w:color="auto"/>
            </w:tcBorders>
            <w:shd w:val="clear" w:color="auto" w:fill="auto"/>
            <w:noWrap/>
            <w:vAlign w:val="center"/>
            <w:hideMark/>
          </w:tcPr>
          <w:p w14:paraId="6FDDF257" w14:textId="77777777" w:rsidR="009D081E" w:rsidRPr="003B7A14" w:rsidRDefault="009D081E" w:rsidP="009A182B">
            <w:pPr>
              <w:widowControl/>
              <w:autoSpaceDE/>
              <w:autoSpaceDN/>
              <w:jc w:val="center"/>
              <w:rPr>
                <w:sz w:val="20"/>
                <w:szCs w:val="20"/>
              </w:rPr>
            </w:pPr>
          </w:p>
        </w:tc>
        <w:tc>
          <w:tcPr>
            <w:tcW w:w="253" w:type="pct"/>
            <w:tcBorders>
              <w:bottom w:val="single" w:sz="4" w:space="0" w:color="auto"/>
            </w:tcBorders>
            <w:shd w:val="clear" w:color="auto" w:fill="auto"/>
            <w:noWrap/>
            <w:vAlign w:val="center"/>
            <w:hideMark/>
          </w:tcPr>
          <w:p w14:paraId="30A6EE1D" w14:textId="77777777" w:rsidR="009D081E" w:rsidRPr="003B7A14" w:rsidRDefault="009D081E" w:rsidP="009A182B">
            <w:pPr>
              <w:jc w:val="center"/>
              <w:rPr>
                <w:sz w:val="20"/>
                <w:szCs w:val="20"/>
              </w:rPr>
            </w:pPr>
            <w:r w:rsidRPr="003B7A14">
              <w:rPr>
                <w:sz w:val="20"/>
                <w:szCs w:val="20"/>
              </w:rPr>
              <w:t>42.76</w:t>
            </w:r>
          </w:p>
        </w:tc>
        <w:tc>
          <w:tcPr>
            <w:tcW w:w="243" w:type="pct"/>
            <w:tcBorders>
              <w:bottom w:val="single" w:sz="4" w:space="0" w:color="auto"/>
            </w:tcBorders>
            <w:shd w:val="clear" w:color="auto" w:fill="auto"/>
            <w:noWrap/>
            <w:vAlign w:val="center"/>
            <w:hideMark/>
          </w:tcPr>
          <w:p w14:paraId="0F09A7C7" w14:textId="77777777" w:rsidR="009D081E" w:rsidRPr="003B7A14" w:rsidRDefault="009D081E" w:rsidP="009A182B">
            <w:pPr>
              <w:jc w:val="center"/>
              <w:rPr>
                <w:sz w:val="20"/>
                <w:szCs w:val="20"/>
              </w:rPr>
            </w:pPr>
            <w:r w:rsidRPr="003B7A14">
              <w:rPr>
                <w:sz w:val="20"/>
                <w:szCs w:val="20"/>
              </w:rPr>
              <w:t>46.97</w:t>
            </w:r>
          </w:p>
        </w:tc>
        <w:tc>
          <w:tcPr>
            <w:tcW w:w="254" w:type="pct"/>
            <w:tcBorders>
              <w:bottom w:val="single" w:sz="4" w:space="0" w:color="auto"/>
            </w:tcBorders>
            <w:shd w:val="clear" w:color="auto" w:fill="auto"/>
            <w:noWrap/>
            <w:vAlign w:val="center"/>
            <w:hideMark/>
          </w:tcPr>
          <w:p w14:paraId="00763D96" w14:textId="77777777" w:rsidR="009D081E" w:rsidRPr="003B7A14" w:rsidRDefault="009D081E" w:rsidP="009A182B">
            <w:pPr>
              <w:jc w:val="center"/>
              <w:rPr>
                <w:sz w:val="20"/>
                <w:szCs w:val="20"/>
              </w:rPr>
            </w:pPr>
          </w:p>
        </w:tc>
      </w:tr>
      <w:tr w:rsidR="003B7A14" w:rsidRPr="003B7A14" w14:paraId="3DD82C9A" w14:textId="77777777" w:rsidTr="009A182B">
        <w:trPr>
          <w:trHeight w:val="425"/>
        </w:trPr>
        <w:tc>
          <w:tcPr>
            <w:tcW w:w="343" w:type="pct"/>
            <w:tcBorders>
              <w:top w:val="single" w:sz="4" w:space="0" w:color="auto"/>
            </w:tcBorders>
            <w:shd w:val="clear" w:color="auto" w:fill="auto"/>
            <w:noWrap/>
            <w:vAlign w:val="center"/>
            <w:hideMark/>
          </w:tcPr>
          <w:p w14:paraId="59A603DA" w14:textId="77777777" w:rsidR="009D081E" w:rsidRPr="003B7A14" w:rsidRDefault="009D081E" w:rsidP="009A182B">
            <w:pPr>
              <w:widowControl/>
              <w:autoSpaceDE/>
              <w:autoSpaceDN/>
              <w:jc w:val="center"/>
              <w:rPr>
                <w:b/>
                <w:bCs/>
                <w:sz w:val="24"/>
                <w:szCs w:val="20"/>
              </w:rPr>
            </w:pPr>
          </w:p>
        </w:tc>
        <w:tc>
          <w:tcPr>
            <w:tcW w:w="253" w:type="pct"/>
            <w:tcBorders>
              <w:top w:val="single" w:sz="4" w:space="0" w:color="auto"/>
              <w:bottom w:val="single" w:sz="4" w:space="0" w:color="auto"/>
            </w:tcBorders>
            <w:shd w:val="clear" w:color="auto" w:fill="auto"/>
            <w:noWrap/>
            <w:vAlign w:val="center"/>
            <w:hideMark/>
          </w:tcPr>
          <w:p w14:paraId="50EEB59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70B90AD7"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05E1C1A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40CF2512"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65CDF19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28BAF837"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27D12A34"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1E4CC6A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304" w:type="pct"/>
            <w:tcBorders>
              <w:top w:val="single" w:sz="4" w:space="0" w:color="auto"/>
              <w:bottom w:val="single" w:sz="4" w:space="0" w:color="auto"/>
            </w:tcBorders>
            <w:shd w:val="clear" w:color="auto" w:fill="auto"/>
            <w:noWrap/>
            <w:vAlign w:val="center"/>
            <w:hideMark/>
          </w:tcPr>
          <w:p w14:paraId="026E1CF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5559BB7E"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304" w:type="pct"/>
            <w:tcBorders>
              <w:top w:val="single" w:sz="4" w:space="0" w:color="auto"/>
              <w:bottom w:val="single" w:sz="4" w:space="0" w:color="auto"/>
            </w:tcBorders>
            <w:shd w:val="clear" w:color="auto" w:fill="auto"/>
            <w:noWrap/>
            <w:vAlign w:val="center"/>
            <w:hideMark/>
          </w:tcPr>
          <w:p w14:paraId="6E7ABE78"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75E9EF70"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2A93809E"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77B9FAA5"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34D1968F"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6789C749"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43" w:type="pct"/>
            <w:tcBorders>
              <w:top w:val="single" w:sz="4" w:space="0" w:color="auto"/>
              <w:bottom w:val="single" w:sz="4" w:space="0" w:color="auto"/>
            </w:tcBorders>
            <w:shd w:val="clear" w:color="auto" w:fill="auto"/>
            <w:noWrap/>
            <w:vAlign w:val="center"/>
            <w:hideMark/>
          </w:tcPr>
          <w:p w14:paraId="2BAF2578"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793D404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r>
      <w:tr w:rsidR="003B7A14" w:rsidRPr="003B7A14" w14:paraId="35110299" w14:textId="77777777" w:rsidTr="009A182B">
        <w:trPr>
          <w:trHeight w:val="425"/>
        </w:trPr>
        <w:tc>
          <w:tcPr>
            <w:tcW w:w="343" w:type="pct"/>
            <w:shd w:val="clear" w:color="auto" w:fill="auto"/>
            <w:noWrap/>
            <w:vAlign w:val="center"/>
            <w:hideMark/>
          </w:tcPr>
          <w:p w14:paraId="2933E1FE" w14:textId="77777777" w:rsidR="009D081E" w:rsidRPr="003B7A14" w:rsidRDefault="009D081E" w:rsidP="009A182B">
            <w:pPr>
              <w:widowControl/>
              <w:autoSpaceDE/>
              <w:autoSpaceDN/>
              <w:jc w:val="center"/>
              <w:rPr>
                <w:b/>
                <w:bCs/>
                <w:szCs w:val="20"/>
              </w:rPr>
            </w:pPr>
            <w:r w:rsidRPr="003B7A14">
              <w:rPr>
                <w:b/>
                <w:bCs/>
                <w:szCs w:val="20"/>
              </w:rPr>
              <w:t>M</w:t>
            </w:r>
          </w:p>
        </w:tc>
        <w:tc>
          <w:tcPr>
            <w:tcW w:w="253" w:type="pct"/>
            <w:tcBorders>
              <w:top w:val="single" w:sz="4" w:space="0" w:color="auto"/>
            </w:tcBorders>
            <w:shd w:val="clear" w:color="auto" w:fill="auto"/>
            <w:noWrap/>
            <w:vAlign w:val="center"/>
            <w:hideMark/>
          </w:tcPr>
          <w:p w14:paraId="4671A324" w14:textId="77777777" w:rsidR="009D081E" w:rsidRPr="003B7A14" w:rsidRDefault="009D081E" w:rsidP="009A182B">
            <w:pPr>
              <w:widowControl/>
              <w:autoSpaceDE/>
              <w:autoSpaceDN/>
              <w:jc w:val="center"/>
              <w:rPr>
                <w:sz w:val="20"/>
                <w:szCs w:val="20"/>
              </w:rPr>
            </w:pPr>
            <w:r w:rsidRPr="003B7A14">
              <w:rPr>
                <w:bCs/>
                <w:sz w:val="20"/>
                <w:szCs w:val="20"/>
              </w:rPr>
              <w:t>0.064</w:t>
            </w:r>
          </w:p>
        </w:tc>
        <w:tc>
          <w:tcPr>
            <w:tcW w:w="254" w:type="pct"/>
            <w:tcBorders>
              <w:top w:val="single" w:sz="4" w:space="0" w:color="auto"/>
            </w:tcBorders>
            <w:shd w:val="clear" w:color="auto" w:fill="auto"/>
            <w:noWrap/>
            <w:vAlign w:val="center"/>
            <w:hideMark/>
          </w:tcPr>
          <w:p w14:paraId="108C7C11" w14:textId="77777777" w:rsidR="009D081E" w:rsidRPr="003B7A14" w:rsidRDefault="009D081E" w:rsidP="009A182B">
            <w:pPr>
              <w:widowControl/>
              <w:autoSpaceDE/>
              <w:autoSpaceDN/>
              <w:jc w:val="center"/>
              <w:rPr>
                <w:sz w:val="20"/>
                <w:szCs w:val="20"/>
              </w:rPr>
            </w:pPr>
            <w:r w:rsidRPr="003B7A14">
              <w:rPr>
                <w:bCs/>
                <w:sz w:val="20"/>
                <w:szCs w:val="20"/>
              </w:rPr>
              <w:t>0.009</w:t>
            </w:r>
          </w:p>
        </w:tc>
        <w:tc>
          <w:tcPr>
            <w:tcW w:w="254" w:type="pct"/>
            <w:tcBorders>
              <w:top w:val="single" w:sz="4" w:space="0" w:color="auto"/>
            </w:tcBorders>
            <w:shd w:val="clear" w:color="auto" w:fill="auto"/>
            <w:noWrap/>
            <w:vAlign w:val="center"/>
            <w:hideMark/>
          </w:tcPr>
          <w:p w14:paraId="78803F6F" w14:textId="77777777" w:rsidR="009D081E" w:rsidRPr="003B7A14" w:rsidRDefault="009D081E" w:rsidP="009A182B">
            <w:pPr>
              <w:widowControl/>
              <w:autoSpaceDE/>
              <w:autoSpaceDN/>
              <w:jc w:val="center"/>
              <w:rPr>
                <w:sz w:val="20"/>
                <w:szCs w:val="20"/>
              </w:rPr>
            </w:pPr>
            <w:r w:rsidRPr="003B7A14">
              <w:rPr>
                <w:bCs/>
                <w:sz w:val="20"/>
                <w:szCs w:val="20"/>
              </w:rPr>
              <w:t>0.019</w:t>
            </w:r>
          </w:p>
        </w:tc>
        <w:tc>
          <w:tcPr>
            <w:tcW w:w="254" w:type="pct"/>
            <w:tcBorders>
              <w:top w:val="single" w:sz="4" w:space="0" w:color="auto"/>
            </w:tcBorders>
            <w:shd w:val="clear" w:color="auto" w:fill="auto"/>
            <w:noWrap/>
            <w:vAlign w:val="center"/>
            <w:hideMark/>
          </w:tcPr>
          <w:p w14:paraId="6B0E8C6B" w14:textId="77777777" w:rsidR="009D081E" w:rsidRPr="003B7A14" w:rsidRDefault="009D081E" w:rsidP="009A182B">
            <w:pPr>
              <w:widowControl/>
              <w:autoSpaceDE/>
              <w:autoSpaceDN/>
              <w:jc w:val="center"/>
              <w:rPr>
                <w:sz w:val="20"/>
                <w:szCs w:val="20"/>
              </w:rPr>
            </w:pPr>
            <w:r w:rsidRPr="003B7A14">
              <w:rPr>
                <w:bCs/>
                <w:sz w:val="20"/>
                <w:szCs w:val="20"/>
              </w:rPr>
              <w:t>0.023</w:t>
            </w:r>
          </w:p>
        </w:tc>
        <w:tc>
          <w:tcPr>
            <w:tcW w:w="254" w:type="pct"/>
            <w:tcBorders>
              <w:top w:val="single" w:sz="4" w:space="0" w:color="auto"/>
            </w:tcBorders>
            <w:shd w:val="clear" w:color="auto" w:fill="auto"/>
            <w:noWrap/>
            <w:vAlign w:val="center"/>
            <w:hideMark/>
          </w:tcPr>
          <w:p w14:paraId="282DD1E5" w14:textId="77777777" w:rsidR="009D081E" w:rsidRPr="003B7A14" w:rsidRDefault="009D081E" w:rsidP="009A182B">
            <w:pPr>
              <w:widowControl/>
              <w:autoSpaceDE/>
              <w:autoSpaceDN/>
              <w:jc w:val="center"/>
              <w:rPr>
                <w:sz w:val="20"/>
                <w:szCs w:val="20"/>
              </w:rPr>
            </w:pPr>
            <w:r w:rsidRPr="003B7A14">
              <w:rPr>
                <w:bCs/>
                <w:sz w:val="20"/>
                <w:szCs w:val="20"/>
              </w:rPr>
              <w:t>0.034</w:t>
            </w:r>
          </w:p>
        </w:tc>
        <w:tc>
          <w:tcPr>
            <w:tcW w:w="253" w:type="pct"/>
            <w:tcBorders>
              <w:top w:val="single" w:sz="4" w:space="0" w:color="auto"/>
            </w:tcBorders>
            <w:shd w:val="clear" w:color="auto" w:fill="auto"/>
            <w:noWrap/>
            <w:vAlign w:val="center"/>
            <w:hideMark/>
          </w:tcPr>
          <w:p w14:paraId="00D9FCC3" w14:textId="77777777" w:rsidR="009D081E" w:rsidRPr="003B7A14" w:rsidRDefault="009D081E" w:rsidP="009A182B">
            <w:pPr>
              <w:widowControl/>
              <w:autoSpaceDE/>
              <w:autoSpaceDN/>
              <w:jc w:val="center"/>
              <w:rPr>
                <w:sz w:val="20"/>
                <w:szCs w:val="20"/>
              </w:rPr>
            </w:pPr>
            <w:r w:rsidRPr="003B7A14">
              <w:rPr>
                <w:bCs/>
                <w:sz w:val="20"/>
                <w:szCs w:val="20"/>
              </w:rPr>
              <w:t>0.069</w:t>
            </w:r>
          </w:p>
        </w:tc>
        <w:tc>
          <w:tcPr>
            <w:tcW w:w="254" w:type="pct"/>
            <w:tcBorders>
              <w:top w:val="single" w:sz="4" w:space="0" w:color="auto"/>
            </w:tcBorders>
            <w:shd w:val="clear" w:color="auto" w:fill="auto"/>
            <w:noWrap/>
            <w:vAlign w:val="center"/>
            <w:hideMark/>
          </w:tcPr>
          <w:p w14:paraId="45C26BA7" w14:textId="77777777" w:rsidR="009D081E" w:rsidRPr="003B7A14" w:rsidRDefault="009D081E" w:rsidP="009A182B">
            <w:pPr>
              <w:widowControl/>
              <w:autoSpaceDE/>
              <w:autoSpaceDN/>
              <w:jc w:val="center"/>
              <w:rPr>
                <w:sz w:val="20"/>
                <w:szCs w:val="20"/>
              </w:rPr>
            </w:pPr>
            <w:r w:rsidRPr="003B7A14">
              <w:rPr>
                <w:bCs/>
                <w:sz w:val="20"/>
                <w:szCs w:val="20"/>
              </w:rPr>
              <w:t>0.028</w:t>
            </w:r>
          </w:p>
        </w:tc>
        <w:tc>
          <w:tcPr>
            <w:tcW w:w="253" w:type="pct"/>
            <w:tcBorders>
              <w:top w:val="single" w:sz="4" w:space="0" w:color="auto"/>
            </w:tcBorders>
            <w:shd w:val="clear" w:color="auto" w:fill="auto"/>
            <w:noWrap/>
            <w:vAlign w:val="center"/>
            <w:hideMark/>
          </w:tcPr>
          <w:p w14:paraId="4EA8C2F4" w14:textId="77777777" w:rsidR="009D081E" w:rsidRPr="003B7A14" w:rsidRDefault="009D081E" w:rsidP="009A182B">
            <w:pPr>
              <w:widowControl/>
              <w:autoSpaceDE/>
              <w:autoSpaceDN/>
              <w:jc w:val="center"/>
              <w:rPr>
                <w:sz w:val="20"/>
                <w:szCs w:val="20"/>
              </w:rPr>
            </w:pPr>
            <w:r w:rsidRPr="003B7A14">
              <w:rPr>
                <w:bCs/>
                <w:sz w:val="20"/>
                <w:szCs w:val="20"/>
              </w:rPr>
              <w:t>0.04</w:t>
            </w:r>
          </w:p>
        </w:tc>
        <w:tc>
          <w:tcPr>
            <w:tcW w:w="304" w:type="pct"/>
            <w:tcBorders>
              <w:top w:val="single" w:sz="4" w:space="0" w:color="auto"/>
            </w:tcBorders>
            <w:shd w:val="clear" w:color="auto" w:fill="auto"/>
            <w:noWrap/>
            <w:vAlign w:val="center"/>
            <w:hideMark/>
          </w:tcPr>
          <w:p w14:paraId="3B4BF56A" w14:textId="77777777" w:rsidR="009D081E" w:rsidRPr="003B7A14" w:rsidRDefault="009D081E" w:rsidP="009A182B">
            <w:pPr>
              <w:widowControl/>
              <w:autoSpaceDE/>
              <w:autoSpaceDN/>
              <w:jc w:val="center"/>
              <w:rPr>
                <w:sz w:val="20"/>
                <w:szCs w:val="20"/>
              </w:rPr>
            </w:pPr>
            <w:r w:rsidRPr="003B7A14">
              <w:rPr>
                <w:bCs/>
                <w:sz w:val="20"/>
                <w:szCs w:val="20"/>
              </w:rPr>
              <w:t>0.083</w:t>
            </w:r>
          </w:p>
        </w:tc>
        <w:tc>
          <w:tcPr>
            <w:tcW w:w="254" w:type="pct"/>
            <w:tcBorders>
              <w:top w:val="single" w:sz="4" w:space="0" w:color="auto"/>
            </w:tcBorders>
            <w:shd w:val="clear" w:color="auto" w:fill="auto"/>
            <w:noWrap/>
            <w:vAlign w:val="center"/>
            <w:hideMark/>
          </w:tcPr>
          <w:p w14:paraId="6C12B720" w14:textId="77777777" w:rsidR="009D081E" w:rsidRPr="003B7A14" w:rsidRDefault="009D081E" w:rsidP="009A182B">
            <w:pPr>
              <w:widowControl/>
              <w:autoSpaceDE/>
              <w:autoSpaceDN/>
              <w:jc w:val="center"/>
              <w:rPr>
                <w:sz w:val="20"/>
                <w:szCs w:val="20"/>
              </w:rPr>
            </w:pPr>
            <w:r w:rsidRPr="003B7A14">
              <w:rPr>
                <w:bCs/>
                <w:sz w:val="20"/>
                <w:szCs w:val="20"/>
              </w:rPr>
              <w:t>0.591</w:t>
            </w:r>
          </w:p>
        </w:tc>
        <w:tc>
          <w:tcPr>
            <w:tcW w:w="304" w:type="pct"/>
            <w:tcBorders>
              <w:top w:val="single" w:sz="4" w:space="0" w:color="auto"/>
            </w:tcBorders>
            <w:shd w:val="clear" w:color="auto" w:fill="auto"/>
            <w:noWrap/>
            <w:vAlign w:val="center"/>
            <w:hideMark/>
          </w:tcPr>
          <w:p w14:paraId="25083BBD" w14:textId="77777777" w:rsidR="009D081E" w:rsidRPr="003B7A14" w:rsidRDefault="009D081E" w:rsidP="009A182B">
            <w:pPr>
              <w:widowControl/>
              <w:autoSpaceDE/>
              <w:autoSpaceDN/>
              <w:jc w:val="center"/>
              <w:rPr>
                <w:sz w:val="20"/>
                <w:szCs w:val="20"/>
              </w:rPr>
            </w:pPr>
            <w:r w:rsidRPr="003B7A14">
              <w:rPr>
                <w:bCs/>
                <w:sz w:val="20"/>
                <w:szCs w:val="20"/>
              </w:rPr>
              <w:t>0.837</w:t>
            </w:r>
          </w:p>
        </w:tc>
        <w:tc>
          <w:tcPr>
            <w:tcW w:w="254" w:type="pct"/>
            <w:tcBorders>
              <w:top w:val="single" w:sz="4" w:space="0" w:color="auto"/>
            </w:tcBorders>
            <w:shd w:val="clear" w:color="auto" w:fill="auto"/>
            <w:noWrap/>
            <w:vAlign w:val="center"/>
            <w:hideMark/>
          </w:tcPr>
          <w:p w14:paraId="47E897E7" w14:textId="77777777" w:rsidR="009D081E" w:rsidRPr="003B7A14" w:rsidRDefault="009D081E" w:rsidP="009A182B">
            <w:pPr>
              <w:widowControl/>
              <w:autoSpaceDE/>
              <w:autoSpaceDN/>
              <w:jc w:val="center"/>
              <w:rPr>
                <w:sz w:val="20"/>
                <w:szCs w:val="20"/>
              </w:rPr>
            </w:pPr>
            <w:r w:rsidRPr="003B7A14">
              <w:rPr>
                <w:bCs/>
                <w:sz w:val="20"/>
                <w:szCs w:val="20"/>
              </w:rPr>
              <w:t>1.714</w:t>
            </w:r>
          </w:p>
        </w:tc>
        <w:tc>
          <w:tcPr>
            <w:tcW w:w="254" w:type="pct"/>
            <w:tcBorders>
              <w:top w:val="single" w:sz="4" w:space="0" w:color="auto"/>
            </w:tcBorders>
            <w:shd w:val="clear" w:color="auto" w:fill="auto"/>
            <w:noWrap/>
            <w:vAlign w:val="center"/>
            <w:hideMark/>
          </w:tcPr>
          <w:p w14:paraId="41185561" w14:textId="77777777" w:rsidR="009D081E" w:rsidRPr="003B7A14" w:rsidRDefault="009D081E" w:rsidP="009A182B">
            <w:pPr>
              <w:widowControl/>
              <w:autoSpaceDE/>
              <w:autoSpaceDN/>
              <w:jc w:val="center"/>
              <w:rPr>
                <w:sz w:val="20"/>
                <w:szCs w:val="20"/>
              </w:rPr>
            </w:pPr>
            <w:r w:rsidRPr="003B7A14">
              <w:rPr>
                <w:bCs/>
                <w:sz w:val="20"/>
                <w:szCs w:val="20"/>
              </w:rPr>
              <w:t>0.078</w:t>
            </w:r>
          </w:p>
        </w:tc>
        <w:tc>
          <w:tcPr>
            <w:tcW w:w="254" w:type="pct"/>
            <w:tcBorders>
              <w:top w:val="single" w:sz="4" w:space="0" w:color="auto"/>
            </w:tcBorders>
            <w:shd w:val="clear" w:color="auto" w:fill="auto"/>
            <w:noWrap/>
            <w:vAlign w:val="center"/>
            <w:hideMark/>
          </w:tcPr>
          <w:p w14:paraId="5D90499F" w14:textId="77777777" w:rsidR="009D081E" w:rsidRPr="003B7A14" w:rsidRDefault="009D081E" w:rsidP="009A182B">
            <w:pPr>
              <w:widowControl/>
              <w:autoSpaceDE/>
              <w:autoSpaceDN/>
              <w:jc w:val="center"/>
              <w:rPr>
                <w:sz w:val="20"/>
                <w:szCs w:val="20"/>
              </w:rPr>
            </w:pPr>
            <w:r w:rsidRPr="003B7A14">
              <w:rPr>
                <w:bCs/>
                <w:sz w:val="20"/>
                <w:szCs w:val="20"/>
              </w:rPr>
              <w:t>0.111</w:t>
            </w:r>
          </w:p>
        </w:tc>
        <w:tc>
          <w:tcPr>
            <w:tcW w:w="254" w:type="pct"/>
            <w:tcBorders>
              <w:top w:val="single" w:sz="4" w:space="0" w:color="auto"/>
            </w:tcBorders>
            <w:shd w:val="clear" w:color="auto" w:fill="auto"/>
            <w:noWrap/>
            <w:vAlign w:val="center"/>
            <w:hideMark/>
          </w:tcPr>
          <w:p w14:paraId="03653B5F" w14:textId="77777777" w:rsidR="009D081E" w:rsidRPr="003B7A14" w:rsidRDefault="009D081E" w:rsidP="009A182B">
            <w:pPr>
              <w:widowControl/>
              <w:autoSpaceDE/>
              <w:autoSpaceDN/>
              <w:jc w:val="center"/>
              <w:rPr>
                <w:sz w:val="20"/>
                <w:szCs w:val="20"/>
              </w:rPr>
            </w:pPr>
            <w:r w:rsidRPr="003B7A14">
              <w:rPr>
                <w:bCs/>
                <w:sz w:val="20"/>
                <w:szCs w:val="20"/>
              </w:rPr>
              <w:t>0.228</w:t>
            </w:r>
          </w:p>
        </w:tc>
        <w:tc>
          <w:tcPr>
            <w:tcW w:w="253" w:type="pct"/>
            <w:tcBorders>
              <w:top w:val="single" w:sz="4" w:space="0" w:color="auto"/>
            </w:tcBorders>
            <w:shd w:val="clear" w:color="auto" w:fill="auto"/>
            <w:noWrap/>
            <w:vAlign w:val="center"/>
            <w:hideMark/>
          </w:tcPr>
          <w:p w14:paraId="5DA3607C" w14:textId="77777777" w:rsidR="009D081E" w:rsidRPr="003B7A14" w:rsidRDefault="009D081E" w:rsidP="009A182B">
            <w:pPr>
              <w:widowControl/>
              <w:autoSpaceDE/>
              <w:autoSpaceDN/>
              <w:jc w:val="center"/>
              <w:rPr>
                <w:sz w:val="20"/>
                <w:szCs w:val="20"/>
              </w:rPr>
            </w:pPr>
            <w:r w:rsidRPr="003B7A14">
              <w:rPr>
                <w:bCs/>
                <w:sz w:val="20"/>
                <w:szCs w:val="20"/>
              </w:rPr>
              <w:t>0.524</w:t>
            </w:r>
          </w:p>
        </w:tc>
        <w:tc>
          <w:tcPr>
            <w:tcW w:w="243" w:type="pct"/>
            <w:tcBorders>
              <w:top w:val="single" w:sz="4" w:space="0" w:color="auto"/>
            </w:tcBorders>
            <w:shd w:val="clear" w:color="auto" w:fill="auto"/>
            <w:noWrap/>
            <w:vAlign w:val="center"/>
            <w:hideMark/>
          </w:tcPr>
          <w:p w14:paraId="5FB95EFE" w14:textId="77777777" w:rsidR="009D081E" w:rsidRPr="003B7A14" w:rsidRDefault="009D081E" w:rsidP="009A182B">
            <w:pPr>
              <w:widowControl/>
              <w:autoSpaceDE/>
              <w:autoSpaceDN/>
              <w:jc w:val="center"/>
              <w:rPr>
                <w:sz w:val="20"/>
                <w:szCs w:val="20"/>
              </w:rPr>
            </w:pPr>
            <w:r w:rsidRPr="003B7A14">
              <w:rPr>
                <w:bCs/>
                <w:sz w:val="20"/>
                <w:szCs w:val="20"/>
              </w:rPr>
              <w:t>0.742</w:t>
            </w:r>
          </w:p>
        </w:tc>
        <w:tc>
          <w:tcPr>
            <w:tcW w:w="254" w:type="pct"/>
            <w:tcBorders>
              <w:top w:val="single" w:sz="4" w:space="0" w:color="auto"/>
            </w:tcBorders>
            <w:shd w:val="clear" w:color="auto" w:fill="auto"/>
            <w:noWrap/>
            <w:vAlign w:val="center"/>
            <w:hideMark/>
          </w:tcPr>
          <w:p w14:paraId="657E3054" w14:textId="77777777" w:rsidR="009D081E" w:rsidRPr="003B7A14" w:rsidRDefault="009D081E" w:rsidP="009A182B">
            <w:pPr>
              <w:widowControl/>
              <w:autoSpaceDE/>
              <w:autoSpaceDN/>
              <w:jc w:val="center"/>
              <w:rPr>
                <w:sz w:val="20"/>
                <w:szCs w:val="20"/>
              </w:rPr>
            </w:pPr>
            <w:r w:rsidRPr="003B7A14">
              <w:rPr>
                <w:bCs/>
                <w:sz w:val="20"/>
                <w:szCs w:val="20"/>
              </w:rPr>
              <w:t>1.52</w:t>
            </w:r>
          </w:p>
        </w:tc>
      </w:tr>
      <w:tr w:rsidR="003B7A14" w:rsidRPr="003B7A14" w14:paraId="030D3A17" w14:textId="77777777" w:rsidTr="009A182B">
        <w:trPr>
          <w:trHeight w:val="425"/>
        </w:trPr>
        <w:tc>
          <w:tcPr>
            <w:tcW w:w="343" w:type="pct"/>
            <w:shd w:val="clear" w:color="auto" w:fill="auto"/>
            <w:noWrap/>
            <w:vAlign w:val="center"/>
            <w:hideMark/>
          </w:tcPr>
          <w:p w14:paraId="689D79A0" w14:textId="77777777" w:rsidR="009D081E" w:rsidRPr="003B7A14" w:rsidRDefault="009D081E" w:rsidP="009A182B">
            <w:pPr>
              <w:widowControl/>
              <w:autoSpaceDE/>
              <w:autoSpaceDN/>
              <w:jc w:val="center"/>
              <w:rPr>
                <w:b/>
                <w:bCs/>
                <w:szCs w:val="20"/>
              </w:rPr>
            </w:pPr>
            <w:r w:rsidRPr="003B7A14">
              <w:rPr>
                <w:b/>
                <w:bCs/>
                <w:szCs w:val="20"/>
              </w:rPr>
              <w:t>I</w:t>
            </w:r>
          </w:p>
        </w:tc>
        <w:tc>
          <w:tcPr>
            <w:tcW w:w="253" w:type="pct"/>
            <w:shd w:val="clear" w:color="auto" w:fill="auto"/>
            <w:noWrap/>
            <w:vAlign w:val="center"/>
            <w:hideMark/>
          </w:tcPr>
          <w:p w14:paraId="7C4FEB5A" w14:textId="77777777" w:rsidR="009D081E" w:rsidRPr="003B7A14" w:rsidRDefault="009D081E" w:rsidP="009A182B">
            <w:pPr>
              <w:widowControl/>
              <w:autoSpaceDE/>
              <w:autoSpaceDN/>
              <w:jc w:val="center"/>
              <w:rPr>
                <w:sz w:val="20"/>
                <w:szCs w:val="20"/>
              </w:rPr>
            </w:pPr>
            <w:r w:rsidRPr="003B7A14">
              <w:rPr>
                <w:bCs/>
                <w:sz w:val="20"/>
                <w:szCs w:val="20"/>
              </w:rPr>
              <w:t>0.012</w:t>
            </w:r>
          </w:p>
        </w:tc>
        <w:tc>
          <w:tcPr>
            <w:tcW w:w="254" w:type="pct"/>
            <w:shd w:val="clear" w:color="auto" w:fill="auto"/>
            <w:noWrap/>
            <w:vAlign w:val="center"/>
            <w:hideMark/>
          </w:tcPr>
          <w:p w14:paraId="2104E20B" w14:textId="77777777" w:rsidR="009D081E" w:rsidRPr="003B7A14" w:rsidRDefault="009D081E" w:rsidP="009A182B">
            <w:pPr>
              <w:widowControl/>
              <w:autoSpaceDE/>
              <w:autoSpaceDN/>
              <w:jc w:val="center"/>
              <w:rPr>
                <w:sz w:val="20"/>
                <w:szCs w:val="20"/>
              </w:rPr>
            </w:pPr>
            <w:r w:rsidRPr="003B7A14">
              <w:rPr>
                <w:bCs/>
                <w:sz w:val="20"/>
                <w:szCs w:val="20"/>
              </w:rPr>
              <w:t>0.017</w:t>
            </w:r>
          </w:p>
        </w:tc>
        <w:tc>
          <w:tcPr>
            <w:tcW w:w="254" w:type="pct"/>
            <w:shd w:val="clear" w:color="auto" w:fill="auto"/>
            <w:noWrap/>
            <w:vAlign w:val="center"/>
            <w:hideMark/>
          </w:tcPr>
          <w:p w14:paraId="53608DB2" w14:textId="77777777" w:rsidR="009D081E" w:rsidRPr="003B7A14" w:rsidRDefault="009D081E" w:rsidP="009A182B">
            <w:pPr>
              <w:widowControl/>
              <w:autoSpaceDE/>
              <w:autoSpaceDN/>
              <w:jc w:val="center"/>
              <w:rPr>
                <w:sz w:val="20"/>
                <w:szCs w:val="20"/>
              </w:rPr>
            </w:pPr>
            <w:r w:rsidRPr="003B7A14">
              <w:rPr>
                <w:bCs/>
                <w:sz w:val="20"/>
                <w:szCs w:val="20"/>
              </w:rPr>
              <w:t>0.035</w:t>
            </w:r>
          </w:p>
        </w:tc>
        <w:tc>
          <w:tcPr>
            <w:tcW w:w="254" w:type="pct"/>
            <w:shd w:val="clear" w:color="auto" w:fill="auto"/>
            <w:noWrap/>
            <w:vAlign w:val="center"/>
            <w:hideMark/>
          </w:tcPr>
          <w:p w14:paraId="3A28CD5E" w14:textId="77777777" w:rsidR="009D081E" w:rsidRPr="003B7A14" w:rsidRDefault="009D081E" w:rsidP="009A182B">
            <w:pPr>
              <w:widowControl/>
              <w:autoSpaceDE/>
              <w:autoSpaceDN/>
              <w:jc w:val="center"/>
              <w:rPr>
                <w:sz w:val="20"/>
                <w:szCs w:val="20"/>
              </w:rPr>
            </w:pPr>
            <w:r w:rsidRPr="003B7A14">
              <w:rPr>
                <w:bCs/>
                <w:sz w:val="20"/>
                <w:szCs w:val="20"/>
              </w:rPr>
              <w:t>0.044</w:t>
            </w:r>
          </w:p>
        </w:tc>
        <w:tc>
          <w:tcPr>
            <w:tcW w:w="254" w:type="pct"/>
            <w:shd w:val="clear" w:color="auto" w:fill="auto"/>
            <w:noWrap/>
            <w:vAlign w:val="center"/>
            <w:hideMark/>
          </w:tcPr>
          <w:p w14:paraId="4A5B519C" w14:textId="77777777" w:rsidR="009D081E" w:rsidRPr="003B7A14" w:rsidRDefault="009D081E" w:rsidP="009A182B">
            <w:pPr>
              <w:widowControl/>
              <w:autoSpaceDE/>
              <w:autoSpaceDN/>
              <w:jc w:val="center"/>
              <w:rPr>
                <w:sz w:val="20"/>
                <w:szCs w:val="20"/>
              </w:rPr>
            </w:pPr>
            <w:r w:rsidRPr="003B7A14">
              <w:rPr>
                <w:bCs/>
                <w:sz w:val="20"/>
                <w:szCs w:val="20"/>
              </w:rPr>
              <w:t>0.063</w:t>
            </w:r>
          </w:p>
        </w:tc>
        <w:tc>
          <w:tcPr>
            <w:tcW w:w="253" w:type="pct"/>
            <w:shd w:val="clear" w:color="auto" w:fill="auto"/>
            <w:noWrap/>
            <w:vAlign w:val="center"/>
            <w:hideMark/>
          </w:tcPr>
          <w:p w14:paraId="2C56ABEF" w14:textId="77777777" w:rsidR="009D081E" w:rsidRPr="003B7A14" w:rsidRDefault="009D081E" w:rsidP="009A182B">
            <w:pPr>
              <w:widowControl/>
              <w:autoSpaceDE/>
              <w:autoSpaceDN/>
              <w:jc w:val="center"/>
              <w:rPr>
                <w:sz w:val="20"/>
                <w:szCs w:val="20"/>
              </w:rPr>
            </w:pPr>
            <w:r w:rsidRPr="003B7A14">
              <w:rPr>
                <w:bCs/>
                <w:sz w:val="20"/>
                <w:szCs w:val="20"/>
              </w:rPr>
              <w:t>0.129</w:t>
            </w:r>
          </w:p>
        </w:tc>
        <w:tc>
          <w:tcPr>
            <w:tcW w:w="254" w:type="pct"/>
            <w:shd w:val="clear" w:color="auto" w:fill="auto"/>
            <w:noWrap/>
            <w:vAlign w:val="center"/>
            <w:hideMark/>
          </w:tcPr>
          <w:p w14:paraId="140EB6A2" w14:textId="77777777" w:rsidR="009D081E" w:rsidRPr="003B7A14" w:rsidRDefault="009D081E" w:rsidP="009A182B">
            <w:pPr>
              <w:widowControl/>
              <w:autoSpaceDE/>
              <w:autoSpaceDN/>
              <w:jc w:val="center"/>
              <w:rPr>
                <w:sz w:val="20"/>
                <w:szCs w:val="20"/>
              </w:rPr>
            </w:pPr>
            <w:r w:rsidRPr="003B7A14">
              <w:rPr>
                <w:bCs/>
                <w:sz w:val="20"/>
                <w:szCs w:val="20"/>
              </w:rPr>
              <w:t>0.053</w:t>
            </w:r>
          </w:p>
        </w:tc>
        <w:tc>
          <w:tcPr>
            <w:tcW w:w="253" w:type="pct"/>
            <w:shd w:val="clear" w:color="auto" w:fill="auto"/>
            <w:noWrap/>
            <w:vAlign w:val="center"/>
            <w:hideMark/>
          </w:tcPr>
          <w:p w14:paraId="13813148" w14:textId="77777777" w:rsidR="009D081E" w:rsidRPr="003B7A14" w:rsidRDefault="009D081E" w:rsidP="009A182B">
            <w:pPr>
              <w:widowControl/>
              <w:autoSpaceDE/>
              <w:autoSpaceDN/>
              <w:jc w:val="center"/>
              <w:rPr>
                <w:sz w:val="20"/>
                <w:szCs w:val="20"/>
              </w:rPr>
            </w:pPr>
            <w:r w:rsidRPr="003B7A14">
              <w:rPr>
                <w:bCs/>
                <w:sz w:val="20"/>
                <w:szCs w:val="20"/>
              </w:rPr>
              <w:t>0.076</w:t>
            </w:r>
          </w:p>
        </w:tc>
        <w:tc>
          <w:tcPr>
            <w:tcW w:w="304" w:type="pct"/>
            <w:shd w:val="clear" w:color="auto" w:fill="auto"/>
            <w:noWrap/>
            <w:vAlign w:val="center"/>
            <w:hideMark/>
          </w:tcPr>
          <w:p w14:paraId="5E4C551F" w14:textId="77777777" w:rsidR="009D081E" w:rsidRPr="003B7A14" w:rsidRDefault="009D081E" w:rsidP="009A182B">
            <w:pPr>
              <w:widowControl/>
              <w:autoSpaceDE/>
              <w:autoSpaceDN/>
              <w:jc w:val="center"/>
              <w:rPr>
                <w:sz w:val="20"/>
                <w:szCs w:val="20"/>
              </w:rPr>
            </w:pPr>
            <w:r w:rsidRPr="003B7A14">
              <w:rPr>
                <w:bCs/>
                <w:sz w:val="20"/>
                <w:szCs w:val="20"/>
              </w:rPr>
              <w:t>0.155</w:t>
            </w:r>
          </w:p>
        </w:tc>
        <w:tc>
          <w:tcPr>
            <w:tcW w:w="254" w:type="pct"/>
            <w:shd w:val="clear" w:color="auto" w:fill="auto"/>
            <w:noWrap/>
            <w:vAlign w:val="center"/>
            <w:hideMark/>
          </w:tcPr>
          <w:p w14:paraId="316A686B" w14:textId="77777777" w:rsidR="009D081E" w:rsidRPr="003B7A14" w:rsidRDefault="009D081E" w:rsidP="009A182B">
            <w:pPr>
              <w:widowControl/>
              <w:autoSpaceDE/>
              <w:autoSpaceDN/>
              <w:jc w:val="center"/>
              <w:rPr>
                <w:sz w:val="20"/>
                <w:szCs w:val="20"/>
              </w:rPr>
            </w:pPr>
            <w:r w:rsidRPr="003B7A14">
              <w:rPr>
                <w:bCs/>
                <w:sz w:val="20"/>
                <w:szCs w:val="20"/>
              </w:rPr>
              <w:t>1.107</w:t>
            </w:r>
          </w:p>
        </w:tc>
        <w:tc>
          <w:tcPr>
            <w:tcW w:w="304" w:type="pct"/>
            <w:shd w:val="clear" w:color="auto" w:fill="auto"/>
            <w:noWrap/>
            <w:vAlign w:val="center"/>
            <w:hideMark/>
          </w:tcPr>
          <w:p w14:paraId="5A34A8C3" w14:textId="77777777" w:rsidR="009D081E" w:rsidRPr="003B7A14" w:rsidRDefault="009D081E" w:rsidP="009A182B">
            <w:pPr>
              <w:widowControl/>
              <w:autoSpaceDE/>
              <w:autoSpaceDN/>
              <w:jc w:val="center"/>
              <w:rPr>
                <w:sz w:val="20"/>
                <w:szCs w:val="20"/>
              </w:rPr>
            </w:pPr>
            <w:r w:rsidRPr="003B7A14">
              <w:rPr>
                <w:bCs/>
                <w:sz w:val="20"/>
                <w:szCs w:val="20"/>
              </w:rPr>
              <w:t>1.566</w:t>
            </w:r>
          </w:p>
        </w:tc>
        <w:tc>
          <w:tcPr>
            <w:tcW w:w="254" w:type="pct"/>
            <w:shd w:val="clear" w:color="auto" w:fill="auto"/>
            <w:noWrap/>
            <w:vAlign w:val="center"/>
            <w:hideMark/>
          </w:tcPr>
          <w:p w14:paraId="313B1D27" w14:textId="77777777" w:rsidR="009D081E" w:rsidRPr="003B7A14" w:rsidRDefault="009D081E" w:rsidP="009A182B">
            <w:pPr>
              <w:widowControl/>
              <w:autoSpaceDE/>
              <w:autoSpaceDN/>
              <w:jc w:val="center"/>
              <w:rPr>
                <w:sz w:val="20"/>
                <w:szCs w:val="20"/>
              </w:rPr>
            </w:pPr>
            <w:r w:rsidRPr="003B7A14">
              <w:rPr>
                <w:bCs/>
                <w:sz w:val="20"/>
                <w:szCs w:val="20"/>
              </w:rPr>
              <w:t>3.207</w:t>
            </w:r>
          </w:p>
        </w:tc>
        <w:tc>
          <w:tcPr>
            <w:tcW w:w="254" w:type="pct"/>
            <w:shd w:val="clear" w:color="auto" w:fill="auto"/>
            <w:noWrap/>
            <w:vAlign w:val="center"/>
            <w:hideMark/>
          </w:tcPr>
          <w:p w14:paraId="43DA329D" w14:textId="77777777" w:rsidR="009D081E" w:rsidRPr="003B7A14" w:rsidRDefault="009D081E" w:rsidP="009A182B">
            <w:pPr>
              <w:widowControl/>
              <w:autoSpaceDE/>
              <w:autoSpaceDN/>
              <w:jc w:val="center"/>
              <w:rPr>
                <w:sz w:val="20"/>
                <w:szCs w:val="20"/>
              </w:rPr>
            </w:pPr>
            <w:r w:rsidRPr="003B7A14">
              <w:rPr>
                <w:bCs/>
                <w:sz w:val="20"/>
                <w:szCs w:val="20"/>
              </w:rPr>
              <w:t>0.147</w:t>
            </w:r>
          </w:p>
        </w:tc>
        <w:tc>
          <w:tcPr>
            <w:tcW w:w="254" w:type="pct"/>
            <w:shd w:val="clear" w:color="auto" w:fill="auto"/>
            <w:noWrap/>
            <w:vAlign w:val="center"/>
            <w:hideMark/>
          </w:tcPr>
          <w:p w14:paraId="24D49BE3" w14:textId="77777777" w:rsidR="009D081E" w:rsidRPr="003B7A14" w:rsidRDefault="009D081E" w:rsidP="009A182B">
            <w:pPr>
              <w:widowControl/>
              <w:autoSpaceDE/>
              <w:autoSpaceDN/>
              <w:jc w:val="center"/>
              <w:rPr>
                <w:sz w:val="20"/>
                <w:szCs w:val="20"/>
              </w:rPr>
            </w:pPr>
            <w:r w:rsidRPr="003B7A14">
              <w:rPr>
                <w:bCs/>
                <w:sz w:val="20"/>
                <w:szCs w:val="20"/>
              </w:rPr>
              <w:t>0.208</w:t>
            </w:r>
          </w:p>
        </w:tc>
        <w:tc>
          <w:tcPr>
            <w:tcW w:w="254" w:type="pct"/>
            <w:shd w:val="clear" w:color="auto" w:fill="auto"/>
            <w:noWrap/>
            <w:vAlign w:val="center"/>
            <w:hideMark/>
          </w:tcPr>
          <w:p w14:paraId="0B6D07B2" w14:textId="77777777" w:rsidR="009D081E" w:rsidRPr="003B7A14" w:rsidRDefault="009D081E" w:rsidP="009A182B">
            <w:pPr>
              <w:widowControl/>
              <w:autoSpaceDE/>
              <w:autoSpaceDN/>
              <w:jc w:val="center"/>
              <w:rPr>
                <w:sz w:val="20"/>
                <w:szCs w:val="20"/>
              </w:rPr>
            </w:pPr>
            <w:r w:rsidRPr="003B7A14">
              <w:rPr>
                <w:bCs/>
                <w:sz w:val="20"/>
                <w:szCs w:val="20"/>
              </w:rPr>
              <w:t>0.427</w:t>
            </w:r>
          </w:p>
        </w:tc>
        <w:tc>
          <w:tcPr>
            <w:tcW w:w="253" w:type="pct"/>
            <w:shd w:val="clear" w:color="auto" w:fill="auto"/>
            <w:noWrap/>
            <w:vAlign w:val="center"/>
            <w:hideMark/>
          </w:tcPr>
          <w:p w14:paraId="70CCDBED" w14:textId="77777777" w:rsidR="009D081E" w:rsidRPr="003B7A14" w:rsidRDefault="009D081E" w:rsidP="009A182B">
            <w:pPr>
              <w:widowControl/>
              <w:autoSpaceDE/>
              <w:autoSpaceDN/>
              <w:jc w:val="center"/>
              <w:rPr>
                <w:sz w:val="20"/>
                <w:szCs w:val="20"/>
              </w:rPr>
            </w:pPr>
            <w:r w:rsidRPr="003B7A14">
              <w:rPr>
                <w:bCs/>
                <w:sz w:val="20"/>
                <w:szCs w:val="20"/>
              </w:rPr>
              <w:t>0.981</w:t>
            </w:r>
          </w:p>
        </w:tc>
        <w:tc>
          <w:tcPr>
            <w:tcW w:w="243" w:type="pct"/>
            <w:shd w:val="clear" w:color="auto" w:fill="auto"/>
            <w:noWrap/>
            <w:vAlign w:val="center"/>
            <w:hideMark/>
          </w:tcPr>
          <w:p w14:paraId="7E1E1000" w14:textId="77777777" w:rsidR="009D081E" w:rsidRPr="003B7A14" w:rsidRDefault="009D081E" w:rsidP="009A182B">
            <w:pPr>
              <w:widowControl/>
              <w:autoSpaceDE/>
              <w:autoSpaceDN/>
              <w:jc w:val="center"/>
              <w:rPr>
                <w:sz w:val="20"/>
                <w:szCs w:val="20"/>
              </w:rPr>
            </w:pPr>
            <w:r w:rsidRPr="003B7A14">
              <w:rPr>
                <w:bCs/>
                <w:sz w:val="20"/>
                <w:szCs w:val="20"/>
              </w:rPr>
              <w:t>1.388</w:t>
            </w:r>
          </w:p>
        </w:tc>
        <w:tc>
          <w:tcPr>
            <w:tcW w:w="254" w:type="pct"/>
            <w:shd w:val="clear" w:color="auto" w:fill="auto"/>
            <w:noWrap/>
            <w:vAlign w:val="center"/>
            <w:hideMark/>
          </w:tcPr>
          <w:p w14:paraId="6258C868" w14:textId="77777777" w:rsidR="009D081E" w:rsidRPr="003B7A14" w:rsidRDefault="009D081E" w:rsidP="009A182B">
            <w:pPr>
              <w:widowControl/>
              <w:autoSpaceDE/>
              <w:autoSpaceDN/>
              <w:jc w:val="center"/>
              <w:rPr>
                <w:sz w:val="20"/>
                <w:szCs w:val="20"/>
              </w:rPr>
            </w:pPr>
            <w:r w:rsidRPr="003B7A14">
              <w:rPr>
                <w:bCs/>
                <w:sz w:val="20"/>
                <w:szCs w:val="20"/>
              </w:rPr>
              <w:t>2.843</w:t>
            </w:r>
          </w:p>
        </w:tc>
      </w:tr>
      <w:tr w:rsidR="003B7A14" w:rsidRPr="003B7A14" w14:paraId="1E4A734D" w14:textId="77777777" w:rsidTr="009A182B">
        <w:trPr>
          <w:trHeight w:val="425"/>
        </w:trPr>
        <w:tc>
          <w:tcPr>
            <w:tcW w:w="343" w:type="pct"/>
            <w:tcBorders>
              <w:bottom w:val="single" w:sz="4" w:space="0" w:color="auto"/>
            </w:tcBorders>
            <w:shd w:val="clear" w:color="auto" w:fill="auto"/>
            <w:noWrap/>
            <w:vAlign w:val="center"/>
            <w:hideMark/>
          </w:tcPr>
          <w:p w14:paraId="2D7A44F2" w14:textId="77777777" w:rsidR="009D081E" w:rsidRPr="003B7A14" w:rsidRDefault="009D081E" w:rsidP="009A182B">
            <w:pPr>
              <w:widowControl/>
              <w:autoSpaceDE/>
              <w:autoSpaceDN/>
              <w:jc w:val="center"/>
              <w:rPr>
                <w:b/>
                <w:bCs/>
                <w:szCs w:val="20"/>
              </w:rPr>
            </w:pPr>
            <w:r w:rsidRPr="003B7A14">
              <w:rPr>
                <w:b/>
                <w:bCs/>
                <w:szCs w:val="20"/>
              </w:rPr>
              <w:t>M × I</w:t>
            </w:r>
          </w:p>
        </w:tc>
        <w:tc>
          <w:tcPr>
            <w:tcW w:w="253" w:type="pct"/>
            <w:tcBorders>
              <w:bottom w:val="single" w:sz="4" w:space="0" w:color="auto"/>
            </w:tcBorders>
            <w:shd w:val="clear" w:color="auto" w:fill="auto"/>
            <w:noWrap/>
            <w:vAlign w:val="center"/>
            <w:hideMark/>
          </w:tcPr>
          <w:p w14:paraId="46B3C16C" w14:textId="77777777" w:rsidR="009D081E" w:rsidRPr="003B7A14" w:rsidRDefault="009D081E" w:rsidP="009A182B">
            <w:pPr>
              <w:widowControl/>
              <w:autoSpaceDE/>
              <w:autoSpaceDN/>
              <w:jc w:val="center"/>
              <w:rPr>
                <w:sz w:val="20"/>
                <w:szCs w:val="20"/>
              </w:rPr>
            </w:pPr>
            <w:r w:rsidRPr="003B7A14">
              <w:rPr>
                <w:bCs/>
                <w:sz w:val="20"/>
                <w:szCs w:val="20"/>
              </w:rPr>
              <w:t>0.017</w:t>
            </w:r>
          </w:p>
        </w:tc>
        <w:tc>
          <w:tcPr>
            <w:tcW w:w="254" w:type="pct"/>
            <w:tcBorders>
              <w:bottom w:val="single" w:sz="4" w:space="0" w:color="auto"/>
            </w:tcBorders>
            <w:shd w:val="clear" w:color="auto" w:fill="auto"/>
            <w:noWrap/>
            <w:vAlign w:val="center"/>
            <w:hideMark/>
          </w:tcPr>
          <w:p w14:paraId="79101DFA" w14:textId="77777777" w:rsidR="009D081E" w:rsidRPr="003B7A14" w:rsidRDefault="009D081E" w:rsidP="009A182B">
            <w:pPr>
              <w:widowControl/>
              <w:autoSpaceDE/>
              <w:autoSpaceDN/>
              <w:jc w:val="center"/>
              <w:rPr>
                <w:sz w:val="20"/>
                <w:szCs w:val="20"/>
              </w:rPr>
            </w:pPr>
            <w:r w:rsidRPr="003B7A14">
              <w:rPr>
                <w:bCs/>
                <w:sz w:val="20"/>
                <w:szCs w:val="20"/>
              </w:rPr>
              <w:t>0.024</w:t>
            </w:r>
          </w:p>
        </w:tc>
        <w:tc>
          <w:tcPr>
            <w:tcW w:w="254" w:type="pct"/>
            <w:tcBorders>
              <w:bottom w:val="single" w:sz="4" w:space="0" w:color="auto"/>
            </w:tcBorders>
            <w:shd w:val="clear" w:color="auto" w:fill="auto"/>
            <w:noWrap/>
            <w:vAlign w:val="center"/>
            <w:hideMark/>
          </w:tcPr>
          <w:p w14:paraId="7A5B068A" w14:textId="77777777" w:rsidR="009D081E" w:rsidRPr="003B7A14" w:rsidRDefault="009D081E" w:rsidP="009A182B">
            <w:pPr>
              <w:widowControl/>
              <w:autoSpaceDE/>
              <w:autoSpaceDN/>
              <w:jc w:val="center"/>
              <w:rPr>
                <w:sz w:val="20"/>
                <w:szCs w:val="20"/>
              </w:rPr>
            </w:pPr>
            <w:r w:rsidRPr="003B7A14">
              <w:rPr>
                <w:bCs/>
                <w:sz w:val="20"/>
                <w:szCs w:val="20"/>
              </w:rPr>
              <w:t>0.049</w:t>
            </w:r>
          </w:p>
        </w:tc>
        <w:tc>
          <w:tcPr>
            <w:tcW w:w="254" w:type="pct"/>
            <w:tcBorders>
              <w:bottom w:val="single" w:sz="4" w:space="0" w:color="auto"/>
            </w:tcBorders>
            <w:shd w:val="clear" w:color="auto" w:fill="auto"/>
            <w:noWrap/>
            <w:vAlign w:val="center"/>
            <w:hideMark/>
          </w:tcPr>
          <w:p w14:paraId="1116CCC1"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4" w:type="pct"/>
            <w:tcBorders>
              <w:bottom w:val="single" w:sz="4" w:space="0" w:color="auto"/>
            </w:tcBorders>
            <w:shd w:val="clear" w:color="auto" w:fill="auto"/>
            <w:noWrap/>
            <w:vAlign w:val="center"/>
            <w:hideMark/>
          </w:tcPr>
          <w:p w14:paraId="32B9BBE4" w14:textId="77777777" w:rsidR="009D081E" w:rsidRPr="003B7A14" w:rsidRDefault="009D081E" w:rsidP="009A182B">
            <w:pPr>
              <w:widowControl/>
              <w:autoSpaceDE/>
              <w:autoSpaceDN/>
              <w:jc w:val="center"/>
              <w:rPr>
                <w:sz w:val="20"/>
                <w:szCs w:val="20"/>
              </w:rPr>
            </w:pPr>
            <w:r w:rsidRPr="003B7A14">
              <w:rPr>
                <w:bCs/>
                <w:sz w:val="20"/>
                <w:szCs w:val="20"/>
              </w:rPr>
              <w:t>0.089</w:t>
            </w:r>
          </w:p>
        </w:tc>
        <w:tc>
          <w:tcPr>
            <w:tcW w:w="253" w:type="pct"/>
            <w:tcBorders>
              <w:bottom w:val="single" w:sz="4" w:space="0" w:color="auto"/>
            </w:tcBorders>
            <w:shd w:val="clear" w:color="auto" w:fill="auto"/>
            <w:noWrap/>
            <w:vAlign w:val="center"/>
            <w:hideMark/>
          </w:tcPr>
          <w:p w14:paraId="1A69E103" w14:textId="77777777" w:rsidR="009D081E" w:rsidRPr="003B7A14" w:rsidRDefault="009D081E" w:rsidP="009A182B">
            <w:pPr>
              <w:widowControl/>
              <w:autoSpaceDE/>
              <w:autoSpaceDN/>
              <w:jc w:val="center"/>
              <w:rPr>
                <w:sz w:val="20"/>
                <w:szCs w:val="20"/>
              </w:rPr>
            </w:pPr>
            <w:r w:rsidRPr="003B7A14">
              <w:rPr>
                <w:bCs/>
                <w:sz w:val="20"/>
                <w:szCs w:val="20"/>
              </w:rPr>
              <w:t>0.182</w:t>
            </w:r>
          </w:p>
        </w:tc>
        <w:tc>
          <w:tcPr>
            <w:tcW w:w="254" w:type="pct"/>
            <w:tcBorders>
              <w:bottom w:val="single" w:sz="4" w:space="0" w:color="auto"/>
            </w:tcBorders>
            <w:shd w:val="clear" w:color="auto" w:fill="auto"/>
            <w:noWrap/>
            <w:vAlign w:val="center"/>
            <w:hideMark/>
          </w:tcPr>
          <w:p w14:paraId="6AE9F8FE" w14:textId="77777777" w:rsidR="009D081E" w:rsidRPr="003B7A14" w:rsidRDefault="009D081E" w:rsidP="009A182B">
            <w:pPr>
              <w:widowControl/>
              <w:autoSpaceDE/>
              <w:autoSpaceDN/>
              <w:jc w:val="center"/>
              <w:rPr>
                <w:sz w:val="20"/>
                <w:szCs w:val="20"/>
              </w:rPr>
            </w:pPr>
            <w:r w:rsidRPr="003B7A14">
              <w:rPr>
                <w:bCs/>
                <w:sz w:val="20"/>
                <w:szCs w:val="20"/>
              </w:rPr>
              <w:t>0.075</w:t>
            </w:r>
          </w:p>
        </w:tc>
        <w:tc>
          <w:tcPr>
            <w:tcW w:w="253" w:type="pct"/>
            <w:tcBorders>
              <w:bottom w:val="single" w:sz="4" w:space="0" w:color="auto"/>
            </w:tcBorders>
            <w:shd w:val="clear" w:color="auto" w:fill="auto"/>
            <w:noWrap/>
            <w:vAlign w:val="center"/>
            <w:hideMark/>
          </w:tcPr>
          <w:p w14:paraId="2D021E5D" w14:textId="77777777" w:rsidR="009D081E" w:rsidRPr="003B7A14" w:rsidRDefault="009D081E" w:rsidP="009A182B">
            <w:pPr>
              <w:widowControl/>
              <w:autoSpaceDE/>
              <w:autoSpaceDN/>
              <w:jc w:val="center"/>
              <w:rPr>
                <w:sz w:val="20"/>
                <w:szCs w:val="20"/>
              </w:rPr>
            </w:pPr>
            <w:r w:rsidRPr="003B7A14">
              <w:rPr>
                <w:bCs/>
                <w:sz w:val="20"/>
                <w:szCs w:val="20"/>
              </w:rPr>
              <w:t>0.107</w:t>
            </w:r>
          </w:p>
        </w:tc>
        <w:tc>
          <w:tcPr>
            <w:tcW w:w="304" w:type="pct"/>
            <w:tcBorders>
              <w:bottom w:val="single" w:sz="4" w:space="0" w:color="auto"/>
            </w:tcBorders>
            <w:shd w:val="clear" w:color="auto" w:fill="auto"/>
            <w:noWrap/>
            <w:vAlign w:val="center"/>
            <w:hideMark/>
          </w:tcPr>
          <w:p w14:paraId="45539373" w14:textId="77777777" w:rsidR="009D081E" w:rsidRPr="003B7A14" w:rsidRDefault="009D081E" w:rsidP="009A182B">
            <w:pPr>
              <w:widowControl/>
              <w:autoSpaceDE/>
              <w:autoSpaceDN/>
              <w:jc w:val="center"/>
              <w:rPr>
                <w:sz w:val="20"/>
                <w:szCs w:val="20"/>
              </w:rPr>
            </w:pPr>
            <w:r w:rsidRPr="003B7A14">
              <w:rPr>
                <w:bCs/>
                <w:sz w:val="20"/>
                <w:szCs w:val="20"/>
              </w:rPr>
              <w:t>0.219</w:t>
            </w:r>
          </w:p>
        </w:tc>
        <w:tc>
          <w:tcPr>
            <w:tcW w:w="254" w:type="pct"/>
            <w:tcBorders>
              <w:bottom w:val="single" w:sz="4" w:space="0" w:color="auto"/>
            </w:tcBorders>
            <w:shd w:val="clear" w:color="auto" w:fill="auto"/>
            <w:noWrap/>
            <w:vAlign w:val="center"/>
            <w:hideMark/>
          </w:tcPr>
          <w:p w14:paraId="324C8F6D" w14:textId="77777777" w:rsidR="009D081E" w:rsidRPr="003B7A14" w:rsidRDefault="009D081E" w:rsidP="009A182B">
            <w:pPr>
              <w:widowControl/>
              <w:autoSpaceDE/>
              <w:autoSpaceDN/>
              <w:jc w:val="center"/>
              <w:rPr>
                <w:sz w:val="20"/>
                <w:szCs w:val="20"/>
              </w:rPr>
            </w:pPr>
            <w:r w:rsidRPr="003B7A14">
              <w:rPr>
                <w:bCs/>
                <w:sz w:val="20"/>
                <w:szCs w:val="20"/>
              </w:rPr>
              <w:t>1.566</w:t>
            </w:r>
          </w:p>
        </w:tc>
        <w:tc>
          <w:tcPr>
            <w:tcW w:w="304" w:type="pct"/>
            <w:tcBorders>
              <w:bottom w:val="single" w:sz="4" w:space="0" w:color="auto"/>
            </w:tcBorders>
            <w:shd w:val="clear" w:color="auto" w:fill="auto"/>
            <w:noWrap/>
            <w:vAlign w:val="center"/>
            <w:hideMark/>
          </w:tcPr>
          <w:p w14:paraId="3E270A9C" w14:textId="77777777" w:rsidR="009D081E" w:rsidRPr="003B7A14" w:rsidRDefault="009D081E" w:rsidP="009A182B">
            <w:pPr>
              <w:widowControl/>
              <w:autoSpaceDE/>
              <w:autoSpaceDN/>
              <w:jc w:val="center"/>
              <w:rPr>
                <w:sz w:val="20"/>
                <w:szCs w:val="20"/>
              </w:rPr>
            </w:pPr>
            <w:r w:rsidRPr="003B7A14">
              <w:rPr>
                <w:bCs/>
                <w:sz w:val="20"/>
                <w:szCs w:val="20"/>
              </w:rPr>
              <w:t>2.215</w:t>
            </w:r>
          </w:p>
        </w:tc>
        <w:tc>
          <w:tcPr>
            <w:tcW w:w="254" w:type="pct"/>
            <w:tcBorders>
              <w:bottom w:val="single" w:sz="4" w:space="0" w:color="auto"/>
            </w:tcBorders>
            <w:shd w:val="clear" w:color="auto" w:fill="auto"/>
            <w:noWrap/>
            <w:vAlign w:val="center"/>
            <w:hideMark/>
          </w:tcPr>
          <w:p w14:paraId="7ACEDD7B" w14:textId="77777777" w:rsidR="009D081E" w:rsidRPr="003B7A14" w:rsidRDefault="009D081E" w:rsidP="009A182B">
            <w:pPr>
              <w:widowControl/>
              <w:autoSpaceDE/>
              <w:autoSpaceDN/>
              <w:jc w:val="center"/>
              <w:rPr>
                <w:sz w:val="20"/>
                <w:szCs w:val="20"/>
              </w:rPr>
            </w:pPr>
            <w:r w:rsidRPr="003B7A14">
              <w:rPr>
                <w:bCs/>
                <w:sz w:val="20"/>
                <w:szCs w:val="20"/>
              </w:rPr>
              <w:t>NS</w:t>
            </w:r>
          </w:p>
        </w:tc>
        <w:tc>
          <w:tcPr>
            <w:tcW w:w="254" w:type="pct"/>
            <w:tcBorders>
              <w:bottom w:val="single" w:sz="4" w:space="0" w:color="auto"/>
            </w:tcBorders>
            <w:shd w:val="clear" w:color="auto" w:fill="auto"/>
            <w:noWrap/>
            <w:vAlign w:val="center"/>
            <w:hideMark/>
          </w:tcPr>
          <w:p w14:paraId="6D13BD94" w14:textId="77777777" w:rsidR="009D081E" w:rsidRPr="003B7A14" w:rsidRDefault="009D081E" w:rsidP="009A182B">
            <w:pPr>
              <w:widowControl/>
              <w:autoSpaceDE/>
              <w:autoSpaceDN/>
              <w:jc w:val="center"/>
              <w:rPr>
                <w:sz w:val="20"/>
                <w:szCs w:val="20"/>
              </w:rPr>
            </w:pPr>
            <w:r w:rsidRPr="003B7A14">
              <w:rPr>
                <w:bCs/>
                <w:sz w:val="20"/>
                <w:szCs w:val="20"/>
              </w:rPr>
              <w:t>0.208</w:t>
            </w:r>
          </w:p>
        </w:tc>
        <w:tc>
          <w:tcPr>
            <w:tcW w:w="254" w:type="pct"/>
            <w:tcBorders>
              <w:bottom w:val="single" w:sz="4" w:space="0" w:color="auto"/>
            </w:tcBorders>
            <w:shd w:val="clear" w:color="auto" w:fill="auto"/>
            <w:noWrap/>
            <w:vAlign w:val="center"/>
            <w:hideMark/>
          </w:tcPr>
          <w:p w14:paraId="295CC762" w14:textId="77777777" w:rsidR="009D081E" w:rsidRPr="003B7A14" w:rsidRDefault="009D081E" w:rsidP="009A182B">
            <w:pPr>
              <w:widowControl/>
              <w:autoSpaceDE/>
              <w:autoSpaceDN/>
              <w:jc w:val="center"/>
              <w:rPr>
                <w:sz w:val="20"/>
                <w:szCs w:val="20"/>
              </w:rPr>
            </w:pPr>
            <w:r w:rsidRPr="003B7A14">
              <w:rPr>
                <w:bCs/>
                <w:sz w:val="20"/>
                <w:szCs w:val="20"/>
              </w:rPr>
              <w:t>0.295</w:t>
            </w:r>
          </w:p>
        </w:tc>
        <w:tc>
          <w:tcPr>
            <w:tcW w:w="254" w:type="pct"/>
            <w:tcBorders>
              <w:bottom w:val="single" w:sz="4" w:space="0" w:color="auto"/>
            </w:tcBorders>
            <w:shd w:val="clear" w:color="auto" w:fill="auto"/>
            <w:noWrap/>
            <w:vAlign w:val="center"/>
            <w:hideMark/>
          </w:tcPr>
          <w:p w14:paraId="6759D4BD" w14:textId="77777777" w:rsidR="009D081E" w:rsidRPr="003B7A14" w:rsidRDefault="009D081E" w:rsidP="009A182B">
            <w:pPr>
              <w:widowControl/>
              <w:autoSpaceDE/>
              <w:autoSpaceDN/>
              <w:jc w:val="center"/>
              <w:rPr>
                <w:sz w:val="20"/>
                <w:szCs w:val="20"/>
              </w:rPr>
            </w:pPr>
            <w:r w:rsidRPr="003B7A14">
              <w:rPr>
                <w:bCs/>
                <w:sz w:val="20"/>
                <w:szCs w:val="20"/>
              </w:rPr>
              <w:t>0.604</w:t>
            </w:r>
          </w:p>
        </w:tc>
        <w:tc>
          <w:tcPr>
            <w:tcW w:w="253" w:type="pct"/>
            <w:tcBorders>
              <w:bottom w:val="single" w:sz="4" w:space="0" w:color="auto"/>
            </w:tcBorders>
            <w:shd w:val="clear" w:color="auto" w:fill="auto"/>
            <w:noWrap/>
            <w:vAlign w:val="center"/>
            <w:hideMark/>
          </w:tcPr>
          <w:p w14:paraId="7C434434" w14:textId="77777777" w:rsidR="009D081E" w:rsidRPr="003B7A14" w:rsidRDefault="009D081E" w:rsidP="009A182B">
            <w:pPr>
              <w:widowControl/>
              <w:autoSpaceDE/>
              <w:autoSpaceDN/>
              <w:jc w:val="center"/>
              <w:rPr>
                <w:sz w:val="20"/>
                <w:szCs w:val="20"/>
              </w:rPr>
            </w:pPr>
            <w:r w:rsidRPr="003B7A14">
              <w:rPr>
                <w:bCs/>
                <w:sz w:val="20"/>
                <w:szCs w:val="20"/>
              </w:rPr>
              <w:t>1.388</w:t>
            </w:r>
          </w:p>
        </w:tc>
        <w:tc>
          <w:tcPr>
            <w:tcW w:w="243" w:type="pct"/>
            <w:tcBorders>
              <w:bottom w:val="single" w:sz="4" w:space="0" w:color="auto"/>
            </w:tcBorders>
            <w:shd w:val="clear" w:color="auto" w:fill="auto"/>
            <w:noWrap/>
            <w:vAlign w:val="center"/>
            <w:hideMark/>
          </w:tcPr>
          <w:p w14:paraId="3B9C6E29" w14:textId="77777777" w:rsidR="009D081E" w:rsidRPr="003B7A14" w:rsidRDefault="009D081E" w:rsidP="009A182B">
            <w:pPr>
              <w:widowControl/>
              <w:autoSpaceDE/>
              <w:autoSpaceDN/>
              <w:jc w:val="center"/>
              <w:rPr>
                <w:sz w:val="20"/>
                <w:szCs w:val="20"/>
              </w:rPr>
            </w:pPr>
            <w:r w:rsidRPr="003B7A14">
              <w:rPr>
                <w:bCs/>
                <w:sz w:val="20"/>
                <w:szCs w:val="20"/>
              </w:rPr>
              <w:t>1.963</w:t>
            </w:r>
          </w:p>
        </w:tc>
        <w:tc>
          <w:tcPr>
            <w:tcW w:w="254" w:type="pct"/>
            <w:tcBorders>
              <w:bottom w:val="single" w:sz="4" w:space="0" w:color="auto"/>
            </w:tcBorders>
            <w:shd w:val="clear" w:color="auto" w:fill="auto"/>
            <w:noWrap/>
            <w:vAlign w:val="center"/>
            <w:hideMark/>
          </w:tcPr>
          <w:p w14:paraId="7B3AEAB1" w14:textId="77777777" w:rsidR="009D081E" w:rsidRPr="003B7A14" w:rsidRDefault="009D081E" w:rsidP="009A182B">
            <w:pPr>
              <w:widowControl/>
              <w:autoSpaceDE/>
              <w:autoSpaceDN/>
              <w:jc w:val="center"/>
              <w:rPr>
                <w:sz w:val="20"/>
                <w:szCs w:val="20"/>
              </w:rPr>
            </w:pPr>
            <w:r w:rsidRPr="003B7A14">
              <w:rPr>
                <w:bCs/>
                <w:sz w:val="20"/>
                <w:szCs w:val="20"/>
              </w:rPr>
              <w:t>4.021</w:t>
            </w:r>
          </w:p>
        </w:tc>
      </w:tr>
      <w:tr w:rsidR="003B7A14" w:rsidRPr="003B7A14" w14:paraId="7184D6A8" w14:textId="77777777" w:rsidTr="009A182B">
        <w:trPr>
          <w:trHeight w:val="425"/>
        </w:trPr>
        <w:tc>
          <w:tcPr>
            <w:tcW w:w="343" w:type="pct"/>
            <w:tcBorders>
              <w:top w:val="single" w:sz="4" w:space="0" w:color="auto"/>
              <w:bottom w:val="single" w:sz="12" w:space="0" w:color="auto"/>
            </w:tcBorders>
            <w:shd w:val="clear" w:color="auto" w:fill="auto"/>
            <w:noWrap/>
            <w:vAlign w:val="center"/>
            <w:hideMark/>
          </w:tcPr>
          <w:p w14:paraId="29361323" w14:textId="77777777" w:rsidR="009D081E" w:rsidRPr="003B7A14" w:rsidRDefault="009D081E" w:rsidP="009A182B">
            <w:pPr>
              <w:widowControl/>
              <w:autoSpaceDE/>
              <w:autoSpaceDN/>
              <w:jc w:val="center"/>
              <w:rPr>
                <w:b/>
                <w:bCs/>
                <w:szCs w:val="20"/>
              </w:rPr>
            </w:pPr>
            <w:r w:rsidRPr="003B7A14">
              <w:rPr>
                <w:b/>
                <w:bCs/>
                <w:szCs w:val="20"/>
              </w:rPr>
              <w:t>CV (%)</w:t>
            </w:r>
          </w:p>
        </w:tc>
        <w:tc>
          <w:tcPr>
            <w:tcW w:w="761" w:type="pct"/>
            <w:gridSpan w:val="3"/>
            <w:tcBorders>
              <w:top w:val="single" w:sz="4" w:space="0" w:color="auto"/>
              <w:bottom w:val="single" w:sz="12" w:space="0" w:color="auto"/>
            </w:tcBorders>
            <w:shd w:val="clear" w:color="auto" w:fill="auto"/>
            <w:noWrap/>
            <w:vAlign w:val="center"/>
            <w:hideMark/>
          </w:tcPr>
          <w:p w14:paraId="1A88E81B" w14:textId="77777777" w:rsidR="009D081E" w:rsidRPr="003B7A14" w:rsidRDefault="009D081E" w:rsidP="009A182B">
            <w:pPr>
              <w:widowControl/>
              <w:autoSpaceDE/>
              <w:autoSpaceDN/>
              <w:jc w:val="center"/>
              <w:rPr>
                <w:sz w:val="20"/>
                <w:szCs w:val="20"/>
              </w:rPr>
            </w:pPr>
            <w:r w:rsidRPr="003B7A14">
              <w:rPr>
                <w:sz w:val="20"/>
                <w:szCs w:val="20"/>
              </w:rPr>
              <w:t>13.260</w:t>
            </w:r>
          </w:p>
        </w:tc>
        <w:tc>
          <w:tcPr>
            <w:tcW w:w="761" w:type="pct"/>
            <w:gridSpan w:val="3"/>
            <w:tcBorders>
              <w:top w:val="single" w:sz="4" w:space="0" w:color="auto"/>
              <w:bottom w:val="single" w:sz="12" w:space="0" w:color="auto"/>
            </w:tcBorders>
            <w:shd w:val="clear" w:color="auto" w:fill="auto"/>
            <w:noWrap/>
            <w:vAlign w:val="center"/>
            <w:hideMark/>
          </w:tcPr>
          <w:p w14:paraId="113D04BD" w14:textId="77777777" w:rsidR="009D081E" w:rsidRPr="003B7A14" w:rsidRDefault="009D081E" w:rsidP="009A182B">
            <w:pPr>
              <w:widowControl/>
              <w:autoSpaceDE/>
              <w:autoSpaceDN/>
              <w:jc w:val="center"/>
              <w:rPr>
                <w:sz w:val="20"/>
                <w:szCs w:val="20"/>
              </w:rPr>
            </w:pPr>
            <w:r w:rsidRPr="003B7A14">
              <w:rPr>
                <w:sz w:val="20"/>
                <w:szCs w:val="20"/>
              </w:rPr>
              <w:t>6.618</w:t>
            </w:r>
          </w:p>
        </w:tc>
        <w:tc>
          <w:tcPr>
            <w:tcW w:w="811" w:type="pct"/>
            <w:gridSpan w:val="3"/>
            <w:tcBorders>
              <w:top w:val="single" w:sz="4" w:space="0" w:color="auto"/>
              <w:bottom w:val="single" w:sz="12" w:space="0" w:color="auto"/>
            </w:tcBorders>
            <w:shd w:val="clear" w:color="auto" w:fill="auto"/>
            <w:noWrap/>
            <w:vAlign w:val="center"/>
            <w:hideMark/>
          </w:tcPr>
          <w:p w14:paraId="6CEB9196" w14:textId="77777777" w:rsidR="009D081E" w:rsidRPr="003B7A14" w:rsidRDefault="009D081E" w:rsidP="009A182B">
            <w:pPr>
              <w:widowControl/>
              <w:autoSpaceDE/>
              <w:autoSpaceDN/>
              <w:jc w:val="center"/>
              <w:rPr>
                <w:sz w:val="20"/>
                <w:szCs w:val="20"/>
              </w:rPr>
            </w:pPr>
            <w:r w:rsidRPr="003B7A14">
              <w:rPr>
                <w:sz w:val="20"/>
                <w:szCs w:val="20"/>
              </w:rPr>
              <w:t>5.973</w:t>
            </w:r>
          </w:p>
        </w:tc>
        <w:tc>
          <w:tcPr>
            <w:tcW w:w="812" w:type="pct"/>
            <w:gridSpan w:val="3"/>
            <w:tcBorders>
              <w:top w:val="single" w:sz="4" w:space="0" w:color="auto"/>
              <w:bottom w:val="single" w:sz="12" w:space="0" w:color="auto"/>
            </w:tcBorders>
            <w:shd w:val="clear" w:color="auto" w:fill="auto"/>
            <w:noWrap/>
            <w:vAlign w:val="center"/>
            <w:hideMark/>
          </w:tcPr>
          <w:p w14:paraId="243D19E9" w14:textId="77777777" w:rsidR="009D081E" w:rsidRPr="003B7A14" w:rsidRDefault="009D081E" w:rsidP="009A182B">
            <w:pPr>
              <w:widowControl/>
              <w:autoSpaceDE/>
              <w:autoSpaceDN/>
              <w:jc w:val="center"/>
              <w:rPr>
                <w:sz w:val="20"/>
                <w:szCs w:val="20"/>
              </w:rPr>
            </w:pPr>
            <w:r w:rsidRPr="003B7A14">
              <w:rPr>
                <w:sz w:val="20"/>
                <w:szCs w:val="20"/>
              </w:rPr>
              <w:t>15.837</w:t>
            </w:r>
          </w:p>
        </w:tc>
        <w:tc>
          <w:tcPr>
            <w:tcW w:w="762" w:type="pct"/>
            <w:gridSpan w:val="3"/>
            <w:tcBorders>
              <w:top w:val="single" w:sz="4" w:space="0" w:color="auto"/>
              <w:bottom w:val="single" w:sz="12" w:space="0" w:color="auto"/>
            </w:tcBorders>
            <w:shd w:val="clear" w:color="auto" w:fill="auto"/>
            <w:noWrap/>
            <w:vAlign w:val="center"/>
            <w:hideMark/>
          </w:tcPr>
          <w:p w14:paraId="5717C135" w14:textId="77777777" w:rsidR="009D081E" w:rsidRPr="003B7A14" w:rsidRDefault="009D081E" w:rsidP="009A182B">
            <w:pPr>
              <w:widowControl/>
              <w:autoSpaceDE/>
              <w:autoSpaceDN/>
              <w:jc w:val="center"/>
              <w:rPr>
                <w:sz w:val="20"/>
                <w:szCs w:val="20"/>
              </w:rPr>
            </w:pPr>
            <w:r w:rsidRPr="003B7A14">
              <w:rPr>
                <w:sz w:val="20"/>
                <w:szCs w:val="20"/>
              </w:rPr>
              <w:t>10.766</w:t>
            </w:r>
          </w:p>
        </w:tc>
        <w:tc>
          <w:tcPr>
            <w:tcW w:w="750" w:type="pct"/>
            <w:gridSpan w:val="3"/>
            <w:tcBorders>
              <w:top w:val="single" w:sz="4" w:space="0" w:color="auto"/>
              <w:bottom w:val="single" w:sz="12" w:space="0" w:color="auto"/>
            </w:tcBorders>
            <w:shd w:val="clear" w:color="auto" w:fill="auto"/>
            <w:noWrap/>
            <w:vAlign w:val="center"/>
            <w:hideMark/>
          </w:tcPr>
          <w:p w14:paraId="455BE59F" w14:textId="77777777" w:rsidR="009D081E" w:rsidRPr="003B7A14" w:rsidRDefault="009D081E" w:rsidP="009A182B">
            <w:pPr>
              <w:widowControl/>
              <w:autoSpaceDE/>
              <w:autoSpaceDN/>
              <w:jc w:val="center"/>
              <w:rPr>
                <w:sz w:val="20"/>
                <w:szCs w:val="20"/>
              </w:rPr>
            </w:pPr>
            <w:r w:rsidRPr="003B7A14">
              <w:rPr>
                <w:sz w:val="20"/>
                <w:szCs w:val="20"/>
              </w:rPr>
              <w:t>5.360</w:t>
            </w:r>
          </w:p>
        </w:tc>
      </w:tr>
    </w:tbl>
    <w:p w14:paraId="102BD954" w14:textId="77777777" w:rsidR="009D081E" w:rsidRPr="003B7A14" w:rsidRDefault="009D081E" w:rsidP="009D081E">
      <w:pPr>
        <w:spacing w:line="360" w:lineRule="auto"/>
        <w:rPr>
          <w:rFonts w:ascii="Cambria" w:eastAsiaTheme="minorHAnsi" w:hAnsi="Cambria" w:cstheme="minorHAnsi"/>
          <w:sz w:val="24"/>
          <w:szCs w:val="24"/>
        </w:rPr>
      </w:pPr>
    </w:p>
    <w:p w14:paraId="7D3D2D60" w14:textId="77777777" w:rsidR="009D081E" w:rsidRPr="003B7A14" w:rsidRDefault="009D081E" w:rsidP="009D081E">
      <w:pPr>
        <w:spacing w:line="360" w:lineRule="auto"/>
        <w:jc w:val="center"/>
        <w:rPr>
          <w:rFonts w:ascii="Cambria" w:eastAsiaTheme="minorHAnsi" w:hAnsi="Cambria" w:cstheme="minorHAnsi"/>
          <w:sz w:val="24"/>
          <w:szCs w:val="24"/>
        </w:rPr>
      </w:pPr>
    </w:p>
    <w:p w14:paraId="2F02AF1E" w14:textId="77777777" w:rsidR="009D081E" w:rsidRPr="003B7A14" w:rsidRDefault="009D081E" w:rsidP="009D081E">
      <w:pPr>
        <w:spacing w:line="360" w:lineRule="auto"/>
        <w:jc w:val="center"/>
        <w:rPr>
          <w:rFonts w:ascii="Cambria" w:eastAsiaTheme="minorHAnsi" w:hAnsi="Cambria" w:cstheme="minorHAnsi"/>
          <w:sz w:val="24"/>
          <w:szCs w:val="24"/>
        </w:rPr>
      </w:pPr>
    </w:p>
    <w:tbl>
      <w:tblPr>
        <w:tblpPr w:leftFromText="180" w:rightFromText="180" w:vertAnchor="page" w:horzAnchor="margin" w:tblpXSpec="center" w:tblpY="2476"/>
        <w:tblW w:w="4874" w:type="pct"/>
        <w:tblLayout w:type="fixed"/>
        <w:tblLook w:val="04A0" w:firstRow="1" w:lastRow="0" w:firstColumn="1" w:lastColumn="0" w:noHBand="0" w:noVBand="1"/>
      </w:tblPr>
      <w:tblGrid>
        <w:gridCol w:w="736"/>
        <w:gridCol w:w="700"/>
        <w:gridCol w:w="839"/>
        <w:gridCol w:w="710"/>
        <w:gridCol w:w="838"/>
        <w:gridCol w:w="699"/>
        <w:gridCol w:w="697"/>
        <w:gridCol w:w="699"/>
        <w:gridCol w:w="697"/>
        <w:gridCol w:w="699"/>
        <w:gridCol w:w="699"/>
        <w:gridCol w:w="697"/>
        <w:gridCol w:w="699"/>
        <w:gridCol w:w="697"/>
        <w:gridCol w:w="729"/>
        <w:gridCol w:w="699"/>
        <w:gridCol w:w="699"/>
        <w:gridCol w:w="699"/>
        <w:gridCol w:w="675"/>
      </w:tblGrid>
      <w:tr w:rsidR="003B7A14" w:rsidRPr="003B7A14" w14:paraId="75312D3B" w14:textId="77777777" w:rsidTr="009A182B">
        <w:trPr>
          <w:trHeight w:val="360"/>
        </w:trPr>
        <w:tc>
          <w:tcPr>
            <w:tcW w:w="5000" w:type="pct"/>
            <w:gridSpan w:val="19"/>
            <w:tcBorders>
              <w:bottom w:val="single" w:sz="12" w:space="0" w:color="auto"/>
            </w:tcBorders>
            <w:shd w:val="clear" w:color="auto" w:fill="auto"/>
            <w:noWrap/>
            <w:vAlign w:val="center"/>
            <w:hideMark/>
          </w:tcPr>
          <w:p w14:paraId="1504D377" w14:textId="633D2D8D" w:rsidR="009D081E" w:rsidRPr="003B7A14" w:rsidRDefault="009D081E" w:rsidP="009A182B">
            <w:pPr>
              <w:widowControl/>
              <w:autoSpaceDE/>
              <w:autoSpaceDN/>
              <w:jc w:val="both"/>
              <w:rPr>
                <w:b/>
                <w:bCs/>
                <w:sz w:val="24"/>
                <w:szCs w:val="24"/>
              </w:rPr>
            </w:pPr>
            <w:r w:rsidRPr="003B7A14">
              <w:rPr>
                <w:b/>
                <w:bCs/>
                <w:sz w:val="24"/>
                <w:szCs w:val="24"/>
              </w:rPr>
              <w:lastRenderedPageBreak/>
              <w:t>Table 2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soil-2 (S2)</w:t>
            </w:r>
          </w:p>
        </w:tc>
      </w:tr>
      <w:tr w:rsidR="003B7A14" w:rsidRPr="003B7A14" w14:paraId="30F22AC0" w14:textId="77777777" w:rsidTr="009A182B">
        <w:trPr>
          <w:trHeight w:val="300"/>
        </w:trPr>
        <w:tc>
          <w:tcPr>
            <w:tcW w:w="270" w:type="pct"/>
            <w:tcBorders>
              <w:top w:val="single" w:sz="12" w:space="0" w:color="auto"/>
            </w:tcBorders>
            <w:shd w:val="clear" w:color="auto" w:fill="auto"/>
            <w:noWrap/>
            <w:vAlign w:val="center"/>
            <w:hideMark/>
          </w:tcPr>
          <w:p w14:paraId="7AA128B1" w14:textId="77777777" w:rsidR="009D081E" w:rsidRPr="003B7A14" w:rsidRDefault="009D081E" w:rsidP="009A182B">
            <w:pPr>
              <w:widowControl/>
              <w:autoSpaceDE/>
              <w:autoSpaceDN/>
              <w:jc w:val="center"/>
              <w:rPr>
                <w:b/>
                <w:bCs/>
              </w:rPr>
            </w:pPr>
          </w:p>
        </w:tc>
        <w:tc>
          <w:tcPr>
            <w:tcW w:w="826" w:type="pct"/>
            <w:gridSpan w:val="3"/>
            <w:tcBorders>
              <w:top w:val="single" w:sz="12" w:space="0" w:color="auto"/>
              <w:bottom w:val="single" w:sz="4" w:space="0" w:color="auto"/>
            </w:tcBorders>
            <w:shd w:val="clear" w:color="auto" w:fill="auto"/>
            <w:noWrap/>
            <w:vAlign w:val="center"/>
            <w:hideMark/>
          </w:tcPr>
          <w:p w14:paraId="13A2FCAC" w14:textId="77777777" w:rsidR="009D081E" w:rsidRPr="003B7A14" w:rsidRDefault="009D081E" w:rsidP="009A182B">
            <w:pPr>
              <w:widowControl/>
              <w:autoSpaceDE/>
              <w:autoSpaceDN/>
              <w:jc w:val="center"/>
              <w:rPr>
                <w:b/>
                <w:bCs/>
              </w:rPr>
            </w:pPr>
            <w:r w:rsidRPr="003B7A14">
              <w:rPr>
                <w:b/>
                <w:bCs/>
              </w:rPr>
              <w:t>WSEX-Zn</w:t>
            </w:r>
          </w:p>
        </w:tc>
        <w:tc>
          <w:tcPr>
            <w:tcW w:w="821" w:type="pct"/>
            <w:gridSpan w:val="3"/>
            <w:tcBorders>
              <w:top w:val="single" w:sz="12" w:space="0" w:color="auto"/>
              <w:bottom w:val="single" w:sz="4" w:space="0" w:color="auto"/>
            </w:tcBorders>
            <w:shd w:val="clear" w:color="auto" w:fill="auto"/>
            <w:noWrap/>
            <w:vAlign w:val="center"/>
            <w:hideMark/>
          </w:tcPr>
          <w:p w14:paraId="6EC41B63" w14:textId="77777777" w:rsidR="009D081E" w:rsidRPr="003B7A14" w:rsidRDefault="009D081E" w:rsidP="009A182B">
            <w:pPr>
              <w:widowControl/>
              <w:autoSpaceDE/>
              <w:autoSpaceDN/>
              <w:jc w:val="center"/>
              <w:rPr>
                <w:b/>
                <w:bCs/>
              </w:rPr>
            </w:pPr>
            <w:r w:rsidRPr="003B7A14">
              <w:rPr>
                <w:b/>
                <w:bCs/>
              </w:rPr>
              <w:t>OC-Zn</w:t>
            </w:r>
          </w:p>
        </w:tc>
        <w:tc>
          <w:tcPr>
            <w:tcW w:w="770" w:type="pct"/>
            <w:gridSpan w:val="3"/>
            <w:tcBorders>
              <w:top w:val="single" w:sz="12" w:space="0" w:color="auto"/>
              <w:bottom w:val="single" w:sz="4" w:space="0" w:color="auto"/>
            </w:tcBorders>
            <w:shd w:val="clear" w:color="auto" w:fill="auto"/>
            <w:noWrap/>
            <w:vAlign w:val="center"/>
            <w:hideMark/>
          </w:tcPr>
          <w:p w14:paraId="745B9B0D" w14:textId="77777777" w:rsidR="009D081E" w:rsidRPr="003B7A14" w:rsidRDefault="009D081E" w:rsidP="009A182B">
            <w:pPr>
              <w:widowControl/>
              <w:autoSpaceDE/>
              <w:autoSpaceDN/>
              <w:jc w:val="center"/>
              <w:rPr>
                <w:b/>
                <w:bCs/>
              </w:rPr>
            </w:pPr>
            <w:r w:rsidRPr="003B7A14">
              <w:rPr>
                <w:b/>
                <w:bCs/>
              </w:rPr>
              <w:t>AMOX-Zn</w:t>
            </w:r>
          </w:p>
        </w:tc>
        <w:tc>
          <w:tcPr>
            <w:tcW w:w="770" w:type="pct"/>
            <w:gridSpan w:val="3"/>
            <w:tcBorders>
              <w:top w:val="single" w:sz="12" w:space="0" w:color="auto"/>
              <w:bottom w:val="single" w:sz="4" w:space="0" w:color="auto"/>
            </w:tcBorders>
            <w:shd w:val="clear" w:color="auto" w:fill="auto"/>
            <w:noWrap/>
            <w:vAlign w:val="center"/>
            <w:hideMark/>
          </w:tcPr>
          <w:p w14:paraId="795825C0" w14:textId="77777777" w:rsidR="009D081E" w:rsidRPr="003B7A14" w:rsidRDefault="009D081E" w:rsidP="009A182B">
            <w:pPr>
              <w:widowControl/>
              <w:autoSpaceDE/>
              <w:autoSpaceDN/>
              <w:jc w:val="center"/>
              <w:rPr>
                <w:b/>
                <w:bCs/>
              </w:rPr>
            </w:pPr>
            <w:r w:rsidRPr="003B7A14">
              <w:rPr>
                <w:b/>
                <w:bCs/>
              </w:rPr>
              <w:t>CRYOX-Zn</w:t>
            </w:r>
          </w:p>
        </w:tc>
        <w:tc>
          <w:tcPr>
            <w:tcW w:w="781" w:type="pct"/>
            <w:gridSpan w:val="3"/>
            <w:tcBorders>
              <w:top w:val="single" w:sz="12" w:space="0" w:color="auto"/>
              <w:bottom w:val="single" w:sz="4" w:space="0" w:color="auto"/>
            </w:tcBorders>
            <w:shd w:val="clear" w:color="auto" w:fill="auto"/>
            <w:noWrap/>
            <w:vAlign w:val="center"/>
            <w:hideMark/>
          </w:tcPr>
          <w:p w14:paraId="45AD2379" w14:textId="77777777" w:rsidR="009D081E" w:rsidRPr="003B7A14" w:rsidRDefault="009D081E" w:rsidP="009A182B">
            <w:pPr>
              <w:widowControl/>
              <w:autoSpaceDE/>
              <w:autoSpaceDN/>
              <w:jc w:val="center"/>
              <w:rPr>
                <w:b/>
                <w:bCs/>
              </w:rPr>
            </w:pPr>
            <w:proofErr w:type="spellStart"/>
            <w:r w:rsidRPr="003B7A14">
              <w:rPr>
                <w:b/>
                <w:bCs/>
              </w:rPr>
              <w:t>MnOx</w:t>
            </w:r>
            <w:proofErr w:type="spellEnd"/>
            <w:r w:rsidRPr="003B7A14">
              <w:rPr>
                <w:b/>
                <w:bCs/>
              </w:rPr>
              <w:t>-Zn</w:t>
            </w:r>
          </w:p>
        </w:tc>
        <w:tc>
          <w:tcPr>
            <w:tcW w:w="763" w:type="pct"/>
            <w:gridSpan w:val="3"/>
            <w:tcBorders>
              <w:top w:val="single" w:sz="12" w:space="0" w:color="auto"/>
              <w:bottom w:val="single" w:sz="4" w:space="0" w:color="auto"/>
            </w:tcBorders>
            <w:shd w:val="clear" w:color="auto" w:fill="auto"/>
            <w:noWrap/>
            <w:vAlign w:val="center"/>
            <w:hideMark/>
          </w:tcPr>
          <w:p w14:paraId="1E36A204" w14:textId="77777777" w:rsidR="009D081E" w:rsidRPr="003B7A14" w:rsidRDefault="009D081E" w:rsidP="009A182B">
            <w:pPr>
              <w:widowControl/>
              <w:autoSpaceDE/>
              <w:autoSpaceDN/>
              <w:jc w:val="center"/>
              <w:rPr>
                <w:b/>
                <w:bCs/>
              </w:rPr>
            </w:pPr>
            <w:r w:rsidRPr="003B7A14">
              <w:rPr>
                <w:b/>
                <w:bCs/>
              </w:rPr>
              <w:t>RES-Zn</w:t>
            </w:r>
          </w:p>
        </w:tc>
      </w:tr>
      <w:tr w:rsidR="003B7A14" w:rsidRPr="003B7A14" w14:paraId="3797FD51" w14:textId="77777777" w:rsidTr="009A182B">
        <w:trPr>
          <w:trHeight w:val="345"/>
        </w:trPr>
        <w:tc>
          <w:tcPr>
            <w:tcW w:w="270" w:type="pct"/>
            <w:tcBorders>
              <w:bottom w:val="single" w:sz="4" w:space="0" w:color="auto"/>
            </w:tcBorders>
            <w:shd w:val="clear" w:color="auto" w:fill="auto"/>
            <w:noWrap/>
            <w:vAlign w:val="center"/>
            <w:hideMark/>
          </w:tcPr>
          <w:p w14:paraId="555EE389" w14:textId="77777777" w:rsidR="009D081E" w:rsidRPr="003B7A14" w:rsidRDefault="009D081E" w:rsidP="009A182B">
            <w:pPr>
              <w:widowControl/>
              <w:autoSpaceDE/>
              <w:autoSpaceDN/>
              <w:jc w:val="center"/>
              <w:rPr>
                <w:b/>
                <w:bCs/>
                <w:sz w:val="20"/>
                <w:szCs w:val="20"/>
              </w:rPr>
            </w:pPr>
          </w:p>
        </w:tc>
        <w:tc>
          <w:tcPr>
            <w:tcW w:w="257" w:type="pct"/>
            <w:tcBorders>
              <w:top w:val="single" w:sz="4" w:space="0" w:color="auto"/>
              <w:bottom w:val="single" w:sz="4" w:space="0" w:color="auto"/>
            </w:tcBorders>
            <w:shd w:val="clear" w:color="auto" w:fill="auto"/>
            <w:noWrap/>
            <w:vAlign w:val="center"/>
            <w:hideMark/>
          </w:tcPr>
          <w:p w14:paraId="344BEC2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308" w:type="pct"/>
            <w:tcBorders>
              <w:top w:val="single" w:sz="4" w:space="0" w:color="auto"/>
              <w:bottom w:val="single" w:sz="4" w:space="0" w:color="auto"/>
            </w:tcBorders>
            <w:shd w:val="clear" w:color="auto" w:fill="auto"/>
            <w:noWrap/>
            <w:vAlign w:val="center"/>
            <w:hideMark/>
          </w:tcPr>
          <w:p w14:paraId="5FAFE89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61" w:type="pct"/>
            <w:tcBorders>
              <w:top w:val="single" w:sz="4" w:space="0" w:color="auto"/>
              <w:bottom w:val="single" w:sz="4" w:space="0" w:color="auto"/>
            </w:tcBorders>
            <w:shd w:val="clear" w:color="auto" w:fill="auto"/>
            <w:noWrap/>
            <w:vAlign w:val="center"/>
            <w:hideMark/>
          </w:tcPr>
          <w:p w14:paraId="7A7AC0D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308" w:type="pct"/>
            <w:tcBorders>
              <w:top w:val="single" w:sz="4" w:space="0" w:color="auto"/>
              <w:bottom w:val="single" w:sz="4" w:space="0" w:color="auto"/>
            </w:tcBorders>
            <w:shd w:val="clear" w:color="auto" w:fill="auto"/>
            <w:noWrap/>
            <w:vAlign w:val="center"/>
            <w:hideMark/>
          </w:tcPr>
          <w:p w14:paraId="52441B9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19E27D7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6" w:type="pct"/>
            <w:tcBorders>
              <w:top w:val="single" w:sz="4" w:space="0" w:color="auto"/>
              <w:bottom w:val="single" w:sz="4" w:space="0" w:color="auto"/>
            </w:tcBorders>
            <w:shd w:val="clear" w:color="auto" w:fill="auto"/>
            <w:noWrap/>
            <w:vAlign w:val="center"/>
            <w:hideMark/>
          </w:tcPr>
          <w:p w14:paraId="20F323E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2AB441AF"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6" w:type="pct"/>
            <w:tcBorders>
              <w:top w:val="single" w:sz="4" w:space="0" w:color="auto"/>
              <w:bottom w:val="single" w:sz="4" w:space="0" w:color="auto"/>
            </w:tcBorders>
            <w:shd w:val="clear" w:color="auto" w:fill="auto"/>
            <w:noWrap/>
            <w:vAlign w:val="center"/>
            <w:hideMark/>
          </w:tcPr>
          <w:p w14:paraId="6048B35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6014BF22"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16F573D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6" w:type="pct"/>
            <w:tcBorders>
              <w:top w:val="single" w:sz="4" w:space="0" w:color="auto"/>
              <w:bottom w:val="single" w:sz="4" w:space="0" w:color="auto"/>
            </w:tcBorders>
            <w:shd w:val="clear" w:color="auto" w:fill="auto"/>
            <w:noWrap/>
            <w:vAlign w:val="center"/>
            <w:hideMark/>
          </w:tcPr>
          <w:p w14:paraId="6169B59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2F67CAA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6" w:type="pct"/>
            <w:tcBorders>
              <w:top w:val="single" w:sz="4" w:space="0" w:color="auto"/>
              <w:bottom w:val="single" w:sz="4" w:space="0" w:color="auto"/>
            </w:tcBorders>
            <w:shd w:val="clear" w:color="auto" w:fill="auto"/>
            <w:noWrap/>
            <w:vAlign w:val="center"/>
            <w:hideMark/>
          </w:tcPr>
          <w:p w14:paraId="3BD5507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68" w:type="pct"/>
            <w:tcBorders>
              <w:top w:val="single" w:sz="4" w:space="0" w:color="auto"/>
              <w:bottom w:val="single" w:sz="4" w:space="0" w:color="auto"/>
            </w:tcBorders>
            <w:shd w:val="clear" w:color="auto" w:fill="auto"/>
            <w:noWrap/>
            <w:vAlign w:val="center"/>
            <w:hideMark/>
          </w:tcPr>
          <w:p w14:paraId="017DA8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4CBAB41A"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319C293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4EE59A7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49" w:type="pct"/>
            <w:tcBorders>
              <w:top w:val="single" w:sz="4" w:space="0" w:color="auto"/>
              <w:bottom w:val="single" w:sz="4" w:space="0" w:color="auto"/>
            </w:tcBorders>
            <w:shd w:val="clear" w:color="auto" w:fill="auto"/>
            <w:noWrap/>
            <w:vAlign w:val="center"/>
            <w:hideMark/>
          </w:tcPr>
          <w:p w14:paraId="59629FC4"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5BF42273" w14:textId="77777777" w:rsidTr="009A182B">
        <w:trPr>
          <w:trHeight w:val="425"/>
        </w:trPr>
        <w:tc>
          <w:tcPr>
            <w:tcW w:w="270" w:type="pct"/>
            <w:tcBorders>
              <w:top w:val="single" w:sz="4" w:space="0" w:color="auto"/>
            </w:tcBorders>
            <w:shd w:val="clear" w:color="auto" w:fill="auto"/>
            <w:noWrap/>
            <w:vAlign w:val="center"/>
            <w:hideMark/>
          </w:tcPr>
          <w:p w14:paraId="5CDDE178"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0</w:t>
            </w:r>
          </w:p>
        </w:tc>
        <w:tc>
          <w:tcPr>
            <w:tcW w:w="257" w:type="pct"/>
            <w:tcBorders>
              <w:top w:val="single" w:sz="4" w:space="0" w:color="auto"/>
            </w:tcBorders>
            <w:shd w:val="clear" w:color="auto" w:fill="auto"/>
            <w:noWrap/>
            <w:vAlign w:val="center"/>
            <w:hideMark/>
          </w:tcPr>
          <w:p w14:paraId="471F98A7" w14:textId="77777777" w:rsidR="009D081E" w:rsidRPr="003B7A14" w:rsidRDefault="009D081E" w:rsidP="009A182B">
            <w:pPr>
              <w:widowControl/>
              <w:autoSpaceDE/>
              <w:autoSpaceDN/>
              <w:jc w:val="center"/>
              <w:rPr>
                <w:sz w:val="20"/>
                <w:szCs w:val="20"/>
              </w:rPr>
            </w:pPr>
            <w:r w:rsidRPr="003B7A14">
              <w:rPr>
                <w:sz w:val="20"/>
                <w:szCs w:val="20"/>
              </w:rPr>
              <w:t>0.264</w:t>
            </w:r>
          </w:p>
        </w:tc>
        <w:tc>
          <w:tcPr>
            <w:tcW w:w="308" w:type="pct"/>
            <w:tcBorders>
              <w:top w:val="single" w:sz="4" w:space="0" w:color="auto"/>
            </w:tcBorders>
            <w:shd w:val="clear" w:color="auto" w:fill="auto"/>
            <w:noWrap/>
            <w:vAlign w:val="center"/>
            <w:hideMark/>
          </w:tcPr>
          <w:p w14:paraId="22301344" w14:textId="77777777" w:rsidR="009D081E" w:rsidRPr="003B7A14" w:rsidRDefault="009D081E" w:rsidP="009A182B">
            <w:pPr>
              <w:widowControl/>
              <w:autoSpaceDE/>
              <w:autoSpaceDN/>
              <w:jc w:val="center"/>
              <w:rPr>
                <w:sz w:val="20"/>
                <w:szCs w:val="20"/>
              </w:rPr>
            </w:pPr>
            <w:r w:rsidRPr="003B7A14">
              <w:rPr>
                <w:sz w:val="20"/>
                <w:szCs w:val="20"/>
              </w:rPr>
              <w:t>0.266</w:t>
            </w:r>
          </w:p>
        </w:tc>
        <w:tc>
          <w:tcPr>
            <w:tcW w:w="261" w:type="pct"/>
            <w:tcBorders>
              <w:top w:val="single" w:sz="4" w:space="0" w:color="auto"/>
            </w:tcBorders>
            <w:shd w:val="clear" w:color="auto" w:fill="auto"/>
            <w:noWrap/>
            <w:vAlign w:val="center"/>
            <w:hideMark/>
          </w:tcPr>
          <w:p w14:paraId="295FCDF4" w14:textId="77777777" w:rsidR="009D081E" w:rsidRPr="003B7A14" w:rsidRDefault="009D081E" w:rsidP="009A182B">
            <w:pPr>
              <w:widowControl/>
              <w:autoSpaceDE/>
              <w:autoSpaceDN/>
              <w:jc w:val="center"/>
              <w:rPr>
                <w:sz w:val="20"/>
                <w:szCs w:val="20"/>
              </w:rPr>
            </w:pPr>
            <w:r w:rsidRPr="003B7A14">
              <w:rPr>
                <w:sz w:val="20"/>
                <w:szCs w:val="20"/>
              </w:rPr>
              <w:t>0.265</w:t>
            </w:r>
          </w:p>
        </w:tc>
        <w:tc>
          <w:tcPr>
            <w:tcW w:w="308" w:type="pct"/>
            <w:tcBorders>
              <w:top w:val="single" w:sz="4" w:space="0" w:color="auto"/>
            </w:tcBorders>
            <w:shd w:val="clear" w:color="auto" w:fill="auto"/>
            <w:noWrap/>
            <w:vAlign w:val="center"/>
            <w:hideMark/>
          </w:tcPr>
          <w:p w14:paraId="5B6CD099" w14:textId="77777777" w:rsidR="009D081E" w:rsidRPr="003B7A14" w:rsidRDefault="009D081E" w:rsidP="009A182B">
            <w:pPr>
              <w:widowControl/>
              <w:autoSpaceDE/>
              <w:autoSpaceDN/>
              <w:jc w:val="center"/>
              <w:rPr>
                <w:sz w:val="20"/>
                <w:szCs w:val="20"/>
              </w:rPr>
            </w:pPr>
            <w:r w:rsidRPr="003B7A14">
              <w:rPr>
                <w:sz w:val="20"/>
                <w:szCs w:val="20"/>
              </w:rPr>
              <w:t>1.968</w:t>
            </w:r>
          </w:p>
        </w:tc>
        <w:tc>
          <w:tcPr>
            <w:tcW w:w="257" w:type="pct"/>
            <w:tcBorders>
              <w:top w:val="single" w:sz="4" w:space="0" w:color="auto"/>
            </w:tcBorders>
            <w:shd w:val="clear" w:color="auto" w:fill="auto"/>
            <w:noWrap/>
            <w:vAlign w:val="center"/>
            <w:hideMark/>
          </w:tcPr>
          <w:p w14:paraId="788B57F1" w14:textId="77777777" w:rsidR="009D081E" w:rsidRPr="003B7A14" w:rsidRDefault="009D081E" w:rsidP="009A182B">
            <w:pPr>
              <w:widowControl/>
              <w:autoSpaceDE/>
              <w:autoSpaceDN/>
              <w:jc w:val="center"/>
              <w:rPr>
                <w:sz w:val="20"/>
                <w:szCs w:val="20"/>
              </w:rPr>
            </w:pPr>
            <w:r w:rsidRPr="003B7A14">
              <w:rPr>
                <w:sz w:val="20"/>
                <w:szCs w:val="20"/>
              </w:rPr>
              <w:t>1.960</w:t>
            </w:r>
          </w:p>
        </w:tc>
        <w:tc>
          <w:tcPr>
            <w:tcW w:w="256" w:type="pct"/>
            <w:tcBorders>
              <w:top w:val="single" w:sz="4" w:space="0" w:color="auto"/>
            </w:tcBorders>
            <w:shd w:val="clear" w:color="auto" w:fill="auto"/>
            <w:noWrap/>
            <w:vAlign w:val="center"/>
            <w:hideMark/>
          </w:tcPr>
          <w:p w14:paraId="14B9BB01" w14:textId="77777777" w:rsidR="009D081E" w:rsidRPr="003B7A14" w:rsidRDefault="009D081E" w:rsidP="009A182B">
            <w:pPr>
              <w:widowControl/>
              <w:autoSpaceDE/>
              <w:autoSpaceDN/>
              <w:jc w:val="center"/>
              <w:rPr>
                <w:sz w:val="20"/>
                <w:szCs w:val="20"/>
              </w:rPr>
            </w:pPr>
            <w:r w:rsidRPr="003B7A14">
              <w:rPr>
                <w:sz w:val="20"/>
                <w:szCs w:val="20"/>
              </w:rPr>
              <w:t>1.964</w:t>
            </w:r>
          </w:p>
        </w:tc>
        <w:tc>
          <w:tcPr>
            <w:tcW w:w="257" w:type="pct"/>
            <w:tcBorders>
              <w:top w:val="single" w:sz="4" w:space="0" w:color="auto"/>
            </w:tcBorders>
            <w:shd w:val="clear" w:color="auto" w:fill="auto"/>
            <w:noWrap/>
            <w:vAlign w:val="center"/>
            <w:hideMark/>
          </w:tcPr>
          <w:p w14:paraId="3447D1FB" w14:textId="77777777" w:rsidR="009D081E" w:rsidRPr="003B7A14" w:rsidRDefault="009D081E" w:rsidP="009A182B">
            <w:pPr>
              <w:widowControl/>
              <w:autoSpaceDE/>
              <w:autoSpaceDN/>
              <w:jc w:val="center"/>
              <w:rPr>
                <w:sz w:val="20"/>
                <w:szCs w:val="20"/>
              </w:rPr>
            </w:pPr>
            <w:r w:rsidRPr="003B7A14">
              <w:rPr>
                <w:sz w:val="20"/>
                <w:szCs w:val="20"/>
              </w:rPr>
              <w:t>1.320</w:t>
            </w:r>
          </w:p>
        </w:tc>
        <w:tc>
          <w:tcPr>
            <w:tcW w:w="256" w:type="pct"/>
            <w:tcBorders>
              <w:top w:val="single" w:sz="4" w:space="0" w:color="auto"/>
            </w:tcBorders>
            <w:shd w:val="clear" w:color="auto" w:fill="auto"/>
            <w:noWrap/>
            <w:vAlign w:val="center"/>
            <w:hideMark/>
          </w:tcPr>
          <w:p w14:paraId="424F6200" w14:textId="77777777" w:rsidR="009D081E" w:rsidRPr="003B7A14" w:rsidRDefault="009D081E" w:rsidP="009A182B">
            <w:pPr>
              <w:widowControl/>
              <w:autoSpaceDE/>
              <w:autoSpaceDN/>
              <w:jc w:val="center"/>
              <w:rPr>
                <w:sz w:val="20"/>
                <w:szCs w:val="20"/>
              </w:rPr>
            </w:pPr>
            <w:r w:rsidRPr="003B7A14">
              <w:rPr>
                <w:sz w:val="20"/>
                <w:szCs w:val="20"/>
              </w:rPr>
              <w:t>1.318</w:t>
            </w:r>
          </w:p>
        </w:tc>
        <w:tc>
          <w:tcPr>
            <w:tcW w:w="257" w:type="pct"/>
            <w:tcBorders>
              <w:top w:val="single" w:sz="4" w:space="0" w:color="auto"/>
            </w:tcBorders>
            <w:shd w:val="clear" w:color="auto" w:fill="auto"/>
            <w:noWrap/>
            <w:vAlign w:val="center"/>
            <w:hideMark/>
          </w:tcPr>
          <w:p w14:paraId="7A6F6F57" w14:textId="77777777" w:rsidR="009D081E" w:rsidRPr="003B7A14" w:rsidRDefault="009D081E" w:rsidP="009A182B">
            <w:pPr>
              <w:widowControl/>
              <w:autoSpaceDE/>
              <w:autoSpaceDN/>
              <w:jc w:val="center"/>
              <w:rPr>
                <w:sz w:val="20"/>
                <w:szCs w:val="20"/>
              </w:rPr>
            </w:pPr>
            <w:r w:rsidRPr="003B7A14">
              <w:rPr>
                <w:sz w:val="20"/>
                <w:szCs w:val="20"/>
              </w:rPr>
              <w:t>1.319</w:t>
            </w:r>
          </w:p>
        </w:tc>
        <w:tc>
          <w:tcPr>
            <w:tcW w:w="257" w:type="pct"/>
            <w:tcBorders>
              <w:top w:val="single" w:sz="4" w:space="0" w:color="auto"/>
            </w:tcBorders>
            <w:shd w:val="clear" w:color="auto" w:fill="auto"/>
            <w:noWrap/>
            <w:vAlign w:val="center"/>
            <w:hideMark/>
          </w:tcPr>
          <w:p w14:paraId="200F588A" w14:textId="77777777" w:rsidR="009D081E" w:rsidRPr="003B7A14" w:rsidRDefault="009D081E" w:rsidP="009A182B">
            <w:pPr>
              <w:widowControl/>
              <w:autoSpaceDE/>
              <w:autoSpaceDN/>
              <w:jc w:val="center"/>
              <w:rPr>
                <w:sz w:val="20"/>
                <w:szCs w:val="20"/>
              </w:rPr>
            </w:pPr>
            <w:r w:rsidRPr="003B7A14">
              <w:rPr>
                <w:sz w:val="20"/>
                <w:szCs w:val="20"/>
              </w:rPr>
              <w:t>17.20</w:t>
            </w:r>
          </w:p>
        </w:tc>
        <w:tc>
          <w:tcPr>
            <w:tcW w:w="256" w:type="pct"/>
            <w:tcBorders>
              <w:top w:val="single" w:sz="4" w:space="0" w:color="auto"/>
            </w:tcBorders>
            <w:shd w:val="clear" w:color="auto" w:fill="auto"/>
            <w:noWrap/>
            <w:vAlign w:val="center"/>
            <w:hideMark/>
          </w:tcPr>
          <w:p w14:paraId="07C46A65" w14:textId="77777777" w:rsidR="009D081E" w:rsidRPr="003B7A14" w:rsidRDefault="009D081E" w:rsidP="009A182B">
            <w:pPr>
              <w:widowControl/>
              <w:autoSpaceDE/>
              <w:autoSpaceDN/>
              <w:jc w:val="center"/>
              <w:rPr>
                <w:sz w:val="20"/>
                <w:szCs w:val="20"/>
              </w:rPr>
            </w:pPr>
            <w:r w:rsidRPr="003B7A14">
              <w:rPr>
                <w:sz w:val="20"/>
                <w:szCs w:val="20"/>
              </w:rPr>
              <w:t>17.19</w:t>
            </w:r>
          </w:p>
        </w:tc>
        <w:tc>
          <w:tcPr>
            <w:tcW w:w="257" w:type="pct"/>
            <w:tcBorders>
              <w:top w:val="single" w:sz="4" w:space="0" w:color="auto"/>
            </w:tcBorders>
            <w:shd w:val="clear" w:color="auto" w:fill="auto"/>
            <w:noWrap/>
            <w:vAlign w:val="center"/>
            <w:hideMark/>
          </w:tcPr>
          <w:p w14:paraId="15326A61" w14:textId="77777777" w:rsidR="009D081E" w:rsidRPr="003B7A14" w:rsidRDefault="009D081E" w:rsidP="009A182B">
            <w:pPr>
              <w:widowControl/>
              <w:autoSpaceDE/>
              <w:autoSpaceDN/>
              <w:jc w:val="center"/>
              <w:rPr>
                <w:sz w:val="20"/>
                <w:szCs w:val="20"/>
              </w:rPr>
            </w:pPr>
            <w:r w:rsidRPr="003B7A14">
              <w:rPr>
                <w:sz w:val="20"/>
                <w:szCs w:val="20"/>
              </w:rPr>
              <w:t>17.19</w:t>
            </w:r>
          </w:p>
        </w:tc>
        <w:tc>
          <w:tcPr>
            <w:tcW w:w="256" w:type="pct"/>
            <w:tcBorders>
              <w:top w:val="single" w:sz="4" w:space="0" w:color="auto"/>
            </w:tcBorders>
            <w:shd w:val="clear" w:color="auto" w:fill="auto"/>
            <w:noWrap/>
            <w:vAlign w:val="center"/>
            <w:hideMark/>
          </w:tcPr>
          <w:p w14:paraId="4A27BBDE" w14:textId="77777777" w:rsidR="009D081E" w:rsidRPr="003B7A14" w:rsidRDefault="009D081E" w:rsidP="009A182B">
            <w:pPr>
              <w:widowControl/>
              <w:autoSpaceDE/>
              <w:autoSpaceDN/>
              <w:jc w:val="center"/>
              <w:rPr>
                <w:sz w:val="20"/>
                <w:szCs w:val="20"/>
              </w:rPr>
            </w:pPr>
            <w:r w:rsidRPr="003B7A14">
              <w:rPr>
                <w:sz w:val="20"/>
                <w:szCs w:val="20"/>
              </w:rPr>
              <w:t>3.525</w:t>
            </w:r>
          </w:p>
        </w:tc>
        <w:tc>
          <w:tcPr>
            <w:tcW w:w="268" w:type="pct"/>
            <w:tcBorders>
              <w:top w:val="single" w:sz="4" w:space="0" w:color="auto"/>
            </w:tcBorders>
            <w:shd w:val="clear" w:color="auto" w:fill="auto"/>
            <w:noWrap/>
            <w:vAlign w:val="center"/>
            <w:hideMark/>
          </w:tcPr>
          <w:p w14:paraId="715F0910" w14:textId="77777777" w:rsidR="009D081E" w:rsidRPr="003B7A14" w:rsidRDefault="009D081E" w:rsidP="009A182B">
            <w:pPr>
              <w:widowControl/>
              <w:autoSpaceDE/>
              <w:autoSpaceDN/>
              <w:jc w:val="center"/>
              <w:rPr>
                <w:sz w:val="20"/>
                <w:szCs w:val="20"/>
              </w:rPr>
            </w:pPr>
            <w:r w:rsidRPr="003B7A14">
              <w:rPr>
                <w:sz w:val="20"/>
                <w:szCs w:val="20"/>
              </w:rPr>
              <w:t>3.540</w:t>
            </w:r>
          </w:p>
        </w:tc>
        <w:tc>
          <w:tcPr>
            <w:tcW w:w="257" w:type="pct"/>
            <w:tcBorders>
              <w:top w:val="single" w:sz="4" w:space="0" w:color="auto"/>
            </w:tcBorders>
            <w:shd w:val="clear" w:color="auto" w:fill="auto"/>
            <w:noWrap/>
            <w:vAlign w:val="center"/>
            <w:hideMark/>
          </w:tcPr>
          <w:p w14:paraId="65EBADB6" w14:textId="77777777" w:rsidR="009D081E" w:rsidRPr="003B7A14" w:rsidRDefault="009D081E" w:rsidP="009A182B">
            <w:pPr>
              <w:widowControl/>
              <w:autoSpaceDE/>
              <w:autoSpaceDN/>
              <w:jc w:val="center"/>
              <w:rPr>
                <w:sz w:val="20"/>
                <w:szCs w:val="20"/>
              </w:rPr>
            </w:pPr>
            <w:r w:rsidRPr="003B7A14">
              <w:rPr>
                <w:sz w:val="20"/>
                <w:szCs w:val="20"/>
              </w:rPr>
              <w:t>3.533</w:t>
            </w:r>
          </w:p>
        </w:tc>
        <w:tc>
          <w:tcPr>
            <w:tcW w:w="257" w:type="pct"/>
            <w:tcBorders>
              <w:top w:val="single" w:sz="4" w:space="0" w:color="auto"/>
            </w:tcBorders>
            <w:shd w:val="clear" w:color="auto" w:fill="auto"/>
            <w:noWrap/>
            <w:vAlign w:val="center"/>
            <w:hideMark/>
          </w:tcPr>
          <w:p w14:paraId="1D74058C" w14:textId="77777777" w:rsidR="009D081E" w:rsidRPr="003B7A14" w:rsidRDefault="009D081E" w:rsidP="009A182B">
            <w:pPr>
              <w:widowControl/>
              <w:autoSpaceDE/>
              <w:autoSpaceDN/>
              <w:jc w:val="center"/>
              <w:rPr>
                <w:sz w:val="20"/>
                <w:szCs w:val="20"/>
              </w:rPr>
            </w:pPr>
            <w:r w:rsidRPr="003B7A14">
              <w:rPr>
                <w:sz w:val="20"/>
                <w:szCs w:val="20"/>
              </w:rPr>
              <w:t>47.23</w:t>
            </w:r>
          </w:p>
        </w:tc>
        <w:tc>
          <w:tcPr>
            <w:tcW w:w="257" w:type="pct"/>
            <w:tcBorders>
              <w:top w:val="single" w:sz="4" w:space="0" w:color="auto"/>
            </w:tcBorders>
            <w:shd w:val="clear" w:color="auto" w:fill="auto"/>
            <w:noWrap/>
            <w:vAlign w:val="center"/>
            <w:hideMark/>
          </w:tcPr>
          <w:p w14:paraId="07058AF4" w14:textId="77777777" w:rsidR="009D081E" w:rsidRPr="003B7A14" w:rsidRDefault="009D081E" w:rsidP="009A182B">
            <w:pPr>
              <w:widowControl/>
              <w:autoSpaceDE/>
              <w:autoSpaceDN/>
              <w:jc w:val="center"/>
              <w:rPr>
                <w:sz w:val="20"/>
                <w:szCs w:val="20"/>
              </w:rPr>
            </w:pPr>
            <w:r w:rsidRPr="003B7A14">
              <w:rPr>
                <w:sz w:val="20"/>
                <w:szCs w:val="20"/>
              </w:rPr>
              <w:t>47.23</w:t>
            </w:r>
          </w:p>
        </w:tc>
        <w:tc>
          <w:tcPr>
            <w:tcW w:w="249" w:type="pct"/>
            <w:tcBorders>
              <w:top w:val="single" w:sz="4" w:space="0" w:color="auto"/>
            </w:tcBorders>
            <w:shd w:val="clear" w:color="auto" w:fill="auto"/>
            <w:noWrap/>
            <w:vAlign w:val="center"/>
            <w:hideMark/>
          </w:tcPr>
          <w:p w14:paraId="7AB063DE" w14:textId="77777777" w:rsidR="009D081E" w:rsidRPr="003B7A14" w:rsidRDefault="009D081E" w:rsidP="009A182B">
            <w:pPr>
              <w:widowControl/>
              <w:autoSpaceDE/>
              <w:autoSpaceDN/>
              <w:jc w:val="center"/>
              <w:rPr>
                <w:sz w:val="20"/>
                <w:szCs w:val="20"/>
              </w:rPr>
            </w:pPr>
            <w:r w:rsidRPr="003B7A14">
              <w:rPr>
                <w:sz w:val="20"/>
                <w:szCs w:val="20"/>
              </w:rPr>
              <w:t>47.23</w:t>
            </w:r>
          </w:p>
        </w:tc>
      </w:tr>
      <w:tr w:rsidR="003B7A14" w:rsidRPr="003B7A14" w14:paraId="18344CBD" w14:textId="77777777" w:rsidTr="009A182B">
        <w:trPr>
          <w:trHeight w:val="425"/>
        </w:trPr>
        <w:tc>
          <w:tcPr>
            <w:tcW w:w="270" w:type="pct"/>
            <w:shd w:val="clear" w:color="auto" w:fill="auto"/>
            <w:noWrap/>
            <w:vAlign w:val="center"/>
            <w:hideMark/>
          </w:tcPr>
          <w:p w14:paraId="3FDA77B5"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15</w:t>
            </w:r>
          </w:p>
        </w:tc>
        <w:tc>
          <w:tcPr>
            <w:tcW w:w="257" w:type="pct"/>
            <w:shd w:val="clear" w:color="auto" w:fill="auto"/>
            <w:noWrap/>
            <w:vAlign w:val="center"/>
            <w:hideMark/>
          </w:tcPr>
          <w:p w14:paraId="3B2F441B" w14:textId="77777777" w:rsidR="009D081E" w:rsidRPr="003B7A14" w:rsidRDefault="009D081E" w:rsidP="009A182B">
            <w:pPr>
              <w:widowControl/>
              <w:autoSpaceDE/>
              <w:autoSpaceDN/>
              <w:jc w:val="center"/>
              <w:rPr>
                <w:sz w:val="20"/>
                <w:szCs w:val="20"/>
              </w:rPr>
            </w:pPr>
            <w:r w:rsidRPr="003B7A14">
              <w:rPr>
                <w:sz w:val="20"/>
                <w:szCs w:val="20"/>
              </w:rPr>
              <w:t>0.256</w:t>
            </w:r>
          </w:p>
        </w:tc>
        <w:tc>
          <w:tcPr>
            <w:tcW w:w="308" w:type="pct"/>
            <w:shd w:val="clear" w:color="auto" w:fill="auto"/>
            <w:noWrap/>
            <w:vAlign w:val="center"/>
            <w:hideMark/>
          </w:tcPr>
          <w:p w14:paraId="1F54821F" w14:textId="77777777" w:rsidR="009D081E" w:rsidRPr="003B7A14" w:rsidRDefault="009D081E" w:rsidP="009A182B">
            <w:pPr>
              <w:widowControl/>
              <w:autoSpaceDE/>
              <w:autoSpaceDN/>
              <w:jc w:val="center"/>
              <w:rPr>
                <w:sz w:val="20"/>
                <w:szCs w:val="20"/>
              </w:rPr>
            </w:pPr>
            <w:r w:rsidRPr="003B7A14">
              <w:rPr>
                <w:sz w:val="20"/>
                <w:szCs w:val="20"/>
              </w:rPr>
              <w:t>0.217</w:t>
            </w:r>
          </w:p>
        </w:tc>
        <w:tc>
          <w:tcPr>
            <w:tcW w:w="261" w:type="pct"/>
            <w:shd w:val="clear" w:color="auto" w:fill="auto"/>
            <w:noWrap/>
            <w:vAlign w:val="center"/>
            <w:hideMark/>
          </w:tcPr>
          <w:p w14:paraId="0810AF97" w14:textId="77777777" w:rsidR="009D081E" w:rsidRPr="003B7A14" w:rsidRDefault="009D081E" w:rsidP="009A182B">
            <w:pPr>
              <w:widowControl/>
              <w:autoSpaceDE/>
              <w:autoSpaceDN/>
              <w:jc w:val="center"/>
              <w:rPr>
                <w:sz w:val="20"/>
                <w:szCs w:val="20"/>
              </w:rPr>
            </w:pPr>
            <w:r w:rsidRPr="003B7A14">
              <w:rPr>
                <w:sz w:val="20"/>
                <w:szCs w:val="20"/>
              </w:rPr>
              <w:t>0.237</w:t>
            </w:r>
          </w:p>
        </w:tc>
        <w:tc>
          <w:tcPr>
            <w:tcW w:w="308" w:type="pct"/>
            <w:shd w:val="clear" w:color="auto" w:fill="auto"/>
            <w:noWrap/>
            <w:vAlign w:val="center"/>
            <w:hideMark/>
          </w:tcPr>
          <w:p w14:paraId="032CDC8C" w14:textId="77777777" w:rsidR="009D081E" w:rsidRPr="003B7A14" w:rsidRDefault="009D081E" w:rsidP="009A182B">
            <w:pPr>
              <w:widowControl/>
              <w:autoSpaceDE/>
              <w:autoSpaceDN/>
              <w:jc w:val="center"/>
              <w:rPr>
                <w:sz w:val="20"/>
                <w:szCs w:val="20"/>
              </w:rPr>
            </w:pPr>
            <w:r w:rsidRPr="003B7A14">
              <w:rPr>
                <w:sz w:val="20"/>
                <w:szCs w:val="20"/>
              </w:rPr>
              <w:t>1.876</w:t>
            </w:r>
          </w:p>
        </w:tc>
        <w:tc>
          <w:tcPr>
            <w:tcW w:w="257" w:type="pct"/>
            <w:shd w:val="clear" w:color="auto" w:fill="auto"/>
            <w:noWrap/>
            <w:vAlign w:val="center"/>
            <w:hideMark/>
          </w:tcPr>
          <w:p w14:paraId="6B158C2C" w14:textId="77777777" w:rsidR="009D081E" w:rsidRPr="003B7A14" w:rsidRDefault="009D081E" w:rsidP="009A182B">
            <w:pPr>
              <w:widowControl/>
              <w:autoSpaceDE/>
              <w:autoSpaceDN/>
              <w:jc w:val="center"/>
              <w:rPr>
                <w:sz w:val="20"/>
                <w:szCs w:val="20"/>
              </w:rPr>
            </w:pPr>
            <w:r w:rsidRPr="003B7A14">
              <w:rPr>
                <w:sz w:val="20"/>
                <w:szCs w:val="20"/>
              </w:rPr>
              <w:t>2.065</w:t>
            </w:r>
          </w:p>
        </w:tc>
        <w:tc>
          <w:tcPr>
            <w:tcW w:w="256" w:type="pct"/>
            <w:shd w:val="clear" w:color="auto" w:fill="auto"/>
            <w:noWrap/>
            <w:vAlign w:val="center"/>
            <w:hideMark/>
          </w:tcPr>
          <w:p w14:paraId="34AF5F5C" w14:textId="77777777" w:rsidR="009D081E" w:rsidRPr="003B7A14" w:rsidRDefault="009D081E" w:rsidP="009A182B">
            <w:pPr>
              <w:widowControl/>
              <w:autoSpaceDE/>
              <w:autoSpaceDN/>
              <w:jc w:val="center"/>
              <w:rPr>
                <w:sz w:val="20"/>
                <w:szCs w:val="20"/>
              </w:rPr>
            </w:pPr>
            <w:r w:rsidRPr="003B7A14">
              <w:rPr>
                <w:sz w:val="20"/>
                <w:szCs w:val="20"/>
              </w:rPr>
              <w:t>1.970</w:t>
            </w:r>
          </w:p>
        </w:tc>
        <w:tc>
          <w:tcPr>
            <w:tcW w:w="257" w:type="pct"/>
            <w:shd w:val="clear" w:color="auto" w:fill="auto"/>
            <w:noWrap/>
            <w:vAlign w:val="center"/>
            <w:hideMark/>
          </w:tcPr>
          <w:p w14:paraId="46EA2211" w14:textId="77777777" w:rsidR="009D081E" w:rsidRPr="003B7A14" w:rsidRDefault="009D081E" w:rsidP="009A182B">
            <w:pPr>
              <w:widowControl/>
              <w:autoSpaceDE/>
              <w:autoSpaceDN/>
              <w:jc w:val="center"/>
              <w:rPr>
                <w:sz w:val="20"/>
                <w:szCs w:val="20"/>
              </w:rPr>
            </w:pPr>
            <w:r w:rsidRPr="003B7A14">
              <w:rPr>
                <w:sz w:val="20"/>
                <w:szCs w:val="20"/>
              </w:rPr>
              <w:t>1.350</w:t>
            </w:r>
          </w:p>
        </w:tc>
        <w:tc>
          <w:tcPr>
            <w:tcW w:w="256" w:type="pct"/>
            <w:shd w:val="clear" w:color="auto" w:fill="auto"/>
            <w:noWrap/>
            <w:vAlign w:val="center"/>
            <w:hideMark/>
          </w:tcPr>
          <w:p w14:paraId="1F29B142" w14:textId="77777777" w:rsidR="009D081E" w:rsidRPr="003B7A14" w:rsidRDefault="009D081E" w:rsidP="009A182B">
            <w:pPr>
              <w:widowControl/>
              <w:autoSpaceDE/>
              <w:autoSpaceDN/>
              <w:jc w:val="center"/>
              <w:rPr>
                <w:sz w:val="20"/>
                <w:szCs w:val="20"/>
              </w:rPr>
            </w:pPr>
            <w:r w:rsidRPr="003B7A14">
              <w:rPr>
                <w:sz w:val="20"/>
                <w:szCs w:val="20"/>
              </w:rPr>
              <w:t>1.573</w:t>
            </w:r>
          </w:p>
        </w:tc>
        <w:tc>
          <w:tcPr>
            <w:tcW w:w="257" w:type="pct"/>
            <w:shd w:val="clear" w:color="auto" w:fill="auto"/>
            <w:noWrap/>
            <w:vAlign w:val="center"/>
            <w:hideMark/>
          </w:tcPr>
          <w:p w14:paraId="1D81E49B" w14:textId="77777777" w:rsidR="009D081E" w:rsidRPr="003B7A14" w:rsidRDefault="009D081E" w:rsidP="009A182B">
            <w:pPr>
              <w:widowControl/>
              <w:autoSpaceDE/>
              <w:autoSpaceDN/>
              <w:jc w:val="center"/>
              <w:rPr>
                <w:sz w:val="20"/>
                <w:szCs w:val="20"/>
              </w:rPr>
            </w:pPr>
            <w:r w:rsidRPr="003B7A14">
              <w:rPr>
                <w:sz w:val="20"/>
                <w:szCs w:val="20"/>
              </w:rPr>
              <w:t>1.461</w:t>
            </w:r>
          </w:p>
        </w:tc>
        <w:tc>
          <w:tcPr>
            <w:tcW w:w="257" w:type="pct"/>
            <w:shd w:val="clear" w:color="auto" w:fill="auto"/>
            <w:noWrap/>
            <w:vAlign w:val="center"/>
            <w:hideMark/>
          </w:tcPr>
          <w:p w14:paraId="1B2BC78E" w14:textId="77777777" w:rsidR="009D081E" w:rsidRPr="003B7A14" w:rsidRDefault="009D081E" w:rsidP="009A182B">
            <w:pPr>
              <w:widowControl/>
              <w:autoSpaceDE/>
              <w:autoSpaceDN/>
              <w:jc w:val="center"/>
              <w:rPr>
                <w:sz w:val="20"/>
                <w:szCs w:val="20"/>
              </w:rPr>
            </w:pPr>
            <w:r w:rsidRPr="003B7A14">
              <w:rPr>
                <w:sz w:val="20"/>
                <w:szCs w:val="20"/>
              </w:rPr>
              <w:t>16.95</w:t>
            </w:r>
          </w:p>
        </w:tc>
        <w:tc>
          <w:tcPr>
            <w:tcW w:w="256" w:type="pct"/>
            <w:shd w:val="clear" w:color="auto" w:fill="auto"/>
            <w:noWrap/>
            <w:vAlign w:val="center"/>
            <w:hideMark/>
          </w:tcPr>
          <w:p w14:paraId="799363BB" w14:textId="77777777" w:rsidR="009D081E" w:rsidRPr="003B7A14" w:rsidRDefault="009D081E" w:rsidP="009A182B">
            <w:pPr>
              <w:widowControl/>
              <w:autoSpaceDE/>
              <w:autoSpaceDN/>
              <w:jc w:val="center"/>
              <w:rPr>
                <w:sz w:val="20"/>
                <w:szCs w:val="20"/>
              </w:rPr>
            </w:pPr>
            <w:r w:rsidRPr="003B7A14">
              <w:rPr>
                <w:sz w:val="20"/>
                <w:szCs w:val="20"/>
              </w:rPr>
              <w:t>16.22</w:t>
            </w:r>
          </w:p>
        </w:tc>
        <w:tc>
          <w:tcPr>
            <w:tcW w:w="257" w:type="pct"/>
            <w:shd w:val="clear" w:color="auto" w:fill="auto"/>
            <w:noWrap/>
            <w:vAlign w:val="center"/>
            <w:hideMark/>
          </w:tcPr>
          <w:p w14:paraId="2665F246" w14:textId="77777777" w:rsidR="009D081E" w:rsidRPr="003B7A14" w:rsidRDefault="009D081E" w:rsidP="009A182B">
            <w:pPr>
              <w:widowControl/>
              <w:autoSpaceDE/>
              <w:autoSpaceDN/>
              <w:jc w:val="center"/>
              <w:rPr>
                <w:sz w:val="20"/>
                <w:szCs w:val="20"/>
              </w:rPr>
            </w:pPr>
            <w:r w:rsidRPr="003B7A14">
              <w:rPr>
                <w:sz w:val="20"/>
                <w:szCs w:val="20"/>
              </w:rPr>
              <w:t>16.59</w:t>
            </w:r>
          </w:p>
        </w:tc>
        <w:tc>
          <w:tcPr>
            <w:tcW w:w="256" w:type="pct"/>
            <w:shd w:val="clear" w:color="auto" w:fill="auto"/>
            <w:noWrap/>
            <w:vAlign w:val="center"/>
            <w:hideMark/>
          </w:tcPr>
          <w:p w14:paraId="300C2C4A" w14:textId="77777777" w:rsidR="009D081E" w:rsidRPr="003B7A14" w:rsidRDefault="009D081E" w:rsidP="009A182B">
            <w:pPr>
              <w:widowControl/>
              <w:autoSpaceDE/>
              <w:autoSpaceDN/>
              <w:jc w:val="center"/>
              <w:rPr>
                <w:sz w:val="20"/>
                <w:szCs w:val="20"/>
              </w:rPr>
            </w:pPr>
            <w:r w:rsidRPr="003B7A14">
              <w:rPr>
                <w:sz w:val="20"/>
                <w:szCs w:val="20"/>
              </w:rPr>
              <w:t>3.588</w:t>
            </w:r>
          </w:p>
        </w:tc>
        <w:tc>
          <w:tcPr>
            <w:tcW w:w="268" w:type="pct"/>
            <w:shd w:val="clear" w:color="auto" w:fill="auto"/>
            <w:noWrap/>
            <w:vAlign w:val="center"/>
            <w:hideMark/>
          </w:tcPr>
          <w:p w14:paraId="5E0BE9F3" w14:textId="77777777" w:rsidR="009D081E" w:rsidRPr="003B7A14" w:rsidRDefault="009D081E" w:rsidP="009A182B">
            <w:pPr>
              <w:widowControl/>
              <w:autoSpaceDE/>
              <w:autoSpaceDN/>
              <w:jc w:val="center"/>
              <w:rPr>
                <w:sz w:val="20"/>
                <w:szCs w:val="20"/>
              </w:rPr>
            </w:pPr>
            <w:r w:rsidRPr="003B7A14">
              <w:rPr>
                <w:sz w:val="20"/>
                <w:szCs w:val="20"/>
              </w:rPr>
              <w:t>4.335</w:t>
            </w:r>
          </w:p>
        </w:tc>
        <w:tc>
          <w:tcPr>
            <w:tcW w:w="257" w:type="pct"/>
            <w:shd w:val="clear" w:color="auto" w:fill="auto"/>
            <w:noWrap/>
            <w:vAlign w:val="center"/>
            <w:hideMark/>
          </w:tcPr>
          <w:p w14:paraId="0A1AEBAB" w14:textId="77777777" w:rsidR="009D081E" w:rsidRPr="003B7A14" w:rsidRDefault="009D081E" w:rsidP="009A182B">
            <w:pPr>
              <w:widowControl/>
              <w:autoSpaceDE/>
              <w:autoSpaceDN/>
              <w:jc w:val="center"/>
              <w:rPr>
                <w:sz w:val="20"/>
                <w:szCs w:val="20"/>
              </w:rPr>
            </w:pPr>
            <w:r w:rsidRPr="003B7A14">
              <w:rPr>
                <w:sz w:val="20"/>
                <w:szCs w:val="20"/>
              </w:rPr>
              <w:t>3.961</w:t>
            </w:r>
          </w:p>
        </w:tc>
        <w:tc>
          <w:tcPr>
            <w:tcW w:w="257" w:type="pct"/>
            <w:shd w:val="clear" w:color="auto" w:fill="auto"/>
            <w:noWrap/>
            <w:vAlign w:val="center"/>
            <w:hideMark/>
          </w:tcPr>
          <w:p w14:paraId="45CFB12C" w14:textId="77777777" w:rsidR="009D081E" w:rsidRPr="003B7A14" w:rsidRDefault="009D081E" w:rsidP="009A182B">
            <w:pPr>
              <w:widowControl/>
              <w:autoSpaceDE/>
              <w:autoSpaceDN/>
              <w:jc w:val="center"/>
              <w:rPr>
                <w:sz w:val="20"/>
                <w:szCs w:val="20"/>
              </w:rPr>
            </w:pPr>
            <w:r w:rsidRPr="003B7A14">
              <w:rPr>
                <w:sz w:val="20"/>
                <w:szCs w:val="20"/>
              </w:rPr>
              <w:t>47.48</w:t>
            </w:r>
          </w:p>
        </w:tc>
        <w:tc>
          <w:tcPr>
            <w:tcW w:w="257" w:type="pct"/>
            <w:shd w:val="clear" w:color="auto" w:fill="auto"/>
            <w:noWrap/>
            <w:vAlign w:val="center"/>
            <w:hideMark/>
          </w:tcPr>
          <w:p w14:paraId="4BCCCBB6" w14:textId="77777777" w:rsidR="009D081E" w:rsidRPr="003B7A14" w:rsidRDefault="009D081E" w:rsidP="009A182B">
            <w:pPr>
              <w:widowControl/>
              <w:autoSpaceDE/>
              <w:autoSpaceDN/>
              <w:jc w:val="center"/>
              <w:rPr>
                <w:sz w:val="20"/>
                <w:szCs w:val="20"/>
              </w:rPr>
            </w:pPr>
            <w:r w:rsidRPr="003B7A14">
              <w:rPr>
                <w:sz w:val="20"/>
                <w:szCs w:val="20"/>
              </w:rPr>
              <w:t>47.10</w:t>
            </w:r>
          </w:p>
        </w:tc>
        <w:tc>
          <w:tcPr>
            <w:tcW w:w="249" w:type="pct"/>
            <w:shd w:val="clear" w:color="auto" w:fill="auto"/>
            <w:noWrap/>
            <w:vAlign w:val="center"/>
            <w:hideMark/>
          </w:tcPr>
          <w:p w14:paraId="0AAFE015" w14:textId="77777777" w:rsidR="009D081E" w:rsidRPr="003B7A14" w:rsidRDefault="009D081E" w:rsidP="009A182B">
            <w:pPr>
              <w:widowControl/>
              <w:autoSpaceDE/>
              <w:autoSpaceDN/>
              <w:jc w:val="center"/>
              <w:rPr>
                <w:sz w:val="20"/>
                <w:szCs w:val="20"/>
              </w:rPr>
            </w:pPr>
            <w:r w:rsidRPr="003B7A14">
              <w:rPr>
                <w:sz w:val="20"/>
                <w:szCs w:val="20"/>
              </w:rPr>
              <w:t>47.29</w:t>
            </w:r>
          </w:p>
        </w:tc>
      </w:tr>
      <w:tr w:rsidR="003B7A14" w:rsidRPr="003B7A14" w14:paraId="301992E9" w14:textId="77777777" w:rsidTr="009A182B">
        <w:trPr>
          <w:trHeight w:val="425"/>
        </w:trPr>
        <w:tc>
          <w:tcPr>
            <w:tcW w:w="270" w:type="pct"/>
            <w:shd w:val="clear" w:color="auto" w:fill="auto"/>
            <w:noWrap/>
            <w:vAlign w:val="center"/>
            <w:hideMark/>
          </w:tcPr>
          <w:p w14:paraId="2970B099"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30</w:t>
            </w:r>
          </w:p>
        </w:tc>
        <w:tc>
          <w:tcPr>
            <w:tcW w:w="257" w:type="pct"/>
            <w:shd w:val="clear" w:color="auto" w:fill="auto"/>
            <w:noWrap/>
            <w:vAlign w:val="center"/>
            <w:hideMark/>
          </w:tcPr>
          <w:p w14:paraId="6333B16D" w14:textId="77777777" w:rsidR="009D081E" w:rsidRPr="003B7A14" w:rsidRDefault="009D081E" w:rsidP="009A182B">
            <w:pPr>
              <w:widowControl/>
              <w:autoSpaceDE/>
              <w:autoSpaceDN/>
              <w:jc w:val="center"/>
              <w:rPr>
                <w:sz w:val="20"/>
                <w:szCs w:val="20"/>
              </w:rPr>
            </w:pPr>
            <w:r w:rsidRPr="003B7A14">
              <w:rPr>
                <w:sz w:val="20"/>
                <w:szCs w:val="20"/>
              </w:rPr>
              <w:t>0.250</w:t>
            </w:r>
          </w:p>
        </w:tc>
        <w:tc>
          <w:tcPr>
            <w:tcW w:w="308" w:type="pct"/>
            <w:shd w:val="clear" w:color="auto" w:fill="auto"/>
            <w:noWrap/>
            <w:vAlign w:val="center"/>
            <w:hideMark/>
          </w:tcPr>
          <w:p w14:paraId="512A8640" w14:textId="77777777" w:rsidR="009D081E" w:rsidRPr="003B7A14" w:rsidRDefault="009D081E" w:rsidP="009A182B">
            <w:pPr>
              <w:widowControl/>
              <w:autoSpaceDE/>
              <w:autoSpaceDN/>
              <w:jc w:val="center"/>
              <w:rPr>
                <w:sz w:val="20"/>
                <w:szCs w:val="20"/>
              </w:rPr>
            </w:pPr>
            <w:r w:rsidRPr="003B7A14">
              <w:rPr>
                <w:sz w:val="20"/>
                <w:szCs w:val="20"/>
              </w:rPr>
              <w:t>0.192</w:t>
            </w:r>
          </w:p>
        </w:tc>
        <w:tc>
          <w:tcPr>
            <w:tcW w:w="261" w:type="pct"/>
            <w:shd w:val="clear" w:color="auto" w:fill="auto"/>
            <w:noWrap/>
            <w:vAlign w:val="center"/>
            <w:hideMark/>
          </w:tcPr>
          <w:p w14:paraId="676D356A" w14:textId="77777777" w:rsidR="009D081E" w:rsidRPr="003B7A14" w:rsidRDefault="009D081E" w:rsidP="009A182B">
            <w:pPr>
              <w:widowControl/>
              <w:autoSpaceDE/>
              <w:autoSpaceDN/>
              <w:jc w:val="center"/>
              <w:rPr>
                <w:sz w:val="20"/>
                <w:szCs w:val="20"/>
              </w:rPr>
            </w:pPr>
            <w:r w:rsidRPr="003B7A14">
              <w:rPr>
                <w:sz w:val="20"/>
                <w:szCs w:val="20"/>
              </w:rPr>
              <w:t>0.221</w:t>
            </w:r>
          </w:p>
        </w:tc>
        <w:tc>
          <w:tcPr>
            <w:tcW w:w="308" w:type="pct"/>
            <w:shd w:val="clear" w:color="auto" w:fill="auto"/>
            <w:noWrap/>
            <w:vAlign w:val="center"/>
            <w:hideMark/>
          </w:tcPr>
          <w:p w14:paraId="63A7207D" w14:textId="77777777" w:rsidR="009D081E" w:rsidRPr="003B7A14" w:rsidRDefault="009D081E" w:rsidP="009A182B">
            <w:pPr>
              <w:widowControl/>
              <w:autoSpaceDE/>
              <w:autoSpaceDN/>
              <w:jc w:val="center"/>
              <w:rPr>
                <w:sz w:val="20"/>
                <w:szCs w:val="20"/>
              </w:rPr>
            </w:pPr>
            <w:r w:rsidRPr="003B7A14">
              <w:rPr>
                <w:sz w:val="20"/>
                <w:szCs w:val="20"/>
              </w:rPr>
              <w:t>1.852</w:t>
            </w:r>
          </w:p>
        </w:tc>
        <w:tc>
          <w:tcPr>
            <w:tcW w:w="257" w:type="pct"/>
            <w:shd w:val="clear" w:color="auto" w:fill="auto"/>
            <w:noWrap/>
            <w:vAlign w:val="center"/>
            <w:hideMark/>
          </w:tcPr>
          <w:p w14:paraId="1D96345A" w14:textId="77777777" w:rsidR="009D081E" w:rsidRPr="003B7A14" w:rsidRDefault="009D081E" w:rsidP="009A182B">
            <w:pPr>
              <w:widowControl/>
              <w:autoSpaceDE/>
              <w:autoSpaceDN/>
              <w:jc w:val="center"/>
              <w:rPr>
                <w:sz w:val="20"/>
                <w:szCs w:val="20"/>
              </w:rPr>
            </w:pPr>
            <w:r w:rsidRPr="003B7A14">
              <w:rPr>
                <w:sz w:val="20"/>
                <w:szCs w:val="20"/>
              </w:rPr>
              <w:t>2.128</w:t>
            </w:r>
          </w:p>
        </w:tc>
        <w:tc>
          <w:tcPr>
            <w:tcW w:w="256" w:type="pct"/>
            <w:shd w:val="clear" w:color="auto" w:fill="auto"/>
            <w:noWrap/>
            <w:vAlign w:val="center"/>
            <w:hideMark/>
          </w:tcPr>
          <w:p w14:paraId="26632B7A" w14:textId="77777777" w:rsidR="009D081E" w:rsidRPr="003B7A14" w:rsidRDefault="009D081E" w:rsidP="009A182B">
            <w:pPr>
              <w:widowControl/>
              <w:autoSpaceDE/>
              <w:autoSpaceDN/>
              <w:jc w:val="center"/>
              <w:rPr>
                <w:sz w:val="20"/>
                <w:szCs w:val="20"/>
              </w:rPr>
            </w:pPr>
            <w:r w:rsidRPr="003B7A14">
              <w:rPr>
                <w:sz w:val="20"/>
                <w:szCs w:val="20"/>
              </w:rPr>
              <w:t>1.990</w:t>
            </w:r>
          </w:p>
        </w:tc>
        <w:tc>
          <w:tcPr>
            <w:tcW w:w="257" w:type="pct"/>
            <w:shd w:val="clear" w:color="auto" w:fill="auto"/>
            <w:noWrap/>
            <w:vAlign w:val="center"/>
            <w:hideMark/>
          </w:tcPr>
          <w:p w14:paraId="4587A570" w14:textId="77777777" w:rsidR="009D081E" w:rsidRPr="003B7A14" w:rsidRDefault="009D081E" w:rsidP="009A182B">
            <w:pPr>
              <w:widowControl/>
              <w:autoSpaceDE/>
              <w:autoSpaceDN/>
              <w:jc w:val="center"/>
              <w:rPr>
                <w:sz w:val="20"/>
                <w:szCs w:val="20"/>
              </w:rPr>
            </w:pPr>
            <w:r w:rsidRPr="003B7A14">
              <w:rPr>
                <w:sz w:val="20"/>
                <w:szCs w:val="20"/>
              </w:rPr>
              <w:t>1.645</w:t>
            </w:r>
          </w:p>
        </w:tc>
        <w:tc>
          <w:tcPr>
            <w:tcW w:w="256" w:type="pct"/>
            <w:shd w:val="clear" w:color="auto" w:fill="auto"/>
            <w:noWrap/>
            <w:vAlign w:val="center"/>
            <w:hideMark/>
          </w:tcPr>
          <w:p w14:paraId="7FE2836A" w14:textId="77777777" w:rsidR="009D081E" w:rsidRPr="003B7A14" w:rsidRDefault="009D081E" w:rsidP="009A182B">
            <w:pPr>
              <w:widowControl/>
              <w:autoSpaceDE/>
              <w:autoSpaceDN/>
              <w:jc w:val="center"/>
              <w:rPr>
                <w:sz w:val="20"/>
                <w:szCs w:val="20"/>
              </w:rPr>
            </w:pPr>
            <w:r w:rsidRPr="003B7A14">
              <w:rPr>
                <w:sz w:val="20"/>
                <w:szCs w:val="20"/>
              </w:rPr>
              <w:t>1.622</w:t>
            </w:r>
          </w:p>
        </w:tc>
        <w:tc>
          <w:tcPr>
            <w:tcW w:w="257" w:type="pct"/>
            <w:shd w:val="clear" w:color="auto" w:fill="auto"/>
            <w:noWrap/>
            <w:vAlign w:val="center"/>
            <w:hideMark/>
          </w:tcPr>
          <w:p w14:paraId="2FD86F85" w14:textId="77777777" w:rsidR="009D081E" w:rsidRPr="003B7A14" w:rsidRDefault="009D081E" w:rsidP="009A182B">
            <w:pPr>
              <w:widowControl/>
              <w:autoSpaceDE/>
              <w:autoSpaceDN/>
              <w:jc w:val="center"/>
              <w:rPr>
                <w:sz w:val="20"/>
                <w:szCs w:val="20"/>
              </w:rPr>
            </w:pPr>
            <w:r w:rsidRPr="003B7A14">
              <w:rPr>
                <w:sz w:val="20"/>
                <w:szCs w:val="20"/>
              </w:rPr>
              <w:t>1.633</w:t>
            </w:r>
          </w:p>
        </w:tc>
        <w:tc>
          <w:tcPr>
            <w:tcW w:w="257" w:type="pct"/>
            <w:shd w:val="clear" w:color="auto" w:fill="auto"/>
            <w:noWrap/>
            <w:vAlign w:val="center"/>
            <w:hideMark/>
          </w:tcPr>
          <w:p w14:paraId="1D3B1E74" w14:textId="77777777" w:rsidR="009D081E" w:rsidRPr="003B7A14" w:rsidRDefault="009D081E" w:rsidP="009A182B">
            <w:pPr>
              <w:widowControl/>
              <w:autoSpaceDE/>
              <w:autoSpaceDN/>
              <w:jc w:val="center"/>
              <w:rPr>
                <w:sz w:val="20"/>
                <w:szCs w:val="20"/>
              </w:rPr>
            </w:pPr>
            <w:r w:rsidRPr="003B7A14">
              <w:rPr>
                <w:sz w:val="20"/>
                <w:szCs w:val="20"/>
              </w:rPr>
              <w:t>16.63</w:t>
            </w:r>
          </w:p>
        </w:tc>
        <w:tc>
          <w:tcPr>
            <w:tcW w:w="256" w:type="pct"/>
            <w:shd w:val="clear" w:color="auto" w:fill="auto"/>
            <w:noWrap/>
            <w:vAlign w:val="center"/>
            <w:hideMark/>
          </w:tcPr>
          <w:p w14:paraId="000C1984" w14:textId="77777777" w:rsidR="009D081E" w:rsidRPr="003B7A14" w:rsidRDefault="009D081E" w:rsidP="009A182B">
            <w:pPr>
              <w:widowControl/>
              <w:autoSpaceDE/>
              <w:autoSpaceDN/>
              <w:jc w:val="center"/>
              <w:rPr>
                <w:sz w:val="20"/>
                <w:szCs w:val="20"/>
              </w:rPr>
            </w:pPr>
            <w:r w:rsidRPr="003B7A14">
              <w:rPr>
                <w:sz w:val="20"/>
                <w:szCs w:val="20"/>
              </w:rPr>
              <w:t>13.57</w:t>
            </w:r>
          </w:p>
        </w:tc>
        <w:tc>
          <w:tcPr>
            <w:tcW w:w="257" w:type="pct"/>
            <w:shd w:val="clear" w:color="auto" w:fill="auto"/>
            <w:noWrap/>
            <w:vAlign w:val="center"/>
            <w:hideMark/>
          </w:tcPr>
          <w:p w14:paraId="6B3B9A78" w14:textId="77777777" w:rsidR="009D081E" w:rsidRPr="003B7A14" w:rsidRDefault="009D081E" w:rsidP="009A182B">
            <w:pPr>
              <w:widowControl/>
              <w:autoSpaceDE/>
              <w:autoSpaceDN/>
              <w:jc w:val="center"/>
              <w:rPr>
                <w:sz w:val="20"/>
                <w:szCs w:val="20"/>
              </w:rPr>
            </w:pPr>
            <w:r w:rsidRPr="003B7A14">
              <w:rPr>
                <w:sz w:val="20"/>
                <w:szCs w:val="20"/>
              </w:rPr>
              <w:t>15.10</w:t>
            </w:r>
          </w:p>
        </w:tc>
        <w:tc>
          <w:tcPr>
            <w:tcW w:w="256" w:type="pct"/>
            <w:shd w:val="clear" w:color="auto" w:fill="auto"/>
            <w:noWrap/>
            <w:vAlign w:val="center"/>
            <w:hideMark/>
          </w:tcPr>
          <w:p w14:paraId="68A1CC4D" w14:textId="77777777" w:rsidR="009D081E" w:rsidRPr="003B7A14" w:rsidRDefault="009D081E" w:rsidP="009A182B">
            <w:pPr>
              <w:widowControl/>
              <w:autoSpaceDE/>
              <w:autoSpaceDN/>
              <w:jc w:val="center"/>
              <w:rPr>
                <w:sz w:val="20"/>
                <w:szCs w:val="20"/>
              </w:rPr>
            </w:pPr>
            <w:r w:rsidRPr="003B7A14">
              <w:rPr>
                <w:sz w:val="20"/>
                <w:szCs w:val="20"/>
              </w:rPr>
              <w:t>3.618</w:t>
            </w:r>
          </w:p>
        </w:tc>
        <w:tc>
          <w:tcPr>
            <w:tcW w:w="268" w:type="pct"/>
            <w:shd w:val="clear" w:color="auto" w:fill="auto"/>
            <w:noWrap/>
            <w:vAlign w:val="center"/>
            <w:hideMark/>
          </w:tcPr>
          <w:p w14:paraId="2227A461" w14:textId="77777777" w:rsidR="009D081E" w:rsidRPr="003B7A14" w:rsidRDefault="009D081E" w:rsidP="009A182B">
            <w:pPr>
              <w:widowControl/>
              <w:autoSpaceDE/>
              <w:autoSpaceDN/>
              <w:jc w:val="center"/>
              <w:rPr>
                <w:sz w:val="20"/>
                <w:szCs w:val="20"/>
              </w:rPr>
            </w:pPr>
            <w:r w:rsidRPr="003B7A14">
              <w:rPr>
                <w:sz w:val="20"/>
                <w:szCs w:val="20"/>
              </w:rPr>
              <w:t>4.425</w:t>
            </w:r>
          </w:p>
        </w:tc>
        <w:tc>
          <w:tcPr>
            <w:tcW w:w="257" w:type="pct"/>
            <w:shd w:val="clear" w:color="auto" w:fill="auto"/>
            <w:noWrap/>
            <w:vAlign w:val="center"/>
            <w:hideMark/>
          </w:tcPr>
          <w:p w14:paraId="65D9E11F" w14:textId="77777777" w:rsidR="009D081E" w:rsidRPr="003B7A14" w:rsidRDefault="009D081E" w:rsidP="009A182B">
            <w:pPr>
              <w:widowControl/>
              <w:autoSpaceDE/>
              <w:autoSpaceDN/>
              <w:jc w:val="center"/>
              <w:rPr>
                <w:sz w:val="20"/>
                <w:szCs w:val="20"/>
              </w:rPr>
            </w:pPr>
            <w:r w:rsidRPr="003B7A14">
              <w:rPr>
                <w:sz w:val="20"/>
                <w:szCs w:val="20"/>
              </w:rPr>
              <w:t>4.022</w:t>
            </w:r>
          </w:p>
        </w:tc>
        <w:tc>
          <w:tcPr>
            <w:tcW w:w="257" w:type="pct"/>
            <w:shd w:val="clear" w:color="auto" w:fill="auto"/>
            <w:noWrap/>
            <w:vAlign w:val="center"/>
            <w:hideMark/>
          </w:tcPr>
          <w:p w14:paraId="729E51D4" w14:textId="77777777" w:rsidR="009D081E" w:rsidRPr="003B7A14" w:rsidRDefault="009D081E" w:rsidP="009A182B">
            <w:pPr>
              <w:widowControl/>
              <w:autoSpaceDE/>
              <w:autoSpaceDN/>
              <w:jc w:val="center"/>
              <w:rPr>
                <w:sz w:val="20"/>
                <w:szCs w:val="20"/>
              </w:rPr>
            </w:pPr>
            <w:r w:rsidRPr="003B7A14">
              <w:rPr>
                <w:sz w:val="20"/>
                <w:szCs w:val="20"/>
              </w:rPr>
              <w:t>47.50</w:t>
            </w:r>
          </w:p>
        </w:tc>
        <w:tc>
          <w:tcPr>
            <w:tcW w:w="257" w:type="pct"/>
            <w:shd w:val="clear" w:color="auto" w:fill="auto"/>
            <w:noWrap/>
            <w:vAlign w:val="center"/>
            <w:hideMark/>
          </w:tcPr>
          <w:p w14:paraId="3EB61D9D" w14:textId="77777777" w:rsidR="009D081E" w:rsidRPr="003B7A14" w:rsidRDefault="009D081E" w:rsidP="009A182B">
            <w:pPr>
              <w:widowControl/>
              <w:autoSpaceDE/>
              <w:autoSpaceDN/>
              <w:jc w:val="center"/>
              <w:rPr>
                <w:sz w:val="20"/>
                <w:szCs w:val="20"/>
              </w:rPr>
            </w:pPr>
            <w:r w:rsidRPr="003B7A14">
              <w:rPr>
                <w:sz w:val="20"/>
                <w:szCs w:val="20"/>
              </w:rPr>
              <w:t>49.56</w:t>
            </w:r>
          </w:p>
        </w:tc>
        <w:tc>
          <w:tcPr>
            <w:tcW w:w="249" w:type="pct"/>
            <w:shd w:val="clear" w:color="auto" w:fill="auto"/>
            <w:noWrap/>
            <w:vAlign w:val="center"/>
            <w:hideMark/>
          </w:tcPr>
          <w:p w14:paraId="6B9AE394" w14:textId="77777777" w:rsidR="009D081E" w:rsidRPr="003B7A14" w:rsidRDefault="009D081E" w:rsidP="009A182B">
            <w:pPr>
              <w:widowControl/>
              <w:autoSpaceDE/>
              <w:autoSpaceDN/>
              <w:jc w:val="center"/>
              <w:rPr>
                <w:sz w:val="20"/>
                <w:szCs w:val="20"/>
              </w:rPr>
            </w:pPr>
            <w:r w:rsidRPr="003B7A14">
              <w:rPr>
                <w:sz w:val="20"/>
                <w:szCs w:val="20"/>
              </w:rPr>
              <w:t>48.53</w:t>
            </w:r>
          </w:p>
        </w:tc>
      </w:tr>
      <w:tr w:rsidR="003B7A14" w:rsidRPr="003B7A14" w14:paraId="3A674714" w14:textId="77777777" w:rsidTr="009A182B">
        <w:trPr>
          <w:trHeight w:val="425"/>
        </w:trPr>
        <w:tc>
          <w:tcPr>
            <w:tcW w:w="270" w:type="pct"/>
            <w:shd w:val="clear" w:color="auto" w:fill="auto"/>
            <w:noWrap/>
            <w:vAlign w:val="center"/>
            <w:hideMark/>
          </w:tcPr>
          <w:p w14:paraId="6025CF15"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45</w:t>
            </w:r>
          </w:p>
        </w:tc>
        <w:tc>
          <w:tcPr>
            <w:tcW w:w="257" w:type="pct"/>
            <w:shd w:val="clear" w:color="auto" w:fill="auto"/>
            <w:noWrap/>
            <w:vAlign w:val="center"/>
            <w:hideMark/>
          </w:tcPr>
          <w:p w14:paraId="25863BB0" w14:textId="77777777" w:rsidR="009D081E" w:rsidRPr="003B7A14" w:rsidRDefault="009D081E" w:rsidP="009A182B">
            <w:pPr>
              <w:widowControl/>
              <w:autoSpaceDE/>
              <w:autoSpaceDN/>
              <w:jc w:val="center"/>
              <w:rPr>
                <w:sz w:val="20"/>
                <w:szCs w:val="20"/>
              </w:rPr>
            </w:pPr>
            <w:r w:rsidRPr="003B7A14">
              <w:rPr>
                <w:sz w:val="20"/>
                <w:szCs w:val="20"/>
              </w:rPr>
              <w:t>0.204</w:t>
            </w:r>
          </w:p>
        </w:tc>
        <w:tc>
          <w:tcPr>
            <w:tcW w:w="308" w:type="pct"/>
            <w:shd w:val="clear" w:color="auto" w:fill="auto"/>
            <w:noWrap/>
            <w:vAlign w:val="center"/>
            <w:hideMark/>
          </w:tcPr>
          <w:p w14:paraId="29AC875C" w14:textId="77777777" w:rsidR="009D081E" w:rsidRPr="003B7A14" w:rsidRDefault="009D081E" w:rsidP="009A182B">
            <w:pPr>
              <w:widowControl/>
              <w:autoSpaceDE/>
              <w:autoSpaceDN/>
              <w:jc w:val="center"/>
              <w:rPr>
                <w:sz w:val="20"/>
                <w:szCs w:val="20"/>
              </w:rPr>
            </w:pPr>
            <w:r w:rsidRPr="003B7A14">
              <w:rPr>
                <w:sz w:val="20"/>
                <w:szCs w:val="20"/>
              </w:rPr>
              <w:t>0.136</w:t>
            </w:r>
          </w:p>
        </w:tc>
        <w:tc>
          <w:tcPr>
            <w:tcW w:w="261" w:type="pct"/>
            <w:shd w:val="clear" w:color="auto" w:fill="auto"/>
            <w:noWrap/>
            <w:vAlign w:val="center"/>
            <w:hideMark/>
          </w:tcPr>
          <w:p w14:paraId="5AD1A5A5" w14:textId="77777777" w:rsidR="009D081E" w:rsidRPr="003B7A14" w:rsidRDefault="009D081E" w:rsidP="009A182B">
            <w:pPr>
              <w:widowControl/>
              <w:autoSpaceDE/>
              <w:autoSpaceDN/>
              <w:jc w:val="center"/>
              <w:rPr>
                <w:sz w:val="20"/>
                <w:szCs w:val="20"/>
              </w:rPr>
            </w:pPr>
            <w:r w:rsidRPr="003B7A14">
              <w:rPr>
                <w:sz w:val="20"/>
                <w:szCs w:val="20"/>
              </w:rPr>
              <w:t>0.170</w:t>
            </w:r>
          </w:p>
        </w:tc>
        <w:tc>
          <w:tcPr>
            <w:tcW w:w="308" w:type="pct"/>
            <w:shd w:val="clear" w:color="auto" w:fill="auto"/>
            <w:noWrap/>
            <w:vAlign w:val="center"/>
            <w:hideMark/>
          </w:tcPr>
          <w:p w14:paraId="37CC80E3" w14:textId="77777777" w:rsidR="009D081E" w:rsidRPr="003B7A14" w:rsidRDefault="009D081E" w:rsidP="009A182B">
            <w:pPr>
              <w:widowControl/>
              <w:autoSpaceDE/>
              <w:autoSpaceDN/>
              <w:jc w:val="center"/>
              <w:rPr>
                <w:sz w:val="20"/>
                <w:szCs w:val="20"/>
              </w:rPr>
            </w:pPr>
            <w:r w:rsidRPr="003B7A14">
              <w:rPr>
                <w:sz w:val="20"/>
                <w:szCs w:val="20"/>
              </w:rPr>
              <w:t>1.814</w:t>
            </w:r>
          </w:p>
        </w:tc>
        <w:tc>
          <w:tcPr>
            <w:tcW w:w="257" w:type="pct"/>
            <w:shd w:val="clear" w:color="auto" w:fill="auto"/>
            <w:noWrap/>
            <w:vAlign w:val="center"/>
            <w:hideMark/>
          </w:tcPr>
          <w:p w14:paraId="3B79450E" w14:textId="77777777" w:rsidR="009D081E" w:rsidRPr="003B7A14" w:rsidRDefault="009D081E" w:rsidP="009A182B">
            <w:pPr>
              <w:widowControl/>
              <w:autoSpaceDE/>
              <w:autoSpaceDN/>
              <w:jc w:val="center"/>
              <w:rPr>
                <w:sz w:val="20"/>
                <w:szCs w:val="20"/>
              </w:rPr>
            </w:pPr>
            <w:r w:rsidRPr="003B7A14">
              <w:rPr>
                <w:sz w:val="20"/>
                <w:szCs w:val="20"/>
              </w:rPr>
              <w:t>1.694</w:t>
            </w:r>
          </w:p>
        </w:tc>
        <w:tc>
          <w:tcPr>
            <w:tcW w:w="256" w:type="pct"/>
            <w:shd w:val="clear" w:color="auto" w:fill="auto"/>
            <w:noWrap/>
            <w:vAlign w:val="center"/>
            <w:hideMark/>
          </w:tcPr>
          <w:p w14:paraId="365AF397" w14:textId="77777777" w:rsidR="009D081E" w:rsidRPr="003B7A14" w:rsidRDefault="009D081E" w:rsidP="009A182B">
            <w:pPr>
              <w:widowControl/>
              <w:autoSpaceDE/>
              <w:autoSpaceDN/>
              <w:jc w:val="center"/>
              <w:rPr>
                <w:sz w:val="20"/>
                <w:szCs w:val="20"/>
              </w:rPr>
            </w:pPr>
            <w:r w:rsidRPr="003B7A14">
              <w:rPr>
                <w:sz w:val="20"/>
                <w:szCs w:val="20"/>
              </w:rPr>
              <w:t>1.754</w:t>
            </w:r>
          </w:p>
        </w:tc>
        <w:tc>
          <w:tcPr>
            <w:tcW w:w="257" w:type="pct"/>
            <w:shd w:val="clear" w:color="auto" w:fill="auto"/>
            <w:noWrap/>
            <w:vAlign w:val="center"/>
            <w:hideMark/>
          </w:tcPr>
          <w:p w14:paraId="5A3FC8F6" w14:textId="77777777" w:rsidR="009D081E" w:rsidRPr="003B7A14" w:rsidRDefault="009D081E" w:rsidP="009A182B">
            <w:pPr>
              <w:widowControl/>
              <w:autoSpaceDE/>
              <w:autoSpaceDN/>
              <w:jc w:val="center"/>
              <w:rPr>
                <w:sz w:val="20"/>
                <w:szCs w:val="20"/>
              </w:rPr>
            </w:pPr>
            <w:r w:rsidRPr="003B7A14">
              <w:rPr>
                <w:sz w:val="20"/>
                <w:szCs w:val="20"/>
              </w:rPr>
              <w:t>1.752</w:t>
            </w:r>
          </w:p>
        </w:tc>
        <w:tc>
          <w:tcPr>
            <w:tcW w:w="256" w:type="pct"/>
            <w:shd w:val="clear" w:color="auto" w:fill="auto"/>
            <w:noWrap/>
            <w:vAlign w:val="center"/>
            <w:hideMark/>
          </w:tcPr>
          <w:p w14:paraId="5C0D6ECA" w14:textId="77777777" w:rsidR="009D081E" w:rsidRPr="003B7A14" w:rsidRDefault="009D081E" w:rsidP="009A182B">
            <w:pPr>
              <w:widowControl/>
              <w:autoSpaceDE/>
              <w:autoSpaceDN/>
              <w:jc w:val="center"/>
              <w:rPr>
                <w:sz w:val="20"/>
                <w:szCs w:val="20"/>
              </w:rPr>
            </w:pPr>
            <w:r w:rsidRPr="003B7A14">
              <w:rPr>
                <w:sz w:val="20"/>
                <w:szCs w:val="20"/>
              </w:rPr>
              <w:t>2.503</w:t>
            </w:r>
          </w:p>
        </w:tc>
        <w:tc>
          <w:tcPr>
            <w:tcW w:w="257" w:type="pct"/>
            <w:shd w:val="clear" w:color="auto" w:fill="auto"/>
            <w:noWrap/>
            <w:vAlign w:val="center"/>
            <w:hideMark/>
          </w:tcPr>
          <w:p w14:paraId="0A602B08" w14:textId="77777777" w:rsidR="009D081E" w:rsidRPr="003B7A14" w:rsidRDefault="009D081E" w:rsidP="009A182B">
            <w:pPr>
              <w:widowControl/>
              <w:autoSpaceDE/>
              <w:autoSpaceDN/>
              <w:jc w:val="center"/>
              <w:rPr>
                <w:sz w:val="20"/>
                <w:szCs w:val="20"/>
              </w:rPr>
            </w:pPr>
            <w:r w:rsidRPr="003B7A14">
              <w:rPr>
                <w:sz w:val="20"/>
                <w:szCs w:val="20"/>
              </w:rPr>
              <w:t>2.127</w:t>
            </w:r>
          </w:p>
        </w:tc>
        <w:tc>
          <w:tcPr>
            <w:tcW w:w="257" w:type="pct"/>
            <w:shd w:val="clear" w:color="auto" w:fill="auto"/>
            <w:noWrap/>
            <w:vAlign w:val="center"/>
            <w:hideMark/>
          </w:tcPr>
          <w:p w14:paraId="265F77BF" w14:textId="77777777" w:rsidR="009D081E" w:rsidRPr="003B7A14" w:rsidRDefault="009D081E" w:rsidP="009A182B">
            <w:pPr>
              <w:widowControl/>
              <w:autoSpaceDE/>
              <w:autoSpaceDN/>
              <w:jc w:val="center"/>
              <w:rPr>
                <w:sz w:val="20"/>
                <w:szCs w:val="20"/>
              </w:rPr>
            </w:pPr>
            <w:r w:rsidRPr="003B7A14">
              <w:rPr>
                <w:sz w:val="20"/>
                <w:szCs w:val="20"/>
              </w:rPr>
              <w:t>16.45</w:t>
            </w:r>
          </w:p>
        </w:tc>
        <w:tc>
          <w:tcPr>
            <w:tcW w:w="256" w:type="pct"/>
            <w:shd w:val="clear" w:color="auto" w:fill="auto"/>
            <w:noWrap/>
            <w:vAlign w:val="center"/>
            <w:hideMark/>
          </w:tcPr>
          <w:p w14:paraId="3781A9D0" w14:textId="77777777" w:rsidR="009D081E" w:rsidRPr="003B7A14" w:rsidRDefault="009D081E" w:rsidP="009A182B">
            <w:pPr>
              <w:widowControl/>
              <w:autoSpaceDE/>
              <w:autoSpaceDN/>
              <w:jc w:val="center"/>
              <w:rPr>
                <w:sz w:val="20"/>
                <w:szCs w:val="20"/>
              </w:rPr>
            </w:pPr>
            <w:r w:rsidRPr="003B7A14">
              <w:rPr>
                <w:sz w:val="20"/>
                <w:szCs w:val="20"/>
              </w:rPr>
              <w:t>11.13</w:t>
            </w:r>
          </w:p>
        </w:tc>
        <w:tc>
          <w:tcPr>
            <w:tcW w:w="257" w:type="pct"/>
            <w:shd w:val="clear" w:color="auto" w:fill="auto"/>
            <w:noWrap/>
            <w:vAlign w:val="center"/>
            <w:hideMark/>
          </w:tcPr>
          <w:p w14:paraId="045C58B9" w14:textId="77777777" w:rsidR="009D081E" w:rsidRPr="003B7A14" w:rsidRDefault="009D081E" w:rsidP="009A182B">
            <w:pPr>
              <w:widowControl/>
              <w:autoSpaceDE/>
              <w:autoSpaceDN/>
              <w:jc w:val="center"/>
              <w:rPr>
                <w:sz w:val="20"/>
                <w:szCs w:val="20"/>
              </w:rPr>
            </w:pPr>
            <w:r w:rsidRPr="003B7A14">
              <w:rPr>
                <w:sz w:val="20"/>
                <w:szCs w:val="20"/>
              </w:rPr>
              <w:t>13.79</w:t>
            </w:r>
          </w:p>
        </w:tc>
        <w:tc>
          <w:tcPr>
            <w:tcW w:w="256" w:type="pct"/>
            <w:shd w:val="clear" w:color="auto" w:fill="auto"/>
            <w:noWrap/>
            <w:vAlign w:val="center"/>
            <w:hideMark/>
          </w:tcPr>
          <w:p w14:paraId="65C4619C" w14:textId="77777777" w:rsidR="009D081E" w:rsidRPr="003B7A14" w:rsidRDefault="009D081E" w:rsidP="009A182B">
            <w:pPr>
              <w:widowControl/>
              <w:autoSpaceDE/>
              <w:autoSpaceDN/>
              <w:jc w:val="center"/>
              <w:rPr>
                <w:sz w:val="20"/>
                <w:szCs w:val="20"/>
              </w:rPr>
            </w:pPr>
            <w:r w:rsidRPr="003B7A14">
              <w:rPr>
                <w:sz w:val="20"/>
                <w:szCs w:val="20"/>
              </w:rPr>
              <w:t>3.656</w:t>
            </w:r>
          </w:p>
        </w:tc>
        <w:tc>
          <w:tcPr>
            <w:tcW w:w="268" w:type="pct"/>
            <w:shd w:val="clear" w:color="auto" w:fill="auto"/>
            <w:noWrap/>
            <w:vAlign w:val="center"/>
            <w:hideMark/>
          </w:tcPr>
          <w:p w14:paraId="39E1848D" w14:textId="77777777" w:rsidR="009D081E" w:rsidRPr="003B7A14" w:rsidRDefault="009D081E" w:rsidP="009A182B">
            <w:pPr>
              <w:widowControl/>
              <w:autoSpaceDE/>
              <w:autoSpaceDN/>
              <w:jc w:val="center"/>
              <w:rPr>
                <w:sz w:val="20"/>
                <w:szCs w:val="20"/>
              </w:rPr>
            </w:pPr>
            <w:r w:rsidRPr="003B7A14">
              <w:rPr>
                <w:sz w:val="20"/>
                <w:szCs w:val="20"/>
              </w:rPr>
              <w:t>3.260</w:t>
            </w:r>
          </w:p>
        </w:tc>
        <w:tc>
          <w:tcPr>
            <w:tcW w:w="257" w:type="pct"/>
            <w:shd w:val="clear" w:color="auto" w:fill="auto"/>
            <w:noWrap/>
            <w:vAlign w:val="center"/>
            <w:hideMark/>
          </w:tcPr>
          <w:p w14:paraId="1BA6D7C3" w14:textId="77777777" w:rsidR="009D081E" w:rsidRPr="003B7A14" w:rsidRDefault="009D081E" w:rsidP="009A182B">
            <w:pPr>
              <w:widowControl/>
              <w:autoSpaceDE/>
              <w:autoSpaceDN/>
              <w:jc w:val="center"/>
              <w:rPr>
                <w:sz w:val="20"/>
                <w:szCs w:val="20"/>
              </w:rPr>
            </w:pPr>
            <w:r w:rsidRPr="003B7A14">
              <w:rPr>
                <w:sz w:val="20"/>
                <w:szCs w:val="20"/>
              </w:rPr>
              <w:t>3.458</w:t>
            </w:r>
          </w:p>
        </w:tc>
        <w:tc>
          <w:tcPr>
            <w:tcW w:w="257" w:type="pct"/>
            <w:shd w:val="clear" w:color="auto" w:fill="auto"/>
            <w:noWrap/>
            <w:vAlign w:val="center"/>
            <w:hideMark/>
          </w:tcPr>
          <w:p w14:paraId="6AB012B4" w14:textId="77777777" w:rsidR="009D081E" w:rsidRPr="003B7A14" w:rsidRDefault="009D081E" w:rsidP="009A182B">
            <w:pPr>
              <w:widowControl/>
              <w:autoSpaceDE/>
              <w:autoSpaceDN/>
              <w:jc w:val="center"/>
              <w:rPr>
                <w:sz w:val="20"/>
                <w:szCs w:val="20"/>
              </w:rPr>
            </w:pPr>
            <w:r w:rsidRPr="003B7A14">
              <w:rPr>
                <w:sz w:val="20"/>
                <w:szCs w:val="20"/>
              </w:rPr>
              <w:t>47.62</w:t>
            </w:r>
          </w:p>
        </w:tc>
        <w:tc>
          <w:tcPr>
            <w:tcW w:w="257" w:type="pct"/>
            <w:shd w:val="clear" w:color="auto" w:fill="auto"/>
            <w:noWrap/>
            <w:vAlign w:val="center"/>
            <w:hideMark/>
          </w:tcPr>
          <w:p w14:paraId="7FCA6C70" w14:textId="77777777" w:rsidR="009D081E" w:rsidRPr="003B7A14" w:rsidRDefault="009D081E" w:rsidP="009A182B">
            <w:pPr>
              <w:widowControl/>
              <w:autoSpaceDE/>
              <w:autoSpaceDN/>
              <w:jc w:val="center"/>
              <w:rPr>
                <w:sz w:val="20"/>
                <w:szCs w:val="20"/>
              </w:rPr>
            </w:pPr>
            <w:r w:rsidRPr="003B7A14">
              <w:rPr>
                <w:sz w:val="20"/>
                <w:szCs w:val="20"/>
              </w:rPr>
              <w:t>52.77</w:t>
            </w:r>
          </w:p>
        </w:tc>
        <w:tc>
          <w:tcPr>
            <w:tcW w:w="249" w:type="pct"/>
            <w:shd w:val="clear" w:color="auto" w:fill="auto"/>
            <w:noWrap/>
            <w:vAlign w:val="center"/>
            <w:hideMark/>
          </w:tcPr>
          <w:p w14:paraId="13AEF7DB" w14:textId="77777777" w:rsidR="009D081E" w:rsidRPr="003B7A14" w:rsidRDefault="009D081E" w:rsidP="009A182B">
            <w:pPr>
              <w:widowControl/>
              <w:autoSpaceDE/>
              <w:autoSpaceDN/>
              <w:jc w:val="center"/>
              <w:rPr>
                <w:sz w:val="20"/>
                <w:szCs w:val="20"/>
              </w:rPr>
            </w:pPr>
            <w:r w:rsidRPr="003B7A14">
              <w:rPr>
                <w:sz w:val="20"/>
                <w:szCs w:val="20"/>
              </w:rPr>
              <w:t>50.20</w:t>
            </w:r>
          </w:p>
        </w:tc>
      </w:tr>
      <w:tr w:rsidR="003B7A14" w:rsidRPr="003B7A14" w14:paraId="146251D4" w14:textId="77777777" w:rsidTr="009A182B">
        <w:trPr>
          <w:trHeight w:val="425"/>
        </w:trPr>
        <w:tc>
          <w:tcPr>
            <w:tcW w:w="270" w:type="pct"/>
            <w:shd w:val="clear" w:color="auto" w:fill="auto"/>
            <w:noWrap/>
            <w:vAlign w:val="center"/>
            <w:hideMark/>
          </w:tcPr>
          <w:p w14:paraId="271E9EC9"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60</w:t>
            </w:r>
          </w:p>
        </w:tc>
        <w:tc>
          <w:tcPr>
            <w:tcW w:w="257" w:type="pct"/>
            <w:shd w:val="clear" w:color="auto" w:fill="auto"/>
            <w:noWrap/>
            <w:vAlign w:val="center"/>
            <w:hideMark/>
          </w:tcPr>
          <w:p w14:paraId="5CBE5AA9" w14:textId="77777777" w:rsidR="009D081E" w:rsidRPr="003B7A14" w:rsidRDefault="009D081E" w:rsidP="009A182B">
            <w:pPr>
              <w:widowControl/>
              <w:autoSpaceDE/>
              <w:autoSpaceDN/>
              <w:jc w:val="center"/>
              <w:rPr>
                <w:sz w:val="20"/>
                <w:szCs w:val="20"/>
              </w:rPr>
            </w:pPr>
            <w:r w:rsidRPr="003B7A14">
              <w:rPr>
                <w:sz w:val="20"/>
                <w:szCs w:val="20"/>
              </w:rPr>
              <w:t>0.178</w:t>
            </w:r>
          </w:p>
        </w:tc>
        <w:tc>
          <w:tcPr>
            <w:tcW w:w="308" w:type="pct"/>
            <w:shd w:val="clear" w:color="auto" w:fill="auto"/>
            <w:noWrap/>
            <w:vAlign w:val="center"/>
            <w:hideMark/>
          </w:tcPr>
          <w:p w14:paraId="0DA8F6D7" w14:textId="77777777" w:rsidR="009D081E" w:rsidRPr="003B7A14" w:rsidRDefault="009D081E" w:rsidP="009A182B">
            <w:pPr>
              <w:widowControl/>
              <w:autoSpaceDE/>
              <w:autoSpaceDN/>
              <w:jc w:val="center"/>
              <w:rPr>
                <w:sz w:val="20"/>
                <w:szCs w:val="20"/>
              </w:rPr>
            </w:pPr>
            <w:r w:rsidRPr="003B7A14">
              <w:rPr>
                <w:sz w:val="20"/>
                <w:szCs w:val="20"/>
              </w:rPr>
              <w:t>0.081</w:t>
            </w:r>
          </w:p>
        </w:tc>
        <w:tc>
          <w:tcPr>
            <w:tcW w:w="261" w:type="pct"/>
            <w:shd w:val="clear" w:color="auto" w:fill="auto"/>
            <w:noWrap/>
            <w:vAlign w:val="center"/>
            <w:hideMark/>
          </w:tcPr>
          <w:p w14:paraId="261249BC" w14:textId="77777777" w:rsidR="009D081E" w:rsidRPr="003B7A14" w:rsidRDefault="009D081E" w:rsidP="009A182B">
            <w:pPr>
              <w:widowControl/>
              <w:autoSpaceDE/>
              <w:autoSpaceDN/>
              <w:jc w:val="center"/>
              <w:rPr>
                <w:sz w:val="20"/>
                <w:szCs w:val="20"/>
              </w:rPr>
            </w:pPr>
            <w:r w:rsidRPr="003B7A14">
              <w:rPr>
                <w:sz w:val="20"/>
                <w:szCs w:val="20"/>
              </w:rPr>
              <w:t>0.130</w:t>
            </w:r>
          </w:p>
        </w:tc>
        <w:tc>
          <w:tcPr>
            <w:tcW w:w="308" w:type="pct"/>
            <w:shd w:val="clear" w:color="auto" w:fill="auto"/>
            <w:noWrap/>
            <w:vAlign w:val="center"/>
            <w:hideMark/>
          </w:tcPr>
          <w:p w14:paraId="26A36A8B" w14:textId="77777777" w:rsidR="009D081E" w:rsidRPr="003B7A14" w:rsidRDefault="009D081E" w:rsidP="009A182B">
            <w:pPr>
              <w:widowControl/>
              <w:autoSpaceDE/>
              <w:autoSpaceDN/>
              <w:jc w:val="center"/>
              <w:rPr>
                <w:sz w:val="20"/>
                <w:szCs w:val="20"/>
              </w:rPr>
            </w:pPr>
            <w:r w:rsidRPr="003B7A14">
              <w:rPr>
                <w:sz w:val="20"/>
                <w:szCs w:val="20"/>
              </w:rPr>
              <w:t>1.650</w:t>
            </w:r>
          </w:p>
        </w:tc>
        <w:tc>
          <w:tcPr>
            <w:tcW w:w="257" w:type="pct"/>
            <w:shd w:val="clear" w:color="auto" w:fill="auto"/>
            <w:noWrap/>
            <w:vAlign w:val="center"/>
            <w:hideMark/>
          </w:tcPr>
          <w:p w14:paraId="663B27A4" w14:textId="77777777" w:rsidR="009D081E" w:rsidRPr="003B7A14" w:rsidRDefault="009D081E" w:rsidP="009A182B">
            <w:pPr>
              <w:widowControl/>
              <w:autoSpaceDE/>
              <w:autoSpaceDN/>
              <w:jc w:val="center"/>
              <w:rPr>
                <w:sz w:val="20"/>
                <w:szCs w:val="20"/>
              </w:rPr>
            </w:pPr>
            <w:r w:rsidRPr="003B7A14">
              <w:rPr>
                <w:sz w:val="20"/>
                <w:szCs w:val="20"/>
              </w:rPr>
              <w:t>1.435</w:t>
            </w:r>
          </w:p>
        </w:tc>
        <w:tc>
          <w:tcPr>
            <w:tcW w:w="256" w:type="pct"/>
            <w:shd w:val="clear" w:color="auto" w:fill="auto"/>
            <w:noWrap/>
            <w:vAlign w:val="center"/>
            <w:hideMark/>
          </w:tcPr>
          <w:p w14:paraId="066CB3EB" w14:textId="77777777" w:rsidR="009D081E" w:rsidRPr="003B7A14" w:rsidRDefault="009D081E" w:rsidP="009A182B">
            <w:pPr>
              <w:widowControl/>
              <w:autoSpaceDE/>
              <w:autoSpaceDN/>
              <w:jc w:val="center"/>
              <w:rPr>
                <w:sz w:val="20"/>
                <w:szCs w:val="20"/>
              </w:rPr>
            </w:pPr>
            <w:r w:rsidRPr="003B7A14">
              <w:rPr>
                <w:sz w:val="20"/>
                <w:szCs w:val="20"/>
              </w:rPr>
              <w:t>1.542</w:t>
            </w:r>
          </w:p>
        </w:tc>
        <w:tc>
          <w:tcPr>
            <w:tcW w:w="257" w:type="pct"/>
            <w:shd w:val="clear" w:color="auto" w:fill="auto"/>
            <w:noWrap/>
            <w:vAlign w:val="center"/>
            <w:hideMark/>
          </w:tcPr>
          <w:p w14:paraId="133F0315" w14:textId="77777777" w:rsidR="009D081E" w:rsidRPr="003B7A14" w:rsidRDefault="009D081E" w:rsidP="009A182B">
            <w:pPr>
              <w:widowControl/>
              <w:autoSpaceDE/>
              <w:autoSpaceDN/>
              <w:jc w:val="center"/>
              <w:rPr>
                <w:sz w:val="20"/>
                <w:szCs w:val="20"/>
              </w:rPr>
            </w:pPr>
            <w:r w:rsidRPr="003B7A14">
              <w:rPr>
                <w:sz w:val="20"/>
                <w:szCs w:val="20"/>
              </w:rPr>
              <w:t>1.863</w:t>
            </w:r>
          </w:p>
        </w:tc>
        <w:tc>
          <w:tcPr>
            <w:tcW w:w="256" w:type="pct"/>
            <w:shd w:val="clear" w:color="auto" w:fill="auto"/>
            <w:noWrap/>
            <w:vAlign w:val="center"/>
            <w:hideMark/>
          </w:tcPr>
          <w:p w14:paraId="736605C2" w14:textId="77777777" w:rsidR="009D081E" w:rsidRPr="003B7A14" w:rsidRDefault="009D081E" w:rsidP="009A182B">
            <w:pPr>
              <w:widowControl/>
              <w:autoSpaceDE/>
              <w:autoSpaceDN/>
              <w:jc w:val="center"/>
              <w:rPr>
                <w:sz w:val="20"/>
                <w:szCs w:val="20"/>
              </w:rPr>
            </w:pPr>
            <w:r w:rsidRPr="003B7A14">
              <w:rPr>
                <w:sz w:val="20"/>
                <w:szCs w:val="20"/>
              </w:rPr>
              <w:t>2.661</w:t>
            </w:r>
          </w:p>
        </w:tc>
        <w:tc>
          <w:tcPr>
            <w:tcW w:w="257" w:type="pct"/>
            <w:shd w:val="clear" w:color="auto" w:fill="auto"/>
            <w:noWrap/>
            <w:vAlign w:val="center"/>
            <w:hideMark/>
          </w:tcPr>
          <w:p w14:paraId="2BF7C81B" w14:textId="77777777" w:rsidR="009D081E" w:rsidRPr="003B7A14" w:rsidRDefault="009D081E" w:rsidP="009A182B">
            <w:pPr>
              <w:widowControl/>
              <w:autoSpaceDE/>
              <w:autoSpaceDN/>
              <w:jc w:val="center"/>
              <w:rPr>
                <w:sz w:val="20"/>
                <w:szCs w:val="20"/>
              </w:rPr>
            </w:pPr>
            <w:r w:rsidRPr="003B7A14">
              <w:rPr>
                <w:sz w:val="20"/>
                <w:szCs w:val="20"/>
              </w:rPr>
              <w:t>2.262</w:t>
            </w:r>
          </w:p>
        </w:tc>
        <w:tc>
          <w:tcPr>
            <w:tcW w:w="257" w:type="pct"/>
            <w:shd w:val="clear" w:color="auto" w:fill="auto"/>
            <w:noWrap/>
            <w:vAlign w:val="center"/>
            <w:hideMark/>
          </w:tcPr>
          <w:p w14:paraId="5BC48B8C" w14:textId="77777777" w:rsidR="009D081E" w:rsidRPr="003B7A14" w:rsidRDefault="009D081E" w:rsidP="009A182B">
            <w:pPr>
              <w:widowControl/>
              <w:autoSpaceDE/>
              <w:autoSpaceDN/>
              <w:jc w:val="center"/>
              <w:rPr>
                <w:sz w:val="20"/>
                <w:szCs w:val="20"/>
              </w:rPr>
            </w:pPr>
            <w:r w:rsidRPr="003B7A14">
              <w:rPr>
                <w:sz w:val="20"/>
                <w:szCs w:val="20"/>
              </w:rPr>
              <w:t>16.17</w:t>
            </w:r>
          </w:p>
        </w:tc>
        <w:tc>
          <w:tcPr>
            <w:tcW w:w="256" w:type="pct"/>
            <w:shd w:val="clear" w:color="auto" w:fill="auto"/>
            <w:noWrap/>
            <w:vAlign w:val="center"/>
            <w:hideMark/>
          </w:tcPr>
          <w:p w14:paraId="1E2A6E9A" w14:textId="77777777" w:rsidR="009D081E" w:rsidRPr="003B7A14" w:rsidRDefault="009D081E" w:rsidP="009A182B">
            <w:pPr>
              <w:widowControl/>
              <w:autoSpaceDE/>
              <w:autoSpaceDN/>
              <w:jc w:val="center"/>
              <w:rPr>
                <w:sz w:val="20"/>
                <w:szCs w:val="20"/>
              </w:rPr>
            </w:pPr>
            <w:r w:rsidRPr="003B7A14">
              <w:rPr>
                <w:sz w:val="20"/>
                <w:szCs w:val="20"/>
              </w:rPr>
              <w:t>10.68</w:t>
            </w:r>
          </w:p>
        </w:tc>
        <w:tc>
          <w:tcPr>
            <w:tcW w:w="257" w:type="pct"/>
            <w:shd w:val="clear" w:color="auto" w:fill="auto"/>
            <w:noWrap/>
            <w:vAlign w:val="center"/>
            <w:hideMark/>
          </w:tcPr>
          <w:p w14:paraId="5CE1BD45" w14:textId="77777777" w:rsidR="009D081E" w:rsidRPr="003B7A14" w:rsidRDefault="009D081E" w:rsidP="009A182B">
            <w:pPr>
              <w:widowControl/>
              <w:autoSpaceDE/>
              <w:autoSpaceDN/>
              <w:jc w:val="center"/>
              <w:rPr>
                <w:sz w:val="20"/>
                <w:szCs w:val="20"/>
              </w:rPr>
            </w:pPr>
            <w:r w:rsidRPr="003B7A14">
              <w:rPr>
                <w:sz w:val="20"/>
                <w:szCs w:val="20"/>
              </w:rPr>
              <w:t>13.43</w:t>
            </w:r>
          </w:p>
        </w:tc>
        <w:tc>
          <w:tcPr>
            <w:tcW w:w="256" w:type="pct"/>
            <w:shd w:val="clear" w:color="auto" w:fill="auto"/>
            <w:noWrap/>
            <w:vAlign w:val="center"/>
            <w:hideMark/>
          </w:tcPr>
          <w:p w14:paraId="5B26EA2A" w14:textId="77777777" w:rsidR="009D081E" w:rsidRPr="003B7A14" w:rsidRDefault="009D081E" w:rsidP="009A182B">
            <w:pPr>
              <w:widowControl/>
              <w:autoSpaceDE/>
              <w:autoSpaceDN/>
              <w:jc w:val="center"/>
              <w:rPr>
                <w:sz w:val="20"/>
                <w:szCs w:val="20"/>
              </w:rPr>
            </w:pPr>
            <w:r w:rsidRPr="003B7A14">
              <w:rPr>
                <w:sz w:val="20"/>
                <w:szCs w:val="20"/>
              </w:rPr>
              <w:t>3.714</w:t>
            </w:r>
          </w:p>
        </w:tc>
        <w:tc>
          <w:tcPr>
            <w:tcW w:w="268" w:type="pct"/>
            <w:shd w:val="clear" w:color="auto" w:fill="auto"/>
            <w:noWrap/>
            <w:vAlign w:val="center"/>
            <w:hideMark/>
          </w:tcPr>
          <w:p w14:paraId="7EF22EE3" w14:textId="77777777" w:rsidR="009D081E" w:rsidRPr="003B7A14" w:rsidRDefault="009D081E" w:rsidP="009A182B">
            <w:pPr>
              <w:widowControl/>
              <w:autoSpaceDE/>
              <w:autoSpaceDN/>
              <w:jc w:val="center"/>
              <w:rPr>
                <w:sz w:val="20"/>
                <w:szCs w:val="20"/>
              </w:rPr>
            </w:pPr>
            <w:r w:rsidRPr="003B7A14">
              <w:rPr>
                <w:sz w:val="20"/>
                <w:szCs w:val="20"/>
              </w:rPr>
              <w:t>3.165</w:t>
            </w:r>
          </w:p>
        </w:tc>
        <w:tc>
          <w:tcPr>
            <w:tcW w:w="257" w:type="pct"/>
            <w:shd w:val="clear" w:color="auto" w:fill="auto"/>
            <w:noWrap/>
            <w:vAlign w:val="center"/>
            <w:hideMark/>
          </w:tcPr>
          <w:p w14:paraId="2BFDAE4E" w14:textId="77777777" w:rsidR="009D081E" w:rsidRPr="003B7A14" w:rsidRDefault="009D081E" w:rsidP="009A182B">
            <w:pPr>
              <w:widowControl/>
              <w:autoSpaceDE/>
              <w:autoSpaceDN/>
              <w:jc w:val="center"/>
              <w:rPr>
                <w:sz w:val="20"/>
                <w:szCs w:val="20"/>
              </w:rPr>
            </w:pPr>
            <w:r w:rsidRPr="003B7A14">
              <w:rPr>
                <w:sz w:val="20"/>
                <w:szCs w:val="20"/>
              </w:rPr>
              <w:t>3.439</w:t>
            </w:r>
          </w:p>
        </w:tc>
        <w:tc>
          <w:tcPr>
            <w:tcW w:w="257" w:type="pct"/>
            <w:shd w:val="clear" w:color="auto" w:fill="auto"/>
            <w:noWrap/>
            <w:vAlign w:val="center"/>
            <w:hideMark/>
          </w:tcPr>
          <w:p w14:paraId="3E14B948" w14:textId="77777777" w:rsidR="009D081E" w:rsidRPr="003B7A14" w:rsidRDefault="009D081E" w:rsidP="009A182B">
            <w:pPr>
              <w:widowControl/>
              <w:autoSpaceDE/>
              <w:autoSpaceDN/>
              <w:jc w:val="center"/>
              <w:rPr>
                <w:sz w:val="20"/>
                <w:szCs w:val="20"/>
              </w:rPr>
            </w:pPr>
            <w:r w:rsidRPr="003B7A14">
              <w:rPr>
                <w:sz w:val="20"/>
                <w:szCs w:val="20"/>
              </w:rPr>
              <w:t>47.93</w:t>
            </w:r>
          </w:p>
        </w:tc>
        <w:tc>
          <w:tcPr>
            <w:tcW w:w="257" w:type="pct"/>
            <w:shd w:val="clear" w:color="auto" w:fill="auto"/>
            <w:noWrap/>
            <w:vAlign w:val="center"/>
            <w:hideMark/>
          </w:tcPr>
          <w:p w14:paraId="3C14DBEB" w14:textId="77777777" w:rsidR="009D081E" w:rsidRPr="003B7A14" w:rsidRDefault="009D081E" w:rsidP="009A182B">
            <w:pPr>
              <w:widowControl/>
              <w:autoSpaceDE/>
              <w:autoSpaceDN/>
              <w:jc w:val="center"/>
              <w:rPr>
                <w:sz w:val="20"/>
                <w:szCs w:val="20"/>
              </w:rPr>
            </w:pPr>
            <w:r w:rsidRPr="003B7A14">
              <w:rPr>
                <w:sz w:val="20"/>
                <w:szCs w:val="20"/>
              </w:rPr>
              <w:t>53.47</w:t>
            </w:r>
          </w:p>
        </w:tc>
        <w:tc>
          <w:tcPr>
            <w:tcW w:w="249" w:type="pct"/>
            <w:shd w:val="clear" w:color="auto" w:fill="auto"/>
            <w:noWrap/>
            <w:vAlign w:val="center"/>
            <w:hideMark/>
          </w:tcPr>
          <w:p w14:paraId="07459B45" w14:textId="77777777" w:rsidR="009D081E" w:rsidRPr="003B7A14" w:rsidRDefault="009D081E" w:rsidP="009A182B">
            <w:pPr>
              <w:widowControl/>
              <w:autoSpaceDE/>
              <w:autoSpaceDN/>
              <w:jc w:val="center"/>
              <w:rPr>
                <w:sz w:val="20"/>
                <w:szCs w:val="20"/>
              </w:rPr>
            </w:pPr>
            <w:r w:rsidRPr="003B7A14">
              <w:rPr>
                <w:sz w:val="20"/>
                <w:szCs w:val="20"/>
              </w:rPr>
              <w:t>50.70</w:t>
            </w:r>
          </w:p>
        </w:tc>
      </w:tr>
      <w:tr w:rsidR="003B7A14" w:rsidRPr="003B7A14" w14:paraId="6EED6E93" w14:textId="77777777" w:rsidTr="009A182B">
        <w:trPr>
          <w:trHeight w:val="425"/>
        </w:trPr>
        <w:tc>
          <w:tcPr>
            <w:tcW w:w="270" w:type="pct"/>
            <w:shd w:val="clear" w:color="auto" w:fill="auto"/>
            <w:noWrap/>
            <w:vAlign w:val="center"/>
            <w:hideMark/>
          </w:tcPr>
          <w:p w14:paraId="1AE9E87E"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75</w:t>
            </w:r>
          </w:p>
        </w:tc>
        <w:tc>
          <w:tcPr>
            <w:tcW w:w="257" w:type="pct"/>
            <w:shd w:val="clear" w:color="auto" w:fill="auto"/>
            <w:noWrap/>
            <w:vAlign w:val="center"/>
            <w:hideMark/>
          </w:tcPr>
          <w:p w14:paraId="1A88DF46" w14:textId="77777777" w:rsidR="009D081E" w:rsidRPr="003B7A14" w:rsidRDefault="009D081E" w:rsidP="009A182B">
            <w:pPr>
              <w:widowControl/>
              <w:autoSpaceDE/>
              <w:autoSpaceDN/>
              <w:jc w:val="center"/>
              <w:rPr>
                <w:sz w:val="20"/>
                <w:szCs w:val="20"/>
              </w:rPr>
            </w:pPr>
            <w:r w:rsidRPr="003B7A14">
              <w:rPr>
                <w:sz w:val="20"/>
                <w:szCs w:val="20"/>
              </w:rPr>
              <w:t>0.158</w:t>
            </w:r>
          </w:p>
        </w:tc>
        <w:tc>
          <w:tcPr>
            <w:tcW w:w="308" w:type="pct"/>
            <w:shd w:val="clear" w:color="auto" w:fill="auto"/>
            <w:noWrap/>
            <w:vAlign w:val="center"/>
            <w:hideMark/>
          </w:tcPr>
          <w:p w14:paraId="0FEA4E6F" w14:textId="77777777" w:rsidR="009D081E" w:rsidRPr="003B7A14" w:rsidRDefault="009D081E" w:rsidP="009A182B">
            <w:pPr>
              <w:widowControl/>
              <w:autoSpaceDE/>
              <w:autoSpaceDN/>
              <w:jc w:val="center"/>
              <w:rPr>
                <w:sz w:val="20"/>
                <w:szCs w:val="20"/>
              </w:rPr>
            </w:pPr>
            <w:r w:rsidRPr="003B7A14">
              <w:rPr>
                <w:sz w:val="20"/>
                <w:szCs w:val="20"/>
              </w:rPr>
              <w:t>0.072</w:t>
            </w:r>
          </w:p>
        </w:tc>
        <w:tc>
          <w:tcPr>
            <w:tcW w:w="261" w:type="pct"/>
            <w:shd w:val="clear" w:color="auto" w:fill="auto"/>
            <w:noWrap/>
            <w:vAlign w:val="center"/>
            <w:hideMark/>
          </w:tcPr>
          <w:p w14:paraId="2ACFAF2C" w14:textId="77777777" w:rsidR="009D081E" w:rsidRPr="003B7A14" w:rsidRDefault="009D081E" w:rsidP="009A182B">
            <w:pPr>
              <w:widowControl/>
              <w:autoSpaceDE/>
              <w:autoSpaceDN/>
              <w:jc w:val="center"/>
              <w:rPr>
                <w:sz w:val="20"/>
                <w:szCs w:val="20"/>
              </w:rPr>
            </w:pPr>
            <w:r w:rsidRPr="003B7A14">
              <w:rPr>
                <w:sz w:val="20"/>
                <w:szCs w:val="20"/>
              </w:rPr>
              <w:t>0.115</w:t>
            </w:r>
          </w:p>
        </w:tc>
        <w:tc>
          <w:tcPr>
            <w:tcW w:w="308" w:type="pct"/>
            <w:shd w:val="clear" w:color="auto" w:fill="auto"/>
            <w:noWrap/>
            <w:vAlign w:val="center"/>
            <w:hideMark/>
          </w:tcPr>
          <w:p w14:paraId="7C800352" w14:textId="77777777" w:rsidR="009D081E" w:rsidRPr="003B7A14" w:rsidRDefault="009D081E" w:rsidP="009A182B">
            <w:pPr>
              <w:widowControl/>
              <w:autoSpaceDE/>
              <w:autoSpaceDN/>
              <w:jc w:val="center"/>
              <w:rPr>
                <w:sz w:val="20"/>
                <w:szCs w:val="20"/>
              </w:rPr>
            </w:pPr>
            <w:r w:rsidRPr="003B7A14">
              <w:rPr>
                <w:sz w:val="20"/>
                <w:szCs w:val="20"/>
              </w:rPr>
              <w:t>1.614</w:t>
            </w:r>
          </w:p>
        </w:tc>
        <w:tc>
          <w:tcPr>
            <w:tcW w:w="257" w:type="pct"/>
            <w:shd w:val="clear" w:color="auto" w:fill="auto"/>
            <w:noWrap/>
            <w:vAlign w:val="center"/>
            <w:hideMark/>
          </w:tcPr>
          <w:p w14:paraId="560C66E9" w14:textId="77777777" w:rsidR="009D081E" w:rsidRPr="003B7A14" w:rsidRDefault="009D081E" w:rsidP="009A182B">
            <w:pPr>
              <w:widowControl/>
              <w:autoSpaceDE/>
              <w:autoSpaceDN/>
              <w:jc w:val="center"/>
              <w:rPr>
                <w:sz w:val="20"/>
                <w:szCs w:val="20"/>
              </w:rPr>
            </w:pPr>
            <w:r w:rsidRPr="003B7A14">
              <w:rPr>
                <w:sz w:val="20"/>
                <w:szCs w:val="20"/>
              </w:rPr>
              <w:t>1.193</w:t>
            </w:r>
          </w:p>
        </w:tc>
        <w:tc>
          <w:tcPr>
            <w:tcW w:w="256" w:type="pct"/>
            <w:shd w:val="clear" w:color="auto" w:fill="auto"/>
            <w:noWrap/>
            <w:vAlign w:val="center"/>
            <w:hideMark/>
          </w:tcPr>
          <w:p w14:paraId="34D4D7E1" w14:textId="77777777" w:rsidR="009D081E" w:rsidRPr="003B7A14" w:rsidRDefault="009D081E" w:rsidP="009A182B">
            <w:pPr>
              <w:widowControl/>
              <w:autoSpaceDE/>
              <w:autoSpaceDN/>
              <w:jc w:val="center"/>
              <w:rPr>
                <w:sz w:val="20"/>
                <w:szCs w:val="20"/>
              </w:rPr>
            </w:pPr>
            <w:r w:rsidRPr="003B7A14">
              <w:rPr>
                <w:sz w:val="20"/>
                <w:szCs w:val="20"/>
              </w:rPr>
              <w:t>1.404</w:t>
            </w:r>
          </w:p>
        </w:tc>
        <w:tc>
          <w:tcPr>
            <w:tcW w:w="257" w:type="pct"/>
            <w:shd w:val="clear" w:color="auto" w:fill="auto"/>
            <w:noWrap/>
            <w:vAlign w:val="center"/>
            <w:hideMark/>
          </w:tcPr>
          <w:p w14:paraId="646AA768" w14:textId="77777777" w:rsidR="009D081E" w:rsidRPr="003B7A14" w:rsidRDefault="009D081E" w:rsidP="009A182B">
            <w:pPr>
              <w:widowControl/>
              <w:autoSpaceDE/>
              <w:autoSpaceDN/>
              <w:jc w:val="center"/>
              <w:rPr>
                <w:sz w:val="20"/>
                <w:szCs w:val="20"/>
              </w:rPr>
            </w:pPr>
            <w:r w:rsidRPr="003B7A14">
              <w:rPr>
                <w:sz w:val="20"/>
                <w:szCs w:val="20"/>
              </w:rPr>
              <w:t>2.057</w:t>
            </w:r>
          </w:p>
        </w:tc>
        <w:tc>
          <w:tcPr>
            <w:tcW w:w="256" w:type="pct"/>
            <w:shd w:val="clear" w:color="auto" w:fill="auto"/>
            <w:noWrap/>
            <w:vAlign w:val="center"/>
            <w:hideMark/>
          </w:tcPr>
          <w:p w14:paraId="6AA5245C" w14:textId="77777777" w:rsidR="009D081E" w:rsidRPr="003B7A14" w:rsidRDefault="009D081E" w:rsidP="009A182B">
            <w:pPr>
              <w:widowControl/>
              <w:autoSpaceDE/>
              <w:autoSpaceDN/>
              <w:jc w:val="center"/>
              <w:rPr>
                <w:sz w:val="20"/>
                <w:szCs w:val="20"/>
              </w:rPr>
            </w:pPr>
            <w:r w:rsidRPr="003B7A14">
              <w:rPr>
                <w:sz w:val="20"/>
                <w:szCs w:val="20"/>
              </w:rPr>
              <w:t>3.026</w:t>
            </w:r>
          </w:p>
        </w:tc>
        <w:tc>
          <w:tcPr>
            <w:tcW w:w="257" w:type="pct"/>
            <w:shd w:val="clear" w:color="auto" w:fill="auto"/>
            <w:noWrap/>
            <w:vAlign w:val="center"/>
            <w:hideMark/>
          </w:tcPr>
          <w:p w14:paraId="5C70C69F" w14:textId="77777777" w:rsidR="009D081E" w:rsidRPr="003B7A14" w:rsidRDefault="009D081E" w:rsidP="009A182B">
            <w:pPr>
              <w:widowControl/>
              <w:autoSpaceDE/>
              <w:autoSpaceDN/>
              <w:jc w:val="center"/>
              <w:rPr>
                <w:sz w:val="20"/>
                <w:szCs w:val="20"/>
              </w:rPr>
            </w:pPr>
            <w:r w:rsidRPr="003B7A14">
              <w:rPr>
                <w:sz w:val="20"/>
                <w:szCs w:val="20"/>
              </w:rPr>
              <w:t>2.541</w:t>
            </w:r>
          </w:p>
        </w:tc>
        <w:tc>
          <w:tcPr>
            <w:tcW w:w="257" w:type="pct"/>
            <w:shd w:val="clear" w:color="auto" w:fill="auto"/>
            <w:noWrap/>
            <w:vAlign w:val="center"/>
            <w:hideMark/>
          </w:tcPr>
          <w:p w14:paraId="6D809C7F" w14:textId="77777777" w:rsidR="009D081E" w:rsidRPr="003B7A14" w:rsidRDefault="009D081E" w:rsidP="009A182B">
            <w:pPr>
              <w:widowControl/>
              <w:autoSpaceDE/>
              <w:autoSpaceDN/>
              <w:jc w:val="center"/>
              <w:rPr>
                <w:sz w:val="20"/>
                <w:szCs w:val="20"/>
              </w:rPr>
            </w:pPr>
            <w:r w:rsidRPr="003B7A14">
              <w:rPr>
                <w:sz w:val="20"/>
                <w:szCs w:val="20"/>
              </w:rPr>
              <w:t>15.90</w:t>
            </w:r>
          </w:p>
        </w:tc>
        <w:tc>
          <w:tcPr>
            <w:tcW w:w="256" w:type="pct"/>
            <w:shd w:val="clear" w:color="auto" w:fill="auto"/>
            <w:noWrap/>
            <w:vAlign w:val="center"/>
            <w:hideMark/>
          </w:tcPr>
          <w:p w14:paraId="7A00B310" w14:textId="77777777" w:rsidR="009D081E" w:rsidRPr="003B7A14" w:rsidRDefault="009D081E" w:rsidP="009A182B">
            <w:pPr>
              <w:widowControl/>
              <w:autoSpaceDE/>
              <w:autoSpaceDN/>
              <w:jc w:val="center"/>
              <w:rPr>
                <w:sz w:val="20"/>
                <w:szCs w:val="20"/>
              </w:rPr>
            </w:pPr>
            <w:r w:rsidRPr="003B7A14">
              <w:rPr>
                <w:sz w:val="20"/>
                <w:szCs w:val="20"/>
              </w:rPr>
              <w:t>10.35</w:t>
            </w:r>
          </w:p>
        </w:tc>
        <w:tc>
          <w:tcPr>
            <w:tcW w:w="257" w:type="pct"/>
            <w:shd w:val="clear" w:color="auto" w:fill="auto"/>
            <w:noWrap/>
            <w:vAlign w:val="center"/>
            <w:hideMark/>
          </w:tcPr>
          <w:p w14:paraId="07E261A1" w14:textId="77777777" w:rsidR="009D081E" w:rsidRPr="003B7A14" w:rsidRDefault="009D081E" w:rsidP="009A182B">
            <w:pPr>
              <w:widowControl/>
              <w:autoSpaceDE/>
              <w:autoSpaceDN/>
              <w:jc w:val="center"/>
              <w:rPr>
                <w:sz w:val="20"/>
                <w:szCs w:val="20"/>
              </w:rPr>
            </w:pPr>
            <w:r w:rsidRPr="003B7A14">
              <w:rPr>
                <w:sz w:val="20"/>
                <w:szCs w:val="20"/>
              </w:rPr>
              <w:t>13.13</w:t>
            </w:r>
          </w:p>
        </w:tc>
        <w:tc>
          <w:tcPr>
            <w:tcW w:w="256" w:type="pct"/>
            <w:shd w:val="clear" w:color="auto" w:fill="auto"/>
            <w:noWrap/>
            <w:vAlign w:val="center"/>
            <w:hideMark/>
          </w:tcPr>
          <w:p w14:paraId="12C817DC" w14:textId="77777777" w:rsidR="009D081E" w:rsidRPr="003B7A14" w:rsidRDefault="009D081E" w:rsidP="009A182B">
            <w:pPr>
              <w:widowControl/>
              <w:autoSpaceDE/>
              <w:autoSpaceDN/>
              <w:jc w:val="center"/>
              <w:rPr>
                <w:sz w:val="20"/>
                <w:szCs w:val="20"/>
              </w:rPr>
            </w:pPr>
            <w:r w:rsidRPr="003B7A14">
              <w:rPr>
                <w:sz w:val="20"/>
                <w:szCs w:val="20"/>
              </w:rPr>
              <w:t>3.841</w:t>
            </w:r>
          </w:p>
        </w:tc>
        <w:tc>
          <w:tcPr>
            <w:tcW w:w="268" w:type="pct"/>
            <w:shd w:val="clear" w:color="auto" w:fill="auto"/>
            <w:noWrap/>
            <w:vAlign w:val="center"/>
            <w:hideMark/>
          </w:tcPr>
          <w:p w14:paraId="21481982" w14:textId="77777777" w:rsidR="009D081E" w:rsidRPr="003B7A14" w:rsidRDefault="009D081E" w:rsidP="009A182B">
            <w:pPr>
              <w:widowControl/>
              <w:autoSpaceDE/>
              <w:autoSpaceDN/>
              <w:jc w:val="center"/>
              <w:rPr>
                <w:sz w:val="20"/>
                <w:szCs w:val="20"/>
              </w:rPr>
            </w:pPr>
            <w:r w:rsidRPr="003B7A14">
              <w:rPr>
                <w:sz w:val="20"/>
                <w:szCs w:val="20"/>
              </w:rPr>
              <w:t>2.370</w:t>
            </w:r>
          </w:p>
        </w:tc>
        <w:tc>
          <w:tcPr>
            <w:tcW w:w="257" w:type="pct"/>
            <w:shd w:val="clear" w:color="auto" w:fill="auto"/>
            <w:noWrap/>
            <w:vAlign w:val="center"/>
            <w:hideMark/>
          </w:tcPr>
          <w:p w14:paraId="660747BF" w14:textId="77777777" w:rsidR="009D081E" w:rsidRPr="003B7A14" w:rsidRDefault="009D081E" w:rsidP="009A182B">
            <w:pPr>
              <w:widowControl/>
              <w:autoSpaceDE/>
              <w:autoSpaceDN/>
              <w:jc w:val="center"/>
              <w:rPr>
                <w:sz w:val="20"/>
                <w:szCs w:val="20"/>
              </w:rPr>
            </w:pPr>
            <w:r w:rsidRPr="003B7A14">
              <w:rPr>
                <w:sz w:val="20"/>
                <w:szCs w:val="20"/>
              </w:rPr>
              <w:t>3.106</w:t>
            </w:r>
          </w:p>
        </w:tc>
        <w:tc>
          <w:tcPr>
            <w:tcW w:w="257" w:type="pct"/>
            <w:shd w:val="clear" w:color="auto" w:fill="auto"/>
            <w:noWrap/>
            <w:vAlign w:val="center"/>
            <w:hideMark/>
          </w:tcPr>
          <w:p w14:paraId="40585B14" w14:textId="77777777" w:rsidR="009D081E" w:rsidRPr="003B7A14" w:rsidRDefault="009D081E" w:rsidP="009A182B">
            <w:pPr>
              <w:widowControl/>
              <w:autoSpaceDE/>
              <w:autoSpaceDN/>
              <w:jc w:val="center"/>
              <w:rPr>
                <w:sz w:val="20"/>
                <w:szCs w:val="20"/>
              </w:rPr>
            </w:pPr>
            <w:r w:rsidRPr="003B7A14">
              <w:rPr>
                <w:sz w:val="20"/>
                <w:szCs w:val="20"/>
              </w:rPr>
              <w:t>47.93</w:t>
            </w:r>
          </w:p>
        </w:tc>
        <w:tc>
          <w:tcPr>
            <w:tcW w:w="257" w:type="pct"/>
            <w:shd w:val="clear" w:color="auto" w:fill="auto"/>
            <w:noWrap/>
            <w:vAlign w:val="center"/>
            <w:hideMark/>
          </w:tcPr>
          <w:p w14:paraId="18AAEF4D" w14:textId="77777777" w:rsidR="009D081E" w:rsidRPr="003B7A14" w:rsidRDefault="009D081E" w:rsidP="009A182B">
            <w:pPr>
              <w:widowControl/>
              <w:autoSpaceDE/>
              <w:autoSpaceDN/>
              <w:jc w:val="center"/>
              <w:rPr>
                <w:sz w:val="20"/>
                <w:szCs w:val="20"/>
              </w:rPr>
            </w:pPr>
            <w:r w:rsidRPr="003B7A14">
              <w:rPr>
                <w:sz w:val="20"/>
                <w:szCs w:val="20"/>
              </w:rPr>
              <w:t>54.49</w:t>
            </w:r>
          </w:p>
        </w:tc>
        <w:tc>
          <w:tcPr>
            <w:tcW w:w="249" w:type="pct"/>
            <w:shd w:val="clear" w:color="auto" w:fill="auto"/>
            <w:noWrap/>
            <w:vAlign w:val="center"/>
            <w:hideMark/>
          </w:tcPr>
          <w:p w14:paraId="70AB1910" w14:textId="77777777" w:rsidR="009D081E" w:rsidRPr="003B7A14" w:rsidRDefault="009D081E" w:rsidP="009A182B">
            <w:pPr>
              <w:widowControl/>
              <w:autoSpaceDE/>
              <w:autoSpaceDN/>
              <w:jc w:val="center"/>
              <w:rPr>
                <w:sz w:val="20"/>
                <w:szCs w:val="20"/>
              </w:rPr>
            </w:pPr>
            <w:r w:rsidRPr="003B7A14">
              <w:rPr>
                <w:sz w:val="20"/>
                <w:szCs w:val="20"/>
              </w:rPr>
              <w:t>51.21</w:t>
            </w:r>
          </w:p>
        </w:tc>
      </w:tr>
      <w:tr w:rsidR="003B7A14" w:rsidRPr="003B7A14" w14:paraId="7EFC07E8" w14:textId="77777777" w:rsidTr="009A182B">
        <w:trPr>
          <w:trHeight w:val="425"/>
        </w:trPr>
        <w:tc>
          <w:tcPr>
            <w:tcW w:w="270" w:type="pct"/>
            <w:shd w:val="clear" w:color="auto" w:fill="auto"/>
            <w:noWrap/>
            <w:vAlign w:val="center"/>
            <w:hideMark/>
          </w:tcPr>
          <w:p w14:paraId="25B7EFAC"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90</w:t>
            </w:r>
          </w:p>
        </w:tc>
        <w:tc>
          <w:tcPr>
            <w:tcW w:w="257" w:type="pct"/>
            <w:shd w:val="clear" w:color="auto" w:fill="auto"/>
            <w:noWrap/>
            <w:vAlign w:val="center"/>
            <w:hideMark/>
          </w:tcPr>
          <w:p w14:paraId="1C724D1D" w14:textId="77777777" w:rsidR="009D081E" w:rsidRPr="003B7A14" w:rsidRDefault="009D081E" w:rsidP="009A182B">
            <w:pPr>
              <w:widowControl/>
              <w:autoSpaceDE/>
              <w:autoSpaceDN/>
              <w:jc w:val="center"/>
              <w:rPr>
                <w:sz w:val="20"/>
                <w:szCs w:val="20"/>
              </w:rPr>
            </w:pPr>
            <w:r w:rsidRPr="003B7A14">
              <w:rPr>
                <w:sz w:val="20"/>
                <w:szCs w:val="20"/>
              </w:rPr>
              <w:t>0.154</w:t>
            </w:r>
          </w:p>
        </w:tc>
        <w:tc>
          <w:tcPr>
            <w:tcW w:w="308" w:type="pct"/>
            <w:shd w:val="clear" w:color="auto" w:fill="auto"/>
            <w:noWrap/>
            <w:vAlign w:val="center"/>
            <w:hideMark/>
          </w:tcPr>
          <w:p w14:paraId="68050AC7" w14:textId="77777777" w:rsidR="009D081E" w:rsidRPr="003B7A14" w:rsidRDefault="009D081E" w:rsidP="009A182B">
            <w:pPr>
              <w:widowControl/>
              <w:autoSpaceDE/>
              <w:autoSpaceDN/>
              <w:jc w:val="center"/>
              <w:rPr>
                <w:sz w:val="20"/>
                <w:szCs w:val="20"/>
              </w:rPr>
            </w:pPr>
            <w:r w:rsidRPr="003B7A14">
              <w:rPr>
                <w:sz w:val="20"/>
                <w:szCs w:val="20"/>
              </w:rPr>
              <w:t>0.070</w:t>
            </w:r>
          </w:p>
        </w:tc>
        <w:tc>
          <w:tcPr>
            <w:tcW w:w="261" w:type="pct"/>
            <w:shd w:val="clear" w:color="auto" w:fill="auto"/>
            <w:noWrap/>
            <w:vAlign w:val="center"/>
            <w:hideMark/>
          </w:tcPr>
          <w:p w14:paraId="247B6BCE" w14:textId="77777777" w:rsidR="009D081E" w:rsidRPr="003B7A14" w:rsidRDefault="009D081E" w:rsidP="009A182B">
            <w:pPr>
              <w:widowControl/>
              <w:autoSpaceDE/>
              <w:autoSpaceDN/>
              <w:jc w:val="center"/>
              <w:rPr>
                <w:sz w:val="20"/>
                <w:szCs w:val="20"/>
              </w:rPr>
            </w:pPr>
            <w:r w:rsidRPr="003B7A14">
              <w:rPr>
                <w:sz w:val="20"/>
                <w:szCs w:val="20"/>
              </w:rPr>
              <w:t>0.112</w:t>
            </w:r>
          </w:p>
        </w:tc>
        <w:tc>
          <w:tcPr>
            <w:tcW w:w="308" w:type="pct"/>
            <w:shd w:val="clear" w:color="auto" w:fill="auto"/>
            <w:noWrap/>
            <w:vAlign w:val="center"/>
            <w:hideMark/>
          </w:tcPr>
          <w:p w14:paraId="2DE38CD0" w14:textId="77777777" w:rsidR="009D081E" w:rsidRPr="003B7A14" w:rsidRDefault="009D081E" w:rsidP="009A182B">
            <w:pPr>
              <w:widowControl/>
              <w:autoSpaceDE/>
              <w:autoSpaceDN/>
              <w:jc w:val="center"/>
              <w:rPr>
                <w:sz w:val="20"/>
                <w:szCs w:val="20"/>
              </w:rPr>
            </w:pPr>
            <w:r w:rsidRPr="003B7A14">
              <w:rPr>
                <w:sz w:val="20"/>
                <w:szCs w:val="20"/>
              </w:rPr>
              <w:t>1.598</w:t>
            </w:r>
          </w:p>
        </w:tc>
        <w:tc>
          <w:tcPr>
            <w:tcW w:w="257" w:type="pct"/>
            <w:shd w:val="clear" w:color="auto" w:fill="auto"/>
            <w:noWrap/>
            <w:vAlign w:val="center"/>
            <w:hideMark/>
          </w:tcPr>
          <w:p w14:paraId="0D9DCC46" w14:textId="77777777" w:rsidR="009D081E" w:rsidRPr="003B7A14" w:rsidRDefault="009D081E" w:rsidP="009A182B">
            <w:pPr>
              <w:widowControl/>
              <w:autoSpaceDE/>
              <w:autoSpaceDN/>
              <w:jc w:val="center"/>
              <w:rPr>
                <w:sz w:val="20"/>
                <w:szCs w:val="20"/>
              </w:rPr>
            </w:pPr>
            <w:r w:rsidRPr="003B7A14">
              <w:rPr>
                <w:sz w:val="20"/>
                <w:szCs w:val="20"/>
              </w:rPr>
              <w:t>1.156</w:t>
            </w:r>
          </w:p>
        </w:tc>
        <w:tc>
          <w:tcPr>
            <w:tcW w:w="256" w:type="pct"/>
            <w:shd w:val="clear" w:color="auto" w:fill="auto"/>
            <w:noWrap/>
            <w:vAlign w:val="center"/>
            <w:hideMark/>
          </w:tcPr>
          <w:p w14:paraId="79B2628E" w14:textId="77777777" w:rsidR="009D081E" w:rsidRPr="003B7A14" w:rsidRDefault="009D081E" w:rsidP="009A182B">
            <w:pPr>
              <w:widowControl/>
              <w:autoSpaceDE/>
              <w:autoSpaceDN/>
              <w:jc w:val="center"/>
              <w:rPr>
                <w:sz w:val="20"/>
                <w:szCs w:val="20"/>
              </w:rPr>
            </w:pPr>
            <w:r w:rsidRPr="003B7A14">
              <w:rPr>
                <w:sz w:val="20"/>
                <w:szCs w:val="20"/>
              </w:rPr>
              <w:t>1.377</w:t>
            </w:r>
          </w:p>
        </w:tc>
        <w:tc>
          <w:tcPr>
            <w:tcW w:w="257" w:type="pct"/>
            <w:shd w:val="clear" w:color="auto" w:fill="auto"/>
            <w:noWrap/>
            <w:vAlign w:val="center"/>
            <w:hideMark/>
          </w:tcPr>
          <w:p w14:paraId="4B7BEC94" w14:textId="77777777" w:rsidR="009D081E" w:rsidRPr="003B7A14" w:rsidRDefault="009D081E" w:rsidP="009A182B">
            <w:pPr>
              <w:widowControl/>
              <w:autoSpaceDE/>
              <w:autoSpaceDN/>
              <w:jc w:val="center"/>
              <w:rPr>
                <w:sz w:val="20"/>
                <w:szCs w:val="20"/>
              </w:rPr>
            </w:pPr>
            <w:r w:rsidRPr="003B7A14">
              <w:rPr>
                <w:sz w:val="20"/>
                <w:szCs w:val="20"/>
              </w:rPr>
              <w:t>2.108</w:t>
            </w:r>
          </w:p>
        </w:tc>
        <w:tc>
          <w:tcPr>
            <w:tcW w:w="256" w:type="pct"/>
            <w:shd w:val="clear" w:color="auto" w:fill="auto"/>
            <w:noWrap/>
            <w:vAlign w:val="center"/>
            <w:hideMark/>
          </w:tcPr>
          <w:p w14:paraId="6C2FC181" w14:textId="77777777" w:rsidR="009D081E" w:rsidRPr="003B7A14" w:rsidRDefault="009D081E" w:rsidP="009A182B">
            <w:pPr>
              <w:widowControl/>
              <w:autoSpaceDE/>
              <w:autoSpaceDN/>
              <w:jc w:val="center"/>
              <w:rPr>
                <w:sz w:val="20"/>
                <w:szCs w:val="20"/>
              </w:rPr>
            </w:pPr>
            <w:r w:rsidRPr="003B7A14">
              <w:rPr>
                <w:sz w:val="20"/>
                <w:szCs w:val="20"/>
              </w:rPr>
              <w:t>3.101</w:t>
            </w:r>
          </w:p>
        </w:tc>
        <w:tc>
          <w:tcPr>
            <w:tcW w:w="257" w:type="pct"/>
            <w:shd w:val="clear" w:color="auto" w:fill="auto"/>
            <w:noWrap/>
            <w:vAlign w:val="center"/>
            <w:hideMark/>
          </w:tcPr>
          <w:p w14:paraId="7F1F6699" w14:textId="77777777" w:rsidR="009D081E" w:rsidRPr="003B7A14" w:rsidRDefault="009D081E" w:rsidP="009A182B">
            <w:pPr>
              <w:widowControl/>
              <w:autoSpaceDE/>
              <w:autoSpaceDN/>
              <w:jc w:val="center"/>
              <w:rPr>
                <w:sz w:val="20"/>
                <w:szCs w:val="20"/>
              </w:rPr>
            </w:pPr>
            <w:r w:rsidRPr="003B7A14">
              <w:rPr>
                <w:sz w:val="20"/>
                <w:szCs w:val="20"/>
              </w:rPr>
              <w:t>2.604</w:t>
            </w:r>
          </w:p>
        </w:tc>
        <w:tc>
          <w:tcPr>
            <w:tcW w:w="257" w:type="pct"/>
            <w:shd w:val="clear" w:color="auto" w:fill="auto"/>
            <w:noWrap/>
            <w:vAlign w:val="center"/>
            <w:hideMark/>
          </w:tcPr>
          <w:p w14:paraId="72AFFBC8" w14:textId="77777777" w:rsidR="009D081E" w:rsidRPr="003B7A14" w:rsidRDefault="009D081E" w:rsidP="009A182B">
            <w:pPr>
              <w:widowControl/>
              <w:autoSpaceDE/>
              <w:autoSpaceDN/>
              <w:jc w:val="center"/>
              <w:rPr>
                <w:sz w:val="20"/>
                <w:szCs w:val="20"/>
              </w:rPr>
            </w:pPr>
            <w:r w:rsidRPr="003B7A14">
              <w:rPr>
                <w:sz w:val="20"/>
                <w:szCs w:val="20"/>
              </w:rPr>
              <w:t>15.31</w:t>
            </w:r>
          </w:p>
        </w:tc>
        <w:tc>
          <w:tcPr>
            <w:tcW w:w="256" w:type="pct"/>
            <w:shd w:val="clear" w:color="auto" w:fill="auto"/>
            <w:noWrap/>
            <w:vAlign w:val="center"/>
            <w:hideMark/>
          </w:tcPr>
          <w:p w14:paraId="645B1FC4" w14:textId="77777777" w:rsidR="009D081E" w:rsidRPr="003B7A14" w:rsidRDefault="009D081E" w:rsidP="009A182B">
            <w:pPr>
              <w:widowControl/>
              <w:autoSpaceDE/>
              <w:autoSpaceDN/>
              <w:jc w:val="center"/>
              <w:rPr>
                <w:sz w:val="20"/>
                <w:szCs w:val="20"/>
              </w:rPr>
            </w:pPr>
            <w:r w:rsidRPr="003B7A14">
              <w:rPr>
                <w:sz w:val="20"/>
                <w:szCs w:val="20"/>
              </w:rPr>
              <w:t>10.24</w:t>
            </w:r>
          </w:p>
        </w:tc>
        <w:tc>
          <w:tcPr>
            <w:tcW w:w="257" w:type="pct"/>
            <w:shd w:val="clear" w:color="auto" w:fill="auto"/>
            <w:noWrap/>
            <w:vAlign w:val="center"/>
            <w:hideMark/>
          </w:tcPr>
          <w:p w14:paraId="16DE82A4" w14:textId="77777777" w:rsidR="009D081E" w:rsidRPr="003B7A14" w:rsidRDefault="009D081E" w:rsidP="009A182B">
            <w:pPr>
              <w:widowControl/>
              <w:autoSpaceDE/>
              <w:autoSpaceDN/>
              <w:jc w:val="center"/>
              <w:rPr>
                <w:sz w:val="20"/>
                <w:szCs w:val="20"/>
              </w:rPr>
            </w:pPr>
            <w:r w:rsidRPr="003B7A14">
              <w:rPr>
                <w:sz w:val="20"/>
                <w:szCs w:val="20"/>
              </w:rPr>
              <w:t>12.77</w:t>
            </w:r>
          </w:p>
        </w:tc>
        <w:tc>
          <w:tcPr>
            <w:tcW w:w="256" w:type="pct"/>
            <w:shd w:val="clear" w:color="auto" w:fill="auto"/>
            <w:noWrap/>
            <w:vAlign w:val="center"/>
            <w:hideMark/>
          </w:tcPr>
          <w:p w14:paraId="71467849" w14:textId="77777777" w:rsidR="009D081E" w:rsidRPr="003B7A14" w:rsidRDefault="009D081E" w:rsidP="009A182B">
            <w:pPr>
              <w:widowControl/>
              <w:autoSpaceDE/>
              <w:autoSpaceDN/>
              <w:jc w:val="center"/>
              <w:rPr>
                <w:sz w:val="20"/>
                <w:szCs w:val="20"/>
              </w:rPr>
            </w:pPr>
            <w:r w:rsidRPr="003B7A14">
              <w:rPr>
                <w:sz w:val="20"/>
                <w:szCs w:val="20"/>
              </w:rPr>
              <w:t>3.955</w:t>
            </w:r>
          </w:p>
        </w:tc>
        <w:tc>
          <w:tcPr>
            <w:tcW w:w="268" w:type="pct"/>
            <w:shd w:val="clear" w:color="auto" w:fill="auto"/>
            <w:noWrap/>
            <w:vAlign w:val="center"/>
            <w:hideMark/>
          </w:tcPr>
          <w:p w14:paraId="378176E4" w14:textId="77777777" w:rsidR="009D081E" w:rsidRPr="003B7A14" w:rsidRDefault="009D081E" w:rsidP="009A182B">
            <w:pPr>
              <w:widowControl/>
              <w:autoSpaceDE/>
              <w:autoSpaceDN/>
              <w:jc w:val="center"/>
              <w:rPr>
                <w:sz w:val="20"/>
                <w:szCs w:val="20"/>
              </w:rPr>
            </w:pPr>
            <w:r w:rsidRPr="003B7A14">
              <w:rPr>
                <w:sz w:val="20"/>
                <w:szCs w:val="20"/>
              </w:rPr>
              <w:t>2.327</w:t>
            </w:r>
          </w:p>
        </w:tc>
        <w:tc>
          <w:tcPr>
            <w:tcW w:w="257" w:type="pct"/>
            <w:shd w:val="clear" w:color="auto" w:fill="auto"/>
            <w:noWrap/>
            <w:vAlign w:val="center"/>
            <w:hideMark/>
          </w:tcPr>
          <w:p w14:paraId="7CBAD1BB" w14:textId="77777777" w:rsidR="009D081E" w:rsidRPr="003B7A14" w:rsidRDefault="009D081E" w:rsidP="009A182B">
            <w:pPr>
              <w:widowControl/>
              <w:autoSpaceDE/>
              <w:autoSpaceDN/>
              <w:jc w:val="center"/>
              <w:rPr>
                <w:sz w:val="20"/>
                <w:szCs w:val="20"/>
              </w:rPr>
            </w:pPr>
            <w:r w:rsidRPr="003B7A14">
              <w:rPr>
                <w:sz w:val="20"/>
                <w:szCs w:val="20"/>
              </w:rPr>
              <w:t>3.141</w:t>
            </w:r>
          </w:p>
        </w:tc>
        <w:tc>
          <w:tcPr>
            <w:tcW w:w="257" w:type="pct"/>
            <w:shd w:val="clear" w:color="auto" w:fill="auto"/>
            <w:noWrap/>
            <w:vAlign w:val="center"/>
            <w:hideMark/>
          </w:tcPr>
          <w:p w14:paraId="260CE906" w14:textId="77777777" w:rsidR="009D081E" w:rsidRPr="003B7A14" w:rsidRDefault="009D081E" w:rsidP="009A182B">
            <w:pPr>
              <w:widowControl/>
              <w:autoSpaceDE/>
              <w:autoSpaceDN/>
              <w:jc w:val="center"/>
              <w:rPr>
                <w:sz w:val="20"/>
                <w:szCs w:val="20"/>
              </w:rPr>
            </w:pPr>
            <w:r w:rsidRPr="003B7A14">
              <w:rPr>
                <w:sz w:val="20"/>
                <w:szCs w:val="20"/>
              </w:rPr>
              <w:t>48.38</w:t>
            </w:r>
          </w:p>
        </w:tc>
        <w:tc>
          <w:tcPr>
            <w:tcW w:w="257" w:type="pct"/>
            <w:shd w:val="clear" w:color="auto" w:fill="auto"/>
            <w:noWrap/>
            <w:vAlign w:val="center"/>
            <w:hideMark/>
          </w:tcPr>
          <w:p w14:paraId="585448D8" w14:textId="77777777" w:rsidR="009D081E" w:rsidRPr="003B7A14" w:rsidRDefault="009D081E" w:rsidP="009A182B">
            <w:pPr>
              <w:widowControl/>
              <w:autoSpaceDE/>
              <w:autoSpaceDN/>
              <w:jc w:val="center"/>
              <w:rPr>
                <w:sz w:val="20"/>
                <w:szCs w:val="20"/>
              </w:rPr>
            </w:pPr>
            <w:r w:rsidRPr="003B7A14">
              <w:rPr>
                <w:sz w:val="20"/>
                <w:szCs w:val="20"/>
              </w:rPr>
              <w:t>54.62</w:t>
            </w:r>
          </w:p>
        </w:tc>
        <w:tc>
          <w:tcPr>
            <w:tcW w:w="249" w:type="pct"/>
            <w:shd w:val="clear" w:color="auto" w:fill="auto"/>
            <w:noWrap/>
            <w:vAlign w:val="center"/>
            <w:hideMark/>
          </w:tcPr>
          <w:p w14:paraId="347B731E" w14:textId="77777777" w:rsidR="009D081E" w:rsidRPr="003B7A14" w:rsidRDefault="009D081E" w:rsidP="009A182B">
            <w:pPr>
              <w:widowControl/>
              <w:autoSpaceDE/>
              <w:autoSpaceDN/>
              <w:jc w:val="center"/>
              <w:rPr>
                <w:sz w:val="20"/>
                <w:szCs w:val="20"/>
              </w:rPr>
            </w:pPr>
            <w:r w:rsidRPr="003B7A14">
              <w:rPr>
                <w:sz w:val="20"/>
                <w:szCs w:val="20"/>
              </w:rPr>
              <w:t>51.50</w:t>
            </w:r>
          </w:p>
        </w:tc>
      </w:tr>
      <w:tr w:rsidR="003B7A14" w:rsidRPr="003B7A14" w14:paraId="2811C5F3" w14:textId="77777777" w:rsidTr="009A182B">
        <w:trPr>
          <w:trHeight w:val="425"/>
        </w:trPr>
        <w:tc>
          <w:tcPr>
            <w:tcW w:w="270" w:type="pct"/>
            <w:tcBorders>
              <w:bottom w:val="single" w:sz="4" w:space="0" w:color="auto"/>
            </w:tcBorders>
            <w:shd w:val="clear" w:color="auto" w:fill="auto"/>
            <w:noWrap/>
            <w:vAlign w:val="center"/>
            <w:hideMark/>
          </w:tcPr>
          <w:p w14:paraId="25C85076" w14:textId="77777777" w:rsidR="009D081E" w:rsidRPr="003B7A14" w:rsidRDefault="009D081E" w:rsidP="009A182B">
            <w:pPr>
              <w:widowControl/>
              <w:autoSpaceDE/>
              <w:autoSpaceDN/>
              <w:jc w:val="center"/>
              <w:rPr>
                <w:b/>
                <w:bCs/>
                <w:sz w:val="18"/>
              </w:rPr>
            </w:pPr>
            <w:r w:rsidRPr="003B7A14">
              <w:rPr>
                <w:b/>
                <w:bCs/>
                <w:sz w:val="18"/>
              </w:rPr>
              <w:t>Mean</w:t>
            </w:r>
          </w:p>
        </w:tc>
        <w:tc>
          <w:tcPr>
            <w:tcW w:w="257" w:type="pct"/>
            <w:tcBorders>
              <w:bottom w:val="single" w:sz="4" w:space="0" w:color="auto"/>
            </w:tcBorders>
            <w:shd w:val="clear" w:color="auto" w:fill="auto"/>
            <w:noWrap/>
            <w:vAlign w:val="center"/>
            <w:hideMark/>
          </w:tcPr>
          <w:p w14:paraId="10C3780A" w14:textId="77777777" w:rsidR="009D081E" w:rsidRPr="003B7A14" w:rsidRDefault="009D081E" w:rsidP="009A182B">
            <w:pPr>
              <w:widowControl/>
              <w:autoSpaceDE/>
              <w:autoSpaceDN/>
              <w:jc w:val="center"/>
              <w:rPr>
                <w:sz w:val="20"/>
                <w:szCs w:val="20"/>
              </w:rPr>
            </w:pPr>
            <w:r w:rsidRPr="003B7A14">
              <w:rPr>
                <w:sz w:val="20"/>
                <w:szCs w:val="20"/>
              </w:rPr>
              <w:t>0.209</w:t>
            </w:r>
          </w:p>
        </w:tc>
        <w:tc>
          <w:tcPr>
            <w:tcW w:w="308" w:type="pct"/>
            <w:tcBorders>
              <w:bottom w:val="single" w:sz="4" w:space="0" w:color="auto"/>
            </w:tcBorders>
            <w:shd w:val="clear" w:color="auto" w:fill="auto"/>
            <w:noWrap/>
            <w:vAlign w:val="center"/>
            <w:hideMark/>
          </w:tcPr>
          <w:p w14:paraId="35E0E1D0" w14:textId="77777777" w:rsidR="009D081E" w:rsidRPr="003B7A14" w:rsidRDefault="009D081E" w:rsidP="009A182B">
            <w:pPr>
              <w:widowControl/>
              <w:autoSpaceDE/>
              <w:autoSpaceDN/>
              <w:jc w:val="center"/>
              <w:rPr>
                <w:sz w:val="20"/>
                <w:szCs w:val="20"/>
              </w:rPr>
            </w:pPr>
            <w:r w:rsidRPr="003B7A14">
              <w:rPr>
                <w:sz w:val="20"/>
                <w:szCs w:val="20"/>
              </w:rPr>
              <w:t>0.148</w:t>
            </w:r>
          </w:p>
        </w:tc>
        <w:tc>
          <w:tcPr>
            <w:tcW w:w="261" w:type="pct"/>
            <w:tcBorders>
              <w:bottom w:val="single" w:sz="4" w:space="0" w:color="auto"/>
            </w:tcBorders>
            <w:shd w:val="clear" w:color="auto" w:fill="auto"/>
            <w:noWrap/>
            <w:vAlign w:val="center"/>
            <w:hideMark/>
          </w:tcPr>
          <w:p w14:paraId="0F43BBA9" w14:textId="77777777" w:rsidR="009D081E" w:rsidRPr="003B7A14" w:rsidRDefault="009D081E" w:rsidP="009A182B">
            <w:pPr>
              <w:widowControl/>
              <w:autoSpaceDE/>
              <w:autoSpaceDN/>
              <w:jc w:val="center"/>
              <w:rPr>
                <w:sz w:val="20"/>
                <w:szCs w:val="20"/>
              </w:rPr>
            </w:pPr>
          </w:p>
        </w:tc>
        <w:tc>
          <w:tcPr>
            <w:tcW w:w="308" w:type="pct"/>
            <w:tcBorders>
              <w:bottom w:val="single" w:sz="4" w:space="0" w:color="auto"/>
            </w:tcBorders>
            <w:shd w:val="clear" w:color="auto" w:fill="auto"/>
            <w:noWrap/>
            <w:vAlign w:val="center"/>
            <w:hideMark/>
          </w:tcPr>
          <w:p w14:paraId="348306BB" w14:textId="77777777" w:rsidR="009D081E" w:rsidRPr="003B7A14" w:rsidRDefault="009D081E" w:rsidP="009A182B">
            <w:pPr>
              <w:widowControl/>
              <w:autoSpaceDE/>
              <w:autoSpaceDN/>
              <w:jc w:val="center"/>
              <w:rPr>
                <w:sz w:val="20"/>
                <w:szCs w:val="20"/>
              </w:rPr>
            </w:pPr>
            <w:r w:rsidRPr="003B7A14">
              <w:rPr>
                <w:sz w:val="20"/>
                <w:szCs w:val="20"/>
              </w:rPr>
              <w:t>1.767</w:t>
            </w:r>
          </w:p>
        </w:tc>
        <w:tc>
          <w:tcPr>
            <w:tcW w:w="257" w:type="pct"/>
            <w:tcBorders>
              <w:bottom w:val="single" w:sz="4" w:space="0" w:color="auto"/>
            </w:tcBorders>
            <w:shd w:val="clear" w:color="auto" w:fill="auto"/>
            <w:noWrap/>
            <w:vAlign w:val="center"/>
            <w:hideMark/>
          </w:tcPr>
          <w:p w14:paraId="21A60096" w14:textId="77777777" w:rsidR="009D081E" w:rsidRPr="003B7A14" w:rsidRDefault="009D081E" w:rsidP="009A182B">
            <w:pPr>
              <w:widowControl/>
              <w:autoSpaceDE/>
              <w:autoSpaceDN/>
              <w:jc w:val="center"/>
              <w:rPr>
                <w:sz w:val="20"/>
                <w:szCs w:val="20"/>
              </w:rPr>
            </w:pPr>
            <w:r w:rsidRPr="003B7A14">
              <w:rPr>
                <w:sz w:val="20"/>
                <w:szCs w:val="20"/>
              </w:rPr>
              <w:t>1.661</w:t>
            </w:r>
          </w:p>
        </w:tc>
        <w:tc>
          <w:tcPr>
            <w:tcW w:w="256" w:type="pct"/>
            <w:tcBorders>
              <w:bottom w:val="single" w:sz="4" w:space="0" w:color="auto"/>
            </w:tcBorders>
            <w:shd w:val="clear" w:color="auto" w:fill="auto"/>
            <w:noWrap/>
            <w:vAlign w:val="center"/>
            <w:hideMark/>
          </w:tcPr>
          <w:p w14:paraId="78714D5C"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2DB1BE94" w14:textId="77777777" w:rsidR="009D081E" w:rsidRPr="003B7A14" w:rsidRDefault="009D081E" w:rsidP="009A182B">
            <w:pPr>
              <w:widowControl/>
              <w:autoSpaceDE/>
              <w:autoSpaceDN/>
              <w:jc w:val="center"/>
              <w:rPr>
                <w:sz w:val="20"/>
                <w:szCs w:val="20"/>
              </w:rPr>
            </w:pPr>
            <w:r w:rsidRPr="003B7A14">
              <w:rPr>
                <w:sz w:val="20"/>
                <w:szCs w:val="20"/>
              </w:rPr>
              <w:t>1.728</w:t>
            </w:r>
          </w:p>
        </w:tc>
        <w:tc>
          <w:tcPr>
            <w:tcW w:w="256" w:type="pct"/>
            <w:tcBorders>
              <w:bottom w:val="single" w:sz="4" w:space="0" w:color="auto"/>
            </w:tcBorders>
            <w:shd w:val="clear" w:color="auto" w:fill="auto"/>
            <w:noWrap/>
            <w:vAlign w:val="center"/>
            <w:hideMark/>
          </w:tcPr>
          <w:p w14:paraId="16E90CDC" w14:textId="77777777" w:rsidR="009D081E" w:rsidRPr="003B7A14" w:rsidRDefault="009D081E" w:rsidP="009A182B">
            <w:pPr>
              <w:widowControl/>
              <w:autoSpaceDE/>
              <w:autoSpaceDN/>
              <w:jc w:val="center"/>
              <w:rPr>
                <w:sz w:val="20"/>
                <w:szCs w:val="20"/>
              </w:rPr>
            </w:pPr>
            <w:r w:rsidRPr="003B7A14">
              <w:rPr>
                <w:sz w:val="20"/>
                <w:szCs w:val="20"/>
              </w:rPr>
              <w:t>2.258</w:t>
            </w:r>
          </w:p>
        </w:tc>
        <w:tc>
          <w:tcPr>
            <w:tcW w:w="257" w:type="pct"/>
            <w:tcBorders>
              <w:bottom w:val="single" w:sz="4" w:space="0" w:color="auto"/>
            </w:tcBorders>
            <w:shd w:val="clear" w:color="auto" w:fill="auto"/>
            <w:noWrap/>
            <w:vAlign w:val="center"/>
            <w:hideMark/>
          </w:tcPr>
          <w:p w14:paraId="059F0647"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40C087AB" w14:textId="77777777" w:rsidR="009D081E" w:rsidRPr="003B7A14" w:rsidRDefault="009D081E" w:rsidP="009A182B">
            <w:pPr>
              <w:widowControl/>
              <w:autoSpaceDE/>
              <w:autoSpaceDN/>
              <w:jc w:val="center"/>
              <w:rPr>
                <w:sz w:val="20"/>
                <w:szCs w:val="20"/>
              </w:rPr>
            </w:pPr>
            <w:r w:rsidRPr="003B7A14">
              <w:rPr>
                <w:sz w:val="20"/>
                <w:szCs w:val="20"/>
              </w:rPr>
              <w:t>16.37</w:t>
            </w:r>
          </w:p>
        </w:tc>
        <w:tc>
          <w:tcPr>
            <w:tcW w:w="256" w:type="pct"/>
            <w:tcBorders>
              <w:bottom w:val="single" w:sz="4" w:space="0" w:color="auto"/>
            </w:tcBorders>
            <w:shd w:val="clear" w:color="auto" w:fill="auto"/>
            <w:noWrap/>
            <w:vAlign w:val="center"/>
            <w:hideMark/>
          </w:tcPr>
          <w:p w14:paraId="3521759A" w14:textId="77777777" w:rsidR="009D081E" w:rsidRPr="003B7A14" w:rsidRDefault="009D081E" w:rsidP="009A182B">
            <w:pPr>
              <w:widowControl/>
              <w:autoSpaceDE/>
              <w:autoSpaceDN/>
              <w:jc w:val="center"/>
              <w:rPr>
                <w:sz w:val="20"/>
                <w:szCs w:val="20"/>
              </w:rPr>
            </w:pPr>
            <w:r w:rsidRPr="003B7A14">
              <w:rPr>
                <w:sz w:val="20"/>
                <w:szCs w:val="20"/>
              </w:rPr>
              <w:t>12.77</w:t>
            </w:r>
          </w:p>
        </w:tc>
        <w:tc>
          <w:tcPr>
            <w:tcW w:w="257" w:type="pct"/>
            <w:tcBorders>
              <w:bottom w:val="single" w:sz="4" w:space="0" w:color="auto"/>
            </w:tcBorders>
            <w:shd w:val="clear" w:color="auto" w:fill="auto"/>
            <w:noWrap/>
            <w:vAlign w:val="center"/>
            <w:hideMark/>
          </w:tcPr>
          <w:p w14:paraId="5FA95D8D" w14:textId="77777777" w:rsidR="009D081E" w:rsidRPr="003B7A14" w:rsidRDefault="009D081E" w:rsidP="009A182B">
            <w:pPr>
              <w:widowControl/>
              <w:autoSpaceDE/>
              <w:autoSpaceDN/>
              <w:jc w:val="center"/>
              <w:rPr>
                <w:sz w:val="20"/>
                <w:szCs w:val="20"/>
              </w:rPr>
            </w:pPr>
          </w:p>
        </w:tc>
        <w:tc>
          <w:tcPr>
            <w:tcW w:w="256" w:type="pct"/>
            <w:tcBorders>
              <w:bottom w:val="single" w:sz="4" w:space="0" w:color="auto"/>
            </w:tcBorders>
            <w:shd w:val="clear" w:color="auto" w:fill="auto"/>
            <w:noWrap/>
            <w:vAlign w:val="center"/>
            <w:hideMark/>
          </w:tcPr>
          <w:p w14:paraId="7F76C46F" w14:textId="77777777" w:rsidR="009D081E" w:rsidRPr="003B7A14" w:rsidRDefault="009D081E" w:rsidP="009A182B">
            <w:pPr>
              <w:widowControl/>
              <w:autoSpaceDE/>
              <w:autoSpaceDN/>
              <w:jc w:val="center"/>
              <w:rPr>
                <w:sz w:val="20"/>
                <w:szCs w:val="20"/>
              </w:rPr>
            </w:pPr>
            <w:r w:rsidRPr="003B7A14">
              <w:rPr>
                <w:sz w:val="20"/>
                <w:szCs w:val="20"/>
              </w:rPr>
              <w:t>3.700</w:t>
            </w:r>
          </w:p>
        </w:tc>
        <w:tc>
          <w:tcPr>
            <w:tcW w:w="268" w:type="pct"/>
            <w:tcBorders>
              <w:bottom w:val="single" w:sz="4" w:space="0" w:color="auto"/>
            </w:tcBorders>
            <w:shd w:val="clear" w:color="auto" w:fill="auto"/>
            <w:noWrap/>
            <w:vAlign w:val="center"/>
            <w:hideMark/>
          </w:tcPr>
          <w:p w14:paraId="0A5ACAD7" w14:textId="77777777" w:rsidR="009D081E" w:rsidRPr="003B7A14" w:rsidRDefault="009D081E" w:rsidP="009A182B">
            <w:pPr>
              <w:widowControl/>
              <w:autoSpaceDE/>
              <w:autoSpaceDN/>
              <w:jc w:val="center"/>
              <w:rPr>
                <w:sz w:val="20"/>
                <w:szCs w:val="20"/>
              </w:rPr>
            </w:pPr>
            <w:r w:rsidRPr="003B7A14">
              <w:rPr>
                <w:sz w:val="20"/>
                <w:szCs w:val="20"/>
              </w:rPr>
              <w:t>3.346</w:t>
            </w:r>
          </w:p>
        </w:tc>
        <w:tc>
          <w:tcPr>
            <w:tcW w:w="257" w:type="pct"/>
            <w:tcBorders>
              <w:bottom w:val="single" w:sz="4" w:space="0" w:color="auto"/>
            </w:tcBorders>
            <w:shd w:val="clear" w:color="auto" w:fill="auto"/>
            <w:noWrap/>
            <w:vAlign w:val="center"/>
            <w:hideMark/>
          </w:tcPr>
          <w:p w14:paraId="58245EF7"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065C00CD" w14:textId="77777777" w:rsidR="009D081E" w:rsidRPr="003B7A14" w:rsidRDefault="009D081E" w:rsidP="009A182B">
            <w:pPr>
              <w:widowControl/>
              <w:autoSpaceDE/>
              <w:autoSpaceDN/>
              <w:jc w:val="center"/>
              <w:rPr>
                <w:sz w:val="20"/>
                <w:szCs w:val="20"/>
              </w:rPr>
            </w:pPr>
            <w:r w:rsidRPr="003B7A14">
              <w:rPr>
                <w:sz w:val="20"/>
                <w:szCs w:val="20"/>
              </w:rPr>
              <w:t>47.72</w:t>
            </w:r>
          </w:p>
        </w:tc>
        <w:tc>
          <w:tcPr>
            <w:tcW w:w="257" w:type="pct"/>
            <w:tcBorders>
              <w:bottom w:val="single" w:sz="4" w:space="0" w:color="auto"/>
            </w:tcBorders>
            <w:shd w:val="clear" w:color="auto" w:fill="auto"/>
            <w:noWrap/>
            <w:vAlign w:val="center"/>
            <w:hideMark/>
          </w:tcPr>
          <w:p w14:paraId="12976E80" w14:textId="77777777" w:rsidR="009D081E" w:rsidRPr="003B7A14" w:rsidRDefault="009D081E" w:rsidP="009A182B">
            <w:pPr>
              <w:widowControl/>
              <w:autoSpaceDE/>
              <w:autoSpaceDN/>
              <w:jc w:val="center"/>
              <w:rPr>
                <w:sz w:val="20"/>
                <w:szCs w:val="20"/>
              </w:rPr>
            </w:pPr>
            <w:r w:rsidRPr="003B7A14">
              <w:rPr>
                <w:sz w:val="20"/>
                <w:szCs w:val="20"/>
              </w:rPr>
              <w:t>51.32</w:t>
            </w:r>
          </w:p>
        </w:tc>
        <w:tc>
          <w:tcPr>
            <w:tcW w:w="249" w:type="pct"/>
            <w:tcBorders>
              <w:bottom w:val="single" w:sz="4" w:space="0" w:color="auto"/>
            </w:tcBorders>
            <w:shd w:val="clear" w:color="auto" w:fill="auto"/>
            <w:noWrap/>
            <w:vAlign w:val="center"/>
            <w:hideMark/>
          </w:tcPr>
          <w:p w14:paraId="5676D68D" w14:textId="77777777" w:rsidR="009D081E" w:rsidRPr="003B7A14" w:rsidRDefault="009D081E" w:rsidP="009A182B">
            <w:pPr>
              <w:widowControl/>
              <w:autoSpaceDE/>
              <w:autoSpaceDN/>
              <w:jc w:val="center"/>
              <w:rPr>
                <w:sz w:val="20"/>
                <w:szCs w:val="20"/>
              </w:rPr>
            </w:pPr>
          </w:p>
        </w:tc>
      </w:tr>
      <w:tr w:rsidR="003B7A14" w:rsidRPr="003B7A14" w14:paraId="7A771F64" w14:textId="77777777" w:rsidTr="009A182B">
        <w:trPr>
          <w:trHeight w:val="425"/>
        </w:trPr>
        <w:tc>
          <w:tcPr>
            <w:tcW w:w="270" w:type="pct"/>
            <w:tcBorders>
              <w:top w:val="single" w:sz="4" w:space="0" w:color="auto"/>
            </w:tcBorders>
            <w:shd w:val="clear" w:color="auto" w:fill="auto"/>
            <w:noWrap/>
            <w:vAlign w:val="center"/>
            <w:hideMark/>
          </w:tcPr>
          <w:p w14:paraId="4CE3D63D" w14:textId="77777777" w:rsidR="009D081E" w:rsidRPr="003B7A14" w:rsidRDefault="009D081E" w:rsidP="009A182B">
            <w:pPr>
              <w:widowControl/>
              <w:autoSpaceDE/>
              <w:autoSpaceDN/>
              <w:jc w:val="center"/>
              <w:rPr>
                <w:b/>
                <w:bCs/>
                <w:sz w:val="18"/>
              </w:rPr>
            </w:pPr>
          </w:p>
        </w:tc>
        <w:tc>
          <w:tcPr>
            <w:tcW w:w="257" w:type="pct"/>
            <w:tcBorders>
              <w:top w:val="single" w:sz="4" w:space="0" w:color="auto"/>
              <w:bottom w:val="single" w:sz="4" w:space="0" w:color="auto"/>
            </w:tcBorders>
            <w:shd w:val="clear" w:color="auto" w:fill="auto"/>
            <w:noWrap/>
            <w:vAlign w:val="center"/>
            <w:hideMark/>
          </w:tcPr>
          <w:p w14:paraId="5B9ECFA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308" w:type="pct"/>
            <w:tcBorders>
              <w:top w:val="single" w:sz="4" w:space="0" w:color="auto"/>
              <w:bottom w:val="single" w:sz="4" w:space="0" w:color="auto"/>
            </w:tcBorders>
            <w:shd w:val="clear" w:color="auto" w:fill="auto"/>
            <w:noWrap/>
            <w:vAlign w:val="center"/>
            <w:hideMark/>
          </w:tcPr>
          <w:p w14:paraId="76903BC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61" w:type="pct"/>
            <w:tcBorders>
              <w:top w:val="single" w:sz="4" w:space="0" w:color="auto"/>
              <w:bottom w:val="single" w:sz="4" w:space="0" w:color="auto"/>
            </w:tcBorders>
            <w:shd w:val="clear" w:color="auto" w:fill="auto"/>
            <w:noWrap/>
            <w:vAlign w:val="center"/>
            <w:hideMark/>
          </w:tcPr>
          <w:p w14:paraId="1652883B"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308" w:type="pct"/>
            <w:tcBorders>
              <w:top w:val="single" w:sz="4" w:space="0" w:color="auto"/>
              <w:bottom w:val="single" w:sz="4" w:space="0" w:color="auto"/>
            </w:tcBorders>
            <w:shd w:val="clear" w:color="auto" w:fill="auto"/>
            <w:noWrap/>
            <w:vAlign w:val="center"/>
            <w:hideMark/>
          </w:tcPr>
          <w:p w14:paraId="7740FCCC"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132F154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6" w:type="pct"/>
            <w:tcBorders>
              <w:top w:val="single" w:sz="4" w:space="0" w:color="auto"/>
              <w:bottom w:val="single" w:sz="4" w:space="0" w:color="auto"/>
            </w:tcBorders>
            <w:shd w:val="clear" w:color="auto" w:fill="auto"/>
            <w:noWrap/>
            <w:vAlign w:val="center"/>
            <w:hideMark/>
          </w:tcPr>
          <w:p w14:paraId="104EE48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3DA21CA8"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6" w:type="pct"/>
            <w:tcBorders>
              <w:top w:val="single" w:sz="4" w:space="0" w:color="auto"/>
              <w:bottom w:val="single" w:sz="4" w:space="0" w:color="auto"/>
            </w:tcBorders>
            <w:shd w:val="clear" w:color="auto" w:fill="auto"/>
            <w:noWrap/>
            <w:vAlign w:val="center"/>
            <w:hideMark/>
          </w:tcPr>
          <w:p w14:paraId="0F323E6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159112C5"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7989D41F"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6" w:type="pct"/>
            <w:tcBorders>
              <w:top w:val="single" w:sz="4" w:space="0" w:color="auto"/>
              <w:bottom w:val="single" w:sz="4" w:space="0" w:color="auto"/>
            </w:tcBorders>
            <w:shd w:val="clear" w:color="auto" w:fill="auto"/>
            <w:noWrap/>
            <w:vAlign w:val="center"/>
            <w:hideMark/>
          </w:tcPr>
          <w:p w14:paraId="379BB12F"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6AE91EBB"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6" w:type="pct"/>
            <w:tcBorders>
              <w:top w:val="single" w:sz="4" w:space="0" w:color="auto"/>
              <w:bottom w:val="single" w:sz="4" w:space="0" w:color="auto"/>
            </w:tcBorders>
            <w:shd w:val="clear" w:color="auto" w:fill="auto"/>
            <w:noWrap/>
            <w:vAlign w:val="center"/>
            <w:hideMark/>
          </w:tcPr>
          <w:p w14:paraId="0C4CD0CA"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68" w:type="pct"/>
            <w:tcBorders>
              <w:top w:val="single" w:sz="4" w:space="0" w:color="auto"/>
              <w:bottom w:val="single" w:sz="4" w:space="0" w:color="auto"/>
            </w:tcBorders>
            <w:shd w:val="clear" w:color="auto" w:fill="auto"/>
            <w:noWrap/>
            <w:vAlign w:val="center"/>
            <w:hideMark/>
          </w:tcPr>
          <w:p w14:paraId="79F29BB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6B4D9100"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19C0AA35"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0F4E7AD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49" w:type="pct"/>
            <w:tcBorders>
              <w:top w:val="single" w:sz="4" w:space="0" w:color="auto"/>
              <w:bottom w:val="single" w:sz="4" w:space="0" w:color="auto"/>
            </w:tcBorders>
            <w:shd w:val="clear" w:color="auto" w:fill="auto"/>
            <w:noWrap/>
            <w:vAlign w:val="center"/>
            <w:hideMark/>
          </w:tcPr>
          <w:p w14:paraId="50CA42F2" w14:textId="77777777" w:rsidR="009D081E" w:rsidRPr="003B7A14" w:rsidRDefault="009D081E" w:rsidP="009A182B">
            <w:pPr>
              <w:widowControl/>
              <w:autoSpaceDE/>
              <w:autoSpaceDN/>
              <w:jc w:val="center"/>
              <w:rPr>
                <w:b/>
                <w:bCs/>
                <w:sz w:val="19"/>
                <w:szCs w:val="19"/>
              </w:rPr>
            </w:pPr>
            <w:r w:rsidRPr="003B7A14">
              <w:rPr>
                <w:b/>
                <w:bCs/>
                <w:sz w:val="18"/>
                <w:szCs w:val="19"/>
              </w:rPr>
              <w:t>CD</w:t>
            </w:r>
            <w:r w:rsidRPr="003B7A14">
              <w:rPr>
                <w:sz w:val="18"/>
                <w:szCs w:val="19"/>
                <w:vertAlign w:val="subscript"/>
              </w:rPr>
              <w:t>0.05</w:t>
            </w:r>
          </w:p>
        </w:tc>
      </w:tr>
      <w:tr w:rsidR="003B7A14" w:rsidRPr="003B7A14" w14:paraId="0049FD62" w14:textId="77777777" w:rsidTr="009A182B">
        <w:trPr>
          <w:trHeight w:val="425"/>
        </w:trPr>
        <w:tc>
          <w:tcPr>
            <w:tcW w:w="270" w:type="pct"/>
            <w:shd w:val="clear" w:color="auto" w:fill="auto"/>
            <w:noWrap/>
            <w:vAlign w:val="center"/>
            <w:hideMark/>
          </w:tcPr>
          <w:p w14:paraId="46FC4B98" w14:textId="77777777" w:rsidR="009D081E" w:rsidRPr="003B7A14" w:rsidRDefault="009D081E" w:rsidP="009A182B">
            <w:pPr>
              <w:widowControl/>
              <w:autoSpaceDE/>
              <w:autoSpaceDN/>
              <w:jc w:val="center"/>
              <w:rPr>
                <w:b/>
                <w:bCs/>
                <w:sz w:val="18"/>
              </w:rPr>
            </w:pPr>
            <w:r w:rsidRPr="003B7A14">
              <w:rPr>
                <w:b/>
                <w:bCs/>
                <w:sz w:val="18"/>
              </w:rPr>
              <w:t>M</w:t>
            </w:r>
          </w:p>
        </w:tc>
        <w:tc>
          <w:tcPr>
            <w:tcW w:w="257" w:type="pct"/>
            <w:tcBorders>
              <w:top w:val="single" w:sz="4" w:space="0" w:color="auto"/>
            </w:tcBorders>
            <w:shd w:val="clear" w:color="auto" w:fill="auto"/>
            <w:noWrap/>
            <w:vAlign w:val="center"/>
            <w:hideMark/>
          </w:tcPr>
          <w:p w14:paraId="57ECE141" w14:textId="77777777" w:rsidR="009D081E" w:rsidRPr="003B7A14" w:rsidRDefault="009D081E" w:rsidP="009A182B">
            <w:pPr>
              <w:widowControl/>
              <w:autoSpaceDE/>
              <w:autoSpaceDN/>
              <w:jc w:val="center"/>
              <w:rPr>
                <w:sz w:val="20"/>
                <w:szCs w:val="20"/>
              </w:rPr>
            </w:pPr>
            <w:r w:rsidRPr="003B7A14">
              <w:rPr>
                <w:bCs/>
                <w:sz w:val="20"/>
                <w:szCs w:val="20"/>
              </w:rPr>
              <w:t>0.054</w:t>
            </w:r>
          </w:p>
        </w:tc>
        <w:tc>
          <w:tcPr>
            <w:tcW w:w="308" w:type="pct"/>
            <w:tcBorders>
              <w:top w:val="single" w:sz="4" w:space="0" w:color="auto"/>
            </w:tcBorders>
            <w:shd w:val="clear" w:color="auto" w:fill="auto"/>
            <w:noWrap/>
            <w:vAlign w:val="center"/>
            <w:hideMark/>
          </w:tcPr>
          <w:p w14:paraId="358A6F0E" w14:textId="77777777" w:rsidR="009D081E" w:rsidRPr="003B7A14" w:rsidRDefault="009D081E" w:rsidP="009A182B">
            <w:pPr>
              <w:widowControl/>
              <w:autoSpaceDE/>
              <w:autoSpaceDN/>
              <w:jc w:val="center"/>
              <w:rPr>
                <w:sz w:val="20"/>
                <w:szCs w:val="20"/>
              </w:rPr>
            </w:pPr>
            <w:r w:rsidRPr="003B7A14">
              <w:rPr>
                <w:bCs/>
                <w:sz w:val="20"/>
                <w:szCs w:val="20"/>
              </w:rPr>
              <w:t>0.008</w:t>
            </w:r>
          </w:p>
        </w:tc>
        <w:tc>
          <w:tcPr>
            <w:tcW w:w="261" w:type="pct"/>
            <w:tcBorders>
              <w:top w:val="single" w:sz="4" w:space="0" w:color="auto"/>
            </w:tcBorders>
            <w:shd w:val="clear" w:color="auto" w:fill="auto"/>
            <w:noWrap/>
            <w:vAlign w:val="center"/>
            <w:hideMark/>
          </w:tcPr>
          <w:p w14:paraId="1AD329E8" w14:textId="77777777" w:rsidR="009D081E" w:rsidRPr="003B7A14" w:rsidRDefault="009D081E" w:rsidP="009A182B">
            <w:pPr>
              <w:widowControl/>
              <w:autoSpaceDE/>
              <w:autoSpaceDN/>
              <w:jc w:val="center"/>
              <w:rPr>
                <w:sz w:val="20"/>
                <w:szCs w:val="20"/>
              </w:rPr>
            </w:pPr>
            <w:r w:rsidRPr="003B7A14">
              <w:rPr>
                <w:bCs/>
                <w:sz w:val="20"/>
                <w:szCs w:val="20"/>
              </w:rPr>
              <w:t>0.016</w:t>
            </w:r>
          </w:p>
        </w:tc>
        <w:tc>
          <w:tcPr>
            <w:tcW w:w="308" w:type="pct"/>
            <w:tcBorders>
              <w:top w:val="single" w:sz="4" w:space="0" w:color="auto"/>
            </w:tcBorders>
            <w:shd w:val="clear" w:color="auto" w:fill="auto"/>
            <w:noWrap/>
            <w:vAlign w:val="center"/>
            <w:hideMark/>
          </w:tcPr>
          <w:p w14:paraId="31FB5723" w14:textId="77777777" w:rsidR="009D081E" w:rsidRPr="003B7A14" w:rsidRDefault="009D081E" w:rsidP="009A182B">
            <w:pPr>
              <w:widowControl/>
              <w:autoSpaceDE/>
              <w:autoSpaceDN/>
              <w:jc w:val="center"/>
              <w:rPr>
                <w:sz w:val="20"/>
                <w:szCs w:val="20"/>
              </w:rPr>
            </w:pPr>
            <w:r w:rsidRPr="003B7A14">
              <w:rPr>
                <w:bCs/>
                <w:sz w:val="20"/>
                <w:szCs w:val="20"/>
              </w:rPr>
              <w:t>0.023</w:t>
            </w:r>
          </w:p>
        </w:tc>
        <w:tc>
          <w:tcPr>
            <w:tcW w:w="257" w:type="pct"/>
            <w:tcBorders>
              <w:top w:val="single" w:sz="4" w:space="0" w:color="auto"/>
            </w:tcBorders>
            <w:shd w:val="clear" w:color="auto" w:fill="auto"/>
            <w:noWrap/>
            <w:vAlign w:val="center"/>
            <w:hideMark/>
          </w:tcPr>
          <w:p w14:paraId="124AB9DA" w14:textId="77777777" w:rsidR="009D081E" w:rsidRPr="003B7A14" w:rsidRDefault="009D081E" w:rsidP="009A182B">
            <w:pPr>
              <w:widowControl/>
              <w:autoSpaceDE/>
              <w:autoSpaceDN/>
              <w:jc w:val="center"/>
              <w:rPr>
                <w:sz w:val="20"/>
                <w:szCs w:val="20"/>
              </w:rPr>
            </w:pPr>
            <w:r w:rsidRPr="003B7A14">
              <w:rPr>
                <w:bCs/>
                <w:sz w:val="20"/>
                <w:szCs w:val="20"/>
              </w:rPr>
              <w:t>0.033</w:t>
            </w:r>
          </w:p>
        </w:tc>
        <w:tc>
          <w:tcPr>
            <w:tcW w:w="256" w:type="pct"/>
            <w:tcBorders>
              <w:top w:val="single" w:sz="4" w:space="0" w:color="auto"/>
            </w:tcBorders>
            <w:shd w:val="clear" w:color="auto" w:fill="auto"/>
            <w:noWrap/>
            <w:vAlign w:val="center"/>
            <w:hideMark/>
          </w:tcPr>
          <w:p w14:paraId="57C89565" w14:textId="77777777" w:rsidR="009D081E" w:rsidRPr="003B7A14" w:rsidRDefault="009D081E" w:rsidP="009A182B">
            <w:pPr>
              <w:widowControl/>
              <w:autoSpaceDE/>
              <w:autoSpaceDN/>
              <w:jc w:val="center"/>
              <w:rPr>
                <w:sz w:val="20"/>
                <w:szCs w:val="20"/>
              </w:rPr>
            </w:pPr>
            <w:r w:rsidRPr="003B7A14">
              <w:rPr>
                <w:bCs/>
                <w:sz w:val="20"/>
                <w:szCs w:val="20"/>
              </w:rPr>
              <w:t>0.068</w:t>
            </w:r>
          </w:p>
        </w:tc>
        <w:tc>
          <w:tcPr>
            <w:tcW w:w="257" w:type="pct"/>
            <w:tcBorders>
              <w:top w:val="single" w:sz="4" w:space="0" w:color="auto"/>
            </w:tcBorders>
            <w:shd w:val="clear" w:color="auto" w:fill="auto"/>
            <w:noWrap/>
            <w:vAlign w:val="center"/>
            <w:hideMark/>
          </w:tcPr>
          <w:p w14:paraId="45181C2F" w14:textId="77777777" w:rsidR="009D081E" w:rsidRPr="003B7A14" w:rsidRDefault="009D081E" w:rsidP="009A182B">
            <w:pPr>
              <w:widowControl/>
              <w:autoSpaceDE/>
              <w:autoSpaceDN/>
              <w:jc w:val="center"/>
              <w:rPr>
                <w:sz w:val="20"/>
                <w:szCs w:val="20"/>
              </w:rPr>
            </w:pPr>
            <w:r w:rsidRPr="003B7A14">
              <w:rPr>
                <w:bCs/>
                <w:sz w:val="20"/>
                <w:szCs w:val="20"/>
              </w:rPr>
              <w:t>0.027</w:t>
            </w:r>
          </w:p>
        </w:tc>
        <w:tc>
          <w:tcPr>
            <w:tcW w:w="256" w:type="pct"/>
            <w:tcBorders>
              <w:top w:val="single" w:sz="4" w:space="0" w:color="auto"/>
            </w:tcBorders>
            <w:shd w:val="clear" w:color="auto" w:fill="auto"/>
            <w:noWrap/>
            <w:vAlign w:val="center"/>
            <w:hideMark/>
          </w:tcPr>
          <w:p w14:paraId="48FDFE68" w14:textId="77777777" w:rsidR="009D081E" w:rsidRPr="003B7A14" w:rsidRDefault="009D081E" w:rsidP="009A182B">
            <w:pPr>
              <w:widowControl/>
              <w:autoSpaceDE/>
              <w:autoSpaceDN/>
              <w:jc w:val="center"/>
              <w:rPr>
                <w:sz w:val="20"/>
                <w:szCs w:val="20"/>
              </w:rPr>
            </w:pPr>
            <w:r w:rsidRPr="003B7A14">
              <w:rPr>
                <w:bCs/>
                <w:sz w:val="20"/>
                <w:szCs w:val="20"/>
              </w:rPr>
              <w:t>0.039</w:t>
            </w:r>
          </w:p>
        </w:tc>
        <w:tc>
          <w:tcPr>
            <w:tcW w:w="257" w:type="pct"/>
            <w:tcBorders>
              <w:top w:val="single" w:sz="4" w:space="0" w:color="auto"/>
            </w:tcBorders>
            <w:shd w:val="clear" w:color="auto" w:fill="auto"/>
            <w:noWrap/>
            <w:vAlign w:val="center"/>
            <w:hideMark/>
          </w:tcPr>
          <w:p w14:paraId="5315B29F" w14:textId="77777777" w:rsidR="009D081E" w:rsidRPr="003B7A14" w:rsidRDefault="009D081E" w:rsidP="009A182B">
            <w:pPr>
              <w:widowControl/>
              <w:autoSpaceDE/>
              <w:autoSpaceDN/>
              <w:jc w:val="center"/>
              <w:rPr>
                <w:sz w:val="20"/>
                <w:szCs w:val="20"/>
              </w:rPr>
            </w:pPr>
            <w:r w:rsidRPr="003B7A14">
              <w:rPr>
                <w:bCs/>
                <w:sz w:val="20"/>
                <w:szCs w:val="20"/>
              </w:rPr>
              <w:t>0.08</w:t>
            </w:r>
          </w:p>
        </w:tc>
        <w:tc>
          <w:tcPr>
            <w:tcW w:w="257" w:type="pct"/>
            <w:tcBorders>
              <w:top w:val="single" w:sz="4" w:space="0" w:color="auto"/>
            </w:tcBorders>
            <w:shd w:val="clear" w:color="auto" w:fill="auto"/>
            <w:noWrap/>
            <w:vAlign w:val="center"/>
            <w:hideMark/>
          </w:tcPr>
          <w:p w14:paraId="02726B9C" w14:textId="77777777" w:rsidR="009D081E" w:rsidRPr="003B7A14" w:rsidRDefault="009D081E" w:rsidP="009A182B">
            <w:pPr>
              <w:widowControl/>
              <w:autoSpaceDE/>
              <w:autoSpaceDN/>
              <w:jc w:val="center"/>
              <w:rPr>
                <w:sz w:val="20"/>
                <w:szCs w:val="20"/>
              </w:rPr>
            </w:pPr>
            <w:r w:rsidRPr="003B7A14">
              <w:rPr>
                <w:bCs/>
                <w:sz w:val="20"/>
                <w:szCs w:val="20"/>
              </w:rPr>
              <w:t>0.505</w:t>
            </w:r>
          </w:p>
        </w:tc>
        <w:tc>
          <w:tcPr>
            <w:tcW w:w="256" w:type="pct"/>
            <w:tcBorders>
              <w:top w:val="single" w:sz="4" w:space="0" w:color="auto"/>
            </w:tcBorders>
            <w:shd w:val="clear" w:color="auto" w:fill="auto"/>
            <w:noWrap/>
            <w:vAlign w:val="center"/>
            <w:hideMark/>
          </w:tcPr>
          <w:p w14:paraId="7A96FE15" w14:textId="77777777" w:rsidR="009D081E" w:rsidRPr="003B7A14" w:rsidRDefault="009D081E" w:rsidP="009A182B">
            <w:pPr>
              <w:widowControl/>
              <w:autoSpaceDE/>
              <w:autoSpaceDN/>
              <w:jc w:val="center"/>
              <w:rPr>
                <w:sz w:val="20"/>
                <w:szCs w:val="20"/>
              </w:rPr>
            </w:pPr>
            <w:r w:rsidRPr="003B7A14">
              <w:rPr>
                <w:bCs/>
                <w:sz w:val="20"/>
                <w:szCs w:val="20"/>
              </w:rPr>
              <w:t>0.714</w:t>
            </w:r>
          </w:p>
        </w:tc>
        <w:tc>
          <w:tcPr>
            <w:tcW w:w="257" w:type="pct"/>
            <w:tcBorders>
              <w:top w:val="single" w:sz="4" w:space="0" w:color="auto"/>
            </w:tcBorders>
            <w:shd w:val="clear" w:color="auto" w:fill="auto"/>
            <w:noWrap/>
            <w:vAlign w:val="center"/>
            <w:hideMark/>
          </w:tcPr>
          <w:p w14:paraId="0D9E779A" w14:textId="77777777" w:rsidR="009D081E" w:rsidRPr="003B7A14" w:rsidRDefault="009D081E" w:rsidP="009A182B">
            <w:pPr>
              <w:widowControl/>
              <w:autoSpaceDE/>
              <w:autoSpaceDN/>
              <w:jc w:val="center"/>
              <w:rPr>
                <w:sz w:val="20"/>
                <w:szCs w:val="20"/>
              </w:rPr>
            </w:pPr>
            <w:r w:rsidRPr="003B7A14">
              <w:rPr>
                <w:bCs/>
                <w:sz w:val="20"/>
                <w:szCs w:val="20"/>
              </w:rPr>
              <w:t>1.462</w:t>
            </w:r>
          </w:p>
        </w:tc>
        <w:tc>
          <w:tcPr>
            <w:tcW w:w="256" w:type="pct"/>
            <w:tcBorders>
              <w:top w:val="single" w:sz="4" w:space="0" w:color="auto"/>
            </w:tcBorders>
            <w:shd w:val="clear" w:color="auto" w:fill="auto"/>
            <w:noWrap/>
            <w:vAlign w:val="center"/>
            <w:hideMark/>
          </w:tcPr>
          <w:p w14:paraId="135EFED4" w14:textId="77777777" w:rsidR="009D081E" w:rsidRPr="003B7A14" w:rsidRDefault="009D081E" w:rsidP="009A182B">
            <w:pPr>
              <w:widowControl/>
              <w:autoSpaceDE/>
              <w:autoSpaceDN/>
              <w:jc w:val="center"/>
              <w:rPr>
                <w:sz w:val="20"/>
                <w:szCs w:val="20"/>
              </w:rPr>
            </w:pPr>
            <w:r w:rsidRPr="003B7A14">
              <w:rPr>
                <w:bCs/>
                <w:sz w:val="20"/>
                <w:szCs w:val="20"/>
              </w:rPr>
              <w:t>0.090</w:t>
            </w:r>
          </w:p>
        </w:tc>
        <w:tc>
          <w:tcPr>
            <w:tcW w:w="268" w:type="pct"/>
            <w:tcBorders>
              <w:top w:val="single" w:sz="4" w:space="0" w:color="auto"/>
            </w:tcBorders>
            <w:shd w:val="clear" w:color="auto" w:fill="auto"/>
            <w:noWrap/>
            <w:vAlign w:val="center"/>
            <w:hideMark/>
          </w:tcPr>
          <w:p w14:paraId="3E62C11D"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7" w:type="pct"/>
            <w:tcBorders>
              <w:top w:val="single" w:sz="4" w:space="0" w:color="auto"/>
            </w:tcBorders>
            <w:shd w:val="clear" w:color="auto" w:fill="auto"/>
            <w:noWrap/>
            <w:vAlign w:val="center"/>
            <w:hideMark/>
          </w:tcPr>
          <w:p w14:paraId="6D9754EB" w14:textId="77777777" w:rsidR="009D081E" w:rsidRPr="003B7A14" w:rsidRDefault="009D081E" w:rsidP="009A182B">
            <w:pPr>
              <w:widowControl/>
              <w:autoSpaceDE/>
              <w:autoSpaceDN/>
              <w:jc w:val="center"/>
              <w:rPr>
                <w:sz w:val="20"/>
                <w:szCs w:val="20"/>
              </w:rPr>
            </w:pPr>
            <w:r w:rsidRPr="003B7A14">
              <w:rPr>
                <w:bCs/>
                <w:sz w:val="20"/>
                <w:szCs w:val="20"/>
              </w:rPr>
              <w:t>0.261</w:t>
            </w:r>
          </w:p>
        </w:tc>
        <w:tc>
          <w:tcPr>
            <w:tcW w:w="257" w:type="pct"/>
            <w:tcBorders>
              <w:top w:val="single" w:sz="4" w:space="0" w:color="auto"/>
            </w:tcBorders>
            <w:shd w:val="clear" w:color="auto" w:fill="auto"/>
            <w:noWrap/>
            <w:vAlign w:val="center"/>
            <w:hideMark/>
          </w:tcPr>
          <w:p w14:paraId="61A19DFA" w14:textId="77777777" w:rsidR="009D081E" w:rsidRPr="003B7A14" w:rsidRDefault="009D081E" w:rsidP="009A182B">
            <w:pPr>
              <w:widowControl/>
              <w:autoSpaceDE/>
              <w:autoSpaceDN/>
              <w:jc w:val="center"/>
              <w:rPr>
                <w:sz w:val="20"/>
                <w:szCs w:val="20"/>
              </w:rPr>
            </w:pPr>
            <w:r w:rsidRPr="003B7A14">
              <w:rPr>
                <w:bCs/>
                <w:sz w:val="20"/>
                <w:szCs w:val="20"/>
              </w:rPr>
              <w:t>0.554</w:t>
            </w:r>
          </w:p>
        </w:tc>
        <w:tc>
          <w:tcPr>
            <w:tcW w:w="257" w:type="pct"/>
            <w:tcBorders>
              <w:top w:val="single" w:sz="4" w:space="0" w:color="auto"/>
            </w:tcBorders>
            <w:shd w:val="clear" w:color="auto" w:fill="auto"/>
            <w:noWrap/>
            <w:vAlign w:val="center"/>
            <w:hideMark/>
          </w:tcPr>
          <w:p w14:paraId="10365B29" w14:textId="77777777" w:rsidR="009D081E" w:rsidRPr="003B7A14" w:rsidRDefault="009D081E" w:rsidP="009A182B">
            <w:pPr>
              <w:widowControl/>
              <w:autoSpaceDE/>
              <w:autoSpaceDN/>
              <w:jc w:val="center"/>
              <w:rPr>
                <w:sz w:val="20"/>
                <w:szCs w:val="20"/>
              </w:rPr>
            </w:pPr>
            <w:r w:rsidRPr="003B7A14">
              <w:rPr>
                <w:bCs/>
                <w:sz w:val="20"/>
                <w:szCs w:val="20"/>
              </w:rPr>
              <w:t>0.784</w:t>
            </w:r>
          </w:p>
        </w:tc>
        <w:tc>
          <w:tcPr>
            <w:tcW w:w="249" w:type="pct"/>
            <w:tcBorders>
              <w:top w:val="single" w:sz="4" w:space="0" w:color="auto"/>
            </w:tcBorders>
            <w:shd w:val="clear" w:color="auto" w:fill="auto"/>
            <w:noWrap/>
            <w:vAlign w:val="center"/>
            <w:hideMark/>
          </w:tcPr>
          <w:p w14:paraId="1053F77C" w14:textId="77777777" w:rsidR="009D081E" w:rsidRPr="003B7A14" w:rsidRDefault="009D081E" w:rsidP="009A182B">
            <w:pPr>
              <w:widowControl/>
              <w:autoSpaceDE/>
              <w:autoSpaceDN/>
              <w:jc w:val="center"/>
              <w:rPr>
                <w:sz w:val="20"/>
                <w:szCs w:val="20"/>
              </w:rPr>
            </w:pPr>
            <w:r w:rsidRPr="003B7A14">
              <w:rPr>
                <w:bCs/>
                <w:sz w:val="20"/>
                <w:szCs w:val="20"/>
              </w:rPr>
              <w:t>1.605</w:t>
            </w:r>
          </w:p>
        </w:tc>
      </w:tr>
      <w:tr w:rsidR="003B7A14" w:rsidRPr="003B7A14" w14:paraId="3201A617" w14:textId="77777777" w:rsidTr="009A182B">
        <w:trPr>
          <w:trHeight w:val="425"/>
        </w:trPr>
        <w:tc>
          <w:tcPr>
            <w:tcW w:w="270" w:type="pct"/>
            <w:shd w:val="clear" w:color="auto" w:fill="auto"/>
            <w:noWrap/>
            <w:vAlign w:val="center"/>
            <w:hideMark/>
          </w:tcPr>
          <w:p w14:paraId="318A47F5" w14:textId="77777777" w:rsidR="009D081E" w:rsidRPr="003B7A14" w:rsidRDefault="009D081E" w:rsidP="009A182B">
            <w:pPr>
              <w:widowControl/>
              <w:autoSpaceDE/>
              <w:autoSpaceDN/>
              <w:jc w:val="center"/>
              <w:rPr>
                <w:b/>
                <w:bCs/>
                <w:sz w:val="18"/>
              </w:rPr>
            </w:pPr>
            <w:r w:rsidRPr="003B7A14">
              <w:rPr>
                <w:b/>
                <w:bCs/>
                <w:sz w:val="18"/>
              </w:rPr>
              <w:t>I</w:t>
            </w:r>
          </w:p>
        </w:tc>
        <w:tc>
          <w:tcPr>
            <w:tcW w:w="257" w:type="pct"/>
            <w:shd w:val="clear" w:color="auto" w:fill="auto"/>
            <w:noWrap/>
            <w:vAlign w:val="center"/>
            <w:hideMark/>
          </w:tcPr>
          <w:p w14:paraId="20F7540E" w14:textId="77777777" w:rsidR="009D081E" w:rsidRPr="003B7A14" w:rsidRDefault="009D081E" w:rsidP="009A182B">
            <w:pPr>
              <w:widowControl/>
              <w:autoSpaceDE/>
              <w:autoSpaceDN/>
              <w:jc w:val="center"/>
              <w:rPr>
                <w:sz w:val="20"/>
                <w:szCs w:val="20"/>
              </w:rPr>
            </w:pPr>
            <w:r w:rsidRPr="003B7A14">
              <w:rPr>
                <w:bCs/>
                <w:sz w:val="20"/>
                <w:szCs w:val="20"/>
              </w:rPr>
              <w:t>0.010</w:t>
            </w:r>
          </w:p>
        </w:tc>
        <w:tc>
          <w:tcPr>
            <w:tcW w:w="308" w:type="pct"/>
            <w:shd w:val="clear" w:color="auto" w:fill="auto"/>
            <w:noWrap/>
            <w:vAlign w:val="center"/>
            <w:hideMark/>
          </w:tcPr>
          <w:p w14:paraId="4B605AFA" w14:textId="77777777" w:rsidR="009D081E" w:rsidRPr="003B7A14" w:rsidRDefault="009D081E" w:rsidP="009A182B">
            <w:pPr>
              <w:widowControl/>
              <w:autoSpaceDE/>
              <w:autoSpaceDN/>
              <w:jc w:val="center"/>
              <w:rPr>
                <w:sz w:val="20"/>
                <w:szCs w:val="20"/>
              </w:rPr>
            </w:pPr>
            <w:r w:rsidRPr="003B7A14">
              <w:rPr>
                <w:bCs/>
                <w:sz w:val="20"/>
                <w:szCs w:val="20"/>
              </w:rPr>
              <w:t>0.014</w:t>
            </w:r>
          </w:p>
        </w:tc>
        <w:tc>
          <w:tcPr>
            <w:tcW w:w="261" w:type="pct"/>
            <w:shd w:val="clear" w:color="auto" w:fill="auto"/>
            <w:noWrap/>
            <w:vAlign w:val="center"/>
            <w:hideMark/>
          </w:tcPr>
          <w:p w14:paraId="4A8F0402" w14:textId="77777777" w:rsidR="009D081E" w:rsidRPr="003B7A14" w:rsidRDefault="009D081E" w:rsidP="009A182B">
            <w:pPr>
              <w:widowControl/>
              <w:autoSpaceDE/>
              <w:autoSpaceDN/>
              <w:jc w:val="center"/>
              <w:rPr>
                <w:sz w:val="20"/>
                <w:szCs w:val="20"/>
              </w:rPr>
            </w:pPr>
            <w:r w:rsidRPr="003B7A14">
              <w:rPr>
                <w:bCs/>
                <w:sz w:val="20"/>
                <w:szCs w:val="20"/>
              </w:rPr>
              <w:t>0.029</w:t>
            </w:r>
          </w:p>
        </w:tc>
        <w:tc>
          <w:tcPr>
            <w:tcW w:w="308" w:type="pct"/>
            <w:shd w:val="clear" w:color="auto" w:fill="auto"/>
            <w:noWrap/>
            <w:vAlign w:val="center"/>
            <w:hideMark/>
          </w:tcPr>
          <w:p w14:paraId="6B999CBC" w14:textId="77777777" w:rsidR="009D081E" w:rsidRPr="003B7A14" w:rsidRDefault="009D081E" w:rsidP="009A182B">
            <w:pPr>
              <w:widowControl/>
              <w:autoSpaceDE/>
              <w:autoSpaceDN/>
              <w:jc w:val="center"/>
              <w:rPr>
                <w:sz w:val="20"/>
                <w:szCs w:val="20"/>
              </w:rPr>
            </w:pPr>
            <w:r w:rsidRPr="003B7A14">
              <w:rPr>
                <w:bCs/>
                <w:sz w:val="20"/>
                <w:szCs w:val="20"/>
              </w:rPr>
              <w:t>0.044</w:t>
            </w:r>
          </w:p>
        </w:tc>
        <w:tc>
          <w:tcPr>
            <w:tcW w:w="257" w:type="pct"/>
            <w:shd w:val="clear" w:color="auto" w:fill="auto"/>
            <w:noWrap/>
            <w:vAlign w:val="center"/>
            <w:hideMark/>
          </w:tcPr>
          <w:p w14:paraId="7F1EDA98"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6" w:type="pct"/>
            <w:shd w:val="clear" w:color="auto" w:fill="auto"/>
            <w:noWrap/>
            <w:vAlign w:val="center"/>
            <w:hideMark/>
          </w:tcPr>
          <w:p w14:paraId="5DB4F4A0"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7" w:type="pct"/>
            <w:shd w:val="clear" w:color="auto" w:fill="auto"/>
            <w:noWrap/>
            <w:vAlign w:val="center"/>
            <w:hideMark/>
          </w:tcPr>
          <w:p w14:paraId="02197E43" w14:textId="77777777" w:rsidR="009D081E" w:rsidRPr="003B7A14" w:rsidRDefault="009D081E" w:rsidP="009A182B">
            <w:pPr>
              <w:widowControl/>
              <w:autoSpaceDE/>
              <w:autoSpaceDN/>
              <w:jc w:val="center"/>
              <w:rPr>
                <w:sz w:val="20"/>
                <w:szCs w:val="20"/>
              </w:rPr>
            </w:pPr>
            <w:r w:rsidRPr="003B7A14">
              <w:rPr>
                <w:bCs/>
                <w:sz w:val="20"/>
                <w:szCs w:val="20"/>
              </w:rPr>
              <w:t>0.051</w:t>
            </w:r>
          </w:p>
        </w:tc>
        <w:tc>
          <w:tcPr>
            <w:tcW w:w="256" w:type="pct"/>
            <w:shd w:val="clear" w:color="auto" w:fill="auto"/>
            <w:noWrap/>
            <w:vAlign w:val="center"/>
            <w:hideMark/>
          </w:tcPr>
          <w:p w14:paraId="270D858A" w14:textId="77777777" w:rsidR="009D081E" w:rsidRPr="003B7A14" w:rsidRDefault="009D081E" w:rsidP="009A182B">
            <w:pPr>
              <w:widowControl/>
              <w:autoSpaceDE/>
              <w:autoSpaceDN/>
              <w:jc w:val="center"/>
              <w:rPr>
                <w:sz w:val="20"/>
                <w:szCs w:val="20"/>
              </w:rPr>
            </w:pPr>
            <w:r w:rsidRPr="003B7A14">
              <w:rPr>
                <w:bCs/>
                <w:sz w:val="20"/>
                <w:szCs w:val="20"/>
              </w:rPr>
              <w:t>0.073</w:t>
            </w:r>
          </w:p>
        </w:tc>
        <w:tc>
          <w:tcPr>
            <w:tcW w:w="257" w:type="pct"/>
            <w:shd w:val="clear" w:color="auto" w:fill="auto"/>
            <w:noWrap/>
            <w:vAlign w:val="center"/>
            <w:hideMark/>
          </w:tcPr>
          <w:p w14:paraId="4CC8D7A0" w14:textId="77777777" w:rsidR="009D081E" w:rsidRPr="003B7A14" w:rsidRDefault="009D081E" w:rsidP="009A182B">
            <w:pPr>
              <w:widowControl/>
              <w:autoSpaceDE/>
              <w:autoSpaceDN/>
              <w:jc w:val="center"/>
              <w:rPr>
                <w:sz w:val="20"/>
                <w:szCs w:val="20"/>
              </w:rPr>
            </w:pPr>
            <w:r w:rsidRPr="003B7A14">
              <w:rPr>
                <w:bCs/>
                <w:sz w:val="20"/>
                <w:szCs w:val="20"/>
              </w:rPr>
              <w:t>0.15</w:t>
            </w:r>
          </w:p>
        </w:tc>
        <w:tc>
          <w:tcPr>
            <w:tcW w:w="257" w:type="pct"/>
            <w:shd w:val="clear" w:color="auto" w:fill="auto"/>
            <w:noWrap/>
            <w:vAlign w:val="center"/>
            <w:hideMark/>
          </w:tcPr>
          <w:p w14:paraId="5004F376" w14:textId="77777777" w:rsidR="009D081E" w:rsidRPr="003B7A14" w:rsidRDefault="009D081E" w:rsidP="009A182B">
            <w:pPr>
              <w:widowControl/>
              <w:autoSpaceDE/>
              <w:autoSpaceDN/>
              <w:jc w:val="center"/>
              <w:rPr>
                <w:sz w:val="20"/>
                <w:szCs w:val="20"/>
              </w:rPr>
            </w:pPr>
            <w:r w:rsidRPr="003B7A14">
              <w:rPr>
                <w:bCs/>
                <w:sz w:val="20"/>
                <w:szCs w:val="20"/>
              </w:rPr>
              <w:t>0.944</w:t>
            </w:r>
          </w:p>
        </w:tc>
        <w:tc>
          <w:tcPr>
            <w:tcW w:w="256" w:type="pct"/>
            <w:shd w:val="clear" w:color="auto" w:fill="auto"/>
            <w:noWrap/>
            <w:vAlign w:val="center"/>
            <w:hideMark/>
          </w:tcPr>
          <w:p w14:paraId="68FCC3A4" w14:textId="77777777" w:rsidR="009D081E" w:rsidRPr="003B7A14" w:rsidRDefault="009D081E" w:rsidP="009A182B">
            <w:pPr>
              <w:widowControl/>
              <w:autoSpaceDE/>
              <w:autoSpaceDN/>
              <w:jc w:val="center"/>
              <w:rPr>
                <w:sz w:val="20"/>
                <w:szCs w:val="20"/>
              </w:rPr>
            </w:pPr>
            <w:r w:rsidRPr="003B7A14">
              <w:rPr>
                <w:bCs/>
                <w:sz w:val="20"/>
                <w:szCs w:val="20"/>
              </w:rPr>
              <w:t>1.336</w:t>
            </w:r>
          </w:p>
        </w:tc>
        <w:tc>
          <w:tcPr>
            <w:tcW w:w="257" w:type="pct"/>
            <w:shd w:val="clear" w:color="auto" w:fill="auto"/>
            <w:noWrap/>
            <w:vAlign w:val="center"/>
            <w:hideMark/>
          </w:tcPr>
          <w:p w14:paraId="43EA593F" w14:textId="77777777" w:rsidR="009D081E" w:rsidRPr="003B7A14" w:rsidRDefault="009D081E" w:rsidP="009A182B">
            <w:pPr>
              <w:widowControl/>
              <w:autoSpaceDE/>
              <w:autoSpaceDN/>
              <w:jc w:val="center"/>
              <w:rPr>
                <w:sz w:val="20"/>
                <w:szCs w:val="20"/>
              </w:rPr>
            </w:pPr>
            <w:r w:rsidRPr="003B7A14">
              <w:rPr>
                <w:bCs/>
                <w:sz w:val="20"/>
                <w:szCs w:val="20"/>
              </w:rPr>
              <w:t>2.735</w:t>
            </w:r>
          </w:p>
        </w:tc>
        <w:tc>
          <w:tcPr>
            <w:tcW w:w="256" w:type="pct"/>
            <w:shd w:val="clear" w:color="auto" w:fill="auto"/>
            <w:noWrap/>
            <w:vAlign w:val="center"/>
            <w:hideMark/>
          </w:tcPr>
          <w:p w14:paraId="106EAA98" w14:textId="77777777" w:rsidR="009D081E" w:rsidRPr="003B7A14" w:rsidRDefault="009D081E" w:rsidP="009A182B">
            <w:pPr>
              <w:widowControl/>
              <w:autoSpaceDE/>
              <w:autoSpaceDN/>
              <w:jc w:val="center"/>
              <w:rPr>
                <w:sz w:val="20"/>
                <w:szCs w:val="20"/>
              </w:rPr>
            </w:pPr>
            <w:r w:rsidRPr="003B7A14">
              <w:rPr>
                <w:bCs/>
                <w:sz w:val="20"/>
                <w:szCs w:val="20"/>
              </w:rPr>
              <w:t>0.169</w:t>
            </w:r>
          </w:p>
        </w:tc>
        <w:tc>
          <w:tcPr>
            <w:tcW w:w="268" w:type="pct"/>
            <w:shd w:val="clear" w:color="auto" w:fill="auto"/>
            <w:noWrap/>
            <w:vAlign w:val="center"/>
            <w:hideMark/>
          </w:tcPr>
          <w:p w14:paraId="0093417E"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7" w:type="pct"/>
            <w:shd w:val="clear" w:color="auto" w:fill="auto"/>
            <w:noWrap/>
            <w:vAlign w:val="center"/>
            <w:hideMark/>
          </w:tcPr>
          <w:p w14:paraId="2C444210" w14:textId="77777777" w:rsidR="009D081E" w:rsidRPr="003B7A14" w:rsidRDefault="009D081E" w:rsidP="009A182B">
            <w:pPr>
              <w:widowControl/>
              <w:autoSpaceDE/>
              <w:autoSpaceDN/>
              <w:jc w:val="center"/>
              <w:rPr>
                <w:sz w:val="20"/>
                <w:szCs w:val="20"/>
              </w:rPr>
            </w:pPr>
            <w:r w:rsidRPr="003B7A14">
              <w:rPr>
                <w:bCs/>
                <w:sz w:val="20"/>
                <w:szCs w:val="20"/>
              </w:rPr>
              <w:t>0.488</w:t>
            </w:r>
          </w:p>
        </w:tc>
        <w:tc>
          <w:tcPr>
            <w:tcW w:w="257" w:type="pct"/>
            <w:shd w:val="clear" w:color="auto" w:fill="auto"/>
            <w:noWrap/>
            <w:vAlign w:val="center"/>
            <w:hideMark/>
          </w:tcPr>
          <w:p w14:paraId="51A717A2" w14:textId="77777777" w:rsidR="009D081E" w:rsidRPr="003B7A14" w:rsidRDefault="009D081E" w:rsidP="009A182B">
            <w:pPr>
              <w:widowControl/>
              <w:autoSpaceDE/>
              <w:autoSpaceDN/>
              <w:jc w:val="center"/>
              <w:rPr>
                <w:sz w:val="20"/>
                <w:szCs w:val="20"/>
              </w:rPr>
            </w:pPr>
            <w:r w:rsidRPr="003B7A14">
              <w:rPr>
                <w:bCs/>
                <w:sz w:val="20"/>
                <w:szCs w:val="20"/>
              </w:rPr>
              <w:t>1.037</w:t>
            </w:r>
          </w:p>
        </w:tc>
        <w:tc>
          <w:tcPr>
            <w:tcW w:w="257" w:type="pct"/>
            <w:shd w:val="clear" w:color="auto" w:fill="auto"/>
            <w:noWrap/>
            <w:vAlign w:val="center"/>
            <w:hideMark/>
          </w:tcPr>
          <w:p w14:paraId="1242938F" w14:textId="77777777" w:rsidR="009D081E" w:rsidRPr="003B7A14" w:rsidRDefault="009D081E" w:rsidP="009A182B">
            <w:pPr>
              <w:widowControl/>
              <w:autoSpaceDE/>
              <w:autoSpaceDN/>
              <w:jc w:val="center"/>
              <w:rPr>
                <w:sz w:val="20"/>
                <w:szCs w:val="20"/>
              </w:rPr>
            </w:pPr>
            <w:r w:rsidRPr="003B7A14">
              <w:rPr>
                <w:bCs/>
                <w:sz w:val="20"/>
                <w:szCs w:val="20"/>
              </w:rPr>
              <w:t>1.466</w:t>
            </w:r>
          </w:p>
        </w:tc>
        <w:tc>
          <w:tcPr>
            <w:tcW w:w="249" w:type="pct"/>
            <w:shd w:val="clear" w:color="auto" w:fill="auto"/>
            <w:noWrap/>
            <w:vAlign w:val="center"/>
            <w:hideMark/>
          </w:tcPr>
          <w:p w14:paraId="1F238DBF" w14:textId="77777777" w:rsidR="009D081E" w:rsidRPr="003B7A14" w:rsidRDefault="009D081E" w:rsidP="009A182B">
            <w:pPr>
              <w:widowControl/>
              <w:autoSpaceDE/>
              <w:autoSpaceDN/>
              <w:jc w:val="center"/>
              <w:rPr>
                <w:sz w:val="20"/>
                <w:szCs w:val="20"/>
              </w:rPr>
            </w:pPr>
            <w:r w:rsidRPr="003B7A14">
              <w:rPr>
                <w:bCs/>
                <w:sz w:val="20"/>
                <w:szCs w:val="20"/>
              </w:rPr>
              <w:t>3.003</w:t>
            </w:r>
          </w:p>
        </w:tc>
      </w:tr>
      <w:tr w:rsidR="003B7A14" w:rsidRPr="003B7A14" w14:paraId="4AAF1364" w14:textId="77777777" w:rsidTr="009A182B">
        <w:trPr>
          <w:trHeight w:val="425"/>
        </w:trPr>
        <w:tc>
          <w:tcPr>
            <w:tcW w:w="270" w:type="pct"/>
            <w:tcBorders>
              <w:bottom w:val="single" w:sz="4" w:space="0" w:color="auto"/>
            </w:tcBorders>
            <w:shd w:val="clear" w:color="auto" w:fill="auto"/>
            <w:noWrap/>
            <w:vAlign w:val="center"/>
            <w:hideMark/>
          </w:tcPr>
          <w:p w14:paraId="044D81B2" w14:textId="77777777" w:rsidR="009D081E" w:rsidRPr="003B7A14" w:rsidRDefault="009D081E" w:rsidP="009A182B">
            <w:pPr>
              <w:widowControl/>
              <w:autoSpaceDE/>
              <w:autoSpaceDN/>
              <w:jc w:val="center"/>
              <w:rPr>
                <w:b/>
                <w:bCs/>
                <w:sz w:val="18"/>
              </w:rPr>
            </w:pPr>
            <w:r w:rsidRPr="003B7A14">
              <w:rPr>
                <w:b/>
                <w:bCs/>
                <w:sz w:val="18"/>
              </w:rPr>
              <w:t>M × I</w:t>
            </w:r>
          </w:p>
        </w:tc>
        <w:tc>
          <w:tcPr>
            <w:tcW w:w="257" w:type="pct"/>
            <w:tcBorders>
              <w:bottom w:val="single" w:sz="4" w:space="0" w:color="auto"/>
            </w:tcBorders>
            <w:shd w:val="clear" w:color="auto" w:fill="auto"/>
            <w:noWrap/>
            <w:vAlign w:val="center"/>
            <w:hideMark/>
          </w:tcPr>
          <w:p w14:paraId="2C754C21" w14:textId="77777777" w:rsidR="009D081E" w:rsidRPr="003B7A14" w:rsidRDefault="009D081E" w:rsidP="009A182B">
            <w:pPr>
              <w:widowControl/>
              <w:autoSpaceDE/>
              <w:autoSpaceDN/>
              <w:jc w:val="center"/>
              <w:rPr>
                <w:sz w:val="20"/>
                <w:szCs w:val="20"/>
              </w:rPr>
            </w:pPr>
            <w:r w:rsidRPr="003B7A14">
              <w:rPr>
                <w:bCs/>
                <w:sz w:val="20"/>
                <w:szCs w:val="20"/>
              </w:rPr>
              <w:t>0.014</w:t>
            </w:r>
          </w:p>
        </w:tc>
        <w:tc>
          <w:tcPr>
            <w:tcW w:w="308" w:type="pct"/>
            <w:tcBorders>
              <w:bottom w:val="single" w:sz="4" w:space="0" w:color="auto"/>
            </w:tcBorders>
            <w:shd w:val="clear" w:color="auto" w:fill="auto"/>
            <w:noWrap/>
            <w:vAlign w:val="center"/>
            <w:hideMark/>
          </w:tcPr>
          <w:p w14:paraId="2AF645E3" w14:textId="77777777" w:rsidR="009D081E" w:rsidRPr="003B7A14" w:rsidRDefault="009D081E" w:rsidP="009A182B">
            <w:pPr>
              <w:widowControl/>
              <w:autoSpaceDE/>
              <w:autoSpaceDN/>
              <w:jc w:val="center"/>
              <w:rPr>
                <w:sz w:val="20"/>
                <w:szCs w:val="20"/>
              </w:rPr>
            </w:pPr>
            <w:r w:rsidRPr="003B7A14">
              <w:rPr>
                <w:bCs/>
                <w:sz w:val="20"/>
                <w:szCs w:val="20"/>
              </w:rPr>
              <w:t>0.02</w:t>
            </w:r>
          </w:p>
        </w:tc>
        <w:tc>
          <w:tcPr>
            <w:tcW w:w="261" w:type="pct"/>
            <w:tcBorders>
              <w:bottom w:val="single" w:sz="4" w:space="0" w:color="auto"/>
            </w:tcBorders>
            <w:shd w:val="clear" w:color="auto" w:fill="auto"/>
            <w:noWrap/>
            <w:vAlign w:val="center"/>
            <w:hideMark/>
          </w:tcPr>
          <w:p w14:paraId="44E3DC46" w14:textId="77777777" w:rsidR="009D081E" w:rsidRPr="003B7A14" w:rsidRDefault="009D081E" w:rsidP="009A182B">
            <w:pPr>
              <w:widowControl/>
              <w:autoSpaceDE/>
              <w:autoSpaceDN/>
              <w:jc w:val="center"/>
              <w:rPr>
                <w:sz w:val="20"/>
                <w:szCs w:val="20"/>
              </w:rPr>
            </w:pPr>
            <w:r w:rsidRPr="003B7A14">
              <w:rPr>
                <w:bCs/>
                <w:sz w:val="20"/>
                <w:szCs w:val="20"/>
              </w:rPr>
              <w:t>0.041</w:t>
            </w:r>
          </w:p>
        </w:tc>
        <w:tc>
          <w:tcPr>
            <w:tcW w:w="308" w:type="pct"/>
            <w:tcBorders>
              <w:bottom w:val="single" w:sz="4" w:space="0" w:color="auto"/>
            </w:tcBorders>
            <w:shd w:val="clear" w:color="auto" w:fill="auto"/>
            <w:noWrap/>
            <w:vAlign w:val="center"/>
            <w:hideMark/>
          </w:tcPr>
          <w:p w14:paraId="748635DB"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7" w:type="pct"/>
            <w:tcBorders>
              <w:bottom w:val="single" w:sz="4" w:space="0" w:color="auto"/>
            </w:tcBorders>
            <w:shd w:val="clear" w:color="auto" w:fill="auto"/>
            <w:noWrap/>
            <w:vAlign w:val="center"/>
            <w:hideMark/>
          </w:tcPr>
          <w:p w14:paraId="5BCCF6E3" w14:textId="77777777" w:rsidR="009D081E" w:rsidRPr="003B7A14" w:rsidRDefault="009D081E" w:rsidP="009A182B">
            <w:pPr>
              <w:widowControl/>
              <w:autoSpaceDE/>
              <w:autoSpaceDN/>
              <w:jc w:val="center"/>
              <w:rPr>
                <w:sz w:val="20"/>
                <w:szCs w:val="20"/>
              </w:rPr>
            </w:pPr>
            <w:r w:rsidRPr="003B7A14">
              <w:rPr>
                <w:bCs/>
                <w:sz w:val="20"/>
                <w:szCs w:val="20"/>
              </w:rPr>
              <w:t>0.088</w:t>
            </w:r>
          </w:p>
        </w:tc>
        <w:tc>
          <w:tcPr>
            <w:tcW w:w="256" w:type="pct"/>
            <w:tcBorders>
              <w:bottom w:val="single" w:sz="4" w:space="0" w:color="auto"/>
            </w:tcBorders>
            <w:shd w:val="clear" w:color="auto" w:fill="auto"/>
            <w:noWrap/>
            <w:vAlign w:val="center"/>
            <w:hideMark/>
          </w:tcPr>
          <w:p w14:paraId="612844B2" w14:textId="77777777" w:rsidR="009D081E" w:rsidRPr="003B7A14" w:rsidRDefault="009D081E" w:rsidP="009A182B">
            <w:pPr>
              <w:widowControl/>
              <w:autoSpaceDE/>
              <w:autoSpaceDN/>
              <w:jc w:val="center"/>
              <w:rPr>
                <w:sz w:val="20"/>
                <w:szCs w:val="20"/>
              </w:rPr>
            </w:pPr>
            <w:r w:rsidRPr="003B7A14">
              <w:rPr>
                <w:bCs/>
                <w:sz w:val="20"/>
                <w:szCs w:val="20"/>
              </w:rPr>
              <w:t>0.18</w:t>
            </w:r>
          </w:p>
        </w:tc>
        <w:tc>
          <w:tcPr>
            <w:tcW w:w="257" w:type="pct"/>
            <w:tcBorders>
              <w:bottom w:val="single" w:sz="4" w:space="0" w:color="auto"/>
            </w:tcBorders>
            <w:shd w:val="clear" w:color="auto" w:fill="auto"/>
            <w:noWrap/>
            <w:vAlign w:val="center"/>
            <w:hideMark/>
          </w:tcPr>
          <w:p w14:paraId="60E03F86" w14:textId="77777777" w:rsidR="009D081E" w:rsidRPr="003B7A14" w:rsidRDefault="009D081E" w:rsidP="009A182B">
            <w:pPr>
              <w:widowControl/>
              <w:autoSpaceDE/>
              <w:autoSpaceDN/>
              <w:jc w:val="center"/>
              <w:rPr>
                <w:sz w:val="20"/>
                <w:szCs w:val="20"/>
              </w:rPr>
            </w:pPr>
            <w:r w:rsidRPr="003B7A14">
              <w:rPr>
                <w:bCs/>
                <w:sz w:val="20"/>
                <w:szCs w:val="20"/>
              </w:rPr>
              <w:t>0.073</w:t>
            </w:r>
          </w:p>
        </w:tc>
        <w:tc>
          <w:tcPr>
            <w:tcW w:w="256" w:type="pct"/>
            <w:tcBorders>
              <w:bottom w:val="single" w:sz="4" w:space="0" w:color="auto"/>
            </w:tcBorders>
            <w:shd w:val="clear" w:color="auto" w:fill="auto"/>
            <w:noWrap/>
            <w:vAlign w:val="center"/>
            <w:hideMark/>
          </w:tcPr>
          <w:p w14:paraId="15F1CFE0" w14:textId="77777777" w:rsidR="009D081E" w:rsidRPr="003B7A14" w:rsidRDefault="009D081E" w:rsidP="009A182B">
            <w:pPr>
              <w:widowControl/>
              <w:autoSpaceDE/>
              <w:autoSpaceDN/>
              <w:jc w:val="center"/>
              <w:rPr>
                <w:sz w:val="20"/>
                <w:szCs w:val="20"/>
              </w:rPr>
            </w:pPr>
            <w:r w:rsidRPr="003B7A14">
              <w:rPr>
                <w:bCs/>
                <w:sz w:val="20"/>
                <w:szCs w:val="20"/>
              </w:rPr>
              <w:t>0.104</w:t>
            </w:r>
          </w:p>
        </w:tc>
        <w:tc>
          <w:tcPr>
            <w:tcW w:w="257" w:type="pct"/>
            <w:tcBorders>
              <w:bottom w:val="single" w:sz="4" w:space="0" w:color="auto"/>
            </w:tcBorders>
            <w:shd w:val="clear" w:color="auto" w:fill="auto"/>
            <w:noWrap/>
            <w:vAlign w:val="center"/>
            <w:hideMark/>
          </w:tcPr>
          <w:p w14:paraId="78C06FD5" w14:textId="77777777" w:rsidR="009D081E" w:rsidRPr="003B7A14" w:rsidRDefault="009D081E" w:rsidP="009A182B">
            <w:pPr>
              <w:widowControl/>
              <w:autoSpaceDE/>
              <w:autoSpaceDN/>
              <w:jc w:val="center"/>
              <w:rPr>
                <w:sz w:val="20"/>
                <w:szCs w:val="20"/>
              </w:rPr>
            </w:pPr>
            <w:r w:rsidRPr="003B7A14">
              <w:rPr>
                <w:bCs/>
                <w:sz w:val="20"/>
                <w:szCs w:val="20"/>
              </w:rPr>
              <w:t>0.212</w:t>
            </w:r>
          </w:p>
        </w:tc>
        <w:tc>
          <w:tcPr>
            <w:tcW w:w="257" w:type="pct"/>
            <w:tcBorders>
              <w:bottom w:val="single" w:sz="4" w:space="0" w:color="auto"/>
            </w:tcBorders>
            <w:shd w:val="clear" w:color="auto" w:fill="auto"/>
            <w:noWrap/>
            <w:vAlign w:val="center"/>
            <w:hideMark/>
          </w:tcPr>
          <w:p w14:paraId="098F25B5" w14:textId="77777777" w:rsidR="009D081E" w:rsidRPr="003B7A14" w:rsidRDefault="009D081E" w:rsidP="009A182B">
            <w:pPr>
              <w:widowControl/>
              <w:autoSpaceDE/>
              <w:autoSpaceDN/>
              <w:jc w:val="center"/>
              <w:rPr>
                <w:sz w:val="20"/>
                <w:szCs w:val="20"/>
              </w:rPr>
            </w:pPr>
            <w:r w:rsidRPr="003B7A14">
              <w:rPr>
                <w:bCs/>
                <w:sz w:val="20"/>
                <w:szCs w:val="20"/>
              </w:rPr>
              <w:t>1.336</w:t>
            </w:r>
          </w:p>
        </w:tc>
        <w:tc>
          <w:tcPr>
            <w:tcW w:w="256" w:type="pct"/>
            <w:tcBorders>
              <w:bottom w:val="single" w:sz="4" w:space="0" w:color="auto"/>
            </w:tcBorders>
            <w:shd w:val="clear" w:color="auto" w:fill="auto"/>
            <w:noWrap/>
            <w:vAlign w:val="center"/>
            <w:hideMark/>
          </w:tcPr>
          <w:p w14:paraId="53A656D0" w14:textId="77777777" w:rsidR="009D081E" w:rsidRPr="003B7A14" w:rsidRDefault="009D081E" w:rsidP="009A182B">
            <w:pPr>
              <w:widowControl/>
              <w:autoSpaceDE/>
              <w:autoSpaceDN/>
              <w:jc w:val="center"/>
              <w:rPr>
                <w:sz w:val="20"/>
                <w:szCs w:val="20"/>
              </w:rPr>
            </w:pPr>
            <w:r w:rsidRPr="003B7A14">
              <w:rPr>
                <w:bCs/>
                <w:sz w:val="20"/>
                <w:szCs w:val="20"/>
              </w:rPr>
              <w:t>1.889</w:t>
            </w:r>
          </w:p>
        </w:tc>
        <w:tc>
          <w:tcPr>
            <w:tcW w:w="257" w:type="pct"/>
            <w:tcBorders>
              <w:bottom w:val="single" w:sz="4" w:space="0" w:color="auto"/>
            </w:tcBorders>
            <w:shd w:val="clear" w:color="auto" w:fill="auto"/>
            <w:noWrap/>
            <w:vAlign w:val="center"/>
            <w:hideMark/>
          </w:tcPr>
          <w:p w14:paraId="2F5D3D09" w14:textId="77777777" w:rsidR="009D081E" w:rsidRPr="003B7A14" w:rsidRDefault="009D081E" w:rsidP="009A182B">
            <w:pPr>
              <w:widowControl/>
              <w:autoSpaceDE/>
              <w:autoSpaceDN/>
              <w:jc w:val="center"/>
              <w:rPr>
                <w:sz w:val="20"/>
                <w:szCs w:val="20"/>
              </w:rPr>
            </w:pPr>
            <w:r w:rsidRPr="003B7A14">
              <w:rPr>
                <w:bCs/>
                <w:sz w:val="20"/>
                <w:szCs w:val="20"/>
              </w:rPr>
              <w:t>NS</w:t>
            </w:r>
          </w:p>
        </w:tc>
        <w:tc>
          <w:tcPr>
            <w:tcW w:w="256" w:type="pct"/>
            <w:tcBorders>
              <w:bottom w:val="single" w:sz="4" w:space="0" w:color="auto"/>
            </w:tcBorders>
            <w:shd w:val="clear" w:color="auto" w:fill="auto"/>
            <w:noWrap/>
            <w:vAlign w:val="center"/>
            <w:hideMark/>
          </w:tcPr>
          <w:p w14:paraId="26FB4316"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68" w:type="pct"/>
            <w:tcBorders>
              <w:bottom w:val="single" w:sz="4" w:space="0" w:color="auto"/>
            </w:tcBorders>
            <w:shd w:val="clear" w:color="auto" w:fill="auto"/>
            <w:noWrap/>
            <w:vAlign w:val="center"/>
            <w:hideMark/>
          </w:tcPr>
          <w:p w14:paraId="10495B0B" w14:textId="77777777" w:rsidR="009D081E" w:rsidRPr="003B7A14" w:rsidRDefault="009D081E" w:rsidP="009A182B">
            <w:pPr>
              <w:widowControl/>
              <w:autoSpaceDE/>
              <w:autoSpaceDN/>
              <w:jc w:val="center"/>
              <w:rPr>
                <w:sz w:val="20"/>
                <w:szCs w:val="20"/>
              </w:rPr>
            </w:pPr>
            <w:r w:rsidRPr="003B7A14">
              <w:rPr>
                <w:bCs/>
                <w:sz w:val="20"/>
                <w:szCs w:val="20"/>
              </w:rPr>
              <w:t>0.337</w:t>
            </w:r>
          </w:p>
        </w:tc>
        <w:tc>
          <w:tcPr>
            <w:tcW w:w="257" w:type="pct"/>
            <w:tcBorders>
              <w:bottom w:val="single" w:sz="4" w:space="0" w:color="auto"/>
            </w:tcBorders>
            <w:shd w:val="clear" w:color="auto" w:fill="auto"/>
            <w:noWrap/>
            <w:vAlign w:val="center"/>
            <w:hideMark/>
          </w:tcPr>
          <w:p w14:paraId="69366360" w14:textId="77777777" w:rsidR="009D081E" w:rsidRPr="003B7A14" w:rsidRDefault="009D081E" w:rsidP="009A182B">
            <w:pPr>
              <w:widowControl/>
              <w:autoSpaceDE/>
              <w:autoSpaceDN/>
              <w:jc w:val="center"/>
              <w:rPr>
                <w:sz w:val="20"/>
                <w:szCs w:val="20"/>
              </w:rPr>
            </w:pPr>
            <w:r w:rsidRPr="003B7A14">
              <w:rPr>
                <w:bCs/>
                <w:sz w:val="20"/>
                <w:szCs w:val="20"/>
              </w:rPr>
              <w:t>0.691</w:t>
            </w:r>
          </w:p>
        </w:tc>
        <w:tc>
          <w:tcPr>
            <w:tcW w:w="257" w:type="pct"/>
            <w:tcBorders>
              <w:bottom w:val="single" w:sz="4" w:space="0" w:color="auto"/>
            </w:tcBorders>
            <w:shd w:val="clear" w:color="auto" w:fill="auto"/>
            <w:noWrap/>
            <w:vAlign w:val="center"/>
            <w:hideMark/>
          </w:tcPr>
          <w:p w14:paraId="668F446C" w14:textId="77777777" w:rsidR="009D081E" w:rsidRPr="003B7A14" w:rsidRDefault="009D081E" w:rsidP="009A182B">
            <w:pPr>
              <w:widowControl/>
              <w:autoSpaceDE/>
              <w:autoSpaceDN/>
              <w:jc w:val="center"/>
              <w:rPr>
                <w:sz w:val="20"/>
                <w:szCs w:val="20"/>
              </w:rPr>
            </w:pPr>
            <w:r w:rsidRPr="003B7A14">
              <w:rPr>
                <w:bCs/>
                <w:sz w:val="20"/>
                <w:szCs w:val="20"/>
              </w:rPr>
              <w:t>1.466</w:t>
            </w:r>
          </w:p>
        </w:tc>
        <w:tc>
          <w:tcPr>
            <w:tcW w:w="257" w:type="pct"/>
            <w:tcBorders>
              <w:bottom w:val="single" w:sz="4" w:space="0" w:color="auto"/>
            </w:tcBorders>
            <w:shd w:val="clear" w:color="auto" w:fill="auto"/>
            <w:noWrap/>
            <w:vAlign w:val="center"/>
            <w:hideMark/>
          </w:tcPr>
          <w:p w14:paraId="2140C851" w14:textId="77777777" w:rsidR="009D081E" w:rsidRPr="003B7A14" w:rsidRDefault="009D081E" w:rsidP="009A182B">
            <w:pPr>
              <w:widowControl/>
              <w:autoSpaceDE/>
              <w:autoSpaceDN/>
              <w:jc w:val="center"/>
              <w:rPr>
                <w:sz w:val="20"/>
                <w:szCs w:val="20"/>
              </w:rPr>
            </w:pPr>
            <w:r w:rsidRPr="003B7A14">
              <w:rPr>
                <w:bCs/>
                <w:sz w:val="20"/>
                <w:szCs w:val="20"/>
              </w:rPr>
              <w:t>2.074</w:t>
            </w:r>
          </w:p>
        </w:tc>
        <w:tc>
          <w:tcPr>
            <w:tcW w:w="249" w:type="pct"/>
            <w:tcBorders>
              <w:bottom w:val="single" w:sz="4" w:space="0" w:color="auto"/>
            </w:tcBorders>
            <w:shd w:val="clear" w:color="auto" w:fill="auto"/>
            <w:noWrap/>
            <w:vAlign w:val="center"/>
            <w:hideMark/>
          </w:tcPr>
          <w:p w14:paraId="4D51802D" w14:textId="77777777" w:rsidR="009D081E" w:rsidRPr="003B7A14" w:rsidRDefault="009D081E" w:rsidP="009A182B">
            <w:pPr>
              <w:widowControl/>
              <w:autoSpaceDE/>
              <w:autoSpaceDN/>
              <w:jc w:val="center"/>
              <w:rPr>
                <w:sz w:val="20"/>
                <w:szCs w:val="20"/>
              </w:rPr>
            </w:pPr>
            <w:r w:rsidRPr="003B7A14">
              <w:rPr>
                <w:bCs/>
                <w:sz w:val="20"/>
                <w:szCs w:val="20"/>
              </w:rPr>
              <w:t>NS</w:t>
            </w:r>
          </w:p>
        </w:tc>
      </w:tr>
      <w:tr w:rsidR="003B7A14" w:rsidRPr="003B7A14" w14:paraId="4AC6D00D" w14:textId="77777777" w:rsidTr="009A182B">
        <w:trPr>
          <w:trHeight w:val="425"/>
        </w:trPr>
        <w:tc>
          <w:tcPr>
            <w:tcW w:w="270" w:type="pct"/>
            <w:tcBorders>
              <w:top w:val="single" w:sz="4" w:space="0" w:color="auto"/>
              <w:bottom w:val="single" w:sz="12" w:space="0" w:color="auto"/>
            </w:tcBorders>
            <w:shd w:val="clear" w:color="auto" w:fill="auto"/>
            <w:noWrap/>
            <w:vAlign w:val="center"/>
            <w:hideMark/>
          </w:tcPr>
          <w:p w14:paraId="3987C363" w14:textId="77777777" w:rsidR="009D081E" w:rsidRPr="003B7A14" w:rsidRDefault="009D081E" w:rsidP="009A182B">
            <w:pPr>
              <w:widowControl/>
              <w:autoSpaceDE/>
              <w:autoSpaceDN/>
              <w:jc w:val="center"/>
              <w:rPr>
                <w:b/>
                <w:bCs/>
                <w:sz w:val="18"/>
              </w:rPr>
            </w:pPr>
            <w:r w:rsidRPr="003B7A14">
              <w:rPr>
                <w:b/>
                <w:bCs/>
                <w:sz w:val="18"/>
              </w:rPr>
              <w:t>CV (%)</w:t>
            </w:r>
          </w:p>
        </w:tc>
        <w:tc>
          <w:tcPr>
            <w:tcW w:w="826" w:type="pct"/>
            <w:gridSpan w:val="3"/>
            <w:tcBorders>
              <w:top w:val="single" w:sz="4" w:space="0" w:color="auto"/>
              <w:bottom w:val="single" w:sz="12" w:space="0" w:color="auto"/>
            </w:tcBorders>
            <w:shd w:val="clear" w:color="auto" w:fill="auto"/>
            <w:noWrap/>
            <w:vAlign w:val="center"/>
            <w:hideMark/>
          </w:tcPr>
          <w:p w14:paraId="285F8190" w14:textId="77777777" w:rsidR="009D081E" w:rsidRPr="003B7A14" w:rsidRDefault="009D081E" w:rsidP="009A182B">
            <w:pPr>
              <w:widowControl/>
              <w:autoSpaceDE/>
              <w:autoSpaceDN/>
              <w:jc w:val="center"/>
              <w:rPr>
                <w:sz w:val="20"/>
              </w:rPr>
            </w:pPr>
            <w:r w:rsidRPr="003B7A14">
              <w:rPr>
                <w:sz w:val="20"/>
              </w:rPr>
              <w:t>13.804</w:t>
            </w:r>
          </w:p>
        </w:tc>
        <w:tc>
          <w:tcPr>
            <w:tcW w:w="821" w:type="pct"/>
            <w:gridSpan w:val="3"/>
            <w:tcBorders>
              <w:top w:val="single" w:sz="4" w:space="0" w:color="auto"/>
              <w:bottom w:val="single" w:sz="12" w:space="0" w:color="auto"/>
            </w:tcBorders>
            <w:shd w:val="clear" w:color="auto" w:fill="auto"/>
            <w:noWrap/>
            <w:vAlign w:val="center"/>
            <w:hideMark/>
          </w:tcPr>
          <w:p w14:paraId="72FA278F" w14:textId="77777777" w:rsidR="009D081E" w:rsidRPr="003B7A14" w:rsidRDefault="009D081E" w:rsidP="009A182B">
            <w:pPr>
              <w:widowControl/>
              <w:autoSpaceDE/>
              <w:autoSpaceDN/>
              <w:jc w:val="center"/>
              <w:rPr>
                <w:sz w:val="20"/>
              </w:rPr>
            </w:pPr>
            <w:r w:rsidRPr="003B7A14">
              <w:rPr>
                <w:sz w:val="20"/>
              </w:rPr>
              <w:t>6.283</w:t>
            </w:r>
          </w:p>
        </w:tc>
        <w:tc>
          <w:tcPr>
            <w:tcW w:w="770" w:type="pct"/>
            <w:gridSpan w:val="3"/>
            <w:tcBorders>
              <w:top w:val="single" w:sz="4" w:space="0" w:color="auto"/>
              <w:bottom w:val="single" w:sz="12" w:space="0" w:color="auto"/>
            </w:tcBorders>
            <w:shd w:val="clear" w:color="auto" w:fill="auto"/>
            <w:noWrap/>
            <w:vAlign w:val="center"/>
            <w:hideMark/>
          </w:tcPr>
          <w:p w14:paraId="01CC8646" w14:textId="77777777" w:rsidR="009D081E" w:rsidRPr="003B7A14" w:rsidRDefault="009D081E" w:rsidP="009A182B">
            <w:pPr>
              <w:widowControl/>
              <w:autoSpaceDE/>
              <w:autoSpaceDN/>
              <w:jc w:val="center"/>
              <w:rPr>
                <w:sz w:val="20"/>
              </w:rPr>
            </w:pPr>
            <w:r w:rsidRPr="003B7A14">
              <w:rPr>
                <w:sz w:val="20"/>
              </w:rPr>
              <w:t>6.368</w:t>
            </w:r>
          </w:p>
        </w:tc>
        <w:tc>
          <w:tcPr>
            <w:tcW w:w="770" w:type="pct"/>
            <w:gridSpan w:val="3"/>
            <w:tcBorders>
              <w:top w:val="single" w:sz="4" w:space="0" w:color="auto"/>
              <w:bottom w:val="single" w:sz="12" w:space="0" w:color="auto"/>
            </w:tcBorders>
            <w:shd w:val="clear" w:color="auto" w:fill="auto"/>
            <w:noWrap/>
            <w:vAlign w:val="center"/>
            <w:hideMark/>
          </w:tcPr>
          <w:p w14:paraId="1E47DF82" w14:textId="77777777" w:rsidR="009D081E" w:rsidRPr="003B7A14" w:rsidRDefault="009D081E" w:rsidP="009A182B">
            <w:pPr>
              <w:widowControl/>
              <w:autoSpaceDE/>
              <w:autoSpaceDN/>
              <w:jc w:val="center"/>
              <w:rPr>
                <w:sz w:val="20"/>
              </w:rPr>
            </w:pPr>
            <w:r w:rsidRPr="003B7A14">
              <w:rPr>
                <w:sz w:val="20"/>
              </w:rPr>
              <w:t>15.877</w:t>
            </w:r>
          </w:p>
        </w:tc>
        <w:tc>
          <w:tcPr>
            <w:tcW w:w="781" w:type="pct"/>
            <w:gridSpan w:val="3"/>
            <w:tcBorders>
              <w:top w:val="single" w:sz="4" w:space="0" w:color="auto"/>
              <w:bottom w:val="single" w:sz="12" w:space="0" w:color="auto"/>
            </w:tcBorders>
            <w:shd w:val="clear" w:color="auto" w:fill="auto"/>
            <w:noWrap/>
            <w:vAlign w:val="center"/>
            <w:hideMark/>
          </w:tcPr>
          <w:p w14:paraId="46563AEC" w14:textId="77777777" w:rsidR="009D081E" w:rsidRPr="003B7A14" w:rsidRDefault="009D081E" w:rsidP="009A182B">
            <w:pPr>
              <w:widowControl/>
              <w:autoSpaceDE/>
              <w:autoSpaceDN/>
              <w:jc w:val="center"/>
              <w:rPr>
                <w:sz w:val="20"/>
              </w:rPr>
            </w:pPr>
            <w:r w:rsidRPr="003B7A14">
              <w:rPr>
                <w:sz w:val="20"/>
              </w:rPr>
              <w:t>11.723</w:t>
            </w:r>
          </w:p>
        </w:tc>
        <w:tc>
          <w:tcPr>
            <w:tcW w:w="763" w:type="pct"/>
            <w:gridSpan w:val="3"/>
            <w:tcBorders>
              <w:top w:val="single" w:sz="4" w:space="0" w:color="auto"/>
              <w:bottom w:val="single" w:sz="12" w:space="0" w:color="auto"/>
            </w:tcBorders>
            <w:shd w:val="clear" w:color="auto" w:fill="auto"/>
            <w:noWrap/>
            <w:vAlign w:val="center"/>
            <w:hideMark/>
          </w:tcPr>
          <w:p w14:paraId="751F3F28" w14:textId="77777777" w:rsidR="009D081E" w:rsidRPr="003B7A14" w:rsidRDefault="009D081E" w:rsidP="009A182B">
            <w:pPr>
              <w:widowControl/>
              <w:autoSpaceDE/>
              <w:autoSpaceDN/>
              <w:jc w:val="center"/>
              <w:rPr>
                <w:sz w:val="20"/>
              </w:rPr>
            </w:pPr>
            <w:r w:rsidRPr="003B7A14">
              <w:rPr>
                <w:sz w:val="20"/>
              </w:rPr>
              <w:t>5.129</w:t>
            </w:r>
          </w:p>
        </w:tc>
      </w:tr>
    </w:tbl>
    <w:p w14:paraId="48285990" w14:textId="77777777" w:rsidR="009D081E" w:rsidRPr="003B7A14" w:rsidRDefault="009D081E" w:rsidP="009D081E">
      <w:pPr>
        <w:spacing w:line="360" w:lineRule="auto"/>
        <w:jc w:val="center"/>
        <w:rPr>
          <w:rFonts w:ascii="Cambria" w:eastAsiaTheme="minorHAnsi" w:hAnsi="Cambria" w:cstheme="minorHAnsi"/>
          <w:sz w:val="24"/>
          <w:szCs w:val="24"/>
        </w:rPr>
      </w:pPr>
    </w:p>
    <w:p w14:paraId="4F00D728" w14:textId="77777777" w:rsidR="009D081E" w:rsidRPr="003B7A14" w:rsidRDefault="009D081E" w:rsidP="009D081E">
      <w:pPr>
        <w:spacing w:line="360" w:lineRule="auto"/>
        <w:jc w:val="center"/>
        <w:rPr>
          <w:rFonts w:ascii="Cambria" w:eastAsiaTheme="minorHAnsi" w:hAnsi="Cambria" w:cstheme="minorHAnsi"/>
          <w:sz w:val="24"/>
          <w:szCs w:val="24"/>
        </w:rPr>
      </w:pPr>
    </w:p>
    <w:p w14:paraId="6E4AFE4F"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r w:rsidRPr="003B7A14">
        <w:rPr>
          <w:rFonts w:ascii="Cambria" w:eastAsiaTheme="minorHAnsi" w:hAnsi="Cambria" w:cstheme="minorHAnsi"/>
          <w:sz w:val="24"/>
          <w:szCs w:val="24"/>
        </w:rPr>
        <w:br w:type="page"/>
      </w:r>
    </w:p>
    <w:tbl>
      <w:tblPr>
        <w:tblpPr w:leftFromText="180" w:rightFromText="180" w:vertAnchor="page" w:horzAnchor="margin" w:tblpXSpec="center" w:tblpY="2311"/>
        <w:tblW w:w="4938" w:type="pct"/>
        <w:tblLayout w:type="fixed"/>
        <w:tblLook w:val="04A0" w:firstRow="1" w:lastRow="0" w:firstColumn="1" w:lastColumn="0" w:noHBand="0" w:noVBand="1"/>
      </w:tblPr>
      <w:tblGrid>
        <w:gridCol w:w="804"/>
        <w:gridCol w:w="753"/>
        <w:gridCol w:w="703"/>
        <w:gridCol w:w="711"/>
        <w:gridCol w:w="769"/>
        <w:gridCol w:w="709"/>
        <w:gridCol w:w="703"/>
        <w:gridCol w:w="860"/>
        <w:gridCol w:w="709"/>
        <w:gridCol w:w="700"/>
        <w:gridCol w:w="772"/>
        <w:gridCol w:w="709"/>
        <w:gridCol w:w="703"/>
        <w:gridCol w:w="695"/>
        <w:gridCol w:w="695"/>
        <w:gridCol w:w="695"/>
        <w:gridCol w:w="698"/>
        <w:gridCol w:w="698"/>
        <w:gridCol w:w="700"/>
      </w:tblGrid>
      <w:tr w:rsidR="003B7A14" w:rsidRPr="003B7A14" w14:paraId="17642981" w14:textId="77777777" w:rsidTr="009A182B">
        <w:trPr>
          <w:trHeight w:val="300"/>
        </w:trPr>
        <w:tc>
          <w:tcPr>
            <w:tcW w:w="5000" w:type="pct"/>
            <w:gridSpan w:val="19"/>
            <w:tcBorders>
              <w:bottom w:val="single" w:sz="12" w:space="0" w:color="auto"/>
            </w:tcBorders>
            <w:shd w:val="clear" w:color="auto" w:fill="auto"/>
            <w:noWrap/>
            <w:vAlign w:val="center"/>
            <w:hideMark/>
          </w:tcPr>
          <w:p w14:paraId="4E0B024D" w14:textId="460EF8A2" w:rsidR="009D081E" w:rsidRPr="003B7A14" w:rsidRDefault="009D081E" w:rsidP="009A182B">
            <w:pPr>
              <w:widowControl/>
              <w:autoSpaceDE/>
              <w:autoSpaceDN/>
              <w:jc w:val="both"/>
              <w:rPr>
                <w:b/>
                <w:bCs/>
                <w:sz w:val="20"/>
                <w:szCs w:val="20"/>
              </w:rPr>
            </w:pPr>
            <w:r w:rsidRPr="003B7A14">
              <w:rPr>
                <w:b/>
                <w:bCs/>
                <w:sz w:val="24"/>
                <w:szCs w:val="20"/>
              </w:rPr>
              <w:lastRenderedPageBreak/>
              <w:t>Table 3 Content of zinc fractions (mg kg</w:t>
            </w:r>
            <w:r w:rsidRPr="003B7A14">
              <w:rPr>
                <w:b/>
                <w:bCs/>
                <w:sz w:val="24"/>
                <w:szCs w:val="20"/>
                <w:vertAlign w:val="superscript"/>
              </w:rPr>
              <w:t>-1</w:t>
            </w:r>
            <w:r w:rsidRPr="003B7A14">
              <w:rPr>
                <w:b/>
                <w:bCs/>
                <w:sz w:val="24"/>
                <w:szCs w:val="20"/>
              </w:rPr>
              <w:t>) under aerobic (M</w:t>
            </w:r>
            <w:r w:rsidRPr="003B7A14">
              <w:rPr>
                <w:b/>
                <w:bCs/>
                <w:sz w:val="24"/>
                <w:szCs w:val="20"/>
                <w:vertAlign w:val="subscript"/>
              </w:rPr>
              <w:t>1</w:t>
            </w:r>
            <w:r w:rsidRPr="003B7A14">
              <w:rPr>
                <w:b/>
                <w:bCs/>
                <w:sz w:val="24"/>
                <w:szCs w:val="20"/>
              </w:rPr>
              <w:t>) and anaerobic (M</w:t>
            </w:r>
            <w:r w:rsidRPr="003B7A14">
              <w:rPr>
                <w:b/>
                <w:bCs/>
                <w:sz w:val="24"/>
                <w:szCs w:val="20"/>
                <w:vertAlign w:val="subscript"/>
              </w:rPr>
              <w:t>2</w:t>
            </w:r>
            <w:r w:rsidRPr="003B7A14">
              <w:rPr>
                <w:b/>
                <w:bCs/>
                <w:sz w:val="24"/>
                <w:szCs w:val="20"/>
              </w:rPr>
              <w:t>) conditions at different incubation periods (I</w:t>
            </w:r>
            <w:proofErr w:type="gramStart"/>
            <w:r w:rsidRPr="003B7A14">
              <w:rPr>
                <w:b/>
                <w:bCs/>
                <w:sz w:val="24"/>
                <w:szCs w:val="20"/>
                <w:vertAlign w:val="subscript"/>
              </w:rPr>
              <w:t xml:space="preserve">0  </w:t>
            </w:r>
            <w:r w:rsidRPr="003B7A14">
              <w:rPr>
                <w:b/>
                <w:bCs/>
                <w:sz w:val="24"/>
                <w:szCs w:val="20"/>
              </w:rPr>
              <w:t>to</w:t>
            </w:r>
            <w:proofErr w:type="gramEnd"/>
            <w:r w:rsidRPr="003B7A14">
              <w:rPr>
                <w:b/>
                <w:bCs/>
                <w:sz w:val="24"/>
                <w:szCs w:val="20"/>
              </w:rPr>
              <w:t xml:space="preserve"> I</w:t>
            </w:r>
            <w:r w:rsidRPr="003B7A14">
              <w:rPr>
                <w:b/>
                <w:bCs/>
                <w:sz w:val="24"/>
                <w:szCs w:val="20"/>
                <w:vertAlign w:val="subscript"/>
              </w:rPr>
              <w:t>90</w:t>
            </w:r>
            <w:r w:rsidRPr="003B7A14">
              <w:rPr>
                <w:b/>
                <w:bCs/>
                <w:sz w:val="24"/>
                <w:szCs w:val="20"/>
              </w:rPr>
              <w:t>) in soil-3 (S3)</w:t>
            </w:r>
          </w:p>
        </w:tc>
      </w:tr>
      <w:tr w:rsidR="003B7A14" w:rsidRPr="003B7A14" w14:paraId="4B7B4F9B" w14:textId="77777777" w:rsidTr="009A182B">
        <w:trPr>
          <w:trHeight w:val="300"/>
        </w:trPr>
        <w:tc>
          <w:tcPr>
            <w:tcW w:w="292" w:type="pct"/>
            <w:tcBorders>
              <w:top w:val="single" w:sz="12" w:space="0" w:color="auto"/>
            </w:tcBorders>
            <w:shd w:val="clear" w:color="auto" w:fill="auto"/>
            <w:noWrap/>
            <w:vAlign w:val="center"/>
            <w:hideMark/>
          </w:tcPr>
          <w:p w14:paraId="7898F20E" w14:textId="77777777" w:rsidR="009D081E" w:rsidRPr="003B7A14" w:rsidRDefault="009D081E" w:rsidP="009A182B">
            <w:pPr>
              <w:widowControl/>
              <w:autoSpaceDE/>
              <w:autoSpaceDN/>
              <w:jc w:val="center"/>
              <w:rPr>
                <w:b/>
                <w:bCs/>
                <w:sz w:val="20"/>
                <w:szCs w:val="20"/>
              </w:rPr>
            </w:pPr>
          </w:p>
        </w:tc>
        <w:tc>
          <w:tcPr>
            <w:tcW w:w="785" w:type="pct"/>
            <w:gridSpan w:val="3"/>
            <w:tcBorders>
              <w:top w:val="single" w:sz="12" w:space="0" w:color="auto"/>
              <w:bottom w:val="single" w:sz="4" w:space="0" w:color="auto"/>
            </w:tcBorders>
            <w:shd w:val="clear" w:color="auto" w:fill="auto"/>
            <w:noWrap/>
            <w:vAlign w:val="center"/>
            <w:hideMark/>
          </w:tcPr>
          <w:p w14:paraId="1E8B0C22" w14:textId="77777777" w:rsidR="009D081E" w:rsidRPr="003B7A14" w:rsidRDefault="009D081E" w:rsidP="009A182B">
            <w:pPr>
              <w:widowControl/>
              <w:autoSpaceDE/>
              <w:autoSpaceDN/>
              <w:jc w:val="center"/>
              <w:rPr>
                <w:b/>
                <w:bCs/>
                <w:sz w:val="20"/>
                <w:szCs w:val="20"/>
              </w:rPr>
            </w:pPr>
            <w:r w:rsidRPr="003B7A14">
              <w:rPr>
                <w:b/>
                <w:bCs/>
                <w:sz w:val="20"/>
                <w:szCs w:val="20"/>
              </w:rPr>
              <w:t>WSEX-Zn</w:t>
            </w:r>
          </w:p>
        </w:tc>
        <w:tc>
          <w:tcPr>
            <w:tcW w:w="791" w:type="pct"/>
            <w:gridSpan w:val="3"/>
            <w:tcBorders>
              <w:top w:val="single" w:sz="12" w:space="0" w:color="auto"/>
              <w:bottom w:val="single" w:sz="4" w:space="0" w:color="auto"/>
            </w:tcBorders>
            <w:shd w:val="clear" w:color="auto" w:fill="auto"/>
            <w:noWrap/>
            <w:vAlign w:val="center"/>
            <w:hideMark/>
          </w:tcPr>
          <w:p w14:paraId="575D305E" w14:textId="77777777" w:rsidR="009D081E" w:rsidRPr="003B7A14" w:rsidRDefault="009D081E" w:rsidP="009A182B">
            <w:pPr>
              <w:widowControl/>
              <w:autoSpaceDE/>
              <w:autoSpaceDN/>
              <w:jc w:val="center"/>
              <w:rPr>
                <w:b/>
                <w:bCs/>
                <w:sz w:val="20"/>
                <w:szCs w:val="20"/>
              </w:rPr>
            </w:pPr>
            <w:r w:rsidRPr="003B7A14">
              <w:rPr>
                <w:b/>
                <w:bCs/>
                <w:sz w:val="20"/>
                <w:szCs w:val="20"/>
              </w:rPr>
              <w:t>OC-Zn</w:t>
            </w:r>
          </w:p>
        </w:tc>
        <w:tc>
          <w:tcPr>
            <w:tcW w:w="823" w:type="pct"/>
            <w:gridSpan w:val="3"/>
            <w:tcBorders>
              <w:top w:val="single" w:sz="12" w:space="0" w:color="auto"/>
              <w:bottom w:val="single" w:sz="4" w:space="0" w:color="auto"/>
            </w:tcBorders>
            <w:shd w:val="clear" w:color="auto" w:fill="auto"/>
            <w:noWrap/>
            <w:vAlign w:val="center"/>
            <w:hideMark/>
          </w:tcPr>
          <w:p w14:paraId="2D1572F2" w14:textId="77777777" w:rsidR="009D081E" w:rsidRPr="003B7A14" w:rsidRDefault="009D081E" w:rsidP="009A182B">
            <w:pPr>
              <w:widowControl/>
              <w:autoSpaceDE/>
              <w:autoSpaceDN/>
              <w:jc w:val="center"/>
              <w:rPr>
                <w:b/>
                <w:bCs/>
                <w:sz w:val="20"/>
                <w:szCs w:val="20"/>
              </w:rPr>
            </w:pPr>
            <w:r w:rsidRPr="003B7A14">
              <w:rPr>
                <w:b/>
                <w:bCs/>
                <w:sz w:val="20"/>
                <w:szCs w:val="20"/>
              </w:rPr>
              <w:t>AMOX-Zn</w:t>
            </w:r>
          </w:p>
        </w:tc>
        <w:tc>
          <w:tcPr>
            <w:tcW w:w="792" w:type="pct"/>
            <w:gridSpan w:val="3"/>
            <w:tcBorders>
              <w:top w:val="single" w:sz="12" w:space="0" w:color="auto"/>
              <w:bottom w:val="single" w:sz="4" w:space="0" w:color="auto"/>
            </w:tcBorders>
            <w:shd w:val="clear" w:color="auto" w:fill="auto"/>
            <w:noWrap/>
            <w:vAlign w:val="center"/>
            <w:hideMark/>
          </w:tcPr>
          <w:p w14:paraId="2AE77DDD" w14:textId="77777777" w:rsidR="009D081E" w:rsidRPr="003B7A14" w:rsidRDefault="009D081E" w:rsidP="009A182B">
            <w:pPr>
              <w:widowControl/>
              <w:autoSpaceDE/>
              <w:autoSpaceDN/>
              <w:jc w:val="center"/>
              <w:rPr>
                <w:b/>
                <w:bCs/>
                <w:sz w:val="20"/>
                <w:szCs w:val="20"/>
              </w:rPr>
            </w:pPr>
            <w:r w:rsidRPr="003B7A14">
              <w:rPr>
                <w:b/>
                <w:bCs/>
                <w:sz w:val="20"/>
                <w:szCs w:val="20"/>
              </w:rPr>
              <w:t>CRYOX-Zn</w:t>
            </w:r>
          </w:p>
        </w:tc>
        <w:tc>
          <w:tcPr>
            <w:tcW w:w="756" w:type="pct"/>
            <w:gridSpan w:val="3"/>
            <w:tcBorders>
              <w:top w:val="single" w:sz="12" w:space="0" w:color="auto"/>
              <w:bottom w:val="single" w:sz="4" w:space="0" w:color="auto"/>
            </w:tcBorders>
            <w:shd w:val="clear" w:color="auto" w:fill="auto"/>
            <w:noWrap/>
            <w:vAlign w:val="center"/>
            <w:hideMark/>
          </w:tcPr>
          <w:p w14:paraId="0DD459DC" w14:textId="77777777" w:rsidR="009D081E" w:rsidRPr="003B7A14" w:rsidRDefault="009D081E" w:rsidP="009A182B">
            <w:pPr>
              <w:widowControl/>
              <w:autoSpaceDE/>
              <w:autoSpaceDN/>
              <w:jc w:val="center"/>
              <w:rPr>
                <w:b/>
                <w:bCs/>
                <w:sz w:val="20"/>
                <w:szCs w:val="20"/>
              </w:rPr>
            </w:pPr>
            <w:proofErr w:type="spellStart"/>
            <w:r w:rsidRPr="003B7A14">
              <w:rPr>
                <w:b/>
                <w:bCs/>
                <w:sz w:val="20"/>
                <w:szCs w:val="20"/>
              </w:rPr>
              <w:t>MnOx</w:t>
            </w:r>
            <w:proofErr w:type="spellEnd"/>
            <w:r w:rsidRPr="003B7A14">
              <w:rPr>
                <w:b/>
                <w:bCs/>
                <w:sz w:val="20"/>
                <w:szCs w:val="20"/>
              </w:rPr>
              <w:t>-Zn</w:t>
            </w:r>
          </w:p>
        </w:tc>
        <w:tc>
          <w:tcPr>
            <w:tcW w:w="760" w:type="pct"/>
            <w:gridSpan w:val="3"/>
            <w:tcBorders>
              <w:top w:val="single" w:sz="12" w:space="0" w:color="auto"/>
              <w:bottom w:val="single" w:sz="4" w:space="0" w:color="auto"/>
            </w:tcBorders>
            <w:shd w:val="clear" w:color="auto" w:fill="auto"/>
            <w:noWrap/>
            <w:vAlign w:val="center"/>
            <w:hideMark/>
          </w:tcPr>
          <w:p w14:paraId="268806D8" w14:textId="77777777" w:rsidR="009D081E" w:rsidRPr="003B7A14" w:rsidRDefault="009D081E" w:rsidP="009A182B">
            <w:pPr>
              <w:widowControl/>
              <w:autoSpaceDE/>
              <w:autoSpaceDN/>
              <w:jc w:val="center"/>
              <w:rPr>
                <w:b/>
                <w:bCs/>
                <w:sz w:val="20"/>
                <w:szCs w:val="20"/>
              </w:rPr>
            </w:pPr>
            <w:r w:rsidRPr="003B7A14">
              <w:rPr>
                <w:b/>
                <w:bCs/>
                <w:sz w:val="20"/>
                <w:szCs w:val="20"/>
              </w:rPr>
              <w:t>RES-Zn</w:t>
            </w:r>
          </w:p>
        </w:tc>
      </w:tr>
      <w:tr w:rsidR="003B7A14" w:rsidRPr="003B7A14" w14:paraId="680AB5E8" w14:textId="77777777" w:rsidTr="009A182B">
        <w:trPr>
          <w:trHeight w:val="300"/>
        </w:trPr>
        <w:tc>
          <w:tcPr>
            <w:tcW w:w="292" w:type="pct"/>
            <w:tcBorders>
              <w:bottom w:val="single" w:sz="4" w:space="0" w:color="auto"/>
            </w:tcBorders>
            <w:shd w:val="clear" w:color="auto" w:fill="auto"/>
            <w:noWrap/>
            <w:vAlign w:val="center"/>
            <w:hideMark/>
          </w:tcPr>
          <w:p w14:paraId="54A9BD8E" w14:textId="77777777" w:rsidR="009D081E" w:rsidRPr="003B7A14" w:rsidRDefault="009D081E" w:rsidP="009A182B">
            <w:pPr>
              <w:widowControl/>
              <w:autoSpaceDE/>
              <w:autoSpaceDN/>
              <w:jc w:val="center"/>
              <w:rPr>
                <w:b/>
                <w:bCs/>
                <w:sz w:val="20"/>
                <w:szCs w:val="20"/>
              </w:rPr>
            </w:pPr>
          </w:p>
        </w:tc>
        <w:tc>
          <w:tcPr>
            <w:tcW w:w="273" w:type="pct"/>
            <w:tcBorders>
              <w:top w:val="single" w:sz="4" w:space="0" w:color="auto"/>
              <w:bottom w:val="single" w:sz="4" w:space="0" w:color="auto"/>
            </w:tcBorders>
            <w:shd w:val="clear" w:color="auto" w:fill="auto"/>
            <w:noWrap/>
            <w:vAlign w:val="center"/>
            <w:hideMark/>
          </w:tcPr>
          <w:p w14:paraId="0ED9DF0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5" w:type="pct"/>
            <w:tcBorders>
              <w:top w:val="single" w:sz="4" w:space="0" w:color="auto"/>
              <w:bottom w:val="single" w:sz="4" w:space="0" w:color="auto"/>
            </w:tcBorders>
            <w:shd w:val="clear" w:color="auto" w:fill="auto"/>
            <w:noWrap/>
            <w:vAlign w:val="center"/>
            <w:hideMark/>
          </w:tcPr>
          <w:p w14:paraId="574E05B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8" w:type="pct"/>
            <w:tcBorders>
              <w:top w:val="single" w:sz="4" w:space="0" w:color="auto"/>
              <w:bottom w:val="single" w:sz="4" w:space="0" w:color="auto"/>
            </w:tcBorders>
            <w:shd w:val="clear" w:color="auto" w:fill="auto"/>
            <w:noWrap/>
            <w:vAlign w:val="center"/>
            <w:hideMark/>
          </w:tcPr>
          <w:p w14:paraId="673DB563"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45647F7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3B7BC72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5" w:type="pct"/>
            <w:tcBorders>
              <w:top w:val="single" w:sz="4" w:space="0" w:color="auto"/>
              <w:bottom w:val="single" w:sz="4" w:space="0" w:color="auto"/>
            </w:tcBorders>
            <w:shd w:val="clear" w:color="auto" w:fill="auto"/>
            <w:noWrap/>
            <w:vAlign w:val="center"/>
            <w:hideMark/>
          </w:tcPr>
          <w:p w14:paraId="1694473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312" w:type="pct"/>
            <w:tcBorders>
              <w:top w:val="single" w:sz="4" w:space="0" w:color="auto"/>
              <w:bottom w:val="single" w:sz="4" w:space="0" w:color="auto"/>
            </w:tcBorders>
            <w:shd w:val="clear" w:color="auto" w:fill="auto"/>
            <w:noWrap/>
            <w:vAlign w:val="center"/>
            <w:hideMark/>
          </w:tcPr>
          <w:p w14:paraId="517BC75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149C2D3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467EE56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80" w:type="pct"/>
            <w:tcBorders>
              <w:top w:val="single" w:sz="4" w:space="0" w:color="auto"/>
              <w:bottom w:val="single" w:sz="4" w:space="0" w:color="auto"/>
            </w:tcBorders>
            <w:shd w:val="clear" w:color="auto" w:fill="auto"/>
            <w:noWrap/>
            <w:vAlign w:val="center"/>
            <w:hideMark/>
          </w:tcPr>
          <w:p w14:paraId="0D328AA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66FD653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5" w:type="pct"/>
            <w:tcBorders>
              <w:top w:val="single" w:sz="4" w:space="0" w:color="auto"/>
              <w:bottom w:val="single" w:sz="4" w:space="0" w:color="auto"/>
            </w:tcBorders>
            <w:shd w:val="clear" w:color="auto" w:fill="auto"/>
            <w:noWrap/>
            <w:vAlign w:val="center"/>
            <w:hideMark/>
          </w:tcPr>
          <w:p w14:paraId="2221765B"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2" w:type="pct"/>
            <w:tcBorders>
              <w:top w:val="single" w:sz="4" w:space="0" w:color="auto"/>
              <w:bottom w:val="single" w:sz="4" w:space="0" w:color="auto"/>
            </w:tcBorders>
            <w:shd w:val="clear" w:color="auto" w:fill="auto"/>
            <w:noWrap/>
            <w:vAlign w:val="center"/>
            <w:hideMark/>
          </w:tcPr>
          <w:p w14:paraId="78C6467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2" w:type="pct"/>
            <w:tcBorders>
              <w:top w:val="single" w:sz="4" w:space="0" w:color="auto"/>
              <w:bottom w:val="single" w:sz="4" w:space="0" w:color="auto"/>
            </w:tcBorders>
            <w:shd w:val="clear" w:color="auto" w:fill="auto"/>
            <w:noWrap/>
            <w:vAlign w:val="center"/>
            <w:hideMark/>
          </w:tcPr>
          <w:p w14:paraId="69893E8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5130CD62"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58440A9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4557CC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5451FAAE"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34EF812D" w14:textId="77777777" w:rsidTr="009A182B">
        <w:trPr>
          <w:trHeight w:val="425"/>
        </w:trPr>
        <w:tc>
          <w:tcPr>
            <w:tcW w:w="292" w:type="pct"/>
            <w:tcBorders>
              <w:top w:val="single" w:sz="4" w:space="0" w:color="auto"/>
            </w:tcBorders>
            <w:shd w:val="clear" w:color="auto" w:fill="auto"/>
            <w:noWrap/>
            <w:vAlign w:val="center"/>
            <w:hideMark/>
          </w:tcPr>
          <w:p w14:paraId="7DF1772B"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0</w:t>
            </w:r>
          </w:p>
        </w:tc>
        <w:tc>
          <w:tcPr>
            <w:tcW w:w="273" w:type="pct"/>
            <w:tcBorders>
              <w:top w:val="single" w:sz="4" w:space="0" w:color="auto"/>
            </w:tcBorders>
            <w:shd w:val="clear" w:color="auto" w:fill="auto"/>
            <w:noWrap/>
            <w:vAlign w:val="center"/>
            <w:hideMark/>
          </w:tcPr>
          <w:p w14:paraId="3375B06C" w14:textId="77777777" w:rsidR="009D081E" w:rsidRPr="003B7A14" w:rsidRDefault="009D081E" w:rsidP="009A182B">
            <w:pPr>
              <w:widowControl/>
              <w:autoSpaceDE/>
              <w:autoSpaceDN/>
              <w:jc w:val="center"/>
              <w:rPr>
                <w:sz w:val="20"/>
                <w:szCs w:val="20"/>
              </w:rPr>
            </w:pPr>
            <w:r w:rsidRPr="003B7A14">
              <w:rPr>
                <w:sz w:val="20"/>
                <w:szCs w:val="20"/>
              </w:rPr>
              <w:t>0.336</w:t>
            </w:r>
          </w:p>
        </w:tc>
        <w:tc>
          <w:tcPr>
            <w:tcW w:w="255" w:type="pct"/>
            <w:tcBorders>
              <w:top w:val="single" w:sz="4" w:space="0" w:color="auto"/>
            </w:tcBorders>
            <w:shd w:val="clear" w:color="auto" w:fill="auto"/>
            <w:noWrap/>
            <w:vAlign w:val="center"/>
            <w:hideMark/>
          </w:tcPr>
          <w:p w14:paraId="44FDE631" w14:textId="77777777" w:rsidR="009D081E" w:rsidRPr="003B7A14" w:rsidRDefault="009D081E" w:rsidP="009A182B">
            <w:pPr>
              <w:widowControl/>
              <w:autoSpaceDE/>
              <w:autoSpaceDN/>
              <w:jc w:val="center"/>
              <w:rPr>
                <w:sz w:val="20"/>
                <w:szCs w:val="20"/>
              </w:rPr>
            </w:pPr>
            <w:r w:rsidRPr="003B7A14">
              <w:rPr>
                <w:sz w:val="20"/>
                <w:szCs w:val="20"/>
              </w:rPr>
              <w:t>0.337</w:t>
            </w:r>
          </w:p>
        </w:tc>
        <w:tc>
          <w:tcPr>
            <w:tcW w:w="258" w:type="pct"/>
            <w:tcBorders>
              <w:top w:val="single" w:sz="4" w:space="0" w:color="auto"/>
            </w:tcBorders>
            <w:shd w:val="clear" w:color="auto" w:fill="auto"/>
            <w:noWrap/>
            <w:vAlign w:val="center"/>
            <w:hideMark/>
          </w:tcPr>
          <w:p w14:paraId="5B74C02A" w14:textId="77777777" w:rsidR="009D081E" w:rsidRPr="003B7A14" w:rsidRDefault="009D081E" w:rsidP="009A182B">
            <w:pPr>
              <w:widowControl/>
              <w:autoSpaceDE/>
              <w:autoSpaceDN/>
              <w:jc w:val="center"/>
              <w:rPr>
                <w:sz w:val="20"/>
                <w:szCs w:val="20"/>
              </w:rPr>
            </w:pPr>
            <w:r w:rsidRPr="003B7A14">
              <w:rPr>
                <w:sz w:val="20"/>
                <w:szCs w:val="20"/>
              </w:rPr>
              <w:t>0.336</w:t>
            </w:r>
          </w:p>
        </w:tc>
        <w:tc>
          <w:tcPr>
            <w:tcW w:w="279" w:type="pct"/>
            <w:tcBorders>
              <w:top w:val="single" w:sz="4" w:space="0" w:color="auto"/>
            </w:tcBorders>
            <w:shd w:val="clear" w:color="auto" w:fill="auto"/>
            <w:noWrap/>
            <w:vAlign w:val="center"/>
            <w:hideMark/>
          </w:tcPr>
          <w:p w14:paraId="28FCE759" w14:textId="77777777" w:rsidR="009D081E" w:rsidRPr="003B7A14" w:rsidRDefault="009D081E" w:rsidP="009A182B">
            <w:pPr>
              <w:widowControl/>
              <w:autoSpaceDE/>
              <w:autoSpaceDN/>
              <w:jc w:val="center"/>
              <w:rPr>
                <w:sz w:val="20"/>
                <w:szCs w:val="20"/>
              </w:rPr>
            </w:pPr>
            <w:r w:rsidRPr="003B7A14">
              <w:rPr>
                <w:sz w:val="20"/>
                <w:szCs w:val="20"/>
              </w:rPr>
              <w:t>2.475</w:t>
            </w:r>
          </w:p>
        </w:tc>
        <w:tc>
          <w:tcPr>
            <w:tcW w:w="257" w:type="pct"/>
            <w:tcBorders>
              <w:top w:val="single" w:sz="4" w:space="0" w:color="auto"/>
            </w:tcBorders>
            <w:shd w:val="clear" w:color="auto" w:fill="auto"/>
            <w:noWrap/>
            <w:vAlign w:val="center"/>
            <w:hideMark/>
          </w:tcPr>
          <w:p w14:paraId="0943FDE1" w14:textId="77777777" w:rsidR="009D081E" w:rsidRPr="003B7A14" w:rsidRDefault="009D081E" w:rsidP="009A182B">
            <w:pPr>
              <w:widowControl/>
              <w:autoSpaceDE/>
              <w:autoSpaceDN/>
              <w:jc w:val="center"/>
              <w:rPr>
                <w:sz w:val="20"/>
                <w:szCs w:val="20"/>
              </w:rPr>
            </w:pPr>
            <w:r w:rsidRPr="003B7A14">
              <w:rPr>
                <w:sz w:val="20"/>
                <w:szCs w:val="20"/>
              </w:rPr>
              <w:t>2.466</w:t>
            </w:r>
          </w:p>
        </w:tc>
        <w:tc>
          <w:tcPr>
            <w:tcW w:w="255" w:type="pct"/>
            <w:tcBorders>
              <w:top w:val="single" w:sz="4" w:space="0" w:color="auto"/>
            </w:tcBorders>
            <w:shd w:val="clear" w:color="auto" w:fill="auto"/>
            <w:noWrap/>
            <w:vAlign w:val="center"/>
            <w:hideMark/>
          </w:tcPr>
          <w:p w14:paraId="106F4B3A" w14:textId="77777777" w:rsidR="009D081E" w:rsidRPr="003B7A14" w:rsidRDefault="009D081E" w:rsidP="009A182B">
            <w:pPr>
              <w:widowControl/>
              <w:autoSpaceDE/>
              <w:autoSpaceDN/>
              <w:jc w:val="center"/>
              <w:rPr>
                <w:sz w:val="20"/>
                <w:szCs w:val="20"/>
              </w:rPr>
            </w:pPr>
            <w:r w:rsidRPr="003B7A14">
              <w:rPr>
                <w:sz w:val="20"/>
                <w:szCs w:val="20"/>
              </w:rPr>
              <w:t>2.471</w:t>
            </w:r>
          </w:p>
        </w:tc>
        <w:tc>
          <w:tcPr>
            <w:tcW w:w="312" w:type="pct"/>
            <w:tcBorders>
              <w:top w:val="single" w:sz="4" w:space="0" w:color="auto"/>
            </w:tcBorders>
            <w:shd w:val="clear" w:color="auto" w:fill="auto"/>
            <w:noWrap/>
            <w:vAlign w:val="center"/>
            <w:hideMark/>
          </w:tcPr>
          <w:p w14:paraId="18A5A32D" w14:textId="77777777" w:rsidR="009D081E" w:rsidRPr="003B7A14" w:rsidRDefault="009D081E" w:rsidP="009A182B">
            <w:pPr>
              <w:widowControl/>
              <w:autoSpaceDE/>
              <w:autoSpaceDN/>
              <w:jc w:val="center"/>
              <w:rPr>
                <w:sz w:val="20"/>
                <w:szCs w:val="20"/>
              </w:rPr>
            </w:pPr>
            <w:r w:rsidRPr="003B7A14">
              <w:rPr>
                <w:sz w:val="20"/>
                <w:szCs w:val="20"/>
              </w:rPr>
              <w:t>2.624</w:t>
            </w:r>
          </w:p>
        </w:tc>
        <w:tc>
          <w:tcPr>
            <w:tcW w:w="257" w:type="pct"/>
            <w:tcBorders>
              <w:top w:val="single" w:sz="4" w:space="0" w:color="auto"/>
            </w:tcBorders>
            <w:shd w:val="clear" w:color="auto" w:fill="auto"/>
            <w:noWrap/>
            <w:vAlign w:val="center"/>
            <w:hideMark/>
          </w:tcPr>
          <w:p w14:paraId="2571A42E" w14:textId="77777777" w:rsidR="009D081E" w:rsidRPr="003B7A14" w:rsidRDefault="009D081E" w:rsidP="009A182B">
            <w:pPr>
              <w:widowControl/>
              <w:autoSpaceDE/>
              <w:autoSpaceDN/>
              <w:jc w:val="center"/>
              <w:rPr>
                <w:sz w:val="20"/>
                <w:szCs w:val="20"/>
              </w:rPr>
            </w:pPr>
            <w:r w:rsidRPr="003B7A14">
              <w:rPr>
                <w:sz w:val="20"/>
                <w:szCs w:val="20"/>
              </w:rPr>
              <w:t>2.612</w:t>
            </w:r>
          </w:p>
        </w:tc>
        <w:tc>
          <w:tcPr>
            <w:tcW w:w="254" w:type="pct"/>
            <w:tcBorders>
              <w:top w:val="single" w:sz="4" w:space="0" w:color="auto"/>
            </w:tcBorders>
            <w:shd w:val="clear" w:color="auto" w:fill="auto"/>
            <w:noWrap/>
            <w:vAlign w:val="center"/>
            <w:hideMark/>
          </w:tcPr>
          <w:p w14:paraId="13B44058" w14:textId="77777777" w:rsidR="009D081E" w:rsidRPr="003B7A14" w:rsidRDefault="009D081E" w:rsidP="009A182B">
            <w:pPr>
              <w:widowControl/>
              <w:autoSpaceDE/>
              <w:autoSpaceDN/>
              <w:jc w:val="center"/>
              <w:rPr>
                <w:sz w:val="20"/>
                <w:szCs w:val="20"/>
              </w:rPr>
            </w:pPr>
            <w:r w:rsidRPr="003B7A14">
              <w:rPr>
                <w:sz w:val="20"/>
                <w:szCs w:val="20"/>
              </w:rPr>
              <w:t>2.618</w:t>
            </w:r>
          </w:p>
        </w:tc>
        <w:tc>
          <w:tcPr>
            <w:tcW w:w="280" w:type="pct"/>
            <w:tcBorders>
              <w:top w:val="single" w:sz="4" w:space="0" w:color="auto"/>
            </w:tcBorders>
            <w:shd w:val="clear" w:color="auto" w:fill="auto"/>
            <w:noWrap/>
            <w:vAlign w:val="center"/>
            <w:hideMark/>
          </w:tcPr>
          <w:p w14:paraId="05153C53" w14:textId="77777777" w:rsidR="009D081E" w:rsidRPr="003B7A14" w:rsidRDefault="009D081E" w:rsidP="009A182B">
            <w:pPr>
              <w:widowControl/>
              <w:autoSpaceDE/>
              <w:autoSpaceDN/>
              <w:jc w:val="center"/>
              <w:rPr>
                <w:sz w:val="20"/>
                <w:szCs w:val="20"/>
              </w:rPr>
            </w:pPr>
            <w:r w:rsidRPr="003B7A14">
              <w:rPr>
                <w:sz w:val="20"/>
                <w:szCs w:val="20"/>
              </w:rPr>
              <w:t>16.27</w:t>
            </w:r>
          </w:p>
        </w:tc>
        <w:tc>
          <w:tcPr>
            <w:tcW w:w="257" w:type="pct"/>
            <w:tcBorders>
              <w:top w:val="single" w:sz="4" w:space="0" w:color="auto"/>
            </w:tcBorders>
            <w:shd w:val="clear" w:color="auto" w:fill="auto"/>
            <w:noWrap/>
            <w:vAlign w:val="center"/>
            <w:hideMark/>
          </w:tcPr>
          <w:p w14:paraId="1AB7F327" w14:textId="77777777" w:rsidR="009D081E" w:rsidRPr="003B7A14" w:rsidRDefault="009D081E" w:rsidP="009A182B">
            <w:pPr>
              <w:widowControl/>
              <w:autoSpaceDE/>
              <w:autoSpaceDN/>
              <w:jc w:val="center"/>
              <w:rPr>
                <w:sz w:val="20"/>
                <w:szCs w:val="20"/>
              </w:rPr>
            </w:pPr>
            <w:r w:rsidRPr="003B7A14">
              <w:rPr>
                <w:sz w:val="20"/>
                <w:szCs w:val="20"/>
              </w:rPr>
              <w:t>16.25</w:t>
            </w:r>
          </w:p>
        </w:tc>
        <w:tc>
          <w:tcPr>
            <w:tcW w:w="255" w:type="pct"/>
            <w:tcBorders>
              <w:top w:val="single" w:sz="4" w:space="0" w:color="auto"/>
            </w:tcBorders>
            <w:shd w:val="clear" w:color="auto" w:fill="auto"/>
            <w:noWrap/>
            <w:vAlign w:val="center"/>
            <w:hideMark/>
          </w:tcPr>
          <w:p w14:paraId="1DF7DF16" w14:textId="77777777" w:rsidR="009D081E" w:rsidRPr="003B7A14" w:rsidRDefault="009D081E" w:rsidP="009A182B">
            <w:pPr>
              <w:widowControl/>
              <w:autoSpaceDE/>
              <w:autoSpaceDN/>
              <w:jc w:val="center"/>
              <w:rPr>
                <w:sz w:val="20"/>
                <w:szCs w:val="20"/>
              </w:rPr>
            </w:pPr>
            <w:r w:rsidRPr="003B7A14">
              <w:rPr>
                <w:sz w:val="20"/>
                <w:szCs w:val="20"/>
              </w:rPr>
              <w:t>16.26</w:t>
            </w:r>
          </w:p>
        </w:tc>
        <w:tc>
          <w:tcPr>
            <w:tcW w:w="252" w:type="pct"/>
            <w:tcBorders>
              <w:top w:val="single" w:sz="4" w:space="0" w:color="auto"/>
            </w:tcBorders>
            <w:shd w:val="clear" w:color="auto" w:fill="auto"/>
            <w:noWrap/>
            <w:vAlign w:val="center"/>
            <w:hideMark/>
          </w:tcPr>
          <w:p w14:paraId="49360025" w14:textId="77777777" w:rsidR="009D081E" w:rsidRPr="003B7A14" w:rsidRDefault="009D081E" w:rsidP="009A182B">
            <w:pPr>
              <w:widowControl/>
              <w:autoSpaceDE/>
              <w:autoSpaceDN/>
              <w:jc w:val="center"/>
              <w:rPr>
                <w:sz w:val="20"/>
                <w:szCs w:val="20"/>
              </w:rPr>
            </w:pPr>
            <w:r w:rsidRPr="003B7A14">
              <w:rPr>
                <w:sz w:val="20"/>
                <w:szCs w:val="20"/>
              </w:rPr>
              <w:t>3.088</w:t>
            </w:r>
          </w:p>
        </w:tc>
        <w:tc>
          <w:tcPr>
            <w:tcW w:w="252" w:type="pct"/>
            <w:tcBorders>
              <w:top w:val="single" w:sz="4" w:space="0" w:color="auto"/>
            </w:tcBorders>
            <w:shd w:val="clear" w:color="auto" w:fill="auto"/>
            <w:noWrap/>
            <w:vAlign w:val="center"/>
            <w:hideMark/>
          </w:tcPr>
          <w:p w14:paraId="37B06B47" w14:textId="77777777" w:rsidR="009D081E" w:rsidRPr="003B7A14" w:rsidRDefault="009D081E" w:rsidP="009A182B">
            <w:pPr>
              <w:widowControl/>
              <w:autoSpaceDE/>
              <w:autoSpaceDN/>
              <w:jc w:val="center"/>
              <w:rPr>
                <w:sz w:val="20"/>
                <w:szCs w:val="20"/>
              </w:rPr>
            </w:pPr>
            <w:r w:rsidRPr="003B7A14">
              <w:rPr>
                <w:sz w:val="20"/>
                <w:szCs w:val="20"/>
              </w:rPr>
              <w:t>3.090</w:t>
            </w:r>
          </w:p>
        </w:tc>
        <w:tc>
          <w:tcPr>
            <w:tcW w:w="252" w:type="pct"/>
            <w:tcBorders>
              <w:top w:val="single" w:sz="4" w:space="0" w:color="auto"/>
            </w:tcBorders>
            <w:shd w:val="clear" w:color="auto" w:fill="auto"/>
            <w:noWrap/>
            <w:vAlign w:val="center"/>
            <w:hideMark/>
          </w:tcPr>
          <w:p w14:paraId="0610427C" w14:textId="77777777" w:rsidR="009D081E" w:rsidRPr="003B7A14" w:rsidRDefault="009D081E" w:rsidP="009A182B">
            <w:pPr>
              <w:widowControl/>
              <w:autoSpaceDE/>
              <w:autoSpaceDN/>
              <w:jc w:val="center"/>
              <w:rPr>
                <w:sz w:val="20"/>
                <w:szCs w:val="20"/>
              </w:rPr>
            </w:pPr>
            <w:r w:rsidRPr="003B7A14">
              <w:rPr>
                <w:sz w:val="20"/>
                <w:szCs w:val="20"/>
              </w:rPr>
              <w:t>3.089</w:t>
            </w:r>
          </w:p>
        </w:tc>
        <w:tc>
          <w:tcPr>
            <w:tcW w:w="253" w:type="pct"/>
            <w:tcBorders>
              <w:top w:val="single" w:sz="4" w:space="0" w:color="auto"/>
            </w:tcBorders>
            <w:shd w:val="clear" w:color="auto" w:fill="auto"/>
            <w:noWrap/>
            <w:vAlign w:val="center"/>
            <w:hideMark/>
          </w:tcPr>
          <w:p w14:paraId="38D351A9" w14:textId="77777777" w:rsidR="009D081E" w:rsidRPr="003B7A14" w:rsidRDefault="009D081E" w:rsidP="009A182B">
            <w:pPr>
              <w:widowControl/>
              <w:autoSpaceDE/>
              <w:autoSpaceDN/>
              <w:jc w:val="center"/>
              <w:rPr>
                <w:sz w:val="20"/>
                <w:szCs w:val="20"/>
              </w:rPr>
            </w:pPr>
            <w:r w:rsidRPr="003B7A14">
              <w:rPr>
                <w:sz w:val="20"/>
                <w:szCs w:val="20"/>
              </w:rPr>
              <w:t>34.72</w:t>
            </w:r>
          </w:p>
        </w:tc>
        <w:tc>
          <w:tcPr>
            <w:tcW w:w="253" w:type="pct"/>
            <w:tcBorders>
              <w:top w:val="single" w:sz="4" w:space="0" w:color="auto"/>
            </w:tcBorders>
            <w:shd w:val="clear" w:color="auto" w:fill="auto"/>
            <w:noWrap/>
            <w:vAlign w:val="center"/>
            <w:hideMark/>
          </w:tcPr>
          <w:p w14:paraId="1DF0863B" w14:textId="77777777" w:rsidR="009D081E" w:rsidRPr="003B7A14" w:rsidRDefault="009D081E" w:rsidP="009A182B">
            <w:pPr>
              <w:widowControl/>
              <w:autoSpaceDE/>
              <w:autoSpaceDN/>
              <w:jc w:val="center"/>
              <w:rPr>
                <w:sz w:val="20"/>
                <w:szCs w:val="20"/>
              </w:rPr>
            </w:pPr>
            <w:r w:rsidRPr="003B7A14">
              <w:rPr>
                <w:sz w:val="20"/>
                <w:szCs w:val="20"/>
              </w:rPr>
              <w:t>34.74</w:t>
            </w:r>
          </w:p>
        </w:tc>
        <w:tc>
          <w:tcPr>
            <w:tcW w:w="254" w:type="pct"/>
            <w:tcBorders>
              <w:top w:val="single" w:sz="4" w:space="0" w:color="auto"/>
            </w:tcBorders>
            <w:shd w:val="clear" w:color="auto" w:fill="auto"/>
            <w:noWrap/>
            <w:vAlign w:val="center"/>
            <w:hideMark/>
          </w:tcPr>
          <w:p w14:paraId="2F5A4400" w14:textId="77777777" w:rsidR="009D081E" w:rsidRPr="003B7A14" w:rsidRDefault="009D081E" w:rsidP="009A182B">
            <w:pPr>
              <w:widowControl/>
              <w:autoSpaceDE/>
              <w:autoSpaceDN/>
              <w:jc w:val="center"/>
              <w:rPr>
                <w:sz w:val="20"/>
                <w:szCs w:val="20"/>
              </w:rPr>
            </w:pPr>
            <w:r w:rsidRPr="003B7A14">
              <w:rPr>
                <w:sz w:val="20"/>
                <w:szCs w:val="20"/>
              </w:rPr>
              <w:t>34.73</w:t>
            </w:r>
          </w:p>
        </w:tc>
      </w:tr>
      <w:tr w:rsidR="003B7A14" w:rsidRPr="003B7A14" w14:paraId="63FB274D" w14:textId="77777777" w:rsidTr="009A182B">
        <w:trPr>
          <w:trHeight w:val="425"/>
        </w:trPr>
        <w:tc>
          <w:tcPr>
            <w:tcW w:w="292" w:type="pct"/>
            <w:shd w:val="clear" w:color="auto" w:fill="auto"/>
            <w:noWrap/>
            <w:vAlign w:val="center"/>
            <w:hideMark/>
          </w:tcPr>
          <w:p w14:paraId="633B78A2"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15</w:t>
            </w:r>
          </w:p>
        </w:tc>
        <w:tc>
          <w:tcPr>
            <w:tcW w:w="273" w:type="pct"/>
            <w:shd w:val="clear" w:color="auto" w:fill="auto"/>
            <w:noWrap/>
            <w:vAlign w:val="center"/>
            <w:hideMark/>
          </w:tcPr>
          <w:p w14:paraId="7B8FBE28" w14:textId="77777777" w:rsidR="009D081E" w:rsidRPr="003B7A14" w:rsidRDefault="009D081E" w:rsidP="009A182B">
            <w:pPr>
              <w:widowControl/>
              <w:autoSpaceDE/>
              <w:autoSpaceDN/>
              <w:jc w:val="center"/>
              <w:rPr>
                <w:sz w:val="20"/>
                <w:szCs w:val="20"/>
              </w:rPr>
            </w:pPr>
            <w:r w:rsidRPr="003B7A14">
              <w:rPr>
                <w:sz w:val="20"/>
                <w:szCs w:val="20"/>
              </w:rPr>
              <w:t>0.329</w:t>
            </w:r>
          </w:p>
        </w:tc>
        <w:tc>
          <w:tcPr>
            <w:tcW w:w="255" w:type="pct"/>
            <w:shd w:val="clear" w:color="auto" w:fill="auto"/>
            <w:noWrap/>
            <w:vAlign w:val="center"/>
            <w:hideMark/>
          </w:tcPr>
          <w:p w14:paraId="547F0688" w14:textId="77777777" w:rsidR="009D081E" w:rsidRPr="003B7A14" w:rsidRDefault="009D081E" w:rsidP="009A182B">
            <w:pPr>
              <w:widowControl/>
              <w:autoSpaceDE/>
              <w:autoSpaceDN/>
              <w:jc w:val="center"/>
              <w:rPr>
                <w:sz w:val="20"/>
                <w:szCs w:val="20"/>
              </w:rPr>
            </w:pPr>
            <w:r w:rsidRPr="003B7A14">
              <w:rPr>
                <w:sz w:val="20"/>
                <w:szCs w:val="20"/>
              </w:rPr>
              <w:t>0.279</w:t>
            </w:r>
          </w:p>
        </w:tc>
        <w:tc>
          <w:tcPr>
            <w:tcW w:w="258" w:type="pct"/>
            <w:shd w:val="clear" w:color="auto" w:fill="auto"/>
            <w:noWrap/>
            <w:vAlign w:val="center"/>
            <w:hideMark/>
          </w:tcPr>
          <w:p w14:paraId="282A6EF1" w14:textId="77777777" w:rsidR="009D081E" w:rsidRPr="003B7A14" w:rsidRDefault="009D081E" w:rsidP="009A182B">
            <w:pPr>
              <w:widowControl/>
              <w:autoSpaceDE/>
              <w:autoSpaceDN/>
              <w:jc w:val="center"/>
              <w:rPr>
                <w:sz w:val="20"/>
                <w:szCs w:val="20"/>
              </w:rPr>
            </w:pPr>
            <w:r w:rsidRPr="003B7A14">
              <w:rPr>
                <w:sz w:val="20"/>
                <w:szCs w:val="20"/>
              </w:rPr>
              <w:t>0.304</w:t>
            </w:r>
          </w:p>
        </w:tc>
        <w:tc>
          <w:tcPr>
            <w:tcW w:w="279" w:type="pct"/>
            <w:shd w:val="clear" w:color="auto" w:fill="auto"/>
            <w:noWrap/>
            <w:vAlign w:val="center"/>
            <w:hideMark/>
          </w:tcPr>
          <w:p w14:paraId="7EEEDDBA" w14:textId="77777777" w:rsidR="009D081E" w:rsidRPr="003B7A14" w:rsidRDefault="009D081E" w:rsidP="009A182B">
            <w:pPr>
              <w:widowControl/>
              <w:autoSpaceDE/>
              <w:autoSpaceDN/>
              <w:jc w:val="center"/>
              <w:rPr>
                <w:sz w:val="20"/>
                <w:szCs w:val="20"/>
              </w:rPr>
            </w:pPr>
            <w:r w:rsidRPr="003B7A14">
              <w:rPr>
                <w:sz w:val="20"/>
                <w:szCs w:val="20"/>
              </w:rPr>
              <w:t>2.386</w:t>
            </w:r>
          </w:p>
        </w:tc>
        <w:tc>
          <w:tcPr>
            <w:tcW w:w="257" w:type="pct"/>
            <w:shd w:val="clear" w:color="auto" w:fill="auto"/>
            <w:noWrap/>
            <w:vAlign w:val="center"/>
            <w:hideMark/>
          </w:tcPr>
          <w:p w14:paraId="2CBD2208" w14:textId="77777777" w:rsidR="009D081E" w:rsidRPr="003B7A14" w:rsidRDefault="009D081E" w:rsidP="009A182B">
            <w:pPr>
              <w:widowControl/>
              <w:autoSpaceDE/>
              <w:autoSpaceDN/>
              <w:jc w:val="center"/>
              <w:rPr>
                <w:sz w:val="20"/>
                <w:szCs w:val="20"/>
              </w:rPr>
            </w:pPr>
            <w:r w:rsidRPr="003B7A14">
              <w:rPr>
                <w:sz w:val="20"/>
                <w:szCs w:val="20"/>
              </w:rPr>
              <w:t>2.577</w:t>
            </w:r>
          </w:p>
        </w:tc>
        <w:tc>
          <w:tcPr>
            <w:tcW w:w="255" w:type="pct"/>
            <w:shd w:val="clear" w:color="auto" w:fill="auto"/>
            <w:noWrap/>
            <w:vAlign w:val="center"/>
            <w:hideMark/>
          </w:tcPr>
          <w:p w14:paraId="6ECF5150" w14:textId="77777777" w:rsidR="009D081E" w:rsidRPr="003B7A14" w:rsidRDefault="009D081E" w:rsidP="009A182B">
            <w:pPr>
              <w:widowControl/>
              <w:autoSpaceDE/>
              <w:autoSpaceDN/>
              <w:jc w:val="center"/>
              <w:rPr>
                <w:sz w:val="20"/>
                <w:szCs w:val="20"/>
              </w:rPr>
            </w:pPr>
            <w:r w:rsidRPr="003B7A14">
              <w:rPr>
                <w:sz w:val="20"/>
                <w:szCs w:val="20"/>
              </w:rPr>
              <w:t>2.482</w:t>
            </w:r>
          </w:p>
        </w:tc>
        <w:tc>
          <w:tcPr>
            <w:tcW w:w="312" w:type="pct"/>
            <w:shd w:val="clear" w:color="auto" w:fill="auto"/>
            <w:noWrap/>
            <w:vAlign w:val="center"/>
            <w:hideMark/>
          </w:tcPr>
          <w:p w14:paraId="226F640C" w14:textId="77777777" w:rsidR="009D081E" w:rsidRPr="003B7A14" w:rsidRDefault="009D081E" w:rsidP="009A182B">
            <w:pPr>
              <w:widowControl/>
              <w:autoSpaceDE/>
              <w:autoSpaceDN/>
              <w:jc w:val="center"/>
              <w:rPr>
                <w:sz w:val="20"/>
                <w:szCs w:val="20"/>
              </w:rPr>
            </w:pPr>
            <w:r w:rsidRPr="003B7A14">
              <w:rPr>
                <w:sz w:val="20"/>
                <w:szCs w:val="20"/>
              </w:rPr>
              <w:t>2.739</w:t>
            </w:r>
          </w:p>
        </w:tc>
        <w:tc>
          <w:tcPr>
            <w:tcW w:w="257" w:type="pct"/>
            <w:shd w:val="clear" w:color="auto" w:fill="auto"/>
            <w:noWrap/>
            <w:vAlign w:val="center"/>
            <w:hideMark/>
          </w:tcPr>
          <w:p w14:paraId="265DEF1C" w14:textId="77777777" w:rsidR="009D081E" w:rsidRPr="003B7A14" w:rsidRDefault="009D081E" w:rsidP="009A182B">
            <w:pPr>
              <w:widowControl/>
              <w:autoSpaceDE/>
              <w:autoSpaceDN/>
              <w:jc w:val="center"/>
              <w:rPr>
                <w:sz w:val="20"/>
                <w:szCs w:val="20"/>
              </w:rPr>
            </w:pPr>
            <w:r w:rsidRPr="003B7A14">
              <w:rPr>
                <w:sz w:val="20"/>
                <w:szCs w:val="20"/>
              </w:rPr>
              <w:t>2.798</w:t>
            </w:r>
          </w:p>
        </w:tc>
        <w:tc>
          <w:tcPr>
            <w:tcW w:w="254" w:type="pct"/>
            <w:shd w:val="clear" w:color="auto" w:fill="auto"/>
            <w:noWrap/>
            <w:vAlign w:val="center"/>
            <w:hideMark/>
          </w:tcPr>
          <w:p w14:paraId="7CAADB56" w14:textId="77777777" w:rsidR="009D081E" w:rsidRPr="003B7A14" w:rsidRDefault="009D081E" w:rsidP="009A182B">
            <w:pPr>
              <w:widowControl/>
              <w:autoSpaceDE/>
              <w:autoSpaceDN/>
              <w:jc w:val="center"/>
              <w:rPr>
                <w:sz w:val="20"/>
                <w:szCs w:val="20"/>
              </w:rPr>
            </w:pPr>
            <w:r w:rsidRPr="003B7A14">
              <w:rPr>
                <w:sz w:val="20"/>
                <w:szCs w:val="20"/>
              </w:rPr>
              <w:t>2.769</w:t>
            </w:r>
          </w:p>
        </w:tc>
        <w:tc>
          <w:tcPr>
            <w:tcW w:w="280" w:type="pct"/>
            <w:shd w:val="clear" w:color="auto" w:fill="auto"/>
            <w:noWrap/>
            <w:vAlign w:val="center"/>
            <w:hideMark/>
          </w:tcPr>
          <w:p w14:paraId="41AD6E19" w14:textId="77777777" w:rsidR="009D081E" w:rsidRPr="003B7A14" w:rsidRDefault="009D081E" w:rsidP="009A182B">
            <w:pPr>
              <w:widowControl/>
              <w:autoSpaceDE/>
              <w:autoSpaceDN/>
              <w:jc w:val="center"/>
              <w:rPr>
                <w:sz w:val="20"/>
                <w:szCs w:val="20"/>
              </w:rPr>
            </w:pPr>
            <w:r w:rsidRPr="003B7A14">
              <w:rPr>
                <w:sz w:val="20"/>
                <w:szCs w:val="20"/>
              </w:rPr>
              <w:t>15.70</w:t>
            </w:r>
          </w:p>
        </w:tc>
        <w:tc>
          <w:tcPr>
            <w:tcW w:w="257" w:type="pct"/>
            <w:shd w:val="clear" w:color="auto" w:fill="auto"/>
            <w:noWrap/>
            <w:vAlign w:val="center"/>
            <w:hideMark/>
          </w:tcPr>
          <w:p w14:paraId="356598AA" w14:textId="77777777" w:rsidR="009D081E" w:rsidRPr="003B7A14" w:rsidRDefault="009D081E" w:rsidP="009A182B">
            <w:pPr>
              <w:widowControl/>
              <w:autoSpaceDE/>
              <w:autoSpaceDN/>
              <w:jc w:val="center"/>
              <w:rPr>
                <w:sz w:val="20"/>
                <w:szCs w:val="20"/>
              </w:rPr>
            </w:pPr>
            <w:r w:rsidRPr="003B7A14">
              <w:rPr>
                <w:sz w:val="20"/>
                <w:szCs w:val="20"/>
              </w:rPr>
              <w:t>13.63</w:t>
            </w:r>
          </w:p>
        </w:tc>
        <w:tc>
          <w:tcPr>
            <w:tcW w:w="255" w:type="pct"/>
            <w:shd w:val="clear" w:color="auto" w:fill="auto"/>
            <w:noWrap/>
            <w:vAlign w:val="center"/>
            <w:hideMark/>
          </w:tcPr>
          <w:p w14:paraId="159E7499" w14:textId="77777777" w:rsidR="009D081E" w:rsidRPr="003B7A14" w:rsidRDefault="009D081E" w:rsidP="009A182B">
            <w:pPr>
              <w:widowControl/>
              <w:autoSpaceDE/>
              <w:autoSpaceDN/>
              <w:jc w:val="center"/>
              <w:rPr>
                <w:sz w:val="20"/>
                <w:szCs w:val="20"/>
              </w:rPr>
            </w:pPr>
            <w:r w:rsidRPr="003B7A14">
              <w:rPr>
                <w:sz w:val="20"/>
                <w:szCs w:val="20"/>
              </w:rPr>
              <w:t>14.66</w:t>
            </w:r>
          </w:p>
        </w:tc>
        <w:tc>
          <w:tcPr>
            <w:tcW w:w="252" w:type="pct"/>
            <w:shd w:val="clear" w:color="auto" w:fill="auto"/>
            <w:noWrap/>
            <w:vAlign w:val="center"/>
            <w:hideMark/>
          </w:tcPr>
          <w:p w14:paraId="7AEBC5F4" w14:textId="77777777" w:rsidR="009D081E" w:rsidRPr="003B7A14" w:rsidRDefault="009D081E" w:rsidP="009A182B">
            <w:pPr>
              <w:widowControl/>
              <w:autoSpaceDE/>
              <w:autoSpaceDN/>
              <w:jc w:val="center"/>
              <w:rPr>
                <w:sz w:val="20"/>
                <w:szCs w:val="20"/>
              </w:rPr>
            </w:pPr>
            <w:r w:rsidRPr="003B7A14">
              <w:rPr>
                <w:sz w:val="20"/>
                <w:szCs w:val="20"/>
              </w:rPr>
              <w:t>3.164</w:t>
            </w:r>
          </w:p>
        </w:tc>
        <w:tc>
          <w:tcPr>
            <w:tcW w:w="252" w:type="pct"/>
            <w:shd w:val="clear" w:color="auto" w:fill="auto"/>
            <w:noWrap/>
            <w:vAlign w:val="center"/>
            <w:hideMark/>
          </w:tcPr>
          <w:p w14:paraId="42162092" w14:textId="77777777" w:rsidR="009D081E" w:rsidRPr="003B7A14" w:rsidRDefault="009D081E" w:rsidP="009A182B">
            <w:pPr>
              <w:widowControl/>
              <w:autoSpaceDE/>
              <w:autoSpaceDN/>
              <w:jc w:val="center"/>
              <w:rPr>
                <w:sz w:val="20"/>
                <w:szCs w:val="20"/>
              </w:rPr>
            </w:pPr>
            <w:r w:rsidRPr="003B7A14">
              <w:rPr>
                <w:sz w:val="20"/>
                <w:szCs w:val="20"/>
              </w:rPr>
              <w:t>3.825</w:t>
            </w:r>
          </w:p>
        </w:tc>
        <w:tc>
          <w:tcPr>
            <w:tcW w:w="252" w:type="pct"/>
            <w:shd w:val="clear" w:color="auto" w:fill="auto"/>
            <w:noWrap/>
            <w:vAlign w:val="center"/>
            <w:hideMark/>
          </w:tcPr>
          <w:p w14:paraId="65EC4F7D" w14:textId="77777777" w:rsidR="009D081E" w:rsidRPr="003B7A14" w:rsidRDefault="009D081E" w:rsidP="009A182B">
            <w:pPr>
              <w:widowControl/>
              <w:autoSpaceDE/>
              <w:autoSpaceDN/>
              <w:jc w:val="center"/>
              <w:rPr>
                <w:sz w:val="20"/>
                <w:szCs w:val="20"/>
              </w:rPr>
            </w:pPr>
            <w:r w:rsidRPr="003B7A14">
              <w:rPr>
                <w:sz w:val="20"/>
                <w:szCs w:val="20"/>
              </w:rPr>
              <w:t>3.495</w:t>
            </w:r>
          </w:p>
        </w:tc>
        <w:tc>
          <w:tcPr>
            <w:tcW w:w="253" w:type="pct"/>
            <w:shd w:val="clear" w:color="auto" w:fill="auto"/>
            <w:noWrap/>
            <w:vAlign w:val="center"/>
            <w:hideMark/>
          </w:tcPr>
          <w:p w14:paraId="35B24F12" w14:textId="77777777" w:rsidR="009D081E" w:rsidRPr="003B7A14" w:rsidRDefault="009D081E" w:rsidP="009A182B">
            <w:pPr>
              <w:widowControl/>
              <w:autoSpaceDE/>
              <w:autoSpaceDN/>
              <w:jc w:val="center"/>
              <w:rPr>
                <w:sz w:val="20"/>
                <w:szCs w:val="20"/>
              </w:rPr>
            </w:pPr>
            <w:r w:rsidRPr="003B7A14">
              <w:rPr>
                <w:sz w:val="20"/>
                <w:szCs w:val="20"/>
              </w:rPr>
              <w:t>35.20</w:t>
            </w:r>
          </w:p>
        </w:tc>
        <w:tc>
          <w:tcPr>
            <w:tcW w:w="253" w:type="pct"/>
            <w:shd w:val="clear" w:color="auto" w:fill="auto"/>
            <w:noWrap/>
            <w:vAlign w:val="center"/>
            <w:hideMark/>
          </w:tcPr>
          <w:p w14:paraId="14902528" w14:textId="77777777" w:rsidR="009D081E" w:rsidRPr="003B7A14" w:rsidRDefault="009D081E" w:rsidP="009A182B">
            <w:pPr>
              <w:widowControl/>
              <w:autoSpaceDE/>
              <w:autoSpaceDN/>
              <w:jc w:val="center"/>
              <w:rPr>
                <w:sz w:val="20"/>
                <w:szCs w:val="20"/>
              </w:rPr>
            </w:pPr>
            <w:r w:rsidRPr="003B7A14">
              <w:rPr>
                <w:sz w:val="20"/>
                <w:szCs w:val="20"/>
              </w:rPr>
              <w:t>36.40</w:t>
            </w:r>
          </w:p>
        </w:tc>
        <w:tc>
          <w:tcPr>
            <w:tcW w:w="254" w:type="pct"/>
            <w:shd w:val="clear" w:color="auto" w:fill="auto"/>
            <w:noWrap/>
            <w:vAlign w:val="center"/>
            <w:hideMark/>
          </w:tcPr>
          <w:p w14:paraId="78EE2B2C" w14:textId="77777777" w:rsidR="009D081E" w:rsidRPr="003B7A14" w:rsidRDefault="009D081E" w:rsidP="009A182B">
            <w:pPr>
              <w:widowControl/>
              <w:autoSpaceDE/>
              <w:autoSpaceDN/>
              <w:jc w:val="center"/>
              <w:rPr>
                <w:sz w:val="20"/>
                <w:szCs w:val="20"/>
              </w:rPr>
            </w:pPr>
            <w:r w:rsidRPr="003B7A14">
              <w:rPr>
                <w:sz w:val="20"/>
                <w:szCs w:val="20"/>
              </w:rPr>
              <w:t>35.80</w:t>
            </w:r>
          </w:p>
        </w:tc>
      </w:tr>
      <w:tr w:rsidR="003B7A14" w:rsidRPr="003B7A14" w14:paraId="1F0A3C2C" w14:textId="77777777" w:rsidTr="009A182B">
        <w:trPr>
          <w:trHeight w:val="425"/>
        </w:trPr>
        <w:tc>
          <w:tcPr>
            <w:tcW w:w="292" w:type="pct"/>
            <w:shd w:val="clear" w:color="auto" w:fill="auto"/>
            <w:noWrap/>
            <w:vAlign w:val="center"/>
            <w:hideMark/>
          </w:tcPr>
          <w:p w14:paraId="351F999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30</w:t>
            </w:r>
          </w:p>
        </w:tc>
        <w:tc>
          <w:tcPr>
            <w:tcW w:w="273" w:type="pct"/>
            <w:shd w:val="clear" w:color="auto" w:fill="auto"/>
            <w:noWrap/>
            <w:vAlign w:val="center"/>
            <w:hideMark/>
          </w:tcPr>
          <w:p w14:paraId="1854809D" w14:textId="77777777" w:rsidR="009D081E" w:rsidRPr="003B7A14" w:rsidRDefault="009D081E" w:rsidP="009A182B">
            <w:pPr>
              <w:widowControl/>
              <w:autoSpaceDE/>
              <w:autoSpaceDN/>
              <w:jc w:val="center"/>
              <w:rPr>
                <w:sz w:val="20"/>
                <w:szCs w:val="20"/>
              </w:rPr>
            </w:pPr>
            <w:r w:rsidRPr="003B7A14">
              <w:rPr>
                <w:sz w:val="20"/>
                <w:szCs w:val="20"/>
              </w:rPr>
              <w:t>0.322</w:t>
            </w:r>
          </w:p>
        </w:tc>
        <w:tc>
          <w:tcPr>
            <w:tcW w:w="255" w:type="pct"/>
            <w:shd w:val="clear" w:color="auto" w:fill="auto"/>
            <w:noWrap/>
            <w:vAlign w:val="center"/>
            <w:hideMark/>
          </w:tcPr>
          <w:p w14:paraId="7CD6CE70" w14:textId="77777777" w:rsidR="009D081E" w:rsidRPr="003B7A14" w:rsidRDefault="009D081E" w:rsidP="009A182B">
            <w:pPr>
              <w:widowControl/>
              <w:autoSpaceDE/>
              <w:autoSpaceDN/>
              <w:jc w:val="center"/>
              <w:rPr>
                <w:sz w:val="20"/>
                <w:szCs w:val="20"/>
              </w:rPr>
            </w:pPr>
            <w:r w:rsidRPr="003B7A14">
              <w:rPr>
                <w:sz w:val="20"/>
                <w:szCs w:val="20"/>
              </w:rPr>
              <w:t>0.215</w:t>
            </w:r>
          </w:p>
        </w:tc>
        <w:tc>
          <w:tcPr>
            <w:tcW w:w="258" w:type="pct"/>
            <w:shd w:val="clear" w:color="auto" w:fill="auto"/>
            <w:noWrap/>
            <w:vAlign w:val="center"/>
            <w:hideMark/>
          </w:tcPr>
          <w:p w14:paraId="57BAA2DC" w14:textId="77777777" w:rsidR="009D081E" w:rsidRPr="003B7A14" w:rsidRDefault="009D081E" w:rsidP="009A182B">
            <w:pPr>
              <w:widowControl/>
              <w:autoSpaceDE/>
              <w:autoSpaceDN/>
              <w:jc w:val="center"/>
              <w:rPr>
                <w:sz w:val="20"/>
                <w:szCs w:val="20"/>
              </w:rPr>
            </w:pPr>
            <w:r w:rsidRPr="003B7A14">
              <w:rPr>
                <w:sz w:val="20"/>
                <w:szCs w:val="20"/>
              </w:rPr>
              <w:t>0.268</w:t>
            </w:r>
          </w:p>
        </w:tc>
        <w:tc>
          <w:tcPr>
            <w:tcW w:w="279" w:type="pct"/>
            <w:shd w:val="clear" w:color="auto" w:fill="auto"/>
            <w:noWrap/>
            <w:vAlign w:val="center"/>
            <w:hideMark/>
          </w:tcPr>
          <w:p w14:paraId="2E06BBA6" w14:textId="77777777" w:rsidR="009D081E" w:rsidRPr="003B7A14" w:rsidRDefault="009D081E" w:rsidP="009A182B">
            <w:pPr>
              <w:widowControl/>
              <w:autoSpaceDE/>
              <w:autoSpaceDN/>
              <w:jc w:val="center"/>
              <w:rPr>
                <w:sz w:val="20"/>
                <w:szCs w:val="20"/>
              </w:rPr>
            </w:pPr>
            <w:r w:rsidRPr="003B7A14">
              <w:rPr>
                <w:sz w:val="20"/>
                <w:szCs w:val="20"/>
              </w:rPr>
              <w:t>2.298</w:t>
            </w:r>
          </w:p>
        </w:tc>
        <w:tc>
          <w:tcPr>
            <w:tcW w:w="257" w:type="pct"/>
            <w:shd w:val="clear" w:color="auto" w:fill="auto"/>
            <w:noWrap/>
            <w:vAlign w:val="center"/>
            <w:hideMark/>
          </w:tcPr>
          <w:p w14:paraId="53598E18" w14:textId="77777777" w:rsidR="009D081E" w:rsidRPr="003B7A14" w:rsidRDefault="009D081E" w:rsidP="009A182B">
            <w:pPr>
              <w:widowControl/>
              <w:autoSpaceDE/>
              <w:autoSpaceDN/>
              <w:jc w:val="center"/>
              <w:rPr>
                <w:sz w:val="20"/>
                <w:szCs w:val="20"/>
              </w:rPr>
            </w:pPr>
            <w:r w:rsidRPr="003B7A14">
              <w:rPr>
                <w:sz w:val="20"/>
                <w:szCs w:val="20"/>
              </w:rPr>
              <w:t>2.751</w:t>
            </w:r>
          </w:p>
        </w:tc>
        <w:tc>
          <w:tcPr>
            <w:tcW w:w="255" w:type="pct"/>
            <w:shd w:val="clear" w:color="auto" w:fill="auto"/>
            <w:noWrap/>
            <w:vAlign w:val="center"/>
            <w:hideMark/>
          </w:tcPr>
          <w:p w14:paraId="2DAD10CD" w14:textId="77777777" w:rsidR="009D081E" w:rsidRPr="003B7A14" w:rsidRDefault="009D081E" w:rsidP="009A182B">
            <w:pPr>
              <w:widowControl/>
              <w:autoSpaceDE/>
              <w:autoSpaceDN/>
              <w:jc w:val="center"/>
              <w:rPr>
                <w:sz w:val="20"/>
                <w:szCs w:val="20"/>
              </w:rPr>
            </w:pPr>
            <w:r w:rsidRPr="003B7A14">
              <w:rPr>
                <w:sz w:val="20"/>
                <w:szCs w:val="20"/>
              </w:rPr>
              <w:t>2.524</w:t>
            </w:r>
          </w:p>
        </w:tc>
        <w:tc>
          <w:tcPr>
            <w:tcW w:w="312" w:type="pct"/>
            <w:shd w:val="clear" w:color="auto" w:fill="auto"/>
            <w:noWrap/>
            <w:vAlign w:val="center"/>
            <w:hideMark/>
          </w:tcPr>
          <w:p w14:paraId="636A5965" w14:textId="77777777" w:rsidR="009D081E" w:rsidRPr="003B7A14" w:rsidRDefault="009D081E" w:rsidP="009A182B">
            <w:pPr>
              <w:widowControl/>
              <w:autoSpaceDE/>
              <w:autoSpaceDN/>
              <w:jc w:val="center"/>
              <w:rPr>
                <w:sz w:val="20"/>
                <w:szCs w:val="20"/>
              </w:rPr>
            </w:pPr>
            <w:r w:rsidRPr="003B7A14">
              <w:rPr>
                <w:sz w:val="20"/>
                <w:szCs w:val="20"/>
              </w:rPr>
              <w:t>2.991</w:t>
            </w:r>
          </w:p>
        </w:tc>
        <w:tc>
          <w:tcPr>
            <w:tcW w:w="257" w:type="pct"/>
            <w:shd w:val="clear" w:color="auto" w:fill="auto"/>
            <w:noWrap/>
            <w:vAlign w:val="center"/>
            <w:hideMark/>
          </w:tcPr>
          <w:p w14:paraId="01F45821" w14:textId="77777777" w:rsidR="009D081E" w:rsidRPr="003B7A14" w:rsidRDefault="009D081E" w:rsidP="009A182B">
            <w:pPr>
              <w:widowControl/>
              <w:autoSpaceDE/>
              <w:autoSpaceDN/>
              <w:jc w:val="center"/>
              <w:rPr>
                <w:sz w:val="20"/>
                <w:szCs w:val="20"/>
              </w:rPr>
            </w:pPr>
            <w:r w:rsidRPr="003B7A14">
              <w:rPr>
                <w:sz w:val="20"/>
                <w:szCs w:val="20"/>
              </w:rPr>
              <w:t>2.933</w:t>
            </w:r>
          </w:p>
        </w:tc>
        <w:tc>
          <w:tcPr>
            <w:tcW w:w="254" w:type="pct"/>
            <w:shd w:val="clear" w:color="auto" w:fill="auto"/>
            <w:noWrap/>
            <w:vAlign w:val="center"/>
            <w:hideMark/>
          </w:tcPr>
          <w:p w14:paraId="15E594B3" w14:textId="77777777" w:rsidR="009D081E" w:rsidRPr="003B7A14" w:rsidRDefault="009D081E" w:rsidP="009A182B">
            <w:pPr>
              <w:widowControl/>
              <w:autoSpaceDE/>
              <w:autoSpaceDN/>
              <w:jc w:val="center"/>
              <w:rPr>
                <w:sz w:val="20"/>
                <w:szCs w:val="20"/>
              </w:rPr>
            </w:pPr>
            <w:r w:rsidRPr="003B7A14">
              <w:rPr>
                <w:sz w:val="20"/>
                <w:szCs w:val="20"/>
              </w:rPr>
              <w:t>2.962</w:t>
            </w:r>
          </w:p>
        </w:tc>
        <w:tc>
          <w:tcPr>
            <w:tcW w:w="280" w:type="pct"/>
            <w:shd w:val="clear" w:color="auto" w:fill="auto"/>
            <w:noWrap/>
            <w:vAlign w:val="center"/>
            <w:hideMark/>
          </w:tcPr>
          <w:p w14:paraId="23865F0A" w14:textId="77777777" w:rsidR="009D081E" w:rsidRPr="003B7A14" w:rsidRDefault="009D081E" w:rsidP="009A182B">
            <w:pPr>
              <w:widowControl/>
              <w:autoSpaceDE/>
              <w:autoSpaceDN/>
              <w:jc w:val="center"/>
              <w:rPr>
                <w:sz w:val="20"/>
                <w:szCs w:val="20"/>
              </w:rPr>
            </w:pPr>
            <w:r w:rsidRPr="003B7A14">
              <w:rPr>
                <w:sz w:val="20"/>
                <w:szCs w:val="20"/>
              </w:rPr>
              <w:t>15.60</w:t>
            </w:r>
          </w:p>
        </w:tc>
        <w:tc>
          <w:tcPr>
            <w:tcW w:w="257" w:type="pct"/>
            <w:shd w:val="clear" w:color="auto" w:fill="auto"/>
            <w:noWrap/>
            <w:vAlign w:val="center"/>
            <w:hideMark/>
          </w:tcPr>
          <w:p w14:paraId="74F8BC1A" w14:textId="77777777" w:rsidR="009D081E" w:rsidRPr="003B7A14" w:rsidRDefault="009D081E" w:rsidP="009A182B">
            <w:pPr>
              <w:widowControl/>
              <w:autoSpaceDE/>
              <w:autoSpaceDN/>
              <w:jc w:val="center"/>
              <w:rPr>
                <w:sz w:val="20"/>
                <w:szCs w:val="20"/>
              </w:rPr>
            </w:pPr>
            <w:r w:rsidRPr="003B7A14">
              <w:rPr>
                <w:sz w:val="20"/>
                <w:szCs w:val="20"/>
              </w:rPr>
              <w:t>12.82</w:t>
            </w:r>
          </w:p>
        </w:tc>
        <w:tc>
          <w:tcPr>
            <w:tcW w:w="255" w:type="pct"/>
            <w:shd w:val="clear" w:color="auto" w:fill="auto"/>
            <w:noWrap/>
            <w:vAlign w:val="center"/>
            <w:hideMark/>
          </w:tcPr>
          <w:p w14:paraId="05551780" w14:textId="77777777" w:rsidR="009D081E" w:rsidRPr="003B7A14" w:rsidRDefault="009D081E" w:rsidP="009A182B">
            <w:pPr>
              <w:widowControl/>
              <w:autoSpaceDE/>
              <w:autoSpaceDN/>
              <w:jc w:val="center"/>
              <w:rPr>
                <w:sz w:val="20"/>
                <w:szCs w:val="20"/>
              </w:rPr>
            </w:pPr>
            <w:r w:rsidRPr="003B7A14">
              <w:rPr>
                <w:sz w:val="20"/>
                <w:szCs w:val="20"/>
              </w:rPr>
              <w:t>14.21</w:t>
            </w:r>
          </w:p>
        </w:tc>
        <w:tc>
          <w:tcPr>
            <w:tcW w:w="252" w:type="pct"/>
            <w:shd w:val="clear" w:color="auto" w:fill="auto"/>
            <w:noWrap/>
            <w:vAlign w:val="center"/>
            <w:hideMark/>
          </w:tcPr>
          <w:p w14:paraId="2C734C43" w14:textId="77777777" w:rsidR="009D081E" w:rsidRPr="003B7A14" w:rsidRDefault="009D081E" w:rsidP="009A182B">
            <w:pPr>
              <w:widowControl/>
              <w:autoSpaceDE/>
              <w:autoSpaceDN/>
              <w:jc w:val="center"/>
              <w:rPr>
                <w:sz w:val="20"/>
                <w:szCs w:val="20"/>
              </w:rPr>
            </w:pPr>
            <w:r w:rsidRPr="003B7A14">
              <w:rPr>
                <w:sz w:val="20"/>
                <w:szCs w:val="20"/>
              </w:rPr>
              <w:t>3.188</w:t>
            </w:r>
          </w:p>
        </w:tc>
        <w:tc>
          <w:tcPr>
            <w:tcW w:w="252" w:type="pct"/>
            <w:shd w:val="clear" w:color="auto" w:fill="auto"/>
            <w:noWrap/>
            <w:vAlign w:val="center"/>
            <w:hideMark/>
          </w:tcPr>
          <w:p w14:paraId="5E417A1C" w14:textId="77777777" w:rsidR="009D081E" w:rsidRPr="003B7A14" w:rsidRDefault="009D081E" w:rsidP="009A182B">
            <w:pPr>
              <w:widowControl/>
              <w:autoSpaceDE/>
              <w:autoSpaceDN/>
              <w:jc w:val="center"/>
              <w:rPr>
                <w:sz w:val="20"/>
                <w:szCs w:val="20"/>
              </w:rPr>
            </w:pPr>
            <w:r w:rsidRPr="003B7A14">
              <w:rPr>
                <w:sz w:val="20"/>
                <w:szCs w:val="20"/>
              </w:rPr>
              <w:t>4.100</w:t>
            </w:r>
          </w:p>
        </w:tc>
        <w:tc>
          <w:tcPr>
            <w:tcW w:w="252" w:type="pct"/>
            <w:shd w:val="clear" w:color="auto" w:fill="auto"/>
            <w:noWrap/>
            <w:vAlign w:val="center"/>
            <w:hideMark/>
          </w:tcPr>
          <w:p w14:paraId="10F660DD" w14:textId="77777777" w:rsidR="009D081E" w:rsidRPr="003B7A14" w:rsidRDefault="009D081E" w:rsidP="009A182B">
            <w:pPr>
              <w:widowControl/>
              <w:autoSpaceDE/>
              <w:autoSpaceDN/>
              <w:jc w:val="center"/>
              <w:rPr>
                <w:sz w:val="20"/>
                <w:szCs w:val="20"/>
              </w:rPr>
            </w:pPr>
            <w:r w:rsidRPr="003B7A14">
              <w:rPr>
                <w:sz w:val="20"/>
                <w:szCs w:val="20"/>
              </w:rPr>
              <w:t>3.644</w:t>
            </w:r>
          </w:p>
        </w:tc>
        <w:tc>
          <w:tcPr>
            <w:tcW w:w="253" w:type="pct"/>
            <w:shd w:val="clear" w:color="auto" w:fill="auto"/>
            <w:noWrap/>
            <w:vAlign w:val="center"/>
            <w:hideMark/>
          </w:tcPr>
          <w:p w14:paraId="56EEA5D9" w14:textId="77777777" w:rsidR="009D081E" w:rsidRPr="003B7A14" w:rsidRDefault="009D081E" w:rsidP="009A182B">
            <w:pPr>
              <w:widowControl/>
              <w:autoSpaceDE/>
              <w:autoSpaceDN/>
              <w:jc w:val="center"/>
              <w:rPr>
                <w:sz w:val="20"/>
                <w:szCs w:val="20"/>
              </w:rPr>
            </w:pPr>
            <w:r w:rsidRPr="003B7A14">
              <w:rPr>
                <w:sz w:val="20"/>
                <w:szCs w:val="20"/>
              </w:rPr>
              <w:t>35.09</w:t>
            </w:r>
          </w:p>
        </w:tc>
        <w:tc>
          <w:tcPr>
            <w:tcW w:w="253" w:type="pct"/>
            <w:shd w:val="clear" w:color="auto" w:fill="auto"/>
            <w:noWrap/>
            <w:vAlign w:val="center"/>
            <w:hideMark/>
          </w:tcPr>
          <w:p w14:paraId="1C5D4C14" w14:textId="77777777" w:rsidR="009D081E" w:rsidRPr="003B7A14" w:rsidRDefault="009D081E" w:rsidP="009A182B">
            <w:pPr>
              <w:widowControl/>
              <w:autoSpaceDE/>
              <w:autoSpaceDN/>
              <w:jc w:val="center"/>
              <w:rPr>
                <w:sz w:val="20"/>
                <w:szCs w:val="20"/>
              </w:rPr>
            </w:pPr>
            <w:r w:rsidRPr="003B7A14">
              <w:rPr>
                <w:sz w:val="20"/>
                <w:szCs w:val="20"/>
              </w:rPr>
              <w:t>36.67</w:t>
            </w:r>
          </w:p>
        </w:tc>
        <w:tc>
          <w:tcPr>
            <w:tcW w:w="254" w:type="pct"/>
            <w:shd w:val="clear" w:color="auto" w:fill="auto"/>
            <w:noWrap/>
            <w:vAlign w:val="center"/>
            <w:hideMark/>
          </w:tcPr>
          <w:p w14:paraId="423C515D" w14:textId="77777777" w:rsidR="009D081E" w:rsidRPr="003B7A14" w:rsidRDefault="009D081E" w:rsidP="009A182B">
            <w:pPr>
              <w:widowControl/>
              <w:autoSpaceDE/>
              <w:autoSpaceDN/>
              <w:jc w:val="center"/>
              <w:rPr>
                <w:sz w:val="20"/>
                <w:szCs w:val="20"/>
              </w:rPr>
            </w:pPr>
            <w:r w:rsidRPr="003B7A14">
              <w:rPr>
                <w:sz w:val="20"/>
                <w:szCs w:val="20"/>
              </w:rPr>
              <w:t>35.88</w:t>
            </w:r>
          </w:p>
        </w:tc>
      </w:tr>
      <w:tr w:rsidR="003B7A14" w:rsidRPr="003B7A14" w14:paraId="5F397C1E" w14:textId="77777777" w:rsidTr="009A182B">
        <w:trPr>
          <w:trHeight w:val="425"/>
        </w:trPr>
        <w:tc>
          <w:tcPr>
            <w:tcW w:w="292" w:type="pct"/>
            <w:shd w:val="clear" w:color="auto" w:fill="auto"/>
            <w:noWrap/>
            <w:vAlign w:val="center"/>
            <w:hideMark/>
          </w:tcPr>
          <w:p w14:paraId="66B3203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45</w:t>
            </w:r>
          </w:p>
        </w:tc>
        <w:tc>
          <w:tcPr>
            <w:tcW w:w="273" w:type="pct"/>
            <w:shd w:val="clear" w:color="auto" w:fill="auto"/>
            <w:noWrap/>
            <w:vAlign w:val="center"/>
            <w:hideMark/>
          </w:tcPr>
          <w:p w14:paraId="00E82C69" w14:textId="77777777" w:rsidR="009D081E" w:rsidRPr="003B7A14" w:rsidRDefault="009D081E" w:rsidP="009A182B">
            <w:pPr>
              <w:widowControl/>
              <w:autoSpaceDE/>
              <w:autoSpaceDN/>
              <w:jc w:val="center"/>
              <w:rPr>
                <w:sz w:val="20"/>
                <w:szCs w:val="20"/>
              </w:rPr>
            </w:pPr>
            <w:r w:rsidRPr="003B7A14">
              <w:rPr>
                <w:sz w:val="20"/>
                <w:szCs w:val="20"/>
              </w:rPr>
              <w:t>0.277</w:t>
            </w:r>
          </w:p>
        </w:tc>
        <w:tc>
          <w:tcPr>
            <w:tcW w:w="255" w:type="pct"/>
            <w:shd w:val="clear" w:color="auto" w:fill="auto"/>
            <w:noWrap/>
            <w:vAlign w:val="center"/>
            <w:hideMark/>
          </w:tcPr>
          <w:p w14:paraId="65FC7BBA" w14:textId="77777777" w:rsidR="009D081E" w:rsidRPr="003B7A14" w:rsidRDefault="009D081E" w:rsidP="009A182B">
            <w:pPr>
              <w:widowControl/>
              <w:autoSpaceDE/>
              <w:autoSpaceDN/>
              <w:jc w:val="center"/>
              <w:rPr>
                <w:sz w:val="20"/>
                <w:szCs w:val="20"/>
              </w:rPr>
            </w:pPr>
            <w:r w:rsidRPr="003B7A14">
              <w:rPr>
                <w:sz w:val="20"/>
                <w:szCs w:val="20"/>
              </w:rPr>
              <w:t>0.180</w:t>
            </w:r>
          </w:p>
        </w:tc>
        <w:tc>
          <w:tcPr>
            <w:tcW w:w="258" w:type="pct"/>
            <w:shd w:val="clear" w:color="auto" w:fill="auto"/>
            <w:noWrap/>
            <w:vAlign w:val="center"/>
            <w:hideMark/>
          </w:tcPr>
          <w:p w14:paraId="222388A2" w14:textId="77777777" w:rsidR="009D081E" w:rsidRPr="003B7A14" w:rsidRDefault="009D081E" w:rsidP="009A182B">
            <w:pPr>
              <w:widowControl/>
              <w:autoSpaceDE/>
              <w:autoSpaceDN/>
              <w:jc w:val="center"/>
              <w:rPr>
                <w:sz w:val="20"/>
                <w:szCs w:val="20"/>
              </w:rPr>
            </w:pPr>
            <w:r w:rsidRPr="003B7A14">
              <w:rPr>
                <w:sz w:val="20"/>
                <w:szCs w:val="20"/>
              </w:rPr>
              <w:t>0.229</w:t>
            </w:r>
          </w:p>
        </w:tc>
        <w:tc>
          <w:tcPr>
            <w:tcW w:w="279" w:type="pct"/>
            <w:shd w:val="clear" w:color="auto" w:fill="auto"/>
            <w:noWrap/>
            <w:vAlign w:val="center"/>
            <w:hideMark/>
          </w:tcPr>
          <w:p w14:paraId="483D69AC" w14:textId="77777777" w:rsidR="009D081E" w:rsidRPr="003B7A14" w:rsidRDefault="009D081E" w:rsidP="009A182B">
            <w:pPr>
              <w:widowControl/>
              <w:autoSpaceDE/>
              <w:autoSpaceDN/>
              <w:jc w:val="center"/>
              <w:rPr>
                <w:sz w:val="20"/>
                <w:szCs w:val="20"/>
              </w:rPr>
            </w:pPr>
            <w:r w:rsidRPr="003B7A14">
              <w:rPr>
                <w:sz w:val="20"/>
                <w:szCs w:val="20"/>
              </w:rPr>
              <w:t>2.234</w:t>
            </w:r>
          </w:p>
        </w:tc>
        <w:tc>
          <w:tcPr>
            <w:tcW w:w="257" w:type="pct"/>
            <w:shd w:val="clear" w:color="auto" w:fill="auto"/>
            <w:noWrap/>
            <w:vAlign w:val="center"/>
            <w:hideMark/>
          </w:tcPr>
          <w:p w14:paraId="770BB583" w14:textId="77777777" w:rsidR="009D081E" w:rsidRPr="003B7A14" w:rsidRDefault="009D081E" w:rsidP="009A182B">
            <w:pPr>
              <w:widowControl/>
              <w:autoSpaceDE/>
              <w:autoSpaceDN/>
              <w:jc w:val="center"/>
              <w:rPr>
                <w:sz w:val="20"/>
                <w:szCs w:val="20"/>
              </w:rPr>
            </w:pPr>
            <w:r w:rsidRPr="003B7A14">
              <w:rPr>
                <w:sz w:val="20"/>
                <w:szCs w:val="20"/>
              </w:rPr>
              <w:t>1.896</w:t>
            </w:r>
          </w:p>
        </w:tc>
        <w:tc>
          <w:tcPr>
            <w:tcW w:w="255" w:type="pct"/>
            <w:shd w:val="clear" w:color="auto" w:fill="auto"/>
            <w:noWrap/>
            <w:vAlign w:val="center"/>
            <w:hideMark/>
          </w:tcPr>
          <w:p w14:paraId="173F4E1D" w14:textId="77777777" w:rsidR="009D081E" w:rsidRPr="003B7A14" w:rsidRDefault="009D081E" w:rsidP="009A182B">
            <w:pPr>
              <w:widowControl/>
              <w:autoSpaceDE/>
              <w:autoSpaceDN/>
              <w:jc w:val="center"/>
              <w:rPr>
                <w:sz w:val="20"/>
                <w:szCs w:val="20"/>
              </w:rPr>
            </w:pPr>
            <w:r w:rsidRPr="003B7A14">
              <w:rPr>
                <w:sz w:val="20"/>
                <w:szCs w:val="20"/>
              </w:rPr>
              <w:t>2.065</w:t>
            </w:r>
          </w:p>
        </w:tc>
        <w:tc>
          <w:tcPr>
            <w:tcW w:w="312" w:type="pct"/>
            <w:shd w:val="clear" w:color="auto" w:fill="auto"/>
            <w:noWrap/>
            <w:vAlign w:val="center"/>
            <w:hideMark/>
          </w:tcPr>
          <w:p w14:paraId="72A47B2F" w14:textId="77777777" w:rsidR="009D081E" w:rsidRPr="003B7A14" w:rsidRDefault="009D081E" w:rsidP="009A182B">
            <w:pPr>
              <w:widowControl/>
              <w:autoSpaceDE/>
              <w:autoSpaceDN/>
              <w:jc w:val="center"/>
              <w:rPr>
                <w:sz w:val="20"/>
                <w:szCs w:val="20"/>
              </w:rPr>
            </w:pPr>
            <w:r w:rsidRPr="003B7A14">
              <w:rPr>
                <w:sz w:val="20"/>
                <w:szCs w:val="20"/>
              </w:rPr>
              <w:t>3.117</w:t>
            </w:r>
          </w:p>
        </w:tc>
        <w:tc>
          <w:tcPr>
            <w:tcW w:w="257" w:type="pct"/>
            <w:shd w:val="clear" w:color="auto" w:fill="auto"/>
            <w:noWrap/>
            <w:vAlign w:val="center"/>
            <w:hideMark/>
          </w:tcPr>
          <w:p w14:paraId="2B16B34F" w14:textId="77777777" w:rsidR="009D081E" w:rsidRPr="003B7A14" w:rsidRDefault="009D081E" w:rsidP="009A182B">
            <w:pPr>
              <w:widowControl/>
              <w:autoSpaceDE/>
              <w:autoSpaceDN/>
              <w:jc w:val="center"/>
              <w:rPr>
                <w:sz w:val="20"/>
                <w:szCs w:val="20"/>
              </w:rPr>
            </w:pPr>
            <w:r w:rsidRPr="003B7A14">
              <w:rPr>
                <w:sz w:val="20"/>
                <w:szCs w:val="20"/>
              </w:rPr>
              <w:t>4.329</w:t>
            </w:r>
          </w:p>
        </w:tc>
        <w:tc>
          <w:tcPr>
            <w:tcW w:w="254" w:type="pct"/>
            <w:shd w:val="clear" w:color="auto" w:fill="auto"/>
            <w:noWrap/>
            <w:vAlign w:val="center"/>
            <w:hideMark/>
          </w:tcPr>
          <w:p w14:paraId="20E9B3A5" w14:textId="77777777" w:rsidR="009D081E" w:rsidRPr="003B7A14" w:rsidRDefault="009D081E" w:rsidP="009A182B">
            <w:pPr>
              <w:widowControl/>
              <w:autoSpaceDE/>
              <w:autoSpaceDN/>
              <w:jc w:val="center"/>
              <w:rPr>
                <w:sz w:val="20"/>
                <w:szCs w:val="20"/>
              </w:rPr>
            </w:pPr>
            <w:r w:rsidRPr="003B7A14">
              <w:rPr>
                <w:sz w:val="20"/>
                <w:szCs w:val="20"/>
              </w:rPr>
              <w:t>3.723</w:t>
            </w:r>
          </w:p>
        </w:tc>
        <w:tc>
          <w:tcPr>
            <w:tcW w:w="280" w:type="pct"/>
            <w:shd w:val="clear" w:color="auto" w:fill="auto"/>
            <w:noWrap/>
            <w:vAlign w:val="center"/>
            <w:hideMark/>
          </w:tcPr>
          <w:p w14:paraId="409D8188" w14:textId="77777777" w:rsidR="009D081E" w:rsidRPr="003B7A14" w:rsidRDefault="009D081E" w:rsidP="009A182B">
            <w:pPr>
              <w:widowControl/>
              <w:autoSpaceDE/>
              <w:autoSpaceDN/>
              <w:jc w:val="center"/>
              <w:rPr>
                <w:sz w:val="20"/>
                <w:szCs w:val="20"/>
              </w:rPr>
            </w:pPr>
            <w:r w:rsidRPr="003B7A14">
              <w:rPr>
                <w:sz w:val="20"/>
                <w:szCs w:val="20"/>
              </w:rPr>
              <w:t>15.49</w:t>
            </w:r>
          </w:p>
        </w:tc>
        <w:tc>
          <w:tcPr>
            <w:tcW w:w="257" w:type="pct"/>
            <w:shd w:val="clear" w:color="auto" w:fill="auto"/>
            <w:noWrap/>
            <w:vAlign w:val="center"/>
            <w:hideMark/>
          </w:tcPr>
          <w:p w14:paraId="757F07E8" w14:textId="77777777" w:rsidR="009D081E" w:rsidRPr="003B7A14" w:rsidRDefault="009D081E" w:rsidP="009A182B">
            <w:pPr>
              <w:widowControl/>
              <w:autoSpaceDE/>
              <w:autoSpaceDN/>
              <w:jc w:val="center"/>
              <w:rPr>
                <w:sz w:val="20"/>
                <w:szCs w:val="20"/>
              </w:rPr>
            </w:pPr>
            <w:r w:rsidRPr="003B7A14">
              <w:rPr>
                <w:sz w:val="20"/>
                <w:szCs w:val="20"/>
              </w:rPr>
              <w:t>9.75</w:t>
            </w:r>
          </w:p>
        </w:tc>
        <w:tc>
          <w:tcPr>
            <w:tcW w:w="255" w:type="pct"/>
            <w:shd w:val="clear" w:color="auto" w:fill="auto"/>
            <w:noWrap/>
            <w:vAlign w:val="center"/>
            <w:hideMark/>
          </w:tcPr>
          <w:p w14:paraId="255F56C1" w14:textId="77777777" w:rsidR="009D081E" w:rsidRPr="003B7A14" w:rsidRDefault="009D081E" w:rsidP="009A182B">
            <w:pPr>
              <w:widowControl/>
              <w:autoSpaceDE/>
              <w:autoSpaceDN/>
              <w:jc w:val="center"/>
              <w:rPr>
                <w:sz w:val="20"/>
                <w:szCs w:val="20"/>
              </w:rPr>
            </w:pPr>
            <w:r w:rsidRPr="003B7A14">
              <w:rPr>
                <w:sz w:val="20"/>
                <w:szCs w:val="20"/>
              </w:rPr>
              <w:t>12.62</w:t>
            </w:r>
          </w:p>
        </w:tc>
        <w:tc>
          <w:tcPr>
            <w:tcW w:w="252" w:type="pct"/>
            <w:shd w:val="clear" w:color="auto" w:fill="auto"/>
            <w:noWrap/>
            <w:vAlign w:val="center"/>
            <w:hideMark/>
          </w:tcPr>
          <w:p w14:paraId="558FED2C" w14:textId="77777777" w:rsidR="009D081E" w:rsidRPr="003B7A14" w:rsidRDefault="009D081E" w:rsidP="009A182B">
            <w:pPr>
              <w:widowControl/>
              <w:autoSpaceDE/>
              <w:autoSpaceDN/>
              <w:jc w:val="center"/>
              <w:rPr>
                <w:sz w:val="20"/>
                <w:szCs w:val="20"/>
              </w:rPr>
            </w:pPr>
            <w:r w:rsidRPr="003B7A14">
              <w:rPr>
                <w:sz w:val="20"/>
                <w:szCs w:val="20"/>
              </w:rPr>
              <w:t>3.235</w:t>
            </w:r>
          </w:p>
        </w:tc>
        <w:tc>
          <w:tcPr>
            <w:tcW w:w="252" w:type="pct"/>
            <w:shd w:val="clear" w:color="auto" w:fill="auto"/>
            <w:noWrap/>
            <w:vAlign w:val="center"/>
            <w:hideMark/>
          </w:tcPr>
          <w:p w14:paraId="0D8AA0A2" w14:textId="77777777" w:rsidR="009D081E" w:rsidRPr="003B7A14" w:rsidRDefault="009D081E" w:rsidP="009A182B">
            <w:pPr>
              <w:widowControl/>
              <w:autoSpaceDE/>
              <w:autoSpaceDN/>
              <w:jc w:val="center"/>
              <w:rPr>
                <w:sz w:val="20"/>
                <w:szCs w:val="20"/>
              </w:rPr>
            </w:pPr>
            <w:r w:rsidRPr="003B7A14">
              <w:rPr>
                <w:sz w:val="20"/>
                <w:szCs w:val="20"/>
              </w:rPr>
              <w:t>2.855</w:t>
            </w:r>
          </w:p>
        </w:tc>
        <w:tc>
          <w:tcPr>
            <w:tcW w:w="252" w:type="pct"/>
            <w:shd w:val="clear" w:color="auto" w:fill="auto"/>
            <w:noWrap/>
            <w:vAlign w:val="center"/>
            <w:hideMark/>
          </w:tcPr>
          <w:p w14:paraId="1A410CB1" w14:textId="77777777" w:rsidR="009D081E" w:rsidRPr="003B7A14" w:rsidRDefault="009D081E" w:rsidP="009A182B">
            <w:pPr>
              <w:widowControl/>
              <w:autoSpaceDE/>
              <w:autoSpaceDN/>
              <w:jc w:val="center"/>
              <w:rPr>
                <w:sz w:val="20"/>
                <w:szCs w:val="20"/>
              </w:rPr>
            </w:pPr>
            <w:r w:rsidRPr="003B7A14">
              <w:rPr>
                <w:sz w:val="20"/>
                <w:szCs w:val="20"/>
              </w:rPr>
              <w:t>3.045</w:t>
            </w:r>
          </w:p>
        </w:tc>
        <w:tc>
          <w:tcPr>
            <w:tcW w:w="253" w:type="pct"/>
            <w:shd w:val="clear" w:color="auto" w:fill="auto"/>
            <w:noWrap/>
            <w:vAlign w:val="center"/>
            <w:hideMark/>
          </w:tcPr>
          <w:p w14:paraId="4C90B1B9" w14:textId="77777777" w:rsidR="009D081E" w:rsidRPr="003B7A14" w:rsidRDefault="009D081E" w:rsidP="009A182B">
            <w:pPr>
              <w:widowControl/>
              <w:autoSpaceDE/>
              <w:autoSpaceDN/>
              <w:jc w:val="center"/>
              <w:rPr>
                <w:sz w:val="20"/>
                <w:szCs w:val="20"/>
              </w:rPr>
            </w:pPr>
            <w:r w:rsidRPr="003B7A14">
              <w:rPr>
                <w:sz w:val="20"/>
                <w:szCs w:val="20"/>
              </w:rPr>
              <w:t>35.15</w:t>
            </w:r>
          </w:p>
        </w:tc>
        <w:tc>
          <w:tcPr>
            <w:tcW w:w="253" w:type="pct"/>
            <w:shd w:val="clear" w:color="auto" w:fill="auto"/>
            <w:noWrap/>
            <w:vAlign w:val="center"/>
            <w:hideMark/>
          </w:tcPr>
          <w:p w14:paraId="65FEF4B9" w14:textId="77777777" w:rsidR="009D081E" w:rsidRPr="003B7A14" w:rsidRDefault="009D081E" w:rsidP="009A182B">
            <w:pPr>
              <w:widowControl/>
              <w:autoSpaceDE/>
              <w:autoSpaceDN/>
              <w:jc w:val="center"/>
              <w:rPr>
                <w:sz w:val="20"/>
                <w:szCs w:val="20"/>
              </w:rPr>
            </w:pPr>
            <w:r w:rsidRPr="003B7A14">
              <w:rPr>
                <w:sz w:val="20"/>
                <w:szCs w:val="20"/>
              </w:rPr>
              <w:t>40.48</w:t>
            </w:r>
          </w:p>
        </w:tc>
        <w:tc>
          <w:tcPr>
            <w:tcW w:w="254" w:type="pct"/>
            <w:shd w:val="clear" w:color="auto" w:fill="auto"/>
            <w:noWrap/>
            <w:vAlign w:val="center"/>
            <w:hideMark/>
          </w:tcPr>
          <w:p w14:paraId="00FF5A57" w14:textId="77777777" w:rsidR="009D081E" w:rsidRPr="003B7A14" w:rsidRDefault="009D081E" w:rsidP="009A182B">
            <w:pPr>
              <w:widowControl/>
              <w:autoSpaceDE/>
              <w:autoSpaceDN/>
              <w:jc w:val="center"/>
              <w:rPr>
                <w:sz w:val="20"/>
                <w:szCs w:val="20"/>
              </w:rPr>
            </w:pPr>
            <w:r w:rsidRPr="003B7A14">
              <w:rPr>
                <w:sz w:val="20"/>
                <w:szCs w:val="20"/>
              </w:rPr>
              <w:t>37.81</w:t>
            </w:r>
          </w:p>
        </w:tc>
      </w:tr>
      <w:tr w:rsidR="003B7A14" w:rsidRPr="003B7A14" w14:paraId="50F4FB90" w14:textId="77777777" w:rsidTr="009A182B">
        <w:trPr>
          <w:trHeight w:val="425"/>
        </w:trPr>
        <w:tc>
          <w:tcPr>
            <w:tcW w:w="292" w:type="pct"/>
            <w:shd w:val="clear" w:color="auto" w:fill="auto"/>
            <w:noWrap/>
            <w:vAlign w:val="center"/>
            <w:hideMark/>
          </w:tcPr>
          <w:p w14:paraId="3B5B73CD"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60</w:t>
            </w:r>
          </w:p>
        </w:tc>
        <w:tc>
          <w:tcPr>
            <w:tcW w:w="273" w:type="pct"/>
            <w:shd w:val="clear" w:color="auto" w:fill="auto"/>
            <w:noWrap/>
            <w:vAlign w:val="center"/>
            <w:hideMark/>
          </w:tcPr>
          <w:p w14:paraId="3E7649CD" w14:textId="77777777" w:rsidR="009D081E" w:rsidRPr="003B7A14" w:rsidRDefault="009D081E" w:rsidP="009A182B">
            <w:pPr>
              <w:widowControl/>
              <w:autoSpaceDE/>
              <w:autoSpaceDN/>
              <w:jc w:val="center"/>
              <w:rPr>
                <w:sz w:val="20"/>
                <w:szCs w:val="20"/>
              </w:rPr>
            </w:pPr>
            <w:r w:rsidRPr="003B7A14">
              <w:rPr>
                <w:sz w:val="20"/>
                <w:szCs w:val="20"/>
              </w:rPr>
              <w:t>0.266</w:t>
            </w:r>
          </w:p>
        </w:tc>
        <w:tc>
          <w:tcPr>
            <w:tcW w:w="255" w:type="pct"/>
            <w:shd w:val="clear" w:color="auto" w:fill="auto"/>
            <w:noWrap/>
            <w:vAlign w:val="center"/>
            <w:hideMark/>
          </w:tcPr>
          <w:p w14:paraId="5AFA1E81" w14:textId="77777777" w:rsidR="009D081E" w:rsidRPr="003B7A14" w:rsidRDefault="009D081E" w:rsidP="009A182B">
            <w:pPr>
              <w:widowControl/>
              <w:autoSpaceDE/>
              <w:autoSpaceDN/>
              <w:jc w:val="center"/>
              <w:rPr>
                <w:sz w:val="20"/>
                <w:szCs w:val="20"/>
              </w:rPr>
            </w:pPr>
            <w:r w:rsidRPr="003B7A14">
              <w:rPr>
                <w:sz w:val="20"/>
                <w:szCs w:val="20"/>
              </w:rPr>
              <w:t>0.175</w:t>
            </w:r>
          </w:p>
        </w:tc>
        <w:tc>
          <w:tcPr>
            <w:tcW w:w="258" w:type="pct"/>
            <w:shd w:val="clear" w:color="auto" w:fill="auto"/>
            <w:noWrap/>
            <w:vAlign w:val="center"/>
            <w:hideMark/>
          </w:tcPr>
          <w:p w14:paraId="48711D52" w14:textId="77777777" w:rsidR="009D081E" w:rsidRPr="003B7A14" w:rsidRDefault="009D081E" w:rsidP="009A182B">
            <w:pPr>
              <w:widowControl/>
              <w:autoSpaceDE/>
              <w:autoSpaceDN/>
              <w:jc w:val="center"/>
              <w:rPr>
                <w:sz w:val="20"/>
                <w:szCs w:val="20"/>
              </w:rPr>
            </w:pPr>
            <w:r w:rsidRPr="003B7A14">
              <w:rPr>
                <w:sz w:val="20"/>
                <w:szCs w:val="20"/>
              </w:rPr>
              <w:t>0.221</w:t>
            </w:r>
          </w:p>
        </w:tc>
        <w:tc>
          <w:tcPr>
            <w:tcW w:w="279" w:type="pct"/>
            <w:shd w:val="clear" w:color="auto" w:fill="auto"/>
            <w:noWrap/>
            <w:vAlign w:val="center"/>
            <w:hideMark/>
          </w:tcPr>
          <w:p w14:paraId="367EA031" w14:textId="77777777" w:rsidR="009D081E" w:rsidRPr="003B7A14" w:rsidRDefault="009D081E" w:rsidP="009A182B">
            <w:pPr>
              <w:widowControl/>
              <w:autoSpaceDE/>
              <w:autoSpaceDN/>
              <w:jc w:val="center"/>
              <w:rPr>
                <w:sz w:val="20"/>
                <w:szCs w:val="20"/>
              </w:rPr>
            </w:pPr>
            <w:r w:rsidRPr="003B7A14">
              <w:rPr>
                <w:sz w:val="20"/>
                <w:szCs w:val="20"/>
              </w:rPr>
              <w:t>1.987</w:t>
            </w:r>
          </w:p>
        </w:tc>
        <w:tc>
          <w:tcPr>
            <w:tcW w:w="257" w:type="pct"/>
            <w:shd w:val="clear" w:color="auto" w:fill="auto"/>
            <w:noWrap/>
            <w:vAlign w:val="center"/>
            <w:hideMark/>
          </w:tcPr>
          <w:p w14:paraId="32D443A1" w14:textId="77777777" w:rsidR="009D081E" w:rsidRPr="003B7A14" w:rsidRDefault="009D081E" w:rsidP="009A182B">
            <w:pPr>
              <w:widowControl/>
              <w:autoSpaceDE/>
              <w:autoSpaceDN/>
              <w:jc w:val="center"/>
              <w:rPr>
                <w:sz w:val="20"/>
                <w:szCs w:val="20"/>
              </w:rPr>
            </w:pPr>
            <w:r w:rsidRPr="003B7A14">
              <w:rPr>
                <w:sz w:val="20"/>
                <w:szCs w:val="20"/>
              </w:rPr>
              <w:t>1.728</w:t>
            </w:r>
          </w:p>
        </w:tc>
        <w:tc>
          <w:tcPr>
            <w:tcW w:w="255" w:type="pct"/>
            <w:shd w:val="clear" w:color="auto" w:fill="auto"/>
            <w:noWrap/>
            <w:vAlign w:val="center"/>
            <w:hideMark/>
          </w:tcPr>
          <w:p w14:paraId="14334A70" w14:textId="77777777" w:rsidR="009D081E" w:rsidRPr="003B7A14" w:rsidRDefault="009D081E" w:rsidP="009A182B">
            <w:pPr>
              <w:widowControl/>
              <w:autoSpaceDE/>
              <w:autoSpaceDN/>
              <w:jc w:val="center"/>
              <w:rPr>
                <w:sz w:val="20"/>
                <w:szCs w:val="20"/>
              </w:rPr>
            </w:pPr>
            <w:r w:rsidRPr="003B7A14">
              <w:rPr>
                <w:sz w:val="20"/>
                <w:szCs w:val="20"/>
              </w:rPr>
              <w:t>1.857</w:t>
            </w:r>
          </w:p>
        </w:tc>
        <w:tc>
          <w:tcPr>
            <w:tcW w:w="312" w:type="pct"/>
            <w:shd w:val="clear" w:color="auto" w:fill="auto"/>
            <w:noWrap/>
            <w:vAlign w:val="center"/>
            <w:hideMark/>
          </w:tcPr>
          <w:p w14:paraId="0EBB6117" w14:textId="77777777" w:rsidR="009D081E" w:rsidRPr="003B7A14" w:rsidRDefault="009D081E" w:rsidP="009A182B">
            <w:pPr>
              <w:widowControl/>
              <w:autoSpaceDE/>
              <w:autoSpaceDN/>
              <w:jc w:val="center"/>
              <w:rPr>
                <w:sz w:val="20"/>
                <w:szCs w:val="20"/>
              </w:rPr>
            </w:pPr>
            <w:r w:rsidRPr="003B7A14">
              <w:rPr>
                <w:sz w:val="20"/>
                <w:szCs w:val="20"/>
              </w:rPr>
              <w:t>3.225</w:t>
            </w:r>
          </w:p>
        </w:tc>
        <w:tc>
          <w:tcPr>
            <w:tcW w:w="257" w:type="pct"/>
            <w:shd w:val="clear" w:color="auto" w:fill="auto"/>
            <w:noWrap/>
            <w:vAlign w:val="center"/>
            <w:hideMark/>
          </w:tcPr>
          <w:p w14:paraId="45885DE3" w14:textId="77777777" w:rsidR="009D081E" w:rsidRPr="003B7A14" w:rsidRDefault="009D081E" w:rsidP="009A182B">
            <w:pPr>
              <w:widowControl/>
              <w:autoSpaceDE/>
              <w:autoSpaceDN/>
              <w:jc w:val="center"/>
              <w:rPr>
                <w:sz w:val="20"/>
                <w:szCs w:val="20"/>
              </w:rPr>
            </w:pPr>
            <w:r w:rsidRPr="003B7A14">
              <w:rPr>
                <w:sz w:val="20"/>
                <w:szCs w:val="20"/>
              </w:rPr>
              <w:t>4.418</w:t>
            </w:r>
          </w:p>
        </w:tc>
        <w:tc>
          <w:tcPr>
            <w:tcW w:w="254" w:type="pct"/>
            <w:shd w:val="clear" w:color="auto" w:fill="auto"/>
            <w:noWrap/>
            <w:vAlign w:val="center"/>
            <w:hideMark/>
          </w:tcPr>
          <w:p w14:paraId="1B869F97" w14:textId="77777777" w:rsidR="009D081E" w:rsidRPr="003B7A14" w:rsidRDefault="009D081E" w:rsidP="009A182B">
            <w:pPr>
              <w:widowControl/>
              <w:autoSpaceDE/>
              <w:autoSpaceDN/>
              <w:jc w:val="center"/>
              <w:rPr>
                <w:sz w:val="20"/>
                <w:szCs w:val="20"/>
              </w:rPr>
            </w:pPr>
            <w:r w:rsidRPr="003B7A14">
              <w:rPr>
                <w:sz w:val="20"/>
                <w:szCs w:val="20"/>
              </w:rPr>
              <w:t>3.822</w:t>
            </w:r>
          </w:p>
        </w:tc>
        <w:tc>
          <w:tcPr>
            <w:tcW w:w="280" w:type="pct"/>
            <w:shd w:val="clear" w:color="auto" w:fill="auto"/>
            <w:noWrap/>
            <w:vAlign w:val="center"/>
            <w:hideMark/>
          </w:tcPr>
          <w:p w14:paraId="16A51A55" w14:textId="77777777" w:rsidR="009D081E" w:rsidRPr="003B7A14" w:rsidRDefault="009D081E" w:rsidP="009A182B">
            <w:pPr>
              <w:widowControl/>
              <w:autoSpaceDE/>
              <w:autoSpaceDN/>
              <w:jc w:val="center"/>
              <w:rPr>
                <w:sz w:val="20"/>
                <w:szCs w:val="20"/>
              </w:rPr>
            </w:pPr>
            <w:r w:rsidRPr="003B7A14">
              <w:rPr>
                <w:sz w:val="20"/>
                <w:szCs w:val="20"/>
              </w:rPr>
              <w:t>15.34</w:t>
            </w:r>
          </w:p>
        </w:tc>
        <w:tc>
          <w:tcPr>
            <w:tcW w:w="257" w:type="pct"/>
            <w:shd w:val="clear" w:color="auto" w:fill="auto"/>
            <w:noWrap/>
            <w:vAlign w:val="center"/>
            <w:hideMark/>
          </w:tcPr>
          <w:p w14:paraId="56EFE460" w14:textId="77777777" w:rsidR="009D081E" w:rsidRPr="003B7A14" w:rsidRDefault="009D081E" w:rsidP="009A182B">
            <w:pPr>
              <w:widowControl/>
              <w:autoSpaceDE/>
              <w:autoSpaceDN/>
              <w:jc w:val="center"/>
              <w:rPr>
                <w:sz w:val="20"/>
                <w:szCs w:val="20"/>
              </w:rPr>
            </w:pPr>
            <w:r w:rsidRPr="003B7A14">
              <w:rPr>
                <w:sz w:val="20"/>
                <w:szCs w:val="20"/>
              </w:rPr>
              <w:t>9.27</w:t>
            </w:r>
          </w:p>
        </w:tc>
        <w:tc>
          <w:tcPr>
            <w:tcW w:w="255" w:type="pct"/>
            <w:shd w:val="clear" w:color="auto" w:fill="auto"/>
            <w:noWrap/>
            <w:vAlign w:val="center"/>
            <w:hideMark/>
          </w:tcPr>
          <w:p w14:paraId="4C192B3D" w14:textId="77777777" w:rsidR="009D081E" w:rsidRPr="003B7A14" w:rsidRDefault="009D081E" w:rsidP="009A182B">
            <w:pPr>
              <w:widowControl/>
              <w:autoSpaceDE/>
              <w:autoSpaceDN/>
              <w:jc w:val="center"/>
              <w:rPr>
                <w:sz w:val="20"/>
                <w:szCs w:val="20"/>
              </w:rPr>
            </w:pPr>
            <w:r w:rsidRPr="003B7A14">
              <w:rPr>
                <w:sz w:val="20"/>
                <w:szCs w:val="20"/>
              </w:rPr>
              <w:t>12.30</w:t>
            </w:r>
          </w:p>
        </w:tc>
        <w:tc>
          <w:tcPr>
            <w:tcW w:w="252" w:type="pct"/>
            <w:shd w:val="clear" w:color="auto" w:fill="auto"/>
            <w:noWrap/>
            <w:vAlign w:val="center"/>
            <w:hideMark/>
          </w:tcPr>
          <w:p w14:paraId="7C9CA05E" w14:textId="77777777" w:rsidR="009D081E" w:rsidRPr="003B7A14" w:rsidRDefault="009D081E" w:rsidP="009A182B">
            <w:pPr>
              <w:widowControl/>
              <w:autoSpaceDE/>
              <w:autoSpaceDN/>
              <w:jc w:val="center"/>
              <w:rPr>
                <w:sz w:val="20"/>
                <w:szCs w:val="20"/>
              </w:rPr>
            </w:pPr>
            <w:r w:rsidRPr="003B7A14">
              <w:rPr>
                <w:sz w:val="20"/>
                <w:szCs w:val="20"/>
              </w:rPr>
              <w:t>3.263</w:t>
            </w:r>
          </w:p>
        </w:tc>
        <w:tc>
          <w:tcPr>
            <w:tcW w:w="252" w:type="pct"/>
            <w:shd w:val="clear" w:color="auto" w:fill="auto"/>
            <w:noWrap/>
            <w:vAlign w:val="center"/>
            <w:hideMark/>
          </w:tcPr>
          <w:p w14:paraId="1FC134DB" w14:textId="77777777" w:rsidR="009D081E" w:rsidRPr="003B7A14" w:rsidRDefault="009D081E" w:rsidP="009A182B">
            <w:pPr>
              <w:widowControl/>
              <w:autoSpaceDE/>
              <w:autoSpaceDN/>
              <w:jc w:val="center"/>
              <w:rPr>
                <w:sz w:val="20"/>
                <w:szCs w:val="20"/>
              </w:rPr>
            </w:pPr>
            <w:r w:rsidRPr="003B7A14">
              <w:rPr>
                <w:sz w:val="20"/>
                <w:szCs w:val="20"/>
              </w:rPr>
              <w:t>2.910</w:t>
            </w:r>
          </w:p>
        </w:tc>
        <w:tc>
          <w:tcPr>
            <w:tcW w:w="252" w:type="pct"/>
            <w:shd w:val="clear" w:color="auto" w:fill="auto"/>
            <w:noWrap/>
            <w:vAlign w:val="center"/>
            <w:hideMark/>
          </w:tcPr>
          <w:p w14:paraId="52156F07" w14:textId="77777777" w:rsidR="009D081E" w:rsidRPr="003B7A14" w:rsidRDefault="009D081E" w:rsidP="009A182B">
            <w:pPr>
              <w:widowControl/>
              <w:autoSpaceDE/>
              <w:autoSpaceDN/>
              <w:jc w:val="center"/>
              <w:rPr>
                <w:sz w:val="20"/>
                <w:szCs w:val="20"/>
              </w:rPr>
            </w:pPr>
            <w:r w:rsidRPr="003B7A14">
              <w:rPr>
                <w:sz w:val="20"/>
                <w:szCs w:val="20"/>
              </w:rPr>
              <w:t>3.087</w:t>
            </w:r>
          </w:p>
        </w:tc>
        <w:tc>
          <w:tcPr>
            <w:tcW w:w="253" w:type="pct"/>
            <w:shd w:val="clear" w:color="auto" w:fill="auto"/>
            <w:noWrap/>
            <w:vAlign w:val="center"/>
            <w:hideMark/>
          </w:tcPr>
          <w:p w14:paraId="1B514599" w14:textId="77777777" w:rsidR="009D081E" w:rsidRPr="003B7A14" w:rsidRDefault="009D081E" w:rsidP="009A182B">
            <w:pPr>
              <w:widowControl/>
              <w:autoSpaceDE/>
              <w:autoSpaceDN/>
              <w:jc w:val="center"/>
              <w:rPr>
                <w:sz w:val="20"/>
                <w:szCs w:val="20"/>
              </w:rPr>
            </w:pPr>
            <w:r w:rsidRPr="003B7A14">
              <w:rPr>
                <w:sz w:val="20"/>
                <w:szCs w:val="20"/>
              </w:rPr>
              <w:t>35.41</w:t>
            </w:r>
          </w:p>
        </w:tc>
        <w:tc>
          <w:tcPr>
            <w:tcW w:w="253" w:type="pct"/>
            <w:shd w:val="clear" w:color="auto" w:fill="auto"/>
            <w:noWrap/>
            <w:vAlign w:val="center"/>
            <w:hideMark/>
          </w:tcPr>
          <w:p w14:paraId="17E7C132" w14:textId="77777777" w:rsidR="009D081E" w:rsidRPr="003B7A14" w:rsidRDefault="009D081E" w:rsidP="009A182B">
            <w:pPr>
              <w:widowControl/>
              <w:autoSpaceDE/>
              <w:autoSpaceDN/>
              <w:jc w:val="center"/>
              <w:rPr>
                <w:sz w:val="20"/>
                <w:szCs w:val="20"/>
              </w:rPr>
            </w:pPr>
            <w:r w:rsidRPr="003B7A14">
              <w:rPr>
                <w:sz w:val="20"/>
                <w:szCs w:val="20"/>
              </w:rPr>
              <w:t>41.01</w:t>
            </w:r>
          </w:p>
        </w:tc>
        <w:tc>
          <w:tcPr>
            <w:tcW w:w="254" w:type="pct"/>
            <w:shd w:val="clear" w:color="auto" w:fill="auto"/>
            <w:noWrap/>
            <w:vAlign w:val="center"/>
            <w:hideMark/>
          </w:tcPr>
          <w:p w14:paraId="30EB6100" w14:textId="77777777" w:rsidR="009D081E" w:rsidRPr="003B7A14" w:rsidRDefault="009D081E" w:rsidP="009A182B">
            <w:pPr>
              <w:widowControl/>
              <w:autoSpaceDE/>
              <w:autoSpaceDN/>
              <w:jc w:val="center"/>
              <w:rPr>
                <w:sz w:val="20"/>
                <w:szCs w:val="20"/>
              </w:rPr>
            </w:pPr>
            <w:r w:rsidRPr="003B7A14">
              <w:rPr>
                <w:sz w:val="20"/>
                <w:szCs w:val="20"/>
              </w:rPr>
              <w:t>38.21</w:t>
            </w:r>
          </w:p>
        </w:tc>
      </w:tr>
      <w:tr w:rsidR="003B7A14" w:rsidRPr="003B7A14" w14:paraId="76FEF882" w14:textId="77777777" w:rsidTr="009A182B">
        <w:trPr>
          <w:trHeight w:val="425"/>
        </w:trPr>
        <w:tc>
          <w:tcPr>
            <w:tcW w:w="292" w:type="pct"/>
            <w:shd w:val="clear" w:color="auto" w:fill="auto"/>
            <w:noWrap/>
            <w:vAlign w:val="center"/>
            <w:hideMark/>
          </w:tcPr>
          <w:p w14:paraId="6163B6D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75</w:t>
            </w:r>
          </w:p>
        </w:tc>
        <w:tc>
          <w:tcPr>
            <w:tcW w:w="273" w:type="pct"/>
            <w:shd w:val="clear" w:color="auto" w:fill="auto"/>
            <w:noWrap/>
            <w:vAlign w:val="center"/>
            <w:hideMark/>
          </w:tcPr>
          <w:p w14:paraId="496AA67B" w14:textId="77777777" w:rsidR="009D081E" w:rsidRPr="003B7A14" w:rsidRDefault="009D081E" w:rsidP="009A182B">
            <w:pPr>
              <w:widowControl/>
              <w:autoSpaceDE/>
              <w:autoSpaceDN/>
              <w:jc w:val="center"/>
              <w:rPr>
                <w:sz w:val="20"/>
                <w:szCs w:val="20"/>
              </w:rPr>
            </w:pPr>
            <w:r w:rsidRPr="003B7A14">
              <w:rPr>
                <w:sz w:val="20"/>
                <w:szCs w:val="20"/>
              </w:rPr>
              <w:t>0.265</w:t>
            </w:r>
          </w:p>
        </w:tc>
        <w:tc>
          <w:tcPr>
            <w:tcW w:w="255" w:type="pct"/>
            <w:shd w:val="clear" w:color="auto" w:fill="auto"/>
            <w:noWrap/>
            <w:vAlign w:val="center"/>
            <w:hideMark/>
          </w:tcPr>
          <w:p w14:paraId="1B819BFF" w14:textId="77777777" w:rsidR="009D081E" w:rsidRPr="003B7A14" w:rsidRDefault="009D081E" w:rsidP="009A182B">
            <w:pPr>
              <w:widowControl/>
              <w:autoSpaceDE/>
              <w:autoSpaceDN/>
              <w:jc w:val="center"/>
              <w:rPr>
                <w:sz w:val="20"/>
                <w:szCs w:val="20"/>
              </w:rPr>
            </w:pPr>
            <w:r w:rsidRPr="003B7A14">
              <w:rPr>
                <w:sz w:val="20"/>
                <w:szCs w:val="20"/>
              </w:rPr>
              <w:t>0.126</w:t>
            </w:r>
          </w:p>
        </w:tc>
        <w:tc>
          <w:tcPr>
            <w:tcW w:w="258" w:type="pct"/>
            <w:shd w:val="clear" w:color="auto" w:fill="auto"/>
            <w:noWrap/>
            <w:vAlign w:val="center"/>
            <w:hideMark/>
          </w:tcPr>
          <w:p w14:paraId="564A3AE9" w14:textId="77777777" w:rsidR="009D081E" w:rsidRPr="003B7A14" w:rsidRDefault="009D081E" w:rsidP="009A182B">
            <w:pPr>
              <w:widowControl/>
              <w:autoSpaceDE/>
              <w:autoSpaceDN/>
              <w:jc w:val="center"/>
              <w:rPr>
                <w:sz w:val="20"/>
                <w:szCs w:val="20"/>
              </w:rPr>
            </w:pPr>
            <w:r w:rsidRPr="003B7A14">
              <w:rPr>
                <w:sz w:val="20"/>
                <w:szCs w:val="20"/>
              </w:rPr>
              <w:t>0.195</w:t>
            </w:r>
          </w:p>
        </w:tc>
        <w:tc>
          <w:tcPr>
            <w:tcW w:w="279" w:type="pct"/>
            <w:shd w:val="clear" w:color="auto" w:fill="auto"/>
            <w:noWrap/>
            <w:vAlign w:val="center"/>
            <w:hideMark/>
          </w:tcPr>
          <w:p w14:paraId="78C2DC1A" w14:textId="77777777" w:rsidR="009D081E" w:rsidRPr="003B7A14" w:rsidRDefault="009D081E" w:rsidP="009A182B">
            <w:pPr>
              <w:widowControl/>
              <w:autoSpaceDE/>
              <w:autoSpaceDN/>
              <w:jc w:val="center"/>
              <w:rPr>
                <w:sz w:val="20"/>
                <w:szCs w:val="20"/>
              </w:rPr>
            </w:pPr>
            <w:r w:rsidRPr="003B7A14">
              <w:rPr>
                <w:sz w:val="20"/>
                <w:szCs w:val="20"/>
              </w:rPr>
              <w:t>1.882</w:t>
            </w:r>
          </w:p>
        </w:tc>
        <w:tc>
          <w:tcPr>
            <w:tcW w:w="257" w:type="pct"/>
            <w:shd w:val="clear" w:color="auto" w:fill="auto"/>
            <w:noWrap/>
            <w:vAlign w:val="center"/>
            <w:hideMark/>
          </w:tcPr>
          <w:p w14:paraId="6682BB04" w14:textId="77777777" w:rsidR="009D081E" w:rsidRPr="003B7A14" w:rsidRDefault="009D081E" w:rsidP="009A182B">
            <w:pPr>
              <w:widowControl/>
              <w:autoSpaceDE/>
              <w:autoSpaceDN/>
              <w:jc w:val="center"/>
              <w:rPr>
                <w:sz w:val="20"/>
                <w:szCs w:val="20"/>
              </w:rPr>
            </w:pPr>
            <w:r w:rsidRPr="003B7A14">
              <w:rPr>
                <w:sz w:val="20"/>
                <w:szCs w:val="20"/>
              </w:rPr>
              <w:t>1.424</w:t>
            </w:r>
          </w:p>
        </w:tc>
        <w:tc>
          <w:tcPr>
            <w:tcW w:w="255" w:type="pct"/>
            <w:shd w:val="clear" w:color="auto" w:fill="auto"/>
            <w:noWrap/>
            <w:vAlign w:val="center"/>
            <w:hideMark/>
          </w:tcPr>
          <w:p w14:paraId="404D861C" w14:textId="77777777" w:rsidR="009D081E" w:rsidRPr="003B7A14" w:rsidRDefault="009D081E" w:rsidP="009A182B">
            <w:pPr>
              <w:widowControl/>
              <w:autoSpaceDE/>
              <w:autoSpaceDN/>
              <w:jc w:val="center"/>
              <w:rPr>
                <w:sz w:val="20"/>
                <w:szCs w:val="20"/>
              </w:rPr>
            </w:pPr>
            <w:r w:rsidRPr="003B7A14">
              <w:rPr>
                <w:sz w:val="20"/>
                <w:szCs w:val="20"/>
              </w:rPr>
              <w:t>1.653</w:t>
            </w:r>
          </w:p>
        </w:tc>
        <w:tc>
          <w:tcPr>
            <w:tcW w:w="312" w:type="pct"/>
            <w:shd w:val="clear" w:color="auto" w:fill="auto"/>
            <w:noWrap/>
            <w:vAlign w:val="center"/>
            <w:hideMark/>
          </w:tcPr>
          <w:p w14:paraId="791EAB19" w14:textId="77777777" w:rsidR="009D081E" w:rsidRPr="003B7A14" w:rsidRDefault="009D081E" w:rsidP="009A182B">
            <w:pPr>
              <w:widowControl/>
              <w:autoSpaceDE/>
              <w:autoSpaceDN/>
              <w:jc w:val="center"/>
              <w:rPr>
                <w:sz w:val="20"/>
                <w:szCs w:val="20"/>
              </w:rPr>
            </w:pPr>
            <w:r w:rsidRPr="003B7A14">
              <w:rPr>
                <w:sz w:val="20"/>
                <w:szCs w:val="20"/>
              </w:rPr>
              <w:t>3.502</w:t>
            </w:r>
          </w:p>
        </w:tc>
        <w:tc>
          <w:tcPr>
            <w:tcW w:w="257" w:type="pct"/>
            <w:shd w:val="clear" w:color="auto" w:fill="auto"/>
            <w:noWrap/>
            <w:vAlign w:val="center"/>
            <w:hideMark/>
          </w:tcPr>
          <w:p w14:paraId="2896D080" w14:textId="77777777" w:rsidR="009D081E" w:rsidRPr="003B7A14" w:rsidRDefault="009D081E" w:rsidP="009A182B">
            <w:pPr>
              <w:widowControl/>
              <w:autoSpaceDE/>
              <w:autoSpaceDN/>
              <w:jc w:val="center"/>
              <w:rPr>
                <w:sz w:val="20"/>
                <w:szCs w:val="20"/>
              </w:rPr>
            </w:pPr>
            <w:r w:rsidRPr="003B7A14">
              <w:rPr>
                <w:sz w:val="20"/>
                <w:szCs w:val="20"/>
              </w:rPr>
              <w:t>5.002</w:t>
            </w:r>
          </w:p>
        </w:tc>
        <w:tc>
          <w:tcPr>
            <w:tcW w:w="254" w:type="pct"/>
            <w:shd w:val="clear" w:color="auto" w:fill="auto"/>
            <w:noWrap/>
            <w:vAlign w:val="center"/>
            <w:hideMark/>
          </w:tcPr>
          <w:p w14:paraId="3CC98010" w14:textId="77777777" w:rsidR="009D081E" w:rsidRPr="003B7A14" w:rsidRDefault="009D081E" w:rsidP="009A182B">
            <w:pPr>
              <w:widowControl/>
              <w:autoSpaceDE/>
              <w:autoSpaceDN/>
              <w:jc w:val="center"/>
              <w:rPr>
                <w:sz w:val="20"/>
                <w:szCs w:val="20"/>
              </w:rPr>
            </w:pPr>
            <w:r w:rsidRPr="003B7A14">
              <w:rPr>
                <w:sz w:val="20"/>
                <w:szCs w:val="20"/>
              </w:rPr>
              <w:t>4.252</w:t>
            </w:r>
          </w:p>
        </w:tc>
        <w:tc>
          <w:tcPr>
            <w:tcW w:w="280" w:type="pct"/>
            <w:shd w:val="clear" w:color="auto" w:fill="auto"/>
            <w:noWrap/>
            <w:vAlign w:val="center"/>
            <w:hideMark/>
          </w:tcPr>
          <w:p w14:paraId="1942BD2E" w14:textId="77777777" w:rsidR="009D081E" w:rsidRPr="003B7A14" w:rsidRDefault="009D081E" w:rsidP="009A182B">
            <w:pPr>
              <w:widowControl/>
              <w:autoSpaceDE/>
              <w:autoSpaceDN/>
              <w:jc w:val="center"/>
              <w:rPr>
                <w:sz w:val="20"/>
                <w:szCs w:val="20"/>
              </w:rPr>
            </w:pPr>
            <w:r w:rsidRPr="003B7A14">
              <w:rPr>
                <w:sz w:val="20"/>
                <w:szCs w:val="20"/>
              </w:rPr>
              <w:t>14.91</w:t>
            </w:r>
          </w:p>
        </w:tc>
        <w:tc>
          <w:tcPr>
            <w:tcW w:w="257" w:type="pct"/>
            <w:shd w:val="clear" w:color="auto" w:fill="auto"/>
            <w:noWrap/>
            <w:vAlign w:val="center"/>
            <w:hideMark/>
          </w:tcPr>
          <w:p w14:paraId="30605F9C" w14:textId="77777777" w:rsidR="009D081E" w:rsidRPr="003B7A14" w:rsidRDefault="009D081E" w:rsidP="009A182B">
            <w:pPr>
              <w:widowControl/>
              <w:autoSpaceDE/>
              <w:autoSpaceDN/>
              <w:jc w:val="center"/>
              <w:rPr>
                <w:sz w:val="20"/>
                <w:szCs w:val="20"/>
              </w:rPr>
            </w:pPr>
            <w:r w:rsidRPr="003B7A14">
              <w:rPr>
                <w:sz w:val="20"/>
                <w:szCs w:val="20"/>
              </w:rPr>
              <w:t>8.88</w:t>
            </w:r>
          </w:p>
        </w:tc>
        <w:tc>
          <w:tcPr>
            <w:tcW w:w="255" w:type="pct"/>
            <w:shd w:val="clear" w:color="auto" w:fill="auto"/>
            <w:noWrap/>
            <w:vAlign w:val="center"/>
            <w:hideMark/>
          </w:tcPr>
          <w:p w14:paraId="7C40AB9A" w14:textId="77777777" w:rsidR="009D081E" w:rsidRPr="003B7A14" w:rsidRDefault="009D081E" w:rsidP="009A182B">
            <w:pPr>
              <w:widowControl/>
              <w:autoSpaceDE/>
              <w:autoSpaceDN/>
              <w:jc w:val="center"/>
              <w:rPr>
                <w:sz w:val="20"/>
                <w:szCs w:val="20"/>
              </w:rPr>
            </w:pPr>
            <w:r w:rsidRPr="003B7A14">
              <w:rPr>
                <w:sz w:val="20"/>
                <w:szCs w:val="20"/>
              </w:rPr>
              <w:t>11.89</w:t>
            </w:r>
          </w:p>
        </w:tc>
        <w:tc>
          <w:tcPr>
            <w:tcW w:w="252" w:type="pct"/>
            <w:shd w:val="clear" w:color="auto" w:fill="auto"/>
            <w:noWrap/>
            <w:vAlign w:val="center"/>
            <w:hideMark/>
          </w:tcPr>
          <w:p w14:paraId="58041B2B" w14:textId="77777777" w:rsidR="009D081E" w:rsidRPr="003B7A14" w:rsidRDefault="009D081E" w:rsidP="009A182B">
            <w:pPr>
              <w:widowControl/>
              <w:autoSpaceDE/>
              <w:autoSpaceDN/>
              <w:jc w:val="center"/>
              <w:rPr>
                <w:sz w:val="20"/>
                <w:szCs w:val="20"/>
              </w:rPr>
            </w:pPr>
            <w:r w:rsidRPr="003B7A14">
              <w:rPr>
                <w:sz w:val="20"/>
                <w:szCs w:val="20"/>
              </w:rPr>
              <w:t>3.316</w:t>
            </w:r>
          </w:p>
        </w:tc>
        <w:tc>
          <w:tcPr>
            <w:tcW w:w="252" w:type="pct"/>
            <w:shd w:val="clear" w:color="auto" w:fill="auto"/>
            <w:noWrap/>
            <w:vAlign w:val="center"/>
            <w:hideMark/>
          </w:tcPr>
          <w:p w14:paraId="309333F0" w14:textId="77777777" w:rsidR="009D081E" w:rsidRPr="003B7A14" w:rsidRDefault="009D081E" w:rsidP="009A182B">
            <w:pPr>
              <w:widowControl/>
              <w:autoSpaceDE/>
              <w:autoSpaceDN/>
              <w:jc w:val="center"/>
              <w:rPr>
                <w:sz w:val="20"/>
                <w:szCs w:val="20"/>
              </w:rPr>
            </w:pPr>
            <w:r w:rsidRPr="003B7A14">
              <w:rPr>
                <w:sz w:val="20"/>
                <w:szCs w:val="20"/>
              </w:rPr>
              <w:t>2.240</w:t>
            </w:r>
          </w:p>
        </w:tc>
        <w:tc>
          <w:tcPr>
            <w:tcW w:w="252" w:type="pct"/>
            <w:shd w:val="clear" w:color="auto" w:fill="auto"/>
            <w:noWrap/>
            <w:vAlign w:val="center"/>
            <w:hideMark/>
          </w:tcPr>
          <w:p w14:paraId="1A3C4692" w14:textId="77777777" w:rsidR="009D081E" w:rsidRPr="003B7A14" w:rsidRDefault="009D081E" w:rsidP="009A182B">
            <w:pPr>
              <w:widowControl/>
              <w:autoSpaceDE/>
              <w:autoSpaceDN/>
              <w:jc w:val="center"/>
              <w:rPr>
                <w:sz w:val="20"/>
                <w:szCs w:val="20"/>
              </w:rPr>
            </w:pPr>
            <w:r w:rsidRPr="003B7A14">
              <w:rPr>
                <w:sz w:val="20"/>
                <w:szCs w:val="20"/>
              </w:rPr>
              <w:t>2.778</w:t>
            </w:r>
          </w:p>
        </w:tc>
        <w:tc>
          <w:tcPr>
            <w:tcW w:w="253" w:type="pct"/>
            <w:shd w:val="clear" w:color="auto" w:fill="auto"/>
            <w:noWrap/>
            <w:vAlign w:val="center"/>
            <w:hideMark/>
          </w:tcPr>
          <w:p w14:paraId="156C145A" w14:textId="77777777" w:rsidR="009D081E" w:rsidRPr="003B7A14" w:rsidRDefault="009D081E" w:rsidP="009A182B">
            <w:pPr>
              <w:widowControl/>
              <w:autoSpaceDE/>
              <w:autoSpaceDN/>
              <w:jc w:val="center"/>
              <w:rPr>
                <w:sz w:val="20"/>
                <w:szCs w:val="20"/>
              </w:rPr>
            </w:pPr>
            <w:r w:rsidRPr="003B7A14">
              <w:rPr>
                <w:sz w:val="20"/>
                <w:szCs w:val="20"/>
              </w:rPr>
              <w:t>35.63</w:t>
            </w:r>
          </w:p>
        </w:tc>
        <w:tc>
          <w:tcPr>
            <w:tcW w:w="253" w:type="pct"/>
            <w:shd w:val="clear" w:color="auto" w:fill="auto"/>
            <w:noWrap/>
            <w:vAlign w:val="center"/>
            <w:hideMark/>
          </w:tcPr>
          <w:p w14:paraId="6E5574D8" w14:textId="77777777" w:rsidR="009D081E" w:rsidRPr="003B7A14" w:rsidRDefault="009D081E" w:rsidP="009A182B">
            <w:pPr>
              <w:widowControl/>
              <w:autoSpaceDE/>
              <w:autoSpaceDN/>
              <w:jc w:val="center"/>
              <w:rPr>
                <w:sz w:val="20"/>
                <w:szCs w:val="20"/>
              </w:rPr>
            </w:pPr>
            <w:r w:rsidRPr="003B7A14">
              <w:rPr>
                <w:sz w:val="20"/>
                <w:szCs w:val="20"/>
              </w:rPr>
              <w:t>41.83</w:t>
            </w:r>
          </w:p>
        </w:tc>
        <w:tc>
          <w:tcPr>
            <w:tcW w:w="254" w:type="pct"/>
            <w:shd w:val="clear" w:color="auto" w:fill="auto"/>
            <w:noWrap/>
            <w:vAlign w:val="center"/>
            <w:hideMark/>
          </w:tcPr>
          <w:p w14:paraId="5F706C7E" w14:textId="77777777" w:rsidR="009D081E" w:rsidRPr="003B7A14" w:rsidRDefault="009D081E" w:rsidP="009A182B">
            <w:pPr>
              <w:widowControl/>
              <w:autoSpaceDE/>
              <w:autoSpaceDN/>
              <w:jc w:val="center"/>
              <w:rPr>
                <w:sz w:val="20"/>
                <w:szCs w:val="20"/>
              </w:rPr>
            </w:pPr>
            <w:r w:rsidRPr="003B7A14">
              <w:rPr>
                <w:sz w:val="20"/>
                <w:szCs w:val="20"/>
              </w:rPr>
              <w:t>38.73</w:t>
            </w:r>
          </w:p>
        </w:tc>
      </w:tr>
      <w:tr w:rsidR="003B7A14" w:rsidRPr="003B7A14" w14:paraId="5245BC92" w14:textId="77777777" w:rsidTr="009A182B">
        <w:trPr>
          <w:trHeight w:val="425"/>
        </w:trPr>
        <w:tc>
          <w:tcPr>
            <w:tcW w:w="292" w:type="pct"/>
            <w:shd w:val="clear" w:color="auto" w:fill="auto"/>
            <w:noWrap/>
            <w:vAlign w:val="center"/>
            <w:hideMark/>
          </w:tcPr>
          <w:p w14:paraId="2E90922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90</w:t>
            </w:r>
          </w:p>
        </w:tc>
        <w:tc>
          <w:tcPr>
            <w:tcW w:w="273" w:type="pct"/>
            <w:shd w:val="clear" w:color="auto" w:fill="auto"/>
            <w:noWrap/>
            <w:vAlign w:val="center"/>
            <w:hideMark/>
          </w:tcPr>
          <w:p w14:paraId="7B43D6FA" w14:textId="77777777" w:rsidR="009D081E" w:rsidRPr="003B7A14" w:rsidRDefault="009D081E" w:rsidP="009A182B">
            <w:pPr>
              <w:widowControl/>
              <w:autoSpaceDE/>
              <w:autoSpaceDN/>
              <w:jc w:val="center"/>
              <w:rPr>
                <w:sz w:val="20"/>
                <w:szCs w:val="20"/>
              </w:rPr>
            </w:pPr>
            <w:r w:rsidRPr="003B7A14">
              <w:rPr>
                <w:sz w:val="20"/>
                <w:szCs w:val="20"/>
              </w:rPr>
              <w:t>0.264</w:t>
            </w:r>
          </w:p>
        </w:tc>
        <w:tc>
          <w:tcPr>
            <w:tcW w:w="255" w:type="pct"/>
            <w:shd w:val="clear" w:color="auto" w:fill="auto"/>
            <w:noWrap/>
            <w:vAlign w:val="center"/>
            <w:hideMark/>
          </w:tcPr>
          <w:p w14:paraId="749B3BD7" w14:textId="77777777" w:rsidR="009D081E" w:rsidRPr="003B7A14" w:rsidRDefault="009D081E" w:rsidP="009A182B">
            <w:pPr>
              <w:widowControl/>
              <w:autoSpaceDE/>
              <w:autoSpaceDN/>
              <w:jc w:val="center"/>
              <w:rPr>
                <w:sz w:val="20"/>
                <w:szCs w:val="20"/>
              </w:rPr>
            </w:pPr>
            <w:r w:rsidRPr="003B7A14">
              <w:rPr>
                <w:sz w:val="20"/>
                <w:szCs w:val="20"/>
              </w:rPr>
              <w:t>0.120</w:t>
            </w:r>
          </w:p>
        </w:tc>
        <w:tc>
          <w:tcPr>
            <w:tcW w:w="258" w:type="pct"/>
            <w:shd w:val="clear" w:color="auto" w:fill="auto"/>
            <w:noWrap/>
            <w:vAlign w:val="center"/>
            <w:hideMark/>
          </w:tcPr>
          <w:p w14:paraId="02538D3D" w14:textId="77777777" w:rsidR="009D081E" w:rsidRPr="003B7A14" w:rsidRDefault="009D081E" w:rsidP="009A182B">
            <w:pPr>
              <w:widowControl/>
              <w:autoSpaceDE/>
              <w:autoSpaceDN/>
              <w:jc w:val="center"/>
              <w:rPr>
                <w:sz w:val="20"/>
                <w:szCs w:val="20"/>
              </w:rPr>
            </w:pPr>
            <w:r w:rsidRPr="003B7A14">
              <w:rPr>
                <w:sz w:val="20"/>
                <w:szCs w:val="20"/>
              </w:rPr>
              <w:t>0.192</w:t>
            </w:r>
          </w:p>
        </w:tc>
        <w:tc>
          <w:tcPr>
            <w:tcW w:w="279" w:type="pct"/>
            <w:shd w:val="clear" w:color="auto" w:fill="auto"/>
            <w:noWrap/>
            <w:vAlign w:val="center"/>
            <w:hideMark/>
          </w:tcPr>
          <w:p w14:paraId="5A5E0073" w14:textId="77777777" w:rsidR="009D081E" w:rsidRPr="003B7A14" w:rsidRDefault="009D081E" w:rsidP="009A182B">
            <w:pPr>
              <w:widowControl/>
              <w:autoSpaceDE/>
              <w:autoSpaceDN/>
              <w:jc w:val="center"/>
              <w:rPr>
                <w:sz w:val="20"/>
                <w:szCs w:val="20"/>
              </w:rPr>
            </w:pPr>
            <w:r w:rsidRPr="003B7A14">
              <w:rPr>
                <w:sz w:val="20"/>
                <w:szCs w:val="20"/>
              </w:rPr>
              <w:t>1.853</w:t>
            </w:r>
          </w:p>
        </w:tc>
        <w:tc>
          <w:tcPr>
            <w:tcW w:w="257" w:type="pct"/>
            <w:shd w:val="clear" w:color="auto" w:fill="auto"/>
            <w:noWrap/>
            <w:vAlign w:val="center"/>
            <w:hideMark/>
          </w:tcPr>
          <w:p w14:paraId="63442AD2" w14:textId="77777777" w:rsidR="009D081E" w:rsidRPr="003B7A14" w:rsidRDefault="009D081E" w:rsidP="009A182B">
            <w:pPr>
              <w:widowControl/>
              <w:autoSpaceDE/>
              <w:autoSpaceDN/>
              <w:jc w:val="center"/>
              <w:rPr>
                <w:sz w:val="20"/>
                <w:szCs w:val="20"/>
              </w:rPr>
            </w:pPr>
            <w:r w:rsidRPr="003B7A14">
              <w:rPr>
                <w:sz w:val="20"/>
                <w:szCs w:val="20"/>
              </w:rPr>
              <w:t>1.326</w:t>
            </w:r>
          </w:p>
        </w:tc>
        <w:tc>
          <w:tcPr>
            <w:tcW w:w="255" w:type="pct"/>
            <w:shd w:val="clear" w:color="auto" w:fill="auto"/>
            <w:noWrap/>
            <w:vAlign w:val="center"/>
            <w:hideMark/>
          </w:tcPr>
          <w:p w14:paraId="492BB279" w14:textId="77777777" w:rsidR="009D081E" w:rsidRPr="003B7A14" w:rsidRDefault="009D081E" w:rsidP="009A182B">
            <w:pPr>
              <w:widowControl/>
              <w:autoSpaceDE/>
              <w:autoSpaceDN/>
              <w:jc w:val="center"/>
              <w:rPr>
                <w:sz w:val="20"/>
                <w:szCs w:val="20"/>
              </w:rPr>
            </w:pPr>
            <w:r w:rsidRPr="003B7A14">
              <w:rPr>
                <w:sz w:val="20"/>
                <w:szCs w:val="20"/>
              </w:rPr>
              <w:t>1.590</w:t>
            </w:r>
          </w:p>
        </w:tc>
        <w:tc>
          <w:tcPr>
            <w:tcW w:w="312" w:type="pct"/>
            <w:shd w:val="clear" w:color="auto" w:fill="auto"/>
            <w:noWrap/>
            <w:vAlign w:val="center"/>
            <w:hideMark/>
          </w:tcPr>
          <w:p w14:paraId="2C6AB349" w14:textId="77777777" w:rsidR="009D081E" w:rsidRPr="003B7A14" w:rsidRDefault="009D081E" w:rsidP="009A182B">
            <w:pPr>
              <w:widowControl/>
              <w:autoSpaceDE/>
              <w:autoSpaceDN/>
              <w:jc w:val="center"/>
              <w:rPr>
                <w:sz w:val="20"/>
                <w:szCs w:val="20"/>
              </w:rPr>
            </w:pPr>
            <w:r w:rsidRPr="003B7A14">
              <w:rPr>
                <w:sz w:val="20"/>
                <w:szCs w:val="20"/>
              </w:rPr>
              <w:t>3.673</w:t>
            </w:r>
          </w:p>
        </w:tc>
        <w:tc>
          <w:tcPr>
            <w:tcW w:w="257" w:type="pct"/>
            <w:shd w:val="clear" w:color="auto" w:fill="auto"/>
            <w:noWrap/>
            <w:vAlign w:val="center"/>
            <w:hideMark/>
          </w:tcPr>
          <w:p w14:paraId="146CBD81" w14:textId="77777777" w:rsidR="009D081E" w:rsidRPr="003B7A14" w:rsidRDefault="009D081E" w:rsidP="009A182B">
            <w:pPr>
              <w:widowControl/>
              <w:autoSpaceDE/>
              <w:autoSpaceDN/>
              <w:jc w:val="center"/>
              <w:rPr>
                <w:sz w:val="20"/>
                <w:szCs w:val="20"/>
              </w:rPr>
            </w:pPr>
            <w:r w:rsidRPr="003B7A14">
              <w:rPr>
                <w:sz w:val="20"/>
                <w:szCs w:val="20"/>
              </w:rPr>
              <w:t>5.247</w:t>
            </w:r>
          </w:p>
        </w:tc>
        <w:tc>
          <w:tcPr>
            <w:tcW w:w="254" w:type="pct"/>
            <w:shd w:val="clear" w:color="auto" w:fill="auto"/>
            <w:noWrap/>
            <w:vAlign w:val="center"/>
            <w:hideMark/>
          </w:tcPr>
          <w:p w14:paraId="2AAECA5E" w14:textId="77777777" w:rsidR="009D081E" w:rsidRPr="003B7A14" w:rsidRDefault="009D081E" w:rsidP="009A182B">
            <w:pPr>
              <w:widowControl/>
              <w:autoSpaceDE/>
              <w:autoSpaceDN/>
              <w:jc w:val="center"/>
              <w:rPr>
                <w:sz w:val="20"/>
                <w:szCs w:val="20"/>
              </w:rPr>
            </w:pPr>
            <w:r w:rsidRPr="003B7A14">
              <w:rPr>
                <w:sz w:val="20"/>
                <w:szCs w:val="20"/>
              </w:rPr>
              <w:t>4.460</w:t>
            </w:r>
          </w:p>
        </w:tc>
        <w:tc>
          <w:tcPr>
            <w:tcW w:w="280" w:type="pct"/>
            <w:shd w:val="clear" w:color="auto" w:fill="auto"/>
            <w:noWrap/>
            <w:vAlign w:val="center"/>
            <w:hideMark/>
          </w:tcPr>
          <w:p w14:paraId="0E963D16" w14:textId="77777777" w:rsidR="009D081E" w:rsidRPr="003B7A14" w:rsidRDefault="009D081E" w:rsidP="009A182B">
            <w:pPr>
              <w:widowControl/>
              <w:autoSpaceDE/>
              <w:autoSpaceDN/>
              <w:jc w:val="center"/>
              <w:rPr>
                <w:sz w:val="20"/>
                <w:szCs w:val="20"/>
              </w:rPr>
            </w:pPr>
            <w:r w:rsidRPr="003B7A14">
              <w:rPr>
                <w:sz w:val="20"/>
                <w:szCs w:val="20"/>
              </w:rPr>
              <w:t>14.21</w:t>
            </w:r>
          </w:p>
        </w:tc>
        <w:tc>
          <w:tcPr>
            <w:tcW w:w="257" w:type="pct"/>
            <w:shd w:val="clear" w:color="auto" w:fill="auto"/>
            <w:noWrap/>
            <w:vAlign w:val="center"/>
            <w:hideMark/>
          </w:tcPr>
          <w:p w14:paraId="34B22CAA" w14:textId="77777777" w:rsidR="009D081E" w:rsidRPr="003B7A14" w:rsidRDefault="009D081E" w:rsidP="009A182B">
            <w:pPr>
              <w:widowControl/>
              <w:autoSpaceDE/>
              <w:autoSpaceDN/>
              <w:jc w:val="center"/>
              <w:rPr>
                <w:sz w:val="20"/>
                <w:szCs w:val="20"/>
              </w:rPr>
            </w:pPr>
            <w:r w:rsidRPr="003B7A14">
              <w:rPr>
                <w:sz w:val="20"/>
                <w:szCs w:val="20"/>
              </w:rPr>
              <w:t>8.68</w:t>
            </w:r>
          </w:p>
        </w:tc>
        <w:tc>
          <w:tcPr>
            <w:tcW w:w="255" w:type="pct"/>
            <w:shd w:val="clear" w:color="auto" w:fill="auto"/>
            <w:noWrap/>
            <w:vAlign w:val="center"/>
            <w:hideMark/>
          </w:tcPr>
          <w:p w14:paraId="32684E06" w14:textId="77777777" w:rsidR="009D081E" w:rsidRPr="003B7A14" w:rsidRDefault="009D081E" w:rsidP="009A182B">
            <w:pPr>
              <w:widowControl/>
              <w:autoSpaceDE/>
              <w:autoSpaceDN/>
              <w:jc w:val="center"/>
              <w:rPr>
                <w:sz w:val="20"/>
                <w:szCs w:val="20"/>
              </w:rPr>
            </w:pPr>
            <w:r w:rsidRPr="003B7A14">
              <w:rPr>
                <w:sz w:val="20"/>
                <w:szCs w:val="20"/>
              </w:rPr>
              <w:t>11.44</w:t>
            </w:r>
          </w:p>
        </w:tc>
        <w:tc>
          <w:tcPr>
            <w:tcW w:w="252" w:type="pct"/>
            <w:shd w:val="clear" w:color="auto" w:fill="auto"/>
            <w:noWrap/>
            <w:vAlign w:val="center"/>
            <w:hideMark/>
          </w:tcPr>
          <w:p w14:paraId="668614F8" w14:textId="77777777" w:rsidR="009D081E" w:rsidRPr="003B7A14" w:rsidRDefault="009D081E" w:rsidP="009A182B">
            <w:pPr>
              <w:widowControl/>
              <w:autoSpaceDE/>
              <w:autoSpaceDN/>
              <w:jc w:val="center"/>
              <w:rPr>
                <w:sz w:val="20"/>
                <w:szCs w:val="20"/>
              </w:rPr>
            </w:pPr>
            <w:r w:rsidRPr="003B7A14">
              <w:rPr>
                <w:sz w:val="20"/>
                <w:szCs w:val="20"/>
              </w:rPr>
              <w:t>3.412</w:t>
            </w:r>
          </w:p>
        </w:tc>
        <w:tc>
          <w:tcPr>
            <w:tcW w:w="252" w:type="pct"/>
            <w:shd w:val="clear" w:color="auto" w:fill="auto"/>
            <w:noWrap/>
            <w:vAlign w:val="center"/>
            <w:hideMark/>
          </w:tcPr>
          <w:p w14:paraId="40DF514D" w14:textId="77777777" w:rsidR="009D081E" w:rsidRPr="003B7A14" w:rsidRDefault="009D081E" w:rsidP="009A182B">
            <w:pPr>
              <w:widowControl/>
              <w:autoSpaceDE/>
              <w:autoSpaceDN/>
              <w:jc w:val="center"/>
              <w:rPr>
                <w:sz w:val="20"/>
                <w:szCs w:val="20"/>
              </w:rPr>
            </w:pPr>
            <w:r w:rsidRPr="003B7A14">
              <w:rPr>
                <w:sz w:val="20"/>
                <w:szCs w:val="20"/>
              </w:rPr>
              <w:t>2.160</w:t>
            </w:r>
          </w:p>
        </w:tc>
        <w:tc>
          <w:tcPr>
            <w:tcW w:w="252" w:type="pct"/>
            <w:shd w:val="clear" w:color="auto" w:fill="auto"/>
            <w:noWrap/>
            <w:vAlign w:val="center"/>
            <w:hideMark/>
          </w:tcPr>
          <w:p w14:paraId="523EBD54" w14:textId="77777777" w:rsidR="009D081E" w:rsidRPr="003B7A14" w:rsidRDefault="009D081E" w:rsidP="009A182B">
            <w:pPr>
              <w:widowControl/>
              <w:autoSpaceDE/>
              <w:autoSpaceDN/>
              <w:jc w:val="center"/>
              <w:rPr>
                <w:sz w:val="20"/>
                <w:szCs w:val="20"/>
              </w:rPr>
            </w:pPr>
            <w:r w:rsidRPr="003B7A14">
              <w:rPr>
                <w:sz w:val="20"/>
                <w:szCs w:val="20"/>
              </w:rPr>
              <w:t>2.786</w:t>
            </w:r>
          </w:p>
        </w:tc>
        <w:tc>
          <w:tcPr>
            <w:tcW w:w="253" w:type="pct"/>
            <w:shd w:val="clear" w:color="auto" w:fill="auto"/>
            <w:noWrap/>
            <w:vAlign w:val="center"/>
            <w:hideMark/>
          </w:tcPr>
          <w:p w14:paraId="4BF22EDC" w14:textId="77777777" w:rsidR="009D081E" w:rsidRPr="003B7A14" w:rsidRDefault="009D081E" w:rsidP="009A182B">
            <w:pPr>
              <w:widowControl/>
              <w:autoSpaceDE/>
              <w:autoSpaceDN/>
              <w:jc w:val="center"/>
              <w:rPr>
                <w:sz w:val="20"/>
                <w:szCs w:val="20"/>
              </w:rPr>
            </w:pPr>
            <w:r w:rsidRPr="003B7A14">
              <w:rPr>
                <w:sz w:val="20"/>
                <w:szCs w:val="20"/>
              </w:rPr>
              <w:t>36.10</w:t>
            </w:r>
          </w:p>
        </w:tc>
        <w:tc>
          <w:tcPr>
            <w:tcW w:w="253" w:type="pct"/>
            <w:shd w:val="clear" w:color="auto" w:fill="auto"/>
            <w:noWrap/>
            <w:vAlign w:val="center"/>
            <w:hideMark/>
          </w:tcPr>
          <w:p w14:paraId="24FC849E" w14:textId="77777777" w:rsidR="009D081E" w:rsidRPr="003B7A14" w:rsidRDefault="009D081E" w:rsidP="009A182B">
            <w:pPr>
              <w:widowControl/>
              <w:autoSpaceDE/>
              <w:autoSpaceDN/>
              <w:jc w:val="center"/>
              <w:rPr>
                <w:sz w:val="20"/>
                <w:szCs w:val="20"/>
              </w:rPr>
            </w:pPr>
            <w:r w:rsidRPr="003B7A14">
              <w:rPr>
                <w:sz w:val="20"/>
                <w:szCs w:val="20"/>
              </w:rPr>
              <w:t>41.97</w:t>
            </w:r>
          </w:p>
        </w:tc>
        <w:tc>
          <w:tcPr>
            <w:tcW w:w="254" w:type="pct"/>
            <w:shd w:val="clear" w:color="auto" w:fill="auto"/>
            <w:noWrap/>
            <w:vAlign w:val="center"/>
            <w:hideMark/>
          </w:tcPr>
          <w:p w14:paraId="06785AF2" w14:textId="77777777" w:rsidR="009D081E" w:rsidRPr="003B7A14" w:rsidRDefault="009D081E" w:rsidP="009A182B">
            <w:pPr>
              <w:widowControl/>
              <w:autoSpaceDE/>
              <w:autoSpaceDN/>
              <w:jc w:val="center"/>
              <w:rPr>
                <w:sz w:val="20"/>
                <w:szCs w:val="20"/>
              </w:rPr>
            </w:pPr>
            <w:r w:rsidRPr="003B7A14">
              <w:rPr>
                <w:sz w:val="20"/>
                <w:szCs w:val="20"/>
              </w:rPr>
              <w:t>39.03</w:t>
            </w:r>
          </w:p>
        </w:tc>
      </w:tr>
      <w:tr w:rsidR="003B7A14" w:rsidRPr="003B7A14" w14:paraId="1D1F6877" w14:textId="77777777" w:rsidTr="009A182B">
        <w:trPr>
          <w:trHeight w:val="425"/>
        </w:trPr>
        <w:tc>
          <w:tcPr>
            <w:tcW w:w="292" w:type="pct"/>
            <w:tcBorders>
              <w:bottom w:val="single" w:sz="4" w:space="0" w:color="auto"/>
            </w:tcBorders>
            <w:shd w:val="clear" w:color="auto" w:fill="auto"/>
            <w:noWrap/>
            <w:vAlign w:val="center"/>
            <w:hideMark/>
          </w:tcPr>
          <w:p w14:paraId="586011E4"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3" w:type="pct"/>
            <w:tcBorders>
              <w:bottom w:val="single" w:sz="4" w:space="0" w:color="auto"/>
            </w:tcBorders>
            <w:shd w:val="clear" w:color="auto" w:fill="auto"/>
            <w:noWrap/>
            <w:vAlign w:val="center"/>
            <w:hideMark/>
          </w:tcPr>
          <w:p w14:paraId="789B4465" w14:textId="77777777" w:rsidR="009D081E" w:rsidRPr="003B7A14" w:rsidRDefault="009D081E" w:rsidP="009A182B">
            <w:pPr>
              <w:widowControl/>
              <w:autoSpaceDE/>
              <w:autoSpaceDN/>
              <w:jc w:val="center"/>
              <w:rPr>
                <w:sz w:val="20"/>
                <w:szCs w:val="20"/>
              </w:rPr>
            </w:pPr>
            <w:r w:rsidRPr="003B7A14">
              <w:rPr>
                <w:sz w:val="20"/>
                <w:szCs w:val="20"/>
              </w:rPr>
              <w:t>0.294</w:t>
            </w:r>
          </w:p>
        </w:tc>
        <w:tc>
          <w:tcPr>
            <w:tcW w:w="255" w:type="pct"/>
            <w:tcBorders>
              <w:bottom w:val="single" w:sz="4" w:space="0" w:color="auto"/>
            </w:tcBorders>
            <w:shd w:val="clear" w:color="auto" w:fill="auto"/>
            <w:noWrap/>
            <w:vAlign w:val="center"/>
            <w:hideMark/>
          </w:tcPr>
          <w:p w14:paraId="779BDE75" w14:textId="77777777" w:rsidR="009D081E" w:rsidRPr="003B7A14" w:rsidRDefault="009D081E" w:rsidP="009A182B">
            <w:pPr>
              <w:widowControl/>
              <w:autoSpaceDE/>
              <w:autoSpaceDN/>
              <w:jc w:val="center"/>
              <w:rPr>
                <w:sz w:val="20"/>
                <w:szCs w:val="20"/>
              </w:rPr>
            </w:pPr>
            <w:r w:rsidRPr="003B7A14">
              <w:rPr>
                <w:sz w:val="20"/>
                <w:szCs w:val="20"/>
              </w:rPr>
              <w:t>0.204</w:t>
            </w:r>
          </w:p>
        </w:tc>
        <w:tc>
          <w:tcPr>
            <w:tcW w:w="258" w:type="pct"/>
            <w:tcBorders>
              <w:bottom w:val="single" w:sz="4" w:space="0" w:color="auto"/>
            </w:tcBorders>
            <w:shd w:val="clear" w:color="auto" w:fill="auto"/>
            <w:noWrap/>
            <w:vAlign w:val="center"/>
            <w:hideMark/>
          </w:tcPr>
          <w:p w14:paraId="31B233CD" w14:textId="77777777" w:rsidR="009D081E" w:rsidRPr="003B7A14" w:rsidRDefault="009D081E" w:rsidP="009A182B">
            <w:pPr>
              <w:widowControl/>
              <w:autoSpaceDE/>
              <w:autoSpaceDN/>
              <w:jc w:val="center"/>
              <w:rPr>
                <w:sz w:val="20"/>
                <w:szCs w:val="20"/>
              </w:rPr>
            </w:pPr>
          </w:p>
        </w:tc>
        <w:tc>
          <w:tcPr>
            <w:tcW w:w="279" w:type="pct"/>
            <w:tcBorders>
              <w:bottom w:val="single" w:sz="4" w:space="0" w:color="auto"/>
            </w:tcBorders>
            <w:shd w:val="clear" w:color="auto" w:fill="auto"/>
            <w:noWrap/>
            <w:vAlign w:val="center"/>
            <w:hideMark/>
          </w:tcPr>
          <w:p w14:paraId="1C7A1EB6" w14:textId="77777777" w:rsidR="009D081E" w:rsidRPr="003B7A14" w:rsidRDefault="009D081E" w:rsidP="009A182B">
            <w:pPr>
              <w:widowControl/>
              <w:autoSpaceDE/>
              <w:autoSpaceDN/>
              <w:jc w:val="center"/>
              <w:rPr>
                <w:sz w:val="20"/>
                <w:szCs w:val="20"/>
              </w:rPr>
            </w:pPr>
            <w:r w:rsidRPr="003B7A14">
              <w:rPr>
                <w:sz w:val="20"/>
                <w:szCs w:val="20"/>
              </w:rPr>
              <w:t>2.159</w:t>
            </w:r>
          </w:p>
        </w:tc>
        <w:tc>
          <w:tcPr>
            <w:tcW w:w="257" w:type="pct"/>
            <w:tcBorders>
              <w:bottom w:val="single" w:sz="4" w:space="0" w:color="auto"/>
            </w:tcBorders>
            <w:shd w:val="clear" w:color="auto" w:fill="auto"/>
            <w:noWrap/>
            <w:vAlign w:val="center"/>
            <w:hideMark/>
          </w:tcPr>
          <w:p w14:paraId="13F8DA6D" w14:textId="77777777" w:rsidR="009D081E" w:rsidRPr="003B7A14" w:rsidRDefault="009D081E" w:rsidP="009A182B">
            <w:pPr>
              <w:widowControl/>
              <w:autoSpaceDE/>
              <w:autoSpaceDN/>
              <w:jc w:val="center"/>
              <w:rPr>
                <w:sz w:val="20"/>
                <w:szCs w:val="20"/>
              </w:rPr>
            </w:pPr>
            <w:r w:rsidRPr="003B7A14">
              <w:rPr>
                <w:sz w:val="20"/>
                <w:szCs w:val="20"/>
              </w:rPr>
              <w:t>2.024</w:t>
            </w:r>
          </w:p>
        </w:tc>
        <w:tc>
          <w:tcPr>
            <w:tcW w:w="255" w:type="pct"/>
            <w:tcBorders>
              <w:bottom w:val="single" w:sz="4" w:space="0" w:color="auto"/>
            </w:tcBorders>
            <w:shd w:val="clear" w:color="auto" w:fill="auto"/>
            <w:noWrap/>
            <w:vAlign w:val="center"/>
            <w:hideMark/>
          </w:tcPr>
          <w:p w14:paraId="4CE044D0" w14:textId="77777777" w:rsidR="009D081E" w:rsidRPr="003B7A14" w:rsidRDefault="009D081E" w:rsidP="009A182B">
            <w:pPr>
              <w:widowControl/>
              <w:autoSpaceDE/>
              <w:autoSpaceDN/>
              <w:jc w:val="center"/>
              <w:rPr>
                <w:sz w:val="20"/>
                <w:szCs w:val="20"/>
              </w:rPr>
            </w:pPr>
          </w:p>
        </w:tc>
        <w:tc>
          <w:tcPr>
            <w:tcW w:w="312" w:type="pct"/>
            <w:tcBorders>
              <w:bottom w:val="single" w:sz="4" w:space="0" w:color="auto"/>
            </w:tcBorders>
            <w:shd w:val="clear" w:color="auto" w:fill="auto"/>
            <w:noWrap/>
            <w:vAlign w:val="center"/>
            <w:hideMark/>
          </w:tcPr>
          <w:p w14:paraId="52BCC8C3" w14:textId="77777777" w:rsidR="009D081E" w:rsidRPr="003B7A14" w:rsidRDefault="009D081E" w:rsidP="009A182B">
            <w:pPr>
              <w:widowControl/>
              <w:autoSpaceDE/>
              <w:autoSpaceDN/>
              <w:jc w:val="center"/>
              <w:rPr>
                <w:sz w:val="20"/>
                <w:szCs w:val="20"/>
              </w:rPr>
            </w:pPr>
            <w:r w:rsidRPr="003B7A14">
              <w:rPr>
                <w:sz w:val="20"/>
                <w:szCs w:val="20"/>
              </w:rPr>
              <w:t>3.124</w:t>
            </w:r>
          </w:p>
        </w:tc>
        <w:tc>
          <w:tcPr>
            <w:tcW w:w="257" w:type="pct"/>
            <w:tcBorders>
              <w:bottom w:val="single" w:sz="4" w:space="0" w:color="auto"/>
            </w:tcBorders>
            <w:shd w:val="clear" w:color="auto" w:fill="auto"/>
            <w:noWrap/>
            <w:vAlign w:val="center"/>
            <w:hideMark/>
          </w:tcPr>
          <w:p w14:paraId="2F6EBB94" w14:textId="77777777" w:rsidR="009D081E" w:rsidRPr="003B7A14" w:rsidRDefault="009D081E" w:rsidP="009A182B">
            <w:pPr>
              <w:widowControl/>
              <w:autoSpaceDE/>
              <w:autoSpaceDN/>
              <w:jc w:val="center"/>
              <w:rPr>
                <w:sz w:val="20"/>
                <w:szCs w:val="20"/>
              </w:rPr>
            </w:pPr>
            <w:r w:rsidRPr="003B7A14">
              <w:rPr>
                <w:sz w:val="20"/>
                <w:szCs w:val="20"/>
              </w:rPr>
              <w:t>3.906</w:t>
            </w:r>
          </w:p>
        </w:tc>
        <w:tc>
          <w:tcPr>
            <w:tcW w:w="254" w:type="pct"/>
            <w:tcBorders>
              <w:bottom w:val="single" w:sz="4" w:space="0" w:color="auto"/>
            </w:tcBorders>
            <w:shd w:val="clear" w:color="auto" w:fill="auto"/>
            <w:noWrap/>
            <w:vAlign w:val="center"/>
            <w:hideMark/>
          </w:tcPr>
          <w:p w14:paraId="461EF555" w14:textId="77777777" w:rsidR="009D081E" w:rsidRPr="003B7A14" w:rsidRDefault="009D081E" w:rsidP="009A182B">
            <w:pPr>
              <w:widowControl/>
              <w:autoSpaceDE/>
              <w:autoSpaceDN/>
              <w:jc w:val="center"/>
              <w:rPr>
                <w:sz w:val="20"/>
                <w:szCs w:val="20"/>
              </w:rPr>
            </w:pPr>
          </w:p>
        </w:tc>
        <w:tc>
          <w:tcPr>
            <w:tcW w:w="280" w:type="pct"/>
            <w:tcBorders>
              <w:bottom w:val="single" w:sz="4" w:space="0" w:color="auto"/>
            </w:tcBorders>
            <w:shd w:val="clear" w:color="auto" w:fill="auto"/>
            <w:noWrap/>
            <w:vAlign w:val="center"/>
            <w:hideMark/>
          </w:tcPr>
          <w:p w14:paraId="2CB68C2E" w14:textId="77777777" w:rsidR="009D081E" w:rsidRPr="003B7A14" w:rsidRDefault="009D081E" w:rsidP="009A182B">
            <w:pPr>
              <w:widowControl/>
              <w:autoSpaceDE/>
              <w:autoSpaceDN/>
              <w:jc w:val="center"/>
              <w:rPr>
                <w:sz w:val="20"/>
                <w:szCs w:val="20"/>
              </w:rPr>
            </w:pPr>
            <w:r w:rsidRPr="003B7A14">
              <w:rPr>
                <w:sz w:val="20"/>
                <w:szCs w:val="20"/>
              </w:rPr>
              <w:t>15.36</w:t>
            </w:r>
          </w:p>
        </w:tc>
        <w:tc>
          <w:tcPr>
            <w:tcW w:w="257" w:type="pct"/>
            <w:tcBorders>
              <w:bottom w:val="single" w:sz="4" w:space="0" w:color="auto"/>
            </w:tcBorders>
            <w:shd w:val="clear" w:color="auto" w:fill="auto"/>
            <w:noWrap/>
            <w:vAlign w:val="center"/>
            <w:hideMark/>
          </w:tcPr>
          <w:p w14:paraId="722C936E" w14:textId="77777777" w:rsidR="009D081E" w:rsidRPr="003B7A14" w:rsidRDefault="009D081E" w:rsidP="009A182B">
            <w:pPr>
              <w:widowControl/>
              <w:autoSpaceDE/>
              <w:autoSpaceDN/>
              <w:jc w:val="center"/>
              <w:rPr>
                <w:sz w:val="20"/>
                <w:szCs w:val="20"/>
              </w:rPr>
            </w:pPr>
            <w:r w:rsidRPr="003B7A14">
              <w:rPr>
                <w:sz w:val="20"/>
                <w:szCs w:val="20"/>
              </w:rPr>
              <w:t>11.33</w:t>
            </w:r>
          </w:p>
        </w:tc>
        <w:tc>
          <w:tcPr>
            <w:tcW w:w="255" w:type="pct"/>
            <w:tcBorders>
              <w:bottom w:val="single" w:sz="4" w:space="0" w:color="auto"/>
            </w:tcBorders>
            <w:shd w:val="clear" w:color="auto" w:fill="auto"/>
            <w:noWrap/>
            <w:vAlign w:val="center"/>
            <w:hideMark/>
          </w:tcPr>
          <w:p w14:paraId="3320D12E" w14:textId="77777777" w:rsidR="009D081E" w:rsidRPr="003B7A14" w:rsidRDefault="009D081E" w:rsidP="009A182B">
            <w:pPr>
              <w:widowControl/>
              <w:autoSpaceDE/>
              <w:autoSpaceDN/>
              <w:jc w:val="center"/>
              <w:rPr>
                <w:sz w:val="20"/>
                <w:szCs w:val="20"/>
              </w:rPr>
            </w:pPr>
          </w:p>
        </w:tc>
        <w:tc>
          <w:tcPr>
            <w:tcW w:w="252" w:type="pct"/>
            <w:tcBorders>
              <w:bottom w:val="single" w:sz="4" w:space="0" w:color="auto"/>
            </w:tcBorders>
            <w:shd w:val="clear" w:color="auto" w:fill="auto"/>
            <w:noWrap/>
            <w:vAlign w:val="center"/>
            <w:hideMark/>
          </w:tcPr>
          <w:p w14:paraId="0D05B30C" w14:textId="77777777" w:rsidR="009D081E" w:rsidRPr="003B7A14" w:rsidRDefault="009D081E" w:rsidP="009A182B">
            <w:pPr>
              <w:widowControl/>
              <w:autoSpaceDE/>
              <w:autoSpaceDN/>
              <w:jc w:val="center"/>
              <w:rPr>
                <w:sz w:val="20"/>
                <w:szCs w:val="20"/>
              </w:rPr>
            </w:pPr>
            <w:r w:rsidRPr="003B7A14">
              <w:rPr>
                <w:sz w:val="20"/>
                <w:szCs w:val="20"/>
              </w:rPr>
              <w:t>3.238</w:t>
            </w:r>
          </w:p>
        </w:tc>
        <w:tc>
          <w:tcPr>
            <w:tcW w:w="252" w:type="pct"/>
            <w:tcBorders>
              <w:bottom w:val="single" w:sz="4" w:space="0" w:color="auto"/>
            </w:tcBorders>
            <w:shd w:val="clear" w:color="auto" w:fill="auto"/>
            <w:noWrap/>
            <w:vAlign w:val="center"/>
            <w:hideMark/>
          </w:tcPr>
          <w:p w14:paraId="2EB284F7" w14:textId="77777777" w:rsidR="009D081E" w:rsidRPr="003B7A14" w:rsidRDefault="009D081E" w:rsidP="009A182B">
            <w:pPr>
              <w:widowControl/>
              <w:autoSpaceDE/>
              <w:autoSpaceDN/>
              <w:jc w:val="center"/>
              <w:rPr>
                <w:sz w:val="20"/>
                <w:szCs w:val="20"/>
              </w:rPr>
            </w:pPr>
            <w:r w:rsidRPr="003B7A14">
              <w:rPr>
                <w:sz w:val="20"/>
                <w:szCs w:val="20"/>
              </w:rPr>
              <w:t>3.026</w:t>
            </w:r>
          </w:p>
        </w:tc>
        <w:tc>
          <w:tcPr>
            <w:tcW w:w="252" w:type="pct"/>
            <w:tcBorders>
              <w:bottom w:val="single" w:sz="4" w:space="0" w:color="auto"/>
            </w:tcBorders>
            <w:shd w:val="clear" w:color="auto" w:fill="auto"/>
            <w:noWrap/>
            <w:vAlign w:val="center"/>
            <w:hideMark/>
          </w:tcPr>
          <w:p w14:paraId="11A3B4A6" w14:textId="77777777" w:rsidR="009D081E" w:rsidRPr="003B7A14" w:rsidRDefault="009D081E" w:rsidP="009A182B">
            <w:pPr>
              <w:widowControl/>
              <w:autoSpaceDE/>
              <w:autoSpaceDN/>
              <w:jc w:val="center"/>
              <w:rPr>
                <w:sz w:val="20"/>
                <w:szCs w:val="20"/>
              </w:rPr>
            </w:pPr>
          </w:p>
        </w:tc>
        <w:tc>
          <w:tcPr>
            <w:tcW w:w="253" w:type="pct"/>
            <w:tcBorders>
              <w:bottom w:val="single" w:sz="4" w:space="0" w:color="auto"/>
            </w:tcBorders>
            <w:shd w:val="clear" w:color="auto" w:fill="auto"/>
            <w:noWrap/>
            <w:vAlign w:val="center"/>
            <w:hideMark/>
          </w:tcPr>
          <w:p w14:paraId="505611A1" w14:textId="77777777" w:rsidR="009D081E" w:rsidRPr="003B7A14" w:rsidRDefault="009D081E" w:rsidP="009A182B">
            <w:pPr>
              <w:widowControl/>
              <w:autoSpaceDE/>
              <w:autoSpaceDN/>
              <w:jc w:val="center"/>
              <w:rPr>
                <w:sz w:val="20"/>
                <w:szCs w:val="20"/>
              </w:rPr>
            </w:pPr>
            <w:r w:rsidRPr="003B7A14">
              <w:rPr>
                <w:sz w:val="20"/>
                <w:szCs w:val="20"/>
              </w:rPr>
              <w:t>35.33</w:t>
            </w:r>
          </w:p>
        </w:tc>
        <w:tc>
          <w:tcPr>
            <w:tcW w:w="253" w:type="pct"/>
            <w:tcBorders>
              <w:bottom w:val="single" w:sz="4" w:space="0" w:color="auto"/>
            </w:tcBorders>
            <w:shd w:val="clear" w:color="auto" w:fill="auto"/>
            <w:noWrap/>
            <w:vAlign w:val="center"/>
            <w:hideMark/>
          </w:tcPr>
          <w:p w14:paraId="10EF38B7" w14:textId="77777777" w:rsidR="009D081E" w:rsidRPr="003B7A14" w:rsidRDefault="009D081E" w:rsidP="009A182B">
            <w:pPr>
              <w:widowControl/>
              <w:autoSpaceDE/>
              <w:autoSpaceDN/>
              <w:jc w:val="center"/>
              <w:rPr>
                <w:sz w:val="20"/>
                <w:szCs w:val="20"/>
              </w:rPr>
            </w:pPr>
            <w:r w:rsidRPr="003B7A14">
              <w:rPr>
                <w:sz w:val="20"/>
                <w:szCs w:val="20"/>
              </w:rPr>
              <w:t>39.01</w:t>
            </w:r>
          </w:p>
        </w:tc>
        <w:tc>
          <w:tcPr>
            <w:tcW w:w="254" w:type="pct"/>
            <w:tcBorders>
              <w:bottom w:val="single" w:sz="4" w:space="0" w:color="auto"/>
            </w:tcBorders>
            <w:shd w:val="clear" w:color="auto" w:fill="auto"/>
            <w:noWrap/>
            <w:vAlign w:val="center"/>
            <w:hideMark/>
          </w:tcPr>
          <w:p w14:paraId="445F752F" w14:textId="77777777" w:rsidR="009D081E" w:rsidRPr="003B7A14" w:rsidRDefault="009D081E" w:rsidP="009A182B">
            <w:pPr>
              <w:widowControl/>
              <w:autoSpaceDE/>
              <w:autoSpaceDN/>
              <w:jc w:val="center"/>
              <w:rPr>
                <w:sz w:val="20"/>
                <w:szCs w:val="20"/>
              </w:rPr>
            </w:pPr>
          </w:p>
        </w:tc>
      </w:tr>
      <w:tr w:rsidR="003B7A14" w:rsidRPr="003B7A14" w14:paraId="533D3EFF" w14:textId="77777777" w:rsidTr="009A182B">
        <w:trPr>
          <w:trHeight w:val="425"/>
        </w:trPr>
        <w:tc>
          <w:tcPr>
            <w:tcW w:w="292" w:type="pct"/>
            <w:tcBorders>
              <w:top w:val="single" w:sz="4" w:space="0" w:color="auto"/>
              <w:bottom w:val="single" w:sz="4" w:space="0" w:color="auto"/>
            </w:tcBorders>
            <w:shd w:val="clear" w:color="auto" w:fill="auto"/>
            <w:noWrap/>
            <w:vAlign w:val="center"/>
            <w:hideMark/>
          </w:tcPr>
          <w:p w14:paraId="58F74F48" w14:textId="77777777" w:rsidR="009D081E" w:rsidRPr="003B7A14" w:rsidRDefault="009D081E" w:rsidP="009A182B">
            <w:pPr>
              <w:widowControl/>
              <w:autoSpaceDE/>
              <w:autoSpaceDN/>
              <w:jc w:val="center"/>
              <w:rPr>
                <w:b/>
                <w:bCs/>
                <w:sz w:val="20"/>
                <w:szCs w:val="20"/>
              </w:rPr>
            </w:pPr>
          </w:p>
        </w:tc>
        <w:tc>
          <w:tcPr>
            <w:tcW w:w="273" w:type="pct"/>
            <w:tcBorders>
              <w:top w:val="single" w:sz="4" w:space="0" w:color="auto"/>
              <w:bottom w:val="single" w:sz="4" w:space="0" w:color="auto"/>
            </w:tcBorders>
            <w:shd w:val="clear" w:color="auto" w:fill="auto"/>
            <w:noWrap/>
            <w:vAlign w:val="center"/>
            <w:hideMark/>
          </w:tcPr>
          <w:p w14:paraId="22A963E3"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5" w:type="pct"/>
            <w:tcBorders>
              <w:top w:val="single" w:sz="4" w:space="0" w:color="auto"/>
              <w:bottom w:val="single" w:sz="4" w:space="0" w:color="auto"/>
            </w:tcBorders>
            <w:shd w:val="clear" w:color="auto" w:fill="auto"/>
            <w:noWrap/>
            <w:vAlign w:val="center"/>
            <w:hideMark/>
          </w:tcPr>
          <w:p w14:paraId="5769B01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8" w:type="pct"/>
            <w:tcBorders>
              <w:top w:val="single" w:sz="4" w:space="0" w:color="auto"/>
              <w:bottom w:val="single" w:sz="4" w:space="0" w:color="auto"/>
            </w:tcBorders>
            <w:shd w:val="clear" w:color="auto" w:fill="auto"/>
            <w:noWrap/>
            <w:vAlign w:val="center"/>
            <w:hideMark/>
          </w:tcPr>
          <w:p w14:paraId="0C94434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2EE60975"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4A05A15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5" w:type="pct"/>
            <w:tcBorders>
              <w:top w:val="single" w:sz="4" w:space="0" w:color="auto"/>
              <w:bottom w:val="single" w:sz="4" w:space="0" w:color="auto"/>
            </w:tcBorders>
            <w:shd w:val="clear" w:color="auto" w:fill="auto"/>
            <w:noWrap/>
            <w:vAlign w:val="center"/>
            <w:hideMark/>
          </w:tcPr>
          <w:p w14:paraId="550BB6F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312" w:type="pct"/>
            <w:tcBorders>
              <w:top w:val="single" w:sz="4" w:space="0" w:color="auto"/>
              <w:bottom w:val="single" w:sz="4" w:space="0" w:color="auto"/>
            </w:tcBorders>
            <w:shd w:val="clear" w:color="auto" w:fill="auto"/>
            <w:noWrap/>
            <w:vAlign w:val="center"/>
            <w:hideMark/>
          </w:tcPr>
          <w:p w14:paraId="3D77D1B7"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38B5301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1A03080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80" w:type="pct"/>
            <w:tcBorders>
              <w:top w:val="single" w:sz="4" w:space="0" w:color="auto"/>
              <w:bottom w:val="single" w:sz="4" w:space="0" w:color="auto"/>
            </w:tcBorders>
            <w:shd w:val="clear" w:color="auto" w:fill="auto"/>
            <w:noWrap/>
            <w:vAlign w:val="center"/>
            <w:hideMark/>
          </w:tcPr>
          <w:p w14:paraId="015798F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1893D37C"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5" w:type="pct"/>
            <w:tcBorders>
              <w:top w:val="single" w:sz="4" w:space="0" w:color="auto"/>
              <w:bottom w:val="single" w:sz="4" w:space="0" w:color="auto"/>
            </w:tcBorders>
            <w:shd w:val="clear" w:color="auto" w:fill="auto"/>
            <w:noWrap/>
            <w:vAlign w:val="center"/>
            <w:hideMark/>
          </w:tcPr>
          <w:p w14:paraId="7A2505C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2" w:type="pct"/>
            <w:tcBorders>
              <w:top w:val="single" w:sz="4" w:space="0" w:color="auto"/>
              <w:bottom w:val="single" w:sz="4" w:space="0" w:color="auto"/>
            </w:tcBorders>
            <w:shd w:val="clear" w:color="auto" w:fill="auto"/>
            <w:noWrap/>
            <w:vAlign w:val="center"/>
            <w:hideMark/>
          </w:tcPr>
          <w:p w14:paraId="795B7E7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2" w:type="pct"/>
            <w:tcBorders>
              <w:top w:val="single" w:sz="4" w:space="0" w:color="auto"/>
              <w:bottom w:val="single" w:sz="4" w:space="0" w:color="auto"/>
            </w:tcBorders>
            <w:shd w:val="clear" w:color="auto" w:fill="auto"/>
            <w:noWrap/>
            <w:vAlign w:val="center"/>
            <w:hideMark/>
          </w:tcPr>
          <w:p w14:paraId="460EA0DF"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3A3E738A"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08E3378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0FD5C09C"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164AEB9A"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r>
      <w:tr w:rsidR="003B7A14" w:rsidRPr="003B7A14" w14:paraId="2680B0ED" w14:textId="77777777" w:rsidTr="009A182B">
        <w:trPr>
          <w:trHeight w:val="425"/>
        </w:trPr>
        <w:tc>
          <w:tcPr>
            <w:tcW w:w="292" w:type="pct"/>
            <w:tcBorders>
              <w:top w:val="single" w:sz="4" w:space="0" w:color="auto"/>
            </w:tcBorders>
            <w:shd w:val="clear" w:color="auto" w:fill="auto"/>
            <w:noWrap/>
            <w:vAlign w:val="center"/>
            <w:hideMark/>
          </w:tcPr>
          <w:p w14:paraId="6FA6A47C" w14:textId="77777777" w:rsidR="009D081E" w:rsidRPr="003B7A14" w:rsidRDefault="009D081E" w:rsidP="009A182B">
            <w:pPr>
              <w:widowControl/>
              <w:autoSpaceDE/>
              <w:autoSpaceDN/>
              <w:jc w:val="center"/>
              <w:rPr>
                <w:b/>
                <w:bCs/>
                <w:sz w:val="20"/>
                <w:szCs w:val="20"/>
              </w:rPr>
            </w:pPr>
            <w:r w:rsidRPr="003B7A14">
              <w:rPr>
                <w:b/>
                <w:bCs/>
                <w:sz w:val="20"/>
                <w:szCs w:val="20"/>
              </w:rPr>
              <w:t>M</w:t>
            </w:r>
          </w:p>
        </w:tc>
        <w:tc>
          <w:tcPr>
            <w:tcW w:w="273" w:type="pct"/>
            <w:tcBorders>
              <w:top w:val="single" w:sz="4" w:space="0" w:color="auto"/>
            </w:tcBorders>
            <w:shd w:val="clear" w:color="auto" w:fill="auto"/>
            <w:noWrap/>
            <w:vAlign w:val="center"/>
            <w:hideMark/>
          </w:tcPr>
          <w:p w14:paraId="67011FCE" w14:textId="77777777" w:rsidR="009D081E" w:rsidRPr="003B7A14" w:rsidRDefault="009D081E" w:rsidP="009A182B">
            <w:pPr>
              <w:widowControl/>
              <w:autoSpaceDE/>
              <w:autoSpaceDN/>
              <w:jc w:val="center"/>
              <w:rPr>
                <w:sz w:val="20"/>
                <w:szCs w:val="20"/>
              </w:rPr>
            </w:pPr>
            <w:r w:rsidRPr="003B7A14">
              <w:rPr>
                <w:bCs/>
                <w:sz w:val="20"/>
                <w:szCs w:val="20"/>
              </w:rPr>
              <w:t>0.008</w:t>
            </w:r>
          </w:p>
        </w:tc>
        <w:tc>
          <w:tcPr>
            <w:tcW w:w="255" w:type="pct"/>
            <w:tcBorders>
              <w:top w:val="single" w:sz="4" w:space="0" w:color="auto"/>
            </w:tcBorders>
            <w:shd w:val="clear" w:color="auto" w:fill="auto"/>
            <w:noWrap/>
            <w:vAlign w:val="center"/>
            <w:hideMark/>
          </w:tcPr>
          <w:p w14:paraId="312E1E4B" w14:textId="77777777" w:rsidR="009D081E" w:rsidRPr="003B7A14" w:rsidRDefault="009D081E" w:rsidP="009A182B">
            <w:pPr>
              <w:widowControl/>
              <w:autoSpaceDE/>
              <w:autoSpaceDN/>
              <w:jc w:val="center"/>
              <w:rPr>
                <w:sz w:val="20"/>
                <w:szCs w:val="20"/>
              </w:rPr>
            </w:pPr>
            <w:r w:rsidRPr="003B7A14">
              <w:rPr>
                <w:bCs/>
                <w:sz w:val="20"/>
                <w:szCs w:val="20"/>
              </w:rPr>
              <w:t>0.012</w:t>
            </w:r>
          </w:p>
        </w:tc>
        <w:tc>
          <w:tcPr>
            <w:tcW w:w="258" w:type="pct"/>
            <w:tcBorders>
              <w:top w:val="single" w:sz="4" w:space="0" w:color="auto"/>
            </w:tcBorders>
            <w:shd w:val="clear" w:color="auto" w:fill="auto"/>
            <w:noWrap/>
            <w:vAlign w:val="center"/>
            <w:hideMark/>
          </w:tcPr>
          <w:p w14:paraId="514CF1C5" w14:textId="77777777" w:rsidR="009D081E" w:rsidRPr="003B7A14" w:rsidRDefault="009D081E" w:rsidP="009A182B">
            <w:pPr>
              <w:widowControl/>
              <w:autoSpaceDE/>
              <w:autoSpaceDN/>
              <w:jc w:val="center"/>
              <w:rPr>
                <w:sz w:val="20"/>
                <w:szCs w:val="20"/>
              </w:rPr>
            </w:pPr>
            <w:r w:rsidRPr="003B7A14">
              <w:rPr>
                <w:bCs/>
                <w:sz w:val="20"/>
                <w:szCs w:val="20"/>
              </w:rPr>
              <w:t>0.024</w:t>
            </w:r>
          </w:p>
        </w:tc>
        <w:tc>
          <w:tcPr>
            <w:tcW w:w="279" w:type="pct"/>
            <w:tcBorders>
              <w:top w:val="single" w:sz="4" w:space="0" w:color="auto"/>
            </w:tcBorders>
            <w:shd w:val="clear" w:color="auto" w:fill="auto"/>
            <w:noWrap/>
            <w:vAlign w:val="center"/>
            <w:hideMark/>
          </w:tcPr>
          <w:p w14:paraId="0FE3FA32" w14:textId="77777777" w:rsidR="009D081E" w:rsidRPr="003B7A14" w:rsidRDefault="009D081E" w:rsidP="009A182B">
            <w:pPr>
              <w:widowControl/>
              <w:autoSpaceDE/>
              <w:autoSpaceDN/>
              <w:jc w:val="center"/>
              <w:rPr>
                <w:sz w:val="20"/>
                <w:szCs w:val="20"/>
              </w:rPr>
            </w:pPr>
            <w:r w:rsidRPr="003B7A14">
              <w:rPr>
                <w:bCs/>
                <w:sz w:val="20"/>
                <w:szCs w:val="20"/>
              </w:rPr>
              <w:t>0.0243</w:t>
            </w:r>
          </w:p>
        </w:tc>
        <w:tc>
          <w:tcPr>
            <w:tcW w:w="257" w:type="pct"/>
            <w:tcBorders>
              <w:top w:val="single" w:sz="4" w:space="0" w:color="auto"/>
            </w:tcBorders>
            <w:shd w:val="clear" w:color="auto" w:fill="auto"/>
            <w:noWrap/>
            <w:vAlign w:val="center"/>
            <w:hideMark/>
          </w:tcPr>
          <w:p w14:paraId="38020BA8" w14:textId="77777777" w:rsidR="009D081E" w:rsidRPr="003B7A14" w:rsidRDefault="009D081E" w:rsidP="009A182B">
            <w:pPr>
              <w:widowControl/>
              <w:autoSpaceDE/>
              <w:autoSpaceDN/>
              <w:jc w:val="center"/>
              <w:rPr>
                <w:sz w:val="20"/>
                <w:szCs w:val="20"/>
              </w:rPr>
            </w:pPr>
            <w:r w:rsidRPr="003B7A14">
              <w:rPr>
                <w:bCs/>
                <w:sz w:val="20"/>
                <w:szCs w:val="20"/>
              </w:rPr>
              <w:t>0.034</w:t>
            </w:r>
          </w:p>
        </w:tc>
        <w:tc>
          <w:tcPr>
            <w:tcW w:w="255" w:type="pct"/>
            <w:tcBorders>
              <w:top w:val="single" w:sz="4" w:space="0" w:color="auto"/>
            </w:tcBorders>
            <w:shd w:val="clear" w:color="auto" w:fill="auto"/>
            <w:noWrap/>
            <w:vAlign w:val="center"/>
            <w:hideMark/>
          </w:tcPr>
          <w:p w14:paraId="41860E6A" w14:textId="77777777" w:rsidR="009D081E" w:rsidRPr="003B7A14" w:rsidRDefault="009D081E" w:rsidP="009A182B">
            <w:pPr>
              <w:widowControl/>
              <w:autoSpaceDE/>
              <w:autoSpaceDN/>
              <w:jc w:val="center"/>
              <w:rPr>
                <w:sz w:val="20"/>
                <w:szCs w:val="20"/>
              </w:rPr>
            </w:pPr>
            <w:r w:rsidRPr="003B7A14">
              <w:rPr>
                <w:bCs/>
                <w:sz w:val="20"/>
                <w:szCs w:val="20"/>
              </w:rPr>
              <w:t>0.07</w:t>
            </w:r>
          </w:p>
        </w:tc>
        <w:tc>
          <w:tcPr>
            <w:tcW w:w="312" w:type="pct"/>
            <w:tcBorders>
              <w:top w:val="single" w:sz="4" w:space="0" w:color="auto"/>
            </w:tcBorders>
            <w:shd w:val="clear" w:color="auto" w:fill="auto"/>
            <w:noWrap/>
            <w:vAlign w:val="center"/>
            <w:hideMark/>
          </w:tcPr>
          <w:p w14:paraId="4EE3BEF1" w14:textId="77777777" w:rsidR="009D081E" w:rsidRPr="003B7A14" w:rsidRDefault="009D081E" w:rsidP="009A182B">
            <w:pPr>
              <w:widowControl/>
              <w:autoSpaceDE/>
              <w:autoSpaceDN/>
              <w:jc w:val="center"/>
              <w:rPr>
                <w:sz w:val="20"/>
                <w:szCs w:val="20"/>
              </w:rPr>
            </w:pPr>
            <w:r w:rsidRPr="003B7A14">
              <w:rPr>
                <w:bCs/>
                <w:sz w:val="20"/>
                <w:szCs w:val="20"/>
              </w:rPr>
              <w:t>0.055</w:t>
            </w:r>
          </w:p>
        </w:tc>
        <w:tc>
          <w:tcPr>
            <w:tcW w:w="257" w:type="pct"/>
            <w:tcBorders>
              <w:top w:val="single" w:sz="4" w:space="0" w:color="auto"/>
            </w:tcBorders>
            <w:shd w:val="clear" w:color="auto" w:fill="auto"/>
            <w:noWrap/>
            <w:vAlign w:val="center"/>
            <w:hideMark/>
          </w:tcPr>
          <w:p w14:paraId="1220F381" w14:textId="77777777" w:rsidR="009D081E" w:rsidRPr="003B7A14" w:rsidRDefault="009D081E" w:rsidP="009A182B">
            <w:pPr>
              <w:widowControl/>
              <w:autoSpaceDE/>
              <w:autoSpaceDN/>
              <w:jc w:val="center"/>
              <w:rPr>
                <w:sz w:val="20"/>
                <w:szCs w:val="20"/>
              </w:rPr>
            </w:pPr>
            <w:r w:rsidRPr="003B7A14">
              <w:rPr>
                <w:bCs/>
                <w:sz w:val="20"/>
                <w:szCs w:val="20"/>
              </w:rPr>
              <w:t>0.079</w:t>
            </w:r>
          </w:p>
        </w:tc>
        <w:tc>
          <w:tcPr>
            <w:tcW w:w="254" w:type="pct"/>
            <w:tcBorders>
              <w:top w:val="single" w:sz="4" w:space="0" w:color="auto"/>
            </w:tcBorders>
            <w:shd w:val="clear" w:color="auto" w:fill="auto"/>
            <w:noWrap/>
            <w:vAlign w:val="center"/>
            <w:hideMark/>
          </w:tcPr>
          <w:p w14:paraId="152A4813" w14:textId="77777777" w:rsidR="009D081E" w:rsidRPr="003B7A14" w:rsidRDefault="009D081E" w:rsidP="009A182B">
            <w:pPr>
              <w:widowControl/>
              <w:autoSpaceDE/>
              <w:autoSpaceDN/>
              <w:jc w:val="center"/>
              <w:rPr>
                <w:sz w:val="20"/>
                <w:szCs w:val="20"/>
              </w:rPr>
            </w:pPr>
            <w:r w:rsidRPr="003B7A14">
              <w:rPr>
                <w:bCs/>
                <w:sz w:val="20"/>
                <w:szCs w:val="20"/>
              </w:rPr>
              <w:t>0.162</w:t>
            </w:r>
          </w:p>
        </w:tc>
        <w:tc>
          <w:tcPr>
            <w:tcW w:w="280" w:type="pct"/>
            <w:tcBorders>
              <w:top w:val="single" w:sz="4" w:space="0" w:color="auto"/>
            </w:tcBorders>
            <w:shd w:val="clear" w:color="auto" w:fill="auto"/>
            <w:noWrap/>
            <w:vAlign w:val="center"/>
            <w:hideMark/>
          </w:tcPr>
          <w:p w14:paraId="121BBAD3" w14:textId="77777777" w:rsidR="009D081E" w:rsidRPr="003B7A14" w:rsidRDefault="009D081E" w:rsidP="009A182B">
            <w:pPr>
              <w:widowControl/>
              <w:autoSpaceDE/>
              <w:autoSpaceDN/>
              <w:jc w:val="center"/>
              <w:rPr>
                <w:sz w:val="20"/>
                <w:szCs w:val="20"/>
              </w:rPr>
            </w:pPr>
            <w:r w:rsidRPr="003B7A14">
              <w:rPr>
                <w:bCs/>
                <w:sz w:val="20"/>
                <w:szCs w:val="20"/>
              </w:rPr>
              <w:t>0.090</w:t>
            </w:r>
          </w:p>
        </w:tc>
        <w:tc>
          <w:tcPr>
            <w:tcW w:w="257" w:type="pct"/>
            <w:tcBorders>
              <w:top w:val="single" w:sz="4" w:space="0" w:color="auto"/>
            </w:tcBorders>
            <w:shd w:val="clear" w:color="auto" w:fill="auto"/>
            <w:noWrap/>
            <w:vAlign w:val="center"/>
            <w:hideMark/>
          </w:tcPr>
          <w:p w14:paraId="4CDAF3CA"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5" w:type="pct"/>
            <w:tcBorders>
              <w:top w:val="single" w:sz="4" w:space="0" w:color="auto"/>
            </w:tcBorders>
            <w:shd w:val="clear" w:color="auto" w:fill="auto"/>
            <w:noWrap/>
            <w:vAlign w:val="center"/>
            <w:hideMark/>
          </w:tcPr>
          <w:p w14:paraId="06C75CA3" w14:textId="77777777" w:rsidR="009D081E" w:rsidRPr="003B7A14" w:rsidRDefault="009D081E" w:rsidP="009A182B">
            <w:pPr>
              <w:widowControl/>
              <w:autoSpaceDE/>
              <w:autoSpaceDN/>
              <w:jc w:val="center"/>
              <w:rPr>
                <w:sz w:val="20"/>
                <w:szCs w:val="20"/>
              </w:rPr>
            </w:pPr>
            <w:r w:rsidRPr="003B7A14">
              <w:rPr>
                <w:bCs/>
                <w:sz w:val="20"/>
                <w:szCs w:val="20"/>
              </w:rPr>
              <w:t>0.26</w:t>
            </w:r>
          </w:p>
        </w:tc>
        <w:tc>
          <w:tcPr>
            <w:tcW w:w="252" w:type="pct"/>
            <w:tcBorders>
              <w:top w:val="single" w:sz="4" w:space="0" w:color="auto"/>
            </w:tcBorders>
            <w:shd w:val="clear" w:color="auto" w:fill="auto"/>
            <w:noWrap/>
            <w:vAlign w:val="center"/>
            <w:hideMark/>
          </w:tcPr>
          <w:p w14:paraId="29397AEF" w14:textId="77777777" w:rsidR="009D081E" w:rsidRPr="003B7A14" w:rsidRDefault="009D081E" w:rsidP="009A182B">
            <w:pPr>
              <w:widowControl/>
              <w:autoSpaceDE/>
              <w:autoSpaceDN/>
              <w:jc w:val="center"/>
              <w:rPr>
                <w:sz w:val="20"/>
                <w:szCs w:val="20"/>
              </w:rPr>
            </w:pPr>
            <w:r w:rsidRPr="003B7A14">
              <w:rPr>
                <w:bCs/>
                <w:sz w:val="20"/>
                <w:szCs w:val="20"/>
              </w:rPr>
              <w:t>0.059</w:t>
            </w:r>
          </w:p>
        </w:tc>
        <w:tc>
          <w:tcPr>
            <w:tcW w:w="252" w:type="pct"/>
            <w:tcBorders>
              <w:top w:val="single" w:sz="4" w:space="0" w:color="auto"/>
            </w:tcBorders>
            <w:shd w:val="clear" w:color="auto" w:fill="auto"/>
            <w:noWrap/>
            <w:vAlign w:val="center"/>
            <w:hideMark/>
          </w:tcPr>
          <w:p w14:paraId="1D2DF2A0" w14:textId="77777777" w:rsidR="009D081E" w:rsidRPr="003B7A14" w:rsidRDefault="009D081E" w:rsidP="009A182B">
            <w:pPr>
              <w:widowControl/>
              <w:autoSpaceDE/>
              <w:autoSpaceDN/>
              <w:jc w:val="center"/>
              <w:rPr>
                <w:sz w:val="20"/>
                <w:szCs w:val="20"/>
              </w:rPr>
            </w:pPr>
            <w:r w:rsidRPr="003B7A14">
              <w:rPr>
                <w:bCs/>
                <w:sz w:val="20"/>
                <w:szCs w:val="20"/>
              </w:rPr>
              <w:t>0.084</w:t>
            </w:r>
          </w:p>
        </w:tc>
        <w:tc>
          <w:tcPr>
            <w:tcW w:w="252" w:type="pct"/>
            <w:tcBorders>
              <w:top w:val="single" w:sz="4" w:space="0" w:color="auto"/>
            </w:tcBorders>
            <w:shd w:val="clear" w:color="auto" w:fill="auto"/>
            <w:noWrap/>
            <w:vAlign w:val="center"/>
            <w:hideMark/>
          </w:tcPr>
          <w:p w14:paraId="06C1A8C3" w14:textId="77777777" w:rsidR="009D081E" w:rsidRPr="003B7A14" w:rsidRDefault="009D081E" w:rsidP="009A182B">
            <w:pPr>
              <w:widowControl/>
              <w:autoSpaceDE/>
              <w:autoSpaceDN/>
              <w:jc w:val="center"/>
              <w:rPr>
                <w:sz w:val="20"/>
                <w:szCs w:val="20"/>
              </w:rPr>
            </w:pPr>
            <w:r w:rsidRPr="003B7A14">
              <w:rPr>
                <w:bCs/>
                <w:sz w:val="20"/>
                <w:szCs w:val="20"/>
              </w:rPr>
              <w:t>0.172</w:t>
            </w:r>
          </w:p>
        </w:tc>
        <w:tc>
          <w:tcPr>
            <w:tcW w:w="253" w:type="pct"/>
            <w:tcBorders>
              <w:top w:val="single" w:sz="4" w:space="0" w:color="auto"/>
            </w:tcBorders>
            <w:shd w:val="clear" w:color="auto" w:fill="auto"/>
            <w:noWrap/>
            <w:vAlign w:val="center"/>
            <w:hideMark/>
          </w:tcPr>
          <w:p w14:paraId="4E740300" w14:textId="77777777" w:rsidR="009D081E" w:rsidRPr="003B7A14" w:rsidRDefault="009D081E" w:rsidP="009A182B">
            <w:pPr>
              <w:widowControl/>
              <w:autoSpaceDE/>
              <w:autoSpaceDN/>
              <w:jc w:val="center"/>
              <w:rPr>
                <w:sz w:val="20"/>
                <w:szCs w:val="20"/>
              </w:rPr>
            </w:pPr>
            <w:r w:rsidRPr="003B7A14">
              <w:rPr>
                <w:bCs/>
                <w:sz w:val="20"/>
                <w:szCs w:val="20"/>
              </w:rPr>
              <w:t>0.138</w:t>
            </w:r>
          </w:p>
        </w:tc>
        <w:tc>
          <w:tcPr>
            <w:tcW w:w="253" w:type="pct"/>
            <w:tcBorders>
              <w:top w:val="single" w:sz="4" w:space="0" w:color="auto"/>
            </w:tcBorders>
            <w:shd w:val="clear" w:color="auto" w:fill="auto"/>
            <w:noWrap/>
            <w:vAlign w:val="center"/>
            <w:hideMark/>
          </w:tcPr>
          <w:p w14:paraId="53A3FFC0" w14:textId="77777777" w:rsidR="009D081E" w:rsidRPr="003B7A14" w:rsidRDefault="009D081E" w:rsidP="009A182B">
            <w:pPr>
              <w:widowControl/>
              <w:autoSpaceDE/>
              <w:autoSpaceDN/>
              <w:jc w:val="center"/>
              <w:rPr>
                <w:sz w:val="20"/>
                <w:szCs w:val="20"/>
              </w:rPr>
            </w:pPr>
            <w:r w:rsidRPr="003B7A14">
              <w:rPr>
                <w:bCs/>
                <w:sz w:val="20"/>
                <w:szCs w:val="20"/>
              </w:rPr>
              <w:t>0.196</w:t>
            </w:r>
          </w:p>
        </w:tc>
        <w:tc>
          <w:tcPr>
            <w:tcW w:w="254" w:type="pct"/>
            <w:tcBorders>
              <w:top w:val="single" w:sz="4" w:space="0" w:color="auto"/>
            </w:tcBorders>
            <w:shd w:val="clear" w:color="auto" w:fill="auto"/>
            <w:noWrap/>
            <w:vAlign w:val="center"/>
            <w:hideMark/>
          </w:tcPr>
          <w:p w14:paraId="5597400A" w14:textId="77777777" w:rsidR="009D081E" w:rsidRPr="003B7A14" w:rsidRDefault="009D081E" w:rsidP="009A182B">
            <w:pPr>
              <w:widowControl/>
              <w:autoSpaceDE/>
              <w:autoSpaceDN/>
              <w:jc w:val="center"/>
              <w:rPr>
                <w:sz w:val="20"/>
                <w:szCs w:val="20"/>
              </w:rPr>
            </w:pPr>
            <w:r w:rsidRPr="003B7A14">
              <w:rPr>
                <w:bCs/>
                <w:sz w:val="20"/>
                <w:szCs w:val="20"/>
              </w:rPr>
              <w:t>0.401</w:t>
            </w:r>
          </w:p>
        </w:tc>
      </w:tr>
      <w:tr w:rsidR="003B7A14" w:rsidRPr="003B7A14" w14:paraId="0361AB68" w14:textId="77777777" w:rsidTr="009A182B">
        <w:trPr>
          <w:trHeight w:val="425"/>
        </w:trPr>
        <w:tc>
          <w:tcPr>
            <w:tcW w:w="292" w:type="pct"/>
            <w:shd w:val="clear" w:color="auto" w:fill="auto"/>
            <w:noWrap/>
            <w:vAlign w:val="center"/>
            <w:hideMark/>
          </w:tcPr>
          <w:p w14:paraId="32104027" w14:textId="77777777" w:rsidR="009D081E" w:rsidRPr="003B7A14" w:rsidRDefault="009D081E" w:rsidP="009A182B">
            <w:pPr>
              <w:widowControl/>
              <w:autoSpaceDE/>
              <w:autoSpaceDN/>
              <w:jc w:val="center"/>
              <w:rPr>
                <w:b/>
                <w:bCs/>
                <w:sz w:val="20"/>
                <w:szCs w:val="20"/>
              </w:rPr>
            </w:pPr>
            <w:r w:rsidRPr="003B7A14">
              <w:rPr>
                <w:b/>
                <w:bCs/>
                <w:sz w:val="20"/>
                <w:szCs w:val="20"/>
              </w:rPr>
              <w:t>I</w:t>
            </w:r>
          </w:p>
        </w:tc>
        <w:tc>
          <w:tcPr>
            <w:tcW w:w="273" w:type="pct"/>
            <w:shd w:val="clear" w:color="auto" w:fill="auto"/>
            <w:noWrap/>
            <w:vAlign w:val="center"/>
            <w:hideMark/>
          </w:tcPr>
          <w:p w14:paraId="3479D9A8" w14:textId="77777777" w:rsidR="009D081E" w:rsidRPr="003B7A14" w:rsidRDefault="009D081E" w:rsidP="009A182B">
            <w:pPr>
              <w:widowControl/>
              <w:autoSpaceDE/>
              <w:autoSpaceDN/>
              <w:jc w:val="center"/>
              <w:rPr>
                <w:sz w:val="20"/>
                <w:szCs w:val="20"/>
              </w:rPr>
            </w:pPr>
            <w:r w:rsidRPr="003B7A14">
              <w:rPr>
                <w:bCs/>
                <w:sz w:val="20"/>
                <w:szCs w:val="20"/>
              </w:rPr>
              <w:t>0.015</w:t>
            </w:r>
          </w:p>
        </w:tc>
        <w:tc>
          <w:tcPr>
            <w:tcW w:w="255" w:type="pct"/>
            <w:shd w:val="clear" w:color="auto" w:fill="auto"/>
            <w:noWrap/>
            <w:vAlign w:val="center"/>
            <w:hideMark/>
          </w:tcPr>
          <w:p w14:paraId="419FD26E" w14:textId="77777777" w:rsidR="009D081E" w:rsidRPr="003B7A14" w:rsidRDefault="009D081E" w:rsidP="009A182B">
            <w:pPr>
              <w:widowControl/>
              <w:autoSpaceDE/>
              <w:autoSpaceDN/>
              <w:jc w:val="center"/>
              <w:rPr>
                <w:sz w:val="20"/>
                <w:szCs w:val="20"/>
              </w:rPr>
            </w:pPr>
            <w:r w:rsidRPr="003B7A14">
              <w:rPr>
                <w:bCs/>
                <w:sz w:val="20"/>
                <w:szCs w:val="20"/>
              </w:rPr>
              <w:t>0.022</w:t>
            </w:r>
          </w:p>
        </w:tc>
        <w:tc>
          <w:tcPr>
            <w:tcW w:w="258" w:type="pct"/>
            <w:shd w:val="clear" w:color="auto" w:fill="auto"/>
            <w:noWrap/>
            <w:vAlign w:val="center"/>
            <w:hideMark/>
          </w:tcPr>
          <w:p w14:paraId="2B589BFB" w14:textId="77777777" w:rsidR="009D081E" w:rsidRPr="003B7A14" w:rsidRDefault="009D081E" w:rsidP="009A182B">
            <w:pPr>
              <w:widowControl/>
              <w:autoSpaceDE/>
              <w:autoSpaceDN/>
              <w:jc w:val="center"/>
              <w:rPr>
                <w:sz w:val="20"/>
                <w:szCs w:val="20"/>
              </w:rPr>
            </w:pPr>
            <w:r w:rsidRPr="003B7A14">
              <w:rPr>
                <w:bCs/>
                <w:sz w:val="20"/>
                <w:szCs w:val="20"/>
              </w:rPr>
              <w:t>0.045</w:t>
            </w:r>
          </w:p>
        </w:tc>
        <w:tc>
          <w:tcPr>
            <w:tcW w:w="279" w:type="pct"/>
            <w:shd w:val="clear" w:color="auto" w:fill="auto"/>
            <w:noWrap/>
            <w:vAlign w:val="center"/>
            <w:hideMark/>
          </w:tcPr>
          <w:p w14:paraId="0164B3BF" w14:textId="77777777" w:rsidR="009D081E" w:rsidRPr="003B7A14" w:rsidRDefault="009D081E" w:rsidP="009A182B">
            <w:pPr>
              <w:widowControl/>
              <w:autoSpaceDE/>
              <w:autoSpaceDN/>
              <w:jc w:val="center"/>
              <w:rPr>
                <w:sz w:val="20"/>
                <w:szCs w:val="20"/>
              </w:rPr>
            </w:pPr>
            <w:r w:rsidRPr="003B7A14">
              <w:rPr>
                <w:bCs/>
                <w:sz w:val="20"/>
                <w:szCs w:val="20"/>
              </w:rPr>
              <w:t>0.0454</w:t>
            </w:r>
          </w:p>
        </w:tc>
        <w:tc>
          <w:tcPr>
            <w:tcW w:w="257" w:type="pct"/>
            <w:shd w:val="clear" w:color="auto" w:fill="auto"/>
            <w:noWrap/>
            <w:vAlign w:val="center"/>
            <w:hideMark/>
          </w:tcPr>
          <w:p w14:paraId="0F504569" w14:textId="77777777" w:rsidR="009D081E" w:rsidRPr="003B7A14" w:rsidRDefault="009D081E" w:rsidP="009A182B">
            <w:pPr>
              <w:widowControl/>
              <w:autoSpaceDE/>
              <w:autoSpaceDN/>
              <w:jc w:val="center"/>
              <w:rPr>
                <w:sz w:val="20"/>
                <w:szCs w:val="20"/>
              </w:rPr>
            </w:pPr>
            <w:r w:rsidRPr="003B7A14">
              <w:rPr>
                <w:bCs/>
                <w:sz w:val="20"/>
                <w:szCs w:val="20"/>
              </w:rPr>
              <w:t>0.064</w:t>
            </w:r>
          </w:p>
        </w:tc>
        <w:tc>
          <w:tcPr>
            <w:tcW w:w="255" w:type="pct"/>
            <w:shd w:val="clear" w:color="auto" w:fill="auto"/>
            <w:noWrap/>
            <w:vAlign w:val="center"/>
            <w:hideMark/>
          </w:tcPr>
          <w:p w14:paraId="15838844" w14:textId="77777777" w:rsidR="009D081E" w:rsidRPr="003B7A14" w:rsidRDefault="009D081E" w:rsidP="009A182B">
            <w:pPr>
              <w:widowControl/>
              <w:autoSpaceDE/>
              <w:autoSpaceDN/>
              <w:jc w:val="center"/>
              <w:rPr>
                <w:sz w:val="20"/>
                <w:szCs w:val="20"/>
              </w:rPr>
            </w:pPr>
            <w:r w:rsidRPr="003B7A14">
              <w:rPr>
                <w:bCs/>
                <w:sz w:val="20"/>
                <w:szCs w:val="20"/>
              </w:rPr>
              <w:t>0.131</w:t>
            </w:r>
          </w:p>
        </w:tc>
        <w:tc>
          <w:tcPr>
            <w:tcW w:w="312" w:type="pct"/>
            <w:shd w:val="clear" w:color="auto" w:fill="auto"/>
            <w:noWrap/>
            <w:vAlign w:val="center"/>
            <w:hideMark/>
          </w:tcPr>
          <w:p w14:paraId="720F63BE" w14:textId="77777777" w:rsidR="009D081E" w:rsidRPr="003B7A14" w:rsidRDefault="009D081E" w:rsidP="009A182B">
            <w:pPr>
              <w:widowControl/>
              <w:autoSpaceDE/>
              <w:autoSpaceDN/>
              <w:jc w:val="center"/>
              <w:rPr>
                <w:sz w:val="20"/>
                <w:szCs w:val="20"/>
              </w:rPr>
            </w:pPr>
            <w:r w:rsidRPr="003B7A14">
              <w:rPr>
                <w:bCs/>
                <w:sz w:val="20"/>
                <w:szCs w:val="20"/>
              </w:rPr>
              <w:t>0.104</w:t>
            </w:r>
          </w:p>
        </w:tc>
        <w:tc>
          <w:tcPr>
            <w:tcW w:w="257" w:type="pct"/>
            <w:shd w:val="clear" w:color="auto" w:fill="auto"/>
            <w:noWrap/>
            <w:vAlign w:val="center"/>
            <w:hideMark/>
          </w:tcPr>
          <w:p w14:paraId="537259B5" w14:textId="77777777" w:rsidR="009D081E" w:rsidRPr="003B7A14" w:rsidRDefault="009D081E" w:rsidP="009A182B">
            <w:pPr>
              <w:widowControl/>
              <w:autoSpaceDE/>
              <w:autoSpaceDN/>
              <w:jc w:val="center"/>
              <w:rPr>
                <w:sz w:val="20"/>
                <w:szCs w:val="20"/>
              </w:rPr>
            </w:pPr>
            <w:r w:rsidRPr="003B7A14">
              <w:rPr>
                <w:bCs/>
                <w:sz w:val="20"/>
                <w:szCs w:val="20"/>
              </w:rPr>
              <w:t>0.148</w:t>
            </w:r>
          </w:p>
        </w:tc>
        <w:tc>
          <w:tcPr>
            <w:tcW w:w="254" w:type="pct"/>
            <w:shd w:val="clear" w:color="auto" w:fill="auto"/>
            <w:noWrap/>
            <w:vAlign w:val="center"/>
            <w:hideMark/>
          </w:tcPr>
          <w:p w14:paraId="64E869B7" w14:textId="77777777" w:rsidR="009D081E" w:rsidRPr="003B7A14" w:rsidRDefault="009D081E" w:rsidP="009A182B">
            <w:pPr>
              <w:widowControl/>
              <w:autoSpaceDE/>
              <w:autoSpaceDN/>
              <w:jc w:val="center"/>
              <w:rPr>
                <w:sz w:val="20"/>
                <w:szCs w:val="20"/>
              </w:rPr>
            </w:pPr>
            <w:r w:rsidRPr="003B7A14">
              <w:rPr>
                <w:bCs/>
                <w:sz w:val="20"/>
                <w:szCs w:val="20"/>
              </w:rPr>
              <w:t>0.303</w:t>
            </w:r>
          </w:p>
        </w:tc>
        <w:tc>
          <w:tcPr>
            <w:tcW w:w="280" w:type="pct"/>
            <w:shd w:val="clear" w:color="auto" w:fill="auto"/>
            <w:noWrap/>
            <w:vAlign w:val="center"/>
            <w:hideMark/>
          </w:tcPr>
          <w:p w14:paraId="432C8013" w14:textId="77777777" w:rsidR="009D081E" w:rsidRPr="003B7A14" w:rsidRDefault="009D081E" w:rsidP="009A182B">
            <w:pPr>
              <w:widowControl/>
              <w:autoSpaceDE/>
              <w:autoSpaceDN/>
              <w:jc w:val="center"/>
              <w:rPr>
                <w:sz w:val="20"/>
                <w:szCs w:val="20"/>
              </w:rPr>
            </w:pPr>
            <w:r w:rsidRPr="003B7A14">
              <w:rPr>
                <w:bCs/>
                <w:sz w:val="20"/>
                <w:szCs w:val="20"/>
              </w:rPr>
              <w:t>0.168</w:t>
            </w:r>
          </w:p>
        </w:tc>
        <w:tc>
          <w:tcPr>
            <w:tcW w:w="257" w:type="pct"/>
            <w:shd w:val="clear" w:color="auto" w:fill="auto"/>
            <w:noWrap/>
            <w:vAlign w:val="center"/>
            <w:hideMark/>
          </w:tcPr>
          <w:p w14:paraId="1D3A36A4"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5" w:type="pct"/>
            <w:shd w:val="clear" w:color="auto" w:fill="auto"/>
            <w:noWrap/>
            <w:vAlign w:val="center"/>
            <w:hideMark/>
          </w:tcPr>
          <w:p w14:paraId="5D4EEDF8" w14:textId="77777777" w:rsidR="009D081E" w:rsidRPr="003B7A14" w:rsidRDefault="009D081E" w:rsidP="009A182B">
            <w:pPr>
              <w:widowControl/>
              <w:autoSpaceDE/>
              <w:autoSpaceDN/>
              <w:jc w:val="center"/>
              <w:rPr>
                <w:sz w:val="20"/>
                <w:szCs w:val="20"/>
              </w:rPr>
            </w:pPr>
            <w:r w:rsidRPr="003B7A14">
              <w:rPr>
                <w:bCs/>
                <w:sz w:val="20"/>
                <w:szCs w:val="20"/>
              </w:rPr>
              <w:t>0.487</w:t>
            </w:r>
          </w:p>
        </w:tc>
        <w:tc>
          <w:tcPr>
            <w:tcW w:w="252" w:type="pct"/>
            <w:shd w:val="clear" w:color="auto" w:fill="auto"/>
            <w:noWrap/>
            <w:vAlign w:val="center"/>
            <w:hideMark/>
          </w:tcPr>
          <w:p w14:paraId="380C2C5E" w14:textId="77777777" w:rsidR="009D081E" w:rsidRPr="003B7A14" w:rsidRDefault="009D081E" w:rsidP="009A182B">
            <w:pPr>
              <w:widowControl/>
              <w:autoSpaceDE/>
              <w:autoSpaceDN/>
              <w:jc w:val="center"/>
              <w:rPr>
                <w:sz w:val="20"/>
                <w:szCs w:val="20"/>
              </w:rPr>
            </w:pPr>
            <w:r w:rsidRPr="003B7A14">
              <w:rPr>
                <w:bCs/>
                <w:sz w:val="20"/>
                <w:szCs w:val="20"/>
              </w:rPr>
              <w:t>0.111</w:t>
            </w:r>
          </w:p>
        </w:tc>
        <w:tc>
          <w:tcPr>
            <w:tcW w:w="252" w:type="pct"/>
            <w:shd w:val="clear" w:color="auto" w:fill="auto"/>
            <w:noWrap/>
            <w:vAlign w:val="center"/>
            <w:hideMark/>
          </w:tcPr>
          <w:p w14:paraId="460EF3DB" w14:textId="77777777" w:rsidR="009D081E" w:rsidRPr="003B7A14" w:rsidRDefault="009D081E" w:rsidP="009A182B">
            <w:pPr>
              <w:widowControl/>
              <w:autoSpaceDE/>
              <w:autoSpaceDN/>
              <w:jc w:val="center"/>
              <w:rPr>
                <w:sz w:val="20"/>
                <w:szCs w:val="20"/>
              </w:rPr>
            </w:pPr>
            <w:r w:rsidRPr="003B7A14">
              <w:rPr>
                <w:bCs/>
                <w:sz w:val="20"/>
                <w:szCs w:val="20"/>
              </w:rPr>
              <w:t>0.157</w:t>
            </w:r>
          </w:p>
        </w:tc>
        <w:tc>
          <w:tcPr>
            <w:tcW w:w="252" w:type="pct"/>
            <w:shd w:val="clear" w:color="auto" w:fill="auto"/>
            <w:noWrap/>
            <w:vAlign w:val="center"/>
            <w:hideMark/>
          </w:tcPr>
          <w:p w14:paraId="46ADED01" w14:textId="77777777" w:rsidR="009D081E" w:rsidRPr="003B7A14" w:rsidRDefault="009D081E" w:rsidP="009A182B">
            <w:pPr>
              <w:widowControl/>
              <w:autoSpaceDE/>
              <w:autoSpaceDN/>
              <w:jc w:val="center"/>
              <w:rPr>
                <w:sz w:val="20"/>
                <w:szCs w:val="20"/>
              </w:rPr>
            </w:pPr>
            <w:r w:rsidRPr="003B7A14">
              <w:rPr>
                <w:bCs/>
                <w:sz w:val="20"/>
                <w:szCs w:val="20"/>
              </w:rPr>
              <w:t>0.321</w:t>
            </w:r>
          </w:p>
        </w:tc>
        <w:tc>
          <w:tcPr>
            <w:tcW w:w="253" w:type="pct"/>
            <w:shd w:val="clear" w:color="auto" w:fill="auto"/>
            <w:noWrap/>
            <w:vAlign w:val="center"/>
            <w:hideMark/>
          </w:tcPr>
          <w:p w14:paraId="196A0E0A" w14:textId="77777777" w:rsidR="009D081E" w:rsidRPr="003B7A14" w:rsidRDefault="009D081E" w:rsidP="009A182B">
            <w:pPr>
              <w:widowControl/>
              <w:autoSpaceDE/>
              <w:autoSpaceDN/>
              <w:jc w:val="center"/>
              <w:rPr>
                <w:sz w:val="20"/>
                <w:szCs w:val="20"/>
              </w:rPr>
            </w:pPr>
            <w:r w:rsidRPr="003B7A14">
              <w:rPr>
                <w:bCs/>
                <w:sz w:val="20"/>
                <w:szCs w:val="20"/>
              </w:rPr>
              <w:t>0.259</w:t>
            </w:r>
          </w:p>
        </w:tc>
        <w:tc>
          <w:tcPr>
            <w:tcW w:w="253" w:type="pct"/>
            <w:shd w:val="clear" w:color="auto" w:fill="auto"/>
            <w:noWrap/>
            <w:vAlign w:val="center"/>
            <w:hideMark/>
          </w:tcPr>
          <w:p w14:paraId="14A964D6" w14:textId="77777777" w:rsidR="009D081E" w:rsidRPr="003B7A14" w:rsidRDefault="009D081E" w:rsidP="009A182B">
            <w:pPr>
              <w:widowControl/>
              <w:autoSpaceDE/>
              <w:autoSpaceDN/>
              <w:jc w:val="center"/>
              <w:rPr>
                <w:sz w:val="20"/>
                <w:szCs w:val="20"/>
              </w:rPr>
            </w:pPr>
            <w:r w:rsidRPr="003B7A14">
              <w:rPr>
                <w:bCs/>
                <w:sz w:val="20"/>
                <w:szCs w:val="20"/>
              </w:rPr>
              <w:t>0.366</w:t>
            </w:r>
          </w:p>
        </w:tc>
        <w:tc>
          <w:tcPr>
            <w:tcW w:w="254" w:type="pct"/>
            <w:shd w:val="clear" w:color="auto" w:fill="auto"/>
            <w:noWrap/>
            <w:vAlign w:val="center"/>
            <w:hideMark/>
          </w:tcPr>
          <w:p w14:paraId="418E18FE" w14:textId="77777777" w:rsidR="009D081E" w:rsidRPr="003B7A14" w:rsidRDefault="009D081E" w:rsidP="009A182B">
            <w:pPr>
              <w:widowControl/>
              <w:autoSpaceDE/>
              <w:autoSpaceDN/>
              <w:jc w:val="center"/>
              <w:rPr>
                <w:sz w:val="20"/>
                <w:szCs w:val="20"/>
              </w:rPr>
            </w:pPr>
            <w:r w:rsidRPr="003B7A14">
              <w:rPr>
                <w:bCs/>
                <w:sz w:val="20"/>
                <w:szCs w:val="20"/>
              </w:rPr>
              <w:t>0.75</w:t>
            </w:r>
          </w:p>
        </w:tc>
      </w:tr>
      <w:tr w:rsidR="003B7A14" w:rsidRPr="003B7A14" w14:paraId="13E44CF7" w14:textId="77777777" w:rsidTr="009A182B">
        <w:trPr>
          <w:trHeight w:val="425"/>
        </w:trPr>
        <w:tc>
          <w:tcPr>
            <w:tcW w:w="292" w:type="pct"/>
            <w:tcBorders>
              <w:bottom w:val="single" w:sz="4" w:space="0" w:color="auto"/>
            </w:tcBorders>
            <w:shd w:val="clear" w:color="auto" w:fill="auto"/>
            <w:noWrap/>
            <w:vAlign w:val="center"/>
            <w:hideMark/>
          </w:tcPr>
          <w:p w14:paraId="54F9742B" w14:textId="77777777" w:rsidR="009D081E" w:rsidRPr="003B7A14" w:rsidRDefault="009D081E" w:rsidP="009A182B">
            <w:pPr>
              <w:widowControl/>
              <w:autoSpaceDE/>
              <w:autoSpaceDN/>
              <w:jc w:val="center"/>
              <w:rPr>
                <w:b/>
                <w:bCs/>
                <w:sz w:val="20"/>
                <w:szCs w:val="20"/>
              </w:rPr>
            </w:pPr>
            <w:r w:rsidRPr="003B7A14">
              <w:rPr>
                <w:b/>
                <w:bCs/>
                <w:sz w:val="20"/>
                <w:szCs w:val="20"/>
              </w:rPr>
              <w:t>M × I</w:t>
            </w:r>
          </w:p>
        </w:tc>
        <w:tc>
          <w:tcPr>
            <w:tcW w:w="273" w:type="pct"/>
            <w:tcBorders>
              <w:bottom w:val="single" w:sz="4" w:space="0" w:color="auto"/>
            </w:tcBorders>
            <w:shd w:val="clear" w:color="auto" w:fill="auto"/>
            <w:noWrap/>
            <w:vAlign w:val="center"/>
            <w:hideMark/>
          </w:tcPr>
          <w:p w14:paraId="00EA8917" w14:textId="77777777" w:rsidR="009D081E" w:rsidRPr="003B7A14" w:rsidRDefault="009D081E" w:rsidP="009A182B">
            <w:pPr>
              <w:widowControl/>
              <w:autoSpaceDE/>
              <w:autoSpaceDN/>
              <w:jc w:val="center"/>
              <w:rPr>
                <w:sz w:val="20"/>
                <w:szCs w:val="20"/>
              </w:rPr>
            </w:pPr>
            <w:r w:rsidRPr="003B7A14">
              <w:rPr>
                <w:bCs/>
                <w:sz w:val="20"/>
                <w:szCs w:val="20"/>
              </w:rPr>
              <w:t>0.021</w:t>
            </w:r>
          </w:p>
        </w:tc>
        <w:tc>
          <w:tcPr>
            <w:tcW w:w="255" w:type="pct"/>
            <w:tcBorders>
              <w:bottom w:val="single" w:sz="4" w:space="0" w:color="auto"/>
            </w:tcBorders>
            <w:shd w:val="clear" w:color="auto" w:fill="auto"/>
            <w:noWrap/>
            <w:vAlign w:val="center"/>
            <w:hideMark/>
          </w:tcPr>
          <w:p w14:paraId="4099E74F" w14:textId="77777777" w:rsidR="009D081E" w:rsidRPr="003B7A14" w:rsidRDefault="009D081E" w:rsidP="009A182B">
            <w:pPr>
              <w:widowControl/>
              <w:autoSpaceDE/>
              <w:autoSpaceDN/>
              <w:jc w:val="center"/>
              <w:rPr>
                <w:sz w:val="20"/>
                <w:szCs w:val="20"/>
              </w:rPr>
            </w:pPr>
            <w:r w:rsidRPr="003B7A14">
              <w:rPr>
                <w:bCs/>
                <w:sz w:val="20"/>
                <w:szCs w:val="20"/>
              </w:rPr>
              <w:t>0.031</w:t>
            </w:r>
          </w:p>
        </w:tc>
        <w:tc>
          <w:tcPr>
            <w:tcW w:w="258" w:type="pct"/>
            <w:tcBorders>
              <w:bottom w:val="single" w:sz="4" w:space="0" w:color="auto"/>
            </w:tcBorders>
            <w:shd w:val="clear" w:color="auto" w:fill="auto"/>
            <w:noWrap/>
            <w:vAlign w:val="center"/>
            <w:hideMark/>
          </w:tcPr>
          <w:p w14:paraId="6B4BA521" w14:textId="77777777" w:rsidR="009D081E" w:rsidRPr="003B7A14" w:rsidRDefault="009D081E" w:rsidP="009A182B">
            <w:pPr>
              <w:widowControl/>
              <w:autoSpaceDE/>
              <w:autoSpaceDN/>
              <w:jc w:val="center"/>
              <w:rPr>
                <w:sz w:val="20"/>
                <w:szCs w:val="20"/>
              </w:rPr>
            </w:pPr>
            <w:r w:rsidRPr="003B7A14">
              <w:rPr>
                <w:bCs/>
                <w:sz w:val="20"/>
                <w:szCs w:val="20"/>
              </w:rPr>
              <w:t>0.063</w:t>
            </w:r>
          </w:p>
        </w:tc>
        <w:tc>
          <w:tcPr>
            <w:tcW w:w="279" w:type="pct"/>
            <w:tcBorders>
              <w:bottom w:val="single" w:sz="4" w:space="0" w:color="auto"/>
            </w:tcBorders>
            <w:shd w:val="clear" w:color="auto" w:fill="auto"/>
            <w:noWrap/>
            <w:vAlign w:val="center"/>
            <w:hideMark/>
          </w:tcPr>
          <w:p w14:paraId="500AC9B7" w14:textId="77777777" w:rsidR="009D081E" w:rsidRPr="003B7A14" w:rsidRDefault="009D081E" w:rsidP="009A182B">
            <w:pPr>
              <w:widowControl/>
              <w:autoSpaceDE/>
              <w:autoSpaceDN/>
              <w:jc w:val="center"/>
              <w:rPr>
                <w:sz w:val="20"/>
                <w:szCs w:val="20"/>
              </w:rPr>
            </w:pPr>
            <w:r w:rsidRPr="003B7A14">
              <w:rPr>
                <w:bCs/>
                <w:sz w:val="20"/>
                <w:szCs w:val="20"/>
              </w:rPr>
              <w:t>0.0642</w:t>
            </w:r>
          </w:p>
        </w:tc>
        <w:tc>
          <w:tcPr>
            <w:tcW w:w="257" w:type="pct"/>
            <w:tcBorders>
              <w:bottom w:val="single" w:sz="4" w:space="0" w:color="auto"/>
            </w:tcBorders>
            <w:shd w:val="clear" w:color="auto" w:fill="auto"/>
            <w:noWrap/>
            <w:vAlign w:val="center"/>
            <w:hideMark/>
          </w:tcPr>
          <w:p w14:paraId="48E94C85" w14:textId="77777777" w:rsidR="009D081E" w:rsidRPr="003B7A14" w:rsidRDefault="009D081E" w:rsidP="009A182B">
            <w:pPr>
              <w:widowControl/>
              <w:autoSpaceDE/>
              <w:autoSpaceDN/>
              <w:jc w:val="center"/>
              <w:rPr>
                <w:sz w:val="20"/>
                <w:szCs w:val="20"/>
              </w:rPr>
            </w:pPr>
            <w:r w:rsidRPr="003B7A14">
              <w:rPr>
                <w:bCs/>
                <w:sz w:val="20"/>
                <w:szCs w:val="20"/>
              </w:rPr>
              <w:t>0.091</w:t>
            </w:r>
          </w:p>
        </w:tc>
        <w:tc>
          <w:tcPr>
            <w:tcW w:w="255" w:type="pct"/>
            <w:tcBorders>
              <w:bottom w:val="single" w:sz="4" w:space="0" w:color="auto"/>
            </w:tcBorders>
            <w:shd w:val="clear" w:color="auto" w:fill="auto"/>
            <w:noWrap/>
            <w:vAlign w:val="center"/>
            <w:hideMark/>
          </w:tcPr>
          <w:p w14:paraId="39295864" w14:textId="77777777" w:rsidR="009D081E" w:rsidRPr="003B7A14" w:rsidRDefault="009D081E" w:rsidP="009A182B">
            <w:pPr>
              <w:widowControl/>
              <w:autoSpaceDE/>
              <w:autoSpaceDN/>
              <w:jc w:val="center"/>
              <w:rPr>
                <w:sz w:val="20"/>
                <w:szCs w:val="20"/>
              </w:rPr>
            </w:pPr>
            <w:r w:rsidRPr="003B7A14">
              <w:rPr>
                <w:bCs/>
                <w:sz w:val="20"/>
                <w:szCs w:val="20"/>
              </w:rPr>
              <w:t>0.186</w:t>
            </w:r>
          </w:p>
        </w:tc>
        <w:tc>
          <w:tcPr>
            <w:tcW w:w="312" w:type="pct"/>
            <w:tcBorders>
              <w:bottom w:val="single" w:sz="4" w:space="0" w:color="auto"/>
            </w:tcBorders>
            <w:shd w:val="clear" w:color="auto" w:fill="auto"/>
            <w:noWrap/>
            <w:vAlign w:val="center"/>
            <w:hideMark/>
          </w:tcPr>
          <w:p w14:paraId="0230D883" w14:textId="77777777" w:rsidR="009D081E" w:rsidRPr="003B7A14" w:rsidRDefault="009D081E" w:rsidP="009A182B">
            <w:pPr>
              <w:widowControl/>
              <w:autoSpaceDE/>
              <w:autoSpaceDN/>
              <w:jc w:val="center"/>
              <w:rPr>
                <w:sz w:val="20"/>
                <w:szCs w:val="20"/>
              </w:rPr>
            </w:pPr>
            <w:r w:rsidRPr="003B7A14">
              <w:rPr>
                <w:bCs/>
                <w:sz w:val="20"/>
                <w:szCs w:val="20"/>
              </w:rPr>
              <w:t>0.147</w:t>
            </w:r>
          </w:p>
        </w:tc>
        <w:tc>
          <w:tcPr>
            <w:tcW w:w="257" w:type="pct"/>
            <w:tcBorders>
              <w:bottom w:val="single" w:sz="4" w:space="0" w:color="auto"/>
            </w:tcBorders>
            <w:shd w:val="clear" w:color="auto" w:fill="auto"/>
            <w:noWrap/>
            <w:vAlign w:val="center"/>
            <w:hideMark/>
          </w:tcPr>
          <w:p w14:paraId="26EEC773" w14:textId="77777777" w:rsidR="009D081E" w:rsidRPr="003B7A14" w:rsidRDefault="009D081E" w:rsidP="009A182B">
            <w:pPr>
              <w:widowControl/>
              <w:autoSpaceDE/>
              <w:autoSpaceDN/>
              <w:jc w:val="center"/>
              <w:rPr>
                <w:sz w:val="20"/>
                <w:szCs w:val="20"/>
              </w:rPr>
            </w:pPr>
            <w:r w:rsidRPr="003B7A14">
              <w:rPr>
                <w:bCs/>
                <w:sz w:val="20"/>
                <w:szCs w:val="20"/>
              </w:rPr>
              <w:t>0.209</w:t>
            </w:r>
          </w:p>
        </w:tc>
        <w:tc>
          <w:tcPr>
            <w:tcW w:w="254" w:type="pct"/>
            <w:tcBorders>
              <w:bottom w:val="single" w:sz="4" w:space="0" w:color="auto"/>
            </w:tcBorders>
            <w:shd w:val="clear" w:color="auto" w:fill="auto"/>
            <w:noWrap/>
            <w:vAlign w:val="center"/>
            <w:hideMark/>
          </w:tcPr>
          <w:p w14:paraId="3166408D" w14:textId="77777777" w:rsidR="009D081E" w:rsidRPr="003B7A14" w:rsidRDefault="009D081E" w:rsidP="009A182B">
            <w:pPr>
              <w:widowControl/>
              <w:autoSpaceDE/>
              <w:autoSpaceDN/>
              <w:jc w:val="center"/>
              <w:rPr>
                <w:sz w:val="20"/>
                <w:szCs w:val="20"/>
              </w:rPr>
            </w:pPr>
            <w:r w:rsidRPr="003B7A14">
              <w:rPr>
                <w:bCs/>
                <w:sz w:val="20"/>
                <w:szCs w:val="20"/>
              </w:rPr>
              <w:t>0.428</w:t>
            </w:r>
          </w:p>
        </w:tc>
        <w:tc>
          <w:tcPr>
            <w:tcW w:w="280" w:type="pct"/>
            <w:tcBorders>
              <w:bottom w:val="single" w:sz="4" w:space="0" w:color="auto"/>
            </w:tcBorders>
            <w:shd w:val="clear" w:color="auto" w:fill="auto"/>
            <w:noWrap/>
            <w:vAlign w:val="center"/>
            <w:hideMark/>
          </w:tcPr>
          <w:p w14:paraId="3AC72D6D"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7" w:type="pct"/>
            <w:tcBorders>
              <w:bottom w:val="single" w:sz="4" w:space="0" w:color="auto"/>
            </w:tcBorders>
            <w:shd w:val="clear" w:color="auto" w:fill="auto"/>
            <w:noWrap/>
            <w:vAlign w:val="center"/>
            <w:hideMark/>
          </w:tcPr>
          <w:p w14:paraId="06267E07" w14:textId="77777777" w:rsidR="009D081E" w:rsidRPr="003B7A14" w:rsidRDefault="009D081E" w:rsidP="009A182B">
            <w:pPr>
              <w:widowControl/>
              <w:autoSpaceDE/>
              <w:autoSpaceDN/>
              <w:jc w:val="center"/>
              <w:rPr>
                <w:sz w:val="20"/>
                <w:szCs w:val="20"/>
              </w:rPr>
            </w:pPr>
            <w:r w:rsidRPr="003B7A14">
              <w:rPr>
                <w:bCs/>
                <w:sz w:val="20"/>
                <w:szCs w:val="20"/>
              </w:rPr>
              <w:t>0.336</w:t>
            </w:r>
          </w:p>
        </w:tc>
        <w:tc>
          <w:tcPr>
            <w:tcW w:w="255" w:type="pct"/>
            <w:tcBorders>
              <w:bottom w:val="single" w:sz="4" w:space="0" w:color="auto"/>
            </w:tcBorders>
            <w:shd w:val="clear" w:color="auto" w:fill="auto"/>
            <w:noWrap/>
            <w:vAlign w:val="center"/>
            <w:hideMark/>
          </w:tcPr>
          <w:p w14:paraId="0DBD7457" w14:textId="77777777" w:rsidR="009D081E" w:rsidRPr="003B7A14" w:rsidRDefault="009D081E" w:rsidP="009A182B">
            <w:pPr>
              <w:widowControl/>
              <w:autoSpaceDE/>
              <w:autoSpaceDN/>
              <w:jc w:val="center"/>
              <w:rPr>
                <w:sz w:val="20"/>
                <w:szCs w:val="20"/>
              </w:rPr>
            </w:pPr>
            <w:r w:rsidRPr="003B7A14">
              <w:rPr>
                <w:bCs/>
                <w:sz w:val="20"/>
                <w:szCs w:val="20"/>
              </w:rPr>
              <w:t>0.689</w:t>
            </w:r>
          </w:p>
        </w:tc>
        <w:tc>
          <w:tcPr>
            <w:tcW w:w="252" w:type="pct"/>
            <w:tcBorders>
              <w:bottom w:val="single" w:sz="4" w:space="0" w:color="auto"/>
            </w:tcBorders>
            <w:shd w:val="clear" w:color="auto" w:fill="auto"/>
            <w:noWrap/>
            <w:vAlign w:val="center"/>
            <w:hideMark/>
          </w:tcPr>
          <w:p w14:paraId="3824DE03" w14:textId="77777777" w:rsidR="009D081E" w:rsidRPr="003B7A14" w:rsidRDefault="009D081E" w:rsidP="009A182B">
            <w:pPr>
              <w:widowControl/>
              <w:autoSpaceDE/>
              <w:autoSpaceDN/>
              <w:jc w:val="center"/>
              <w:rPr>
                <w:sz w:val="20"/>
                <w:szCs w:val="20"/>
              </w:rPr>
            </w:pPr>
            <w:r w:rsidRPr="003B7A14">
              <w:rPr>
                <w:bCs/>
                <w:sz w:val="20"/>
                <w:szCs w:val="20"/>
              </w:rPr>
              <w:t>0.157</w:t>
            </w:r>
          </w:p>
        </w:tc>
        <w:tc>
          <w:tcPr>
            <w:tcW w:w="252" w:type="pct"/>
            <w:tcBorders>
              <w:bottom w:val="single" w:sz="4" w:space="0" w:color="auto"/>
            </w:tcBorders>
            <w:shd w:val="clear" w:color="auto" w:fill="auto"/>
            <w:noWrap/>
            <w:vAlign w:val="center"/>
            <w:hideMark/>
          </w:tcPr>
          <w:p w14:paraId="7965D99A" w14:textId="77777777" w:rsidR="009D081E" w:rsidRPr="003B7A14" w:rsidRDefault="009D081E" w:rsidP="009A182B">
            <w:pPr>
              <w:widowControl/>
              <w:autoSpaceDE/>
              <w:autoSpaceDN/>
              <w:jc w:val="center"/>
              <w:rPr>
                <w:sz w:val="20"/>
                <w:szCs w:val="20"/>
              </w:rPr>
            </w:pPr>
            <w:r w:rsidRPr="003B7A14">
              <w:rPr>
                <w:bCs/>
                <w:sz w:val="20"/>
                <w:szCs w:val="20"/>
              </w:rPr>
              <w:t>0.222</w:t>
            </w:r>
          </w:p>
        </w:tc>
        <w:tc>
          <w:tcPr>
            <w:tcW w:w="252" w:type="pct"/>
            <w:tcBorders>
              <w:bottom w:val="single" w:sz="4" w:space="0" w:color="auto"/>
            </w:tcBorders>
            <w:shd w:val="clear" w:color="auto" w:fill="auto"/>
            <w:noWrap/>
            <w:vAlign w:val="center"/>
            <w:hideMark/>
          </w:tcPr>
          <w:p w14:paraId="5359D1D8" w14:textId="77777777" w:rsidR="009D081E" w:rsidRPr="003B7A14" w:rsidRDefault="009D081E" w:rsidP="009A182B">
            <w:pPr>
              <w:widowControl/>
              <w:autoSpaceDE/>
              <w:autoSpaceDN/>
              <w:jc w:val="center"/>
              <w:rPr>
                <w:sz w:val="20"/>
                <w:szCs w:val="20"/>
              </w:rPr>
            </w:pPr>
            <w:r w:rsidRPr="003B7A14">
              <w:rPr>
                <w:bCs/>
                <w:sz w:val="20"/>
                <w:szCs w:val="20"/>
              </w:rPr>
              <w:t>0.454</w:t>
            </w:r>
          </w:p>
        </w:tc>
        <w:tc>
          <w:tcPr>
            <w:tcW w:w="253" w:type="pct"/>
            <w:tcBorders>
              <w:bottom w:val="single" w:sz="4" w:space="0" w:color="auto"/>
            </w:tcBorders>
            <w:shd w:val="clear" w:color="auto" w:fill="auto"/>
            <w:noWrap/>
            <w:vAlign w:val="center"/>
            <w:hideMark/>
          </w:tcPr>
          <w:p w14:paraId="37D430B3" w14:textId="77777777" w:rsidR="009D081E" w:rsidRPr="003B7A14" w:rsidRDefault="009D081E" w:rsidP="009A182B">
            <w:pPr>
              <w:widowControl/>
              <w:autoSpaceDE/>
              <w:autoSpaceDN/>
              <w:jc w:val="center"/>
              <w:rPr>
                <w:sz w:val="20"/>
                <w:szCs w:val="20"/>
              </w:rPr>
            </w:pPr>
            <w:r w:rsidRPr="003B7A14">
              <w:rPr>
                <w:bCs/>
                <w:sz w:val="20"/>
                <w:szCs w:val="20"/>
              </w:rPr>
              <w:t>0.366</w:t>
            </w:r>
          </w:p>
        </w:tc>
        <w:tc>
          <w:tcPr>
            <w:tcW w:w="253" w:type="pct"/>
            <w:tcBorders>
              <w:bottom w:val="single" w:sz="4" w:space="0" w:color="auto"/>
            </w:tcBorders>
            <w:shd w:val="clear" w:color="auto" w:fill="auto"/>
            <w:noWrap/>
            <w:vAlign w:val="center"/>
            <w:hideMark/>
          </w:tcPr>
          <w:p w14:paraId="625D05B6" w14:textId="77777777" w:rsidR="009D081E" w:rsidRPr="003B7A14" w:rsidRDefault="009D081E" w:rsidP="009A182B">
            <w:pPr>
              <w:widowControl/>
              <w:autoSpaceDE/>
              <w:autoSpaceDN/>
              <w:jc w:val="center"/>
              <w:rPr>
                <w:sz w:val="20"/>
                <w:szCs w:val="20"/>
              </w:rPr>
            </w:pPr>
            <w:r w:rsidRPr="003B7A14">
              <w:rPr>
                <w:bCs/>
                <w:sz w:val="20"/>
                <w:szCs w:val="20"/>
              </w:rPr>
              <w:t>0.518</w:t>
            </w:r>
          </w:p>
        </w:tc>
        <w:tc>
          <w:tcPr>
            <w:tcW w:w="254" w:type="pct"/>
            <w:tcBorders>
              <w:bottom w:val="single" w:sz="4" w:space="0" w:color="auto"/>
            </w:tcBorders>
            <w:shd w:val="clear" w:color="auto" w:fill="auto"/>
            <w:noWrap/>
            <w:vAlign w:val="center"/>
            <w:hideMark/>
          </w:tcPr>
          <w:p w14:paraId="25B10A49" w14:textId="77777777" w:rsidR="009D081E" w:rsidRPr="003B7A14" w:rsidRDefault="009D081E" w:rsidP="009A182B">
            <w:pPr>
              <w:widowControl/>
              <w:autoSpaceDE/>
              <w:autoSpaceDN/>
              <w:jc w:val="center"/>
              <w:rPr>
                <w:sz w:val="20"/>
                <w:szCs w:val="20"/>
              </w:rPr>
            </w:pPr>
            <w:r w:rsidRPr="003B7A14">
              <w:rPr>
                <w:bCs/>
                <w:sz w:val="20"/>
                <w:szCs w:val="20"/>
              </w:rPr>
              <w:t>1.061</w:t>
            </w:r>
          </w:p>
        </w:tc>
      </w:tr>
      <w:tr w:rsidR="003B7A14" w:rsidRPr="003B7A14" w14:paraId="1C106CFF" w14:textId="77777777" w:rsidTr="009A182B">
        <w:trPr>
          <w:trHeight w:val="425"/>
        </w:trPr>
        <w:tc>
          <w:tcPr>
            <w:tcW w:w="292" w:type="pct"/>
            <w:tcBorders>
              <w:top w:val="single" w:sz="4" w:space="0" w:color="auto"/>
              <w:bottom w:val="single" w:sz="12" w:space="0" w:color="auto"/>
            </w:tcBorders>
            <w:shd w:val="clear" w:color="auto" w:fill="auto"/>
            <w:noWrap/>
            <w:vAlign w:val="center"/>
            <w:hideMark/>
          </w:tcPr>
          <w:p w14:paraId="38696D48" w14:textId="77777777" w:rsidR="009D081E" w:rsidRPr="003B7A14" w:rsidRDefault="009D081E" w:rsidP="009A182B">
            <w:pPr>
              <w:widowControl/>
              <w:autoSpaceDE/>
              <w:autoSpaceDN/>
              <w:jc w:val="center"/>
              <w:rPr>
                <w:b/>
                <w:bCs/>
                <w:sz w:val="20"/>
                <w:szCs w:val="20"/>
              </w:rPr>
            </w:pPr>
            <w:r w:rsidRPr="003B7A14">
              <w:rPr>
                <w:b/>
                <w:bCs/>
                <w:sz w:val="20"/>
                <w:szCs w:val="20"/>
              </w:rPr>
              <w:t>CV (%)</w:t>
            </w:r>
          </w:p>
        </w:tc>
        <w:tc>
          <w:tcPr>
            <w:tcW w:w="785" w:type="pct"/>
            <w:gridSpan w:val="3"/>
            <w:tcBorders>
              <w:top w:val="single" w:sz="4" w:space="0" w:color="auto"/>
              <w:bottom w:val="single" w:sz="12" w:space="0" w:color="auto"/>
            </w:tcBorders>
            <w:shd w:val="clear" w:color="auto" w:fill="auto"/>
            <w:noWrap/>
            <w:vAlign w:val="center"/>
            <w:hideMark/>
          </w:tcPr>
          <w:p w14:paraId="3F923CEC" w14:textId="77777777" w:rsidR="009D081E" w:rsidRPr="003B7A14" w:rsidRDefault="009D081E" w:rsidP="009A182B">
            <w:pPr>
              <w:widowControl/>
              <w:autoSpaceDE/>
              <w:autoSpaceDN/>
              <w:jc w:val="center"/>
              <w:rPr>
                <w:sz w:val="20"/>
                <w:szCs w:val="20"/>
              </w:rPr>
            </w:pPr>
            <w:r w:rsidRPr="003B7A14">
              <w:rPr>
                <w:sz w:val="20"/>
                <w:szCs w:val="20"/>
              </w:rPr>
              <w:t>15.160</w:t>
            </w:r>
          </w:p>
        </w:tc>
        <w:tc>
          <w:tcPr>
            <w:tcW w:w="791" w:type="pct"/>
            <w:gridSpan w:val="3"/>
            <w:tcBorders>
              <w:top w:val="single" w:sz="4" w:space="0" w:color="auto"/>
              <w:bottom w:val="single" w:sz="12" w:space="0" w:color="auto"/>
            </w:tcBorders>
            <w:shd w:val="clear" w:color="auto" w:fill="auto"/>
            <w:noWrap/>
            <w:vAlign w:val="center"/>
            <w:hideMark/>
          </w:tcPr>
          <w:p w14:paraId="6837F470" w14:textId="77777777" w:rsidR="009D081E" w:rsidRPr="003B7A14" w:rsidRDefault="009D081E" w:rsidP="009A182B">
            <w:pPr>
              <w:widowControl/>
              <w:autoSpaceDE/>
              <w:autoSpaceDN/>
              <w:jc w:val="center"/>
              <w:rPr>
                <w:sz w:val="20"/>
                <w:szCs w:val="20"/>
              </w:rPr>
            </w:pPr>
            <w:r w:rsidRPr="003B7A14">
              <w:rPr>
                <w:sz w:val="20"/>
                <w:szCs w:val="20"/>
              </w:rPr>
              <w:t>5.314</w:t>
            </w:r>
          </w:p>
        </w:tc>
        <w:tc>
          <w:tcPr>
            <w:tcW w:w="823" w:type="pct"/>
            <w:gridSpan w:val="3"/>
            <w:tcBorders>
              <w:top w:val="single" w:sz="4" w:space="0" w:color="auto"/>
              <w:bottom w:val="single" w:sz="12" w:space="0" w:color="auto"/>
            </w:tcBorders>
            <w:shd w:val="clear" w:color="auto" w:fill="auto"/>
            <w:noWrap/>
            <w:vAlign w:val="center"/>
            <w:hideMark/>
          </w:tcPr>
          <w:p w14:paraId="45A94A33" w14:textId="77777777" w:rsidR="009D081E" w:rsidRPr="003B7A14" w:rsidRDefault="009D081E" w:rsidP="009A182B">
            <w:pPr>
              <w:widowControl/>
              <w:autoSpaceDE/>
              <w:autoSpaceDN/>
              <w:jc w:val="center"/>
              <w:rPr>
                <w:sz w:val="20"/>
                <w:szCs w:val="20"/>
              </w:rPr>
            </w:pPr>
            <w:r w:rsidRPr="003B7A14">
              <w:rPr>
                <w:sz w:val="20"/>
                <w:szCs w:val="20"/>
              </w:rPr>
              <w:t>7.283</w:t>
            </w:r>
          </w:p>
        </w:tc>
        <w:tc>
          <w:tcPr>
            <w:tcW w:w="792" w:type="pct"/>
            <w:gridSpan w:val="3"/>
            <w:tcBorders>
              <w:top w:val="single" w:sz="4" w:space="0" w:color="auto"/>
              <w:bottom w:val="single" w:sz="12" w:space="0" w:color="auto"/>
            </w:tcBorders>
            <w:shd w:val="clear" w:color="auto" w:fill="auto"/>
            <w:noWrap/>
            <w:vAlign w:val="center"/>
            <w:hideMark/>
          </w:tcPr>
          <w:p w14:paraId="0A905462" w14:textId="77777777" w:rsidR="009D081E" w:rsidRPr="003B7A14" w:rsidRDefault="009D081E" w:rsidP="009A182B">
            <w:pPr>
              <w:widowControl/>
              <w:autoSpaceDE/>
              <w:autoSpaceDN/>
              <w:jc w:val="center"/>
              <w:rPr>
                <w:sz w:val="20"/>
                <w:szCs w:val="20"/>
              </w:rPr>
            </w:pPr>
            <w:r w:rsidRPr="003B7A14">
              <w:rPr>
                <w:sz w:val="20"/>
                <w:szCs w:val="20"/>
              </w:rPr>
              <w:t>3.088</w:t>
            </w:r>
          </w:p>
        </w:tc>
        <w:tc>
          <w:tcPr>
            <w:tcW w:w="756" w:type="pct"/>
            <w:gridSpan w:val="3"/>
            <w:tcBorders>
              <w:top w:val="single" w:sz="4" w:space="0" w:color="auto"/>
              <w:bottom w:val="single" w:sz="12" w:space="0" w:color="auto"/>
            </w:tcBorders>
            <w:shd w:val="clear" w:color="auto" w:fill="auto"/>
            <w:noWrap/>
            <w:vAlign w:val="center"/>
            <w:hideMark/>
          </w:tcPr>
          <w:p w14:paraId="5E01DC83" w14:textId="77777777" w:rsidR="009D081E" w:rsidRPr="003B7A14" w:rsidRDefault="009D081E" w:rsidP="009A182B">
            <w:pPr>
              <w:widowControl/>
              <w:autoSpaceDE/>
              <w:autoSpaceDN/>
              <w:jc w:val="center"/>
              <w:rPr>
                <w:sz w:val="20"/>
                <w:szCs w:val="20"/>
              </w:rPr>
            </w:pPr>
            <w:r w:rsidRPr="003B7A14">
              <w:rPr>
                <w:sz w:val="20"/>
                <w:szCs w:val="20"/>
              </w:rPr>
              <w:t>8.665</w:t>
            </w:r>
          </w:p>
        </w:tc>
        <w:tc>
          <w:tcPr>
            <w:tcW w:w="760" w:type="pct"/>
            <w:gridSpan w:val="3"/>
            <w:tcBorders>
              <w:top w:val="single" w:sz="4" w:space="0" w:color="auto"/>
              <w:bottom w:val="single" w:sz="12" w:space="0" w:color="auto"/>
            </w:tcBorders>
            <w:shd w:val="clear" w:color="auto" w:fill="auto"/>
            <w:noWrap/>
            <w:vAlign w:val="center"/>
            <w:hideMark/>
          </w:tcPr>
          <w:p w14:paraId="08756E2D" w14:textId="77777777" w:rsidR="009D081E" w:rsidRPr="003B7A14" w:rsidRDefault="009D081E" w:rsidP="009A182B">
            <w:pPr>
              <w:widowControl/>
              <w:autoSpaceDE/>
              <w:autoSpaceDN/>
              <w:jc w:val="center"/>
              <w:rPr>
                <w:sz w:val="20"/>
                <w:szCs w:val="20"/>
              </w:rPr>
            </w:pPr>
            <w:r w:rsidRPr="003B7A14">
              <w:rPr>
                <w:sz w:val="20"/>
                <w:szCs w:val="20"/>
              </w:rPr>
              <w:t>1.707</w:t>
            </w:r>
          </w:p>
        </w:tc>
      </w:tr>
    </w:tbl>
    <w:p w14:paraId="3D323267"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p w14:paraId="49C462FF"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p w14:paraId="0E16B8B7"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tbl>
      <w:tblPr>
        <w:tblpPr w:leftFromText="180" w:rightFromText="180" w:vertAnchor="page" w:horzAnchor="margin" w:tblpXSpec="center" w:tblpY="2669"/>
        <w:tblW w:w="4959" w:type="pct"/>
        <w:tblLayout w:type="fixed"/>
        <w:tblLook w:val="04A0" w:firstRow="1" w:lastRow="0" w:firstColumn="1" w:lastColumn="0" w:noHBand="0" w:noVBand="1"/>
      </w:tblPr>
      <w:tblGrid>
        <w:gridCol w:w="760"/>
        <w:gridCol w:w="767"/>
        <w:gridCol w:w="703"/>
        <w:gridCol w:w="701"/>
        <w:gridCol w:w="773"/>
        <w:gridCol w:w="703"/>
        <w:gridCol w:w="698"/>
        <w:gridCol w:w="800"/>
        <w:gridCol w:w="800"/>
        <w:gridCol w:w="803"/>
        <w:gridCol w:w="773"/>
        <w:gridCol w:w="703"/>
        <w:gridCol w:w="698"/>
        <w:gridCol w:w="695"/>
        <w:gridCol w:w="667"/>
        <w:gridCol w:w="698"/>
        <w:gridCol w:w="701"/>
        <w:gridCol w:w="701"/>
        <w:gridCol w:w="701"/>
      </w:tblGrid>
      <w:tr w:rsidR="003B7A14" w:rsidRPr="003B7A14" w14:paraId="0CC50FE4" w14:textId="77777777" w:rsidTr="009A182B">
        <w:trPr>
          <w:trHeight w:val="349"/>
        </w:trPr>
        <w:tc>
          <w:tcPr>
            <w:tcW w:w="5000" w:type="pct"/>
            <w:gridSpan w:val="19"/>
            <w:tcBorders>
              <w:bottom w:val="single" w:sz="12" w:space="0" w:color="auto"/>
            </w:tcBorders>
            <w:shd w:val="clear" w:color="auto" w:fill="auto"/>
            <w:noWrap/>
            <w:vAlign w:val="center"/>
            <w:hideMark/>
          </w:tcPr>
          <w:p w14:paraId="18B9036C" w14:textId="5C36E83B" w:rsidR="009D081E" w:rsidRPr="003B7A14" w:rsidRDefault="009D081E" w:rsidP="009A182B">
            <w:pPr>
              <w:widowControl/>
              <w:autoSpaceDE/>
              <w:autoSpaceDN/>
              <w:rPr>
                <w:b/>
                <w:bCs/>
                <w:sz w:val="24"/>
                <w:szCs w:val="24"/>
              </w:rPr>
            </w:pPr>
            <w:r w:rsidRPr="003B7A14">
              <w:rPr>
                <w:b/>
                <w:bCs/>
                <w:sz w:val="24"/>
                <w:szCs w:val="24"/>
              </w:rPr>
              <w:lastRenderedPageBreak/>
              <w:t>Table 4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soil-4 (S4)</w:t>
            </w:r>
          </w:p>
        </w:tc>
      </w:tr>
      <w:tr w:rsidR="003B7A14" w:rsidRPr="003B7A14" w14:paraId="76B916B0" w14:textId="77777777" w:rsidTr="009A182B">
        <w:trPr>
          <w:trHeight w:val="279"/>
        </w:trPr>
        <w:tc>
          <w:tcPr>
            <w:tcW w:w="275" w:type="pct"/>
            <w:tcBorders>
              <w:top w:val="single" w:sz="12" w:space="0" w:color="auto"/>
            </w:tcBorders>
            <w:shd w:val="clear" w:color="auto" w:fill="auto"/>
            <w:noWrap/>
            <w:vAlign w:val="center"/>
            <w:hideMark/>
          </w:tcPr>
          <w:p w14:paraId="7EFF6681" w14:textId="77777777" w:rsidR="009D081E" w:rsidRPr="003B7A14" w:rsidRDefault="009D081E" w:rsidP="009A182B">
            <w:pPr>
              <w:widowControl/>
              <w:autoSpaceDE/>
              <w:autoSpaceDN/>
              <w:jc w:val="center"/>
              <w:rPr>
                <w:b/>
                <w:bCs/>
                <w:sz w:val="20"/>
                <w:szCs w:val="20"/>
              </w:rPr>
            </w:pPr>
          </w:p>
        </w:tc>
        <w:tc>
          <w:tcPr>
            <w:tcW w:w="784" w:type="pct"/>
            <w:gridSpan w:val="3"/>
            <w:tcBorders>
              <w:top w:val="single" w:sz="12" w:space="0" w:color="auto"/>
              <w:bottom w:val="single" w:sz="4" w:space="0" w:color="auto"/>
            </w:tcBorders>
            <w:shd w:val="clear" w:color="auto" w:fill="auto"/>
            <w:noWrap/>
            <w:vAlign w:val="center"/>
            <w:hideMark/>
          </w:tcPr>
          <w:p w14:paraId="270C6A69" w14:textId="77777777" w:rsidR="009D081E" w:rsidRPr="003B7A14" w:rsidRDefault="009D081E" w:rsidP="009A182B">
            <w:pPr>
              <w:widowControl/>
              <w:autoSpaceDE/>
              <w:autoSpaceDN/>
              <w:jc w:val="center"/>
              <w:rPr>
                <w:b/>
                <w:bCs/>
                <w:sz w:val="20"/>
                <w:szCs w:val="20"/>
              </w:rPr>
            </w:pPr>
            <w:r w:rsidRPr="003B7A14">
              <w:rPr>
                <w:b/>
                <w:bCs/>
                <w:sz w:val="20"/>
                <w:szCs w:val="20"/>
              </w:rPr>
              <w:t>WSEX-Zn</w:t>
            </w:r>
          </w:p>
        </w:tc>
        <w:tc>
          <w:tcPr>
            <w:tcW w:w="785" w:type="pct"/>
            <w:gridSpan w:val="3"/>
            <w:tcBorders>
              <w:top w:val="single" w:sz="12" w:space="0" w:color="auto"/>
              <w:bottom w:val="single" w:sz="4" w:space="0" w:color="auto"/>
            </w:tcBorders>
            <w:shd w:val="clear" w:color="auto" w:fill="auto"/>
            <w:noWrap/>
            <w:vAlign w:val="center"/>
            <w:hideMark/>
          </w:tcPr>
          <w:p w14:paraId="225B0840" w14:textId="77777777" w:rsidR="009D081E" w:rsidRPr="003B7A14" w:rsidRDefault="009D081E" w:rsidP="009A182B">
            <w:pPr>
              <w:widowControl/>
              <w:autoSpaceDE/>
              <w:autoSpaceDN/>
              <w:jc w:val="center"/>
              <w:rPr>
                <w:b/>
                <w:bCs/>
                <w:sz w:val="20"/>
                <w:szCs w:val="20"/>
              </w:rPr>
            </w:pPr>
            <w:r w:rsidRPr="003B7A14">
              <w:rPr>
                <w:b/>
                <w:bCs/>
                <w:sz w:val="20"/>
                <w:szCs w:val="20"/>
              </w:rPr>
              <w:t>OC-Zn</w:t>
            </w:r>
          </w:p>
        </w:tc>
        <w:tc>
          <w:tcPr>
            <w:tcW w:w="868" w:type="pct"/>
            <w:gridSpan w:val="3"/>
            <w:tcBorders>
              <w:top w:val="single" w:sz="12" w:space="0" w:color="auto"/>
              <w:bottom w:val="single" w:sz="4" w:space="0" w:color="auto"/>
            </w:tcBorders>
            <w:shd w:val="clear" w:color="auto" w:fill="auto"/>
            <w:noWrap/>
            <w:vAlign w:val="center"/>
            <w:hideMark/>
          </w:tcPr>
          <w:p w14:paraId="19584B61" w14:textId="77777777" w:rsidR="009D081E" w:rsidRPr="003B7A14" w:rsidRDefault="009D081E" w:rsidP="009A182B">
            <w:pPr>
              <w:widowControl/>
              <w:autoSpaceDE/>
              <w:autoSpaceDN/>
              <w:jc w:val="center"/>
              <w:rPr>
                <w:b/>
                <w:bCs/>
                <w:sz w:val="20"/>
                <w:szCs w:val="20"/>
              </w:rPr>
            </w:pPr>
            <w:r w:rsidRPr="003B7A14">
              <w:rPr>
                <w:b/>
                <w:bCs/>
                <w:sz w:val="20"/>
                <w:szCs w:val="20"/>
              </w:rPr>
              <w:t>AMOX-Zn</w:t>
            </w:r>
          </w:p>
        </w:tc>
        <w:tc>
          <w:tcPr>
            <w:tcW w:w="785" w:type="pct"/>
            <w:gridSpan w:val="3"/>
            <w:tcBorders>
              <w:top w:val="single" w:sz="12" w:space="0" w:color="auto"/>
              <w:bottom w:val="single" w:sz="4" w:space="0" w:color="auto"/>
            </w:tcBorders>
            <w:shd w:val="clear" w:color="auto" w:fill="auto"/>
            <w:noWrap/>
            <w:vAlign w:val="center"/>
            <w:hideMark/>
          </w:tcPr>
          <w:p w14:paraId="6B5090B1" w14:textId="77777777" w:rsidR="009D081E" w:rsidRPr="003B7A14" w:rsidRDefault="009D081E" w:rsidP="009A182B">
            <w:pPr>
              <w:widowControl/>
              <w:autoSpaceDE/>
              <w:autoSpaceDN/>
              <w:jc w:val="center"/>
              <w:rPr>
                <w:b/>
                <w:bCs/>
                <w:sz w:val="20"/>
                <w:szCs w:val="20"/>
              </w:rPr>
            </w:pPr>
            <w:r w:rsidRPr="003B7A14">
              <w:rPr>
                <w:b/>
                <w:bCs/>
                <w:sz w:val="20"/>
                <w:szCs w:val="20"/>
              </w:rPr>
              <w:t>CRYOX-Zn</w:t>
            </w:r>
          </w:p>
        </w:tc>
        <w:tc>
          <w:tcPr>
            <w:tcW w:w="744" w:type="pct"/>
            <w:gridSpan w:val="3"/>
            <w:tcBorders>
              <w:top w:val="single" w:sz="12" w:space="0" w:color="auto"/>
              <w:bottom w:val="single" w:sz="4" w:space="0" w:color="auto"/>
            </w:tcBorders>
            <w:shd w:val="clear" w:color="auto" w:fill="auto"/>
            <w:noWrap/>
            <w:vAlign w:val="center"/>
            <w:hideMark/>
          </w:tcPr>
          <w:p w14:paraId="0CCBC8F2" w14:textId="77777777" w:rsidR="009D081E" w:rsidRPr="003B7A14" w:rsidRDefault="009D081E" w:rsidP="009A182B">
            <w:pPr>
              <w:widowControl/>
              <w:autoSpaceDE/>
              <w:autoSpaceDN/>
              <w:jc w:val="center"/>
              <w:rPr>
                <w:b/>
                <w:bCs/>
                <w:sz w:val="20"/>
                <w:szCs w:val="20"/>
              </w:rPr>
            </w:pPr>
            <w:proofErr w:type="spellStart"/>
            <w:r w:rsidRPr="003B7A14">
              <w:rPr>
                <w:b/>
                <w:bCs/>
                <w:sz w:val="20"/>
                <w:szCs w:val="20"/>
              </w:rPr>
              <w:t>MnOx</w:t>
            </w:r>
            <w:proofErr w:type="spellEnd"/>
            <w:r w:rsidRPr="003B7A14">
              <w:rPr>
                <w:b/>
                <w:bCs/>
                <w:sz w:val="20"/>
                <w:szCs w:val="20"/>
              </w:rPr>
              <w:t>-Zn</w:t>
            </w:r>
          </w:p>
        </w:tc>
        <w:tc>
          <w:tcPr>
            <w:tcW w:w="759" w:type="pct"/>
            <w:gridSpan w:val="3"/>
            <w:tcBorders>
              <w:top w:val="single" w:sz="12" w:space="0" w:color="auto"/>
              <w:bottom w:val="single" w:sz="4" w:space="0" w:color="auto"/>
            </w:tcBorders>
            <w:shd w:val="clear" w:color="auto" w:fill="auto"/>
            <w:noWrap/>
            <w:vAlign w:val="center"/>
            <w:hideMark/>
          </w:tcPr>
          <w:p w14:paraId="00E89C19" w14:textId="77777777" w:rsidR="009D081E" w:rsidRPr="003B7A14" w:rsidRDefault="009D081E" w:rsidP="009A182B">
            <w:pPr>
              <w:widowControl/>
              <w:autoSpaceDE/>
              <w:autoSpaceDN/>
              <w:jc w:val="center"/>
              <w:rPr>
                <w:b/>
                <w:bCs/>
                <w:sz w:val="20"/>
                <w:szCs w:val="20"/>
              </w:rPr>
            </w:pPr>
            <w:r w:rsidRPr="003B7A14">
              <w:rPr>
                <w:b/>
                <w:bCs/>
                <w:sz w:val="20"/>
                <w:szCs w:val="20"/>
              </w:rPr>
              <w:t>RES-Zn</w:t>
            </w:r>
          </w:p>
        </w:tc>
      </w:tr>
      <w:tr w:rsidR="003B7A14" w:rsidRPr="003B7A14" w14:paraId="1701889E" w14:textId="77777777" w:rsidTr="009A182B">
        <w:trPr>
          <w:trHeight w:val="279"/>
        </w:trPr>
        <w:tc>
          <w:tcPr>
            <w:tcW w:w="275" w:type="pct"/>
            <w:tcBorders>
              <w:top w:val="nil"/>
              <w:bottom w:val="single" w:sz="4" w:space="0" w:color="auto"/>
            </w:tcBorders>
            <w:shd w:val="clear" w:color="auto" w:fill="auto"/>
            <w:noWrap/>
            <w:vAlign w:val="center"/>
            <w:hideMark/>
          </w:tcPr>
          <w:p w14:paraId="35A85334" w14:textId="77777777" w:rsidR="009D081E" w:rsidRPr="003B7A14" w:rsidRDefault="009D081E" w:rsidP="009A182B">
            <w:pPr>
              <w:widowControl/>
              <w:autoSpaceDE/>
              <w:autoSpaceDN/>
              <w:jc w:val="center"/>
              <w:rPr>
                <w:b/>
                <w:bCs/>
                <w:sz w:val="20"/>
                <w:szCs w:val="20"/>
              </w:rPr>
            </w:pPr>
          </w:p>
        </w:tc>
        <w:tc>
          <w:tcPr>
            <w:tcW w:w="277" w:type="pct"/>
            <w:tcBorders>
              <w:top w:val="single" w:sz="4" w:space="0" w:color="auto"/>
              <w:bottom w:val="single" w:sz="4" w:space="0" w:color="auto"/>
            </w:tcBorders>
            <w:shd w:val="clear" w:color="auto" w:fill="auto"/>
            <w:noWrap/>
            <w:vAlign w:val="center"/>
            <w:hideMark/>
          </w:tcPr>
          <w:p w14:paraId="158CBB4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52F8330E"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16CB91C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1AA361A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08E5CA3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728A65B5"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89" w:type="pct"/>
            <w:tcBorders>
              <w:top w:val="single" w:sz="4" w:space="0" w:color="auto"/>
              <w:bottom w:val="single" w:sz="4" w:space="0" w:color="auto"/>
            </w:tcBorders>
            <w:shd w:val="clear" w:color="auto" w:fill="auto"/>
            <w:noWrap/>
            <w:vAlign w:val="center"/>
            <w:hideMark/>
          </w:tcPr>
          <w:p w14:paraId="426CBB8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89" w:type="pct"/>
            <w:tcBorders>
              <w:top w:val="single" w:sz="4" w:space="0" w:color="auto"/>
              <w:bottom w:val="single" w:sz="4" w:space="0" w:color="auto"/>
            </w:tcBorders>
            <w:shd w:val="clear" w:color="auto" w:fill="auto"/>
            <w:noWrap/>
            <w:vAlign w:val="center"/>
            <w:hideMark/>
          </w:tcPr>
          <w:p w14:paraId="6062FDBC"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90" w:type="pct"/>
            <w:tcBorders>
              <w:top w:val="single" w:sz="4" w:space="0" w:color="auto"/>
              <w:bottom w:val="single" w:sz="4" w:space="0" w:color="auto"/>
            </w:tcBorders>
            <w:shd w:val="clear" w:color="auto" w:fill="auto"/>
            <w:noWrap/>
            <w:vAlign w:val="center"/>
            <w:hideMark/>
          </w:tcPr>
          <w:p w14:paraId="50AD116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1A80884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4FF92E63"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25756BF3"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1" w:type="pct"/>
            <w:tcBorders>
              <w:top w:val="single" w:sz="4" w:space="0" w:color="auto"/>
              <w:bottom w:val="single" w:sz="4" w:space="0" w:color="auto"/>
            </w:tcBorders>
            <w:shd w:val="clear" w:color="auto" w:fill="auto"/>
            <w:noWrap/>
            <w:vAlign w:val="center"/>
            <w:hideMark/>
          </w:tcPr>
          <w:p w14:paraId="24BB16E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41" w:type="pct"/>
            <w:tcBorders>
              <w:top w:val="single" w:sz="4" w:space="0" w:color="auto"/>
              <w:bottom w:val="single" w:sz="4" w:space="0" w:color="auto"/>
            </w:tcBorders>
            <w:shd w:val="clear" w:color="auto" w:fill="auto"/>
            <w:noWrap/>
            <w:vAlign w:val="center"/>
            <w:hideMark/>
          </w:tcPr>
          <w:p w14:paraId="386A7CA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683CD94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01674A2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7293EB0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2FACE608"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137BBDF2" w14:textId="77777777" w:rsidTr="009A182B">
        <w:trPr>
          <w:trHeight w:val="395"/>
        </w:trPr>
        <w:tc>
          <w:tcPr>
            <w:tcW w:w="275" w:type="pct"/>
            <w:tcBorders>
              <w:top w:val="single" w:sz="4" w:space="0" w:color="auto"/>
            </w:tcBorders>
            <w:shd w:val="clear" w:color="auto" w:fill="auto"/>
            <w:noWrap/>
            <w:vAlign w:val="center"/>
            <w:hideMark/>
          </w:tcPr>
          <w:p w14:paraId="30E2C25B"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0</w:t>
            </w:r>
          </w:p>
        </w:tc>
        <w:tc>
          <w:tcPr>
            <w:tcW w:w="277" w:type="pct"/>
            <w:tcBorders>
              <w:top w:val="single" w:sz="4" w:space="0" w:color="auto"/>
            </w:tcBorders>
            <w:shd w:val="clear" w:color="auto" w:fill="auto"/>
            <w:noWrap/>
            <w:vAlign w:val="center"/>
            <w:hideMark/>
          </w:tcPr>
          <w:p w14:paraId="0646F64D" w14:textId="77777777" w:rsidR="009D081E" w:rsidRPr="003B7A14" w:rsidRDefault="009D081E" w:rsidP="009A182B">
            <w:pPr>
              <w:widowControl/>
              <w:autoSpaceDE/>
              <w:autoSpaceDN/>
              <w:jc w:val="center"/>
              <w:rPr>
                <w:sz w:val="20"/>
                <w:szCs w:val="20"/>
              </w:rPr>
            </w:pPr>
            <w:r w:rsidRPr="003B7A14">
              <w:rPr>
                <w:sz w:val="20"/>
                <w:szCs w:val="20"/>
              </w:rPr>
              <w:t>0.453</w:t>
            </w:r>
          </w:p>
        </w:tc>
        <w:tc>
          <w:tcPr>
            <w:tcW w:w="254" w:type="pct"/>
            <w:tcBorders>
              <w:top w:val="single" w:sz="4" w:space="0" w:color="auto"/>
            </w:tcBorders>
            <w:shd w:val="clear" w:color="auto" w:fill="auto"/>
            <w:noWrap/>
            <w:vAlign w:val="center"/>
            <w:hideMark/>
          </w:tcPr>
          <w:p w14:paraId="6B63A842" w14:textId="77777777" w:rsidR="009D081E" w:rsidRPr="003B7A14" w:rsidRDefault="009D081E" w:rsidP="009A182B">
            <w:pPr>
              <w:widowControl/>
              <w:autoSpaceDE/>
              <w:autoSpaceDN/>
              <w:jc w:val="center"/>
              <w:rPr>
                <w:sz w:val="20"/>
                <w:szCs w:val="20"/>
              </w:rPr>
            </w:pPr>
            <w:r w:rsidRPr="003B7A14">
              <w:rPr>
                <w:sz w:val="20"/>
                <w:szCs w:val="20"/>
              </w:rPr>
              <w:t>0.464</w:t>
            </w:r>
          </w:p>
        </w:tc>
        <w:tc>
          <w:tcPr>
            <w:tcW w:w="253" w:type="pct"/>
            <w:tcBorders>
              <w:top w:val="single" w:sz="4" w:space="0" w:color="auto"/>
            </w:tcBorders>
            <w:shd w:val="clear" w:color="auto" w:fill="auto"/>
            <w:noWrap/>
            <w:vAlign w:val="center"/>
            <w:hideMark/>
          </w:tcPr>
          <w:p w14:paraId="693AE655" w14:textId="77777777" w:rsidR="009D081E" w:rsidRPr="003B7A14" w:rsidRDefault="009D081E" w:rsidP="009A182B">
            <w:pPr>
              <w:widowControl/>
              <w:autoSpaceDE/>
              <w:autoSpaceDN/>
              <w:jc w:val="center"/>
              <w:rPr>
                <w:sz w:val="20"/>
                <w:szCs w:val="20"/>
              </w:rPr>
            </w:pPr>
            <w:r w:rsidRPr="003B7A14">
              <w:rPr>
                <w:sz w:val="20"/>
                <w:szCs w:val="20"/>
              </w:rPr>
              <w:t>0.459</w:t>
            </w:r>
          </w:p>
        </w:tc>
        <w:tc>
          <w:tcPr>
            <w:tcW w:w="279" w:type="pct"/>
            <w:tcBorders>
              <w:top w:val="single" w:sz="4" w:space="0" w:color="auto"/>
            </w:tcBorders>
            <w:shd w:val="clear" w:color="auto" w:fill="auto"/>
            <w:noWrap/>
            <w:vAlign w:val="center"/>
            <w:hideMark/>
          </w:tcPr>
          <w:p w14:paraId="13A33C8C" w14:textId="77777777" w:rsidR="009D081E" w:rsidRPr="003B7A14" w:rsidRDefault="009D081E" w:rsidP="009A182B">
            <w:pPr>
              <w:widowControl/>
              <w:autoSpaceDE/>
              <w:autoSpaceDN/>
              <w:jc w:val="center"/>
              <w:rPr>
                <w:sz w:val="20"/>
                <w:szCs w:val="20"/>
              </w:rPr>
            </w:pPr>
            <w:r w:rsidRPr="003B7A14">
              <w:rPr>
                <w:sz w:val="20"/>
                <w:szCs w:val="20"/>
              </w:rPr>
              <w:t>4.800</w:t>
            </w:r>
          </w:p>
        </w:tc>
        <w:tc>
          <w:tcPr>
            <w:tcW w:w="254" w:type="pct"/>
            <w:tcBorders>
              <w:top w:val="single" w:sz="4" w:space="0" w:color="auto"/>
            </w:tcBorders>
            <w:shd w:val="clear" w:color="auto" w:fill="auto"/>
            <w:noWrap/>
            <w:vAlign w:val="center"/>
            <w:hideMark/>
          </w:tcPr>
          <w:p w14:paraId="78568F63" w14:textId="77777777" w:rsidR="009D081E" w:rsidRPr="003B7A14" w:rsidRDefault="009D081E" w:rsidP="009A182B">
            <w:pPr>
              <w:widowControl/>
              <w:autoSpaceDE/>
              <w:autoSpaceDN/>
              <w:jc w:val="center"/>
              <w:rPr>
                <w:sz w:val="20"/>
                <w:szCs w:val="20"/>
              </w:rPr>
            </w:pPr>
            <w:r w:rsidRPr="003B7A14">
              <w:rPr>
                <w:sz w:val="20"/>
                <w:szCs w:val="20"/>
              </w:rPr>
              <w:t>4.790</w:t>
            </w:r>
          </w:p>
        </w:tc>
        <w:tc>
          <w:tcPr>
            <w:tcW w:w="252" w:type="pct"/>
            <w:tcBorders>
              <w:top w:val="single" w:sz="4" w:space="0" w:color="auto"/>
            </w:tcBorders>
            <w:shd w:val="clear" w:color="auto" w:fill="auto"/>
            <w:noWrap/>
            <w:vAlign w:val="center"/>
            <w:hideMark/>
          </w:tcPr>
          <w:p w14:paraId="2BC7C293" w14:textId="77777777" w:rsidR="009D081E" w:rsidRPr="003B7A14" w:rsidRDefault="009D081E" w:rsidP="009A182B">
            <w:pPr>
              <w:widowControl/>
              <w:autoSpaceDE/>
              <w:autoSpaceDN/>
              <w:jc w:val="center"/>
              <w:rPr>
                <w:sz w:val="20"/>
                <w:szCs w:val="20"/>
              </w:rPr>
            </w:pPr>
            <w:r w:rsidRPr="003B7A14">
              <w:rPr>
                <w:sz w:val="20"/>
                <w:szCs w:val="20"/>
              </w:rPr>
              <w:t>4.795</w:t>
            </w:r>
          </w:p>
        </w:tc>
        <w:tc>
          <w:tcPr>
            <w:tcW w:w="289" w:type="pct"/>
            <w:tcBorders>
              <w:top w:val="single" w:sz="4" w:space="0" w:color="auto"/>
            </w:tcBorders>
            <w:shd w:val="clear" w:color="auto" w:fill="auto"/>
            <w:noWrap/>
            <w:vAlign w:val="center"/>
            <w:hideMark/>
          </w:tcPr>
          <w:p w14:paraId="298053C0" w14:textId="77777777" w:rsidR="009D081E" w:rsidRPr="003B7A14" w:rsidRDefault="009D081E" w:rsidP="009A182B">
            <w:pPr>
              <w:widowControl/>
              <w:autoSpaceDE/>
              <w:autoSpaceDN/>
              <w:jc w:val="center"/>
              <w:rPr>
                <w:sz w:val="20"/>
                <w:szCs w:val="20"/>
              </w:rPr>
            </w:pPr>
            <w:r w:rsidRPr="003B7A14">
              <w:rPr>
                <w:sz w:val="20"/>
                <w:szCs w:val="20"/>
              </w:rPr>
              <w:t>9.330</w:t>
            </w:r>
          </w:p>
        </w:tc>
        <w:tc>
          <w:tcPr>
            <w:tcW w:w="289" w:type="pct"/>
            <w:tcBorders>
              <w:top w:val="single" w:sz="4" w:space="0" w:color="auto"/>
            </w:tcBorders>
            <w:shd w:val="clear" w:color="auto" w:fill="auto"/>
            <w:noWrap/>
            <w:vAlign w:val="center"/>
            <w:hideMark/>
          </w:tcPr>
          <w:p w14:paraId="3B19B821" w14:textId="77777777" w:rsidR="009D081E" w:rsidRPr="003B7A14" w:rsidRDefault="009D081E" w:rsidP="009A182B">
            <w:pPr>
              <w:widowControl/>
              <w:autoSpaceDE/>
              <w:autoSpaceDN/>
              <w:jc w:val="center"/>
              <w:rPr>
                <w:sz w:val="20"/>
                <w:szCs w:val="20"/>
              </w:rPr>
            </w:pPr>
            <w:r w:rsidRPr="003B7A14">
              <w:rPr>
                <w:sz w:val="20"/>
                <w:szCs w:val="20"/>
              </w:rPr>
              <w:t>9.310</w:t>
            </w:r>
          </w:p>
        </w:tc>
        <w:tc>
          <w:tcPr>
            <w:tcW w:w="290" w:type="pct"/>
            <w:tcBorders>
              <w:top w:val="single" w:sz="4" w:space="0" w:color="auto"/>
            </w:tcBorders>
            <w:shd w:val="clear" w:color="auto" w:fill="auto"/>
            <w:noWrap/>
            <w:vAlign w:val="center"/>
            <w:hideMark/>
          </w:tcPr>
          <w:p w14:paraId="64B9997C" w14:textId="77777777" w:rsidR="009D081E" w:rsidRPr="003B7A14" w:rsidRDefault="009D081E" w:rsidP="009A182B">
            <w:pPr>
              <w:widowControl/>
              <w:autoSpaceDE/>
              <w:autoSpaceDN/>
              <w:jc w:val="center"/>
              <w:rPr>
                <w:sz w:val="20"/>
                <w:szCs w:val="20"/>
              </w:rPr>
            </w:pPr>
            <w:r w:rsidRPr="003B7A14">
              <w:rPr>
                <w:sz w:val="20"/>
                <w:szCs w:val="20"/>
              </w:rPr>
              <w:t>9.320</w:t>
            </w:r>
          </w:p>
        </w:tc>
        <w:tc>
          <w:tcPr>
            <w:tcW w:w="279" w:type="pct"/>
            <w:tcBorders>
              <w:top w:val="single" w:sz="4" w:space="0" w:color="auto"/>
            </w:tcBorders>
            <w:shd w:val="clear" w:color="auto" w:fill="auto"/>
            <w:noWrap/>
            <w:vAlign w:val="center"/>
            <w:hideMark/>
          </w:tcPr>
          <w:p w14:paraId="3F421F89" w14:textId="77777777" w:rsidR="009D081E" w:rsidRPr="003B7A14" w:rsidRDefault="009D081E" w:rsidP="009A182B">
            <w:pPr>
              <w:widowControl/>
              <w:autoSpaceDE/>
              <w:autoSpaceDN/>
              <w:jc w:val="center"/>
              <w:rPr>
                <w:sz w:val="20"/>
                <w:szCs w:val="20"/>
              </w:rPr>
            </w:pPr>
            <w:r w:rsidRPr="003B7A14">
              <w:rPr>
                <w:sz w:val="20"/>
                <w:szCs w:val="20"/>
              </w:rPr>
              <w:t>19.07</w:t>
            </w:r>
          </w:p>
        </w:tc>
        <w:tc>
          <w:tcPr>
            <w:tcW w:w="254" w:type="pct"/>
            <w:tcBorders>
              <w:top w:val="single" w:sz="4" w:space="0" w:color="auto"/>
            </w:tcBorders>
            <w:shd w:val="clear" w:color="auto" w:fill="auto"/>
            <w:noWrap/>
            <w:vAlign w:val="center"/>
            <w:hideMark/>
          </w:tcPr>
          <w:p w14:paraId="66C09D6A" w14:textId="77777777" w:rsidR="009D081E" w:rsidRPr="003B7A14" w:rsidRDefault="009D081E" w:rsidP="009A182B">
            <w:pPr>
              <w:widowControl/>
              <w:autoSpaceDE/>
              <w:autoSpaceDN/>
              <w:jc w:val="center"/>
              <w:rPr>
                <w:sz w:val="20"/>
                <w:szCs w:val="20"/>
              </w:rPr>
            </w:pPr>
            <w:r w:rsidRPr="003B7A14">
              <w:rPr>
                <w:sz w:val="20"/>
                <w:szCs w:val="20"/>
              </w:rPr>
              <w:t>19.06</w:t>
            </w:r>
          </w:p>
        </w:tc>
        <w:tc>
          <w:tcPr>
            <w:tcW w:w="252" w:type="pct"/>
            <w:tcBorders>
              <w:top w:val="single" w:sz="4" w:space="0" w:color="auto"/>
            </w:tcBorders>
            <w:shd w:val="clear" w:color="auto" w:fill="auto"/>
            <w:noWrap/>
            <w:vAlign w:val="center"/>
            <w:hideMark/>
          </w:tcPr>
          <w:p w14:paraId="0663D2C3" w14:textId="77777777" w:rsidR="009D081E" w:rsidRPr="003B7A14" w:rsidRDefault="009D081E" w:rsidP="009A182B">
            <w:pPr>
              <w:widowControl/>
              <w:autoSpaceDE/>
              <w:autoSpaceDN/>
              <w:jc w:val="center"/>
              <w:rPr>
                <w:sz w:val="20"/>
                <w:szCs w:val="20"/>
              </w:rPr>
            </w:pPr>
            <w:r w:rsidRPr="003B7A14">
              <w:rPr>
                <w:sz w:val="20"/>
                <w:szCs w:val="20"/>
              </w:rPr>
              <w:t>19.06</w:t>
            </w:r>
          </w:p>
        </w:tc>
        <w:tc>
          <w:tcPr>
            <w:tcW w:w="251" w:type="pct"/>
            <w:tcBorders>
              <w:top w:val="single" w:sz="4" w:space="0" w:color="auto"/>
            </w:tcBorders>
            <w:shd w:val="clear" w:color="auto" w:fill="auto"/>
            <w:noWrap/>
            <w:vAlign w:val="center"/>
            <w:hideMark/>
          </w:tcPr>
          <w:p w14:paraId="3E9941DB" w14:textId="77777777" w:rsidR="009D081E" w:rsidRPr="003B7A14" w:rsidRDefault="009D081E" w:rsidP="009A182B">
            <w:pPr>
              <w:widowControl/>
              <w:autoSpaceDE/>
              <w:autoSpaceDN/>
              <w:jc w:val="center"/>
              <w:rPr>
                <w:sz w:val="20"/>
                <w:szCs w:val="20"/>
              </w:rPr>
            </w:pPr>
            <w:r w:rsidRPr="003B7A14">
              <w:rPr>
                <w:sz w:val="20"/>
                <w:szCs w:val="20"/>
              </w:rPr>
              <w:t>5.695</w:t>
            </w:r>
          </w:p>
        </w:tc>
        <w:tc>
          <w:tcPr>
            <w:tcW w:w="241" w:type="pct"/>
            <w:tcBorders>
              <w:top w:val="single" w:sz="4" w:space="0" w:color="auto"/>
            </w:tcBorders>
            <w:shd w:val="clear" w:color="auto" w:fill="auto"/>
            <w:noWrap/>
            <w:vAlign w:val="center"/>
            <w:hideMark/>
          </w:tcPr>
          <w:p w14:paraId="18803F2F" w14:textId="77777777" w:rsidR="009D081E" w:rsidRPr="003B7A14" w:rsidRDefault="009D081E" w:rsidP="009A182B">
            <w:pPr>
              <w:widowControl/>
              <w:autoSpaceDE/>
              <w:autoSpaceDN/>
              <w:jc w:val="center"/>
              <w:rPr>
                <w:sz w:val="20"/>
                <w:szCs w:val="20"/>
              </w:rPr>
            </w:pPr>
            <w:r w:rsidRPr="003B7A14">
              <w:rPr>
                <w:sz w:val="20"/>
                <w:szCs w:val="20"/>
              </w:rPr>
              <w:t>5.690</w:t>
            </w:r>
          </w:p>
        </w:tc>
        <w:tc>
          <w:tcPr>
            <w:tcW w:w="252" w:type="pct"/>
            <w:tcBorders>
              <w:top w:val="single" w:sz="4" w:space="0" w:color="auto"/>
            </w:tcBorders>
            <w:shd w:val="clear" w:color="auto" w:fill="auto"/>
            <w:noWrap/>
            <w:vAlign w:val="center"/>
            <w:hideMark/>
          </w:tcPr>
          <w:p w14:paraId="0B04B2A3" w14:textId="77777777" w:rsidR="009D081E" w:rsidRPr="003B7A14" w:rsidRDefault="009D081E" w:rsidP="009A182B">
            <w:pPr>
              <w:widowControl/>
              <w:autoSpaceDE/>
              <w:autoSpaceDN/>
              <w:jc w:val="center"/>
              <w:rPr>
                <w:sz w:val="20"/>
                <w:szCs w:val="20"/>
              </w:rPr>
            </w:pPr>
            <w:r w:rsidRPr="003B7A14">
              <w:rPr>
                <w:sz w:val="20"/>
                <w:szCs w:val="20"/>
              </w:rPr>
              <w:t>5.693</w:t>
            </w:r>
          </w:p>
        </w:tc>
        <w:tc>
          <w:tcPr>
            <w:tcW w:w="253" w:type="pct"/>
            <w:tcBorders>
              <w:top w:val="single" w:sz="4" w:space="0" w:color="auto"/>
            </w:tcBorders>
            <w:shd w:val="clear" w:color="auto" w:fill="auto"/>
            <w:noWrap/>
            <w:vAlign w:val="center"/>
            <w:hideMark/>
          </w:tcPr>
          <w:p w14:paraId="4E45D268" w14:textId="77777777" w:rsidR="009D081E" w:rsidRPr="003B7A14" w:rsidRDefault="009D081E" w:rsidP="009A182B">
            <w:pPr>
              <w:widowControl/>
              <w:autoSpaceDE/>
              <w:autoSpaceDN/>
              <w:jc w:val="center"/>
              <w:rPr>
                <w:sz w:val="20"/>
                <w:szCs w:val="20"/>
              </w:rPr>
            </w:pPr>
            <w:r w:rsidRPr="003B7A14">
              <w:rPr>
                <w:sz w:val="20"/>
                <w:szCs w:val="20"/>
              </w:rPr>
              <w:t>69.86</w:t>
            </w:r>
          </w:p>
        </w:tc>
        <w:tc>
          <w:tcPr>
            <w:tcW w:w="253" w:type="pct"/>
            <w:tcBorders>
              <w:top w:val="single" w:sz="4" w:space="0" w:color="auto"/>
            </w:tcBorders>
            <w:shd w:val="clear" w:color="auto" w:fill="auto"/>
            <w:noWrap/>
            <w:vAlign w:val="center"/>
            <w:hideMark/>
          </w:tcPr>
          <w:p w14:paraId="67A5CCA6" w14:textId="77777777" w:rsidR="009D081E" w:rsidRPr="003B7A14" w:rsidRDefault="009D081E" w:rsidP="009A182B">
            <w:pPr>
              <w:widowControl/>
              <w:autoSpaceDE/>
              <w:autoSpaceDN/>
              <w:jc w:val="center"/>
              <w:rPr>
                <w:sz w:val="20"/>
                <w:szCs w:val="20"/>
              </w:rPr>
            </w:pPr>
            <w:r w:rsidRPr="003B7A14">
              <w:rPr>
                <w:sz w:val="20"/>
                <w:szCs w:val="20"/>
              </w:rPr>
              <w:t>69.89</w:t>
            </w:r>
          </w:p>
        </w:tc>
        <w:tc>
          <w:tcPr>
            <w:tcW w:w="253" w:type="pct"/>
            <w:tcBorders>
              <w:top w:val="single" w:sz="4" w:space="0" w:color="auto"/>
            </w:tcBorders>
            <w:shd w:val="clear" w:color="auto" w:fill="auto"/>
            <w:noWrap/>
            <w:vAlign w:val="center"/>
            <w:hideMark/>
          </w:tcPr>
          <w:p w14:paraId="5EA8F995" w14:textId="77777777" w:rsidR="009D081E" w:rsidRPr="003B7A14" w:rsidRDefault="009D081E" w:rsidP="009A182B">
            <w:pPr>
              <w:widowControl/>
              <w:autoSpaceDE/>
              <w:autoSpaceDN/>
              <w:jc w:val="center"/>
              <w:rPr>
                <w:sz w:val="20"/>
                <w:szCs w:val="20"/>
              </w:rPr>
            </w:pPr>
            <w:r w:rsidRPr="003B7A14">
              <w:rPr>
                <w:sz w:val="20"/>
                <w:szCs w:val="20"/>
              </w:rPr>
              <w:t>69.87</w:t>
            </w:r>
          </w:p>
        </w:tc>
      </w:tr>
      <w:tr w:rsidR="003B7A14" w:rsidRPr="003B7A14" w14:paraId="37F30789" w14:textId="77777777" w:rsidTr="009A182B">
        <w:trPr>
          <w:trHeight w:val="395"/>
        </w:trPr>
        <w:tc>
          <w:tcPr>
            <w:tcW w:w="275" w:type="pct"/>
            <w:tcBorders>
              <w:top w:val="nil"/>
            </w:tcBorders>
            <w:shd w:val="clear" w:color="auto" w:fill="auto"/>
            <w:noWrap/>
            <w:vAlign w:val="center"/>
            <w:hideMark/>
          </w:tcPr>
          <w:p w14:paraId="0D32A736"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15</w:t>
            </w:r>
          </w:p>
        </w:tc>
        <w:tc>
          <w:tcPr>
            <w:tcW w:w="277" w:type="pct"/>
            <w:tcBorders>
              <w:top w:val="nil"/>
            </w:tcBorders>
            <w:shd w:val="clear" w:color="auto" w:fill="auto"/>
            <w:noWrap/>
            <w:vAlign w:val="center"/>
            <w:hideMark/>
          </w:tcPr>
          <w:p w14:paraId="6B45823B" w14:textId="77777777" w:rsidR="009D081E" w:rsidRPr="003B7A14" w:rsidRDefault="009D081E" w:rsidP="009A182B">
            <w:pPr>
              <w:widowControl/>
              <w:autoSpaceDE/>
              <w:autoSpaceDN/>
              <w:jc w:val="center"/>
              <w:rPr>
                <w:sz w:val="20"/>
                <w:szCs w:val="20"/>
              </w:rPr>
            </w:pPr>
            <w:r w:rsidRPr="003B7A14">
              <w:rPr>
                <w:sz w:val="20"/>
                <w:szCs w:val="20"/>
              </w:rPr>
              <w:t>0.396</w:t>
            </w:r>
          </w:p>
        </w:tc>
        <w:tc>
          <w:tcPr>
            <w:tcW w:w="254" w:type="pct"/>
            <w:tcBorders>
              <w:top w:val="nil"/>
            </w:tcBorders>
            <w:shd w:val="clear" w:color="auto" w:fill="auto"/>
            <w:noWrap/>
            <w:vAlign w:val="center"/>
            <w:hideMark/>
          </w:tcPr>
          <w:p w14:paraId="64A1F370" w14:textId="77777777" w:rsidR="009D081E" w:rsidRPr="003B7A14" w:rsidRDefault="009D081E" w:rsidP="009A182B">
            <w:pPr>
              <w:widowControl/>
              <w:autoSpaceDE/>
              <w:autoSpaceDN/>
              <w:jc w:val="center"/>
              <w:rPr>
                <w:sz w:val="20"/>
                <w:szCs w:val="20"/>
              </w:rPr>
            </w:pPr>
            <w:r w:rsidRPr="003B7A14">
              <w:rPr>
                <w:sz w:val="20"/>
                <w:szCs w:val="20"/>
              </w:rPr>
              <w:t>0.336</w:t>
            </w:r>
          </w:p>
        </w:tc>
        <w:tc>
          <w:tcPr>
            <w:tcW w:w="253" w:type="pct"/>
            <w:tcBorders>
              <w:top w:val="nil"/>
            </w:tcBorders>
            <w:shd w:val="clear" w:color="auto" w:fill="auto"/>
            <w:noWrap/>
            <w:vAlign w:val="center"/>
            <w:hideMark/>
          </w:tcPr>
          <w:p w14:paraId="34050002" w14:textId="77777777" w:rsidR="009D081E" w:rsidRPr="003B7A14" w:rsidRDefault="009D081E" w:rsidP="009A182B">
            <w:pPr>
              <w:widowControl/>
              <w:autoSpaceDE/>
              <w:autoSpaceDN/>
              <w:jc w:val="center"/>
              <w:rPr>
                <w:sz w:val="20"/>
                <w:szCs w:val="20"/>
              </w:rPr>
            </w:pPr>
            <w:r w:rsidRPr="003B7A14">
              <w:rPr>
                <w:sz w:val="20"/>
                <w:szCs w:val="20"/>
              </w:rPr>
              <w:t>0.366</w:t>
            </w:r>
          </w:p>
        </w:tc>
        <w:tc>
          <w:tcPr>
            <w:tcW w:w="279" w:type="pct"/>
            <w:tcBorders>
              <w:top w:val="nil"/>
            </w:tcBorders>
            <w:shd w:val="clear" w:color="auto" w:fill="auto"/>
            <w:noWrap/>
            <w:vAlign w:val="center"/>
            <w:hideMark/>
          </w:tcPr>
          <w:p w14:paraId="3EDE0AEB" w14:textId="77777777" w:rsidR="009D081E" w:rsidRPr="003B7A14" w:rsidRDefault="009D081E" w:rsidP="009A182B">
            <w:pPr>
              <w:widowControl/>
              <w:autoSpaceDE/>
              <w:autoSpaceDN/>
              <w:jc w:val="center"/>
              <w:rPr>
                <w:sz w:val="20"/>
                <w:szCs w:val="20"/>
              </w:rPr>
            </w:pPr>
            <w:r w:rsidRPr="003B7A14">
              <w:rPr>
                <w:sz w:val="20"/>
                <w:szCs w:val="20"/>
              </w:rPr>
              <w:t>4.457</w:t>
            </w:r>
          </w:p>
        </w:tc>
        <w:tc>
          <w:tcPr>
            <w:tcW w:w="254" w:type="pct"/>
            <w:tcBorders>
              <w:top w:val="nil"/>
            </w:tcBorders>
            <w:shd w:val="clear" w:color="auto" w:fill="auto"/>
            <w:noWrap/>
            <w:vAlign w:val="center"/>
            <w:hideMark/>
          </w:tcPr>
          <w:p w14:paraId="6755AA11" w14:textId="77777777" w:rsidR="009D081E" w:rsidRPr="003B7A14" w:rsidRDefault="009D081E" w:rsidP="009A182B">
            <w:pPr>
              <w:widowControl/>
              <w:autoSpaceDE/>
              <w:autoSpaceDN/>
              <w:jc w:val="center"/>
              <w:rPr>
                <w:sz w:val="20"/>
                <w:szCs w:val="20"/>
              </w:rPr>
            </w:pPr>
            <w:r w:rsidRPr="003B7A14">
              <w:rPr>
                <w:sz w:val="20"/>
                <w:szCs w:val="20"/>
              </w:rPr>
              <w:t>5.185</w:t>
            </w:r>
          </w:p>
        </w:tc>
        <w:tc>
          <w:tcPr>
            <w:tcW w:w="252" w:type="pct"/>
            <w:tcBorders>
              <w:top w:val="nil"/>
            </w:tcBorders>
            <w:shd w:val="clear" w:color="auto" w:fill="auto"/>
            <w:noWrap/>
            <w:vAlign w:val="center"/>
            <w:hideMark/>
          </w:tcPr>
          <w:p w14:paraId="5C6A4011" w14:textId="77777777" w:rsidR="009D081E" w:rsidRPr="003B7A14" w:rsidRDefault="009D081E" w:rsidP="009A182B">
            <w:pPr>
              <w:widowControl/>
              <w:autoSpaceDE/>
              <w:autoSpaceDN/>
              <w:jc w:val="center"/>
              <w:rPr>
                <w:sz w:val="20"/>
                <w:szCs w:val="20"/>
              </w:rPr>
            </w:pPr>
            <w:r w:rsidRPr="003B7A14">
              <w:rPr>
                <w:sz w:val="20"/>
                <w:szCs w:val="20"/>
              </w:rPr>
              <w:t>4.821</w:t>
            </w:r>
          </w:p>
        </w:tc>
        <w:tc>
          <w:tcPr>
            <w:tcW w:w="289" w:type="pct"/>
            <w:tcBorders>
              <w:top w:val="nil"/>
            </w:tcBorders>
            <w:shd w:val="clear" w:color="auto" w:fill="auto"/>
            <w:noWrap/>
            <w:vAlign w:val="center"/>
            <w:hideMark/>
          </w:tcPr>
          <w:p w14:paraId="7328A99C" w14:textId="77777777" w:rsidR="009D081E" w:rsidRPr="003B7A14" w:rsidRDefault="009D081E" w:rsidP="009A182B">
            <w:pPr>
              <w:widowControl/>
              <w:autoSpaceDE/>
              <w:autoSpaceDN/>
              <w:jc w:val="center"/>
              <w:rPr>
                <w:sz w:val="20"/>
                <w:szCs w:val="20"/>
              </w:rPr>
            </w:pPr>
            <w:r w:rsidRPr="003B7A14">
              <w:rPr>
                <w:sz w:val="20"/>
                <w:szCs w:val="20"/>
              </w:rPr>
              <w:t>9.444</w:t>
            </w:r>
          </w:p>
        </w:tc>
        <w:tc>
          <w:tcPr>
            <w:tcW w:w="289" w:type="pct"/>
            <w:tcBorders>
              <w:top w:val="nil"/>
            </w:tcBorders>
            <w:shd w:val="clear" w:color="auto" w:fill="auto"/>
            <w:noWrap/>
            <w:vAlign w:val="center"/>
            <w:hideMark/>
          </w:tcPr>
          <w:p w14:paraId="79FFB2EA" w14:textId="77777777" w:rsidR="009D081E" w:rsidRPr="003B7A14" w:rsidRDefault="009D081E" w:rsidP="009A182B">
            <w:pPr>
              <w:widowControl/>
              <w:autoSpaceDE/>
              <w:autoSpaceDN/>
              <w:jc w:val="center"/>
              <w:rPr>
                <w:sz w:val="20"/>
                <w:szCs w:val="20"/>
              </w:rPr>
            </w:pPr>
            <w:r w:rsidRPr="003B7A14">
              <w:rPr>
                <w:sz w:val="20"/>
                <w:szCs w:val="20"/>
              </w:rPr>
              <w:t>9.622</w:t>
            </w:r>
          </w:p>
        </w:tc>
        <w:tc>
          <w:tcPr>
            <w:tcW w:w="290" w:type="pct"/>
            <w:tcBorders>
              <w:top w:val="nil"/>
            </w:tcBorders>
            <w:shd w:val="clear" w:color="auto" w:fill="auto"/>
            <w:noWrap/>
            <w:vAlign w:val="center"/>
            <w:hideMark/>
          </w:tcPr>
          <w:p w14:paraId="617FB4EA" w14:textId="77777777" w:rsidR="009D081E" w:rsidRPr="003B7A14" w:rsidRDefault="009D081E" w:rsidP="009A182B">
            <w:pPr>
              <w:widowControl/>
              <w:autoSpaceDE/>
              <w:autoSpaceDN/>
              <w:jc w:val="center"/>
              <w:rPr>
                <w:sz w:val="20"/>
                <w:szCs w:val="20"/>
              </w:rPr>
            </w:pPr>
            <w:r w:rsidRPr="003B7A14">
              <w:rPr>
                <w:sz w:val="20"/>
                <w:szCs w:val="20"/>
              </w:rPr>
              <w:t>9.533</w:t>
            </w:r>
          </w:p>
        </w:tc>
        <w:tc>
          <w:tcPr>
            <w:tcW w:w="279" w:type="pct"/>
            <w:tcBorders>
              <w:top w:val="nil"/>
            </w:tcBorders>
            <w:shd w:val="clear" w:color="auto" w:fill="auto"/>
            <w:noWrap/>
            <w:vAlign w:val="center"/>
            <w:hideMark/>
          </w:tcPr>
          <w:p w14:paraId="7B4C6339" w14:textId="77777777" w:rsidR="009D081E" w:rsidRPr="003B7A14" w:rsidRDefault="009D081E" w:rsidP="009A182B">
            <w:pPr>
              <w:widowControl/>
              <w:autoSpaceDE/>
              <w:autoSpaceDN/>
              <w:jc w:val="center"/>
              <w:rPr>
                <w:sz w:val="20"/>
                <w:szCs w:val="20"/>
              </w:rPr>
            </w:pPr>
            <w:r w:rsidRPr="003B7A14">
              <w:rPr>
                <w:sz w:val="20"/>
                <w:szCs w:val="20"/>
              </w:rPr>
              <w:t>18.42</w:t>
            </w:r>
          </w:p>
        </w:tc>
        <w:tc>
          <w:tcPr>
            <w:tcW w:w="254" w:type="pct"/>
            <w:tcBorders>
              <w:top w:val="nil"/>
            </w:tcBorders>
            <w:shd w:val="clear" w:color="auto" w:fill="auto"/>
            <w:noWrap/>
            <w:vAlign w:val="center"/>
            <w:hideMark/>
          </w:tcPr>
          <w:p w14:paraId="3C878954" w14:textId="77777777" w:rsidR="009D081E" w:rsidRPr="003B7A14" w:rsidRDefault="009D081E" w:rsidP="009A182B">
            <w:pPr>
              <w:widowControl/>
              <w:autoSpaceDE/>
              <w:autoSpaceDN/>
              <w:jc w:val="center"/>
              <w:rPr>
                <w:sz w:val="20"/>
                <w:szCs w:val="20"/>
              </w:rPr>
            </w:pPr>
            <w:r w:rsidRPr="003B7A14">
              <w:rPr>
                <w:sz w:val="20"/>
                <w:szCs w:val="20"/>
              </w:rPr>
              <w:t>17.57</w:t>
            </w:r>
          </w:p>
        </w:tc>
        <w:tc>
          <w:tcPr>
            <w:tcW w:w="252" w:type="pct"/>
            <w:tcBorders>
              <w:top w:val="nil"/>
            </w:tcBorders>
            <w:shd w:val="clear" w:color="auto" w:fill="auto"/>
            <w:noWrap/>
            <w:vAlign w:val="center"/>
            <w:hideMark/>
          </w:tcPr>
          <w:p w14:paraId="36AC2CAA" w14:textId="77777777" w:rsidR="009D081E" w:rsidRPr="003B7A14" w:rsidRDefault="009D081E" w:rsidP="009A182B">
            <w:pPr>
              <w:widowControl/>
              <w:autoSpaceDE/>
              <w:autoSpaceDN/>
              <w:jc w:val="center"/>
              <w:rPr>
                <w:sz w:val="20"/>
                <w:szCs w:val="20"/>
              </w:rPr>
            </w:pPr>
            <w:r w:rsidRPr="003B7A14">
              <w:rPr>
                <w:sz w:val="20"/>
                <w:szCs w:val="20"/>
              </w:rPr>
              <w:t>17.99</w:t>
            </w:r>
          </w:p>
        </w:tc>
        <w:tc>
          <w:tcPr>
            <w:tcW w:w="251" w:type="pct"/>
            <w:tcBorders>
              <w:top w:val="nil"/>
            </w:tcBorders>
            <w:shd w:val="clear" w:color="auto" w:fill="auto"/>
            <w:noWrap/>
            <w:vAlign w:val="center"/>
            <w:hideMark/>
          </w:tcPr>
          <w:p w14:paraId="063A44BC" w14:textId="77777777" w:rsidR="009D081E" w:rsidRPr="003B7A14" w:rsidRDefault="009D081E" w:rsidP="009A182B">
            <w:pPr>
              <w:widowControl/>
              <w:autoSpaceDE/>
              <w:autoSpaceDN/>
              <w:jc w:val="center"/>
              <w:rPr>
                <w:sz w:val="20"/>
                <w:szCs w:val="20"/>
              </w:rPr>
            </w:pPr>
            <w:r w:rsidRPr="003B7A14">
              <w:rPr>
                <w:sz w:val="20"/>
                <w:szCs w:val="20"/>
              </w:rPr>
              <w:t>6.181</w:t>
            </w:r>
          </w:p>
        </w:tc>
        <w:tc>
          <w:tcPr>
            <w:tcW w:w="241" w:type="pct"/>
            <w:tcBorders>
              <w:top w:val="nil"/>
            </w:tcBorders>
            <w:shd w:val="clear" w:color="auto" w:fill="auto"/>
            <w:noWrap/>
            <w:vAlign w:val="center"/>
            <w:hideMark/>
          </w:tcPr>
          <w:p w14:paraId="046BA503" w14:textId="77777777" w:rsidR="009D081E" w:rsidRPr="003B7A14" w:rsidRDefault="009D081E" w:rsidP="009A182B">
            <w:pPr>
              <w:widowControl/>
              <w:autoSpaceDE/>
              <w:autoSpaceDN/>
              <w:jc w:val="center"/>
              <w:rPr>
                <w:sz w:val="20"/>
                <w:szCs w:val="20"/>
              </w:rPr>
            </w:pPr>
            <w:r w:rsidRPr="003B7A14">
              <w:rPr>
                <w:sz w:val="20"/>
                <w:szCs w:val="20"/>
              </w:rPr>
              <w:t>5.835</w:t>
            </w:r>
          </w:p>
        </w:tc>
        <w:tc>
          <w:tcPr>
            <w:tcW w:w="252" w:type="pct"/>
            <w:tcBorders>
              <w:top w:val="nil"/>
            </w:tcBorders>
            <w:shd w:val="clear" w:color="auto" w:fill="auto"/>
            <w:noWrap/>
            <w:vAlign w:val="center"/>
            <w:hideMark/>
          </w:tcPr>
          <w:p w14:paraId="30A606DC" w14:textId="77777777" w:rsidR="009D081E" w:rsidRPr="003B7A14" w:rsidRDefault="009D081E" w:rsidP="009A182B">
            <w:pPr>
              <w:widowControl/>
              <w:autoSpaceDE/>
              <w:autoSpaceDN/>
              <w:jc w:val="center"/>
              <w:rPr>
                <w:sz w:val="20"/>
                <w:szCs w:val="20"/>
              </w:rPr>
            </w:pPr>
            <w:r w:rsidRPr="003B7A14">
              <w:rPr>
                <w:sz w:val="20"/>
                <w:szCs w:val="20"/>
              </w:rPr>
              <w:t>6.008</w:t>
            </w:r>
          </w:p>
        </w:tc>
        <w:tc>
          <w:tcPr>
            <w:tcW w:w="253" w:type="pct"/>
            <w:tcBorders>
              <w:top w:val="nil"/>
            </w:tcBorders>
            <w:shd w:val="clear" w:color="auto" w:fill="auto"/>
            <w:noWrap/>
            <w:vAlign w:val="center"/>
            <w:hideMark/>
          </w:tcPr>
          <w:p w14:paraId="6C61E42F" w14:textId="77777777" w:rsidR="009D081E" w:rsidRPr="003B7A14" w:rsidRDefault="009D081E" w:rsidP="009A182B">
            <w:pPr>
              <w:widowControl/>
              <w:autoSpaceDE/>
              <w:autoSpaceDN/>
              <w:jc w:val="center"/>
              <w:rPr>
                <w:sz w:val="20"/>
                <w:szCs w:val="20"/>
              </w:rPr>
            </w:pPr>
            <w:r w:rsidRPr="003B7A14">
              <w:rPr>
                <w:sz w:val="20"/>
                <w:szCs w:val="20"/>
              </w:rPr>
              <w:t>70.31</w:t>
            </w:r>
          </w:p>
        </w:tc>
        <w:tc>
          <w:tcPr>
            <w:tcW w:w="253" w:type="pct"/>
            <w:tcBorders>
              <w:top w:val="nil"/>
            </w:tcBorders>
            <w:shd w:val="clear" w:color="auto" w:fill="auto"/>
            <w:noWrap/>
            <w:vAlign w:val="center"/>
            <w:hideMark/>
          </w:tcPr>
          <w:p w14:paraId="027BDD1C" w14:textId="77777777" w:rsidR="009D081E" w:rsidRPr="003B7A14" w:rsidRDefault="009D081E" w:rsidP="009A182B">
            <w:pPr>
              <w:widowControl/>
              <w:autoSpaceDE/>
              <w:autoSpaceDN/>
              <w:jc w:val="center"/>
              <w:rPr>
                <w:sz w:val="20"/>
                <w:szCs w:val="20"/>
              </w:rPr>
            </w:pPr>
            <w:r w:rsidRPr="003B7A14">
              <w:rPr>
                <w:sz w:val="20"/>
                <w:szCs w:val="20"/>
              </w:rPr>
              <w:t>70.65</w:t>
            </w:r>
          </w:p>
        </w:tc>
        <w:tc>
          <w:tcPr>
            <w:tcW w:w="253" w:type="pct"/>
            <w:tcBorders>
              <w:top w:val="nil"/>
            </w:tcBorders>
            <w:shd w:val="clear" w:color="auto" w:fill="auto"/>
            <w:noWrap/>
            <w:vAlign w:val="center"/>
            <w:hideMark/>
          </w:tcPr>
          <w:p w14:paraId="64DE1C5D" w14:textId="77777777" w:rsidR="009D081E" w:rsidRPr="003B7A14" w:rsidRDefault="009D081E" w:rsidP="009A182B">
            <w:pPr>
              <w:widowControl/>
              <w:autoSpaceDE/>
              <w:autoSpaceDN/>
              <w:jc w:val="center"/>
              <w:rPr>
                <w:sz w:val="20"/>
                <w:szCs w:val="20"/>
              </w:rPr>
            </w:pPr>
            <w:r w:rsidRPr="003B7A14">
              <w:rPr>
                <w:sz w:val="20"/>
                <w:szCs w:val="20"/>
              </w:rPr>
              <w:t>70.48</w:t>
            </w:r>
          </w:p>
        </w:tc>
      </w:tr>
      <w:tr w:rsidR="003B7A14" w:rsidRPr="003B7A14" w14:paraId="10E30B1C" w14:textId="77777777" w:rsidTr="009A182B">
        <w:trPr>
          <w:trHeight w:val="395"/>
        </w:trPr>
        <w:tc>
          <w:tcPr>
            <w:tcW w:w="275" w:type="pct"/>
            <w:tcBorders>
              <w:top w:val="nil"/>
            </w:tcBorders>
            <w:shd w:val="clear" w:color="auto" w:fill="auto"/>
            <w:noWrap/>
            <w:vAlign w:val="center"/>
            <w:hideMark/>
          </w:tcPr>
          <w:p w14:paraId="0174E4E5"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30</w:t>
            </w:r>
          </w:p>
        </w:tc>
        <w:tc>
          <w:tcPr>
            <w:tcW w:w="277" w:type="pct"/>
            <w:tcBorders>
              <w:top w:val="nil"/>
            </w:tcBorders>
            <w:shd w:val="clear" w:color="auto" w:fill="auto"/>
            <w:noWrap/>
            <w:vAlign w:val="center"/>
            <w:hideMark/>
          </w:tcPr>
          <w:p w14:paraId="7C7DDBA9" w14:textId="77777777" w:rsidR="009D081E" w:rsidRPr="003B7A14" w:rsidRDefault="009D081E" w:rsidP="009A182B">
            <w:pPr>
              <w:widowControl/>
              <w:autoSpaceDE/>
              <w:autoSpaceDN/>
              <w:jc w:val="center"/>
              <w:rPr>
                <w:sz w:val="20"/>
                <w:szCs w:val="20"/>
              </w:rPr>
            </w:pPr>
            <w:r w:rsidRPr="003B7A14">
              <w:rPr>
                <w:sz w:val="20"/>
                <w:szCs w:val="20"/>
              </w:rPr>
              <w:t>0.381</w:t>
            </w:r>
          </w:p>
        </w:tc>
        <w:tc>
          <w:tcPr>
            <w:tcW w:w="254" w:type="pct"/>
            <w:tcBorders>
              <w:top w:val="nil"/>
            </w:tcBorders>
            <w:shd w:val="clear" w:color="auto" w:fill="auto"/>
            <w:noWrap/>
            <w:vAlign w:val="center"/>
            <w:hideMark/>
          </w:tcPr>
          <w:p w14:paraId="0360E4A0" w14:textId="77777777" w:rsidR="009D081E" w:rsidRPr="003B7A14" w:rsidRDefault="009D081E" w:rsidP="009A182B">
            <w:pPr>
              <w:widowControl/>
              <w:autoSpaceDE/>
              <w:autoSpaceDN/>
              <w:jc w:val="center"/>
              <w:rPr>
                <w:sz w:val="20"/>
                <w:szCs w:val="20"/>
              </w:rPr>
            </w:pPr>
            <w:r w:rsidRPr="003B7A14">
              <w:rPr>
                <w:sz w:val="20"/>
                <w:szCs w:val="20"/>
              </w:rPr>
              <w:t>0.282</w:t>
            </w:r>
          </w:p>
        </w:tc>
        <w:tc>
          <w:tcPr>
            <w:tcW w:w="253" w:type="pct"/>
            <w:tcBorders>
              <w:top w:val="nil"/>
            </w:tcBorders>
            <w:shd w:val="clear" w:color="auto" w:fill="auto"/>
            <w:noWrap/>
            <w:vAlign w:val="center"/>
            <w:hideMark/>
          </w:tcPr>
          <w:p w14:paraId="372F814D" w14:textId="77777777" w:rsidR="009D081E" w:rsidRPr="003B7A14" w:rsidRDefault="009D081E" w:rsidP="009A182B">
            <w:pPr>
              <w:widowControl/>
              <w:autoSpaceDE/>
              <w:autoSpaceDN/>
              <w:jc w:val="center"/>
              <w:rPr>
                <w:sz w:val="20"/>
                <w:szCs w:val="20"/>
              </w:rPr>
            </w:pPr>
            <w:r w:rsidRPr="003B7A14">
              <w:rPr>
                <w:sz w:val="20"/>
                <w:szCs w:val="20"/>
              </w:rPr>
              <w:t>0.331</w:t>
            </w:r>
          </w:p>
        </w:tc>
        <w:tc>
          <w:tcPr>
            <w:tcW w:w="279" w:type="pct"/>
            <w:tcBorders>
              <w:top w:val="nil"/>
            </w:tcBorders>
            <w:shd w:val="clear" w:color="auto" w:fill="auto"/>
            <w:noWrap/>
            <w:vAlign w:val="center"/>
            <w:hideMark/>
          </w:tcPr>
          <w:p w14:paraId="34804323" w14:textId="77777777" w:rsidR="009D081E" w:rsidRPr="003B7A14" w:rsidRDefault="009D081E" w:rsidP="009A182B">
            <w:pPr>
              <w:widowControl/>
              <w:autoSpaceDE/>
              <w:autoSpaceDN/>
              <w:jc w:val="center"/>
              <w:rPr>
                <w:sz w:val="20"/>
                <w:szCs w:val="20"/>
              </w:rPr>
            </w:pPr>
            <w:r w:rsidRPr="003B7A14">
              <w:rPr>
                <w:sz w:val="20"/>
                <w:szCs w:val="20"/>
              </w:rPr>
              <w:t>4.004</w:t>
            </w:r>
          </w:p>
        </w:tc>
        <w:tc>
          <w:tcPr>
            <w:tcW w:w="254" w:type="pct"/>
            <w:tcBorders>
              <w:top w:val="nil"/>
            </w:tcBorders>
            <w:shd w:val="clear" w:color="auto" w:fill="auto"/>
            <w:noWrap/>
            <w:vAlign w:val="center"/>
            <w:hideMark/>
          </w:tcPr>
          <w:p w14:paraId="379C593A" w14:textId="77777777" w:rsidR="009D081E" w:rsidRPr="003B7A14" w:rsidRDefault="009D081E" w:rsidP="009A182B">
            <w:pPr>
              <w:widowControl/>
              <w:autoSpaceDE/>
              <w:autoSpaceDN/>
              <w:jc w:val="center"/>
              <w:rPr>
                <w:sz w:val="20"/>
                <w:szCs w:val="20"/>
              </w:rPr>
            </w:pPr>
            <w:r w:rsidRPr="003B7A14">
              <w:rPr>
                <w:sz w:val="20"/>
                <w:szCs w:val="20"/>
              </w:rPr>
              <w:t>5.576</w:t>
            </w:r>
          </w:p>
        </w:tc>
        <w:tc>
          <w:tcPr>
            <w:tcW w:w="252" w:type="pct"/>
            <w:tcBorders>
              <w:top w:val="nil"/>
            </w:tcBorders>
            <w:shd w:val="clear" w:color="auto" w:fill="auto"/>
            <w:noWrap/>
            <w:vAlign w:val="center"/>
            <w:hideMark/>
          </w:tcPr>
          <w:p w14:paraId="0417D2CD" w14:textId="77777777" w:rsidR="009D081E" w:rsidRPr="003B7A14" w:rsidRDefault="009D081E" w:rsidP="009A182B">
            <w:pPr>
              <w:widowControl/>
              <w:autoSpaceDE/>
              <w:autoSpaceDN/>
              <w:jc w:val="center"/>
              <w:rPr>
                <w:sz w:val="20"/>
                <w:szCs w:val="20"/>
              </w:rPr>
            </w:pPr>
            <w:r w:rsidRPr="003B7A14">
              <w:rPr>
                <w:sz w:val="20"/>
                <w:szCs w:val="20"/>
              </w:rPr>
              <w:t>4.790</w:t>
            </w:r>
          </w:p>
        </w:tc>
        <w:tc>
          <w:tcPr>
            <w:tcW w:w="289" w:type="pct"/>
            <w:tcBorders>
              <w:top w:val="nil"/>
            </w:tcBorders>
            <w:shd w:val="clear" w:color="auto" w:fill="auto"/>
            <w:noWrap/>
            <w:vAlign w:val="center"/>
            <w:hideMark/>
          </w:tcPr>
          <w:p w14:paraId="20FEB5F3" w14:textId="77777777" w:rsidR="009D081E" w:rsidRPr="003B7A14" w:rsidRDefault="009D081E" w:rsidP="009A182B">
            <w:pPr>
              <w:widowControl/>
              <w:autoSpaceDE/>
              <w:autoSpaceDN/>
              <w:jc w:val="center"/>
              <w:rPr>
                <w:sz w:val="20"/>
                <w:szCs w:val="20"/>
              </w:rPr>
            </w:pPr>
            <w:r w:rsidRPr="003B7A14">
              <w:rPr>
                <w:sz w:val="20"/>
                <w:szCs w:val="20"/>
              </w:rPr>
              <w:t>10.237</w:t>
            </w:r>
          </w:p>
        </w:tc>
        <w:tc>
          <w:tcPr>
            <w:tcW w:w="289" w:type="pct"/>
            <w:tcBorders>
              <w:top w:val="nil"/>
            </w:tcBorders>
            <w:shd w:val="clear" w:color="auto" w:fill="auto"/>
            <w:noWrap/>
            <w:vAlign w:val="center"/>
            <w:hideMark/>
          </w:tcPr>
          <w:p w14:paraId="6696FCF2" w14:textId="77777777" w:rsidR="009D081E" w:rsidRPr="003B7A14" w:rsidRDefault="009D081E" w:rsidP="009A182B">
            <w:pPr>
              <w:widowControl/>
              <w:autoSpaceDE/>
              <w:autoSpaceDN/>
              <w:jc w:val="center"/>
              <w:rPr>
                <w:sz w:val="20"/>
                <w:szCs w:val="20"/>
              </w:rPr>
            </w:pPr>
            <w:r w:rsidRPr="003B7A14">
              <w:rPr>
                <w:sz w:val="20"/>
                <w:szCs w:val="20"/>
              </w:rPr>
              <w:t>10.277</w:t>
            </w:r>
          </w:p>
        </w:tc>
        <w:tc>
          <w:tcPr>
            <w:tcW w:w="290" w:type="pct"/>
            <w:tcBorders>
              <w:top w:val="nil"/>
            </w:tcBorders>
            <w:shd w:val="clear" w:color="auto" w:fill="auto"/>
            <w:noWrap/>
            <w:vAlign w:val="center"/>
            <w:hideMark/>
          </w:tcPr>
          <w:p w14:paraId="4972CFAB" w14:textId="77777777" w:rsidR="009D081E" w:rsidRPr="003B7A14" w:rsidRDefault="009D081E" w:rsidP="009A182B">
            <w:pPr>
              <w:widowControl/>
              <w:autoSpaceDE/>
              <w:autoSpaceDN/>
              <w:jc w:val="center"/>
              <w:rPr>
                <w:sz w:val="20"/>
                <w:szCs w:val="20"/>
              </w:rPr>
            </w:pPr>
            <w:r w:rsidRPr="003B7A14">
              <w:rPr>
                <w:sz w:val="20"/>
                <w:szCs w:val="20"/>
              </w:rPr>
              <w:t>10.257</w:t>
            </w:r>
          </w:p>
        </w:tc>
        <w:tc>
          <w:tcPr>
            <w:tcW w:w="279" w:type="pct"/>
            <w:tcBorders>
              <w:top w:val="nil"/>
            </w:tcBorders>
            <w:shd w:val="clear" w:color="auto" w:fill="auto"/>
            <w:noWrap/>
            <w:vAlign w:val="center"/>
            <w:hideMark/>
          </w:tcPr>
          <w:p w14:paraId="5495A158" w14:textId="77777777" w:rsidR="009D081E" w:rsidRPr="003B7A14" w:rsidRDefault="009D081E" w:rsidP="009A182B">
            <w:pPr>
              <w:widowControl/>
              <w:autoSpaceDE/>
              <w:autoSpaceDN/>
              <w:jc w:val="center"/>
              <w:rPr>
                <w:sz w:val="20"/>
                <w:szCs w:val="20"/>
              </w:rPr>
            </w:pPr>
            <w:r w:rsidRPr="003B7A14">
              <w:rPr>
                <w:sz w:val="20"/>
                <w:szCs w:val="20"/>
              </w:rPr>
              <w:t>18.07</w:t>
            </w:r>
          </w:p>
        </w:tc>
        <w:tc>
          <w:tcPr>
            <w:tcW w:w="254" w:type="pct"/>
            <w:tcBorders>
              <w:top w:val="nil"/>
            </w:tcBorders>
            <w:shd w:val="clear" w:color="auto" w:fill="auto"/>
            <w:noWrap/>
            <w:vAlign w:val="center"/>
            <w:hideMark/>
          </w:tcPr>
          <w:p w14:paraId="0B5B9F17" w14:textId="77777777" w:rsidR="009D081E" w:rsidRPr="003B7A14" w:rsidRDefault="009D081E" w:rsidP="009A182B">
            <w:pPr>
              <w:widowControl/>
              <w:autoSpaceDE/>
              <w:autoSpaceDN/>
              <w:jc w:val="center"/>
              <w:rPr>
                <w:sz w:val="20"/>
                <w:szCs w:val="20"/>
              </w:rPr>
            </w:pPr>
            <w:r w:rsidRPr="003B7A14">
              <w:rPr>
                <w:sz w:val="20"/>
                <w:szCs w:val="20"/>
              </w:rPr>
              <w:t>13.67</w:t>
            </w:r>
          </w:p>
        </w:tc>
        <w:tc>
          <w:tcPr>
            <w:tcW w:w="252" w:type="pct"/>
            <w:tcBorders>
              <w:top w:val="nil"/>
            </w:tcBorders>
            <w:shd w:val="clear" w:color="auto" w:fill="auto"/>
            <w:noWrap/>
            <w:vAlign w:val="center"/>
            <w:hideMark/>
          </w:tcPr>
          <w:p w14:paraId="54F2DAF8" w14:textId="77777777" w:rsidR="009D081E" w:rsidRPr="003B7A14" w:rsidRDefault="009D081E" w:rsidP="009A182B">
            <w:pPr>
              <w:widowControl/>
              <w:autoSpaceDE/>
              <w:autoSpaceDN/>
              <w:jc w:val="center"/>
              <w:rPr>
                <w:sz w:val="20"/>
                <w:szCs w:val="20"/>
              </w:rPr>
            </w:pPr>
            <w:r w:rsidRPr="003B7A14">
              <w:rPr>
                <w:sz w:val="20"/>
                <w:szCs w:val="20"/>
              </w:rPr>
              <w:t>15.87</w:t>
            </w:r>
          </w:p>
        </w:tc>
        <w:tc>
          <w:tcPr>
            <w:tcW w:w="251" w:type="pct"/>
            <w:tcBorders>
              <w:top w:val="nil"/>
            </w:tcBorders>
            <w:shd w:val="clear" w:color="auto" w:fill="auto"/>
            <w:noWrap/>
            <w:vAlign w:val="center"/>
            <w:hideMark/>
          </w:tcPr>
          <w:p w14:paraId="03C73CFB" w14:textId="77777777" w:rsidR="009D081E" w:rsidRPr="003B7A14" w:rsidRDefault="009D081E" w:rsidP="009A182B">
            <w:pPr>
              <w:widowControl/>
              <w:autoSpaceDE/>
              <w:autoSpaceDN/>
              <w:jc w:val="center"/>
              <w:rPr>
                <w:sz w:val="20"/>
                <w:szCs w:val="20"/>
              </w:rPr>
            </w:pPr>
            <w:r w:rsidRPr="003B7A14">
              <w:rPr>
                <w:sz w:val="20"/>
                <w:szCs w:val="20"/>
              </w:rPr>
              <w:t>5.857</w:t>
            </w:r>
          </w:p>
        </w:tc>
        <w:tc>
          <w:tcPr>
            <w:tcW w:w="241" w:type="pct"/>
            <w:tcBorders>
              <w:top w:val="nil"/>
            </w:tcBorders>
            <w:shd w:val="clear" w:color="auto" w:fill="auto"/>
            <w:noWrap/>
            <w:vAlign w:val="center"/>
            <w:hideMark/>
          </w:tcPr>
          <w:p w14:paraId="0D7B1758" w14:textId="77777777" w:rsidR="009D081E" w:rsidRPr="003B7A14" w:rsidRDefault="009D081E" w:rsidP="009A182B">
            <w:pPr>
              <w:widowControl/>
              <w:autoSpaceDE/>
              <w:autoSpaceDN/>
              <w:jc w:val="center"/>
              <w:rPr>
                <w:sz w:val="20"/>
                <w:szCs w:val="20"/>
              </w:rPr>
            </w:pPr>
            <w:r w:rsidRPr="003B7A14">
              <w:rPr>
                <w:sz w:val="20"/>
                <w:szCs w:val="20"/>
              </w:rPr>
              <w:t>6.760</w:t>
            </w:r>
          </w:p>
        </w:tc>
        <w:tc>
          <w:tcPr>
            <w:tcW w:w="252" w:type="pct"/>
            <w:tcBorders>
              <w:top w:val="nil"/>
            </w:tcBorders>
            <w:shd w:val="clear" w:color="auto" w:fill="auto"/>
            <w:noWrap/>
            <w:vAlign w:val="center"/>
            <w:hideMark/>
          </w:tcPr>
          <w:p w14:paraId="463B3A40" w14:textId="77777777" w:rsidR="009D081E" w:rsidRPr="003B7A14" w:rsidRDefault="009D081E" w:rsidP="009A182B">
            <w:pPr>
              <w:widowControl/>
              <w:autoSpaceDE/>
              <w:autoSpaceDN/>
              <w:jc w:val="center"/>
              <w:rPr>
                <w:sz w:val="20"/>
                <w:szCs w:val="20"/>
              </w:rPr>
            </w:pPr>
            <w:r w:rsidRPr="003B7A14">
              <w:rPr>
                <w:sz w:val="20"/>
                <w:szCs w:val="20"/>
              </w:rPr>
              <w:t>6.309</w:t>
            </w:r>
          </w:p>
        </w:tc>
        <w:tc>
          <w:tcPr>
            <w:tcW w:w="253" w:type="pct"/>
            <w:tcBorders>
              <w:top w:val="nil"/>
            </w:tcBorders>
            <w:shd w:val="clear" w:color="auto" w:fill="auto"/>
            <w:noWrap/>
            <w:vAlign w:val="center"/>
            <w:hideMark/>
          </w:tcPr>
          <w:p w14:paraId="69367453" w14:textId="77777777" w:rsidR="009D081E" w:rsidRPr="003B7A14" w:rsidRDefault="009D081E" w:rsidP="009A182B">
            <w:pPr>
              <w:widowControl/>
              <w:autoSpaceDE/>
              <w:autoSpaceDN/>
              <w:jc w:val="center"/>
              <w:rPr>
                <w:sz w:val="20"/>
                <w:szCs w:val="20"/>
              </w:rPr>
            </w:pPr>
            <w:r w:rsidRPr="003B7A14">
              <w:rPr>
                <w:sz w:val="20"/>
                <w:szCs w:val="20"/>
              </w:rPr>
              <w:t>70.65</w:t>
            </w:r>
          </w:p>
        </w:tc>
        <w:tc>
          <w:tcPr>
            <w:tcW w:w="253" w:type="pct"/>
            <w:tcBorders>
              <w:top w:val="nil"/>
            </w:tcBorders>
            <w:shd w:val="clear" w:color="auto" w:fill="auto"/>
            <w:noWrap/>
            <w:vAlign w:val="center"/>
            <w:hideMark/>
          </w:tcPr>
          <w:p w14:paraId="69199481" w14:textId="77777777" w:rsidR="009D081E" w:rsidRPr="003B7A14" w:rsidRDefault="009D081E" w:rsidP="009A182B">
            <w:pPr>
              <w:widowControl/>
              <w:autoSpaceDE/>
              <w:autoSpaceDN/>
              <w:jc w:val="center"/>
              <w:rPr>
                <w:sz w:val="20"/>
                <w:szCs w:val="20"/>
              </w:rPr>
            </w:pPr>
            <w:r w:rsidRPr="003B7A14">
              <w:rPr>
                <w:sz w:val="20"/>
                <w:szCs w:val="20"/>
              </w:rPr>
              <w:t>72.64</w:t>
            </w:r>
          </w:p>
        </w:tc>
        <w:tc>
          <w:tcPr>
            <w:tcW w:w="253" w:type="pct"/>
            <w:tcBorders>
              <w:top w:val="nil"/>
            </w:tcBorders>
            <w:shd w:val="clear" w:color="auto" w:fill="auto"/>
            <w:noWrap/>
            <w:vAlign w:val="center"/>
            <w:hideMark/>
          </w:tcPr>
          <w:p w14:paraId="1562F87A" w14:textId="77777777" w:rsidR="009D081E" w:rsidRPr="003B7A14" w:rsidRDefault="009D081E" w:rsidP="009A182B">
            <w:pPr>
              <w:widowControl/>
              <w:autoSpaceDE/>
              <w:autoSpaceDN/>
              <w:jc w:val="center"/>
              <w:rPr>
                <w:sz w:val="20"/>
                <w:szCs w:val="20"/>
              </w:rPr>
            </w:pPr>
            <w:r w:rsidRPr="003B7A14">
              <w:rPr>
                <w:sz w:val="20"/>
                <w:szCs w:val="20"/>
              </w:rPr>
              <w:t>71.64</w:t>
            </w:r>
          </w:p>
        </w:tc>
      </w:tr>
      <w:tr w:rsidR="003B7A14" w:rsidRPr="003B7A14" w14:paraId="4835CBF3" w14:textId="77777777" w:rsidTr="009A182B">
        <w:trPr>
          <w:trHeight w:val="395"/>
        </w:trPr>
        <w:tc>
          <w:tcPr>
            <w:tcW w:w="275" w:type="pct"/>
            <w:tcBorders>
              <w:top w:val="nil"/>
            </w:tcBorders>
            <w:shd w:val="clear" w:color="auto" w:fill="auto"/>
            <w:noWrap/>
            <w:vAlign w:val="center"/>
            <w:hideMark/>
          </w:tcPr>
          <w:p w14:paraId="712DD9C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45</w:t>
            </w:r>
          </w:p>
        </w:tc>
        <w:tc>
          <w:tcPr>
            <w:tcW w:w="277" w:type="pct"/>
            <w:tcBorders>
              <w:top w:val="nil"/>
            </w:tcBorders>
            <w:shd w:val="clear" w:color="auto" w:fill="auto"/>
            <w:noWrap/>
            <w:vAlign w:val="center"/>
            <w:hideMark/>
          </w:tcPr>
          <w:p w14:paraId="0708B8BC" w14:textId="77777777" w:rsidR="009D081E" w:rsidRPr="003B7A14" w:rsidRDefault="009D081E" w:rsidP="009A182B">
            <w:pPr>
              <w:widowControl/>
              <w:autoSpaceDE/>
              <w:autoSpaceDN/>
              <w:jc w:val="center"/>
              <w:rPr>
                <w:sz w:val="20"/>
                <w:szCs w:val="20"/>
              </w:rPr>
            </w:pPr>
            <w:r w:rsidRPr="003B7A14">
              <w:rPr>
                <w:sz w:val="20"/>
                <w:szCs w:val="20"/>
              </w:rPr>
              <w:t>0.348</w:t>
            </w:r>
          </w:p>
        </w:tc>
        <w:tc>
          <w:tcPr>
            <w:tcW w:w="254" w:type="pct"/>
            <w:tcBorders>
              <w:top w:val="nil"/>
            </w:tcBorders>
            <w:shd w:val="clear" w:color="auto" w:fill="auto"/>
            <w:noWrap/>
            <w:vAlign w:val="center"/>
            <w:hideMark/>
          </w:tcPr>
          <w:p w14:paraId="74A3A723" w14:textId="77777777" w:rsidR="009D081E" w:rsidRPr="003B7A14" w:rsidRDefault="009D081E" w:rsidP="009A182B">
            <w:pPr>
              <w:widowControl/>
              <w:autoSpaceDE/>
              <w:autoSpaceDN/>
              <w:jc w:val="center"/>
              <w:rPr>
                <w:sz w:val="20"/>
                <w:szCs w:val="20"/>
              </w:rPr>
            </w:pPr>
            <w:r w:rsidRPr="003B7A14">
              <w:rPr>
                <w:sz w:val="20"/>
                <w:szCs w:val="20"/>
              </w:rPr>
              <w:t>0.232</w:t>
            </w:r>
          </w:p>
        </w:tc>
        <w:tc>
          <w:tcPr>
            <w:tcW w:w="253" w:type="pct"/>
            <w:tcBorders>
              <w:top w:val="nil"/>
            </w:tcBorders>
            <w:shd w:val="clear" w:color="auto" w:fill="auto"/>
            <w:noWrap/>
            <w:vAlign w:val="center"/>
            <w:hideMark/>
          </w:tcPr>
          <w:p w14:paraId="454FD550" w14:textId="77777777" w:rsidR="009D081E" w:rsidRPr="003B7A14" w:rsidRDefault="009D081E" w:rsidP="009A182B">
            <w:pPr>
              <w:widowControl/>
              <w:autoSpaceDE/>
              <w:autoSpaceDN/>
              <w:jc w:val="center"/>
              <w:rPr>
                <w:sz w:val="20"/>
                <w:szCs w:val="20"/>
              </w:rPr>
            </w:pPr>
            <w:r w:rsidRPr="003B7A14">
              <w:rPr>
                <w:sz w:val="20"/>
                <w:szCs w:val="20"/>
              </w:rPr>
              <w:t>0.290</w:t>
            </w:r>
          </w:p>
        </w:tc>
        <w:tc>
          <w:tcPr>
            <w:tcW w:w="279" w:type="pct"/>
            <w:tcBorders>
              <w:top w:val="nil"/>
            </w:tcBorders>
            <w:shd w:val="clear" w:color="auto" w:fill="auto"/>
            <w:noWrap/>
            <w:vAlign w:val="center"/>
            <w:hideMark/>
          </w:tcPr>
          <w:p w14:paraId="22B7319C" w14:textId="77777777" w:rsidR="009D081E" w:rsidRPr="003B7A14" w:rsidRDefault="009D081E" w:rsidP="009A182B">
            <w:pPr>
              <w:widowControl/>
              <w:autoSpaceDE/>
              <w:autoSpaceDN/>
              <w:jc w:val="center"/>
              <w:rPr>
                <w:sz w:val="20"/>
                <w:szCs w:val="20"/>
              </w:rPr>
            </w:pPr>
            <w:r w:rsidRPr="003B7A14">
              <w:rPr>
                <w:sz w:val="20"/>
                <w:szCs w:val="20"/>
              </w:rPr>
              <w:t>3.821</w:t>
            </w:r>
          </w:p>
        </w:tc>
        <w:tc>
          <w:tcPr>
            <w:tcW w:w="254" w:type="pct"/>
            <w:tcBorders>
              <w:top w:val="nil"/>
            </w:tcBorders>
            <w:shd w:val="clear" w:color="auto" w:fill="auto"/>
            <w:noWrap/>
            <w:vAlign w:val="center"/>
            <w:hideMark/>
          </w:tcPr>
          <w:p w14:paraId="68F6F573" w14:textId="77777777" w:rsidR="009D081E" w:rsidRPr="003B7A14" w:rsidRDefault="009D081E" w:rsidP="009A182B">
            <w:pPr>
              <w:widowControl/>
              <w:autoSpaceDE/>
              <w:autoSpaceDN/>
              <w:jc w:val="center"/>
              <w:rPr>
                <w:sz w:val="20"/>
                <w:szCs w:val="20"/>
              </w:rPr>
            </w:pPr>
            <w:r w:rsidRPr="003B7A14">
              <w:rPr>
                <w:sz w:val="20"/>
                <w:szCs w:val="20"/>
              </w:rPr>
              <w:t>3.290</w:t>
            </w:r>
          </w:p>
        </w:tc>
        <w:tc>
          <w:tcPr>
            <w:tcW w:w="252" w:type="pct"/>
            <w:tcBorders>
              <w:top w:val="nil"/>
            </w:tcBorders>
            <w:shd w:val="clear" w:color="auto" w:fill="auto"/>
            <w:noWrap/>
            <w:vAlign w:val="center"/>
            <w:hideMark/>
          </w:tcPr>
          <w:p w14:paraId="65333D6D" w14:textId="77777777" w:rsidR="009D081E" w:rsidRPr="003B7A14" w:rsidRDefault="009D081E" w:rsidP="009A182B">
            <w:pPr>
              <w:widowControl/>
              <w:autoSpaceDE/>
              <w:autoSpaceDN/>
              <w:jc w:val="center"/>
              <w:rPr>
                <w:sz w:val="20"/>
                <w:szCs w:val="20"/>
              </w:rPr>
            </w:pPr>
            <w:r w:rsidRPr="003B7A14">
              <w:rPr>
                <w:sz w:val="20"/>
                <w:szCs w:val="20"/>
              </w:rPr>
              <w:t>3.556</w:t>
            </w:r>
          </w:p>
        </w:tc>
        <w:tc>
          <w:tcPr>
            <w:tcW w:w="289" w:type="pct"/>
            <w:tcBorders>
              <w:top w:val="nil"/>
            </w:tcBorders>
            <w:shd w:val="clear" w:color="auto" w:fill="auto"/>
            <w:noWrap/>
            <w:vAlign w:val="center"/>
            <w:hideMark/>
          </w:tcPr>
          <w:p w14:paraId="79C87A14" w14:textId="77777777" w:rsidR="009D081E" w:rsidRPr="003B7A14" w:rsidRDefault="009D081E" w:rsidP="009A182B">
            <w:pPr>
              <w:widowControl/>
              <w:autoSpaceDE/>
              <w:autoSpaceDN/>
              <w:jc w:val="center"/>
              <w:rPr>
                <w:sz w:val="20"/>
                <w:szCs w:val="20"/>
              </w:rPr>
            </w:pPr>
            <w:r w:rsidRPr="003B7A14">
              <w:rPr>
                <w:sz w:val="20"/>
                <w:szCs w:val="20"/>
              </w:rPr>
              <w:t>10.276</w:t>
            </w:r>
          </w:p>
        </w:tc>
        <w:tc>
          <w:tcPr>
            <w:tcW w:w="289" w:type="pct"/>
            <w:tcBorders>
              <w:top w:val="nil"/>
            </w:tcBorders>
            <w:shd w:val="clear" w:color="auto" w:fill="auto"/>
            <w:noWrap/>
            <w:vAlign w:val="center"/>
            <w:hideMark/>
          </w:tcPr>
          <w:p w14:paraId="1B00384B" w14:textId="77777777" w:rsidR="009D081E" w:rsidRPr="003B7A14" w:rsidRDefault="009D081E" w:rsidP="009A182B">
            <w:pPr>
              <w:widowControl/>
              <w:autoSpaceDE/>
              <w:autoSpaceDN/>
              <w:jc w:val="center"/>
              <w:rPr>
                <w:sz w:val="20"/>
                <w:szCs w:val="20"/>
              </w:rPr>
            </w:pPr>
            <w:r w:rsidRPr="003B7A14">
              <w:rPr>
                <w:sz w:val="20"/>
                <w:szCs w:val="20"/>
              </w:rPr>
              <w:t>11.485</w:t>
            </w:r>
          </w:p>
        </w:tc>
        <w:tc>
          <w:tcPr>
            <w:tcW w:w="290" w:type="pct"/>
            <w:tcBorders>
              <w:top w:val="nil"/>
            </w:tcBorders>
            <w:shd w:val="clear" w:color="auto" w:fill="auto"/>
            <w:noWrap/>
            <w:vAlign w:val="center"/>
            <w:hideMark/>
          </w:tcPr>
          <w:p w14:paraId="727C65CB" w14:textId="77777777" w:rsidR="009D081E" w:rsidRPr="003B7A14" w:rsidRDefault="009D081E" w:rsidP="009A182B">
            <w:pPr>
              <w:widowControl/>
              <w:autoSpaceDE/>
              <w:autoSpaceDN/>
              <w:jc w:val="center"/>
              <w:rPr>
                <w:sz w:val="20"/>
                <w:szCs w:val="20"/>
              </w:rPr>
            </w:pPr>
            <w:r w:rsidRPr="003B7A14">
              <w:rPr>
                <w:sz w:val="20"/>
                <w:szCs w:val="20"/>
              </w:rPr>
              <w:t>10.881</w:t>
            </w:r>
          </w:p>
        </w:tc>
        <w:tc>
          <w:tcPr>
            <w:tcW w:w="279" w:type="pct"/>
            <w:tcBorders>
              <w:top w:val="nil"/>
            </w:tcBorders>
            <w:shd w:val="clear" w:color="auto" w:fill="auto"/>
            <w:noWrap/>
            <w:vAlign w:val="center"/>
            <w:hideMark/>
          </w:tcPr>
          <w:p w14:paraId="295A00B4" w14:textId="77777777" w:rsidR="009D081E" w:rsidRPr="003B7A14" w:rsidRDefault="009D081E" w:rsidP="009A182B">
            <w:pPr>
              <w:widowControl/>
              <w:autoSpaceDE/>
              <w:autoSpaceDN/>
              <w:jc w:val="center"/>
              <w:rPr>
                <w:sz w:val="20"/>
                <w:szCs w:val="20"/>
              </w:rPr>
            </w:pPr>
            <w:r w:rsidRPr="003B7A14">
              <w:rPr>
                <w:sz w:val="20"/>
                <w:szCs w:val="20"/>
              </w:rPr>
              <w:t>18.14</w:t>
            </w:r>
          </w:p>
        </w:tc>
        <w:tc>
          <w:tcPr>
            <w:tcW w:w="254" w:type="pct"/>
            <w:tcBorders>
              <w:top w:val="nil"/>
            </w:tcBorders>
            <w:shd w:val="clear" w:color="auto" w:fill="auto"/>
            <w:noWrap/>
            <w:vAlign w:val="center"/>
            <w:hideMark/>
          </w:tcPr>
          <w:p w14:paraId="7CD9B8DA" w14:textId="77777777" w:rsidR="009D081E" w:rsidRPr="003B7A14" w:rsidRDefault="009D081E" w:rsidP="009A182B">
            <w:pPr>
              <w:widowControl/>
              <w:autoSpaceDE/>
              <w:autoSpaceDN/>
              <w:jc w:val="center"/>
              <w:rPr>
                <w:sz w:val="20"/>
                <w:szCs w:val="20"/>
              </w:rPr>
            </w:pPr>
            <w:r w:rsidRPr="003B7A14">
              <w:rPr>
                <w:sz w:val="20"/>
                <w:szCs w:val="20"/>
              </w:rPr>
              <w:t>11.38</w:t>
            </w:r>
          </w:p>
        </w:tc>
        <w:tc>
          <w:tcPr>
            <w:tcW w:w="252" w:type="pct"/>
            <w:tcBorders>
              <w:top w:val="nil"/>
            </w:tcBorders>
            <w:shd w:val="clear" w:color="auto" w:fill="auto"/>
            <w:noWrap/>
            <w:vAlign w:val="center"/>
            <w:hideMark/>
          </w:tcPr>
          <w:p w14:paraId="47957DA1" w14:textId="77777777" w:rsidR="009D081E" w:rsidRPr="003B7A14" w:rsidRDefault="009D081E" w:rsidP="009A182B">
            <w:pPr>
              <w:widowControl/>
              <w:autoSpaceDE/>
              <w:autoSpaceDN/>
              <w:jc w:val="center"/>
              <w:rPr>
                <w:sz w:val="20"/>
                <w:szCs w:val="20"/>
              </w:rPr>
            </w:pPr>
            <w:r w:rsidRPr="003B7A14">
              <w:rPr>
                <w:sz w:val="20"/>
                <w:szCs w:val="20"/>
              </w:rPr>
              <w:t>14.76</w:t>
            </w:r>
          </w:p>
        </w:tc>
        <w:tc>
          <w:tcPr>
            <w:tcW w:w="251" w:type="pct"/>
            <w:tcBorders>
              <w:top w:val="nil"/>
            </w:tcBorders>
            <w:shd w:val="clear" w:color="auto" w:fill="auto"/>
            <w:noWrap/>
            <w:vAlign w:val="center"/>
            <w:hideMark/>
          </w:tcPr>
          <w:p w14:paraId="4D015BD6" w14:textId="77777777" w:rsidR="009D081E" w:rsidRPr="003B7A14" w:rsidRDefault="009D081E" w:rsidP="009A182B">
            <w:pPr>
              <w:widowControl/>
              <w:autoSpaceDE/>
              <w:autoSpaceDN/>
              <w:jc w:val="center"/>
              <w:rPr>
                <w:sz w:val="20"/>
                <w:szCs w:val="20"/>
              </w:rPr>
            </w:pPr>
            <w:r w:rsidRPr="003B7A14">
              <w:rPr>
                <w:sz w:val="20"/>
                <w:szCs w:val="20"/>
              </w:rPr>
              <w:t>5.927</w:t>
            </w:r>
          </w:p>
        </w:tc>
        <w:tc>
          <w:tcPr>
            <w:tcW w:w="241" w:type="pct"/>
            <w:tcBorders>
              <w:top w:val="nil"/>
            </w:tcBorders>
            <w:shd w:val="clear" w:color="auto" w:fill="auto"/>
            <w:noWrap/>
            <w:vAlign w:val="center"/>
            <w:hideMark/>
          </w:tcPr>
          <w:p w14:paraId="482CEC1F" w14:textId="77777777" w:rsidR="009D081E" w:rsidRPr="003B7A14" w:rsidRDefault="009D081E" w:rsidP="009A182B">
            <w:pPr>
              <w:widowControl/>
              <w:autoSpaceDE/>
              <w:autoSpaceDN/>
              <w:jc w:val="center"/>
              <w:rPr>
                <w:sz w:val="20"/>
                <w:szCs w:val="20"/>
              </w:rPr>
            </w:pPr>
            <w:r w:rsidRPr="003B7A14">
              <w:rPr>
                <w:sz w:val="20"/>
                <w:szCs w:val="20"/>
              </w:rPr>
              <w:t>4.510</w:t>
            </w:r>
          </w:p>
        </w:tc>
        <w:tc>
          <w:tcPr>
            <w:tcW w:w="252" w:type="pct"/>
            <w:tcBorders>
              <w:top w:val="nil"/>
            </w:tcBorders>
            <w:shd w:val="clear" w:color="auto" w:fill="auto"/>
            <w:noWrap/>
            <w:vAlign w:val="center"/>
            <w:hideMark/>
          </w:tcPr>
          <w:p w14:paraId="7E6B30C2" w14:textId="77777777" w:rsidR="009D081E" w:rsidRPr="003B7A14" w:rsidRDefault="009D081E" w:rsidP="009A182B">
            <w:pPr>
              <w:widowControl/>
              <w:autoSpaceDE/>
              <w:autoSpaceDN/>
              <w:jc w:val="center"/>
              <w:rPr>
                <w:sz w:val="20"/>
                <w:szCs w:val="20"/>
              </w:rPr>
            </w:pPr>
            <w:r w:rsidRPr="003B7A14">
              <w:rPr>
                <w:sz w:val="20"/>
                <w:szCs w:val="20"/>
              </w:rPr>
              <w:t>5.219</w:t>
            </w:r>
          </w:p>
        </w:tc>
        <w:tc>
          <w:tcPr>
            <w:tcW w:w="253" w:type="pct"/>
            <w:tcBorders>
              <w:top w:val="nil"/>
            </w:tcBorders>
            <w:shd w:val="clear" w:color="auto" w:fill="auto"/>
            <w:noWrap/>
            <w:vAlign w:val="center"/>
            <w:hideMark/>
          </w:tcPr>
          <w:p w14:paraId="713A77F6" w14:textId="77777777" w:rsidR="009D081E" w:rsidRPr="003B7A14" w:rsidRDefault="009D081E" w:rsidP="009A182B">
            <w:pPr>
              <w:widowControl/>
              <w:autoSpaceDE/>
              <w:autoSpaceDN/>
              <w:jc w:val="center"/>
              <w:rPr>
                <w:sz w:val="20"/>
                <w:szCs w:val="20"/>
              </w:rPr>
            </w:pPr>
            <w:r w:rsidRPr="003B7A14">
              <w:rPr>
                <w:sz w:val="20"/>
                <w:szCs w:val="20"/>
              </w:rPr>
              <w:t>70.68</w:t>
            </w:r>
          </w:p>
        </w:tc>
        <w:tc>
          <w:tcPr>
            <w:tcW w:w="253" w:type="pct"/>
            <w:tcBorders>
              <w:top w:val="nil"/>
            </w:tcBorders>
            <w:shd w:val="clear" w:color="auto" w:fill="auto"/>
            <w:noWrap/>
            <w:vAlign w:val="center"/>
            <w:hideMark/>
          </w:tcPr>
          <w:p w14:paraId="6B191160" w14:textId="77777777" w:rsidR="009D081E" w:rsidRPr="003B7A14" w:rsidRDefault="009D081E" w:rsidP="009A182B">
            <w:pPr>
              <w:widowControl/>
              <w:autoSpaceDE/>
              <w:autoSpaceDN/>
              <w:jc w:val="center"/>
              <w:rPr>
                <w:sz w:val="20"/>
                <w:szCs w:val="20"/>
              </w:rPr>
            </w:pPr>
            <w:r w:rsidRPr="003B7A14">
              <w:rPr>
                <w:sz w:val="20"/>
                <w:szCs w:val="20"/>
              </w:rPr>
              <w:t>78.30</w:t>
            </w:r>
          </w:p>
        </w:tc>
        <w:tc>
          <w:tcPr>
            <w:tcW w:w="253" w:type="pct"/>
            <w:tcBorders>
              <w:top w:val="nil"/>
            </w:tcBorders>
            <w:shd w:val="clear" w:color="auto" w:fill="auto"/>
            <w:noWrap/>
            <w:vAlign w:val="center"/>
            <w:hideMark/>
          </w:tcPr>
          <w:p w14:paraId="3BBC7734" w14:textId="77777777" w:rsidR="009D081E" w:rsidRPr="003B7A14" w:rsidRDefault="009D081E" w:rsidP="009A182B">
            <w:pPr>
              <w:widowControl/>
              <w:autoSpaceDE/>
              <w:autoSpaceDN/>
              <w:jc w:val="center"/>
              <w:rPr>
                <w:sz w:val="20"/>
                <w:szCs w:val="20"/>
              </w:rPr>
            </w:pPr>
            <w:r w:rsidRPr="003B7A14">
              <w:rPr>
                <w:sz w:val="20"/>
                <w:szCs w:val="20"/>
              </w:rPr>
              <w:t>74.49</w:t>
            </w:r>
          </w:p>
        </w:tc>
      </w:tr>
      <w:tr w:rsidR="003B7A14" w:rsidRPr="003B7A14" w14:paraId="72D5FFB2" w14:textId="77777777" w:rsidTr="009A182B">
        <w:trPr>
          <w:trHeight w:val="395"/>
        </w:trPr>
        <w:tc>
          <w:tcPr>
            <w:tcW w:w="275" w:type="pct"/>
            <w:tcBorders>
              <w:top w:val="nil"/>
            </w:tcBorders>
            <w:shd w:val="clear" w:color="auto" w:fill="auto"/>
            <w:noWrap/>
            <w:vAlign w:val="center"/>
            <w:hideMark/>
          </w:tcPr>
          <w:p w14:paraId="52DDFCBF"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60</w:t>
            </w:r>
          </w:p>
        </w:tc>
        <w:tc>
          <w:tcPr>
            <w:tcW w:w="277" w:type="pct"/>
            <w:tcBorders>
              <w:top w:val="nil"/>
            </w:tcBorders>
            <w:shd w:val="clear" w:color="auto" w:fill="auto"/>
            <w:noWrap/>
            <w:vAlign w:val="center"/>
            <w:hideMark/>
          </w:tcPr>
          <w:p w14:paraId="29361291" w14:textId="77777777" w:rsidR="009D081E" w:rsidRPr="003B7A14" w:rsidRDefault="009D081E" w:rsidP="009A182B">
            <w:pPr>
              <w:widowControl/>
              <w:autoSpaceDE/>
              <w:autoSpaceDN/>
              <w:jc w:val="center"/>
              <w:rPr>
                <w:sz w:val="20"/>
                <w:szCs w:val="20"/>
              </w:rPr>
            </w:pPr>
            <w:r w:rsidRPr="003B7A14">
              <w:rPr>
                <w:sz w:val="20"/>
                <w:szCs w:val="20"/>
              </w:rPr>
              <w:t>0.299</w:t>
            </w:r>
          </w:p>
        </w:tc>
        <w:tc>
          <w:tcPr>
            <w:tcW w:w="254" w:type="pct"/>
            <w:tcBorders>
              <w:top w:val="nil"/>
            </w:tcBorders>
            <w:shd w:val="clear" w:color="auto" w:fill="auto"/>
            <w:noWrap/>
            <w:vAlign w:val="center"/>
            <w:hideMark/>
          </w:tcPr>
          <w:p w14:paraId="1A72FCBA" w14:textId="77777777" w:rsidR="009D081E" w:rsidRPr="003B7A14" w:rsidRDefault="009D081E" w:rsidP="009A182B">
            <w:pPr>
              <w:widowControl/>
              <w:autoSpaceDE/>
              <w:autoSpaceDN/>
              <w:jc w:val="center"/>
              <w:rPr>
                <w:sz w:val="20"/>
                <w:szCs w:val="20"/>
              </w:rPr>
            </w:pPr>
            <w:r w:rsidRPr="003B7A14">
              <w:rPr>
                <w:sz w:val="20"/>
                <w:szCs w:val="20"/>
              </w:rPr>
              <w:t>0.151</w:t>
            </w:r>
          </w:p>
        </w:tc>
        <w:tc>
          <w:tcPr>
            <w:tcW w:w="253" w:type="pct"/>
            <w:tcBorders>
              <w:top w:val="nil"/>
            </w:tcBorders>
            <w:shd w:val="clear" w:color="auto" w:fill="auto"/>
            <w:noWrap/>
            <w:vAlign w:val="center"/>
            <w:hideMark/>
          </w:tcPr>
          <w:p w14:paraId="485619F3" w14:textId="77777777" w:rsidR="009D081E" w:rsidRPr="003B7A14" w:rsidRDefault="009D081E" w:rsidP="009A182B">
            <w:pPr>
              <w:widowControl/>
              <w:autoSpaceDE/>
              <w:autoSpaceDN/>
              <w:jc w:val="center"/>
              <w:rPr>
                <w:sz w:val="20"/>
                <w:szCs w:val="20"/>
              </w:rPr>
            </w:pPr>
            <w:r w:rsidRPr="003B7A14">
              <w:rPr>
                <w:sz w:val="20"/>
                <w:szCs w:val="20"/>
              </w:rPr>
              <w:t>0.225</w:t>
            </w:r>
          </w:p>
        </w:tc>
        <w:tc>
          <w:tcPr>
            <w:tcW w:w="279" w:type="pct"/>
            <w:tcBorders>
              <w:top w:val="nil"/>
            </w:tcBorders>
            <w:shd w:val="clear" w:color="auto" w:fill="auto"/>
            <w:noWrap/>
            <w:vAlign w:val="center"/>
            <w:hideMark/>
          </w:tcPr>
          <w:p w14:paraId="2A2E69D4" w14:textId="77777777" w:rsidR="009D081E" w:rsidRPr="003B7A14" w:rsidRDefault="009D081E" w:rsidP="009A182B">
            <w:pPr>
              <w:widowControl/>
              <w:autoSpaceDE/>
              <w:autoSpaceDN/>
              <w:jc w:val="center"/>
              <w:rPr>
                <w:sz w:val="20"/>
                <w:szCs w:val="20"/>
              </w:rPr>
            </w:pPr>
            <w:r w:rsidRPr="003B7A14">
              <w:rPr>
                <w:sz w:val="20"/>
                <w:szCs w:val="20"/>
              </w:rPr>
              <w:t>3.401</w:t>
            </w:r>
          </w:p>
        </w:tc>
        <w:tc>
          <w:tcPr>
            <w:tcW w:w="254" w:type="pct"/>
            <w:tcBorders>
              <w:top w:val="nil"/>
            </w:tcBorders>
            <w:shd w:val="clear" w:color="auto" w:fill="auto"/>
            <w:noWrap/>
            <w:vAlign w:val="center"/>
            <w:hideMark/>
          </w:tcPr>
          <w:p w14:paraId="519EA8BB" w14:textId="77777777" w:rsidR="009D081E" w:rsidRPr="003B7A14" w:rsidRDefault="009D081E" w:rsidP="009A182B">
            <w:pPr>
              <w:widowControl/>
              <w:autoSpaceDE/>
              <w:autoSpaceDN/>
              <w:jc w:val="center"/>
              <w:rPr>
                <w:sz w:val="20"/>
                <w:szCs w:val="20"/>
              </w:rPr>
            </w:pPr>
            <w:r w:rsidRPr="003B7A14">
              <w:rPr>
                <w:sz w:val="20"/>
                <w:szCs w:val="20"/>
              </w:rPr>
              <w:t>2.766</w:t>
            </w:r>
          </w:p>
        </w:tc>
        <w:tc>
          <w:tcPr>
            <w:tcW w:w="252" w:type="pct"/>
            <w:tcBorders>
              <w:top w:val="nil"/>
            </w:tcBorders>
            <w:shd w:val="clear" w:color="auto" w:fill="auto"/>
            <w:noWrap/>
            <w:vAlign w:val="center"/>
            <w:hideMark/>
          </w:tcPr>
          <w:p w14:paraId="4EBBE90C" w14:textId="77777777" w:rsidR="009D081E" w:rsidRPr="003B7A14" w:rsidRDefault="009D081E" w:rsidP="009A182B">
            <w:pPr>
              <w:widowControl/>
              <w:autoSpaceDE/>
              <w:autoSpaceDN/>
              <w:jc w:val="center"/>
              <w:rPr>
                <w:sz w:val="20"/>
                <w:szCs w:val="20"/>
              </w:rPr>
            </w:pPr>
            <w:r w:rsidRPr="003B7A14">
              <w:rPr>
                <w:sz w:val="20"/>
                <w:szCs w:val="20"/>
              </w:rPr>
              <w:t>3.084</w:t>
            </w:r>
          </w:p>
        </w:tc>
        <w:tc>
          <w:tcPr>
            <w:tcW w:w="289" w:type="pct"/>
            <w:tcBorders>
              <w:top w:val="nil"/>
            </w:tcBorders>
            <w:shd w:val="clear" w:color="auto" w:fill="auto"/>
            <w:noWrap/>
            <w:vAlign w:val="center"/>
            <w:hideMark/>
          </w:tcPr>
          <w:p w14:paraId="19E84668" w14:textId="77777777" w:rsidR="009D081E" w:rsidRPr="003B7A14" w:rsidRDefault="009D081E" w:rsidP="009A182B">
            <w:pPr>
              <w:widowControl/>
              <w:autoSpaceDE/>
              <w:autoSpaceDN/>
              <w:jc w:val="center"/>
              <w:rPr>
                <w:sz w:val="20"/>
                <w:szCs w:val="20"/>
              </w:rPr>
            </w:pPr>
            <w:r w:rsidRPr="003B7A14">
              <w:rPr>
                <w:sz w:val="20"/>
                <w:szCs w:val="20"/>
              </w:rPr>
              <w:t>11.017</w:t>
            </w:r>
          </w:p>
        </w:tc>
        <w:tc>
          <w:tcPr>
            <w:tcW w:w="289" w:type="pct"/>
            <w:tcBorders>
              <w:top w:val="nil"/>
            </w:tcBorders>
            <w:shd w:val="clear" w:color="auto" w:fill="auto"/>
            <w:noWrap/>
            <w:vAlign w:val="center"/>
            <w:hideMark/>
          </w:tcPr>
          <w:p w14:paraId="7EE1BD79" w14:textId="77777777" w:rsidR="009D081E" w:rsidRPr="003B7A14" w:rsidRDefault="009D081E" w:rsidP="009A182B">
            <w:pPr>
              <w:widowControl/>
              <w:autoSpaceDE/>
              <w:autoSpaceDN/>
              <w:jc w:val="center"/>
              <w:rPr>
                <w:sz w:val="20"/>
                <w:szCs w:val="20"/>
              </w:rPr>
            </w:pPr>
            <w:r w:rsidRPr="003B7A14">
              <w:rPr>
                <w:sz w:val="20"/>
                <w:szCs w:val="20"/>
              </w:rPr>
              <w:t>12.566</w:t>
            </w:r>
          </w:p>
        </w:tc>
        <w:tc>
          <w:tcPr>
            <w:tcW w:w="290" w:type="pct"/>
            <w:tcBorders>
              <w:top w:val="nil"/>
            </w:tcBorders>
            <w:shd w:val="clear" w:color="auto" w:fill="auto"/>
            <w:noWrap/>
            <w:vAlign w:val="center"/>
            <w:hideMark/>
          </w:tcPr>
          <w:p w14:paraId="352EC5EA" w14:textId="77777777" w:rsidR="009D081E" w:rsidRPr="003B7A14" w:rsidRDefault="009D081E" w:rsidP="009A182B">
            <w:pPr>
              <w:widowControl/>
              <w:autoSpaceDE/>
              <w:autoSpaceDN/>
              <w:jc w:val="center"/>
              <w:rPr>
                <w:sz w:val="20"/>
                <w:szCs w:val="20"/>
              </w:rPr>
            </w:pPr>
            <w:r w:rsidRPr="003B7A14">
              <w:rPr>
                <w:sz w:val="20"/>
                <w:szCs w:val="20"/>
              </w:rPr>
              <w:t>11.791</w:t>
            </w:r>
          </w:p>
        </w:tc>
        <w:tc>
          <w:tcPr>
            <w:tcW w:w="279" w:type="pct"/>
            <w:tcBorders>
              <w:top w:val="nil"/>
            </w:tcBorders>
            <w:shd w:val="clear" w:color="auto" w:fill="auto"/>
            <w:noWrap/>
            <w:vAlign w:val="center"/>
            <w:hideMark/>
          </w:tcPr>
          <w:p w14:paraId="5E6B7EB1" w14:textId="77777777" w:rsidR="009D081E" w:rsidRPr="003B7A14" w:rsidRDefault="009D081E" w:rsidP="009A182B">
            <w:pPr>
              <w:widowControl/>
              <w:autoSpaceDE/>
              <w:autoSpaceDN/>
              <w:jc w:val="center"/>
              <w:rPr>
                <w:sz w:val="20"/>
                <w:szCs w:val="20"/>
              </w:rPr>
            </w:pPr>
            <w:r w:rsidRPr="003B7A14">
              <w:rPr>
                <w:sz w:val="20"/>
                <w:szCs w:val="20"/>
              </w:rPr>
              <w:t>17.72</w:t>
            </w:r>
          </w:p>
        </w:tc>
        <w:tc>
          <w:tcPr>
            <w:tcW w:w="254" w:type="pct"/>
            <w:tcBorders>
              <w:top w:val="nil"/>
            </w:tcBorders>
            <w:shd w:val="clear" w:color="auto" w:fill="auto"/>
            <w:noWrap/>
            <w:vAlign w:val="center"/>
            <w:hideMark/>
          </w:tcPr>
          <w:p w14:paraId="5CE84097" w14:textId="77777777" w:rsidR="009D081E" w:rsidRPr="003B7A14" w:rsidRDefault="009D081E" w:rsidP="009A182B">
            <w:pPr>
              <w:widowControl/>
              <w:autoSpaceDE/>
              <w:autoSpaceDN/>
              <w:jc w:val="center"/>
              <w:rPr>
                <w:sz w:val="20"/>
                <w:szCs w:val="20"/>
              </w:rPr>
            </w:pPr>
            <w:r w:rsidRPr="003B7A14">
              <w:rPr>
                <w:sz w:val="20"/>
                <w:szCs w:val="20"/>
              </w:rPr>
              <w:t>10.59</w:t>
            </w:r>
          </w:p>
        </w:tc>
        <w:tc>
          <w:tcPr>
            <w:tcW w:w="252" w:type="pct"/>
            <w:tcBorders>
              <w:top w:val="nil"/>
            </w:tcBorders>
            <w:shd w:val="clear" w:color="auto" w:fill="auto"/>
            <w:noWrap/>
            <w:vAlign w:val="center"/>
            <w:hideMark/>
          </w:tcPr>
          <w:p w14:paraId="5502B719" w14:textId="77777777" w:rsidR="009D081E" w:rsidRPr="003B7A14" w:rsidRDefault="009D081E" w:rsidP="009A182B">
            <w:pPr>
              <w:widowControl/>
              <w:autoSpaceDE/>
              <w:autoSpaceDN/>
              <w:jc w:val="center"/>
              <w:rPr>
                <w:sz w:val="20"/>
                <w:szCs w:val="20"/>
              </w:rPr>
            </w:pPr>
            <w:r w:rsidRPr="003B7A14">
              <w:rPr>
                <w:sz w:val="20"/>
                <w:szCs w:val="20"/>
              </w:rPr>
              <w:t>14.16</w:t>
            </w:r>
          </w:p>
        </w:tc>
        <w:tc>
          <w:tcPr>
            <w:tcW w:w="251" w:type="pct"/>
            <w:tcBorders>
              <w:top w:val="nil"/>
            </w:tcBorders>
            <w:shd w:val="clear" w:color="auto" w:fill="auto"/>
            <w:noWrap/>
            <w:vAlign w:val="center"/>
            <w:hideMark/>
          </w:tcPr>
          <w:p w14:paraId="6437168B" w14:textId="77777777" w:rsidR="009D081E" w:rsidRPr="003B7A14" w:rsidRDefault="009D081E" w:rsidP="009A182B">
            <w:pPr>
              <w:widowControl/>
              <w:autoSpaceDE/>
              <w:autoSpaceDN/>
              <w:jc w:val="center"/>
              <w:rPr>
                <w:sz w:val="20"/>
                <w:szCs w:val="20"/>
              </w:rPr>
            </w:pPr>
            <w:r w:rsidRPr="003B7A14">
              <w:rPr>
                <w:sz w:val="20"/>
                <w:szCs w:val="20"/>
              </w:rPr>
              <w:t>6.020</w:t>
            </w:r>
          </w:p>
        </w:tc>
        <w:tc>
          <w:tcPr>
            <w:tcW w:w="241" w:type="pct"/>
            <w:tcBorders>
              <w:top w:val="nil"/>
            </w:tcBorders>
            <w:shd w:val="clear" w:color="auto" w:fill="auto"/>
            <w:noWrap/>
            <w:vAlign w:val="center"/>
            <w:hideMark/>
          </w:tcPr>
          <w:p w14:paraId="3068B1E2" w14:textId="77777777" w:rsidR="009D081E" w:rsidRPr="003B7A14" w:rsidRDefault="009D081E" w:rsidP="009A182B">
            <w:pPr>
              <w:widowControl/>
              <w:autoSpaceDE/>
              <w:autoSpaceDN/>
              <w:jc w:val="center"/>
              <w:rPr>
                <w:sz w:val="20"/>
                <w:szCs w:val="20"/>
              </w:rPr>
            </w:pPr>
            <w:r w:rsidRPr="003B7A14">
              <w:rPr>
                <w:sz w:val="20"/>
                <w:szCs w:val="20"/>
              </w:rPr>
              <w:t>4.405</w:t>
            </w:r>
          </w:p>
        </w:tc>
        <w:tc>
          <w:tcPr>
            <w:tcW w:w="252" w:type="pct"/>
            <w:tcBorders>
              <w:top w:val="nil"/>
            </w:tcBorders>
            <w:shd w:val="clear" w:color="auto" w:fill="auto"/>
            <w:noWrap/>
            <w:vAlign w:val="center"/>
            <w:hideMark/>
          </w:tcPr>
          <w:p w14:paraId="3B7CE758" w14:textId="77777777" w:rsidR="009D081E" w:rsidRPr="003B7A14" w:rsidRDefault="009D081E" w:rsidP="009A182B">
            <w:pPr>
              <w:widowControl/>
              <w:autoSpaceDE/>
              <w:autoSpaceDN/>
              <w:jc w:val="center"/>
              <w:rPr>
                <w:sz w:val="20"/>
                <w:szCs w:val="20"/>
              </w:rPr>
            </w:pPr>
            <w:r w:rsidRPr="003B7A14">
              <w:rPr>
                <w:sz w:val="20"/>
                <w:szCs w:val="20"/>
              </w:rPr>
              <w:t>5.213</w:t>
            </w:r>
          </w:p>
        </w:tc>
        <w:tc>
          <w:tcPr>
            <w:tcW w:w="253" w:type="pct"/>
            <w:tcBorders>
              <w:top w:val="nil"/>
            </w:tcBorders>
            <w:shd w:val="clear" w:color="auto" w:fill="auto"/>
            <w:noWrap/>
            <w:vAlign w:val="center"/>
            <w:hideMark/>
          </w:tcPr>
          <w:p w14:paraId="41C3F64E" w14:textId="77777777" w:rsidR="009D081E" w:rsidRPr="003B7A14" w:rsidRDefault="009D081E" w:rsidP="009A182B">
            <w:pPr>
              <w:widowControl/>
              <w:autoSpaceDE/>
              <w:autoSpaceDN/>
              <w:jc w:val="center"/>
              <w:rPr>
                <w:sz w:val="20"/>
                <w:szCs w:val="20"/>
              </w:rPr>
            </w:pPr>
            <w:r w:rsidRPr="003B7A14">
              <w:rPr>
                <w:sz w:val="20"/>
                <w:szCs w:val="20"/>
              </w:rPr>
              <w:t>70.74</w:t>
            </w:r>
          </w:p>
        </w:tc>
        <w:tc>
          <w:tcPr>
            <w:tcW w:w="253" w:type="pct"/>
            <w:tcBorders>
              <w:top w:val="nil"/>
            </w:tcBorders>
            <w:shd w:val="clear" w:color="auto" w:fill="auto"/>
            <w:noWrap/>
            <w:vAlign w:val="center"/>
            <w:hideMark/>
          </w:tcPr>
          <w:p w14:paraId="15CCF84A" w14:textId="77777777" w:rsidR="009D081E" w:rsidRPr="003B7A14" w:rsidRDefault="009D081E" w:rsidP="009A182B">
            <w:pPr>
              <w:widowControl/>
              <w:autoSpaceDE/>
              <w:autoSpaceDN/>
              <w:jc w:val="center"/>
              <w:rPr>
                <w:sz w:val="20"/>
                <w:szCs w:val="20"/>
              </w:rPr>
            </w:pPr>
            <w:r w:rsidRPr="003B7A14">
              <w:rPr>
                <w:sz w:val="20"/>
                <w:szCs w:val="20"/>
              </w:rPr>
              <w:t>78.73</w:t>
            </w:r>
          </w:p>
        </w:tc>
        <w:tc>
          <w:tcPr>
            <w:tcW w:w="253" w:type="pct"/>
            <w:tcBorders>
              <w:top w:val="nil"/>
            </w:tcBorders>
            <w:shd w:val="clear" w:color="auto" w:fill="auto"/>
            <w:noWrap/>
            <w:vAlign w:val="center"/>
            <w:hideMark/>
          </w:tcPr>
          <w:p w14:paraId="735DDC36" w14:textId="77777777" w:rsidR="009D081E" w:rsidRPr="003B7A14" w:rsidRDefault="009D081E" w:rsidP="009A182B">
            <w:pPr>
              <w:widowControl/>
              <w:autoSpaceDE/>
              <w:autoSpaceDN/>
              <w:jc w:val="center"/>
              <w:rPr>
                <w:sz w:val="20"/>
                <w:szCs w:val="20"/>
              </w:rPr>
            </w:pPr>
            <w:r w:rsidRPr="003B7A14">
              <w:rPr>
                <w:sz w:val="20"/>
                <w:szCs w:val="20"/>
              </w:rPr>
              <w:t>74.74</w:t>
            </w:r>
          </w:p>
        </w:tc>
      </w:tr>
      <w:tr w:rsidR="003B7A14" w:rsidRPr="003B7A14" w14:paraId="40C8338E" w14:textId="77777777" w:rsidTr="009A182B">
        <w:trPr>
          <w:trHeight w:val="395"/>
        </w:trPr>
        <w:tc>
          <w:tcPr>
            <w:tcW w:w="275" w:type="pct"/>
            <w:tcBorders>
              <w:top w:val="nil"/>
            </w:tcBorders>
            <w:shd w:val="clear" w:color="auto" w:fill="auto"/>
            <w:noWrap/>
            <w:vAlign w:val="center"/>
            <w:hideMark/>
          </w:tcPr>
          <w:p w14:paraId="16BF4814"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75</w:t>
            </w:r>
          </w:p>
        </w:tc>
        <w:tc>
          <w:tcPr>
            <w:tcW w:w="277" w:type="pct"/>
            <w:tcBorders>
              <w:top w:val="nil"/>
            </w:tcBorders>
            <w:shd w:val="clear" w:color="auto" w:fill="auto"/>
            <w:noWrap/>
            <w:vAlign w:val="center"/>
            <w:hideMark/>
          </w:tcPr>
          <w:p w14:paraId="433CD6D8" w14:textId="77777777" w:rsidR="009D081E" w:rsidRPr="003B7A14" w:rsidRDefault="009D081E" w:rsidP="009A182B">
            <w:pPr>
              <w:widowControl/>
              <w:autoSpaceDE/>
              <w:autoSpaceDN/>
              <w:jc w:val="center"/>
              <w:rPr>
                <w:sz w:val="20"/>
                <w:szCs w:val="20"/>
              </w:rPr>
            </w:pPr>
            <w:r w:rsidRPr="003B7A14">
              <w:rPr>
                <w:sz w:val="20"/>
                <w:szCs w:val="20"/>
              </w:rPr>
              <w:t>0.256</w:t>
            </w:r>
          </w:p>
        </w:tc>
        <w:tc>
          <w:tcPr>
            <w:tcW w:w="254" w:type="pct"/>
            <w:tcBorders>
              <w:top w:val="nil"/>
            </w:tcBorders>
            <w:shd w:val="clear" w:color="auto" w:fill="auto"/>
            <w:noWrap/>
            <w:vAlign w:val="center"/>
            <w:hideMark/>
          </w:tcPr>
          <w:p w14:paraId="100B036C" w14:textId="77777777" w:rsidR="009D081E" w:rsidRPr="003B7A14" w:rsidRDefault="009D081E" w:rsidP="009A182B">
            <w:pPr>
              <w:widowControl/>
              <w:autoSpaceDE/>
              <w:autoSpaceDN/>
              <w:jc w:val="center"/>
              <w:rPr>
                <w:sz w:val="20"/>
                <w:szCs w:val="20"/>
              </w:rPr>
            </w:pPr>
            <w:r w:rsidRPr="003B7A14">
              <w:rPr>
                <w:sz w:val="20"/>
                <w:szCs w:val="20"/>
              </w:rPr>
              <w:t>0.136</w:t>
            </w:r>
          </w:p>
        </w:tc>
        <w:tc>
          <w:tcPr>
            <w:tcW w:w="253" w:type="pct"/>
            <w:tcBorders>
              <w:top w:val="nil"/>
            </w:tcBorders>
            <w:shd w:val="clear" w:color="auto" w:fill="auto"/>
            <w:noWrap/>
            <w:vAlign w:val="center"/>
            <w:hideMark/>
          </w:tcPr>
          <w:p w14:paraId="118F0FBE" w14:textId="77777777" w:rsidR="009D081E" w:rsidRPr="003B7A14" w:rsidRDefault="009D081E" w:rsidP="009A182B">
            <w:pPr>
              <w:widowControl/>
              <w:autoSpaceDE/>
              <w:autoSpaceDN/>
              <w:jc w:val="center"/>
              <w:rPr>
                <w:sz w:val="20"/>
                <w:szCs w:val="20"/>
              </w:rPr>
            </w:pPr>
            <w:r w:rsidRPr="003B7A14">
              <w:rPr>
                <w:sz w:val="20"/>
                <w:szCs w:val="20"/>
              </w:rPr>
              <w:t>0.196</w:t>
            </w:r>
          </w:p>
        </w:tc>
        <w:tc>
          <w:tcPr>
            <w:tcW w:w="279" w:type="pct"/>
            <w:tcBorders>
              <w:top w:val="nil"/>
            </w:tcBorders>
            <w:shd w:val="clear" w:color="auto" w:fill="auto"/>
            <w:noWrap/>
            <w:vAlign w:val="center"/>
            <w:hideMark/>
          </w:tcPr>
          <w:p w14:paraId="385BA6C5" w14:textId="77777777" w:rsidR="009D081E" w:rsidRPr="003B7A14" w:rsidRDefault="009D081E" w:rsidP="009A182B">
            <w:pPr>
              <w:widowControl/>
              <w:autoSpaceDE/>
              <w:autoSpaceDN/>
              <w:jc w:val="center"/>
              <w:rPr>
                <w:sz w:val="20"/>
                <w:szCs w:val="20"/>
              </w:rPr>
            </w:pPr>
            <w:r w:rsidRPr="003B7A14">
              <w:rPr>
                <w:sz w:val="20"/>
                <w:szCs w:val="20"/>
              </w:rPr>
              <w:t>3.168</w:t>
            </w:r>
          </w:p>
        </w:tc>
        <w:tc>
          <w:tcPr>
            <w:tcW w:w="254" w:type="pct"/>
            <w:tcBorders>
              <w:top w:val="nil"/>
            </w:tcBorders>
            <w:shd w:val="clear" w:color="auto" w:fill="auto"/>
            <w:noWrap/>
            <w:vAlign w:val="center"/>
            <w:hideMark/>
          </w:tcPr>
          <w:p w14:paraId="2F1996A1" w14:textId="77777777" w:rsidR="009D081E" w:rsidRPr="003B7A14" w:rsidRDefault="009D081E" w:rsidP="009A182B">
            <w:pPr>
              <w:widowControl/>
              <w:autoSpaceDE/>
              <w:autoSpaceDN/>
              <w:jc w:val="center"/>
              <w:rPr>
                <w:sz w:val="20"/>
                <w:szCs w:val="20"/>
              </w:rPr>
            </w:pPr>
            <w:r w:rsidRPr="003B7A14">
              <w:rPr>
                <w:sz w:val="20"/>
                <w:szCs w:val="20"/>
              </w:rPr>
              <w:t>2.265</w:t>
            </w:r>
          </w:p>
        </w:tc>
        <w:tc>
          <w:tcPr>
            <w:tcW w:w="252" w:type="pct"/>
            <w:tcBorders>
              <w:top w:val="nil"/>
            </w:tcBorders>
            <w:shd w:val="clear" w:color="auto" w:fill="auto"/>
            <w:noWrap/>
            <w:vAlign w:val="center"/>
            <w:hideMark/>
          </w:tcPr>
          <w:p w14:paraId="03B467C6" w14:textId="77777777" w:rsidR="009D081E" w:rsidRPr="003B7A14" w:rsidRDefault="009D081E" w:rsidP="009A182B">
            <w:pPr>
              <w:widowControl/>
              <w:autoSpaceDE/>
              <w:autoSpaceDN/>
              <w:jc w:val="center"/>
              <w:rPr>
                <w:sz w:val="20"/>
                <w:szCs w:val="20"/>
              </w:rPr>
            </w:pPr>
            <w:r w:rsidRPr="003B7A14">
              <w:rPr>
                <w:sz w:val="20"/>
                <w:szCs w:val="20"/>
              </w:rPr>
              <w:t>2.716</w:t>
            </w:r>
          </w:p>
        </w:tc>
        <w:tc>
          <w:tcPr>
            <w:tcW w:w="289" w:type="pct"/>
            <w:tcBorders>
              <w:top w:val="nil"/>
            </w:tcBorders>
            <w:shd w:val="clear" w:color="auto" w:fill="auto"/>
            <w:noWrap/>
            <w:vAlign w:val="center"/>
            <w:hideMark/>
          </w:tcPr>
          <w:p w14:paraId="3AFDBCC5" w14:textId="77777777" w:rsidR="009D081E" w:rsidRPr="003B7A14" w:rsidRDefault="009D081E" w:rsidP="009A182B">
            <w:pPr>
              <w:widowControl/>
              <w:autoSpaceDE/>
              <w:autoSpaceDN/>
              <w:jc w:val="center"/>
              <w:rPr>
                <w:sz w:val="20"/>
                <w:szCs w:val="20"/>
              </w:rPr>
            </w:pPr>
            <w:r w:rsidRPr="003B7A14">
              <w:rPr>
                <w:sz w:val="20"/>
                <w:szCs w:val="20"/>
              </w:rPr>
              <w:t>11.517</w:t>
            </w:r>
          </w:p>
        </w:tc>
        <w:tc>
          <w:tcPr>
            <w:tcW w:w="289" w:type="pct"/>
            <w:tcBorders>
              <w:top w:val="nil"/>
            </w:tcBorders>
            <w:shd w:val="clear" w:color="auto" w:fill="auto"/>
            <w:noWrap/>
            <w:vAlign w:val="center"/>
            <w:hideMark/>
          </w:tcPr>
          <w:p w14:paraId="333FA0FE" w14:textId="77777777" w:rsidR="009D081E" w:rsidRPr="003B7A14" w:rsidRDefault="009D081E" w:rsidP="009A182B">
            <w:pPr>
              <w:widowControl/>
              <w:autoSpaceDE/>
              <w:autoSpaceDN/>
              <w:jc w:val="center"/>
              <w:rPr>
                <w:sz w:val="20"/>
                <w:szCs w:val="20"/>
              </w:rPr>
            </w:pPr>
            <w:r w:rsidRPr="003B7A14">
              <w:rPr>
                <w:sz w:val="20"/>
                <w:szCs w:val="20"/>
              </w:rPr>
              <w:t>14.377</w:t>
            </w:r>
          </w:p>
        </w:tc>
        <w:tc>
          <w:tcPr>
            <w:tcW w:w="290" w:type="pct"/>
            <w:tcBorders>
              <w:top w:val="nil"/>
            </w:tcBorders>
            <w:shd w:val="clear" w:color="auto" w:fill="auto"/>
            <w:noWrap/>
            <w:vAlign w:val="center"/>
            <w:hideMark/>
          </w:tcPr>
          <w:p w14:paraId="2B0FF86E" w14:textId="77777777" w:rsidR="009D081E" w:rsidRPr="003B7A14" w:rsidRDefault="009D081E" w:rsidP="009A182B">
            <w:pPr>
              <w:widowControl/>
              <w:autoSpaceDE/>
              <w:autoSpaceDN/>
              <w:jc w:val="center"/>
              <w:rPr>
                <w:sz w:val="20"/>
                <w:szCs w:val="20"/>
              </w:rPr>
            </w:pPr>
            <w:r w:rsidRPr="003B7A14">
              <w:rPr>
                <w:sz w:val="20"/>
                <w:szCs w:val="20"/>
              </w:rPr>
              <w:t>12.947</w:t>
            </w:r>
          </w:p>
        </w:tc>
        <w:tc>
          <w:tcPr>
            <w:tcW w:w="279" w:type="pct"/>
            <w:tcBorders>
              <w:top w:val="nil"/>
            </w:tcBorders>
            <w:shd w:val="clear" w:color="auto" w:fill="auto"/>
            <w:noWrap/>
            <w:vAlign w:val="center"/>
            <w:hideMark/>
          </w:tcPr>
          <w:p w14:paraId="1EBA6ABB" w14:textId="77777777" w:rsidR="009D081E" w:rsidRPr="003B7A14" w:rsidRDefault="009D081E" w:rsidP="009A182B">
            <w:pPr>
              <w:widowControl/>
              <w:autoSpaceDE/>
              <w:autoSpaceDN/>
              <w:jc w:val="center"/>
              <w:rPr>
                <w:sz w:val="20"/>
                <w:szCs w:val="20"/>
              </w:rPr>
            </w:pPr>
            <w:r w:rsidRPr="003B7A14">
              <w:rPr>
                <w:sz w:val="20"/>
                <w:szCs w:val="20"/>
              </w:rPr>
              <w:t>17.32</w:t>
            </w:r>
          </w:p>
        </w:tc>
        <w:tc>
          <w:tcPr>
            <w:tcW w:w="254" w:type="pct"/>
            <w:tcBorders>
              <w:top w:val="nil"/>
            </w:tcBorders>
            <w:shd w:val="clear" w:color="auto" w:fill="auto"/>
            <w:noWrap/>
            <w:vAlign w:val="center"/>
            <w:hideMark/>
          </w:tcPr>
          <w:p w14:paraId="709D4872" w14:textId="77777777" w:rsidR="009D081E" w:rsidRPr="003B7A14" w:rsidRDefault="009D081E" w:rsidP="009A182B">
            <w:pPr>
              <w:widowControl/>
              <w:autoSpaceDE/>
              <w:autoSpaceDN/>
              <w:jc w:val="center"/>
              <w:rPr>
                <w:sz w:val="20"/>
                <w:szCs w:val="20"/>
              </w:rPr>
            </w:pPr>
            <w:r w:rsidRPr="003B7A14">
              <w:rPr>
                <w:sz w:val="20"/>
                <w:szCs w:val="20"/>
              </w:rPr>
              <w:t>10.25</w:t>
            </w:r>
          </w:p>
        </w:tc>
        <w:tc>
          <w:tcPr>
            <w:tcW w:w="252" w:type="pct"/>
            <w:tcBorders>
              <w:top w:val="nil"/>
            </w:tcBorders>
            <w:shd w:val="clear" w:color="auto" w:fill="auto"/>
            <w:noWrap/>
            <w:vAlign w:val="center"/>
            <w:hideMark/>
          </w:tcPr>
          <w:p w14:paraId="5CF12650" w14:textId="77777777" w:rsidR="009D081E" w:rsidRPr="003B7A14" w:rsidRDefault="009D081E" w:rsidP="009A182B">
            <w:pPr>
              <w:widowControl/>
              <w:autoSpaceDE/>
              <w:autoSpaceDN/>
              <w:jc w:val="center"/>
              <w:rPr>
                <w:sz w:val="20"/>
                <w:szCs w:val="20"/>
              </w:rPr>
            </w:pPr>
            <w:r w:rsidRPr="003B7A14">
              <w:rPr>
                <w:sz w:val="20"/>
                <w:szCs w:val="20"/>
              </w:rPr>
              <w:t>13.78</w:t>
            </w:r>
          </w:p>
        </w:tc>
        <w:tc>
          <w:tcPr>
            <w:tcW w:w="251" w:type="pct"/>
            <w:tcBorders>
              <w:top w:val="nil"/>
            </w:tcBorders>
            <w:shd w:val="clear" w:color="auto" w:fill="auto"/>
            <w:noWrap/>
            <w:vAlign w:val="center"/>
            <w:hideMark/>
          </w:tcPr>
          <w:p w14:paraId="2A57B04B" w14:textId="77777777" w:rsidR="009D081E" w:rsidRPr="003B7A14" w:rsidRDefault="009D081E" w:rsidP="009A182B">
            <w:pPr>
              <w:widowControl/>
              <w:autoSpaceDE/>
              <w:autoSpaceDN/>
              <w:jc w:val="center"/>
              <w:rPr>
                <w:sz w:val="20"/>
                <w:szCs w:val="20"/>
              </w:rPr>
            </w:pPr>
            <w:r w:rsidRPr="003B7A14">
              <w:rPr>
                <w:sz w:val="20"/>
                <w:szCs w:val="20"/>
              </w:rPr>
              <w:t>6.096</w:t>
            </w:r>
          </w:p>
        </w:tc>
        <w:tc>
          <w:tcPr>
            <w:tcW w:w="241" w:type="pct"/>
            <w:tcBorders>
              <w:top w:val="nil"/>
            </w:tcBorders>
            <w:shd w:val="clear" w:color="auto" w:fill="auto"/>
            <w:noWrap/>
            <w:vAlign w:val="center"/>
            <w:hideMark/>
          </w:tcPr>
          <w:p w14:paraId="0112EFF0" w14:textId="77777777" w:rsidR="009D081E" w:rsidRPr="003B7A14" w:rsidRDefault="009D081E" w:rsidP="009A182B">
            <w:pPr>
              <w:widowControl/>
              <w:autoSpaceDE/>
              <w:autoSpaceDN/>
              <w:jc w:val="center"/>
              <w:rPr>
                <w:sz w:val="20"/>
                <w:szCs w:val="20"/>
              </w:rPr>
            </w:pPr>
            <w:r w:rsidRPr="003B7A14">
              <w:rPr>
                <w:sz w:val="20"/>
                <w:szCs w:val="20"/>
              </w:rPr>
              <w:t>3.325</w:t>
            </w:r>
          </w:p>
        </w:tc>
        <w:tc>
          <w:tcPr>
            <w:tcW w:w="252" w:type="pct"/>
            <w:tcBorders>
              <w:top w:val="nil"/>
            </w:tcBorders>
            <w:shd w:val="clear" w:color="auto" w:fill="auto"/>
            <w:noWrap/>
            <w:vAlign w:val="center"/>
            <w:hideMark/>
          </w:tcPr>
          <w:p w14:paraId="4E8B70A0" w14:textId="77777777" w:rsidR="009D081E" w:rsidRPr="003B7A14" w:rsidRDefault="009D081E" w:rsidP="009A182B">
            <w:pPr>
              <w:widowControl/>
              <w:autoSpaceDE/>
              <w:autoSpaceDN/>
              <w:jc w:val="center"/>
              <w:rPr>
                <w:sz w:val="20"/>
                <w:szCs w:val="20"/>
              </w:rPr>
            </w:pPr>
            <w:r w:rsidRPr="003B7A14">
              <w:rPr>
                <w:sz w:val="20"/>
                <w:szCs w:val="20"/>
              </w:rPr>
              <w:t>4.710</w:t>
            </w:r>
          </w:p>
        </w:tc>
        <w:tc>
          <w:tcPr>
            <w:tcW w:w="253" w:type="pct"/>
            <w:tcBorders>
              <w:top w:val="nil"/>
            </w:tcBorders>
            <w:shd w:val="clear" w:color="auto" w:fill="auto"/>
            <w:noWrap/>
            <w:vAlign w:val="center"/>
            <w:hideMark/>
          </w:tcPr>
          <w:p w14:paraId="566C8AEF" w14:textId="77777777" w:rsidR="009D081E" w:rsidRPr="003B7A14" w:rsidRDefault="009D081E" w:rsidP="009A182B">
            <w:pPr>
              <w:widowControl/>
              <w:autoSpaceDE/>
              <w:autoSpaceDN/>
              <w:jc w:val="center"/>
              <w:rPr>
                <w:sz w:val="20"/>
                <w:szCs w:val="20"/>
              </w:rPr>
            </w:pPr>
            <w:r w:rsidRPr="003B7A14">
              <w:rPr>
                <w:sz w:val="20"/>
                <w:szCs w:val="20"/>
              </w:rPr>
              <w:t>70.84</w:t>
            </w:r>
          </w:p>
        </w:tc>
        <w:tc>
          <w:tcPr>
            <w:tcW w:w="253" w:type="pct"/>
            <w:tcBorders>
              <w:top w:val="nil"/>
            </w:tcBorders>
            <w:shd w:val="clear" w:color="auto" w:fill="auto"/>
            <w:noWrap/>
            <w:vAlign w:val="center"/>
            <w:hideMark/>
          </w:tcPr>
          <w:p w14:paraId="1D1ACBD7" w14:textId="77777777" w:rsidR="009D081E" w:rsidRPr="003B7A14" w:rsidRDefault="009D081E" w:rsidP="009A182B">
            <w:pPr>
              <w:widowControl/>
              <w:autoSpaceDE/>
              <w:autoSpaceDN/>
              <w:jc w:val="center"/>
              <w:rPr>
                <w:sz w:val="20"/>
                <w:szCs w:val="20"/>
              </w:rPr>
            </w:pPr>
            <w:r w:rsidRPr="003B7A14">
              <w:rPr>
                <w:sz w:val="20"/>
                <w:szCs w:val="20"/>
              </w:rPr>
              <w:t>78.86</w:t>
            </w:r>
          </w:p>
        </w:tc>
        <w:tc>
          <w:tcPr>
            <w:tcW w:w="253" w:type="pct"/>
            <w:tcBorders>
              <w:top w:val="nil"/>
            </w:tcBorders>
            <w:shd w:val="clear" w:color="auto" w:fill="auto"/>
            <w:noWrap/>
            <w:vAlign w:val="center"/>
            <w:hideMark/>
          </w:tcPr>
          <w:p w14:paraId="280AC8DB" w14:textId="77777777" w:rsidR="009D081E" w:rsidRPr="003B7A14" w:rsidRDefault="009D081E" w:rsidP="009A182B">
            <w:pPr>
              <w:widowControl/>
              <w:autoSpaceDE/>
              <w:autoSpaceDN/>
              <w:jc w:val="center"/>
              <w:rPr>
                <w:sz w:val="20"/>
                <w:szCs w:val="20"/>
              </w:rPr>
            </w:pPr>
            <w:r w:rsidRPr="003B7A14">
              <w:rPr>
                <w:sz w:val="20"/>
                <w:szCs w:val="20"/>
              </w:rPr>
              <w:t>74.85</w:t>
            </w:r>
          </w:p>
        </w:tc>
      </w:tr>
      <w:tr w:rsidR="003B7A14" w:rsidRPr="003B7A14" w14:paraId="50C4F996" w14:textId="77777777" w:rsidTr="009A182B">
        <w:trPr>
          <w:trHeight w:val="395"/>
        </w:trPr>
        <w:tc>
          <w:tcPr>
            <w:tcW w:w="275" w:type="pct"/>
            <w:tcBorders>
              <w:top w:val="nil"/>
            </w:tcBorders>
            <w:shd w:val="clear" w:color="auto" w:fill="auto"/>
            <w:noWrap/>
            <w:vAlign w:val="center"/>
            <w:hideMark/>
          </w:tcPr>
          <w:p w14:paraId="5B6E98B0"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90</w:t>
            </w:r>
          </w:p>
        </w:tc>
        <w:tc>
          <w:tcPr>
            <w:tcW w:w="277" w:type="pct"/>
            <w:tcBorders>
              <w:top w:val="nil"/>
            </w:tcBorders>
            <w:shd w:val="clear" w:color="auto" w:fill="auto"/>
            <w:noWrap/>
            <w:vAlign w:val="center"/>
            <w:hideMark/>
          </w:tcPr>
          <w:p w14:paraId="3CE48A6E" w14:textId="77777777" w:rsidR="009D081E" w:rsidRPr="003B7A14" w:rsidRDefault="009D081E" w:rsidP="009A182B">
            <w:pPr>
              <w:widowControl/>
              <w:autoSpaceDE/>
              <w:autoSpaceDN/>
              <w:jc w:val="center"/>
              <w:rPr>
                <w:sz w:val="20"/>
                <w:szCs w:val="20"/>
              </w:rPr>
            </w:pPr>
            <w:r w:rsidRPr="003B7A14">
              <w:rPr>
                <w:sz w:val="20"/>
                <w:szCs w:val="20"/>
              </w:rPr>
              <w:t>0.250</w:t>
            </w:r>
          </w:p>
        </w:tc>
        <w:tc>
          <w:tcPr>
            <w:tcW w:w="254" w:type="pct"/>
            <w:tcBorders>
              <w:top w:val="nil"/>
            </w:tcBorders>
            <w:shd w:val="clear" w:color="auto" w:fill="auto"/>
            <w:noWrap/>
            <w:vAlign w:val="center"/>
            <w:hideMark/>
          </w:tcPr>
          <w:p w14:paraId="269F666B" w14:textId="77777777" w:rsidR="009D081E" w:rsidRPr="003B7A14" w:rsidRDefault="009D081E" w:rsidP="009A182B">
            <w:pPr>
              <w:widowControl/>
              <w:autoSpaceDE/>
              <w:autoSpaceDN/>
              <w:jc w:val="center"/>
              <w:rPr>
                <w:sz w:val="20"/>
                <w:szCs w:val="20"/>
              </w:rPr>
            </w:pPr>
            <w:r w:rsidRPr="003B7A14">
              <w:rPr>
                <w:sz w:val="20"/>
                <w:szCs w:val="20"/>
              </w:rPr>
              <w:t>0.135</w:t>
            </w:r>
          </w:p>
        </w:tc>
        <w:tc>
          <w:tcPr>
            <w:tcW w:w="253" w:type="pct"/>
            <w:tcBorders>
              <w:top w:val="nil"/>
            </w:tcBorders>
            <w:shd w:val="clear" w:color="auto" w:fill="auto"/>
            <w:noWrap/>
            <w:vAlign w:val="center"/>
            <w:hideMark/>
          </w:tcPr>
          <w:p w14:paraId="4C28E326" w14:textId="77777777" w:rsidR="009D081E" w:rsidRPr="003B7A14" w:rsidRDefault="009D081E" w:rsidP="009A182B">
            <w:pPr>
              <w:widowControl/>
              <w:autoSpaceDE/>
              <w:autoSpaceDN/>
              <w:jc w:val="center"/>
              <w:rPr>
                <w:sz w:val="20"/>
                <w:szCs w:val="20"/>
              </w:rPr>
            </w:pPr>
            <w:r w:rsidRPr="003B7A14">
              <w:rPr>
                <w:sz w:val="20"/>
                <w:szCs w:val="20"/>
              </w:rPr>
              <w:t>0.192</w:t>
            </w:r>
          </w:p>
        </w:tc>
        <w:tc>
          <w:tcPr>
            <w:tcW w:w="279" w:type="pct"/>
            <w:tcBorders>
              <w:top w:val="nil"/>
            </w:tcBorders>
            <w:shd w:val="clear" w:color="auto" w:fill="auto"/>
            <w:noWrap/>
            <w:vAlign w:val="center"/>
            <w:hideMark/>
          </w:tcPr>
          <w:p w14:paraId="579EFF32" w14:textId="77777777" w:rsidR="009D081E" w:rsidRPr="003B7A14" w:rsidRDefault="009D081E" w:rsidP="009A182B">
            <w:pPr>
              <w:widowControl/>
              <w:autoSpaceDE/>
              <w:autoSpaceDN/>
              <w:jc w:val="center"/>
              <w:rPr>
                <w:sz w:val="20"/>
                <w:szCs w:val="20"/>
              </w:rPr>
            </w:pPr>
            <w:r w:rsidRPr="003B7A14">
              <w:rPr>
                <w:sz w:val="20"/>
                <w:szCs w:val="20"/>
              </w:rPr>
              <w:t>3.027</w:t>
            </w:r>
          </w:p>
        </w:tc>
        <w:tc>
          <w:tcPr>
            <w:tcW w:w="254" w:type="pct"/>
            <w:tcBorders>
              <w:top w:val="nil"/>
            </w:tcBorders>
            <w:shd w:val="clear" w:color="auto" w:fill="auto"/>
            <w:noWrap/>
            <w:vAlign w:val="center"/>
            <w:hideMark/>
          </w:tcPr>
          <w:p w14:paraId="09B10B91" w14:textId="77777777" w:rsidR="009D081E" w:rsidRPr="003B7A14" w:rsidRDefault="009D081E" w:rsidP="009A182B">
            <w:pPr>
              <w:widowControl/>
              <w:autoSpaceDE/>
              <w:autoSpaceDN/>
              <w:jc w:val="center"/>
              <w:rPr>
                <w:sz w:val="20"/>
                <w:szCs w:val="20"/>
              </w:rPr>
            </w:pPr>
            <w:r w:rsidRPr="003B7A14">
              <w:rPr>
                <w:sz w:val="20"/>
                <w:szCs w:val="20"/>
              </w:rPr>
              <w:t>2.115</w:t>
            </w:r>
          </w:p>
        </w:tc>
        <w:tc>
          <w:tcPr>
            <w:tcW w:w="252" w:type="pct"/>
            <w:tcBorders>
              <w:top w:val="nil"/>
            </w:tcBorders>
            <w:shd w:val="clear" w:color="auto" w:fill="auto"/>
            <w:noWrap/>
            <w:vAlign w:val="center"/>
            <w:hideMark/>
          </w:tcPr>
          <w:p w14:paraId="68156A74" w14:textId="77777777" w:rsidR="009D081E" w:rsidRPr="003B7A14" w:rsidRDefault="009D081E" w:rsidP="009A182B">
            <w:pPr>
              <w:widowControl/>
              <w:autoSpaceDE/>
              <w:autoSpaceDN/>
              <w:jc w:val="center"/>
              <w:rPr>
                <w:sz w:val="20"/>
                <w:szCs w:val="20"/>
              </w:rPr>
            </w:pPr>
            <w:r w:rsidRPr="003B7A14">
              <w:rPr>
                <w:sz w:val="20"/>
                <w:szCs w:val="20"/>
              </w:rPr>
              <w:t>2.571</w:t>
            </w:r>
          </w:p>
        </w:tc>
        <w:tc>
          <w:tcPr>
            <w:tcW w:w="289" w:type="pct"/>
            <w:tcBorders>
              <w:top w:val="nil"/>
            </w:tcBorders>
            <w:shd w:val="clear" w:color="auto" w:fill="auto"/>
            <w:noWrap/>
            <w:vAlign w:val="center"/>
            <w:hideMark/>
          </w:tcPr>
          <w:p w14:paraId="18A1C780" w14:textId="77777777" w:rsidR="009D081E" w:rsidRPr="003B7A14" w:rsidRDefault="009D081E" w:rsidP="009A182B">
            <w:pPr>
              <w:widowControl/>
              <w:autoSpaceDE/>
              <w:autoSpaceDN/>
              <w:jc w:val="center"/>
              <w:rPr>
                <w:sz w:val="20"/>
                <w:szCs w:val="20"/>
              </w:rPr>
            </w:pPr>
            <w:r w:rsidRPr="003B7A14">
              <w:rPr>
                <w:sz w:val="20"/>
                <w:szCs w:val="20"/>
              </w:rPr>
              <w:t>11.751</w:t>
            </w:r>
          </w:p>
        </w:tc>
        <w:tc>
          <w:tcPr>
            <w:tcW w:w="289" w:type="pct"/>
            <w:tcBorders>
              <w:top w:val="nil"/>
            </w:tcBorders>
            <w:shd w:val="clear" w:color="auto" w:fill="auto"/>
            <w:noWrap/>
            <w:vAlign w:val="center"/>
            <w:hideMark/>
          </w:tcPr>
          <w:p w14:paraId="116F276F" w14:textId="77777777" w:rsidR="009D081E" w:rsidRPr="003B7A14" w:rsidRDefault="009D081E" w:rsidP="009A182B">
            <w:pPr>
              <w:widowControl/>
              <w:autoSpaceDE/>
              <w:autoSpaceDN/>
              <w:jc w:val="center"/>
              <w:rPr>
                <w:sz w:val="20"/>
                <w:szCs w:val="20"/>
              </w:rPr>
            </w:pPr>
            <w:r w:rsidRPr="003B7A14">
              <w:rPr>
                <w:sz w:val="20"/>
                <w:szCs w:val="20"/>
              </w:rPr>
              <w:t>15.115</w:t>
            </w:r>
          </w:p>
        </w:tc>
        <w:tc>
          <w:tcPr>
            <w:tcW w:w="290" w:type="pct"/>
            <w:tcBorders>
              <w:top w:val="nil"/>
            </w:tcBorders>
            <w:shd w:val="clear" w:color="auto" w:fill="auto"/>
            <w:noWrap/>
            <w:vAlign w:val="center"/>
            <w:hideMark/>
          </w:tcPr>
          <w:p w14:paraId="70488E0F" w14:textId="77777777" w:rsidR="009D081E" w:rsidRPr="003B7A14" w:rsidRDefault="009D081E" w:rsidP="009A182B">
            <w:pPr>
              <w:widowControl/>
              <w:autoSpaceDE/>
              <w:autoSpaceDN/>
              <w:jc w:val="center"/>
              <w:rPr>
                <w:sz w:val="20"/>
                <w:szCs w:val="20"/>
              </w:rPr>
            </w:pPr>
            <w:r w:rsidRPr="003B7A14">
              <w:rPr>
                <w:sz w:val="20"/>
                <w:szCs w:val="20"/>
              </w:rPr>
              <w:t>13.433</w:t>
            </w:r>
          </w:p>
        </w:tc>
        <w:tc>
          <w:tcPr>
            <w:tcW w:w="279" w:type="pct"/>
            <w:tcBorders>
              <w:top w:val="nil"/>
            </w:tcBorders>
            <w:shd w:val="clear" w:color="auto" w:fill="auto"/>
            <w:noWrap/>
            <w:vAlign w:val="center"/>
            <w:hideMark/>
          </w:tcPr>
          <w:p w14:paraId="2A7ED341" w14:textId="77777777" w:rsidR="009D081E" w:rsidRPr="003B7A14" w:rsidRDefault="009D081E" w:rsidP="009A182B">
            <w:pPr>
              <w:widowControl/>
              <w:autoSpaceDE/>
              <w:autoSpaceDN/>
              <w:jc w:val="center"/>
              <w:rPr>
                <w:sz w:val="20"/>
                <w:szCs w:val="20"/>
              </w:rPr>
            </w:pPr>
            <w:r w:rsidRPr="003B7A14">
              <w:rPr>
                <w:sz w:val="20"/>
                <w:szCs w:val="20"/>
              </w:rPr>
              <w:t>17.04</w:t>
            </w:r>
          </w:p>
        </w:tc>
        <w:tc>
          <w:tcPr>
            <w:tcW w:w="254" w:type="pct"/>
            <w:tcBorders>
              <w:top w:val="nil"/>
            </w:tcBorders>
            <w:shd w:val="clear" w:color="auto" w:fill="auto"/>
            <w:noWrap/>
            <w:vAlign w:val="center"/>
            <w:hideMark/>
          </w:tcPr>
          <w:p w14:paraId="5E7B3D8D" w14:textId="77777777" w:rsidR="009D081E" w:rsidRPr="003B7A14" w:rsidRDefault="009D081E" w:rsidP="009A182B">
            <w:pPr>
              <w:widowControl/>
              <w:autoSpaceDE/>
              <w:autoSpaceDN/>
              <w:jc w:val="center"/>
              <w:rPr>
                <w:sz w:val="20"/>
                <w:szCs w:val="20"/>
              </w:rPr>
            </w:pPr>
            <w:r w:rsidRPr="003B7A14">
              <w:rPr>
                <w:sz w:val="20"/>
                <w:szCs w:val="20"/>
              </w:rPr>
              <w:t>10.02</w:t>
            </w:r>
          </w:p>
        </w:tc>
        <w:tc>
          <w:tcPr>
            <w:tcW w:w="252" w:type="pct"/>
            <w:tcBorders>
              <w:top w:val="nil"/>
            </w:tcBorders>
            <w:shd w:val="clear" w:color="auto" w:fill="auto"/>
            <w:noWrap/>
            <w:vAlign w:val="center"/>
            <w:hideMark/>
          </w:tcPr>
          <w:p w14:paraId="38F53B5D" w14:textId="77777777" w:rsidR="009D081E" w:rsidRPr="003B7A14" w:rsidRDefault="009D081E" w:rsidP="009A182B">
            <w:pPr>
              <w:widowControl/>
              <w:autoSpaceDE/>
              <w:autoSpaceDN/>
              <w:jc w:val="center"/>
              <w:rPr>
                <w:sz w:val="20"/>
                <w:szCs w:val="20"/>
              </w:rPr>
            </w:pPr>
            <w:r w:rsidRPr="003B7A14">
              <w:rPr>
                <w:sz w:val="20"/>
                <w:szCs w:val="20"/>
              </w:rPr>
              <w:t>13.53</w:t>
            </w:r>
          </w:p>
        </w:tc>
        <w:tc>
          <w:tcPr>
            <w:tcW w:w="251" w:type="pct"/>
            <w:tcBorders>
              <w:top w:val="nil"/>
            </w:tcBorders>
            <w:shd w:val="clear" w:color="auto" w:fill="auto"/>
            <w:noWrap/>
            <w:vAlign w:val="center"/>
            <w:hideMark/>
          </w:tcPr>
          <w:p w14:paraId="32F34344" w14:textId="77777777" w:rsidR="009D081E" w:rsidRPr="003B7A14" w:rsidRDefault="009D081E" w:rsidP="009A182B">
            <w:pPr>
              <w:widowControl/>
              <w:autoSpaceDE/>
              <w:autoSpaceDN/>
              <w:jc w:val="center"/>
              <w:rPr>
                <w:sz w:val="20"/>
                <w:szCs w:val="20"/>
              </w:rPr>
            </w:pPr>
            <w:r w:rsidRPr="003B7A14">
              <w:rPr>
                <w:sz w:val="20"/>
                <w:szCs w:val="20"/>
              </w:rPr>
              <w:t>6.254</w:t>
            </w:r>
          </w:p>
        </w:tc>
        <w:tc>
          <w:tcPr>
            <w:tcW w:w="241" w:type="pct"/>
            <w:tcBorders>
              <w:top w:val="nil"/>
            </w:tcBorders>
            <w:shd w:val="clear" w:color="auto" w:fill="auto"/>
            <w:noWrap/>
            <w:vAlign w:val="center"/>
            <w:hideMark/>
          </w:tcPr>
          <w:p w14:paraId="3968516F" w14:textId="77777777" w:rsidR="009D081E" w:rsidRPr="003B7A14" w:rsidRDefault="009D081E" w:rsidP="009A182B">
            <w:pPr>
              <w:widowControl/>
              <w:autoSpaceDE/>
              <w:autoSpaceDN/>
              <w:jc w:val="center"/>
              <w:rPr>
                <w:sz w:val="20"/>
                <w:szCs w:val="20"/>
              </w:rPr>
            </w:pPr>
            <w:r w:rsidRPr="003B7A14">
              <w:rPr>
                <w:sz w:val="20"/>
                <w:szCs w:val="20"/>
              </w:rPr>
              <w:t>3.263</w:t>
            </w:r>
          </w:p>
        </w:tc>
        <w:tc>
          <w:tcPr>
            <w:tcW w:w="252" w:type="pct"/>
            <w:tcBorders>
              <w:top w:val="nil"/>
            </w:tcBorders>
            <w:shd w:val="clear" w:color="auto" w:fill="auto"/>
            <w:noWrap/>
            <w:vAlign w:val="center"/>
            <w:hideMark/>
          </w:tcPr>
          <w:p w14:paraId="7208DEF8" w14:textId="77777777" w:rsidR="009D081E" w:rsidRPr="003B7A14" w:rsidRDefault="009D081E" w:rsidP="009A182B">
            <w:pPr>
              <w:widowControl/>
              <w:autoSpaceDE/>
              <w:autoSpaceDN/>
              <w:jc w:val="center"/>
              <w:rPr>
                <w:sz w:val="20"/>
                <w:szCs w:val="20"/>
              </w:rPr>
            </w:pPr>
            <w:r w:rsidRPr="003B7A14">
              <w:rPr>
                <w:sz w:val="20"/>
                <w:szCs w:val="20"/>
              </w:rPr>
              <w:t>4.758</w:t>
            </w:r>
          </w:p>
        </w:tc>
        <w:tc>
          <w:tcPr>
            <w:tcW w:w="253" w:type="pct"/>
            <w:tcBorders>
              <w:top w:val="nil"/>
            </w:tcBorders>
            <w:shd w:val="clear" w:color="auto" w:fill="auto"/>
            <w:noWrap/>
            <w:vAlign w:val="center"/>
            <w:hideMark/>
          </w:tcPr>
          <w:p w14:paraId="595ED384" w14:textId="77777777" w:rsidR="009D081E" w:rsidRPr="003B7A14" w:rsidRDefault="009D081E" w:rsidP="009A182B">
            <w:pPr>
              <w:widowControl/>
              <w:autoSpaceDE/>
              <w:autoSpaceDN/>
              <w:jc w:val="center"/>
              <w:rPr>
                <w:sz w:val="20"/>
                <w:szCs w:val="20"/>
              </w:rPr>
            </w:pPr>
            <w:r w:rsidRPr="003B7A14">
              <w:rPr>
                <w:sz w:val="20"/>
                <w:szCs w:val="20"/>
              </w:rPr>
              <w:t>70.87</w:t>
            </w:r>
          </w:p>
        </w:tc>
        <w:tc>
          <w:tcPr>
            <w:tcW w:w="253" w:type="pct"/>
            <w:tcBorders>
              <w:top w:val="nil"/>
            </w:tcBorders>
            <w:shd w:val="clear" w:color="auto" w:fill="auto"/>
            <w:noWrap/>
            <w:vAlign w:val="center"/>
            <w:hideMark/>
          </w:tcPr>
          <w:p w14:paraId="25E55FDF" w14:textId="77777777" w:rsidR="009D081E" w:rsidRPr="003B7A14" w:rsidRDefault="009D081E" w:rsidP="009A182B">
            <w:pPr>
              <w:widowControl/>
              <w:autoSpaceDE/>
              <w:autoSpaceDN/>
              <w:jc w:val="center"/>
              <w:rPr>
                <w:sz w:val="20"/>
                <w:szCs w:val="20"/>
              </w:rPr>
            </w:pPr>
            <w:r w:rsidRPr="003B7A14">
              <w:rPr>
                <w:sz w:val="20"/>
                <w:szCs w:val="20"/>
              </w:rPr>
              <w:t>78.57</w:t>
            </w:r>
          </w:p>
        </w:tc>
        <w:tc>
          <w:tcPr>
            <w:tcW w:w="253" w:type="pct"/>
            <w:tcBorders>
              <w:top w:val="nil"/>
            </w:tcBorders>
            <w:shd w:val="clear" w:color="auto" w:fill="auto"/>
            <w:noWrap/>
            <w:vAlign w:val="center"/>
            <w:hideMark/>
          </w:tcPr>
          <w:p w14:paraId="6B9BBD95" w14:textId="77777777" w:rsidR="009D081E" w:rsidRPr="003B7A14" w:rsidRDefault="009D081E" w:rsidP="009A182B">
            <w:pPr>
              <w:widowControl/>
              <w:autoSpaceDE/>
              <w:autoSpaceDN/>
              <w:jc w:val="center"/>
              <w:rPr>
                <w:sz w:val="20"/>
                <w:szCs w:val="20"/>
              </w:rPr>
            </w:pPr>
            <w:r w:rsidRPr="003B7A14">
              <w:rPr>
                <w:sz w:val="20"/>
                <w:szCs w:val="20"/>
              </w:rPr>
              <w:t>74.72</w:t>
            </w:r>
          </w:p>
        </w:tc>
      </w:tr>
      <w:tr w:rsidR="003B7A14" w:rsidRPr="003B7A14" w14:paraId="7870AD14" w14:textId="77777777" w:rsidTr="009A182B">
        <w:trPr>
          <w:trHeight w:val="395"/>
        </w:trPr>
        <w:tc>
          <w:tcPr>
            <w:tcW w:w="275" w:type="pct"/>
            <w:tcBorders>
              <w:top w:val="nil"/>
              <w:bottom w:val="single" w:sz="4" w:space="0" w:color="auto"/>
            </w:tcBorders>
            <w:shd w:val="clear" w:color="auto" w:fill="auto"/>
            <w:noWrap/>
            <w:vAlign w:val="center"/>
            <w:hideMark/>
          </w:tcPr>
          <w:p w14:paraId="2FA7BE18"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7" w:type="pct"/>
            <w:tcBorders>
              <w:top w:val="nil"/>
              <w:bottom w:val="single" w:sz="4" w:space="0" w:color="auto"/>
            </w:tcBorders>
            <w:shd w:val="clear" w:color="auto" w:fill="auto"/>
            <w:noWrap/>
            <w:vAlign w:val="center"/>
            <w:hideMark/>
          </w:tcPr>
          <w:p w14:paraId="513466F3" w14:textId="77777777" w:rsidR="009D081E" w:rsidRPr="003B7A14" w:rsidRDefault="009D081E" w:rsidP="009A182B">
            <w:pPr>
              <w:widowControl/>
              <w:autoSpaceDE/>
              <w:autoSpaceDN/>
              <w:jc w:val="center"/>
              <w:rPr>
                <w:sz w:val="20"/>
                <w:szCs w:val="20"/>
              </w:rPr>
            </w:pPr>
            <w:r w:rsidRPr="003B7A14">
              <w:rPr>
                <w:sz w:val="20"/>
                <w:szCs w:val="20"/>
              </w:rPr>
              <w:t>0.340</w:t>
            </w:r>
          </w:p>
        </w:tc>
        <w:tc>
          <w:tcPr>
            <w:tcW w:w="254" w:type="pct"/>
            <w:tcBorders>
              <w:top w:val="nil"/>
              <w:bottom w:val="single" w:sz="4" w:space="0" w:color="auto"/>
            </w:tcBorders>
            <w:shd w:val="clear" w:color="auto" w:fill="auto"/>
            <w:noWrap/>
            <w:vAlign w:val="center"/>
            <w:hideMark/>
          </w:tcPr>
          <w:p w14:paraId="625E5603" w14:textId="77777777" w:rsidR="009D081E" w:rsidRPr="003B7A14" w:rsidRDefault="009D081E" w:rsidP="009A182B">
            <w:pPr>
              <w:widowControl/>
              <w:autoSpaceDE/>
              <w:autoSpaceDN/>
              <w:jc w:val="center"/>
              <w:rPr>
                <w:sz w:val="20"/>
                <w:szCs w:val="20"/>
              </w:rPr>
            </w:pPr>
            <w:r w:rsidRPr="003B7A14">
              <w:rPr>
                <w:sz w:val="20"/>
                <w:szCs w:val="20"/>
              </w:rPr>
              <w:t>0.248</w:t>
            </w:r>
          </w:p>
        </w:tc>
        <w:tc>
          <w:tcPr>
            <w:tcW w:w="253" w:type="pct"/>
            <w:tcBorders>
              <w:top w:val="nil"/>
              <w:bottom w:val="single" w:sz="4" w:space="0" w:color="auto"/>
            </w:tcBorders>
            <w:shd w:val="clear" w:color="auto" w:fill="auto"/>
            <w:noWrap/>
            <w:vAlign w:val="center"/>
            <w:hideMark/>
          </w:tcPr>
          <w:p w14:paraId="581693D8" w14:textId="77777777" w:rsidR="009D081E" w:rsidRPr="003B7A14" w:rsidRDefault="009D081E" w:rsidP="009A182B">
            <w:pPr>
              <w:widowControl/>
              <w:autoSpaceDE/>
              <w:autoSpaceDN/>
              <w:jc w:val="center"/>
              <w:rPr>
                <w:sz w:val="20"/>
                <w:szCs w:val="20"/>
              </w:rPr>
            </w:pPr>
          </w:p>
        </w:tc>
        <w:tc>
          <w:tcPr>
            <w:tcW w:w="279" w:type="pct"/>
            <w:tcBorders>
              <w:top w:val="nil"/>
              <w:bottom w:val="single" w:sz="4" w:space="0" w:color="auto"/>
            </w:tcBorders>
            <w:shd w:val="clear" w:color="auto" w:fill="auto"/>
            <w:noWrap/>
            <w:vAlign w:val="center"/>
            <w:hideMark/>
          </w:tcPr>
          <w:p w14:paraId="7532AEBD" w14:textId="77777777" w:rsidR="009D081E" w:rsidRPr="003B7A14" w:rsidRDefault="009D081E" w:rsidP="009A182B">
            <w:pPr>
              <w:widowControl/>
              <w:autoSpaceDE/>
              <w:autoSpaceDN/>
              <w:jc w:val="center"/>
              <w:rPr>
                <w:sz w:val="20"/>
                <w:szCs w:val="20"/>
              </w:rPr>
            </w:pPr>
            <w:r w:rsidRPr="003B7A14">
              <w:rPr>
                <w:sz w:val="20"/>
                <w:szCs w:val="20"/>
              </w:rPr>
              <w:t>3.811</w:t>
            </w:r>
          </w:p>
        </w:tc>
        <w:tc>
          <w:tcPr>
            <w:tcW w:w="254" w:type="pct"/>
            <w:tcBorders>
              <w:top w:val="nil"/>
              <w:bottom w:val="single" w:sz="4" w:space="0" w:color="auto"/>
            </w:tcBorders>
            <w:shd w:val="clear" w:color="auto" w:fill="auto"/>
            <w:noWrap/>
            <w:vAlign w:val="center"/>
            <w:hideMark/>
          </w:tcPr>
          <w:p w14:paraId="346690BB" w14:textId="77777777" w:rsidR="009D081E" w:rsidRPr="003B7A14" w:rsidRDefault="009D081E" w:rsidP="009A182B">
            <w:pPr>
              <w:widowControl/>
              <w:autoSpaceDE/>
              <w:autoSpaceDN/>
              <w:jc w:val="center"/>
              <w:rPr>
                <w:sz w:val="20"/>
                <w:szCs w:val="20"/>
              </w:rPr>
            </w:pPr>
            <w:r w:rsidRPr="003B7A14">
              <w:rPr>
                <w:sz w:val="20"/>
                <w:szCs w:val="20"/>
              </w:rPr>
              <w:t>3.712</w:t>
            </w:r>
          </w:p>
        </w:tc>
        <w:tc>
          <w:tcPr>
            <w:tcW w:w="252" w:type="pct"/>
            <w:tcBorders>
              <w:top w:val="nil"/>
              <w:bottom w:val="single" w:sz="4" w:space="0" w:color="auto"/>
            </w:tcBorders>
            <w:shd w:val="clear" w:color="auto" w:fill="auto"/>
            <w:noWrap/>
            <w:vAlign w:val="center"/>
            <w:hideMark/>
          </w:tcPr>
          <w:p w14:paraId="5DCB2A60" w14:textId="77777777" w:rsidR="009D081E" w:rsidRPr="003B7A14" w:rsidRDefault="009D081E" w:rsidP="009A182B">
            <w:pPr>
              <w:widowControl/>
              <w:autoSpaceDE/>
              <w:autoSpaceDN/>
              <w:jc w:val="center"/>
              <w:rPr>
                <w:sz w:val="20"/>
                <w:szCs w:val="20"/>
              </w:rPr>
            </w:pPr>
          </w:p>
        </w:tc>
        <w:tc>
          <w:tcPr>
            <w:tcW w:w="289" w:type="pct"/>
            <w:tcBorders>
              <w:top w:val="nil"/>
              <w:bottom w:val="single" w:sz="4" w:space="0" w:color="auto"/>
            </w:tcBorders>
            <w:shd w:val="clear" w:color="auto" w:fill="auto"/>
            <w:noWrap/>
            <w:vAlign w:val="center"/>
            <w:hideMark/>
          </w:tcPr>
          <w:p w14:paraId="562599E9" w14:textId="77777777" w:rsidR="009D081E" w:rsidRPr="003B7A14" w:rsidRDefault="009D081E" w:rsidP="009A182B">
            <w:pPr>
              <w:widowControl/>
              <w:autoSpaceDE/>
              <w:autoSpaceDN/>
              <w:jc w:val="center"/>
              <w:rPr>
                <w:sz w:val="20"/>
                <w:szCs w:val="20"/>
              </w:rPr>
            </w:pPr>
            <w:r w:rsidRPr="003B7A14">
              <w:rPr>
                <w:sz w:val="20"/>
                <w:szCs w:val="20"/>
              </w:rPr>
              <w:t>10.510</w:t>
            </w:r>
          </w:p>
        </w:tc>
        <w:tc>
          <w:tcPr>
            <w:tcW w:w="289" w:type="pct"/>
            <w:tcBorders>
              <w:top w:val="nil"/>
              <w:bottom w:val="single" w:sz="4" w:space="0" w:color="auto"/>
            </w:tcBorders>
            <w:shd w:val="clear" w:color="auto" w:fill="auto"/>
            <w:noWrap/>
            <w:vAlign w:val="center"/>
            <w:hideMark/>
          </w:tcPr>
          <w:p w14:paraId="7B8E7534" w14:textId="77777777" w:rsidR="009D081E" w:rsidRPr="003B7A14" w:rsidRDefault="009D081E" w:rsidP="009A182B">
            <w:pPr>
              <w:widowControl/>
              <w:autoSpaceDE/>
              <w:autoSpaceDN/>
              <w:jc w:val="center"/>
              <w:rPr>
                <w:sz w:val="20"/>
                <w:szCs w:val="20"/>
              </w:rPr>
            </w:pPr>
            <w:r w:rsidRPr="003B7A14">
              <w:rPr>
                <w:sz w:val="20"/>
                <w:szCs w:val="20"/>
              </w:rPr>
              <w:t>11.821</w:t>
            </w:r>
          </w:p>
        </w:tc>
        <w:tc>
          <w:tcPr>
            <w:tcW w:w="290" w:type="pct"/>
            <w:tcBorders>
              <w:top w:val="nil"/>
              <w:bottom w:val="single" w:sz="4" w:space="0" w:color="auto"/>
            </w:tcBorders>
            <w:shd w:val="clear" w:color="auto" w:fill="auto"/>
            <w:noWrap/>
            <w:vAlign w:val="center"/>
            <w:hideMark/>
          </w:tcPr>
          <w:p w14:paraId="23334BDF" w14:textId="77777777" w:rsidR="009D081E" w:rsidRPr="003B7A14" w:rsidRDefault="009D081E" w:rsidP="009A182B">
            <w:pPr>
              <w:widowControl/>
              <w:autoSpaceDE/>
              <w:autoSpaceDN/>
              <w:jc w:val="center"/>
              <w:rPr>
                <w:sz w:val="20"/>
                <w:szCs w:val="20"/>
              </w:rPr>
            </w:pPr>
          </w:p>
        </w:tc>
        <w:tc>
          <w:tcPr>
            <w:tcW w:w="279" w:type="pct"/>
            <w:tcBorders>
              <w:top w:val="nil"/>
              <w:bottom w:val="single" w:sz="4" w:space="0" w:color="auto"/>
            </w:tcBorders>
            <w:shd w:val="clear" w:color="auto" w:fill="auto"/>
            <w:noWrap/>
            <w:vAlign w:val="center"/>
            <w:hideMark/>
          </w:tcPr>
          <w:p w14:paraId="01F266C8" w14:textId="77777777" w:rsidR="009D081E" w:rsidRPr="003B7A14" w:rsidRDefault="009D081E" w:rsidP="009A182B">
            <w:pPr>
              <w:widowControl/>
              <w:autoSpaceDE/>
              <w:autoSpaceDN/>
              <w:jc w:val="center"/>
              <w:rPr>
                <w:sz w:val="20"/>
                <w:szCs w:val="20"/>
              </w:rPr>
            </w:pPr>
            <w:r w:rsidRPr="003B7A14">
              <w:rPr>
                <w:sz w:val="20"/>
                <w:szCs w:val="20"/>
              </w:rPr>
              <w:t>17.97</w:t>
            </w:r>
          </w:p>
        </w:tc>
        <w:tc>
          <w:tcPr>
            <w:tcW w:w="254" w:type="pct"/>
            <w:tcBorders>
              <w:top w:val="nil"/>
              <w:bottom w:val="single" w:sz="4" w:space="0" w:color="auto"/>
            </w:tcBorders>
            <w:shd w:val="clear" w:color="auto" w:fill="auto"/>
            <w:noWrap/>
            <w:vAlign w:val="center"/>
            <w:hideMark/>
          </w:tcPr>
          <w:p w14:paraId="4B5DC60C" w14:textId="77777777" w:rsidR="009D081E" w:rsidRPr="003B7A14" w:rsidRDefault="009D081E" w:rsidP="009A182B">
            <w:pPr>
              <w:widowControl/>
              <w:autoSpaceDE/>
              <w:autoSpaceDN/>
              <w:jc w:val="center"/>
              <w:rPr>
                <w:sz w:val="20"/>
                <w:szCs w:val="20"/>
              </w:rPr>
            </w:pPr>
            <w:r w:rsidRPr="003B7A14">
              <w:rPr>
                <w:sz w:val="20"/>
                <w:szCs w:val="20"/>
              </w:rPr>
              <w:t>13.22</w:t>
            </w:r>
          </w:p>
        </w:tc>
        <w:tc>
          <w:tcPr>
            <w:tcW w:w="252" w:type="pct"/>
            <w:tcBorders>
              <w:top w:val="nil"/>
              <w:bottom w:val="single" w:sz="4" w:space="0" w:color="auto"/>
            </w:tcBorders>
            <w:shd w:val="clear" w:color="auto" w:fill="auto"/>
            <w:noWrap/>
            <w:vAlign w:val="center"/>
            <w:hideMark/>
          </w:tcPr>
          <w:p w14:paraId="67838776" w14:textId="77777777" w:rsidR="009D081E" w:rsidRPr="003B7A14" w:rsidRDefault="009D081E" w:rsidP="009A182B">
            <w:pPr>
              <w:widowControl/>
              <w:autoSpaceDE/>
              <w:autoSpaceDN/>
              <w:jc w:val="center"/>
              <w:rPr>
                <w:sz w:val="20"/>
                <w:szCs w:val="20"/>
              </w:rPr>
            </w:pPr>
          </w:p>
        </w:tc>
        <w:tc>
          <w:tcPr>
            <w:tcW w:w="251" w:type="pct"/>
            <w:tcBorders>
              <w:top w:val="nil"/>
              <w:bottom w:val="single" w:sz="4" w:space="0" w:color="auto"/>
            </w:tcBorders>
            <w:shd w:val="clear" w:color="auto" w:fill="auto"/>
            <w:noWrap/>
            <w:vAlign w:val="center"/>
            <w:hideMark/>
          </w:tcPr>
          <w:p w14:paraId="3BF0A730" w14:textId="77777777" w:rsidR="009D081E" w:rsidRPr="003B7A14" w:rsidRDefault="009D081E" w:rsidP="009A182B">
            <w:pPr>
              <w:widowControl/>
              <w:autoSpaceDE/>
              <w:autoSpaceDN/>
              <w:jc w:val="center"/>
              <w:rPr>
                <w:sz w:val="20"/>
                <w:szCs w:val="20"/>
              </w:rPr>
            </w:pPr>
            <w:r w:rsidRPr="003B7A14">
              <w:rPr>
                <w:sz w:val="20"/>
                <w:szCs w:val="20"/>
              </w:rPr>
              <w:t>6.004</w:t>
            </w:r>
          </w:p>
        </w:tc>
        <w:tc>
          <w:tcPr>
            <w:tcW w:w="241" w:type="pct"/>
            <w:tcBorders>
              <w:top w:val="nil"/>
              <w:bottom w:val="single" w:sz="4" w:space="0" w:color="auto"/>
            </w:tcBorders>
            <w:shd w:val="clear" w:color="auto" w:fill="auto"/>
            <w:noWrap/>
            <w:vAlign w:val="center"/>
            <w:hideMark/>
          </w:tcPr>
          <w:p w14:paraId="1A4AB6CE" w14:textId="77777777" w:rsidR="009D081E" w:rsidRPr="003B7A14" w:rsidRDefault="009D081E" w:rsidP="009A182B">
            <w:pPr>
              <w:widowControl/>
              <w:autoSpaceDE/>
              <w:autoSpaceDN/>
              <w:jc w:val="center"/>
              <w:rPr>
                <w:sz w:val="20"/>
                <w:szCs w:val="20"/>
              </w:rPr>
            </w:pPr>
            <w:r w:rsidRPr="003B7A14">
              <w:rPr>
                <w:sz w:val="20"/>
                <w:szCs w:val="20"/>
              </w:rPr>
              <w:t>4.827</w:t>
            </w:r>
          </w:p>
        </w:tc>
        <w:tc>
          <w:tcPr>
            <w:tcW w:w="252" w:type="pct"/>
            <w:tcBorders>
              <w:top w:val="nil"/>
              <w:bottom w:val="single" w:sz="4" w:space="0" w:color="auto"/>
            </w:tcBorders>
            <w:shd w:val="clear" w:color="auto" w:fill="auto"/>
            <w:noWrap/>
            <w:vAlign w:val="center"/>
            <w:hideMark/>
          </w:tcPr>
          <w:p w14:paraId="3F53B28F" w14:textId="77777777" w:rsidR="009D081E" w:rsidRPr="003B7A14" w:rsidRDefault="009D081E" w:rsidP="009A182B">
            <w:pPr>
              <w:widowControl/>
              <w:autoSpaceDE/>
              <w:autoSpaceDN/>
              <w:jc w:val="center"/>
              <w:rPr>
                <w:sz w:val="20"/>
                <w:szCs w:val="20"/>
              </w:rPr>
            </w:pPr>
          </w:p>
        </w:tc>
        <w:tc>
          <w:tcPr>
            <w:tcW w:w="253" w:type="pct"/>
            <w:tcBorders>
              <w:top w:val="nil"/>
              <w:bottom w:val="single" w:sz="4" w:space="0" w:color="auto"/>
            </w:tcBorders>
            <w:shd w:val="clear" w:color="auto" w:fill="auto"/>
            <w:noWrap/>
            <w:vAlign w:val="center"/>
            <w:hideMark/>
          </w:tcPr>
          <w:p w14:paraId="08F5FADC" w14:textId="77777777" w:rsidR="009D081E" w:rsidRPr="003B7A14" w:rsidRDefault="009D081E" w:rsidP="009A182B">
            <w:pPr>
              <w:widowControl/>
              <w:autoSpaceDE/>
              <w:autoSpaceDN/>
              <w:jc w:val="center"/>
              <w:rPr>
                <w:sz w:val="20"/>
                <w:szCs w:val="20"/>
              </w:rPr>
            </w:pPr>
            <w:r w:rsidRPr="003B7A14">
              <w:rPr>
                <w:sz w:val="20"/>
                <w:szCs w:val="20"/>
              </w:rPr>
              <w:t>70.57</w:t>
            </w:r>
          </w:p>
        </w:tc>
        <w:tc>
          <w:tcPr>
            <w:tcW w:w="253" w:type="pct"/>
            <w:tcBorders>
              <w:top w:val="nil"/>
              <w:bottom w:val="single" w:sz="4" w:space="0" w:color="auto"/>
            </w:tcBorders>
            <w:shd w:val="clear" w:color="auto" w:fill="auto"/>
            <w:noWrap/>
            <w:vAlign w:val="center"/>
            <w:hideMark/>
          </w:tcPr>
          <w:p w14:paraId="5FA57468" w14:textId="77777777" w:rsidR="009D081E" w:rsidRPr="003B7A14" w:rsidRDefault="009D081E" w:rsidP="009A182B">
            <w:pPr>
              <w:widowControl/>
              <w:autoSpaceDE/>
              <w:autoSpaceDN/>
              <w:jc w:val="center"/>
              <w:rPr>
                <w:sz w:val="20"/>
                <w:szCs w:val="20"/>
              </w:rPr>
            </w:pPr>
            <w:r w:rsidRPr="003B7A14">
              <w:rPr>
                <w:sz w:val="20"/>
                <w:szCs w:val="20"/>
              </w:rPr>
              <w:t>75.38</w:t>
            </w:r>
          </w:p>
        </w:tc>
        <w:tc>
          <w:tcPr>
            <w:tcW w:w="253" w:type="pct"/>
            <w:tcBorders>
              <w:top w:val="nil"/>
              <w:bottom w:val="single" w:sz="4" w:space="0" w:color="auto"/>
            </w:tcBorders>
            <w:shd w:val="clear" w:color="auto" w:fill="auto"/>
            <w:noWrap/>
            <w:vAlign w:val="center"/>
            <w:hideMark/>
          </w:tcPr>
          <w:p w14:paraId="696F933E" w14:textId="77777777" w:rsidR="009D081E" w:rsidRPr="003B7A14" w:rsidRDefault="009D081E" w:rsidP="009A182B">
            <w:pPr>
              <w:widowControl/>
              <w:autoSpaceDE/>
              <w:autoSpaceDN/>
              <w:jc w:val="center"/>
              <w:rPr>
                <w:sz w:val="20"/>
                <w:szCs w:val="20"/>
              </w:rPr>
            </w:pPr>
          </w:p>
        </w:tc>
      </w:tr>
      <w:tr w:rsidR="003B7A14" w:rsidRPr="003B7A14" w14:paraId="34737260" w14:textId="77777777" w:rsidTr="009A182B">
        <w:trPr>
          <w:trHeight w:val="395"/>
        </w:trPr>
        <w:tc>
          <w:tcPr>
            <w:tcW w:w="275" w:type="pct"/>
            <w:tcBorders>
              <w:top w:val="single" w:sz="4" w:space="0" w:color="auto"/>
            </w:tcBorders>
            <w:shd w:val="clear" w:color="auto" w:fill="auto"/>
            <w:noWrap/>
            <w:vAlign w:val="center"/>
            <w:hideMark/>
          </w:tcPr>
          <w:p w14:paraId="15ACC643" w14:textId="77777777" w:rsidR="009D081E" w:rsidRPr="003B7A14" w:rsidRDefault="009D081E" w:rsidP="009A182B">
            <w:pPr>
              <w:widowControl/>
              <w:autoSpaceDE/>
              <w:autoSpaceDN/>
              <w:jc w:val="center"/>
              <w:rPr>
                <w:b/>
                <w:bCs/>
                <w:sz w:val="20"/>
                <w:szCs w:val="20"/>
              </w:rPr>
            </w:pPr>
          </w:p>
        </w:tc>
        <w:tc>
          <w:tcPr>
            <w:tcW w:w="277" w:type="pct"/>
            <w:tcBorders>
              <w:top w:val="single" w:sz="4" w:space="0" w:color="auto"/>
              <w:bottom w:val="single" w:sz="4" w:space="0" w:color="auto"/>
            </w:tcBorders>
            <w:shd w:val="clear" w:color="auto" w:fill="auto"/>
            <w:noWrap/>
            <w:vAlign w:val="center"/>
            <w:hideMark/>
          </w:tcPr>
          <w:p w14:paraId="203EC4B2"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230C97A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352314A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1DDCE20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3DD6F9D5"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7B3B466E"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89" w:type="pct"/>
            <w:tcBorders>
              <w:top w:val="single" w:sz="4" w:space="0" w:color="auto"/>
              <w:bottom w:val="single" w:sz="4" w:space="0" w:color="auto"/>
            </w:tcBorders>
            <w:shd w:val="clear" w:color="auto" w:fill="auto"/>
            <w:noWrap/>
            <w:vAlign w:val="center"/>
            <w:hideMark/>
          </w:tcPr>
          <w:p w14:paraId="2C09D2F0"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89" w:type="pct"/>
            <w:tcBorders>
              <w:top w:val="single" w:sz="4" w:space="0" w:color="auto"/>
              <w:bottom w:val="single" w:sz="4" w:space="0" w:color="auto"/>
            </w:tcBorders>
            <w:shd w:val="clear" w:color="auto" w:fill="auto"/>
            <w:noWrap/>
            <w:vAlign w:val="center"/>
            <w:hideMark/>
          </w:tcPr>
          <w:p w14:paraId="0FEE071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90" w:type="pct"/>
            <w:tcBorders>
              <w:top w:val="single" w:sz="4" w:space="0" w:color="auto"/>
              <w:bottom w:val="single" w:sz="4" w:space="0" w:color="auto"/>
            </w:tcBorders>
            <w:shd w:val="clear" w:color="auto" w:fill="auto"/>
            <w:noWrap/>
            <w:vAlign w:val="center"/>
            <w:hideMark/>
          </w:tcPr>
          <w:p w14:paraId="39930F9E"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59CAE974"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586AE4C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17D86843"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1" w:type="pct"/>
            <w:tcBorders>
              <w:top w:val="single" w:sz="4" w:space="0" w:color="auto"/>
              <w:bottom w:val="single" w:sz="4" w:space="0" w:color="auto"/>
            </w:tcBorders>
            <w:shd w:val="clear" w:color="auto" w:fill="auto"/>
            <w:noWrap/>
            <w:vAlign w:val="center"/>
            <w:hideMark/>
          </w:tcPr>
          <w:p w14:paraId="6424995F"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41" w:type="pct"/>
            <w:tcBorders>
              <w:top w:val="single" w:sz="4" w:space="0" w:color="auto"/>
              <w:bottom w:val="single" w:sz="4" w:space="0" w:color="auto"/>
            </w:tcBorders>
            <w:shd w:val="clear" w:color="auto" w:fill="auto"/>
            <w:noWrap/>
            <w:vAlign w:val="center"/>
            <w:hideMark/>
          </w:tcPr>
          <w:p w14:paraId="6B1CB2D7"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4705E06F"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477FE5C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109DF861"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174E5DD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r>
      <w:tr w:rsidR="003B7A14" w:rsidRPr="003B7A14" w14:paraId="4B9DE036" w14:textId="77777777" w:rsidTr="009A182B">
        <w:trPr>
          <w:trHeight w:val="395"/>
        </w:trPr>
        <w:tc>
          <w:tcPr>
            <w:tcW w:w="275" w:type="pct"/>
            <w:tcBorders>
              <w:top w:val="nil"/>
            </w:tcBorders>
            <w:shd w:val="clear" w:color="auto" w:fill="auto"/>
            <w:noWrap/>
            <w:vAlign w:val="center"/>
            <w:hideMark/>
          </w:tcPr>
          <w:p w14:paraId="4BF7A238" w14:textId="77777777" w:rsidR="009D081E" w:rsidRPr="003B7A14" w:rsidRDefault="009D081E" w:rsidP="009A182B">
            <w:pPr>
              <w:widowControl/>
              <w:autoSpaceDE/>
              <w:autoSpaceDN/>
              <w:jc w:val="center"/>
              <w:rPr>
                <w:b/>
                <w:bCs/>
                <w:sz w:val="20"/>
                <w:szCs w:val="20"/>
              </w:rPr>
            </w:pPr>
            <w:r w:rsidRPr="003B7A14">
              <w:rPr>
                <w:b/>
                <w:bCs/>
                <w:sz w:val="20"/>
                <w:szCs w:val="20"/>
              </w:rPr>
              <w:t>M</w:t>
            </w:r>
          </w:p>
        </w:tc>
        <w:tc>
          <w:tcPr>
            <w:tcW w:w="277" w:type="pct"/>
            <w:tcBorders>
              <w:top w:val="single" w:sz="4" w:space="0" w:color="auto"/>
            </w:tcBorders>
            <w:shd w:val="clear" w:color="auto" w:fill="auto"/>
            <w:noWrap/>
            <w:vAlign w:val="center"/>
            <w:hideMark/>
          </w:tcPr>
          <w:p w14:paraId="761713E9" w14:textId="77777777" w:rsidR="009D081E" w:rsidRPr="003B7A14" w:rsidRDefault="009D081E" w:rsidP="009A182B">
            <w:pPr>
              <w:widowControl/>
              <w:autoSpaceDE/>
              <w:autoSpaceDN/>
              <w:jc w:val="center"/>
              <w:rPr>
                <w:sz w:val="20"/>
                <w:szCs w:val="20"/>
              </w:rPr>
            </w:pPr>
            <w:r w:rsidRPr="003B7A14">
              <w:rPr>
                <w:bCs/>
                <w:sz w:val="20"/>
                <w:szCs w:val="20"/>
              </w:rPr>
              <w:t>0.007</w:t>
            </w:r>
          </w:p>
        </w:tc>
        <w:tc>
          <w:tcPr>
            <w:tcW w:w="254" w:type="pct"/>
            <w:tcBorders>
              <w:top w:val="single" w:sz="4" w:space="0" w:color="auto"/>
            </w:tcBorders>
            <w:shd w:val="clear" w:color="auto" w:fill="auto"/>
            <w:noWrap/>
            <w:vAlign w:val="center"/>
            <w:hideMark/>
          </w:tcPr>
          <w:p w14:paraId="6E63BC1D" w14:textId="77777777" w:rsidR="009D081E" w:rsidRPr="003B7A14" w:rsidRDefault="009D081E" w:rsidP="009A182B">
            <w:pPr>
              <w:widowControl/>
              <w:autoSpaceDE/>
              <w:autoSpaceDN/>
              <w:jc w:val="center"/>
              <w:rPr>
                <w:sz w:val="20"/>
                <w:szCs w:val="20"/>
              </w:rPr>
            </w:pPr>
            <w:r w:rsidRPr="003B7A14">
              <w:rPr>
                <w:bCs/>
                <w:sz w:val="20"/>
                <w:szCs w:val="20"/>
              </w:rPr>
              <w:t>0.01</w:t>
            </w:r>
          </w:p>
        </w:tc>
        <w:tc>
          <w:tcPr>
            <w:tcW w:w="253" w:type="pct"/>
            <w:tcBorders>
              <w:top w:val="single" w:sz="4" w:space="0" w:color="auto"/>
            </w:tcBorders>
            <w:shd w:val="clear" w:color="auto" w:fill="auto"/>
            <w:noWrap/>
            <w:vAlign w:val="center"/>
            <w:hideMark/>
          </w:tcPr>
          <w:p w14:paraId="0334A916" w14:textId="77777777" w:rsidR="009D081E" w:rsidRPr="003B7A14" w:rsidRDefault="009D081E" w:rsidP="009A182B">
            <w:pPr>
              <w:widowControl/>
              <w:autoSpaceDE/>
              <w:autoSpaceDN/>
              <w:jc w:val="center"/>
              <w:rPr>
                <w:sz w:val="20"/>
                <w:szCs w:val="20"/>
              </w:rPr>
            </w:pPr>
            <w:r w:rsidRPr="003B7A14">
              <w:rPr>
                <w:bCs/>
                <w:sz w:val="20"/>
                <w:szCs w:val="20"/>
              </w:rPr>
              <w:t>0.02</w:t>
            </w:r>
          </w:p>
        </w:tc>
        <w:tc>
          <w:tcPr>
            <w:tcW w:w="279" w:type="pct"/>
            <w:tcBorders>
              <w:top w:val="single" w:sz="4" w:space="0" w:color="auto"/>
            </w:tcBorders>
            <w:shd w:val="clear" w:color="auto" w:fill="auto"/>
            <w:noWrap/>
            <w:vAlign w:val="center"/>
            <w:hideMark/>
          </w:tcPr>
          <w:p w14:paraId="164770E9" w14:textId="77777777" w:rsidR="009D081E" w:rsidRPr="003B7A14" w:rsidRDefault="009D081E" w:rsidP="009A182B">
            <w:pPr>
              <w:widowControl/>
              <w:autoSpaceDE/>
              <w:autoSpaceDN/>
              <w:jc w:val="center"/>
              <w:rPr>
                <w:sz w:val="20"/>
                <w:szCs w:val="20"/>
              </w:rPr>
            </w:pPr>
            <w:r w:rsidRPr="003B7A14">
              <w:rPr>
                <w:bCs/>
                <w:sz w:val="20"/>
                <w:szCs w:val="20"/>
              </w:rPr>
              <w:t>0.033</w:t>
            </w:r>
          </w:p>
        </w:tc>
        <w:tc>
          <w:tcPr>
            <w:tcW w:w="254" w:type="pct"/>
            <w:tcBorders>
              <w:top w:val="single" w:sz="4" w:space="0" w:color="auto"/>
            </w:tcBorders>
            <w:shd w:val="clear" w:color="auto" w:fill="auto"/>
            <w:noWrap/>
            <w:vAlign w:val="center"/>
            <w:hideMark/>
          </w:tcPr>
          <w:p w14:paraId="4DC34BCD" w14:textId="77777777" w:rsidR="009D081E" w:rsidRPr="003B7A14" w:rsidRDefault="009D081E" w:rsidP="009A182B">
            <w:pPr>
              <w:widowControl/>
              <w:autoSpaceDE/>
              <w:autoSpaceDN/>
              <w:jc w:val="center"/>
              <w:rPr>
                <w:sz w:val="20"/>
                <w:szCs w:val="20"/>
              </w:rPr>
            </w:pPr>
            <w:r w:rsidRPr="003B7A14">
              <w:rPr>
                <w:bCs/>
                <w:sz w:val="20"/>
                <w:szCs w:val="20"/>
              </w:rPr>
              <w:t>0.047</w:t>
            </w:r>
          </w:p>
        </w:tc>
        <w:tc>
          <w:tcPr>
            <w:tcW w:w="252" w:type="pct"/>
            <w:tcBorders>
              <w:top w:val="single" w:sz="4" w:space="0" w:color="auto"/>
            </w:tcBorders>
            <w:shd w:val="clear" w:color="auto" w:fill="auto"/>
            <w:noWrap/>
            <w:vAlign w:val="center"/>
            <w:hideMark/>
          </w:tcPr>
          <w:p w14:paraId="583FC7F2" w14:textId="77777777" w:rsidR="009D081E" w:rsidRPr="003B7A14" w:rsidRDefault="009D081E" w:rsidP="009A182B">
            <w:pPr>
              <w:widowControl/>
              <w:autoSpaceDE/>
              <w:autoSpaceDN/>
              <w:jc w:val="center"/>
              <w:rPr>
                <w:sz w:val="20"/>
                <w:szCs w:val="20"/>
              </w:rPr>
            </w:pPr>
            <w:r w:rsidRPr="003B7A14">
              <w:rPr>
                <w:bCs/>
                <w:sz w:val="20"/>
                <w:szCs w:val="20"/>
              </w:rPr>
              <w:t>0.095</w:t>
            </w:r>
          </w:p>
        </w:tc>
        <w:tc>
          <w:tcPr>
            <w:tcW w:w="289" w:type="pct"/>
            <w:tcBorders>
              <w:top w:val="single" w:sz="4" w:space="0" w:color="auto"/>
            </w:tcBorders>
            <w:shd w:val="clear" w:color="auto" w:fill="auto"/>
            <w:noWrap/>
            <w:vAlign w:val="center"/>
            <w:hideMark/>
          </w:tcPr>
          <w:p w14:paraId="21E66BE7" w14:textId="77777777" w:rsidR="009D081E" w:rsidRPr="003B7A14" w:rsidRDefault="009D081E" w:rsidP="009A182B">
            <w:pPr>
              <w:widowControl/>
              <w:autoSpaceDE/>
              <w:autoSpaceDN/>
              <w:jc w:val="center"/>
              <w:rPr>
                <w:sz w:val="20"/>
                <w:szCs w:val="20"/>
              </w:rPr>
            </w:pPr>
            <w:r w:rsidRPr="003B7A14">
              <w:rPr>
                <w:bCs/>
                <w:sz w:val="20"/>
                <w:szCs w:val="20"/>
              </w:rPr>
              <w:t>0.067</w:t>
            </w:r>
          </w:p>
        </w:tc>
        <w:tc>
          <w:tcPr>
            <w:tcW w:w="289" w:type="pct"/>
            <w:tcBorders>
              <w:top w:val="single" w:sz="4" w:space="0" w:color="auto"/>
            </w:tcBorders>
            <w:shd w:val="clear" w:color="auto" w:fill="auto"/>
            <w:noWrap/>
            <w:vAlign w:val="center"/>
            <w:hideMark/>
          </w:tcPr>
          <w:p w14:paraId="1FC6405B" w14:textId="77777777" w:rsidR="009D081E" w:rsidRPr="003B7A14" w:rsidRDefault="009D081E" w:rsidP="009A182B">
            <w:pPr>
              <w:widowControl/>
              <w:autoSpaceDE/>
              <w:autoSpaceDN/>
              <w:jc w:val="center"/>
              <w:rPr>
                <w:sz w:val="20"/>
                <w:szCs w:val="20"/>
              </w:rPr>
            </w:pPr>
            <w:r w:rsidRPr="003B7A14">
              <w:rPr>
                <w:bCs/>
                <w:sz w:val="20"/>
                <w:szCs w:val="20"/>
              </w:rPr>
              <w:t>0.095</w:t>
            </w:r>
          </w:p>
        </w:tc>
        <w:tc>
          <w:tcPr>
            <w:tcW w:w="290" w:type="pct"/>
            <w:tcBorders>
              <w:top w:val="single" w:sz="4" w:space="0" w:color="auto"/>
            </w:tcBorders>
            <w:shd w:val="clear" w:color="auto" w:fill="auto"/>
            <w:noWrap/>
            <w:vAlign w:val="center"/>
            <w:hideMark/>
          </w:tcPr>
          <w:p w14:paraId="139FA8D2" w14:textId="77777777" w:rsidR="009D081E" w:rsidRPr="003B7A14" w:rsidRDefault="009D081E" w:rsidP="009A182B">
            <w:pPr>
              <w:widowControl/>
              <w:autoSpaceDE/>
              <w:autoSpaceDN/>
              <w:jc w:val="center"/>
              <w:rPr>
                <w:sz w:val="20"/>
                <w:szCs w:val="20"/>
              </w:rPr>
            </w:pPr>
            <w:r w:rsidRPr="003B7A14">
              <w:rPr>
                <w:bCs/>
                <w:sz w:val="20"/>
                <w:szCs w:val="20"/>
              </w:rPr>
              <w:t>0.195</w:t>
            </w:r>
          </w:p>
        </w:tc>
        <w:tc>
          <w:tcPr>
            <w:tcW w:w="279" w:type="pct"/>
            <w:tcBorders>
              <w:top w:val="single" w:sz="4" w:space="0" w:color="auto"/>
            </w:tcBorders>
            <w:shd w:val="clear" w:color="auto" w:fill="auto"/>
            <w:noWrap/>
            <w:vAlign w:val="center"/>
            <w:hideMark/>
          </w:tcPr>
          <w:p w14:paraId="6F1C37E2" w14:textId="77777777" w:rsidR="009D081E" w:rsidRPr="003B7A14" w:rsidRDefault="009D081E" w:rsidP="009A182B">
            <w:pPr>
              <w:widowControl/>
              <w:autoSpaceDE/>
              <w:autoSpaceDN/>
              <w:jc w:val="center"/>
              <w:rPr>
                <w:sz w:val="20"/>
                <w:szCs w:val="20"/>
              </w:rPr>
            </w:pPr>
            <w:r w:rsidRPr="003B7A14">
              <w:rPr>
                <w:bCs/>
                <w:sz w:val="20"/>
                <w:szCs w:val="20"/>
              </w:rPr>
              <w:t>0.294</w:t>
            </w:r>
          </w:p>
        </w:tc>
        <w:tc>
          <w:tcPr>
            <w:tcW w:w="254" w:type="pct"/>
            <w:tcBorders>
              <w:top w:val="single" w:sz="4" w:space="0" w:color="auto"/>
            </w:tcBorders>
            <w:shd w:val="clear" w:color="auto" w:fill="auto"/>
            <w:noWrap/>
            <w:vAlign w:val="center"/>
            <w:hideMark/>
          </w:tcPr>
          <w:p w14:paraId="2898D0C4" w14:textId="77777777" w:rsidR="009D081E" w:rsidRPr="003B7A14" w:rsidRDefault="009D081E" w:rsidP="009A182B">
            <w:pPr>
              <w:widowControl/>
              <w:autoSpaceDE/>
              <w:autoSpaceDN/>
              <w:jc w:val="center"/>
              <w:rPr>
                <w:sz w:val="20"/>
                <w:szCs w:val="20"/>
              </w:rPr>
            </w:pPr>
            <w:r w:rsidRPr="003B7A14">
              <w:rPr>
                <w:bCs/>
                <w:sz w:val="20"/>
                <w:szCs w:val="20"/>
              </w:rPr>
              <w:t>0.416</w:t>
            </w:r>
          </w:p>
        </w:tc>
        <w:tc>
          <w:tcPr>
            <w:tcW w:w="252" w:type="pct"/>
            <w:tcBorders>
              <w:top w:val="single" w:sz="4" w:space="0" w:color="auto"/>
            </w:tcBorders>
            <w:shd w:val="clear" w:color="auto" w:fill="auto"/>
            <w:noWrap/>
            <w:vAlign w:val="center"/>
            <w:hideMark/>
          </w:tcPr>
          <w:p w14:paraId="098DA5D4" w14:textId="77777777" w:rsidR="009D081E" w:rsidRPr="003B7A14" w:rsidRDefault="009D081E" w:rsidP="009A182B">
            <w:pPr>
              <w:widowControl/>
              <w:autoSpaceDE/>
              <w:autoSpaceDN/>
              <w:jc w:val="center"/>
              <w:rPr>
                <w:sz w:val="20"/>
                <w:szCs w:val="20"/>
              </w:rPr>
            </w:pPr>
            <w:r w:rsidRPr="003B7A14">
              <w:rPr>
                <w:bCs/>
                <w:sz w:val="20"/>
                <w:szCs w:val="20"/>
              </w:rPr>
              <w:t>0.853</w:t>
            </w:r>
          </w:p>
        </w:tc>
        <w:tc>
          <w:tcPr>
            <w:tcW w:w="251" w:type="pct"/>
            <w:tcBorders>
              <w:top w:val="single" w:sz="4" w:space="0" w:color="auto"/>
            </w:tcBorders>
            <w:shd w:val="clear" w:color="auto" w:fill="auto"/>
            <w:noWrap/>
            <w:vAlign w:val="center"/>
            <w:hideMark/>
          </w:tcPr>
          <w:p w14:paraId="1A1F7974" w14:textId="77777777" w:rsidR="009D081E" w:rsidRPr="003B7A14" w:rsidRDefault="009D081E" w:rsidP="009A182B">
            <w:pPr>
              <w:widowControl/>
              <w:autoSpaceDE/>
              <w:autoSpaceDN/>
              <w:jc w:val="center"/>
              <w:rPr>
                <w:sz w:val="20"/>
                <w:szCs w:val="20"/>
              </w:rPr>
            </w:pPr>
            <w:r w:rsidRPr="003B7A14">
              <w:rPr>
                <w:bCs/>
                <w:sz w:val="20"/>
                <w:szCs w:val="20"/>
              </w:rPr>
              <w:t>0.071</w:t>
            </w:r>
          </w:p>
        </w:tc>
        <w:tc>
          <w:tcPr>
            <w:tcW w:w="241" w:type="pct"/>
            <w:tcBorders>
              <w:top w:val="single" w:sz="4" w:space="0" w:color="auto"/>
            </w:tcBorders>
            <w:shd w:val="clear" w:color="auto" w:fill="auto"/>
            <w:noWrap/>
            <w:vAlign w:val="center"/>
            <w:hideMark/>
          </w:tcPr>
          <w:p w14:paraId="44831CE6" w14:textId="77777777" w:rsidR="009D081E" w:rsidRPr="003B7A14" w:rsidRDefault="009D081E" w:rsidP="009A182B">
            <w:pPr>
              <w:widowControl/>
              <w:autoSpaceDE/>
              <w:autoSpaceDN/>
              <w:jc w:val="center"/>
              <w:rPr>
                <w:sz w:val="20"/>
                <w:szCs w:val="20"/>
              </w:rPr>
            </w:pPr>
            <w:r w:rsidRPr="003B7A14">
              <w:rPr>
                <w:bCs/>
                <w:sz w:val="20"/>
                <w:szCs w:val="20"/>
              </w:rPr>
              <w:t>0.101</w:t>
            </w:r>
          </w:p>
        </w:tc>
        <w:tc>
          <w:tcPr>
            <w:tcW w:w="252" w:type="pct"/>
            <w:tcBorders>
              <w:top w:val="single" w:sz="4" w:space="0" w:color="auto"/>
            </w:tcBorders>
            <w:shd w:val="clear" w:color="auto" w:fill="auto"/>
            <w:noWrap/>
            <w:vAlign w:val="center"/>
            <w:hideMark/>
          </w:tcPr>
          <w:p w14:paraId="74F88183" w14:textId="77777777" w:rsidR="009D081E" w:rsidRPr="003B7A14" w:rsidRDefault="009D081E" w:rsidP="009A182B">
            <w:pPr>
              <w:widowControl/>
              <w:autoSpaceDE/>
              <w:autoSpaceDN/>
              <w:jc w:val="center"/>
              <w:rPr>
                <w:sz w:val="20"/>
                <w:szCs w:val="20"/>
              </w:rPr>
            </w:pPr>
            <w:r w:rsidRPr="003B7A14">
              <w:rPr>
                <w:bCs/>
                <w:sz w:val="20"/>
                <w:szCs w:val="20"/>
              </w:rPr>
              <w:t>0.206</w:t>
            </w:r>
          </w:p>
        </w:tc>
        <w:tc>
          <w:tcPr>
            <w:tcW w:w="253" w:type="pct"/>
            <w:tcBorders>
              <w:top w:val="single" w:sz="4" w:space="0" w:color="auto"/>
            </w:tcBorders>
            <w:shd w:val="clear" w:color="auto" w:fill="auto"/>
            <w:noWrap/>
            <w:vAlign w:val="center"/>
            <w:hideMark/>
          </w:tcPr>
          <w:p w14:paraId="7C8D763F" w14:textId="77777777" w:rsidR="009D081E" w:rsidRPr="003B7A14" w:rsidRDefault="009D081E" w:rsidP="009A182B">
            <w:pPr>
              <w:widowControl/>
              <w:autoSpaceDE/>
              <w:autoSpaceDN/>
              <w:jc w:val="center"/>
              <w:rPr>
                <w:sz w:val="20"/>
                <w:szCs w:val="20"/>
              </w:rPr>
            </w:pPr>
            <w:r w:rsidRPr="003B7A14">
              <w:rPr>
                <w:bCs/>
                <w:sz w:val="20"/>
                <w:szCs w:val="20"/>
              </w:rPr>
              <w:t>0.344</w:t>
            </w:r>
          </w:p>
        </w:tc>
        <w:tc>
          <w:tcPr>
            <w:tcW w:w="253" w:type="pct"/>
            <w:tcBorders>
              <w:top w:val="single" w:sz="4" w:space="0" w:color="auto"/>
            </w:tcBorders>
            <w:shd w:val="clear" w:color="auto" w:fill="auto"/>
            <w:noWrap/>
            <w:vAlign w:val="center"/>
            <w:hideMark/>
          </w:tcPr>
          <w:p w14:paraId="59FE523C" w14:textId="77777777" w:rsidR="009D081E" w:rsidRPr="003B7A14" w:rsidRDefault="009D081E" w:rsidP="009A182B">
            <w:pPr>
              <w:widowControl/>
              <w:autoSpaceDE/>
              <w:autoSpaceDN/>
              <w:jc w:val="center"/>
              <w:rPr>
                <w:sz w:val="20"/>
                <w:szCs w:val="20"/>
              </w:rPr>
            </w:pPr>
            <w:r w:rsidRPr="003B7A14">
              <w:rPr>
                <w:bCs/>
                <w:sz w:val="20"/>
                <w:szCs w:val="20"/>
              </w:rPr>
              <w:t>0.486</w:t>
            </w:r>
          </w:p>
        </w:tc>
        <w:tc>
          <w:tcPr>
            <w:tcW w:w="253" w:type="pct"/>
            <w:tcBorders>
              <w:top w:val="single" w:sz="4" w:space="0" w:color="auto"/>
            </w:tcBorders>
            <w:shd w:val="clear" w:color="auto" w:fill="auto"/>
            <w:noWrap/>
            <w:vAlign w:val="center"/>
            <w:hideMark/>
          </w:tcPr>
          <w:p w14:paraId="0CA5B1AD" w14:textId="77777777" w:rsidR="009D081E" w:rsidRPr="003B7A14" w:rsidRDefault="009D081E" w:rsidP="009A182B">
            <w:pPr>
              <w:widowControl/>
              <w:autoSpaceDE/>
              <w:autoSpaceDN/>
              <w:jc w:val="center"/>
              <w:rPr>
                <w:sz w:val="20"/>
                <w:szCs w:val="20"/>
              </w:rPr>
            </w:pPr>
            <w:r w:rsidRPr="003B7A14">
              <w:rPr>
                <w:bCs/>
                <w:sz w:val="20"/>
                <w:szCs w:val="20"/>
              </w:rPr>
              <w:t>0.996</w:t>
            </w:r>
          </w:p>
        </w:tc>
      </w:tr>
      <w:tr w:rsidR="003B7A14" w:rsidRPr="003B7A14" w14:paraId="5AC44281" w14:textId="77777777" w:rsidTr="009A182B">
        <w:trPr>
          <w:trHeight w:val="395"/>
        </w:trPr>
        <w:tc>
          <w:tcPr>
            <w:tcW w:w="275" w:type="pct"/>
            <w:tcBorders>
              <w:top w:val="nil"/>
            </w:tcBorders>
            <w:shd w:val="clear" w:color="auto" w:fill="auto"/>
            <w:noWrap/>
            <w:vAlign w:val="center"/>
            <w:hideMark/>
          </w:tcPr>
          <w:p w14:paraId="02AF5176" w14:textId="77777777" w:rsidR="009D081E" w:rsidRPr="003B7A14" w:rsidRDefault="009D081E" w:rsidP="009A182B">
            <w:pPr>
              <w:widowControl/>
              <w:autoSpaceDE/>
              <w:autoSpaceDN/>
              <w:jc w:val="center"/>
              <w:rPr>
                <w:b/>
                <w:bCs/>
                <w:sz w:val="20"/>
                <w:szCs w:val="20"/>
              </w:rPr>
            </w:pPr>
            <w:r w:rsidRPr="003B7A14">
              <w:rPr>
                <w:b/>
                <w:bCs/>
                <w:sz w:val="20"/>
                <w:szCs w:val="20"/>
              </w:rPr>
              <w:t>I</w:t>
            </w:r>
          </w:p>
        </w:tc>
        <w:tc>
          <w:tcPr>
            <w:tcW w:w="277" w:type="pct"/>
            <w:tcBorders>
              <w:top w:val="nil"/>
            </w:tcBorders>
            <w:shd w:val="clear" w:color="auto" w:fill="auto"/>
            <w:noWrap/>
            <w:vAlign w:val="center"/>
            <w:hideMark/>
          </w:tcPr>
          <w:p w14:paraId="1AD4C72E" w14:textId="77777777" w:rsidR="009D081E" w:rsidRPr="003B7A14" w:rsidRDefault="009D081E" w:rsidP="009A182B">
            <w:pPr>
              <w:widowControl/>
              <w:autoSpaceDE/>
              <w:autoSpaceDN/>
              <w:jc w:val="center"/>
              <w:rPr>
                <w:sz w:val="20"/>
                <w:szCs w:val="20"/>
              </w:rPr>
            </w:pPr>
            <w:r w:rsidRPr="003B7A14">
              <w:rPr>
                <w:bCs/>
                <w:sz w:val="20"/>
                <w:szCs w:val="20"/>
              </w:rPr>
              <w:t>0.013</w:t>
            </w:r>
          </w:p>
        </w:tc>
        <w:tc>
          <w:tcPr>
            <w:tcW w:w="254" w:type="pct"/>
            <w:tcBorders>
              <w:top w:val="nil"/>
            </w:tcBorders>
            <w:shd w:val="clear" w:color="auto" w:fill="auto"/>
            <w:noWrap/>
            <w:vAlign w:val="center"/>
            <w:hideMark/>
          </w:tcPr>
          <w:p w14:paraId="6FE9E2BD" w14:textId="77777777" w:rsidR="009D081E" w:rsidRPr="003B7A14" w:rsidRDefault="009D081E" w:rsidP="009A182B">
            <w:pPr>
              <w:widowControl/>
              <w:autoSpaceDE/>
              <w:autoSpaceDN/>
              <w:jc w:val="center"/>
              <w:rPr>
                <w:sz w:val="20"/>
                <w:szCs w:val="20"/>
              </w:rPr>
            </w:pPr>
            <w:r w:rsidRPr="003B7A14">
              <w:rPr>
                <w:bCs/>
                <w:sz w:val="20"/>
                <w:szCs w:val="20"/>
              </w:rPr>
              <w:t>0.018</w:t>
            </w:r>
          </w:p>
        </w:tc>
        <w:tc>
          <w:tcPr>
            <w:tcW w:w="253" w:type="pct"/>
            <w:tcBorders>
              <w:top w:val="nil"/>
            </w:tcBorders>
            <w:shd w:val="clear" w:color="auto" w:fill="auto"/>
            <w:noWrap/>
            <w:vAlign w:val="center"/>
            <w:hideMark/>
          </w:tcPr>
          <w:p w14:paraId="7AAC51E3" w14:textId="77777777" w:rsidR="009D081E" w:rsidRPr="003B7A14" w:rsidRDefault="009D081E" w:rsidP="009A182B">
            <w:pPr>
              <w:widowControl/>
              <w:autoSpaceDE/>
              <w:autoSpaceDN/>
              <w:jc w:val="center"/>
              <w:rPr>
                <w:sz w:val="20"/>
                <w:szCs w:val="20"/>
              </w:rPr>
            </w:pPr>
            <w:r w:rsidRPr="003B7A14">
              <w:rPr>
                <w:bCs/>
                <w:sz w:val="20"/>
                <w:szCs w:val="20"/>
              </w:rPr>
              <w:t>0.038</w:t>
            </w:r>
          </w:p>
        </w:tc>
        <w:tc>
          <w:tcPr>
            <w:tcW w:w="279" w:type="pct"/>
            <w:tcBorders>
              <w:top w:val="nil"/>
            </w:tcBorders>
            <w:shd w:val="clear" w:color="auto" w:fill="auto"/>
            <w:noWrap/>
            <w:vAlign w:val="center"/>
            <w:hideMark/>
          </w:tcPr>
          <w:p w14:paraId="3FCE5A97" w14:textId="77777777" w:rsidR="009D081E" w:rsidRPr="003B7A14" w:rsidRDefault="009D081E" w:rsidP="009A182B">
            <w:pPr>
              <w:widowControl/>
              <w:autoSpaceDE/>
              <w:autoSpaceDN/>
              <w:jc w:val="center"/>
              <w:rPr>
                <w:sz w:val="20"/>
                <w:szCs w:val="20"/>
              </w:rPr>
            </w:pPr>
            <w:r w:rsidRPr="003B7A14">
              <w:rPr>
                <w:bCs/>
                <w:sz w:val="20"/>
                <w:szCs w:val="20"/>
              </w:rPr>
              <w:t>0.061</w:t>
            </w:r>
          </w:p>
        </w:tc>
        <w:tc>
          <w:tcPr>
            <w:tcW w:w="254" w:type="pct"/>
            <w:tcBorders>
              <w:top w:val="nil"/>
            </w:tcBorders>
            <w:shd w:val="clear" w:color="auto" w:fill="auto"/>
            <w:noWrap/>
            <w:vAlign w:val="center"/>
            <w:hideMark/>
          </w:tcPr>
          <w:p w14:paraId="6A7626B3" w14:textId="77777777" w:rsidR="009D081E" w:rsidRPr="003B7A14" w:rsidRDefault="009D081E" w:rsidP="009A182B">
            <w:pPr>
              <w:widowControl/>
              <w:autoSpaceDE/>
              <w:autoSpaceDN/>
              <w:jc w:val="center"/>
              <w:rPr>
                <w:sz w:val="20"/>
                <w:szCs w:val="20"/>
              </w:rPr>
            </w:pPr>
            <w:r w:rsidRPr="003B7A14">
              <w:rPr>
                <w:bCs/>
                <w:sz w:val="20"/>
                <w:szCs w:val="20"/>
              </w:rPr>
              <w:t>0.087</w:t>
            </w:r>
          </w:p>
        </w:tc>
        <w:tc>
          <w:tcPr>
            <w:tcW w:w="252" w:type="pct"/>
            <w:tcBorders>
              <w:top w:val="nil"/>
            </w:tcBorders>
            <w:shd w:val="clear" w:color="auto" w:fill="auto"/>
            <w:noWrap/>
            <w:vAlign w:val="center"/>
            <w:hideMark/>
          </w:tcPr>
          <w:p w14:paraId="51B784AE" w14:textId="77777777" w:rsidR="009D081E" w:rsidRPr="003B7A14" w:rsidRDefault="009D081E" w:rsidP="009A182B">
            <w:pPr>
              <w:widowControl/>
              <w:autoSpaceDE/>
              <w:autoSpaceDN/>
              <w:jc w:val="center"/>
              <w:rPr>
                <w:sz w:val="20"/>
                <w:szCs w:val="20"/>
              </w:rPr>
            </w:pPr>
            <w:r w:rsidRPr="003B7A14">
              <w:rPr>
                <w:bCs/>
                <w:sz w:val="20"/>
                <w:szCs w:val="20"/>
              </w:rPr>
              <w:t>0.179</w:t>
            </w:r>
          </w:p>
        </w:tc>
        <w:tc>
          <w:tcPr>
            <w:tcW w:w="289" w:type="pct"/>
            <w:tcBorders>
              <w:top w:val="nil"/>
            </w:tcBorders>
            <w:shd w:val="clear" w:color="auto" w:fill="auto"/>
            <w:noWrap/>
            <w:vAlign w:val="center"/>
            <w:hideMark/>
          </w:tcPr>
          <w:p w14:paraId="0869F762" w14:textId="77777777" w:rsidR="009D081E" w:rsidRPr="003B7A14" w:rsidRDefault="009D081E" w:rsidP="009A182B">
            <w:pPr>
              <w:widowControl/>
              <w:autoSpaceDE/>
              <w:autoSpaceDN/>
              <w:jc w:val="center"/>
              <w:rPr>
                <w:sz w:val="20"/>
                <w:szCs w:val="20"/>
              </w:rPr>
            </w:pPr>
            <w:r w:rsidRPr="003B7A14">
              <w:rPr>
                <w:bCs/>
                <w:sz w:val="20"/>
                <w:szCs w:val="20"/>
              </w:rPr>
              <w:t>0.125</w:t>
            </w:r>
          </w:p>
        </w:tc>
        <w:tc>
          <w:tcPr>
            <w:tcW w:w="289" w:type="pct"/>
            <w:tcBorders>
              <w:top w:val="nil"/>
            </w:tcBorders>
            <w:shd w:val="clear" w:color="auto" w:fill="auto"/>
            <w:noWrap/>
            <w:vAlign w:val="center"/>
            <w:hideMark/>
          </w:tcPr>
          <w:p w14:paraId="64441ADA" w14:textId="77777777" w:rsidR="009D081E" w:rsidRPr="003B7A14" w:rsidRDefault="009D081E" w:rsidP="009A182B">
            <w:pPr>
              <w:widowControl/>
              <w:autoSpaceDE/>
              <w:autoSpaceDN/>
              <w:jc w:val="center"/>
              <w:rPr>
                <w:sz w:val="20"/>
                <w:szCs w:val="20"/>
              </w:rPr>
            </w:pPr>
            <w:r w:rsidRPr="003B7A14">
              <w:rPr>
                <w:bCs/>
                <w:sz w:val="20"/>
                <w:szCs w:val="20"/>
              </w:rPr>
              <w:t>0.178</w:t>
            </w:r>
          </w:p>
        </w:tc>
        <w:tc>
          <w:tcPr>
            <w:tcW w:w="290" w:type="pct"/>
            <w:tcBorders>
              <w:top w:val="nil"/>
            </w:tcBorders>
            <w:shd w:val="clear" w:color="auto" w:fill="auto"/>
            <w:noWrap/>
            <w:vAlign w:val="center"/>
            <w:hideMark/>
          </w:tcPr>
          <w:p w14:paraId="23C71C80" w14:textId="77777777" w:rsidR="009D081E" w:rsidRPr="003B7A14" w:rsidRDefault="009D081E" w:rsidP="009A182B">
            <w:pPr>
              <w:widowControl/>
              <w:autoSpaceDE/>
              <w:autoSpaceDN/>
              <w:jc w:val="center"/>
              <w:rPr>
                <w:sz w:val="20"/>
                <w:szCs w:val="20"/>
              </w:rPr>
            </w:pPr>
            <w:r w:rsidRPr="003B7A14">
              <w:rPr>
                <w:bCs/>
                <w:sz w:val="20"/>
                <w:szCs w:val="20"/>
              </w:rPr>
              <w:t>0.364</w:t>
            </w:r>
          </w:p>
        </w:tc>
        <w:tc>
          <w:tcPr>
            <w:tcW w:w="279" w:type="pct"/>
            <w:tcBorders>
              <w:top w:val="nil"/>
            </w:tcBorders>
            <w:shd w:val="clear" w:color="auto" w:fill="auto"/>
            <w:noWrap/>
            <w:vAlign w:val="center"/>
            <w:hideMark/>
          </w:tcPr>
          <w:p w14:paraId="289D2548" w14:textId="77777777" w:rsidR="009D081E" w:rsidRPr="003B7A14" w:rsidRDefault="009D081E" w:rsidP="009A182B">
            <w:pPr>
              <w:widowControl/>
              <w:autoSpaceDE/>
              <w:autoSpaceDN/>
              <w:jc w:val="center"/>
              <w:rPr>
                <w:sz w:val="20"/>
                <w:szCs w:val="20"/>
              </w:rPr>
            </w:pPr>
            <w:r w:rsidRPr="003B7A14">
              <w:rPr>
                <w:bCs/>
                <w:sz w:val="20"/>
                <w:szCs w:val="20"/>
              </w:rPr>
              <w:t>0.551</w:t>
            </w:r>
          </w:p>
        </w:tc>
        <w:tc>
          <w:tcPr>
            <w:tcW w:w="254" w:type="pct"/>
            <w:tcBorders>
              <w:top w:val="nil"/>
            </w:tcBorders>
            <w:shd w:val="clear" w:color="auto" w:fill="auto"/>
            <w:noWrap/>
            <w:vAlign w:val="center"/>
            <w:hideMark/>
          </w:tcPr>
          <w:p w14:paraId="2FABF946" w14:textId="77777777" w:rsidR="009D081E" w:rsidRPr="003B7A14" w:rsidRDefault="009D081E" w:rsidP="009A182B">
            <w:pPr>
              <w:widowControl/>
              <w:autoSpaceDE/>
              <w:autoSpaceDN/>
              <w:jc w:val="center"/>
              <w:rPr>
                <w:sz w:val="20"/>
                <w:szCs w:val="20"/>
              </w:rPr>
            </w:pPr>
            <w:r w:rsidRPr="003B7A14">
              <w:rPr>
                <w:bCs/>
                <w:sz w:val="20"/>
                <w:szCs w:val="20"/>
              </w:rPr>
              <w:t>0.779</w:t>
            </w:r>
          </w:p>
        </w:tc>
        <w:tc>
          <w:tcPr>
            <w:tcW w:w="252" w:type="pct"/>
            <w:tcBorders>
              <w:top w:val="nil"/>
            </w:tcBorders>
            <w:shd w:val="clear" w:color="auto" w:fill="auto"/>
            <w:noWrap/>
            <w:vAlign w:val="center"/>
            <w:hideMark/>
          </w:tcPr>
          <w:p w14:paraId="7386BC28" w14:textId="77777777" w:rsidR="009D081E" w:rsidRPr="003B7A14" w:rsidRDefault="009D081E" w:rsidP="009A182B">
            <w:pPr>
              <w:widowControl/>
              <w:autoSpaceDE/>
              <w:autoSpaceDN/>
              <w:jc w:val="center"/>
              <w:rPr>
                <w:sz w:val="20"/>
                <w:szCs w:val="20"/>
              </w:rPr>
            </w:pPr>
            <w:r w:rsidRPr="003B7A14">
              <w:rPr>
                <w:bCs/>
                <w:sz w:val="20"/>
                <w:szCs w:val="20"/>
              </w:rPr>
              <w:t>1.595</w:t>
            </w:r>
          </w:p>
        </w:tc>
        <w:tc>
          <w:tcPr>
            <w:tcW w:w="251" w:type="pct"/>
            <w:tcBorders>
              <w:top w:val="nil"/>
            </w:tcBorders>
            <w:shd w:val="clear" w:color="auto" w:fill="auto"/>
            <w:noWrap/>
            <w:vAlign w:val="center"/>
            <w:hideMark/>
          </w:tcPr>
          <w:p w14:paraId="12ED408C" w14:textId="77777777" w:rsidR="009D081E" w:rsidRPr="003B7A14" w:rsidRDefault="009D081E" w:rsidP="009A182B">
            <w:pPr>
              <w:widowControl/>
              <w:autoSpaceDE/>
              <w:autoSpaceDN/>
              <w:jc w:val="center"/>
              <w:rPr>
                <w:sz w:val="20"/>
                <w:szCs w:val="20"/>
              </w:rPr>
            </w:pPr>
            <w:r w:rsidRPr="003B7A14">
              <w:rPr>
                <w:bCs/>
                <w:sz w:val="20"/>
                <w:szCs w:val="20"/>
              </w:rPr>
              <w:t>0.133</w:t>
            </w:r>
          </w:p>
        </w:tc>
        <w:tc>
          <w:tcPr>
            <w:tcW w:w="241" w:type="pct"/>
            <w:tcBorders>
              <w:top w:val="nil"/>
            </w:tcBorders>
            <w:shd w:val="clear" w:color="auto" w:fill="auto"/>
            <w:noWrap/>
            <w:vAlign w:val="center"/>
            <w:hideMark/>
          </w:tcPr>
          <w:p w14:paraId="32D1F1A2" w14:textId="77777777" w:rsidR="009D081E" w:rsidRPr="003B7A14" w:rsidRDefault="009D081E" w:rsidP="009A182B">
            <w:pPr>
              <w:widowControl/>
              <w:autoSpaceDE/>
              <w:autoSpaceDN/>
              <w:jc w:val="center"/>
              <w:rPr>
                <w:sz w:val="20"/>
                <w:szCs w:val="20"/>
              </w:rPr>
            </w:pPr>
            <w:r w:rsidRPr="003B7A14">
              <w:rPr>
                <w:bCs/>
                <w:sz w:val="20"/>
                <w:szCs w:val="20"/>
              </w:rPr>
              <w:t>0.188</w:t>
            </w:r>
          </w:p>
        </w:tc>
        <w:tc>
          <w:tcPr>
            <w:tcW w:w="252" w:type="pct"/>
            <w:tcBorders>
              <w:top w:val="nil"/>
            </w:tcBorders>
            <w:shd w:val="clear" w:color="auto" w:fill="auto"/>
            <w:noWrap/>
            <w:vAlign w:val="center"/>
            <w:hideMark/>
          </w:tcPr>
          <w:p w14:paraId="3B2FA539" w14:textId="77777777" w:rsidR="009D081E" w:rsidRPr="003B7A14" w:rsidRDefault="009D081E" w:rsidP="009A182B">
            <w:pPr>
              <w:widowControl/>
              <w:autoSpaceDE/>
              <w:autoSpaceDN/>
              <w:jc w:val="center"/>
              <w:rPr>
                <w:sz w:val="20"/>
                <w:szCs w:val="20"/>
              </w:rPr>
            </w:pPr>
            <w:r w:rsidRPr="003B7A14">
              <w:rPr>
                <w:bCs/>
                <w:sz w:val="20"/>
                <w:szCs w:val="20"/>
              </w:rPr>
              <w:t>0.386</w:t>
            </w:r>
          </w:p>
        </w:tc>
        <w:tc>
          <w:tcPr>
            <w:tcW w:w="253" w:type="pct"/>
            <w:tcBorders>
              <w:top w:val="nil"/>
            </w:tcBorders>
            <w:shd w:val="clear" w:color="auto" w:fill="auto"/>
            <w:noWrap/>
            <w:vAlign w:val="center"/>
            <w:hideMark/>
          </w:tcPr>
          <w:p w14:paraId="2DE25F96" w14:textId="77777777" w:rsidR="009D081E" w:rsidRPr="003B7A14" w:rsidRDefault="009D081E" w:rsidP="009A182B">
            <w:pPr>
              <w:widowControl/>
              <w:autoSpaceDE/>
              <w:autoSpaceDN/>
              <w:jc w:val="center"/>
              <w:rPr>
                <w:sz w:val="20"/>
                <w:szCs w:val="20"/>
              </w:rPr>
            </w:pPr>
            <w:r w:rsidRPr="003B7A14">
              <w:rPr>
                <w:bCs/>
                <w:sz w:val="20"/>
                <w:szCs w:val="20"/>
              </w:rPr>
              <w:t>0.643</w:t>
            </w:r>
          </w:p>
        </w:tc>
        <w:tc>
          <w:tcPr>
            <w:tcW w:w="253" w:type="pct"/>
            <w:tcBorders>
              <w:top w:val="nil"/>
            </w:tcBorders>
            <w:shd w:val="clear" w:color="auto" w:fill="auto"/>
            <w:noWrap/>
            <w:vAlign w:val="center"/>
            <w:hideMark/>
          </w:tcPr>
          <w:p w14:paraId="6079DC33" w14:textId="77777777" w:rsidR="009D081E" w:rsidRPr="003B7A14" w:rsidRDefault="009D081E" w:rsidP="009A182B">
            <w:pPr>
              <w:widowControl/>
              <w:autoSpaceDE/>
              <w:autoSpaceDN/>
              <w:jc w:val="center"/>
              <w:rPr>
                <w:sz w:val="20"/>
                <w:szCs w:val="20"/>
              </w:rPr>
            </w:pPr>
            <w:r w:rsidRPr="003B7A14">
              <w:rPr>
                <w:bCs/>
                <w:sz w:val="20"/>
                <w:szCs w:val="20"/>
              </w:rPr>
              <w:t>0.91</w:t>
            </w:r>
          </w:p>
        </w:tc>
        <w:tc>
          <w:tcPr>
            <w:tcW w:w="253" w:type="pct"/>
            <w:tcBorders>
              <w:top w:val="nil"/>
            </w:tcBorders>
            <w:shd w:val="clear" w:color="auto" w:fill="auto"/>
            <w:noWrap/>
            <w:vAlign w:val="center"/>
            <w:hideMark/>
          </w:tcPr>
          <w:p w14:paraId="3E018125" w14:textId="77777777" w:rsidR="009D081E" w:rsidRPr="003B7A14" w:rsidRDefault="009D081E" w:rsidP="009A182B">
            <w:pPr>
              <w:widowControl/>
              <w:autoSpaceDE/>
              <w:autoSpaceDN/>
              <w:jc w:val="center"/>
              <w:rPr>
                <w:sz w:val="20"/>
                <w:szCs w:val="20"/>
              </w:rPr>
            </w:pPr>
            <w:r w:rsidRPr="003B7A14">
              <w:rPr>
                <w:bCs/>
                <w:sz w:val="20"/>
                <w:szCs w:val="20"/>
              </w:rPr>
              <w:t>1.863</w:t>
            </w:r>
          </w:p>
        </w:tc>
      </w:tr>
      <w:tr w:rsidR="003B7A14" w:rsidRPr="003B7A14" w14:paraId="2EFFCF31" w14:textId="77777777" w:rsidTr="009A182B">
        <w:trPr>
          <w:trHeight w:val="395"/>
        </w:trPr>
        <w:tc>
          <w:tcPr>
            <w:tcW w:w="275" w:type="pct"/>
            <w:tcBorders>
              <w:top w:val="nil"/>
              <w:bottom w:val="single" w:sz="4" w:space="0" w:color="auto"/>
            </w:tcBorders>
            <w:shd w:val="clear" w:color="auto" w:fill="auto"/>
            <w:noWrap/>
            <w:vAlign w:val="center"/>
            <w:hideMark/>
          </w:tcPr>
          <w:p w14:paraId="36383571" w14:textId="77777777" w:rsidR="009D081E" w:rsidRPr="003B7A14" w:rsidRDefault="009D081E" w:rsidP="009A182B">
            <w:pPr>
              <w:widowControl/>
              <w:autoSpaceDE/>
              <w:autoSpaceDN/>
              <w:jc w:val="center"/>
              <w:rPr>
                <w:b/>
                <w:bCs/>
                <w:sz w:val="20"/>
                <w:szCs w:val="20"/>
              </w:rPr>
            </w:pPr>
            <w:r w:rsidRPr="003B7A14">
              <w:rPr>
                <w:b/>
                <w:bCs/>
                <w:sz w:val="20"/>
                <w:szCs w:val="20"/>
              </w:rPr>
              <w:t>M × I</w:t>
            </w:r>
          </w:p>
        </w:tc>
        <w:tc>
          <w:tcPr>
            <w:tcW w:w="277" w:type="pct"/>
            <w:tcBorders>
              <w:top w:val="nil"/>
              <w:bottom w:val="single" w:sz="4" w:space="0" w:color="auto"/>
            </w:tcBorders>
            <w:shd w:val="clear" w:color="auto" w:fill="auto"/>
            <w:noWrap/>
            <w:vAlign w:val="center"/>
            <w:hideMark/>
          </w:tcPr>
          <w:p w14:paraId="2566FD14" w14:textId="77777777" w:rsidR="009D081E" w:rsidRPr="003B7A14" w:rsidRDefault="009D081E" w:rsidP="009A182B">
            <w:pPr>
              <w:widowControl/>
              <w:autoSpaceDE/>
              <w:autoSpaceDN/>
              <w:jc w:val="center"/>
              <w:rPr>
                <w:sz w:val="20"/>
                <w:szCs w:val="20"/>
              </w:rPr>
            </w:pPr>
            <w:r w:rsidRPr="003B7A14">
              <w:rPr>
                <w:bCs/>
                <w:sz w:val="20"/>
                <w:szCs w:val="20"/>
              </w:rPr>
              <w:t>0.019</w:t>
            </w:r>
          </w:p>
        </w:tc>
        <w:tc>
          <w:tcPr>
            <w:tcW w:w="254" w:type="pct"/>
            <w:tcBorders>
              <w:top w:val="nil"/>
              <w:bottom w:val="single" w:sz="4" w:space="0" w:color="auto"/>
            </w:tcBorders>
            <w:shd w:val="clear" w:color="auto" w:fill="auto"/>
            <w:noWrap/>
            <w:vAlign w:val="center"/>
            <w:hideMark/>
          </w:tcPr>
          <w:p w14:paraId="7B07B79D" w14:textId="77777777" w:rsidR="009D081E" w:rsidRPr="003B7A14" w:rsidRDefault="009D081E" w:rsidP="009A182B">
            <w:pPr>
              <w:widowControl/>
              <w:autoSpaceDE/>
              <w:autoSpaceDN/>
              <w:jc w:val="center"/>
              <w:rPr>
                <w:sz w:val="20"/>
                <w:szCs w:val="20"/>
              </w:rPr>
            </w:pPr>
            <w:r w:rsidRPr="003B7A14">
              <w:rPr>
                <w:bCs/>
                <w:sz w:val="20"/>
                <w:szCs w:val="20"/>
              </w:rPr>
              <w:t>0.026</w:t>
            </w:r>
          </w:p>
        </w:tc>
        <w:tc>
          <w:tcPr>
            <w:tcW w:w="253" w:type="pct"/>
            <w:tcBorders>
              <w:top w:val="nil"/>
              <w:bottom w:val="single" w:sz="4" w:space="0" w:color="auto"/>
            </w:tcBorders>
            <w:shd w:val="clear" w:color="auto" w:fill="auto"/>
            <w:noWrap/>
            <w:vAlign w:val="center"/>
            <w:hideMark/>
          </w:tcPr>
          <w:p w14:paraId="721BE995" w14:textId="77777777" w:rsidR="009D081E" w:rsidRPr="003B7A14" w:rsidRDefault="009D081E" w:rsidP="009A182B">
            <w:pPr>
              <w:widowControl/>
              <w:autoSpaceDE/>
              <w:autoSpaceDN/>
              <w:jc w:val="center"/>
              <w:rPr>
                <w:sz w:val="20"/>
                <w:szCs w:val="20"/>
              </w:rPr>
            </w:pPr>
            <w:r w:rsidRPr="003B7A14">
              <w:rPr>
                <w:bCs/>
                <w:sz w:val="20"/>
                <w:szCs w:val="20"/>
              </w:rPr>
              <w:t>0.054</w:t>
            </w:r>
          </w:p>
        </w:tc>
        <w:tc>
          <w:tcPr>
            <w:tcW w:w="279" w:type="pct"/>
            <w:tcBorders>
              <w:top w:val="nil"/>
              <w:bottom w:val="single" w:sz="4" w:space="0" w:color="auto"/>
            </w:tcBorders>
            <w:shd w:val="clear" w:color="auto" w:fill="auto"/>
            <w:noWrap/>
            <w:vAlign w:val="center"/>
            <w:hideMark/>
          </w:tcPr>
          <w:p w14:paraId="33DCFA88" w14:textId="77777777" w:rsidR="009D081E" w:rsidRPr="003B7A14" w:rsidRDefault="009D081E" w:rsidP="009A182B">
            <w:pPr>
              <w:widowControl/>
              <w:autoSpaceDE/>
              <w:autoSpaceDN/>
              <w:jc w:val="center"/>
              <w:rPr>
                <w:sz w:val="20"/>
                <w:szCs w:val="20"/>
              </w:rPr>
            </w:pPr>
            <w:r w:rsidRPr="003B7A14">
              <w:rPr>
                <w:bCs/>
                <w:sz w:val="20"/>
                <w:szCs w:val="20"/>
              </w:rPr>
              <w:t>0.087</w:t>
            </w:r>
          </w:p>
        </w:tc>
        <w:tc>
          <w:tcPr>
            <w:tcW w:w="254" w:type="pct"/>
            <w:tcBorders>
              <w:top w:val="nil"/>
              <w:bottom w:val="single" w:sz="4" w:space="0" w:color="auto"/>
            </w:tcBorders>
            <w:shd w:val="clear" w:color="auto" w:fill="auto"/>
            <w:noWrap/>
            <w:vAlign w:val="center"/>
            <w:hideMark/>
          </w:tcPr>
          <w:p w14:paraId="3F84018F" w14:textId="77777777" w:rsidR="009D081E" w:rsidRPr="003B7A14" w:rsidRDefault="009D081E" w:rsidP="009A182B">
            <w:pPr>
              <w:widowControl/>
              <w:autoSpaceDE/>
              <w:autoSpaceDN/>
              <w:jc w:val="center"/>
              <w:rPr>
                <w:sz w:val="20"/>
                <w:szCs w:val="20"/>
              </w:rPr>
            </w:pPr>
            <w:r w:rsidRPr="003B7A14">
              <w:rPr>
                <w:bCs/>
                <w:sz w:val="20"/>
                <w:szCs w:val="20"/>
              </w:rPr>
              <w:t>0.123</w:t>
            </w:r>
          </w:p>
        </w:tc>
        <w:tc>
          <w:tcPr>
            <w:tcW w:w="252" w:type="pct"/>
            <w:tcBorders>
              <w:top w:val="nil"/>
              <w:bottom w:val="single" w:sz="4" w:space="0" w:color="auto"/>
            </w:tcBorders>
            <w:shd w:val="clear" w:color="auto" w:fill="auto"/>
            <w:noWrap/>
            <w:vAlign w:val="center"/>
            <w:hideMark/>
          </w:tcPr>
          <w:p w14:paraId="463C8FBC" w14:textId="77777777" w:rsidR="009D081E" w:rsidRPr="003B7A14" w:rsidRDefault="009D081E" w:rsidP="009A182B">
            <w:pPr>
              <w:widowControl/>
              <w:autoSpaceDE/>
              <w:autoSpaceDN/>
              <w:jc w:val="center"/>
              <w:rPr>
                <w:sz w:val="20"/>
                <w:szCs w:val="20"/>
              </w:rPr>
            </w:pPr>
            <w:r w:rsidRPr="003B7A14">
              <w:rPr>
                <w:bCs/>
                <w:sz w:val="20"/>
                <w:szCs w:val="20"/>
              </w:rPr>
              <w:t>0.253</w:t>
            </w:r>
          </w:p>
        </w:tc>
        <w:tc>
          <w:tcPr>
            <w:tcW w:w="289" w:type="pct"/>
            <w:tcBorders>
              <w:top w:val="nil"/>
              <w:bottom w:val="single" w:sz="4" w:space="0" w:color="auto"/>
            </w:tcBorders>
            <w:shd w:val="clear" w:color="auto" w:fill="auto"/>
            <w:noWrap/>
            <w:vAlign w:val="center"/>
            <w:hideMark/>
          </w:tcPr>
          <w:p w14:paraId="1C62EF66" w14:textId="77777777" w:rsidR="009D081E" w:rsidRPr="003B7A14" w:rsidRDefault="009D081E" w:rsidP="009A182B">
            <w:pPr>
              <w:widowControl/>
              <w:autoSpaceDE/>
              <w:autoSpaceDN/>
              <w:jc w:val="center"/>
              <w:rPr>
                <w:sz w:val="20"/>
                <w:szCs w:val="20"/>
              </w:rPr>
            </w:pPr>
            <w:r w:rsidRPr="003B7A14">
              <w:rPr>
                <w:bCs/>
                <w:sz w:val="20"/>
                <w:szCs w:val="20"/>
              </w:rPr>
              <w:t>0.177</w:t>
            </w:r>
          </w:p>
        </w:tc>
        <w:tc>
          <w:tcPr>
            <w:tcW w:w="289" w:type="pct"/>
            <w:tcBorders>
              <w:top w:val="nil"/>
              <w:bottom w:val="single" w:sz="4" w:space="0" w:color="auto"/>
            </w:tcBorders>
            <w:shd w:val="clear" w:color="auto" w:fill="auto"/>
            <w:noWrap/>
            <w:vAlign w:val="center"/>
            <w:hideMark/>
          </w:tcPr>
          <w:p w14:paraId="1A86D634" w14:textId="77777777" w:rsidR="009D081E" w:rsidRPr="003B7A14" w:rsidRDefault="009D081E" w:rsidP="009A182B">
            <w:pPr>
              <w:widowControl/>
              <w:autoSpaceDE/>
              <w:autoSpaceDN/>
              <w:jc w:val="center"/>
              <w:rPr>
                <w:sz w:val="20"/>
                <w:szCs w:val="20"/>
              </w:rPr>
            </w:pPr>
            <w:r w:rsidRPr="003B7A14">
              <w:rPr>
                <w:bCs/>
                <w:sz w:val="20"/>
                <w:szCs w:val="20"/>
              </w:rPr>
              <w:t>0.251</w:t>
            </w:r>
          </w:p>
        </w:tc>
        <w:tc>
          <w:tcPr>
            <w:tcW w:w="290" w:type="pct"/>
            <w:tcBorders>
              <w:top w:val="nil"/>
              <w:bottom w:val="single" w:sz="4" w:space="0" w:color="auto"/>
            </w:tcBorders>
            <w:shd w:val="clear" w:color="auto" w:fill="auto"/>
            <w:noWrap/>
            <w:vAlign w:val="center"/>
            <w:hideMark/>
          </w:tcPr>
          <w:p w14:paraId="41D43A91" w14:textId="77777777" w:rsidR="009D081E" w:rsidRPr="003B7A14" w:rsidRDefault="009D081E" w:rsidP="009A182B">
            <w:pPr>
              <w:widowControl/>
              <w:autoSpaceDE/>
              <w:autoSpaceDN/>
              <w:jc w:val="center"/>
              <w:rPr>
                <w:sz w:val="20"/>
                <w:szCs w:val="20"/>
              </w:rPr>
            </w:pPr>
            <w:r w:rsidRPr="003B7A14">
              <w:rPr>
                <w:bCs/>
                <w:sz w:val="20"/>
                <w:szCs w:val="20"/>
              </w:rPr>
              <w:t>0.515</w:t>
            </w:r>
          </w:p>
        </w:tc>
        <w:tc>
          <w:tcPr>
            <w:tcW w:w="279" w:type="pct"/>
            <w:tcBorders>
              <w:top w:val="nil"/>
              <w:bottom w:val="single" w:sz="4" w:space="0" w:color="auto"/>
            </w:tcBorders>
            <w:shd w:val="clear" w:color="auto" w:fill="auto"/>
            <w:noWrap/>
            <w:vAlign w:val="center"/>
            <w:hideMark/>
          </w:tcPr>
          <w:p w14:paraId="05D7B6EE" w14:textId="77777777" w:rsidR="009D081E" w:rsidRPr="003B7A14" w:rsidRDefault="009D081E" w:rsidP="009A182B">
            <w:pPr>
              <w:widowControl/>
              <w:autoSpaceDE/>
              <w:autoSpaceDN/>
              <w:jc w:val="center"/>
              <w:rPr>
                <w:sz w:val="20"/>
                <w:szCs w:val="20"/>
              </w:rPr>
            </w:pPr>
            <w:r w:rsidRPr="003B7A14">
              <w:rPr>
                <w:bCs/>
                <w:sz w:val="20"/>
                <w:szCs w:val="20"/>
              </w:rPr>
              <w:t>0.779</w:t>
            </w:r>
          </w:p>
        </w:tc>
        <w:tc>
          <w:tcPr>
            <w:tcW w:w="254" w:type="pct"/>
            <w:tcBorders>
              <w:top w:val="nil"/>
              <w:bottom w:val="single" w:sz="4" w:space="0" w:color="auto"/>
            </w:tcBorders>
            <w:shd w:val="clear" w:color="auto" w:fill="auto"/>
            <w:noWrap/>
            <w:vAlign w:val="center"/>
            <w:hideMark/>
          </w:tcPr>
          <w:p w14:paraId="3F916B4E" w14:textId="77777777" w:rsidR="009D081E" w:rsidRPr="003B7A14" w:rsidRDefault="009D081E" w:rsidP="009A182B">
            <w:pPr>
              <w:widowControl/>
              <w:autoSpaceDE/>
              <w:autoSpaceDN/>
              <w:jc w:val="center"/>
              <w:rPr>
                <w:sz w:val="20"/>
                <w:szCs w:val="20"/>
              </w:rPr>
            </w:pPr>
            <w:r w:rsidRPr="003B7A14">
              <w:rPr>
                <w:bCs/>
                <w:sz w:val="20"/>
                <w:szCs w:val="20"/>
              </w:rPr>
              <w:t>1.102</w:t>
            </w:r>
          </w:p>
        </w:tc>
        <w:tc>
          <w:tcPr>
            <w:tcW w:w="252" w:type="pct"/>
            <w:tcBorders>
              <w:top w:val="nil"/>
              <w:bottom w:val="single" w:sz="4" w:space="0" w:color="auto"/>
            </w:tcBorders>
            <w:shd w:val="clear" w:color="auto" w:fill="auto"/>
            <w:noWrap/>
            <w:vAlign w:val="center"/>
            <w:hideMark/>
          </w:tcPr>
          <w:p w14:paraId="48CE5492" w14:textId="77777777" w:rsidR="009D081E" w:rsidRPr="003B7A14" w:rsidRDefault="009D081E" w:rsidP="009A182B">
            <w:pPr>
              <w:widowControl/>
              <w:autoSpaceDE/>
              <w:autoSpaceDN/>
              <w:jc w:val="center"/>
              <w:rPr>
                <w:sz w:val="20"/>
                <w:szCs w:val="20"/>
              </w:rPr>
            </w:pPr>
            <w:r w:rsidRPr="003B7A14">
              <w:rPr>
                <w:bCs/>
                <w:sz w:val="20"/>
                <w:szCs w:val="20"/>
              </w:rPr>
              <w:t>2.256</w:t>
            </w:r>
          </w:p>
        </w:tc>
        <w:tc>
          <w:tcPr>
            <w:tcW w:w="251" w:type="pct"/>
            <w:tcBorders>
              <w:top w:val="nil"/>
              <w:bottom w:val="single" w:sz="4" w:space="0" w:color="auto"/>
            </w:tcBorders>
            <w:shd w:val="clear" w:color="auto" w:fill="auto"/>
            <w:noWrap/>
            <w:vAlign w:val="center"/>
            <w:hideMark/>
          </w:tcPr>
          <w:p w14:paraId="2E8F3896" w14:textId="77777777" w:rsidR="009D081E" w:rsidRPr="003B7A14" w:rsidRDefault="009D081E" w:rsidP="009A182B">
            <w:pPr>
              <w:widowControl/>
              <w:autoSpaceDE/>
              <w:autoSpaceDN/>
              <w:jc w:val="center"/>
              <w:rPr>
                <w:sz w:val="20"/>
                <w:szCs w:val="20"/>
              </w:rPr>
            </w:pPr>
            <w:r w:rsidRPr="003B7A14">
              <w:rPr>
                <w:bCs/>
                <w:sz w:val="20"/>
                <w:szCs w:val="20"/>
              </w:rPr>
              <w:t>0.188</w:t>
            </w:r>
          </w:p>
        </w:tc>
        <w:tc>
          <w:tcPr>
            <w:tcW w:w="241" w:type="pct"/>
            <w:tcBorders>
              <w:top w:val="nil"/>
              <w:bottom w:val="single" w:sz="4" w:space="0" w:color="auto"/>
            </w:tcBorders>
            <w:shd w:val="clear" w:color="auto" w:fill="auto"/>
            <w:noWrap/>
            <w:vAlign w:val="center"/>
            <w:hideMark/>
          </w:tcPr>
          <w:p w14:paraId="477A9A46" w14:textId="77777777" w:rsidR="009D081E" w:rsidRPr="003B7A14" w:rsidRDefault="009D081E" w:rsidP="009A182B">
            <w:pPr>
              <w:widowControl/>
              <w:autoSpaceDE/>
              <w:autoSpaceDN/>
              <w:jc w:val="center"/>
              <w:rPr>
                <w:sz w:val="20"/>
                <w:szCs w:val="20"/>
              </w:rPr>
            </w:pPr>
            <w:r w:rsidRPr="003B7A14">
              <w:rPr>
                <w:bCs/>
                <w:sz w:val="20"/>
                <w:szCs w:val="20"/>
              </w:rPr>
              <w:t>0.266</w:t>
            </w:r>
          </w:p>
        </w:tc>
        <w:tc>
          <w:tcPr>
            <w:tcW w:w="252" w:type="pct"/>
            <w:tcBorders>
              <w:top w:val="nil"/>
              <w:bottom w:val="single" w:sz="4" w:space="0" w:color="auto"/>
            </w:tcBorders>
            <w:shd w:val="clear" w:color="auto" w:fill="auto"/>
            <w:noWrap/>
            <w:vAlign w:val="center"/>
            <w:hideMark/>
          </w:tcPr>
          <w:p w14:paraId="457D49B8" w14:textId="77777777" w:rsidR="009D081E" w:rsidRPr="003B7A14" w:rsidRDefault="009D081E" w:rsidP="009A182B">
            <w:pPr>
              <w:widowControl/>
              <w:autoSpaceDE/>
              <w:autoSpaceDN/>
              <w:jc w:val="center"/>
              <w:rPr>
                <w:sz w:val="20"/>
                <w:szCs w:val="20"/>
              </w:rPr>
            </w:pPr>
            <w:r w:rsidRPr="003B7A14">
              <w:rPr>
                <w:bCs/>
                <w:sz w:val="20"/>
                <w:szCs w:val="20"/>
              </w:rPr>
              <w:t>0.545</w:t>
            </w:r>
          </w:p>
        </w:tc>
        <w:tc>
          <w:tcPr>
            <w:tcW w:w="253" w:type="pct"/>
            <w:tcBorders>
              <w:top w:val="nil"/>
              <w:bottom w:val="single" w:sz="4" w:space="0" w:color="auto"/>
            </w:tcBorders>
            <w:shd w:val="clear" w:color="auto" w:fill="auto"/>
            <w:noWrap/>
            <w:vAlign w:val="center"/>
            <w:hideMark/>
          </w:tcPr>
          <w:p w14:paraId="7281ECF6" w14:textId="77777777" w:rsidR="009D081E" w:rsidRPr="003B7A14" w:rsidRDefault="009D081E" w:rsidP="009A182B">
            <w:pPr>
              <w:widowControl/>
              <w:autoSpaceDE/>
              <w:autoSpaceDN/>
              <w:jc w:val="center"/>
              <w:rPr>
                <w:sz w:val="20"/>
                <w:szCs w:val="20"/>
              </w:rPr>
            </w:pPr>
            <w:r w:rsidRPr="003B7A14">
              <w:rPr>
                <w:bCs/>
                <w:sz w:val="20"/>
                <w:szCs w:val="20"/>
              </w:rPr>
              <w:t>0.910</w:t>
            </w:r>
          </w:p>
        </w:tc>
        <w:tc>
          <w:tcPr>
            <w:tcW w:w="253" w:type="pct"/>
            <w:tcBorders>
              <w:top w:val="nil"/>
              <w:bottom w:val="single" w:sz="4" w:space="0" w:color="auto"/>
            </w:tcBorders>
            <w:shd w:val="clear" w:color="auto" w:fill="auto"/>
            <w:noWrap/>
            <w:vAlign w:val="center"/>
            <w:hideMark/>
          </w:tcPr>
          <w:p w14:paraId="7D6C8064" w14:textId="77777777" w:rsidR="009D081E" w:rsidRPr="003B7A14" w:rsidRDefault="009D081E" w:rsidP="009A182B">
            <w:pPr>
              <w:widowControl/>
              <w:autoSpaceDE/>
              <w:autoSpaceDN/>
              <w:jc w:val="center"/>
              <w:rPr>
                <w:sz w:val="20"/>
                <w:szCs w:val="20"/>
              </w:rPr>
            </w:pPr>
            <w:r w:rsidRPr="003B7A14">
              <w:rPr>
                <w:bCs/>
                <w:sz w:val="20"/>
                <w:szCs w:val="20"/>
              </w:rPr>
              <w:t>1.287</w:t>
            </w:r>
          </w:p>
        </w:tc>
        <w:tc>
          <w:tcPr>
            <w:tcW w:w="253" w:type="pct"/>
            <w:tcBorders>
              <w:top w:val="nil"/>
              <w:bottom w:val="single" w:sz="4" w:space="0" w:color="auto"/>
            </w:tcBorders>
            <w:shd w:val="clear" w:color="auto" w:fill="auto"/>
            <w:noWrap/>
            <w:vAlign w:val="center"/>
            <w:hideMark/>
          </w:tcPr>
          <w:p w14:paraId="4686733D" w14:textId="77777777" w:rsidR="009D081E" w:rsidRPr="003B7A14" w:rsidRDefault="009D081E" w:rsidP="009A182B">
            <w:pPr>
              <w:widowControl/>
              <w:autoSpaceDE/>
              <w:autoSpaceDN/>
              <w:jc w:val="center"/>
              <w:rPr>
                <w:sz w:val="20"/>
                <w:szCs w:val="20"/>
              </w:rPr>
            </w:pPr>
            <w:r w:rsidRPr="003B7A14">
              <w:rPr>
                <w:bCs/>
                <w:sz w:val="20"/>
                <w:szCs w:val="20"/>
              </w:rPr>
              <w:t>2.635</w:t>
            </w:r>
          </w:p>
        </w:tc>
      </w:tr>
      <w:tr w:rsidR="003B7A14" w:rsidRPr="003B7A14" w14:paraId="3977BDEE" w14:textId="77777777" w:rsidTr="009A182B">
        <w:trPr>
          <w:trHeight w:val="395"/>
        </w:trPr>
        <w:tc>
          <w:tcPr>
            <w:tcW w:w="275" w:type="pct"/>
            <w:tcBorders>
              <w:top w:val="single" w:sz="4" w:space="0" w:color="auto"/>
              <w:bottom w:val="single" w:sz="12" w:space="0" w:color="auto"/>
            </w:tcBorders>
            <w:shd w:val="clear" w:color="auto" w:fill="auto"/>
            <w:noWrap/>
            <w:vAlign w:val="center"/>
            <w:hideMark/>
          </w:tcPr>
          <w:p w14:paraId="26BC5116" w14:textId="77777777" w:rsidR="009D081E" w:rsidRPr="003B7A14" w:rsidRDefault="009D081E" w:rsidP="009A182B">
            <w:pPr>
              <w:widowControl/>
              <w:autoSpaceDE/>
              <w:autoSpaceDN/>
              <w:jc w:val="center"/>
              <w:rPr>
                <w:b/>
                <w:bCs/>
                <w:sz w:val="20"/>
                <w:szCs w:val="20"/>
              </w:rPr>
            </w:pPr>
            <w:r w:rsidRPr="003B7A14">
              <w:rPr>
                <w:b/>
                <w:bCs/>
                <w:sz w:val="20"/>
                <w:szCs w:val="20"/>
              </w:rPr>
              <w:t>CV (%)</w:t>
            </w:r>
          </w:p>
        </w:tc>
        <w:tc>
          <w:tcPr>
            <w:tcW w:w="784" w:type="pct"/>
            <w:gridSpan w:val="3"/>
            <w:tcBorders>
              <w:top w:val="single" w:sz="4" w:space="0" w:color="auto"/>
              <w:bottom w:val="single" w:sz="12" w:space="0" w:color="auto"/>
            </w:tcBorders>
            <w:shd w:val="clear" w:color="auto" w:fill="auto"/>
            <w:noWrap/>
            <w:vAlign w:val="center"/>
            <w:hideMark/>
          </w:tcPr>
          <w:p w14:paraId="217F7B02" w14:textId="77777777" w:rsidR="009D081E" w:rsidRPr="003B7A14" w:rsidRDefault="009D081E" w:rsidP="009A182B">
            <w:pPr>
              <w:widowControl/>
              <w:autoSpaceDE/>
              <w:autoSpaceDN/>
              <w:jc w:val="center"/>
              <w:rPr>
                <w:sz w:val="20"/>
                <w:szCs w:val="20"/>
              </w:rPr>
            </w:pPr>
            <w:r w:rsidRPr="003B7A14">
              <w:rPr>
                <w:sz w:val="20"/>
                <w:szCs w:val="20"/>
              </w:rPr>
              <w:t>10.876</w:t>
            </w:r>
          </w:p>
        </w:tc>
        <w:tc>
          <w:tcPr>
            <w:tcW w:w="785" w:type="pct"/>
            <w:gridSpan w:val="3"/>
            <w:tcBorders>
              <w:top w:val="single" w:sz="4" w:space="0" w:color="auto"/>
              <w:bottom w:val="single" w:sz="12" w:space="0" w:color="auto"/>
            </w:tcBorders>
            <w:shd w:val="clear" w:color="auto" w:fill="auto"/>
            <w:noWrap/>
            <w:vAlign w:val="center"/>
            <w:hideMark/>
          </w:tcPr>
          <w:p w14:paraId="329EB02D" w14:textId="77777777" w:rsidR="009D081E" w:rsidRPr="003B7A14" w:rsidRDefault="009D081E" w:rsidP="009A182B">
            <w:pPr>
              <w:widowControl/>
              <w:autoSpaceDE/>
              <w:autoSpaceDN/>
              <w:jc w:val="center"/>
              <w:rPr>
                <w:sz w:val="20"/>
                <w:szCs w:val="20"/>
              </w:rPr>
            </w:pPr>
            <w:r w:rsidRPr="003B7A14">
              <w:rPr>
                <w:sz w:val="20"/>
                <w:szCs w:val="20"/>
              </w:rPr>
              <w:t>4.015</w:t>
            </w:r>
          </w:p>
        </w:tc>
        <w:tc>
          <w:tcPr>
            <w:tcW w:w="868" w:type="pct"/>
            <w:gridSpan w:val="3"/>
            <w:tcBorders>
              <w:top w:val="single" w:sz="4" w:space="0" w:color="auto"/>
              <w:bottom w:val="single" w:sz="12" w:space="0" w:color="auto"/>
            </w:tcBorders>
            <w:shd w:val="clear" w:color="auto" w:fill="auto"/>
            <w:noWrap/>
            <w:vAlign w:val="center"/>
            <w:hideMark/>
          </w:tcPr>
          <w:p w14:paraId="0CD98DE2" w14:textId="77777777" w:rsidR="009D081E" w:rsidRPr="003B7A14" w:rsidRDefault="009D081E" w:rsidP="009A182B">
            <w:pPr>
              <w:widowControl/>
              <w:autoSpaceDE/>
              <w:autoSpaceDN/>
              <w:jc w:val="center"/>
              <w:rPr>
                <w:sz w:val="20"/>
                <w:szCs w:val="20"/>
              </w:rPr>
            </w:pPr>
            <w:r w:rsidRPr="003B7A14">
              <w:rPr>
                <w:sz w:val="20"/>
                <w:szCs w:val="20"/>
              </w:rPr>
              <w:t>2.757</w:t>
            </w:r>
          </w:p>
        </w:tc>
        <w:tc>
          <w:tcPr>
            <w:tcW w:w="785" w:type="pct"/>
            <w:gridSpan w:val="3"/>
            <w:tcBorders>
              <w:top w:val="single" w:sz="4" w:space="0" w:color="auto"/>
              <w:bottom w:val="single" w:sz="12" w:space="0" w:color="auto"/>
            </w:tcBorders>
            <w:shd w:val="clear" w:color="auto" w:fill="auto"/>
            <w:noWrap/>
            <w:vAlign w:val="center"/>
            <w:hideMark/>
          </w:tcPr>
          <w:p w14:paraId="1124E149" w14:textId="77777777" w:rsidR="009D081E" w:rsidRPr="003B7A14" w:rsidRDefault="009D081E" w:rsidP="009A182B">
            <w:pPr>
              <w:widowControl/>
              <w:autoSpaceDE/>
              <w:autoSpaceDN/>
              <w:jc w:val="center"/>
              <w:rPr>
                <w:sz w:val="20"/>
                <w:szCs w:val="20"/>
              </w:rPr>
            </w:pPr>
            <w:r w:rsidRPr="003B7A14">
              <w:rPr>
                <w:sz w:val="20"/>
                <w:szCs w:val="20"/>
              </w:rPr>
              <w:t>8.653</w:t>
            </w:r>
          </w:p>
        </w:tc>
        <w:tc>
          <w:tcPr>
            <w:tcW w:w="744" w:type="pct"/>
            <w:gridSpan w:val="3"/>
            <w:tcBorders>
              <w:top w:val="single" w:sz="4" w:space="0" w:color="auto"/>
              <w:bottom w:val="single" w:sz="12" w:space="0" w:color="auto"/>
            </w:tcBorders>
            <w:shd w:val="clear" w:color="auto" w:fill="auto"/>
            <w:noWrap/>
            <w:vAlign w:val="center"/>
            <w:hideMark/>
          </w:tcPr>
          <w:p w14:paraId="4EE35A40" w14:textId="77777777" w:rsidR="009D081E" w:rsidRPr="003B7A14" w:rsidRDefault="009D081E" w:rsidP="009A182B">
            <w:pPr>
              <w:widowControl/>
              <w:autoSpaceDE/>
              <w:autoSpaceDN/>
              <w:jc w:val="center"/>
              <w:rPr>
                <w:sz w:val="20"/>
                <w:szCs w:val="20"/>
              </w:rPr>
            </w:pPr>
            <w:r w:rsidRPr="003B7A14">
              <w:rPr>
                <w:sz w:val="20"/>
                <w:szCs w:val="20"/>
              </w:rPr>
              <w:t>6.022</w:t>
            </w:r>
          </w:p>
        </w:tc>
        <w:tc>
          <w:tcPr>
            <w:tcW w:w="759" w:type="pct"/>
            <w:gridSpan w:val="3"/>
            <w:tcBorders>
              <w:top w:val="single" w:sz="4" w:space="0" w:color="auto"/>
              <w:bottom w:val="single" w:sz="12" w:space="0" w:color="auto"/>
            </w:tcBorders>
            <w:shd w:val="clear" w:color="auto" w:fill="auto"/>
            <w:noWrap/>
            <w:vAlign w:val="center"/>
            <w:hideMark/>
          </w:tcPr>
          <w:p w14:paraId="030A33F4" w14:textId="77777777" w:rsidR="009D081E" w:rsidRPr="003B7A14" w:rsidRDefault="009D081E" w:rsidP="009A182B">
            <w:pPr>
              <w:widowControl/>
              <w:autoSpaceDE/>
              <w:autoSpaceDN/>
              <w:jc w:val="center"/>
              <w:rPr>
                <w:sz w:val="20"/>
                <w:szCs w:val="20"/>
              </w:rPr>
            </w:pPr>
            <w:r w:rsidRPr="003B7A14">
              <w:rPr>
                <w:sz w:val="20"/>
                <w:szCs w:val="20"/>
              </w:rPr>
              <w:t>2.160</w:t>
            </w:r>
          </w:p>
        </w:tc>
      </w:tr>
    </w:tbl>
    <w:p w14:paraId="41BE2656" w14:textId="77777777" w:rsidR="009D081E" w:rsidRPr="003B7A14" w:rsidRDefault="009D081E" w:rsidP="009D081E">
      <w:pPr>
        <w:spacing w:line="360" w:lineRule="auto"/>
        <w:rPr>
          <w:rFonts w:ascii="Cambria" w:eastAsiaTheme="minorHAnsi" w:hAnsi="Cambria" w:cstheme="minorHAnsi"/>
          <w:sz w:val="24"/>
          <w:szCs w:val="24"/>
        </w:rPr>
        <w:sectPr w:rsidR="009D081E" w:rsidRPr="003B7A14" w:rsidSect="009D081E">
          <w:pgSz w:w="16839" w:h="11907" w:orient="landscape" w:code="9"/>
          <w:pgMar w:top="1871" w:right="1440" w:bottom="1440" w:left="1440" w:header="709" w:footer="709" w:gutter="0"/>
          <w:cols w:space="708"/>
          <w:docGrid w:linePitch="360"/>
        </w:sectPr>
      </w:pPr>
    </w:p>
    <w:p w14:paraId="36D177AD" w14:textId="77777777" w:rsidR="009D081E" w:rsidRPr="00B403AC" w:rsidRDefault="009D081E" w:rsidP="009D081E">
      <w:pPr>
        <w:spacing w:line="360" w:lineRule="auto"/>
        <w:rPr>
          <w:rFonts w:ascii="Arial" w:eastAsiaTheme="minorHAnsi" w:hAnsi="Arial" w:cs="Arial"/>
          <w:sz w:val="24"/>
          <w:szCs w:val="24"/>
        </w:rPr>
      </w:pPr>
    </w:p>
    <w:p w14:paraId="32198202" w14:textId="4097AC48" w:rsidR="00B403AC" w:rsidRPr="00B403AC" w:rsidRDefault="00B403AC" w:rsidP="00B403AC">
      <w:pPr>
        <w:pStyle w:val="ListParagraph"/>
        <w:widowControl/>
        <w:numPr>
          <w:ilvl w:val="1"/>
          <w:numId w:val="43"/>
        </w:numPr>
        <w:adjustRightInd w:val="0"/>
        <w:spacing w:line="360" w:lineRule="auto"/>
        <w:ind w:left="0" w:firstLine="0"/>
        <w:jc w:val="both"/>
        <w:rPr>
          <w:rFonts w:ascii="Arial" w:eastAsiaTheme="minorHAnsi" w:hAnsi="Arial" w:cs="Arial"/>
          <w:b/>
          <w:sz w:val="24"/>
          <w:szCs w:val="24"/>
        </w:rPr>
      </w:pPr>
      <w:r w:rsidRPr="00B403AC">
        <w:rPr>
          <w:rFonts w:ascii="Arial" w:eastAsiaTheme="minorHAnsi" w:hAnsi="Arial" w:cs="Arial"/>
          <w:b/>
          <w:sz w:val="24"/>
          <w:szCs w:val="24"/>
        </w:rPr>
        <w:t>Contribution of different native soil zinc fractions to total zinc under aerobic and anaerobic conditions before and after 90 days of incubation.</w:t>
      </w:r>
    </w:p>
    <w:p w14:paraId="15B90D57" w14:textId="77777777" w:rsidR="00B403AC" w:rsidRPr="00B403AC" w:rsidRDefault="00B403AC" w:rsidP="00B403AC">
      <w:pPr>
        <w:pStyle w:val="ListParagraph"/>
        <w:widowControl/>
        <w:adjustRightInd w:val="0"/>
        <w:spacing w:line="360" w:lineRule="auto"/>
        <w:ind w:left="0"/>
        <w:jc w:val="both"/>
        <w:rPr>
          <w:rFonts w:ascii="Arial" w:eastAsiaTheme="minorHAnsi" w:hAnsi="Arial" w:cs="Arial"/>
          <w:b/>
          <w:sz w:val="24"/>
          <w:szCs w:val="24"/>
        </w:rPr>
      </w:pPr>
    </w:p>
    <w:p w14:paraId="778BCEA9" w14:textId="22E83075" w:rsidR="00B403AC" w:rsidRPr="00B403AC" w:rsidRDefault="00B403AC"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Soil-1</w:t>
      </w:r>
    </w:p>
    <w:p w14:paraId="179D6271" w14:textId="76E33347" w:rsidR="00B403AC" w:rsidRPr="00B403AC" w:rsidRDefault="00B403AC" w:rsidP="00B403AC">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Table 1,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and RES-Zn fractions was 0.326, 1.9, 1.6, 20.349, 3.325, &amp; 41.91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it constituted 0.47, 2.738, 2.305, 29.319, 4.791 &amp; and 60.378 % of total Zn, respectively with the following order of preponderance: WSEX-Zn &lt; AMOX-Zn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conditions. Under aerobic conditions (M1) at 90 DAI, an alteration in order between OC-Zn and AMOX-Zn was recorded. The contents of WSEX-Zn, OC-Zn, AMO-Zn,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and RES-Zn fractions were 0.205, 1.520, 2.286, 18.123, 3.703 &amp; 43.56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constituted 0.296, 2.190, 3.294, 26.116, 5.336 &amp; and 62.768 percent of total Zn, respectively, with the following order of preponderance: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&lt;CRYOX-Zn &lt;&lt; RES-Zn. Whereas, under anaerobic conditions (M2) at 90 DAI, a change in order among the OC-Zn, AMOX-Zn, and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0.111, 1.110, 3.265, 12.050, 2.442 &amp; 50.45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 0.160, 1.599, 4.704, 17.361, 3.489 &amp; 72.687 percent of total Zn, respectively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w:t>
      </w:r>
    </w:p>
    <w:p w14:paraId="747D76FE" w14:textId="7A69EF96"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Soil-2</w:t>
      </w:r>
    </w:p>
    <w:p w14:paraId="400697F1" w14:textId="427933AD" w:rsidR="00A16648" w:rsidRPr="00B403AC" w:rsidRDefault="009D081E" w:rsidP="00A16648">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w:t>
      </w:r>
      <w:r w:rsidR="00464FF3">
        <w:rPr>
          <w:rFonts w:ascii="Arial" w:eastAsiaTheme="minorHAnsi" w:hAnsi="Arial" w:cs="Arial"/>
          <w:sz w:val="20"/>
          <w:szCs w:val="20"/>
        </w:rPr>
        <w:t>2</w:t>
      </w:r>
      <w:r w:rsidRPr="00B403AC">
        <w:rPr>
          <w:rFonts w:ascii="Arial" w:eastAsiaTheme="minorHAnsi" w:hAnsi="Arial" w:cs="Arial"/>
          <w:sz w:val="20"/>
          <w:szCs w:val="20"/>
        </w:rPr>
        <w:t xml:space="preserve">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0.264, 1.968, 1.320, 17.2, 3.525 &amp; 47.23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0.369, 2.752, 1.846, 24.052, 4.929 &amp; 66.051 % of total Zn, respectively with the following order of preponderance: WSEX-Zn &lt; AMOX-Zn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conditions</w:t>
      </w:r>
      <w:r w:rsidR="00464FF3">
        <w:rPr>
          <w:rFonts w:ascii="Arial" w:eastAsiaTheme="minorHAnsi" w:hAnsi="Arial" w:cs="Arial"/>
          <w:sz w:val="20"/>
          <w:szCs w:val="20"/>
        </w:rPr>
        <w:t>.</w:t>
      </w:r>
      <w:r w:rsidRPr="00B403AC">
        <w:rPr>
          <w:rFonts w:ascii="Arial" w:eastAsiaTheme="minorHAnsi" w:hAnsi="Arial" w:cs="Arial"/>
          <w:sz w:val="20"/>
          <w:szCs w:val="20"/>
        </w:rPr>
        <w:t xml:space="preserve"> Under aerobic </w:t>
      </w:r>
      <w:r w:rsidR="00B403AC" w:rsidRPr="00B403AC">
        <w:rPr>
          <w:rFonts w:ascii="Arial" w:eastAsiaTheme="minorHAnsi" w:hAnsi="Arial" w:cs="Arial"/>
          <w:sz w:val="20"/>
          <w:szCs w:val="20"/>
        </w:rPr>
        <w:t>conditions (M1) at 90 DAI, an alteration in order between OC-Zn and</w:t>
      </w:r>
      <w:r w:rsidRPr="00B403AC">
        <w:rPr>
          <w:rFonts w:ascii="Arial" w:eastAsiaTheme="minorHAnsi" w:hAnsi="Arial" w:cs="Arial"/>
          <w:sz w:val="20"/>
          <w:szCs w:val="20"/>
        </w:rPr>
        <w:t xml:space="preserve"> AMOX-Zn was recorded.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0.154, 1.598, 2.108, 15.312, 3.955 &amp; 48.38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0.215, 2.235, 2.948, 21.412, 5.531 &amp; 67.658 percent of total Zn, respectively</w:t>
      </w:r>
      <w:r w:rsidR="00B403AC"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 xml:space="preserve">Whereas, under anaerobic </w:t>
      </w:r>
      <w:r w:rsidR="00B403AC" w:rsidRPr="00B403AC">
        <w:rPr>
          <w:rFonts w:ascii="Arial" w:eastAsiaTheme="minorHAnsi" w:hAnsi="Arial" w:cs="Arial"/>
          <w:sz w:val="20"/>
          <w:szCs w:val="20"/>
        </w:rPr>
        <w:t xml:space="preserve">conditions (M2) at 90 DAI, a change in order among the OC-Zn, AMOX-Zn, and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0.070, 1.156, 3.101, 10.237, 2.327, &amp; 54.62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whic</w:t>
      </w:r>
      <w:r w:rsidR="00464FF3">
        <w:rPr>
          <w:rFonts w:ascii="Arial" w:eastAsiaTheme="minorHAnsi" w:hAnsi="Arial" w:cs="Arial"/>
          <w:sz w:val="20"/>
          <w:szCs w:val="20"/>
        </w:rPr>
        <w:t>h</w:t>
      </w:r>
      <w:r w:rsidRPr="00B403AC">
        <w:rPr>
          <w:rFonts w:ascii="Arial" w:eastAsiaTheme="minorHAnsi" w:hAnsi="Arial" w:cs="Arial"/>
          <w:sz w:val="20"/>
          <w:szCs w:val="20"/>
        </w:rPr>
        <w:t xml:space="preserve"> constitute 0.098, 1.617, 4.336, 14.317, 3.254 &amp; 76.378 percent of</w:t>
      </w:r>
      <w:r w:rsidR="007C7FDA" w:rsidRPr="00B403AC">
        <w:rPr>
          <w:rFonts w:ascii="Arial" w:eastAsiaTheme="minorHAnsi" w:hAnsi="Arial" w:cs="Arial"/>
          <w:sz w:val="20"/>
          <w:szCs w:val="20"/>
        </w:rPr>
        <w:t xml:space="preserve"> </w:t>
      </w:r>
      <w:r w:rsidRPr="00B403AC">
        <w:rPr>
          <w:rFonts w:ascii="Arial" w:eastAsiaTheme="minorHAnsi" w:hAnsi="Arial" w:cs="Arial"/>
          <w:sz w:val="20"/>
          <w:szCs w:val="20"/>
        </w:rPr>
        <w:t>total Zn, respectively</w:t>
      </w:r>
      <w:r w:rsidR="007C7FDA"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w:t>
      </w:r>
      <w:proofErr w:type="spellStart"/>
      <w:r w:rsidRPr="00B403AC">
        <w:rPr>
          <w:rFonts w:ascii="Arial" w:eastAsiaTheme="minorHAnsi" w:hAnsi="Arial" w:cs="Arial"/>
          <w:sz w:val="20"/>
          <w:szCs w:val="20"/>
        </w:rPr>
        <w:t>AMOx</w:t>
      </w:r>
      <w:proofErr w:type="spellEnd"/>
      <w:r w:rsidRPr="00B403AC">
        <w:rPr>
          <w:rFonts w:ascii="Arial" w:eastAsiaTheme="minorHAnsi" w:hAnsi="Arial" w:cs="Arial"/>
          <w:sz w:val="20"/>
          <w:szCs w:val="20"/>
        </w:rPr>
        <w:t>-Zn &lt; &lt;CRYOX-Zn &lt;&lt; RES-Zn.</w:t>
      </w:r>
    </w:p>
    <w:p w14:paraId="40949DCD" w14:textId="0AB0FDDC"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lastRenderedPageBreak/>
        <w:t>Distribution of native soil zinc fractions in Soil-3</w:t>
      </w:r>
    </w:p>
    <w:p w14:paraId="4FBB4C6B" w14:textId="78008610" w:rsidR="00A16648" w:rsidRPr="00B403AC" w:rsidRDefault="009D081E" w:rsidP="00A16648">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3,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0.336, 2.475, 2.624, 16.269, 3.088, 34.72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which constitute</w:t>
      </w:r>
      <w:r w:rsidR="00464FF3">
        <w:rPr>
          <w:rFonts w:ascii="Arial" w:eastAsiaTheme="minorHAnsi" w:hAnsi="Arial" w:cs="Arial"/>
          <w:sz w:val="20"/>
          <w:szCs w:val="20"/>
        </w:rPr>
        <w:t>d</w:t>
      </w:r>
      <w:r w:rsidRPr="00B403AC">
        <w:rPr>
          <w:rFonts w:ascii="Arial" w:eastAsiaTheme="minorHAnsi" w:hAnsi="Arial" w:cs="Arial"/>
          <w:sz w:val="20"/>
          <w:szCs w:val="20"/>
        </w:rPr>
        <w:t xml:space="preserve"> 0.565, 4.160, 4.409, 27.340, 5.190 &amp; 58.337 % of  total Zn, respectively with the following order of preponderance :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conditions (Figure 4.2.3).</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Under 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xml:space="preserve">) at 90 DAI, an alteration in order between AMOX-Zn &amp;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recorded.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0.264, 1.853, 3.673, 14.207, 3.412 &amp; 36.01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 0.444, 3.114, 6.172, 23.875, 5.734 &amp; 60.661 percent </w:t>
      </w:r>
      <w:r w:rsidR="00A16648" w:rsidRPr="00B403AC">
        <w:rPr>
          <w:rFonts w:ascii="Arial" w:eastAsiaTheme="minorHAnsi" w:hAnsi="Arial" w:cs="Arial"/>
          <w:sz w:val="20"/>
          <w:szCs w:val="20"/>
        </w:rPr>
        <w:t>of total</w:t>
      </w:r>
      <w:r w:rsidRPr="00B403AC">
        <w:rPr>
          <w:rFonts w:ascii="Arial" w:eastAsiaTheme="minorHAnsi" w:hAnsi="Arial" w:cs="Arial"/>
          <w:sz w:val="20"/>
          <w:szCs w:val="20"/>
        </w:rPr>
        <w:t xml:space="preserve"> Zn, respectively with the following order of </w:t>
      </w:r>
      <w:r w:rsidR="00A16648" w:rsidRPr="00B403AC">
        <w:rPr>
          <w:rFonts w:ascii="Arial" w:eastAsiaTheme="minorHAnsi" w:hAnsi="Arial" w:cs="Arial"/>
          <w:sz w:val="20"/>
          <w:szCs w:val="20"/>
        </w:rPr>
        <w:t>preponderance:</w:t>
      </w:r>
      <w:r w:rsidRPr="00B403AC">
        <w:rPr>
          <w:rFonts w:ascii="Arial" w:eastAsiaTheme="minorHAnsi" w:hAnsi="Arial" w:cs="Arial"/>
          <w:sz w:val="20"/>
          <w:szCs w:val="20"/>
        </w:rPr>
        <w:t xml:space="preserve"> WSEX-Zn &lt; OC-Zn&lt;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w:t>
      </w:r>
      <w:r w:rsidR="00A16648" w:rsidRPr="00B403AC">
        <w:rPr>
          <w:rFonts w:ascii="Arial" w:eastAsiaTheme="minorHAnsi" w:hAnsi="Arial" w:cs="Arial"/>
          <w:sz w:val="20"/>
          <w:szCs w:val="20"/>
        </w:rPr>
        <w:t xml:space="preserve"> </w:t>
      </w:r>
      <w:r w:rsidR="001B1014" w:rsidRPr="00B403AC">
        <w:rPr>
          <w:rFonts w:ascii="Arial" w:eastAsiaTheme="minorHAnsi" w:hAnsi="Arial" w:cs="Arial"/>
          <w:sz w:val="20"/>
          <w:szCs w:val="20"/>
        </w:rPr>
        <w:t>Also,</w:t>
      </w:r>
      <w:r w:rsidRPr="00B403AC">
        <w:rPr>
          <w:rFonts w:ascii="Arial" w:eastAsiaTheme="minorHAnsi" w:hAnsi="Arial" w:cs="Arial"/>
          <w:sz w:val="20"/>
          <w:szCs w:val="20"/>
        </w:rPr>
        <w:t xml:space="preserve"> under anaerobic condition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at 90 DAI, a change in order between the AMOX-Zn &amp;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contents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0.120, 1.326, 5.247, 8.681, 2.160 &amp; 41.973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constituted 0.202, 2.229, 8.818, 14.587, 3.630 &amp; 70.535 percent </w:t>
      </w:r>
      <w:r w:rsidR="00A16648" w:rsidRPr="00B403AC">
        <w:rPr>
          <w:rFonts w:ascii="Arial" w:eastAsiaTheme="minorHAnsi" w:hAnsi="Arial" w:cs="Arial"/>
          <w:sz w:val="20"/>
          <w:szCs w:val="20"/>
        </w:rPr>
        <w:t>of total</w:t>
      </w:r>
      <w:r w:rsidRPr="00B403AC">
        <w:rPr>
          <w:rFonts w:ascii="Arial" w:eastAsiaTheme="minorHAnsi" w:hAnsi="Arial" w:cs="Arial"/>
          <w:sz w:val="20"/>
          <w:szCs w:val="20"/>
        </w:rPr>
        <w:t xml:space="preserve"> Zn, respectively with the following order of </w:t>
      </w:r>
      <w:r w:rsidR="00A16648" w:rsidRPr="00B403AC">
        <w:rPr>
          <w:rFonts w:ascii="Arial" w:eastAsiaTheme="minorHAnsi" w:hAnsi="Arial" w:cs="Arial"/>
          <w:sz w:val="20"/>
          <w:szCs w:val="20"/>
        </w:rPr>
        <w:t>preponderance:</w:t>
      </w:r>
      <w:r w:rsidRPr="00B403AC">
        <w:rPr>
          <w:rFonts w:ascii="Arial" w:eastAsiaTheme="minorHAnsi" w:hAnsi="Arial" w:cs="Arial"/>
          <w:sz w:val="20"/>
          <w:szCs w:val="20"/>
        </w:rPr>
        <w:t xml:space="preserv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w:t>
      </w:r>
      <w:proofErr w:type="spellStart"/>
      <w:r w:rsidRPr="00B403AC">
        <w:rPr>
          <w:rFonts w:ascii="Arial" w:eastAsiaTheme="minorHAnsi" w:hAnsi="Arial" w:cs="Arial"/>
          <w:sz w:val="20"/>
          <w:szCs w:val="20"/>
        </w:rPr>
        <w:t>AMOx</w:t>
      </w:r>
      <w:proofErr w:type="spellEnd"/>
      <w:r w:rsidRPr="00B403AC">
        <w:rPr>
          <w:rFonts w:ascii="Arial" w:eastAsiaTheme="minorHAnsi" w:hAnsi="Arial" w:cs="Arial"/>
          <w:sz w:val="20"/>
          <w:szCs w:val="20"/>
        </w:rPr>
        <w:t>-Zn &lt; &lt;CRYOX-Zn &lt;&lt; RES-Zn.</w:t>
      </w:r>
    </w:p>
    <w:p w14:paraId="19B50026" w14:textId="7B0FE375"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Soil-4</w:t>
      </w:r>
    </w:p>
    <w:p w14:paraId="3DFFD41C" w14:textId="5BE5D0FB" w:rsidR="00EC7F13" w:rsidRPr="00B403AC" w:rsidRDefault="009D081E" w:rsidP="00EC7F13">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4,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0.453, 4.800, 9.330, 19.069, 5.695, &amp; 69.86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0.415, 4.395. 8.543, 17.460, 5.215 &amp; 63.971 % of total Zn, respectively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 However, a change in initial content of zinc fractions and their order of preponderance was observed at 90DAI only under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w:t>
      </w:r>
      <w:r w:rsidR="00464FF3">
        <w:rPr>
          <w:rFonts w:ascii="Arial" w:eastAsiaTheme="minorHAnsi" w:hAnsi="Arial" w:cs="Arial"/>
          <w:sz w:val="20"/>
          <w:szCs w:val="20"/>
        </w:rPr>
        <w:t>.</w:t>
      </w:r>
      <w:r w:rsidRPr="00B403AC">
        <w:rPr>
          <w:rFonts w:ascii="Arial" w:eastAsiaTheme="minorHAnsi" w:hAnsi="Arial" w:cs="Arial"/>
          <w:sz w:val="20"/>
          <w:szCs w:val="20"/>
        </w:rPr>
        <w:t xml:space="preserve"> Under 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xml:space="preserve">) at 90 DAI, the content of WSEX-Zn, OC-Zn, AMO-Zn,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0.250, 3.027, 11.751, 17.039, 6.254 &amp; 70.87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which constitute 0.229, 2.772, 10.762, 15.605, 5.727 &amp; 64.905 percent of total Zn, respectively and no change in initial distribution order was observed.</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Whereas, under anaerobic condition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at 90 DAI, a change in order between the AMOX-Zn &amp; CRYOX-Zn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0.135, 2.115, 15.115, 10.019, 3.263 &amp; 78.566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0.124, 1.937, 13.840, 9.173, 2.988 &amp; 71.939 percent of total Zn, respectively</w:t>
      </w:r>
      <w:r w:rsidR="00301B5E"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&lt;CRYOX-Zn&lt; AMOX-Zn &lt;&lt; RES-Zn.</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 xml:space="preserve">So, in S1, S2, </w:t>
      </w:r>
      <w:r w:rsidR="00B403AC">
        <w:rPr>
          <w:rFonts w:ascii="Arial" w:eastAsiaTheme="minorHAnsi" w:hAnsi="Arial" w:cs="Arial"/>
          <w:sz w:val="20"/>
          <w:szCs w:val="20"/>
        </w:rPr>
        <w:t xml:space="preserve">and S3, a change in the </w:t>
      </w:r>
      <w:r w:rsidRPr="00B403AC">
        <w:rPr>
          <w:rFonts w:ascii="Arial" w:eastAsiaTheme="minorHAnsi" w:hAnsi="Arial" w:cs="Arial"/>
          <w:sz w:val="20"/>
          <w:szCs w:val="20"/>
        </w:rPr>
        <w:t>initial content of different Zn fractions and their order of distribution was observed both under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conditions at 90 DAI. Whereas, in S4, the changes in distribution order was observed only under anaerobic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However</w:t>
      </w:r>
      <w:r w:rsidR="00301B5E" w:rsidRPr="00B403AC">
        <w:rPr>
          <w:rFonts w:ascii="Arial" w:eastAsiaTheme="minorHAnsi" w:hAnsi="Arial" w:cs="Arial"/>
          <w:sz w:val="20"/>
          <w:szCs w:val="20"/>
        </w:rPr>
        <w:t>, the changes are more remarkable under anaerobic conditions</w:t>
      </w:r>
      <w:r w:rsidRPr="00B403AC">
        <w:rPr>
          <w:rFonts w:ascii="Arial" w:eastAsiaTheme="minorHAnsi" w:hAnsi="Arial" w:cs="Arial"/>
          <w:sz w:val="20"/>
          <w:szCs w:val="20"/>
        </w:rPr>
        <w:t xml:space="preserve">. Change in distribution order of different zinc fractions between 30 &amp; 60 DAI has also been reported by Soltani </w:t>
      </w:r>
      <w:r w:rsidRPr="00B403AC">
        <w:rPr>
          <w:rFonts w:ascii="Arial" w:eastAsiaTheme="minorHAnsi" w:hAnsi="Arial" w:cs="Arial"/>
          <w:i/>
          <w:sz w:val="20"/>
          <w:szCs w:val="20"/>
        </w:rPr>
        <w:t xml:space="preserve">et al. </w:t>
      </w:r>
      <w:r w:rsidRPr="00B403AC">
        <w:rPr>
          <w:rFonts w:ascii="Arial" w:eastAsiaTheme="minorHAnsi" w:hAnsi="Arial" w:cs="Arial"/>
          <w:sz w:val="20"/>
          <w:szCs w:val="20"/>
        </w:rPr>
        <w:t>(2015).</w:t>
      </w:r>
    </w:p>
    <w:p w14:paraId="1EAB2838" w14:textId="3CCD1071" w:rsidR="00EC7F13" w:rsidRPr="00484C44" w:rsidRDefault="00EC7F13" w:rsidP="00B403AC">
      <w:pPr>
        <w:pStyle w:val="ListParagraph"/>
        <w:widowControl/>
        <w:numPr>
          <w:ilvl w:val="0"/>
          <w:numId w:val="43"/>
        </w:numPr>
        <w:adjustRightInd w:val="0"/>
        <w:spacing w:after="240" w:line="360" w:lineRule="auto"/>
        <w:jc w:val="both"/>
        <w:rPr>
          <w:rFonts w:ascii="Arial" w:eastAsiaTheme="minorHAnsi" w:hAnsi="Arial" w:cs="Arial"/>
        </w:rPr>
      </w:pPr>
      <w:r w:rsidRPr="00484C44">
        <w:rPr>
          <w:rFonts w:ascii="Arial" w:eastAsiaTheme="minorHAnsi" w:hAnsi="Arial" w:cs="Arial"/>
          <w:b/>
          <w:bCs/>
        </w:rPr>
        <w:lastRenderedPageBreak/>
        <w:t>Conclusion-</w:t>
      </w:r>
      <w:r w:rsidRPr="00484C44">
        <w:rPr>
          <w:rFonts w:ascii="Arial" w:eastAsiaTheme="minorHAnsi" w:hAnsi="Arial" w:cs="Arial"/>
        </w:rPr>
        <w:t xml:space="preserve"> </w:t>
      </w:r>
    </w:p>
    <w:p w14:paraId="6BC7E615" w14:textId="77777777" w:rsidR="001B1014" w:rsidRPr="001B1014" w:rsidRDefault="001B1014" w:rsidP="001B1014">
      <w:pPr>
        <w:pStyle w:val="ListParagraph"/>
        <w:widowControl/>
        <w:numPr>
          <w:ilvl w:val="0"/>
          <w:numId w:val="43"/>
        </w:numPr>
        <w:adjustRightInd w:val="0"/>
        <w:spacing w:line="360" w:lineRule="auto"/>
        <w:jc w:val="both"/>
        <w:rPr>
          <w:rFonts w:ascii="Arial" w:eastAsiaTheme="minorHAnsi" w:hAnsi="Arial" w:cs="Arial"/>
          <w:color w:val="000000"/>
          <w:sz w:val="20"/>
          <w:szCs w:val="20"/>
          <w:lang w:val="en-IN"/>
          <w14:ligatures w14:val="standardContextual"/>
        </w:rPr>
      </w:pPr>
      <w:bookmarkStart w:id="4" w:name="_Hlk193540946"/>
      <w:bookmarkStart w:id="5" w:name="_Hlk180402183"/>
      <w:bookmarkStart w:id="6" w:name="_Hlk183680988"/>
      <w:r w:rsidRPr="001B1014">
        <w:rPr>
          <w:rFonts w:ascii="Arial" w:eastAsiaTheme="minorHAnsi" w:hAnsi="Arial" w:cs="Arial"/>
          <w:sz w:val="20"/>
          <w:szCs w:val="20"/>
        </w:rPr>
        <w:t>In a nutshell, it can be said that over the 90 days of incubation study, a more remarkable decrease under anaerobic conditions was noticed than that under aerobic conditions in all the native zinc fractions except AMOX-Zn &amp; RES-Zn, where a remarkable increase was observed</w:t>
      </w:r>
      <w:r w:rsidRPr="002808BD">
        <w:rPr>
          <w:rFonts w:ascii="Arial" w:eastAsiaTheme="minorHAnsi" w:hAnsi="Arial" w:cs="Arial"/>
          <w:sz w:val="20"/>
          <w:szCs w:val="20"/>
        </w:rPr>
        <w:t xml:space="preserve">. </w:t>
      </w:r>
      <w:r w:rsidRPr="002808BD">
        <w:rPr>
          <w:rFonts w:ascii="Arial" w:eastAsiaTheme="minorHAnsi" w:hAnsi="Arial" w:cs="Arial"/>
          <w:color w:val="000000"/>
          <w:sz w:val="20"/>
          <w:szCs w:val="20"/>
          <w:lang w:val="en-IN"/>
          <w14:ligatures w14:val="standardContextual"/>
        </w:rPr>
        <w:t xml:space="preserve">Irrespective of the incubation period, significantly lower amounts of WSEX-Zn, OC-Zn, CRYOX-Zn, and </w:t>
      </w:r>
      <w:proofErr w:type="spellStart"/>
      <w:r w:rsidRPr="002808BD">
        <w:rPr>
          <w:rFonts w:ascii="Arial" w:eastAsiaTheme="minorHAnsi" w:hAnsi="Arial" w:cs="Arial"/>
          <w:color w:val="000000"/>
          <w:sz w:val="20"/>
          <w:szCs w:val="20"/>
          <w:lang w:val="en-IN"/>
          <w14:ligatures w14:val="standardContextual"/>
        </w:rPr>
        <w:t>MnOx</w:t>
      </w:r>
      <w:proofErr w:type="spellEnd"/>
      <w:r w:rsidRPr="002808BD">
        <w:rPr>
          <w:rFonts w:ascii="Arial" w:eastAsiaTheme="minorHAnsi" w:hAnsi="Arial" w:cs="Arial"/>
          <w:color w:val="000000"/>
          <w:sz w:val="20"/>
          <w:szCs w:val="20"/>
          <w:lang w:val="en-IN"/>
          <w14:ligatures w14:val="standardContextual"/>
        </w:rPr>
        <w:t>-Zn were observed under anaerobic conditions (M2), whereas AMOX-Zn &amp; RES-Zn content was high under anaerobic conditions (M2).</w:t>
      </w:r>
      <w:r w:rsidRPr="002808BD">
        <w:rPr>
          <w:rFonts w:ascii="Arial" w:eastAsiaTheme="minorHAnsi" w:hAnsi="Arial" w:cs="Arial"/>
          <w:sz w:val="20"/>
          <w:szCs w:val="20"/>
        </w:rPr>
        <w:t xml:space="preserve"> </w:t>
      </w:r>
      <w:r w:rsidRPr="002808BD">
        <w:rPr>
          <w:rFonts w:ascii="Arial" w:eastAsiaTheme="minorHAnsi" w:hAnsi="Arial" w:cs="Arial"/>
          <w:sz w:val="20"/>
          <w:szCs w:val="20"/>
          <w:lang w:val="en-IN"/>
          <w14:ligatures w14:val="standardContextual"/>
        </w:rPr>
        <w:t xml:space="preserve">Under anaerobic conditions, with an incubation period, gradual decreases in WSEX-Zn and CRYOX-Zn fractions and an increase in AMOX-Zn and RES-Zn fractions were observed. The OC-Zn &amp; </w:t>
      </w:r>
      <w:proofErr w:type="spellStart"/>
      <w:r w:rsidRPr="002808BD">
        <w:rPr>
          <w:rFonts w:ascii="Arial" w:eastAsiaTheme="minorHAnsi" w:hAnsi="Arial" w:cs="Arial"/>
          <w:sz w:val="20"/>
          <w:szCs w:val="20"/>
          <w:lang w:val="en-IN"/>
          <w14:ligatures w14:val="standardContextual"/>
        </w:rPr>
        <w:t>MnOx</w:t>
      </w:r>
      <w:proofErr w:type="spellEnd"/>
      <w:r w:rsidRPr="002808BD">
        <w:rPr>
          <w:rFonts w:ascii="Arial" w:eastAsiaTheme="minorHAnsi" w:hAnsi="Arial" w:cs="Arial"/>
          <w:sz w:val="20"/>
          <w:szCs w:val="20"/>
          <w:lang w:val="en-IN"/>
          <w14:ligatures w14:val="standardContextual"/>
        </w:rPr>
        <w:t>-Zn fractions also indicated a decrease after showing an increase during the initial period of incubation under anaerobic conditions (M2).</w:t>
      </w:r>
      <w:r w:rsidRPr="001B1014">
        <w:rPr>
          <w:rFonts w:ascii="Arial" w:eastAsiaTheme="minorHAnsi" w:hAnsi="Arial" w:cs="Arial"/>
          <w:sz w:val="20"/>
          <w:szCs w:val="20"/>
          <w:lang w:val="en-IN"/>
          <w14:ligatures w14:val="standardContextual"/>
        </w:rPr>
        <w:t xml:space="preserve"> Under aerobic conditions, WSEX-Zn, OC-Zn, CRYOX-Zn, and AMOX-Zn decreased; however, RES-Zn and </w:t>
      </w:r>
      <w:proofErr w:type="spellStart"/>
      <w:r w:rsidRPr="001B1014">
        <w:rPr>
          <w:rFonts w:ascii="Arial" w:eastAsiaTheme="minorHAnsi" w:hAnsi="Arial" w:cs="Arial"/>
          <w:sz w:val="20"/>
          <w:szCs w:val="20"/>
          <w:lang w:val="en-IN"/>
          <w14:ligatures w14:val="standardContextual"/>
        </w:rPr>
        <w:t>MnOx</w:t>
      </w:r>
      <w:proofErr w:type="spellEnd"/>
      <w:r w:rsidRPr="001B1014">
        <w:rPr>
          <w:rFonts w:ascii="Arial" w:eastAsiaTheme="minorHAnsi" w:hAnsi="Arial" w:cs="Arial"/>
          <w:sz w:val="20"/>
          <w:szCs w:val="20"/>
          <w:lang w:val="en-IN"/>
          <w14:ligatures w14:val="standardContextual"/>
        </w:rPr>
        <w:t>-Zn showed no remarkable changes with the incubation period.</w:t>
      </w:r>
      <w:r w:rsidRPr="001B1014">
        <w:rPr>
          <w:rFonts w:ascii="Arial" w:eastAsiaTheme="minorHAnsi" w:hAnsi="Arial" w:cs="Arial"/>
          <w:sz w:val="20"/>
          <w:szCs w:val="20"/>
        </w:rPr>
        <w:t xml:space="preserve"> Thus, the information derived from the present investigation may be helpful in deciding appropriate water management practices and the time of zinc fertilizer application to soil for enhancing zinc nutrient use efficiency and its availability to crop plants to achieve better growth and yield. </w:t>
      </w:r>
    </w:p>
    <w:p w14:paraId="36170220" w14:textId="04FAA306" w:rsidR="00BB2780" w:rsidRDefault="00BB2780" w:rsidP="00BB2780">
      <w:pPr>
        <w:rPr>
          <w:rFonts w:ascii="Calibri" w:hAnsi="Calibri"/>
          <w:kern w:val="2"/>
          <w:highlight w:val="yellow"/>
        </w:rPr>
      </w:pPr>
      <w:r w:rsidRPr="00FE7640">
        <w:rPr>
          <w:rFonts w:ascii="Calibri" w:hAnsi="Calibri"/>
          <w:kern w:val="2"/>
          <w:highlight w:val="yellow"/>
        </w:rPr>
        <w:t>Disclaimer (Artificial intelligence)</w:t>
      </w:r>
    </w:p>
    <w:p w14:paraId="1E4CD8C0" w14:textId="77777777" w:rsidR="00BB2780" w:rsidRPr="00FE7640" w:rsidRDefault="00BB2780" w:rsidP="00BB2780">
      <w:pPr>
        <w:rPr>
          <w:rFonts w:ascii="Calibri" w:hAnsi="Calibri"/>
          <w:kern w:val="2"/>
          <w:highlight w:val="yellow"/>
        </w:rPr>
      </w:pPr>
    </w:p>
    <w:p w14:paraId="2BB95C05" w14:textId="052400BD" w:rsidR="00BB2780" w:rsidRDefault="00BB2780" w:rsidP="00BB2780">
      <w:pPr>
        <w:rPr>
          <w:rFonts w:ascii="Calibri" w:hAnsi="Calibri"/>
          <w:kern w:val="2"/>
          <w:highlight w:val="yellow"/>
        </w:rPr>
      </w:pPr>
      <w:r w:rsidRPr="009C5487">
        <w:rPr>
          <w:rFonts w:ascii="Calibri" w:hAnsi="Calibri"/>
          <w:kern w:val="2"/>
          <w:highlight w:val="yellow"/>
        </w:rPr>
        <w:t xml:space="preserve">Option 1: </w:t>
      </w:r>
    </w:p>
    <w:p w14:paraId="513D14F9" w14:textId="77777777" w:rsidR="00BB2780" w:rsidRPr="009C5487" w:rsidRDefault="00BB2780" w:rsidP="00BB2780">
      <w:pPr>
        <w:rPr>
          <w:rFonts w:ascii="Calibri" w:hAnsi="Calibri"/>
          <w:kern w:val="2"/>
          <w:highlight w:val="yellow"/>
        </w:rPr>
      </w:pPr>
    </w:p>
    <w:p w14:paraId="010BEFDB" w14:textId="2F5A64C8" w:rsidR="00BB2780" w:rsidRDefault="00BB2780" w:rsidP="00BB2780">
      <w:pPr>
        <w:rPr>
          <w:rFonts w:ascii="Calibri" w:hAnsi="Calibri"/>
          <w:kern w:val="2"/>
          <w:highlight w:val="yellow"/>
        </w:rPr>
      </w:pPr>
      <w:r w:rsidRPr="009C5487">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9D91BB5" w14:textId="77777777" w:rsidR="00BB2780" w:rsidRPr="009C5487" w:rsidRDefault="00BB2780" w:rsidP="00BB2780">
      <w:pPr>
        <w:rPr>
          <w:rFonts w:ascii="Calibri" w:hAnsi="Calibri"/>
          <w:kern w:val="2"/>
          <w:highlight w:val="yellow"/>
        </w:rPr>
      </w:pPr>
    </w:p>
    <w:bookmarkEnd w:id="4"/>
    <w:bookmarkEnd w:id="5"/>
    <w:bookmarkEnd w:id="6"/>
    <w:p w14:paraId="0CD8C169" w14:textId="77777777" w:rsidR="009D081E" w:rsidRPr="003B7A14" w:rsidRDefault="009D081E" w:rsidP="009D081E">
      <w:pPr>
        <w:rPr>
          <w:rFonts w:ascii="Cambria" w:eastAsiaTheme="minorHAnsi" w:hAnsi="Cambria" w:cstheme="minorHAnsi"/>
          <w:sz w:val="24"/>
          <w:szCs w:val="24"/>
        </w:rPr>
      </w:pPr>
    </w:p>
    <w:p w14:paraId="7280850D" w14:textId="1A91F1C5" w:rsidR="009D081E" w:rsidRPr="00B403AC" w:rsidRDefault="00B403AC" w:rsidP="00B403AC">
      <w:pPr>
        <w:pStyle w:val="ListParagraph"/>
        <w:numPr>
          <w:ilvl w:val="0"/>
          <w:numId w:val="43"/>
        </w:numPr>
        <w:rPr>
          <w:rFonts w:ascii="Arial" w:eastAsiaTheme="minorHAnsi" w:hAnsi="Arial" w:cs="Arial"/>
          <w:b/>
          <w:bCs/>
        </w:rPr>
      </w:pPr>
      <w:r w:rsidRPr="00B403AC">
        <w:rPr>
          <w:rFonts w:ascii="Arial" w:eastAsiaTheme="minorHAnsi" w:hAnsi="Arial" w:cs="Arial"/>
          <w:b/>
          <w:bCs/>
        </w:rPr>
        <w:t xml:space="preserve">REFERENCE- </w:t>
      </w:r>
    </w:p>
    <w:p w14:paraId="477D2E7F" w14:textId="77777777" w:rsidR="009D081E" w:rsidRPr="00B403AC" w:rsidRDefault="009D081E" w:rsidP="009D081E">
      <w:pPr>
        <w:rPr>
          <w:rFonts w:ascii="Arial" w:eastAsiaTheme="minorHAnsi" w:hAnsi="Arial" w:cs="Arial"/>
        </w:rPr>
      </w:pPr>
    </w:p>
    <w:p w14:paraId="5EDC6943"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Alvarez, J.M., and Gonzalez, D. (2006). Zinc transformations in neutral soil and zinc efficiency in maize fertilization. Journal of Agricultural and Food Chemistry, 54:9488-9495.</w:t>
      </w:r>
    </w:p>
    <w:p w14:paraId="48BF0B47"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Bahera, </w:t>
      </w:r>
      <w:proofErr w:type="gramStart"/>
      <w:r w:rsidRPr="007547AF">
        <w:rPr>
          <w:rFonts w:ascii="Arial" w:hAnsi="Arial" w:cs="Arial"/>
          <w:sz w:val="20"/>
          <w:szCs w:val="20"/>
        </w:rPr>
        <w:t>K,S.</w:t>
      </w:r>
      <w:proofErr w:type="gramEnd"/>
      <w:r w:rsidRPr="007547AF">
        <w:rPr>
          <w:rFonts w:ascii="Arial" w:hAnsi="Arial" w:cs="Arial"/>
          <w:sz w:val="20"/>
          <w:szCs w:val="20"/>
        </w:rPr>
        <w:t xml:space="preserve">, Singh, D., Dwivedi, B.S., Singh, S., Kumar, K. and Rana, D.S. (2008). Distribution of fractions of zinc and their contribution towards availability and plant uptake of zinc under long term maize and wheat cropping system on an </w:t>
      </w:r>
      <w:proofErr w:type="spellStart"/>
      <w:r w:rsidRPr="007547AF">
        <w:rPr>
          <w:rFonts w:ascii="Arial" w:hAnsi="Arial" w:cs="Arial"/>
          <w:sz w:val="20"/>
          <w:szCs w:val="20"/>
        </w:rPr>
        <w:t>inceptisols</w:t>
      </w:r>
      <w:proofErr w:type="spellEnd"/>
      <w:r w:rsidRPr="007547AF">
        <w:rPr>
          <w:rFonts w:ascii="Arial" w:hAnsi="Arial" w:cs="Arial"/>
          <w:sz w:val="20"/>
          <w:szCs w:val="20"/>
        </w:rPr>
        <w:t>. Australian journal of soil recourses, 46:83-89.</w:t>
      </w:r>
    </w:p>
    <w:p w14:paraId="642077C3"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Chatterjee, I.S., Mandal, B., Hazra, G.C., and Mandal, L.N. (1992). Transformation of native and applied zinc in laterite soils under submergence. Journal of the Indian Society of Soil Science, 40(1): 66-70.</w:t>
      </w:r>
    </w:p>
    <w:p w14:paraId="4C9F4CEE" w14:textId="77777777" w:rsid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Enoch </w:t>
      </w:r>
      <w:proofErr w:type="spellStart"/>
      <w:r w:rsidRPr="007547AF">
        <w:rPr>
          <w:rFonts w:ascii="Arial" w:hAnsi="Arial" w:cs="Arial"/>
          <w:sz w:val="20"/>
          <w:szCs w:val="20"/>
        </w:rPr>
        <w:t>Spalbar</w:t>
      </w:r>
      <w:proofErr w:type="spellEnd"/>
      <w:r w:rsidRPr="007547AF">
        <w:rPr>
          <w:rFonts w:ascii="Arial" w:hAnsi="Arial" w:cs="Arial"/>
          <w:sz w:val="20"/>
          <w:szCs w:val="20"/>
        </w:rPr>
        <w:t xml:space="preserve">, Asim Kr. Mondal, Rai, A.P. (2017). Distribution of Zinc Fractions and Its Association with Soil Properties in Some Rice-Wheat Growing Soils of Jammu Region. </w:t>
      </w:r>
      <w:proofErr w:type="spellStart"/>
      <w:r w:rsidRPr="007547AF">
        <w:rPr>
          <w:rFonts w:ascii="Arial" w:hAnsi="Arial" w:cs="Arial"/>
          <w:sz w:val="20"/>
          <w:szCs w:val="20"/>
        </w:rPr>
        <w:t>Int.J.Curr.Microbiol.App.Sci</w:t>
      </w:r>
      <w:proofErr w:type="spellEnd"/>
      <w:r w:rsidRPr="007547AF">
        <w:rPr>
          <w:rFonts w:ascii="Arial" w:hAnsi="Arial" w:cs="Arial"/>
          <w:sz w:val="20"/>
          <w:szCs w:val="20"/>
        </w:rPr>
        <w:t>. 6(4): 711-721.</w:t>
      </w:r>
    </w:p>
    <w:p w14:paraId="00DD9B05" w14:textId="37A179EB" w:rsidR="001B1014" w:rsidRPr="007547AF" w:rsidRDefault="001B1014" w:rsidP="007547AF">
      <w:pPr>
        <w:tabs>
          <w:tab w:val="left" w:pos="1624"/>
        </w:tabs>
        <w:spacing w:before="120" w:line="360" w:lineRule="auto"/>
        <w:jc w:val="both"/>
        <w:rPr>
          <w:rFonts w:ascii="Arial" w:hAnsi="Arial" w:cs="Arial"/>
          <w:sz w:val="20"/>
          <w:szCs w:val="20"/>
        </w:rPr>
      </w:pPr>
      <w:r w:rsidRPr="001B1014">
        <w:rPr>
          <w:rFonts w:ascii="Arial" w:hAnsi="Arial" w:cs="Arial"/>
          <w:sz w:val="20"/>
          <w:szCs w:val="20"/>
        </w:rPr>
        <w:t xml:space="preserve">Fogat, S., Kumar, R., </w:t>
      </w:r>
      <w:proofErr w:type="spellStart"/>
      <w:r w:rsidRPr="001B1014">
        <w:rPr>
          <w:rFonts w:ascii="Arial" w:hAnsi="Arial" w:cs="Arial"/>
          <w:sz w:val="20"/>
          <w:szCs w:val="20"/>
        </w:rPr>
        <w:t>Dhankar</w:t>
      </w:r>
      <w:proofErr w:type="spellEnd"/>
      <w:r w:rsidRPr="001B1014">
        <w:rPr>
          <w:rFonts w:ascii="Arial" w:hAnsi="Arial" w:cs="Arial"/>
          <w:sz w:val="20"/>
          <w:szCs w:val="20"/>
        </w:rPr>
        <w:t xml:space="preserve">, A., &amp; Rana, M. K. (2025). </w:t>
      </w:r>
      <w:r w:rsidRPr="001B1014">
        <w:rPr>
          <w:rFonts w:ascii="Arial" w:hAnsi="Arial" w:cs="Arial"/>
          <w:sz w:val="20"/>
          <w:szCs w:val="20"/>
        </w:rPr>
        <w:t xml:space="preserve">Influence </w:t>
      </w:r>
      <w:r>
        <w:rPr>
          <w:rFonts w:ascii="Arial" w:hAnsi="Arial" w:cs="Arial"/>
          <w:sz w:val="20"/>
          <w:szCs w:val="20"/>
        </w:rPr>
        <w:t>o</w:t>
      </w:r>
      <w:r w:rsidRPr="001B1014">
        <w:rPr>
          <w:rFonts w:ascii="Arial" w:hAnsi="Arial" w:cs="Arial"/>
          <w:sz w:val="20"/>
          <w:szCs w:val="20"/>
        </w:rPr>
        <w:t xml:space="preserve">f Time </w:t>
      </w:r>
      <w:r>
        <w:rPr>
          <w:rFonts w:ascii="Arial" w:hAnsi="Arial" w:cs="Arial"/>
          <w:sz w:val="20"/>
          <w:szCs w:val="20"/>
        </w:rPr>
        <w:t>o</w:t>
      </w:r>
      <w:r w:rsidRPr="001B1014">
        <w:rPr>
          <w:rFonts w:ascii="Arial" w:hAnsi="Arial" w:cs="Arial"/>
          <w:sz w:val="20"/>
          <w:szCs w:val="20"/>
        </w:rPr>
        <w:t xml:space="preserve">n Release </w:t>
      </w:r>
      <w:proofErr w:type="spellStart"/>
      <w:r w:rsidRPr="001B1014">
        <w:rPr>
          <w:rFonts w:ascii="Arial" w:hAnsi="Arial" w:cs="Arial"/>
          <w:sz w:val="20"/>
          <w:szCs w:val="20"/>
        </w:rPr>
        <w:t>Behaviour</w:t>
      </w:r>
      <w:proofErr w:type="spellEnd"/>
      <w:r w:rsidRPr="001B1014">
        <w:rPr>
          <w:rFonts w:ascii="Arial" w:hAnsi="Arial" w:cs="Arial"/>
          <w:sz w:val="20"/>
          <w:szCs w:val="20"/>
        </w:rPr>
        <w:t xml:space="preserve"> </w:t>
      </w:r>
      <w:r>
        <w:rPr>
          <w:rFonts w:ascii="Arial" w:hAnsi="Arial" w:cs="Arial"/>
          <w:sz w:val="20"/>
          <w:szCs w:val="20"/>
        </w:rPr>
        <w:t>o</w:t>
      </w:r>
      <w:r w:rsidRPr="001B1014">
        <w:rPr>
          <w:rFonts w:ascii="Arial" w:hAnsi="Arial" w:cs="Arial"/>
          <w:sz w:val="20"/>
          <w:szCs w:val="20"/>
        </w:rPr>
        <w:t xml:space="preserve">f Zinc </w:t>
      </w:r>
      <w:r>
        <w:rPr>
          <w:rFonts w:ascii="Arial" w:hAnsi="Arial" w:cs="Arial"/>
          <w:sz w:val="20"/>
          <w:szCs w:val="20"/>
        </w:rPr>
        <w:t>a</w:t>
      </w:r>
      <w:r w:rsidRPr="001B1014">
        <w:rPr>
          <w:rFonts w:ascii="Arial" w:hAnsi="Arial" w:cs="Arial"/>
          <w:sz w:val="20"/>
          <w:szCs w:val="20"/>
        </w:rPr>
        <w:t xml:space="preserve">nd Its Fraction </w:t>
      </w:r>
      <w:r>
        <w:rPr>
          <w:rFonts w:ascii="Arial" w:hAnsi="Arial" w:cs="Arial"/>
          <w:sz w:val="20"/>
          <w:szCs w:val="20"/>
        </w:rPr>
        <w:t>i</w:t>
      </w:r>
      <w:r w:rsidRPr="001B1014">
        <w:rPr>
          <w:rFonts w:ascii="Arial" w:hAnsi="Arial" w:cs="Arial"/>
          <w:sz w:val="20"/>
          <w:szCs w:val="20"/>
        </w:rPr>
        <w:t>n Different Phosphorus Status Soils</w:t>
      </w:r>
      <w:r w:rsidRPr="001B1014">
        <w:rPr>
          <w:rFonts w:ascii="Arial" w:hAnsi="Arial" w:cs="Arial"/>
          <w:sz w:val="20"/>
          <w:szCs w:val="20"/>
        </w:rPr>
        <w:t xml:space="preserve">. </w:t>
      </w:r>
      <w:r w:rsidRPr="001B1014">
        <w:rPr>
          <w:rFonts w:ascii="Arial" w:hAnsi="Arial" w:cs="Arial"/>
          <w:i/>
          <w:iCs/>
          <w:sz w:val="20"/>
          <w:szCs w:val="20"/>
        </w:rPr>
        <w:t>Plant Archives</w:t>
      </w:r>
      <w:r w:rsidRPr="001B1014">
        <w:rPr>
          <w:rFonts w:ascii="Arial" w:hAnsi="Arial" w:cs="Arial"/>
          <w:sz w:val="20"/>
          <w:szCs w:val="20"/>
        </w:rPr>
        <w:t>, 25(1), 880-886.</w:t>
      </w:r>
    </w:p>
    <w:p w14:paraId="2753DD96" w14:textId="43F7E433" w:rsidR="007547AF" w:rsidRPr="007547AF" w:rsidRDefault="007547AF" w:rsidP="007547AF">
      <w:pPr>
        <w:tabs>
          <w:tab w:val="left" w:pos="1624"/>
        </w:tabs>
        <w:spacing w:before="120" w:line="360" w:lineRule="auto"/>
        <w:jc w:val="both"/>
        <w:rPr>
          <w:rFonts w:ascii="Arial" w:hAnsi="Arial" w:cs="Arial"/>
          <w:sz w:val="20"/>
          <w:szCs w:val="20"/>
        </w:rPr>
      </w:pPr>
      <w:proofErr w:type="spellStart"/>
      <w:r w:rsidRPr="007547AF">
        <w:rPr>
          <w:rFonts w:ascii="Arial" w:hAnsi="Arial" w:cs="Arial"/>
          <w:sz w:val="20"/>
          <w:szCs w:val="20"/>
        </w:rPr>
        <w:t>Hacisalihoglu</w:t>
      </w:r>
      <w:proofErr w:type="spellEnd"/>
      <w:r w:rsidRPr="007547AF">
        <w:rPr>
          <w:rFonts w:ascii="Arial" w:hAnsi="Arial" w:cs="Arial"/>
          <w:sz w:val="20"/>
          <w:szCs w:val="20"/>
        </w:rPr>
        <w:t xml:space="preserve">, G., &amp; </w:t>
      </w:r>
      <w:proofErr w:type="spellStart"/>
      <w:r w:rsidRPr="007547AF">
        <w:rPr>
          <w:rFonts w:ascii="Arial" w:hAnsi="Arial" w:cs="Arial"/>
          <w:sz w:val="20"/>
          <w:szCs w:val="20"/>
        </w:rPr>
        <w:t>Kochian</w:t>
      </w:r>
      <w:proofErr w:type="spellEnd"/>
      <w:r w:rsidRPr="007547AF">
        <w:rPr>
          <w:rFonts w:ascii="Arial" w:hAnsi="Arial" w:cs="Arial"/>
          <w:sz w:val="20"/>
          <w:szCs w:val="20"/>
        </w:rPr>
        <w:t>, L. V. (2003). How do some plants tolerate low levels of soil zinc? Mechanisms of zinc efficiency in crop plants. New phytologist, 159(2), 341-350.</w:t>
      </w:r>
    </w:p>
    <w:p w14:paraId="57688DF8"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lastRenderedPageBreak/>
        <w:t xml:space="preserve">Jena, B., Nayak, R. K., Das, J., Parida, R. K., &amp; Sethi, D. (2016). Secondary and micro nutrient mapping in forest soils of </w:t>
      </w:r>
      <w:proofErr w:type="spellStart"/>
      <w:r w:rsidRPr="007547AF">
        <w:rPr>
          <w:rFonts w:ascii="Arial" w:hAnsi="Arial" w:cs="Arial"/>
          <w:sz w:val="20"/>
          <w:szCs w:val="20"/>
        </w:rPr>
        <w:t>kandhamal</w:t>
      </w:r>
      <w:proofErr w:type="spellEnd"/>
      <w:r w:rsidRPr="007547AF">
        <w:rPr>
          <w:rFonts w:ascii="Arial" w:hAnsi="Arial" w:cs="Arial"/>
          <w:sz w:val="20"/>
          <w:szCs w:val="20"/>
        </w:rPr>
        <w:t xml:space="preserve"> district, Odisha. </w:t>
      </w:r>
      <w:proofErr w:type="spellStart"/>
      <w:r w:rsidRPr="007547AF">
        <w:rPr>
          <w:rFonts w:ascii="Arial" w:hAnsi="Arial" w:cs="Arial"/>
          <w:sz w:val="20"/>
          <w:szCs w:val="20"/>
        </w:rPr>
        <w:t>Agropedology</w:t>
      </w:r>
      <w:proofErr w:type="spellEnd"/>
      <w:r w:rsidRPr="007547AF">
        <w:rPr>
          <w:rFonts w:ascii="Arial" w:hAnsi="Arial" w:cs="Arial"/>
          <w:sz w:val="20"/>
          <w:szCs w:val="20"/>
        </w:rPr>
        <w:t>, 26 (01): 79-86.</w:t>
      </w:r>
    </w:p>
    <w:p w14:paraId="611B5210"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Kamali, S., Ronaghi, A., &amp; Karimian, N. (2010). Zinc transformation in a calcareous soil as affected by applied zinc sulfate, vermicompost, and incubation time. Communications in soil science and plant analysis, 41(19): 2318-2329.</w:t>
      </w:r>
    </w:p>
    <w:p w14:paraId="70280A06"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Kumar, M. and Babel, </w:t>
      </w:r>
      <w:proofErr w:type="gramStart"/>
      <w:r w:rsidRPr="007547AF">
        <w:rPr>
          <w:rFonts w:ascii="Arial" w:hAnsi="Arial" w:cs="Arial"/>
          <w:sz w:val="20"/>
          <w:szCs w:val="20"/>
        </w:rPr>
        <w:t>A,L.</w:t>
      </w:r>
      <w:proofErr w:type="gramEnd"/>
      <w:r w:rsidRPr="007547AF">
        <w:rPr>
          <w:rFonts w:ascii="Arial" w:hAnsi="Arial" w:cs="Arial"/>
          <w:sz w:val="20"/>
          <w:szCs w:val="20"/>
        </w:rPr>
        <w:t xml:space="preserve"> (2011). Available micronutrient status and their relationship with soil properties of Jhunjhunu Tehsil, District Jhunjhunu, Rajasthan. India Journal of Agricultural Sciences, 3:20 - 31.</w:t>
      </w:r>
    </w:p>
    <w:p w14:paraId="4B157CB1" w14:textId="3016ABC5" w:rsidR="007547AF" w:rsidRPr="007547AF" w:rsidRDefault="007547AF" w:rsidP="007547AF">
      <w:pPr>
        <w:tabs>
          <w:tab w:val="left" w:pos="1624"/>
        </w:tabs>
        <w:spacing w:before="120" w:line="360" w:lineRule="auto"/>
        <w:jc w:val="both"/>
        <w:rPr>
          <w:rFonts w:ascii="Arial" w:hAnsi="Arial" w:cs="Arial"/>
          <w:sz w:val="20"/>
          <w:szCs w:val="20"/>
        </w:rPr>
      </w:pPr>
      <w:proofErr w:type="spellStart"/>
      <w:r w:rsidRPr="007547AF">
        <w:rPr>
          <w:rFonts w:ascii="Arial" w:hAnsi="Arial" w:cs="Arial"/>
          <w:sz w:val="20"/>
          <w:szCs w:val="20"/>
        </w:rPr>
        <w:t>Mahadevakumar</w:t>
      </w:r>
      <w:proofErr w:type="spellEnd"/>
      <w:r w:rsidRPr="007547AF">
        <w:rPr>
          <w:rFonts w:ascii="Arial" w:hAnsi="Arial" w:cs="Arial"/>
          <w:sz w:val="20"/>
          <w:szCs w:val="20"/>
        </w:rPr>
        <w:t xml:space="preserve"> S, Sridhar KR. Plant-microbe interaction: current developments and future challenges. </w:t>
      </w:r>
      <w:r w:rsidR="00344289">
        <w:rPr>
          <w:rFonts w:ascii="Arial" w:hAnsi="Arial" w:cs="Arial"/>
          <w:sz w:val="20"/>
          <w:szCs w:val="20"/>
        </w:rPr>
        <w:t>(</w:t>
      </w:r>
      <w:r w:rsidR="00344289" w:rsidRPr="007547AF">
        <w:rPr>
          <w:rFonts w:ascii="Arial" w:hAnsi="Arial" w:cs="Arial"/>
          <w:sz w:val="20"/>
          <w:szCs w:val="20"/>
        </w:rPr>
        <w:t>2020</w:t>
      </w:r>
      <w:r w:rsidR="00344289">
        <w:rPr>
          <w:rFonts w:ascii="Arial" w:hAnsi="Arial" w:cs="Arial"/>
          <w:sz w:val="20"/>
          <w:szCs w:val="20"/>
        </w:rPr>
        <w:t xml:space="preserve">). </w:t>
      </w:r>
      <w:r w:rsidRPr="007547AF">
        <w:rPr>
          <w:rFonts w:ascii="Arial" w:hAnsi="Arial" w:cs="Arial"/>
          <w:sz w:val="20"/>
          <w:szCs w:val="20"/>
        </w:rPr>
        <w:t xml:space="preserve">In Advances in Plant Microbiome and Sustainable Agriculture: Diversity and Biotechnological </w:t>
      </w:r>
      <w:proofErr w:type="gramStart"/>
      <w:r w:rsidRPr="007547AF">
        <w:rPr>
          <w:rFonts w:ascii="Arial" w:hAnsi="Arial" w:cs="Arial"/>
          <w:sz w:val="20"/>
          <w:szCs w:val="20"/>
        </w:rPr>
        <w:t>Applications;.</w:t>
      </w:r>
      <w:proofErr w:type="gramEnd"/>
      <w:r w:rsidRPr="007547AF">
        <w:rPr>
          <w:rFonts w:ascii="Arial" w:hAnsi="Arial" w:cs="Arial"/>
          <w:sz w:val="20"/>
          <w:szCs w:val="20"/>
        </w:rPr>
        <w:t xml:space="preserve"> p. 1-38.</w:t>
      </w:r>
    </w:p>
    <w:p w14:paraId="125D7D87"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Mandal, B., Chatterjee, J., Hazra, G. C., and Mandal, L. N. (1992). Effect of pre flooding on transformation of applied zinc and its uptake by rice in lateritic soils. Soil Science, 153: 250-257.</w:t>
      </w:r>
    </w:p>
    <w:p w14:paraId="27A554C0"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Murthy, A. S. P. (1982). Zinc fraction in wetland rice soils and their availability to rice. Soil Science, 133: 150-154.</w:t>
      </w:r>
    </w:p>
    <w:p w14:paraId="0CB0FFC7" w14:textId="77777777" w:rsid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Page, A. L., Miller, R. H., &amp; Kenay, D. R. (1982). Methods of soil analysis, Part-2, Soil Science Society of America, Inc., Publishers, Madison, Wisconsin, USA.</w:t>
      </w:r>
    </w:p>
    <w:p w14:paraId="3281FE96" w14:textId="205013D2" w:rsidR="001B1014" w:rsidRPr="007547AF" w:rsidRDefault="001B1014" w:rsidP="007547AF">
      <w:pPr>
        <w:tabs>
          <w:tab w:val="left" w:pos="1624"/>
        </w:tabs>
        <w:spacing w:before="120" w:line="360" w:lineRule="auto"/>
        <w:jc w:val="both"/>
        <w:rPr>
          <w:rFonts w:ascii="Arial" w:hAnsi="Arial" w:cs="Arial"/>
          <w:sz w:val="20"/>
          <w:szCs w:val="20"/>
        </w:rPr>
      </w:pPr>
      <w:r w:rsidRPr="001B1014">
        <w:rPr>
          <w:rFonts w:ascii="Arial" w:hAnsi="Arial" w:cs="Arial"/>
          <w:sz w:val="20"/>
          <w:szCs w:val="20"/>
        </w:rPr>
        <w:t>Raza, M. B., Meena, B. P., Behera, S. K., Rani, K., Wanjari, R. H., Biswas, A. K., Islam, S., Dash, A.K.</w:t>
      </w:r>
      <w:proofErr w:type="gramStart"/>
      <w:r w:rsidRPr="001B1014">
        <w:rPr>
          <w:rFonts w:ascii="Arial" w:hAnsi="Arial" w:cs="Arial"/>
          <w:sz w:val="20"/>
          <w:szCs w:val="20"/>
        </w:rPr>
        <w:t>,  &amp;</w:t>
      </w:r>
      <w:proofErr w:type="gramEnd"/>
      <w:r w:rsidRPr="001B1014">
        <w:rPr>
          <w:rFonts w:ascii="Arial" w:hAnsi="Arial" w:cs="Arial"/>
          <w:sz w:val="20"/>
          <w:szCs w:val="20"/>
        </w:rPr>
        <w:t xml:space="preserve"> Datta, S. P. (2025). Long-Term Influence of Addition of Organic and Inorganic Sources of Nutrients on Soil Zn Fractions, Yield and Zn Uptake by Maize (</w:t>
      </w:r>
      <w:proofErr w:type="spellStart"/>
      <w:r w:rsidRPr="001B1014">
        <w:rPr>
          <w:rFonts w:ascii="Arial" w:hAnsi="Arial" w:cs="Arial"/>
          <w:sz w:val="20"/>
          <w:szCs w:val="20"/>
        </w:rPr>
        <w:t>Zea</w:t>
      </w:r>
      <w:proofErr w:type="spellEnd"/>
      <w:r w:rsidRPr="001B1014">
        <w:rPr>
          <w:rFonts w:ascii="Arial" w:hAnsi="Arial" w:cs="Arial"/>
          <w:sz w:val="20"/>
          <w:szCs w:val="20"/>
        </w:rPr>
        <w:t xml:space="preserve"> mays L.). Journal of Soil Science and Plant Nutrition, 25(1), 809-827.</w:t>
      </w:r>
    </w:p>
    <w:p w14:paraId="7D512757"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Ramzan, S., Bhat, M. A., Kirmani, N.A. and Rasool, R. (2014). Fractionation of zinc and their association with soil properties in soils of Kashmir Himalayas. International Journal of Agricultural and Soil Science, 2(8):132-142.</w:t>
      </w:r>
    </w:p>
    <w:p w14:paraId="2D5F41B2"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Safari, M., </w:t>
      </w:r>
      <w:proofErr w:type="spellStart"/>
      <w:r w:rsidRPr="007547AF">
        <w:rPr>
          <w:rFonts w:ascii="Arial" w:hAnsi="Arial" w:cs="Arial"/>
          <w:sz w:val="20"/>
          <w:szCs w:val="20"/>
        </w:rPr>
        <w:t>Yasrebi</w:t>
      </w:r>
      <w:proofErr w:type="spellEnd"/>
      <w:r w:rsidRPr="007547AF">
        <w:rPr>
          <w:rFonts w:ascii="Arial" w:hAnsi="Arial" w:cs="Arial"/>
          <w:sz w:val="20"/>
          <w:szCs w:val="20"/>
        </w:rPr>
        <w:t>, J., Karimian, N. and Shan, X.Q. (2009). Evaluation of three sequential extraction methods for fractionation of zinc in calcareous and acidic soils. Resources of Biology science, 4:848-857.</w:t>
      </w:r>
    </w:p>
    <w:p w14:paraId="3A6824B4" w14:textId="77777777" w:rsidR="007547AF" w:rsidRPr="007547AF" w:rsidRDefault="007547AF" w:rsidP="007547AF">
      <w:pPr>
        <w:tabs>
          <w:tab w:val="left" w:pos="1624"/>
        </w:tabs>
        <w:spacing w:before="120" w:line="360" w:lineRule="auto"/>
        <w:jc w:val="both"/>
        <w:rPr>
          <w:rFonts w:ascii="Arial" w:hAnsi="Arial" w:cs="Arial"/>
          <w:sz w:val="20"/>
          <w:szCs w:val="20"/>
        </w:rPr>
      </w:pPr>
      <w:proofErr w:type="spellStart"/>
      <w:r w:rsidRPr="007547AF">
        <w:rPr>
          <w:rFonts w:ascii="Arial" w:hAnsi="Arial" w:cs="Arial"/>
          <w:sz w:val="20"/>
          <w:szCs w:val="20"/>
        </w:rPr>
        <w:t>Sahrawat</w:t>
      </w:r>
      <w:proofErr w:type="spellEnd"/>
      <w:r w:rsidRPr="007547AF">
        <w:rPr>
          <w:rFonts w:ascii="Arial" w:hAnsi="Arial" w:cs="Arial"/>
          <w:sz w:val="20"/>
          <w:szCs w:val="20"/>
        </w:rPr>
        <w:t>, K.L. (2015). Redox potential and pH as major drivers of fertility in submerged rice soils: a conceptual framework for management. Communications in Soil Science and Plant Analysis, 46:1597–1606.</w:t>
      </w:r>
    </w:p>
    <w:p w14:paraId="4854DB77"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Sharma, M.K. (2002). Studies on transformation of micronutrients in dominant soil orders of Rajasthan. Doctoral dissertation, MPUAT, </w:t>
      </w:r>
      <w:proofErr w:type="spellStart"/>
      <w:r w:rsidRPr="007547AF">
        <w:rPr>
          <w:rFonts w:ascii="Arial" w:hAnsi="Arial" w:cs="Arial"/>
          <w:sz w:val="20"/>
          <w:szCs w:val="20"/>
        </w:rPr>
        <w:t>Udayapur</w:t>
      </w:r>
      <w:proofErr w:type="spellEnd"/>
      <w:r w:rsidRPr="007547AF">
        <w:rPr>
          <w:rFonts w:ascii="Arial" w:hAnsi="Arial" w:cs="Arial"/>
          <w:sz w:val="20"/>
          <w:szCs w:val="20"/>
        </w:rPr>
        <w:t>.</w:t>
      </w:r>
    </w:p>
    <w:p w14:paraId="7A744868"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Shukla AK, Tiwari PK, Prakash C. (2014). Micronutrients deficiency vis-a-vis food and nutritional security of India. Indian Journal of Fertilizers;10(12):94-112.</w:t>
      </w:r>
    </w:p>
    <w:p w14:paraId="5A0AB85D"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Singh, M.V. (2011). Assessing extent of zinc deficiency for soil factors affecting and nutritional scarcity in humans and animals. Indian Journal of Fertilizers, 7(10):36-43.</w:t>
      </w:r>
    </w:p>
    <w:p w14:paraId="684FA7EB"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lastRenderedPageBreak/>
        <w:t>Singh, V. (2018). Transformation of native and applied zinc in alluvial soils under submerged condition. Annals of Plant and Soil Research, 20(3): 268–271.</w:t>
      </w:r>
    </w:p>
    <w:p w14:paraId="52E9BDEF"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Soltani, M.S., Hanafi, M. M., Wahid, S. A., &amp; </w:t>
      </w:r>
      <w:proofErr w:type="spellStart"/>
      <w:r w:rsidRPr="007547AF">
        <w:rPr>
          <w:rFonts w:ascii="Arial" w:hAnsi="Arial" w:cs="Arial"/>
          <w:sz w:val="20"/>
          <w:szCs w:val="20"/>
        </w:rPr>
        <w:t>Kharidah</w:t>
      </w:r>
      <w:proofErr w:type="spellEnd"/>
      <w:r w:rsidRPr="007547AF">
        <w:rPr>
          <w:rFonts w:ascii="Arial" w:hAnsi="Arial" w:cs="Arial"/>
          <w:sz w:val="20"/>
          <w:szCs w:val="20"/>
        </w:rPr>
        <w:t>, S. M. S. (2015). Zinc fractionation of tropical paddy soils and their relationships with selected soil properties. Chemical Speciation &amp; Bioavailability, 27(2): 53 - 61.</w:t>
      </w:r>
    </w:p>
    <w:p w14:paraId="6C285250" w14:textId="77777777" w:rsidR="007547AF" w:rsidRPr="007547AF" w:rsidRDefault="007547AF" w:rsidP="007547AF">
      <w:pPr>
        <w:tabs>
          <w:tab w:val="left" w:pos="1624"/>
        </w:tabs>
        <w:spacing w:before="120" w:line="360" w:lineRule="auto"/>
        <w:jc w:val="both"/>
        <w:rPr>
          <w:rFonts w:ascii="Arial" w:hAnsi="Arial" w:cs="Arial"/>
          <w:sz w:val="20"/>
          <w:szCs w:val="20"/>
        </w:rPr>
      </w:pPr>
      <w:proofErr w:type="spellStart"/>
      <w:r w:rsidRPr="007547AF">
        <w:rPr>
          <w:rFonts w:ascii="Arial" w:hAnsi="Arial" w:cs="Arial"/>
          <w:sz w:val="20"/>
          <w:szCs w:val="20"/>
        </w:rPr>
        <w:t>Spalbar</w:t>
      </w:r>
      <w:proofErr w:type="spellEnd"/>
      <w:r w:rsidRPr="007547AF">
        <w:rPr>
          <w:rFonts w:ascii="Arial" w:hAnsi="Arial" w:cs="Arial"/>
          <w:sz w:val="20"/>
          <w:szCs w:val="20"/>
        </w:rPr>
        <w:t>, E., Mondal, A.K., and Rai, A.P. (2017). Distribution of zinc fractions and its association with soil properties in some rice-wheat growing soils of Jammu region, India. International Journal of Current Microbiology and Applied Sciences, 6 (4): 711-721.</w:t>
      </w:r>
    </w:p>
    <w:p w14:paraId="61EAB4C1"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Takkar, P. N. (1996). Micronutrient research and sustainable agricultural production in India. Journal of Indian Society of Soil Science, 44: 562-581.</w:t>
      </w:r>
    </w:p>
    <w:p w14:paraId="04254D53" w14:textId="182A434E"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 xml:space="preserve">Tehrani, M.M. </w:t>
      </w:r>
      <w:r w:rsidR="009D5B3F">
        <w:rPr>
          <w:rFonts w:ascii="Arial" w:hAnsi="Arial" w:cs="Arial"/>
          <w:sz w:val="20"/>
          <w:szCs w:val="20"/>
        </w:rPr>
        <w:t>(</w:t>
      </w:r>
      <w:r w:rsidRPr="007547AF">
        <w:rPr>
          <w:rFonts w:ascii="Arial" w:hAnsi="Arial" w:cs="Arial"/>
          <w:sz w:val="20"/>
          <w:szCs w:val="20"/>
        </w:rPr>
        <w:t>2005</w:t>
      </w:r>
      <w:r w:rsidR="009D5B3F">
        <w:rPr>
          <w:rFonts w:ascii="Arial" w:hAnsi="Arial" w:cs="Arial"/>
          <w:sz w:val="20"/>
          <w:szCs w:val="20"/>
        </w:rPr>
        <w:t>)</w:t>
      </w:r>
      <w:r w:rsidRPr="007547AF">
        <w:rPr>
          <w:rFonts w:ascii="Arial" w:hAnsi="Arial" w:cs="Arial"/>
          <w:sz w:val="20"/>
          <w:szCs w:val="20"/>
        </w:rPr>
        <w:t xml:space="preserve">. Zinc mobility and its distribution among different pools in soil. </w:t>
      </w:r>
      <w:proofErr w:type="spellStart"/>
      <w:r w:rsidRPr="007547AF">
        <w:rPr>
          <w:rFonts w:ascii="Arial" w:hAnsi="Arial" w:cs="Arial"/>
          <w:sz w:val="20"/>
          <w:szCs w:val="20"/>
        </w:rPr>
        <w:t>Geophys</w:t>
      </w:r>
      <w:proofErr w:type="spellEnd"/>
      <w:r w:rsidRPr="007547AF">
        <w:rPr>
          <w:rFonts w:ascii="Arial" w:hAnsi="Arial" w:cs="Arial"/>
          <w:sz w:val="20"/>
          <w:szCs w:val="20"/>
        </w:rPr>
        <w:t>. Res. Abst. 7:1056110561.</w:t>
      </w:r>
    </w:p>
    <w:p w14:paraId="26140A46" w14:textId="77777777" w:rsidR="007547AF" w:rsidRPr="007547AF" w:rsidRDefault="007547AF" w:rsidP="007547AF">
      <w:pPr>
        <w:tabs>
          <w:tab w:val="left" w:pos="1624"/>
        </w:tabs>
        <w:spacing w:before="120" w:line="360" w:lineRule="auto"/>
        <w:jc w:val="both"/>
        <w:rPr>
          <w:rFonts w:ascii="Arial" w:hAnsi="Arial" w:cs="Arial"/>
          <w:sz w:val="20"/>
          <w:szCs w:val="20"/>
        </w:rPr>
      </w:pPr>
      <w:r w:rsidRPr="007547AF">
        <w:rPr>
          <w:rFonts w:ascii="Arial" w:hAnsi="Arial" w:cs="Arial"/>
          <w:sz w:val="20"/>
          <w:szCs w:val="20"/>
        </w:rPr>
        <w:t>Viets, F. G. (1962). Chemistry and availability of micronutrients in soils. Journal of Agricultural and Food Chemistry, 10: 174-178.</w:t>
      </w:r>
    </w:p>
    <w:p w14:paraId="69DADDD8" w14:textId="77777777" w:rsidR="007547AF" w:rsidRPr="007547AF" w:rsidRDefault="007547AF" w:rsidP="007547AF">
      <w:pPr>
        <w:tabs>
          <w:tab w:val="left" w:pos="1624"/>
        </w:tabs>
        <w:spacing w:before="120" w:line="360" w:lineRule="auto"/>
        <w:jc w:val="both"/>
        <w:rPr>
          <w:rFonts w:ascii="Arial" w:hAnsi="Arial" w:cs="Arial"/>
          <w:sz w:val="20"/>
          <w:szCs w:val="20"/>
        </w:rPr>
      </w:pPr>
      <w:proofErr w:type="spellStart"/>
      <w:r w:rsidRPr="007547AF">
        <w:rPr>
          <w:rFonts w:ascii="Arial" w:hAnsi="Arial" w:cs="Arial"/>
          <w:sz w:val="20"/>
          <w:szCs w:val="20"/>
        </w:rPr>
        <w:t>Wijebandara</w:t>
      </w:r>
      <w:proofErr w:type="spellEnd"/>
      <w:r w:rsidRPr="007547AF">
        <w:rPr>
          <w:rFonts w:ascii="Arial" w:hAnsi="Arial" w:cs="Arial"/>
          <w:sz w:val="20"/>
          <w:szCs w:val="20"/>
        </w:rPr>
        <w:t xml:space="preserve">, D. M. D. I. (2007). Studies on distribution and transformation of soil zinc and response of rice to nutrients in traditional and system of rice intensification (SRI) methods of cultivation. Doctoral dissertation, University of Agricultural Sciences, </w:t>
      </w:r>
      <w:proofErr w:type="spellStart"/>
      <w:r w:rsidRPr="007547AF">
        <w:rPr>
          <w:rFonts w:ascii="Arial" w:hAnsi="Arial" w:cs="Arial"/>
          <w:sz w:val="20"/>
          <w:szCs w:val="20"/>
        </w:rPr>
        <w:t>Dharward</w:t>
      </w:r>
      <w:proofErr w:type="spellEnd"/>
      <w:r w:rsidRPr="007547AF">
        <w:rPr>
          <w:rFonts w:ascii="Arial" w:hAnsi="Arial" w:cs="Arial"/>
          <w:sz w:val="20"/>
          <w:szCs w:val="20"/>
        </w:rPr>
        <w:t>.</w:t>
      </w:r>
    </w:p>
    <w:p w14:paraId="3AE4CD6B" w14:textId="0C7D8D13" w:rsidR="00826061" w:rsidRPr="003B7A14" w:rsidRDefault="007547AF" w:rsidP="007547AF">
      <w:pPr>
        <w:tabs>
          <w:tab w:val="left" w:pos="1624"/>
        </w:tabs>
        <w:spacing w:before="120" w:line="360" w:lineRule="auto"/>
        <w:jc w:val="both"/>
        <w:rPr>
          <w:rFonts w:ascii="Cambria" w:eastAsia="CIDFont+F6" w:hAnsi="Cambria" w:cstheme="minorHAnsi"/>
          <w:sz w:val="24"/>
          <w:szCs w:val="24"/>
        </w:rPr>
      </w:pPr>
      <w:proofErr w:type="spellStart"/>
      <w:r w:rsidRPr="007547AF">
        <w:rPr>
          <w:rFonts w:ascii="Arial" w:hAnsi="Arial" w:cs="Arial"/>
          <w:sz w:val="20"/>
          <w:szCs w:val="20"/>
        </w:rPr>
        <w:t>Wijebandara</w:t>
      </w:r>
      <w:proofErr w:type="spellEnd"/>
      <w:r w:rsidRPr="007547AF">
        <w:rPr>
          <w:rFonts w:ascii="Arial" w:hAnsi="Arial" w:cs="Arial"/>
          <w:sz w:val="20"/>
          <w:szCs w:val="20"/>
        </w:rPr>
        <w:t xml:space="preserve">, D. M. D. I., </w:t>
      </w:r>
      <w:proofErr w:type="spellStart"/>
      <w:r w:rsidRPr="007547AF">
        <w:rPr>
          <w:rFonts w:ascii="Arial" w:hAnsi="Arial" w:cs="Arial"/>
          <w:sz w:val="20"/>
          <w:szCs w:val="20"/>
        </w:rPr>
        <w:t>Dasog</w:t>
      </w:r>
      <w:proofErr w:type="spellEnd"/>
      <w:r w:rsidRPr="007547AF">
        <w:rPr>
          <w:rFonts w:ascii="Arial" w:hAnsi="Arial" w:cs="Arial"/>
          <w:sz w:val="20"/>
          <w:szCs w:val="20"/>
        </w:rPr>
        <w:t xml:space="preserve">, G. S., &amp; </w:t>
      </w:r>
      <w:proofErr w:type="spellStart"/>
      <w:r w:rsidRPr="007547AF">
        <w:rPr>
          <w:rFonts w:ascii="Arial" w:hAnsi="Arial" w:cs="Arial"/>
          <w:sz w:val="20"/>
          <w:szCs w:val="20"/>
        </w:rPr>
        <w:t>Patill</w:t>
      </w:r>
      <w:proofErr w:type="spellEnd"/>
      <w:r w:rsidRPr="007547AF">
        <w:rPr>
          <w:rFonts w:ascii="Arial" w:hAnsi="Arial" w:cs="Arial"/>
          <w:sz w:val="20"/>
          <w:szCs w:val="20"/>
        </w:rPr>
        <w:t xml:space="preserve">, P. L. (2014). Transformation of applied zinc in a flooded soil in a </w:t>
      </w:r>
      <w:proofErr w:type="spellStart"/>
      <w:r w:rsidRPr="007547AF">
        <w:rPr>
          <w:rFonts w:ascii="Arial" w:hAnsi="Arial" w:cs="Arial"/>
          <w:sz w:val="20"/>
          <w:szCs w:val="20"/>
        </w:rPr>
        <w:t>reinfed</w:t>
      </w:r>
      <w:proofErr w:type="spellEnd"/>
      <w:r w:rsidRPr="007547AF">
        <w:rPr>
          <w:rFonts w:ascii="Arial" w:hAnsi="Arial" w:cs="Arial"/>
          <w:sz w:val="20"/>
          <w:szCs w:val="20"/>
        </w:rPr>
        <w:t xml:space="preserve"> ecosystem. Journal of the Soil Science Society of Sri Lanka, 24: 1-7.</w:t>
      </w:r>
    </w:p>
    <w:sectPr w:rsidR="00826061" w:rsidRPr="003B7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BAE1" w14:textId="77777777" w:rsidR="00172F1A" w:rsidRDefault="00172F1A" w:rsidP="009D081E">
      <w:r>
        <w:separator/>
      </w:r>
    </w:p>
  </w:endnote>
  <w:endnote w:type="continuationSeparator" w:id="0">
    <w:p w14:paraId="61BAA4CA" w14:textId="77777777" w:rsidR="00172F1A" w:rsidRDefault="00172F1A" w:rsidP="009D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6">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AD3E" w14:textId="77777777" w:rsidR="0007799C" w:rsidRDefault="00077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280E" w14:textId="77777777" w:rsidR="0007799C" w:rsidRDefault="00077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FD62" w14:textId="77777777" w:rsidR="0007799C" w:rsidRDefault="0007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BD8A" w14:textId="77777777" w:rsidR="00172F1A" w:rsidRDefault="00172F1A" w:rsidP="009D081E">
      <w:r>
        <w:separator/>
      </w:r>
    </w:p>
  </w:footnote>
  <w:footnote w:type="continuationSeparator" w:id="0">
    <w:p w14:paraId="5662FACB" w14:textId="77777777" w:rsidR="00172F1A" w:rsidRDefault="00172F1A" w:rsidP="009D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A26A" w14:textId="30FE9A84" w:rsidR="0007799C" w:rsidRDefault="00000000">
    <w:pPr>
      <w:pStyle w:val="Header"/>
    </w:pPr>
    <w:r>
      <w:rPr>
        <w:noProof/>
      </w:rPr>
      <w:pict w14:anchorId="4E69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69" o:spid="_x0000_s1026" type="#_x0000_t136" style="position:absolute;margin-left:0;margin-top:0;width:545.4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661" w14:textId="442AFCCD" w:rsidR="00C66560" w:rsidRPr="00E70D0A" w:rsidRDefault="00000000" w:rsidP="00A04F35">
    <w:pPr>
      <w:pStyle w:val="Header"/>
      <w:rPr>
        <w:rFonts w:ascii="Cambria" w:hAnsi="Cambria" w:cs="Arial"/>
        <w:b/>
        <w:i/>
        <w:sz w:val="24"/>
        <w:lang w:val="en-IN"/>
      </w:rPr>
    </w:pPr>
    <w:r>
      <w:rPr>
        <w:noProof/>
      </w:rPr>
      <w:pict w14:anchorId="0DEFD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70" o:spid="_x0000_s1027" type="#_x0000_t136" style="position:absolute;margin-left:0;margin-top:0;width:545.4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CC4D66" w:rsidRPr="00E70D0A">
      <w:rPr>
        <w:rFonts w:ascii="Cambria" w:hAnsi="Cambria"/>
        <w:b/>
        <w:sz w:val="24"/>
        <w:lang w:val="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4888" w14:textId="1FA05559" w:rsidR="0007799C" w:rsidRDefault="00000000">
    <w:pPr>
      <w:pStyle w:val="Header"/>
    </w:pPr>
    <w:r>
      <w:rPr>
        <w:noProof/>
      </w:rPr>
      <w:pict w14:anchorId="46074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68" o:spid="_x0000_s1025" type="#_x0000_t136" style="position:absolute;margin-left:0;margin-top:0;width:545.4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9CB"/>
    <w:multiLevelType w:val="hybridMultilevel"/>
    <w:tmpl w:val="FC7C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128F"/>
    <w:multiLevelType w:val="hybridMultilevel"/>
    <w:tmpl w:val="6DC20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F2E"/>
    <w:multiLevelType w:val="multilevel"/>
    <w:tmpl w:val="040C93B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36459C"/>
    <w:multiLevelType w:val="multilevel"/>
    <w:tmpl w:val="490A7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94886"/>
    <w:multiLevelType w:val="multilevel"/>
    <w:tmpl w:val="FA4E1CEA"/>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1452C78"/>
    <w:multiLevelType w:val="hybridMultilevel"/>
    <w:tmpl w:val="BE8A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0956"/>
    <w:multiLevelType w:val="multilevel"/>
    <w:tmpl w:val="C8666D9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2406F5"/>
    <w:multiLevelType w:val="multilevel"/>
    <w:tmpl w:val="FA4E1CEA"/>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B24575D"/>
    <w:multiLevelType w:val="multilevel"/>
    <w:tmpl w:val="83E6971C"/>
    <w:lvl w:ilvl="0">
      <w:start w:val="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F5E4C"/>
    <w:multiLevelType w:val="multilevel"/>
    <w:tmpl w:val="93664BE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AF4E20"/>
    <w:multiLevelType w:val="hybridMultilevel"/>
    <w:tmpl w:val="894A4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30E1"/>
    <w:multiLevelType w:val="hybridMultilevel"/>
    <w:tmpl w:val="CB88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60390"/>
    <w:multiLevelType w:val="multilevel"/>
    <w:tmpl w:val="F9B42C02"/>
    <w:lvl w:ilvl="0">
      <w:start w:val="3"/>
      <w:numFmt w:val="decimal"/>
      <w:lvlText w:val="%1."/>
      <w:lvlJc w:val="left"/>
      <w:pPr>
        <w:ind w:left="420" w:hanging="420"/>
      </w:pPr>
      <w:rPr>
        <w:rFonts w:hint="default"/>
        <w:b/>
        <w:bCs/>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7F7229"/>
    <w:multiLevelType w:val="hybridMultilevel"/>
    <w:tmpl w:val="D0CA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F08C0"/>
    <w:multiLevelType w:val="multilevel"/>
    <w:tmpl w:val="ADF2A6F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93F63F5"/>
    <w:multiLevelType w:val="hybridMultilevel"/>
    <w:tmpl w:val="D89A3D1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A9B1CED"/>
    <w:multiLevelType w:val="multilevel"/>
    <w:tmpl w:val="BAC24B4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D7319F9"/>
    <w:multiLevelType w:val="multilevel"/>
    <w:tmpl w:val="22709430"/>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F5C7105"/>
    <w:multiLevelType w:val="multilevel"/>
    <w:tmpl w:val="23084A6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2380E7F"/>
    <w:multiLevelType w:val="multilevel"/>
    <w:tmpl w:val="F9864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437AA"/>
    <w:multiLevelType w:val="hybridMultilevel"/>
    <w:tmpl w:val="6B006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77D24"/>
    <w:multiLevelType w:val="multilevel"/>
    <w:tmpl w:val="66D465F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9C429D8"/>
    <w:multiLevelType w:val="hybridMultilevel"/>
    <w:tmpl w:val="0CF0B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4340A"/>
    <w:multiLevelType w:val="hybridMultilevel"/>
    <w:tmpl w:val="55C00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A00039"/>
    <w:multiLevelType w:val="hybridMultilevel"/>
    <w:tmpl w:val="67C2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349C1"/>
    <w:multiLevelType w:val="multilevel"/>
    <w:tmpl w:val="4E9ABC3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3F07F9"/>
    <w:multiLevelType w:val="multilevel"/>
    <w:tmpl w:val="372C224E"/>
    <w:lvl w:ilvl="0">
      <w:start w:val="4"/>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7536A"/>
    <w:multiLevelType w:val="hybridMultilevel"/>
    <w:tmpl w:val="8A508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B2138"/>
    <w:multiLevelType w:val="hybridMultilevel"/>
    <w:tmpl w:val="4C78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343BB"/>
    <w:multiLevelType w:val="hybridMultilevel"/>
    <w:tmpl w:val="4FA866C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1C54"/>
    <w:multiLevelType w:val="multilevel"/>
    <w:tmpl w:val="F9864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BE1141"/>
    <w:multiLevelType w:val="multilevel"/>
    <w:tmpl w:val="67A22416"/>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634A5107"/>
    <w:multiLevelType w:val="hybridMultilevel"/>
    <w:tmpl w:val="8010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6541E"/>
    <w:multiLevelType w:val="hybridMultilevel"/>
    <w:tmpl w:val="894A4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32F24"/>
    <w:multiLevelType w:val="multilevel"/>
    <w:tmpl w:val="67A22416"/>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6B916FA0"/>
    <w:multiLevelType w:val="multilevel"/>
    <w:tmpl w:val="35265232"/>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BE10DB"/>
    <w:multiLevelType w:val="multilevel"/>
    <w:tmpl w:val="9EAE0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35379F"/>
    <w:multiLevelType w:val="multilevel"/>
    <w:tmpl w:val="336876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F31761"/>
    <w:multiLevelType w:val="hybridMultilevel"/>
    <w:tmpl w:val="5EFEB784"/>
    <w:lvl w:ilvl="0" w:tplc="8C6235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6A53CC"/>
    <w:multiLevelType w:val="hybridMultilevel"/>
    <w:tmpl w:val="3CFAC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00528"/>
    <w:multiLevelType w:val="hybridMultilevel"/>
    <w:tmpl w:val="F5C0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336F7"/>
    <w:multiLevelType w:val="hybridMultilevel"/>
    <w:tmpl w:val="6F6E368A"/>
    <w:lvl w:ilvl="0" w:tplc="A0B4A70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2" w15:restartNumberingAfterBreak="0">
    <w:nsid w:val="7E2F1D08"/>
    <w:multiLevelType w:val="multilevel"/>
    <w:tmpl w:val="F58A429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33353515">
    <w:abstractNumId w:val="5"/>
  </w:num>
  <w:num w:numId="2" w16cid:durableId="718819683">
    <w:abstractNumId w:val="33"/>
  </w:num>
  <w:num w:numId="3" w16cid:durableId="2100327360">
    <w:abstractNumId w:val="22"/>
  </w:num>
  <w:num w:numId="4" w16cid:durableId="1461653008">
    <w:abstractNumId w:val="1"/>
  </w:num>
  <w:num w:numId="5" w16cid:durableId="941256975">
    <w:abstractNumId w:val="38"/>
  </w:num>
  <w:num w:numId="6" w16cid:durableId="143621783">
    <w:abstractNumId w:val="42"/>
  </w:num>
  <w:num w:numId="7" w16cid:durableId="1203782788">
    <w:abstractNumId w:val="34"/>
  </w:num>
  <w:num w:numId="8" w16cid:durableId="40790458">
    <w:abstractNumId w:val="31"/>
  </w:num>
  <w:num w:numId="9" w16cid:durableId="814446315">
    <w:abstractNumId w:val="13"/>
  </w:num>
  <w:num w:numId="10" w16cid:durableId="649554538">
    <w:abstractNumId w:val="0"/>
  </w:num>
  <w:num w:numId="11" w16cid:durableId="1718429537">
    <w:abstractNumId w:val="35"/>
  </w:num>
  <w:num w:numId="12" w16cid:durableId="848836537">
    <w:abstractNumId w:val="37"/>
  </w:num>
  <w:num w:numId="13" w16cid:durableId="2128961628">
    <w:abstractNumId w:val="9"/>
  </w:num>
  <w:num w:numId="14" w16cid:durableId="59864620">
    <w:abstractNumId w:val="25"/>
  </w:num>
  <w:num w:numId="15" w16cid:durableId="754280447">
    <w:abstractNumId w:val="6"/>
  </w:num>
  <w:num w:numId="16" w16cid:durableId="512257151">
    <w:abstractNumId w:val="2"/>
  </w:num>
  <w:num w:numId="17" w16cid:durableId="1941133344">
    <w:abstractNumId w:val="11"/>
  </w:num>
  <w:num w:numId="18" w16cid:durableId="1712532088">
    <w:abstractNumId w:val="30"/>
  </w:num>
  <w:num w:numId="19" w16cid:durableId="1190754538">
    <w:abstractNumId w:val="19"/>
  </w:num>
  <w:num w:numId="20" w16cid:durableId="1832331302">
    <w:abstractNumId w:val="39"/>
  </w:num>
  <w:num w:numId="21" w16cid:durableId="1863474536">
    <w:abstractNumId w:val="15"/>
  </w:num>
  <w:num w:numId="22" w16cid:durableId="1171676192">
    <w:abstractNumId w:val="20"/>
  </w:num>
  <w:num w:numId="23" w16cid:durableId="1073963622">
    <w:abstractNumId w:val="29"/>
  </w:num>
  <w:num w:numId="24" w16cid:durableId="1498300153">
    <w:abstractNumId w:val="27"/>
  </w:num>
  <w:num w:numId="25" w16cid:durableId="1320839337">
    <w:abstractNumId w:val="23"/>
  </w:num>
  <w:num w:numId="26" w16cid:durableId="1257253507">
    <w:abstractNumId w:val="32"/>
  </w:num>
  <w:num w:numId="27" w16cid:durableId="536161277">
    <w:abstractNumId w:val="40"/>
  </w:num>
  <w:num w:numId="28" w16cid:durableId="747729515">
    <w:abstractNumId w:val="10"/>
  </w:num>
  <w:num w:numId="29" w16cid:durableId="1434589352">
    <w:abstractNumId w:val="24"/>
  </w:num>
  <w:num w:numId="30" w16cid:durableId="710224358">
    <w:abstractNumId w:val="36"/>
  </w:num>
  <w:num w:numId="31" w16cid:durableId="1166358099">
    <w:abstractNumId w:val="28"/>
  </w:num>
  <w:num w:numId="32" w16cid:durableId="867182925">
    <w:abstractNumId w:val="4"/>
  </w:num>
  <w:num w:numId="33" w16cid:durableId="1593464864">
    <w:abstractNumId w:val="7"/>
  </w:num>
  <w:num w:numId="34" w16cid:durableId="599993462">
    <w:abstractNumId w:val="16"/>
  </w:num>
  <w:num w:numId="35" w16cid:durableId="985931376">
    <w:abstractNumId w:val="14"/>
  </w:num>
  <w:num w:numId="36" w16cid:durableId="322003952">
    <w:abstractNumId w:val="21"/>
  </w:num>
  <w:num w:numId="37" w16cid:durableId="1514223668">
    <w:abstractNumId w:val="17"/>
  </w:num>
  <w:num w:numId="38" w16cid:durableId="1240598793">
    <w:abstractNumId w:val="18"/>
  </w:num>
  <w:num w:numId="39" w16cid:durableId="506096664">
    <w:abstractNumId w:val="26"/>
  </w:num>
  <w:num w:numId="40" w16cid:durableId="2011248620">
    <w:abstractNumId w:val="3"/>
  </w:num>
  <w:num w:numId="41" w16cid:durableId="243076276">
    <w:abstractNumId w:val="8"/>
  </w:num>
  <w:num w:numId="42" w16cid:durableId="1989749852">
    <w:abstractNumId w:val="41"/>
  </w:num>
  <w:num w:numId="43" w16cid:durableId="1381706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3NLO0MDEzMTIzMDNR0lEKTi0uzszPAykwrAUAeT8mqywAAAA="/>
  </w:docVars>
  <w:rsids>
    <w:rsidRoot w:val="00826061"/>
    <w:rsid w:val="00014C4F"/>
    <w:rsid w:val="00057F43"/>
    <w:rsid w:val="0007799C"/>
    <w:rsid w:val="000B3650"/>
    <w:rsid w:val="000D2F35"/>
    <w:rsid w:val="00110F49"/>
    <w:rsid w:val="0014278F"/>
    <w:rsid w:val="001569B5"/>
    <w:rsid w:val="00156B6B"/>
    <w:rsid w:val="00172F1A"/>
    <w:rsid w:val="00174E24"/>
    <w:rsid w:val="00180810"/>
    <w:rsid w:val="001861B1"/>
    <w:rsid w:val="00191192"/>
    <w:rsid w:val="001932CE"/>
    <w:rsid w:val="001B1014"/>
    <w:rsid w:val="00270716"/>
    <w:rsid w:val="002808BD"/>
    <w:rsid w:val="00293A75"/>
    <w:rsid w:val="002D3BBE"/>
    <w:rsid w:val="00301B5E"/>
    <w:rsid w:val="00344289"/>
    <w:rsid w:val="00362CD8"/>
    <w:rsid w:val="003B7A14"/>
    <w:rsid w:val="003C29E0"/>
    <w:rsid w:val="00400E13"/>
    <w:rsid w:val="0042567D"/>
    <w:rsid w:val="00464FF3"/>
    <w:rsid w:val="00476E30"/>
    <w:rsid w:val="004833BF"/>
    <w:rsid w:val="00484C44"/>
    <w:rsid w:val="004926B0"/>
    <w:rsid w:val="00493921"/>
    <w:rsid w:val="004D19B6"/>
    <w:rsid w:val="00503240"/>
    <w:rsid w:val="005430BA"/>
    <w:rsid w:val="005564EF"/>
    <w:rsid w:val="00643C72"/>
    <w:rsid w:val="00651E97"/>
    <w:rsid w:val="0066536B"/>
    <w:rsid w:val="006849C5"/>
    <w:rsid w:val="00691002"/>
    <w:rsid w:val="00692BA0"/>
    <w:rsid w:val="00696744"/>
    <w:rsid w:val="006F14D8"/>
    <w:rsid w:val="006F1AAA"/>
    <w:rsid w:val="0071350C"/>
    <w:rsid w:val="007547AF"/>
    <w:rsid w:val="0076382F"/>
    <w:rsid w:val="00773F5C"/>
    <w:rsid w:val="007833B6"/>
    <w:rsid w:val="00783DF6"/>
    <w:rsid w:val="007A2A98"/>
    <w:rsid w:val="007B167B"/>
    <w:rsid w:val="007B2ADB"/>
    <w:rsid w:val="007C7FDA"/>
    <w:rsid w:val="00826061"/>
    <w:rsid w:val="00884BC7"/>
    <w:rsid w:val="00884F9F"/>
    <w:rsid w:val="00886B9A"/>
    <w:rsid w:val="008A6A9D"/>
    <w:rsid w:val="008D3422"/>
    <w:rsid w:val="009063DB"/>
    <w:rsid w:val="00963AA8"/>
    <w:rsid w:val="00964D7B"/>
    <w:rsid w:val="00972996"/>
    <w:rsid w:val="009C2130"/>
    <w:rsid w:val="009D081E"/>
    <w:rsid w:val="009D5B3F"/>
    <w:rsid w:val="009E644C"/>
    <w:rsid w:val="009F2B52"/>
    <w:rsid w:val="00A16648"/>
    <w:rsid w:val="00A344B3"/>
    <w:rsid w:val="00A73AAE"/>
    <w:rsid w:val="00A83FA3"/>
    <w:rsid w:val="00A906CC"/>
    <w:rsid w:val="00AC1B0A"/>
    <w:rsid w:val="00AE6666"/>
    <w:rsid w:val="00AE7E1D"/>
    <w:rsid w:val="00AF5410"/>
    <w:rsid w:val="00AF7E09"/>
    <w:rsid w:val="00B145C2"/>
    <w:rsid w:val="00B403AC"/>
    <w:rsid w:val="00B45B29"/>
    <w:rsid w:val="00B61D97"/>
    <w:rsid w:val="00B92F2B"/>
    <w:rsid w:val="00BB2780"/>
    <w:rsid w:val="00BD39C6"/>
    <w:rsid w:val="00C255F1"/>
    <w:rsid w:val="00C54D7A"/>
    <w:rsid w:val="00C66560"/>
    <w:rsid w:val="00CC4D66"/>
    <w:rsid w:val="00D01509"/>
    <w:rsid w:val="00D111A0"/>
    <w:rsid w:val="00D27FE9"/>
    <w:rsid w:val="00D304C3"/>
    <w:rsid w:val="00D67E5B"/>
    <w:rsid w:val="00D81F43"/>
    <w:rsid w:val="00DA357A"/>
    <w:rsid w:val="00DF42D9"/>
    <w:rsid w:val="00E0711A"/>
    <w:rsid w:val="00E60E35"/>
    <w:rsid w:val="00E64AE0"/>
    <w:rsid w:val="00EC7F13"/>
    <w:rsid w:val="00EF13C9"/>
    <w:rsid w:val="00EF399D"/>
    <w:rsid w:val="00F149A1"/>
    <w:rsid w:val="00F34EB8"/>
    <w:rsid w:val="00F607F7"/>
    <w:rsid w:val="00F71511"/>
    <w:rsid w:val="00F74384"/>
    <w:rsid w:val="00F76A66"/>
    <w:rsid w:val="00F76A76"/>
    <w:rsid w:val="00F82CEC"/>
    <w:rsid w:val="00FA1002"/>
    <w:rsid w:val="00FC5A6B"/>
    <w:rsid w:val="00FF4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512F"/>
  <w15:chartTrackingRefBased/>
  <w15:docId w15:val="{B1F4AEFE-EF8B-40E7-8A0C-D5C1A15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6061"/>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826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0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61"/>
    <w:rPr>
      <w:rFonts w:eastAsiaTheme="majorEastAsia" w:cstheme="majorBidi"/>
      <w:color w:val="272727" w:themeColor="text1" w:themeTint="D8"/>
    </w:rPr>
  </w:style>
  <w:style w:type="paragraph" w:styleId="Title">
    <w:name w:val="Title"/>
    <w:basedOn w:val="Normal"/>
    <w:next w:val="Normal"/>
    <w:link w:val="TitleChar"/>
    <w:uiPriority w:val="10"/>
    <w:qFormat/>
    <w:rsid w:val="00826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61"/>
    <w:pPr>
      <w:spacing w:before="160"/>
      <w:jc w:val="center"/>
    </w:pPr>
    <w:rPr>
      <w:i/>
      <w:iCs/>
      <w:color w:val="404040" w:themeColor="text1" w:themeTint="BF"/>
    </w:rPr>
  </w:style>
  <w:style w:type="character" w:customStyle="1" w:styleId="QuoteChar">
    <w:name w:val="Quote Char"/>
    <w:basedOn w:val="DefaultParagraphFont"/>
    <w:link w:val="Quote"/>
    <w:uiPriority w:val="29"/>
    <w:rsid w:val="00826061"/>
    <w:rPr>
      <w:i/>
      <w:iCs/>
      <w:color w:val="404040" w:themeColor="text1" w:themeTint="BF"/>
    </w:rPr>
  </w:style>
  <w:style w:type="paragraph" w:styleId="ListParagraph">
    <w:name w:val="List Paragraph"/>
    <w:basedOn w:val="Normal"/>
    <w:uiPriority w:val="1"/>
    <w:qFormat/>
    <w:rsid w:val="00826061"/>
    <w:pPr>
      <w:ind w:left="720"/>
      <w:contextualSpacing/>
    </w:pPr>
  </w:style>
  <w:style w:type="character" w:styleId="IntenseEmphasis">
    <w:name w:val="Intense Emphasis"/>
    <w:basedOn w:val="DefaultParagraphFont"/>
    <w:uiPriority w:val="21"/>
    <w:qFormat/>
    <w:rsid w:val="00826061"/>
    <w:rPr>
      <w:i/>
      <w:iCs/>
      <w:color w:val="2F5496" w:themeColor="accent1" w:themeShade="BF"/>
    </w:rPr>
  </w:style>
  <w:style w:type="paragraph" w:styleId="IntenseQuote">
    <w:name w:val="Intense Quote"/>
    <w:basedOn w:val="Normal"/>
    <w:next w:val="Normal"/>
    <w:link w:val="IntenseQuoteChar"/>
    <w:uiPriority w:val="30"/>
    <w:qFormat/>
    <w:rsid w:val="00826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061"/>
    <w:rPr>
      <w:i/>
      <w:iCs/>
      <w:color w:val="2F5496" w:themeColor="accent1" w:themeShade="BF"/>
    </w:rPr>
  </w:style>
  <w:style w:type="character" w:styleId="IntenseReference">
    <w:name w:val="Intense Reference"/>
    <w:basedOn w:val="DefaultParagraphFont"/>
    <w:uiPriority w:val="32"/>
    <w:qFormat/>
    <w:rsid w:val="00826061"/>
    <w:rPr>
      <w:b/>
      <w:bCs/>
      <w:smallCaps/>
      <w:color w:val="2F5496" w:themeColor="accent1" w:themeShade="BF"/>
      <w:spacing w:val="5"/>
    </w:rPr>
  </w:style>
  <w:style w:type="paragraph" w:customStyle="1" w:styleId="Default">
    <w:name w:val="Default"/>
    <w:rsid w:val="00826061"/>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1932CE"/>
    <w:rPr>
      <w:sz w:val="24"/>
      <w:szCs w:val="24"/>
    </w:rPr>
  </w:style>
  <w:style w:type="character" w:customStyle="1" w:styleId="BodyTextChar">
    <w:name w:val="Body Text Char"/>
    <w:basedOn w:val="DefaultParagraphFont"/>
    <w:link w:val="BodyText"/>
    <w:uiPriority w:val="1"/>
    <w:rsid w:val="001932CE"/>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D081E"/>
    <w:pPr>
      <w:tabs>
        <w:tab w:val="center" w:pos="4680"/>
        <w:tab w:val="right" w:pos="9360"/>
      </w:tabs>
    </w:pPr>
  </w:style>
  <w:style w:type="character" w:customStyle="1" w:styleId="HeaderChar">
    <w:name w:val="Header Char"/>
    <w:basedOn w:val="DefaultParagraphFont"/>
    <w:link w:val="Header"/>
    <w:uiPriority w:val="99"/>
    <w:rsid w:val="009D081E"/>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9D081E"/>
    <w:pPr>
      <w:tabs>
        <w:tab w:val="center" w:pos="4680"/>
        <w:tab w:val="right" w:pos="9360"/>
      </w:tabs>
    </w:pPr>
  </w:style>
  <w:style w:type="character" w:customStyle="1" w:styleId="FooterChar">
    <w:name w:val="Footer Char"/>
    <w:basedOn w:val="DefaultParagraphFont"/>
    <w:link w:val="Footer"/>
    <w:uiPriority w:val="99"/>
    <w:rsid w:val="009D081E"/>
    <w:rPr>
      <w:rFonts w:ascii="Times New Roman" w:eastAsia="Times New Roman" w:hAnsi="Times New Roman" w:cs="Times New Roman"/>
      <w:kern w:val="0"/>
      <w:sz w:val="22"/>
      <w:szCs w:val="22"/>
      <w:lang w:val="en-US"/>
      <w14:ligatures w14:val="none"/>
    </w:rPr>
  </w:style>
  <w:style w:type="paragraph" w:customStyle="1" w:styleId="abstract">
    <w:name w:val="abstract"/>
    <w:basedOn w:val="Normal"/>
    <w:rsid w:val="009D081E"/>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9D081E"/>
    <w:pPr>
      <w:widowControl/>
      <w:autoSpaceDE/>
      <w:autoSpaceDN/>
      <w:spacing w:before="100" w:beforeAutospacing="1" w:after="100" w:afterAutospacing="1"/>
    </w:pPr>
    <w:rPr>
      <w:sz w:val="24"/>
      <w:szCs w:val="24"/>
    </w:rPr>
  </w:style>
  <w:style w:type="character" w:customStyle="1" w:styleId="plainlinks">
    <w:name w:val="plainlinks"/>
    <w:basedOn w:val="DefaultParagraphFont"/>
    <w:rsid w:val="009D081E"/>
  </w:style>
  <w:style w:type="character" w:styleId="Hyperlink">
    <w:name w:val="Hyperlink"/>
    <w:basedOn w:val="DefaultParagraphFont"/>
    <w:uiPriority w:val="99"/>
    <w:unhideWhenUsed/>
    <w:rsid w:val="009D081E"/>
    <w:rPr>
      <w:color w:val="0000FF"/>
      <w:u w:val="single"/>
    </w:rPr>
  </w:style>
  <w:style w:type="character" w:customStyle="1" w:styleId="geo-dec">
    <w:name w:val="geo-dec"/>
    <w:basedOn w:val="DefaultParagraphFont"/>
    <w:rsid w:val="009D081E"/>
  </w:style>
  <w:style w:type="character" w:styleId="PlaceholderText">
    <w:name w:val="Placeholder Text"/>
    <w:basedOn w:val="DefaultParagraphFont"/>
    <w:uiPriority w:val="99"/>
    <w:semiHidden/>
    <w:rsid w:val="009D081E"/>
    <w:rPr>
      <w:color w:val="808080"/>
    </w:rPr>
  </w:style>
  <w:style w:type="paragraph" w:styleId="BalloonText">
    <w:name w:val="Balloon Text"/>
    <w:basedOn w:val="Normal"/>
    <w:link w:val="BalloonTextChar"/>
    <w:uiPriority w:val="99"/>
    <w:semiHidden/>
    <w:unhideWhenUsed/>
    <w:rsid w:val="009D081E"/>
    <w:rPr>
      <w:rFonts w:ascii="Tahoma" w:hAnsi="Tahoma" w:cs="Tahoma"/>
      <w:sz w:val="16"/>
      <w:szCs w:val="16"/>
    </w:rPr>
  </w:style>
  <w:style w:type="character" w:customStyle="1" w:styleId="BalloonTextChar">
    <w:name w:val="Balloon Text Char"/>
    <w:basedOn w:val="DefaultParagraphFont"/>
    <w:link w:val="BalloonText"/>
    <w:uiPriority w:val="99"/>
    <w:semiHidden/>
    <w:rsid w:val="009D081E"/>
    <w:rPr>
      <w:rFonts w:ascii="Tahoma" w:eastAsia="Times New Roman" w:hAnsi="Tahoma" w:cs="Tahoma"/>
      <w:kern w:val="0"/>
      <w:sz w:val="16"/>
      <w:szCs w:val="16"/>
      <w:lang w:val="en-US"/>
      <w14:ligatures w14:val="none"/>
    </w:rPr>
  </w:style>
  <w:style w:type="table" w:styleId="TableGrid">
    <w:name w:val="Table Grid"/>
    <w:basedOn w:val="TableNormal"/>
    <w:uiPriority w:val="59"/>
    <w:rsid w:val="009D081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081E"/>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EC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7955">
      <w:bodyDiv w:val="1"/>
      <w:marLeft w:val="0"/>
      <w:marRight w:val="0"/>
      <w:marTop w:val="0"/>
      <w:marBottom w:val="0"/>
      <w:divBdr>
        <w:top w:val="none" w:sz="0" w:space="0" w:color="auto"/>
        <w:left w:val="none" w:sz="0" w:space="0" w:color="auto"/>
        <w:bottom w:val="none" w:sz="0" w:space="0" w:color="auto"/>
        <w:right w:val="none" w:sz="0" w:space="0" w:color="auto"/>
      </w:divBdr>
    </w:div>
    <w:div w:id="18280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B7F5-CCD8-4A6B-BEEF-F629B1E3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SUCHHANDA MONDAL</dc:creator>
  <cp:keywords/>
  <dc:description/>
  <cp:lastModifiedBy>SUCHHANDA MONDAL</cp:lastModifiedBy>
  <cp:revision>3</cp:revision>
  <dcterms:created xsi:type="dcterms:W3CDTF">2025-06-19T16:25:00Z</dcterms:created>
  <dcterms:modified xsi:type="dcterms:W3CDTF">2025-06-20T02:36:00Z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1fa728a3-1fa4-4e04-92d4-506717b745fa</vt:lpwstr>
  </property>
</Properties>
</file>