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A01209" w14:textId="77777777" w:rsidR="00C16338" w:rsidRPr="00A176B6" w:rsidRDefault="00C16338" w:rsidP="00C16338">
      <w:pPr>
        <w:spacing w:line="360" w:lineRule="auto"/>
        <w:jc w:val="center"/>
        <w:rPr>
          <w:rFonts w:ascii="Arial" w:eastAsia="Calibri" w:hAnsi="Arial" w:cs="Arial"/>
          <w:b/>
          <w:sz w:val="20"/>
          <w:szCs w:val="20"/>
        </w:rPr>
      </w:pPr>
      <w:bookmarkStart w:id="0" w:name="_Hlk200531824"/>
      <w:r w:rsidRPr="00A176B6">
        <w:rPr>
          <w:rFonts w:ascii="Arial" w:eastAsia="Calibri" w:hAnsi="Arial" w:cs="Arial"/>
          <w:b/>
          <w:sz w:val="20"/>
          <w:szCs w:val="20"/>
        </w:rPr>
        <w:t>Effect of Dietary</w:t>
      </w:r>
      <w:r>
        <w:rPr>
          <w:rFonts w:ascii="Arial" w:eastAsia="Calibri" w:hAnsi="Arial" w:cs="Arial"/>
          <w:b/>
          <w:sz w:val="20"/>
          <w:szCs w:val="20"/>
        </w:rPr>
        <w:t xml:space="preserve"> supplementation of</w:t>
      </w:r>
      <w:r w:rsidRPr="00A176B6">
        <w:rPr>
          <w:rFonts w:ascii="Arial" w:eastAsia="Calibri" w:hAnsi="Arial" w:cs="Arial"/>
          <w:b/>
          <w:sz w:val="20"/>
          <w:szCs w:val="20"/>
        </w:rPr>
        <w:t xml:space="preserve"> Tootache plant (</w:t>
      </w:r>
      <w:r w:rsidRPr="00A176B6">
        <w:rPr>
          <w:rFonts w:ascii="Arial" w:eastAsia="Calibri" w:hAnsi="Arial" w:cs="Arial"/>
          <w:b/>
          <w:i/>
          <w:iCs/>
          <w:sz w:val="20"/>
          <w:szCs w:val="20"/>
        </w:rPr>
        <w:t>Acmella oleracea)</w:t>
      </w:r>
      <w:r w:rsidRPr="00A176B6">
        <w:rPr>
          <w:rFonts w:ascii="Arial" w:eastAsia="Calibri" w:hAnsi="Arial" w:cs="Arial"/>
          <w:b/>
          <w:sz w:val="20"/>
          <w:szCs w:val="20"/>
        </w:rPr>
        <w:t xml:space="preserve"> extract on the growth performance of C</w:t>
      </w:r>
      <w:r w:rsidRPr="00A176B6">
        <w:rPr>
          <w:rFonts w:ascii="Arial" w:eastAsia="Calibri" w:hAnsi="Arial" w:cs="Arial"/>
          <w:b/>
          <w:i/>
          <w:iCs/>
          <w:sz w:val="20"/>
          <w:szCs w:val="20"/>
        </w:rPr>
        <w:t>irrhinus mrigala</w:t>
      </w:r>
      <w:r>
        <w:rPr>
          <w:rFonts w:ascii="Arial" w:eastAsia="Calibri" w:hAnsi="Arial" w:cs="Arial"/>
          <w:b/>
          <w:i/>
          <w:iCs/>
          <w:sz w:val="20"/>
          <w:szCs w:val="20"/>
        </w:rPr>
        <w:t xml:space="preserve"> </w:t>
      </w:r>
      <w:r w:rsidRPr="00A176B6">
        <w:rPr>
          <w:rFonts w:ascii="Arial" w:eastAsia="Calibri" w:hAnsi="Arial" w:cs="Arial"/>
          <w:b/>
          <w:sz w:val="20"/>
          <w:szCs w:val="20"/>
        </w:rPr>
        <w:t>fingerlings</w:t>
      </w:r>
      <w:bookmarkEnd w:id="0"/>
    </w:p>
    <w:p w14:paraId="4DE0A608" w14:textId="77777777" w:rsidR="00C16338" w:rsidRPr="00A176B6" w:rsidRDefault="00C16338" w:rsidP="00C16338">
      <w:pPr>
        <w:spacing w:line="360" w:lineRule="auto"/>
        <w:jc w:val="center"/>
        <w:rPr>
          <w:rFonts w:ascii="Arial" w:hAnsi="Arial" w:cs="Arial"/>
          <w:sz w:val="20"/>
          <w:szCs w:val="20"/>
        </w:rPr>
      </w:pPr>
      <w:r>
        <w:rPr>
          <w:rFonts w:ascii="Arial" w:hAnsi="Arial" w:cs="Arial"/>
          <w:sz w:val="20"/>
          <w:szCs w:val="20"/>
        </w:rPr>
        <w:t xml:space="preserve"> </w:t>
      </w:r>
    </w:p>
    <w:p w14:paraId="3E4E54AD" w14:textId="77777777" w:rsidR="00C16338" w:rsidRPr="00A176B6" w:rsidRDefault="00C16338" w:rsidP="00C16338">
      <w:pPr>
        <w:spacing w:line="360" w:lineRule="auto"/>
        <w:jc w:val="both"/>
        <w:rPr>
          <w:rFonts w:ascii="Arial" w:eastAsia="Calibri" w:hAnsi="Arial" w:cs="Arial"/>
          <w:sz w:val="20"/>
          <w:szCs w:val="20"/>
        </w:rPr>
      </w:pPr>
    </w:p>
    <w:p w14:paraId="5E134D88" w14:textId="77777777" w:rsidR="00C16338" w:rsidRPr="00A176B6" w:rsidRDefault="00C16338" w:rsidP="00C16338">
      <w:p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A176B6">
        <w:rPr>
          <w:rFonts w:ascii="Arial" w:eastAsia="Times New Roman" w:hAnsi="Arial" w:cs="Arial"/>
          <w:b/>
          <w:bCs/>
          <w:kern w:val="0"/>
          <w:sz w:val="20"/>
          <w:szCs w:val="20"/>
          <w:lang w:eastAsia="en-IN"/>
          <w14:ligatures w14:val="none"/>
        </w:rPr>
        <w:t>Abstract</w:t>
      </w:r>
    </w:p>
    <w:p w14:paraId="25924EB2" w14:textId="77777777" w:rsidR="00C16338" w:rsidRDefault="00C16338" w:rsidP="00C16338">
      <w:p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BF5F87">
        <w:rPr>
          <w:rFonts w:ascii="Arial" w:eastAsia="Times New Roman" w:hAnsi="Arial" w:cs="Arial"/>
          <w:kern w:val="0"/>
          <w:sz w:val="20"/>
          <w:szCs w:val="20"/>
          <w:lang w:eastAsia="en-IN"/>
          <w14:ligatures w14:val="none"/>
        </w:rPr>
        <w:t xml:space="preserve">This study investigated the efficacy of </w:t>
      </w:r>
      <w:r w:rsidRPr="00A176B6">
        <w:rPr>
          <w:rFonts w:ascii="Arial" w:eastAsia="Times New Roman" w:hAnsi="Arial" w:cs="Arial"/>
          <w:i/>
          <w:iCs/>
          <w:kern w:val="0"/>
          <w:sz w:val="20"/>
          <w:szCs w:val="20"/>
          <w:lang w:eastAsia="en-IN"/>
          <w14:ligatures w14:val="none"/>
        </w:rPr>
        <w:t>Acmella oleracea</w:t>
      </w:r>
      <w:r w:rsidRPr="00A176B6">
        <w:rPr>
          <w:rFonts w:ascii="Arial" w:eastAsia="Times New Roman" w:hAnsi="Arial" w:cs="Arial"/>
          <w:kern w:val="0"/>
          <w:sz w:val="20"/>
          <w:szCs w:val="20"/>
          <w:lang w:eastAsia="en-IN"/>
          <w14:ligatures w14:val="none"/>
        </w:rPr>
        <w:t xml:space="preserve"> extract on the growth performance of </w:t>
      </w:r>
      <w:r w:rsidRPr="00A176B6">
        <w:rPr>
          <w:rFonts w:ascii="Arial" w:eastAsia="Times New Roman" w:hAnsi="Arial" w:cs="Arial"/>
          <w:i/>
          <w:iCs/>
          <w:kern w:val="0"/>
          <w:sz w:val="20"/>
          <w:szCs w:val="20"/>
          <w:lang w:eastAsia="en-IN"/>
          <w14:ligatures w14:val="none"/>
        </w:rPr>
        <w:t>Cirrhinus mrigala</w:t>
      </w:r>
      <w:r>
        <w:rPr>
          <w:rFonts w:ascii="Arial" w:eastAsia="Times New Roman" w:hAnsi="Arial" w:cs="Arial"/>
          <w:kern w:val="0"/>
          <w:sz w:val="20"/>
          <w:szCs w:val="20"/>
          <w:lang w:eastAsia="en-IN"/>
          <w14:ligatures w14:val="none"/>
        </w:rPr>
        <w:t xml:space="preserve"> fingerlings. This trial was designed for </w:t>
      </w:r>
      <w:r w:rsidRPr="00A176B6">
        <w:rPr>
          <w:rFonts w:ascii="Arial" w:eastAsia="Times New Roman" w:hAnsi="Arial" w:cs="Arial"/>
          <w:kern w:val="0"/>
          <w:sz w:val="20"/>
          <w:szCs w:val="20"/>
          <w:lang w:eastAsia="en-IN"/>
          <w14:ligatures w14:val="none"/>
        </w:rPr>
        <w:t>45 days</w:t>
      </w:r>
      <w:r>
        <w:rPr>
          <w:rFonts w:ascii="Arial" w:eastAsia="Times New Roman" w:hAnsi="Arial" w:cs="Arial"/>
          <w:kern w:val="0"/>
          <w:sz w:val="20"/>
          <w:szCs w:val="20"/>
          <w:lang w:eastAsia="en-IN"/>
          <w14:ligatures w14:val="none"/>
        </w:rPr>
        <w:t>.</w:t>
      </w:r>
      <w:r w:rsidRPr="00A176B6">
        <w:rPr>
          <w:rFonts w:ascii="Arial" w:eastAsia="Times New Roman" w:hAnsi="Arial" w:cs="Arial"/>
          <w:kern w:val="0"/>
          <w:sz w:val="20"/>
          <w:szCs w:val="20"/>
          <w:lang w:eastAsia="en-IN"/>
          <w14:ligatures w14:val="none"/>
        </w:rPr>
        <w:t xml:space="preserve"> </w:t>
      </w:r>
      <w:r>
        <w:rPr>
          <w:rFonts w:ascii="Arial" w:eastAsia="Times New Roman" w:hAnsi="Arial" w:cs="Arial"/>
          <w:kern w:val="0"/>
          <w:sz w:val="20"/>
          <w:szCs w:val="20"/>
          <w:lang w:eastAsia="en-IN"/>
          <w14:ligatures w14:val="none"/>
        </w:rPr>
        <w:t>The experiments were</w:t>
      </w:r>
      <w:r w:rsidRPr="00A176B6">
        <w:rPr>
          <w:rFonts w:ascii="Arial" w:eastAsia="Times New Roman" w:hAnsi="Arial" w:cs="Arial"/>
          <w:kern w:val="0"/>
          <w:sz w:val="20"/>
          <w:szCs w:val="20"/>
          <w:lang w:eastAsia="en-IN"/>
          <w14:ligatures w14:val="none"/>
        </w:rPr>
        <w:t xml:space="preserve"> </w:t>
      </w:r>
      <w:r>
        <w:rPr>
          <w:rFonts w:ascii="Arial" w:eastAsia="Times New Roman" w:hAnsi="Arial" w:cs="Arial"/>
          <w:kern w:val="0"/>
          <w:sz w:val="20"/>
          <w:szCs w:val="20"/>
          <w:lang w:eastAsia="en-IN"/>
          <w14:ligatures w14:val="none"/>
        </w:rPr>
        <w:t>designed as T0 (0%) T1 (</w:t>
      </w:r>
      <w:r w:rsidRPr="00A176B6">
        <w:rPr>
          <w:rFonts w:ascii="Arial" w:eastAsia="Times New Roman" w:hAnsi="Arial" w:cs="Arial"/>
          <w:kern w:val="0"/>
          <w:sz w:val="20"/>
          <w:szCs w:val="20"/>
          <w:lang w:eastAsia="en-IN"/>
          <w14:ligatures w14:val="none"/>
        </w:rPr>
        <w:t>0.5%</w:t>
      </w:r>
      <w:r>
        <w:rPr>
          <w:rFonts w:ascii="Arial" w:eastAsia="Times New Roman" w:hAnsi="Arial" w:cs="Arial"/>
          <w:kern w:val="0"/>
          <w:sz w:val="20"/>
          <w:szCs w:val="20"/>
          <w:lang w:eastAsia="en-IN"/>
          <w14:ligatures w14:val="none"/>
        </w:rPr>
        <w:t>)</w:t>
      </w:r>
      <w:r w:rsidRPr="00A176B6">
        <w:rPr>
          <w:rFonts w:ascii="Arial" w:eastAsia="Times New Roman" w:hAnsi="Arial" w:cs="Arial"/>
          <w:kern w:val="0"/>
          <w:sz w:val="20"/>
          <w:szCs w:val="20"/>
          <w:lang w:eastAsia="en-IN"/>
          <w14:ligatures w14:val="none"/>
        </w:rPr>
        <w:t xml:space="preserve">, </w:t>
      </w:r>
      <w:r>
        <w:rPr>
          <w:rFonts w:ascii="Arial" w:eastAsia="Times New Roman" w:hAnsi="Arial" w:cs="Arial"/>
          <w:kern w:val="0"/>
          <w:sz w:val="20"/>
          <w:szCs w:val="20"/>
          <w:lang w:eastAsia="en-IN"/>
          <w14:ligatures w14:val="none"/>
        </w:rPr>
        <w:t>T2 (</w:t>
      </w:r>
      <w:r w:rsidRPr="00A176B6">
        <w:rPr>
          <w:rFonts w:ascii="Arial" w:eastAsia="Times New Roman" w:hAnsi="Arial" w:cs="Arial"/>
          <w:kern w:val="0"/>
          <w:sz w:val="20"/>
          <w:szCs w:val="20"/>
          <w:lang w:eastAsia="en-IN"/>
          <w14:ligatures w14:val="none"/>
        </w:rPr>
        <w:t>1.0%</w:t>
      </w:r>
      <w:r>
        <w:rPr>
          <w:rFonts w:ascii="Arial" w:eastAsia="Times New Roman" w:hAnsi="Arial" w:cs="Arial"/>
          <w:kern w:val="0"/>
          <w:sz w:val="20"/>
          <w:szCs w:val="20"/>
          <w:lang w:eastAsia="en-IN"/>
          <w14:ligatures w14:val="none"/>
        </w:rPr>
        <w:t>)</w:t>
      </w:r>
      <w:r w:rsidRPr="00A176B6">
        <w:rPr>
          <w:rFonts w:ascii="Arial" w:eastAsia="Times New Roman" w:hAnsi="Arial" w:cs="Arial"/>
          <w:kern w:val="0"/>
          <w:sz w:val="20"/>
          <w:szCs w:val="20"/>
          <w:lang w:eastAsia="en-IN"/>
          <w14:ligatures w14:val="none"/>
        </w:rPr>
        <w:t xml:space="preserve">, and </w:t>
      </w:r>
      <w:r>
        <w:rPr>
          <w:rFonts w:ascii="Arial" w:eastAsia="Times New Roman" w:hAnsi="Arial" w:cs="Arial"/>
          <w:kern w:val="0"/>
          <w:sz w:val="20"/>
          <w:szCs w:val="20"/>
          <w:lang w:eastAsia="en-IN"/>
          <w14:ligatures w14:val="none"/>
        </w:rPr>
        <w:t>T3 (</w:t>
      </w:r>
      <w:r w:rsidRPr="00A176B6">
        <w:rPr>
          <w:rFonts w:ascii="Arial" w:eastAsia="Times New Roman" w:hAnsi="Arial" w:cs="Arial"/>
          <w:kern w:val="0"/>
          <w:sz w:val="20"/>
          <w:szCs w:val="20"/>
          <w:lang w:eastAsia="en-IN"/>
          <w14:ligatures w14:val="none"/>
        </w:rPr>
        <w:t>1.5%</w:t>
      </w:r>
      <w:r>
        <w:rPr>
          <w:rFonts w:ascii="Arial" w:eastAsia="Times New Roman" w:hAnsi="Arial" w:cs="Arial"/>
          <w:kern w:val="0"/>
          <w:sz w:val="20"/>
          <w:szCs w:val="20"/>
          <w:lang w:eastAsia="en-IN"/>
          <w14:ligatures w14:val="none"/>
        </w:rPr>
        <w:t>)</w:t>
      </w:r>
      <w:r w:rsidRPr="00A176B6">
        <w:rPr>
          <w:rFonts w:ascii="Arial" w:eastAsia="Times New Roman" w:hAnsi="Arial" w:cs="Arial"/>
          <w:kern w:val="0"/>
          <w:sz w:val="20"/>
          <w:szCs w:val="20"/>
          <w:lang w:eastAsia="en-IN"/>
          <w14:ligatures w14:val="none"/>
        </w:rPr>
        <w:t xml:space="preserve"> </w:t>
      </w:r>
      <w:r w:rsidRPr="00A176B6">
        <w:rPr>
          <w:rFonts w:ascii="Arial" w:eastAsia="Times New Roman" w:hAnsi="Arial" w:cs="Arial"/>
          <w:i/>
          <w:iCs/>
          <w:kern w:val="0"/>
          <w:sz w:val="20"/>
          <w:szCs w:val="20"/>
          <w:lang w:eastAsia="en-IN"/>
          <w14:ligatures w14:val="none"/>
        </w:rPr>
        <w:t>A. oleracea</w:t>
      </w:r>
      <w:r>
        <w:rPr>
          <w:rFonts w:ascii="Arial" w:eastAsia="Times New Roman" w:hAnsi="Arial" w:cs="Arial"/>
          <w:kern w:val="0"/>
          <w:sz w:val="20"/>
          <w:szCs w:val="20"/>
          <w:lang w:eastAsia="en-IN"/>
          <w14:ligatures w14:val="none"/>
        </w:rPr>
        <w:t xml:space="preserve"> </w:t>
      </w:r>
      <w:r w:rsidRPr="00A176B6">
        <w:rPr>
          <w:rFonts w:ascii="Arial" w:eastAsia="Times New Roman" w:hAnsi="Arial" w:cs="Arial"/>
          <w:kern w:val="0"/>
          <w:sz w:val="20"/>
          <w:szCs w:val="20"/>
          <w:lang w:eastAsia="en-IN"/>
          <w14:ligatures w14:val="none"/>
        </w:rPr>
        <w:t>extract</w:t>
      </w:r>
      <w:r>
        <w:rPr>
          <w:rFonts w:ascii="Arial" w:eastAsia="Times New Roman" w:hAnsi="Arial" w:cs="Arial"/>
          <w:kern w:val="0"/>
          <w:sz w:val="20"/>
          <w:szCs w:val="20"/>
          <w:lang w:eastAsia="en-IN"/>
          <w14:ligatures w14:val="none"/>
        </w:rPr>
        <w:t xml:space="preserve"> with three replications.</w:t>
      </w:r>
      <w:r w:rsidRPr="00A176B6">
        <w:rPr>
          <w:rFonts w:ascii="Arial" w:eastAsia="Times New Roman" w:hAnsi="Arial" w:cs="Arial"/>
          <w:kern w:val="0"/>
          <w:sz w:val="20"/>
          <w:szCs w:val="20"/>
          <w:lang w:eastAsia="en-IN"/>
          <w14:ligatures w14:val="none"/>
        </w:rPr>
        <w:t xml:space="preserve"> </w:t>
      </w:r>
      <w:r>
        <w:rPr>
          <w:rFonts w:ascii="Arial" w:eastAsia="Times New Roman" w:hAnsi="Arial" w:cs="Arial"/>
          <w:kern w:val="0"/>
          <w:sz w:val="20"/>
          <w:szCs w:val="20"/>
          <w:lang w:eastAsia="en-IN"/>
          <w14:ligatures w14:val="none"/>
        </w:rPr>
        <w:t>During the study the g</w:t>
      </w:r>
      <w:r w:rsidRPr="00A176B6">
        <w:rPr>
          <w:rFonts w:ascii="Arial" w:eastAsia="Times New Roman" w:hAnsi="Arial" w:cs="Arial"/>
          <w:kern w:val="0"/>
          <w:sz w:val="20"/>
          <w:szCs w:val="20"/>
          <w:lang w:eastAsia="en-IN"/>
          <w14:ligatures w14:val="none"/>
        </w:rPr>
        <w:t>rowth parameters including net weight gain, percent weight gain, length gain</w:t>
      </w:r>
      <w:r>
        <w:rPr>
          <w:rFonts w:ascii="Arial" w:eastAsia="Times New Roman" w:hAnsi="Arial" w:cs="Arial"/>
          <w:kern w:val="0"/>
          <w:sz w:val="20"/>
          <w:szCs w:val="20"/>
          <w:lang w:eastAsia="en-IN"/>
          <w14:ligatures w14:val="none"/>
        </w:rPr>
        <w:t xml:space="preserve">, </w:t>
      </w:r>
      <w:r w:rsidRPr="00A176B6">
        <w:rPr>
          <w:rFonts w:ascii="Arial" w:eastAsia="Times New Roman" w:hAnsi="Arial" w:cs="Arial"/>
          <w:kern w:val="0"/>
          <w:sz w:val="20"/>
          <w:szCs w:val="20"/>
          <w:lang w:eastAsia="en-IN"/>
          <w14:ligatures w14:val="none"/>
        </w:rPr>
        <w:t>specific growth rate and feed conversion ratio were recorded at 15-day</w:t>
      </w:r>
      <w:r>
        <w:rPr>
          <w:rFonts w:ascii="Arial" w:eastAsia="Times New Roman" w:hAnsi="Arial" w:cs="Arial"/>
          <w:kern w:val="0"/>
          <w:sz w:val="20"/>
          <w:szCs w:val="20"/>
          <w:lang w:eastAsia="en-IN"/>
          <w14:ligatures w14:val="none"/>
        </w:rPr>
        <w:t xml:space="preserve">s interval. </w:t>
      </w:r>
      <w:r w:rsidRPr="00A176B6">
        <w:rPr>
          <w:rFonts w:ascii="Arial" w:eastAsia="Times New Roman" w:hAnsi="Arial" w:cs="Arial"/>
          <w:kern w:val="0"/>
          <w:sz w:val="20"/>
          <w:szCs w:val="20"/>
          <w:lang w:eastAsia="en-IN"/>
          <w14:ligatures w14:val="none"/>
        </w:rPr>
        <w:t>Results indicated a significant improvement (</w:t>
      </w:r>
      <w:r w:rsidRPr="00D72A84">
        <w:rPr>
          <w:rFonts w:ascii="Arial" w:eastAsia="Times New Roman" w:hAnsi="Arial" w:cs="Arial"/>
          <w:i/>
          <w:kern w:val="0"/>
          <w:sz w:val="20"/>
          <w:szCs w:val="20"/>
          <w:lang w:eastAsia="en-IN"/>
          <w14:ligatures w14:val="none"/>
        </w:rPr>
        <w:t>p &lt; 0.05</w:t>
      </w:r>
      <w:r w:rsidRPr="00A176B6">
        <w:rPr>
          <w:rFonts w:ascii="Arial" w:eastAsia="Times New Roman" w:hAnsi="Arial" w:cs="Arial"/>
          <w:kern w:val="0"/>
          <w:sz w:val="20"/>
          <w:szCs w:val="20"/>
          <w:lang w:eastAsia="en-IN"/>
          <w14:ligatures w14:val="none"/>
        </w:rPr>
        <w:t xml:space="preserve">) in growth parameters in all treated groups compared to the control, with the best performance </w:t>
      </w:r>
      <w:r>
        <w:rPr>
          <w:rFonts w:ascii="Arial" w:eastAsia="Times New Roman" w:hAnsi="Arial" w:cs="Arial"/>
          <w:kern w:val="0"/>
          <w:sz w:val="20"/>
          <w:szCs w:val="20"/>
          <w:lang w:eastAsia="en-IN"/>
          <w14:ligatures w14:val="none"/>
        </w:rPr>
        <w:t xml:space="preserve">was </w:t>
      </w:r>
      <w:r w:rsidRPr="00A176B6">
        <w:rPr>
          <w:rFonts w:ascii="Arial" w:eastAsia="Times New Roman" w:hAnsi="Arial" w:cs="Arial"/>
          <w:kern w:val="0"/>
          <w:sz w:val="20"/>
          <w:szCs w:val="20"/>
          <w:lang w:eastAsia="en-IN"/>
          <w14:ligatures w14:val="none"/>
        </w:rPr>
        <w:t xml:space="preserve">observed at the </w:t>
      </w:r>
      <w:r>
        <w:rPr>
          <w:rFonts w:ascii="Arial" w:eastAsia="Times New Roman" w:hAnsi="Arial" w:cs="Arial"/>
          <w:kern w:val="0"/>
          <w:sz w:val="20"/>
          <w:szCs w:val="20"/>
          <w:lang w:eastAsia="en-IN"/>
          <w14:ligatures w14:val="none"/>
        </w:rPr>
        <w:t>T1 treatment</w:t>
      </w:r>
      <w:r w:rsidRPr="00A176B6">
        <w:rPr>
          <w:rFonts w:ascii="Arial" w:eastAsia="Times New Roman" w:hAnsi="Arial" w:cs="Arial"/>
          <w:kern w:val="0"/>
          <w:sz w:val="20"/>
          <w:szCs w:val="20"/>
          <w:lang w:eastAsia="en-IN"/>
          <w14:ligatures w14:val="none"/>
        </w:rPr>
        <w:t>. Fish fed w</w:t>
      </w:r>
      <w:r>
        <w:rPr>
          <w:rFonts w:ascii="Arial" w:eastAsia="Times New Roman" w:hAnsi="Arial" w:cs="Arial"/>
          <w:kern w:val="0"/>
          <w:sz w:val="20"/>
          <w:szCs w:val="20"/>
          <w:lang w:eastAsia="en-IN"/>
          <w14:ligatures w14:val="none"/>
        </w:rPr>
        <w:t>ith 0.5 percent</w:t>
      </w:r>
      <w:r w:rsidRPr="00A176B6">
        <w:rPr>
          <w:rFonts w:ascii="Arial" w:eastAsia="Times New Roman" w:hAnsi="Arial" w:cs="Arial"/>
          <w:kern w:val="0"/>
          <w:sz w:val="20"/>
          <w:szCs w:val="20"/>
          <w:lang w:eastAsia="en-IN"/>
          <w14:ligatures w14:val="none"/>
        </w:rPr>
        <w:t xml:space="preserve"> </w:t>
      </w:r>
      <w:r w:rsidRPr="00A176B6">
        <w:rPr>
          <w:rFonts w:ascii="Arial" w:eastAsia="Times New Roman" w:hAnsi="Arial" w:cs="Arial"/>
          <w:i/>
          <w:iCs/>
          <w:kern w:val="0"/>
          <w:sz w:val="20"/>
          <w:szCs w:val="20"/>
          <w:lang w:eastAsia="en-IN"/>
          <w14:ligatures w14:val="none"/>
        </w:rPr>
        <w:t>A. oleracea</w:t>
      </w:r>
      <w:r w:rsidRPr="00A176B6">
        <w:rPr>
          <w:rFonts w:ascii="Arial" w:eastAsia="Times New Roman" w:hAnsi="Arial" w:cs="Arial"/>
          <w:kern w:val="0"/>
          <w:sz w:val="20"/>
          <w:szCs w:val="20"/>
          <w:lang w:eastAsia="en-IN"/>
          <w14:ligatures w14:val="none"/>
        </w:rPr>
        <w:t xml:space="preserve"> extract exhibited the highest </w:t>
      </w:r>
      <w:r>
        <w:rPr>
          <w:rFonts w:ascii="Arial" w:eastAsia="Times New Roman" w:hAnsi="Arial" w:cs="Arial"/>
          <w:kern w:val="0"/>
          <w:sz w:val="20"/>
          <w:szCs w:val="20"/>
          <w:lang w:eastAsia="en-IN"/>
          <w14:ligatures w14:val="none"/>
        </w:rPr>
        <w:t>net weight gain</w:t>
      </w:r>
      <w:r w:rsidRPr="00A176B6">
        <w:rPr>
          <w:rFonts w:ascii="Arial" w:eastAsia="Times New Roman" w:hAnsi="Arial" w:cs="Arial"/>
          <w:kern w:val="0"/>
          <w:sz w:val="20"/>
          <w:szCs w:val="20"/>
          <w:lang w:eastAsia="en-IN"/>
          <w14:ligatures w14:val="none"/>
        </w:rPr>
        <w:t xml:space="preserve"> (32.3 ± 1.15 g), </w:t>
      </w:r>
      <w:r>
        <w:rPr>
          <w:rFonts w:ascii="Arial" w:eastAsia="Times New Roman" w:hAnsi="Arial" w:cs="Arial"/>
          <w:kern w:val="0"/>
          <w:sz w:val="20"/>
          <w:szCs w:val="20"/>
          <w:lang w:eastAsia="en-IN"/>
          <w14:ligatures w14:val="none"/>
        </w:rPr>
        <w:t xml:space="preserve">percent weight gain </w:t>
      </w:r>
      <w:r w:rsidRPr="00A176B6">
        <w:rPr>
          <w:rFonts w:ascii="Arial" w:eastAsia="Times New Roman" w:hAnsi="Arial" w:cs="Arial"/>
          <w:kern w:val="0"/>
          <w:sz w:val="20"/>
          <w:szCs w:val="20"/>
          <w:lang w:eastAsia="en-IN"/>
          <w14:ligatures w14:val="none"/>
        </w:rPr>
        <w:t>(61.64% ± 1.36), specific growth rate</w:t>
      </w:r>
      <w:r>
        <w:rPr>
          <w:rFonts w:ascii="Arial" w:eastAsia="Times New Roman" w:hAnsi="Arial" w:cs="Arial"/>
          <w:kern w:val="0"/>
          <w:sz w:val="20"/>
          <w:szCs w:val="20"/>
          <w:lang w:eastAsia="en-IN"/>
          <w14:ligatures w14:val="none"/>
        </w:rPr>
        <w:t xml:space="preserve"> </w:t>
      </w:r>
      <w:r w:rsidRPr="00A176B6">
        <w:rPr>
          <w:rFonts w:ascii="Arial" w:eastAsia="Times New Roman" w:hAnsi="Arial" w:cs="Arial"/>
          <w:kern w:val="0"/>
          <w:sz w:val="20"/>
          <w:szCs w:val="20"/>
          <w:lang w:eastAsia="en-IN"/>
          <w14:ligatures w14:val="none"/>
        </w:rPr>
        <w:t>(1.067% ± 0.018), and the most efficient feed conversion ratio (2.62 ± 0.049). Higher concentrations (</w:t>
      </w:r>
      <w:r>
        <w:rPr>
          <w:rFonts w:ascii="Arial" w:eastAsia="Times New Roman" w:hAnsi="Arial" w:cs="Arial"/>
          <w:kern w:val="0"/>
          <w:sz w:val="20"/>
          <w:szCs w:val="20"/>
          <w:lang w:eastAsia="en-IN"/>
          <w14:ligatures w14:val="none"/>
        </w:rPr>
        <w:t>T2</w:t>
      </w:r>
      <w:r w:rsidRPr="00A176B6">
        <w:rPr>
          <w:rFonts w:ascii="Arial" w:eastAsia="Times New Roman" w:hAnsi="Arial" w:cs="Arial"/>
          <w:kern w:val="0"/>
          <w:sz w:val="20"/>
          <w:szCs w:val="20"/>
          <w:lang w:eastAsia="en-IN"/>
          <w14:ligatures w14:val="none"/>
        </w:rPr>
        <w:t xml:space="preserve"> and </w:t>
      </w:r>
      <w:r>
        <w:rPr>
          <w:rFonts w:ascii="Arial" w:eastAsia="Times New Roman" w:hAnsi="Arial" w:cs="Arial"/>
          <w:kern w:val="0"/>
          <w:sz w:val="20"/>
          <w:szCs w:val="20"/>
          <w:lang w:eastAsia="en-IN"/>
          <w14:ligatures w14:val="none"/>
        </w:rPr>
        <w:t>T3</w:t>
      </w:r>
      <w:r w:rsidRPr="00A176B6">
        <w:rPr>
          <w:rFonts w:ascii="Arial" w:eastAsia="Times New Roman" w:hAnsi="Arial" w:cs="Arial"/>
          <w:kern w:val="0"/>
          <w:sz w:val="20"/>
          <w:szCs w:val="20"/>
          <w:lang w:eastAsia="en-IN"/>
          <w14:ligatures w14:val="none"/>
        </w:rPr>
        <w:t xml:space="preserve">) showed moderate improvements but were less effective than the </w:t>
      </w:r>
      <w:r>
        <w:rPr>
          <w:rFonts w:ascii="Arial" w:eastAsia="Times New Roman" w:hAnsi="Arial" w:cs="Arial"/>
          <w:kern w:val="0"/>
          <w:sz w:val="20"/>
          <w:szCs w:val="20"/>
          <w:lang w:eastAsia="en-IN"/>
          <w14:ligatures w14:val="none"/>
        </w:rPr>
        <w:t>T1</w:t>
      </w:r>
      <w:r w:rsidRPr="00A176B6">
        <w:rPr>
          <w:rFonts w:ascii="Arial" w:eastAsia="Times New Roman" w:hAnsi="Arial" w:cs="Arial"/>
          <w:kern w:val="0"/>
          <w:sz w:val="20"/>
          <w:szCs w:val="20"/>
          <w:lang w:eastAsia="en-IN"/>
          <w14:ligatures w14:val="none"/>
        </w:rPr>
        <w:t xml:space="preserve"> treatment, suggesting a dose-dependent response.</w:t>
      </w:r>
      <w:r>
        <w:rPr>
          <w:rFonts w:ascii="Arial" w:eastAsia="Times New Roman" w:hAnsi="Arial" w:cs="Arial"/>
          <w:kern w:val="0"/>
          <w:sz w:val="20"/>
          <w:szCs w:val="20"/>
          <w:lang w:eastAsia="en-IN"/>
          <w14:ligatures w14:val="none"/>
        </w:rPr>
        <w:t xml:space="preserve"> </w:t>
      </w:r>
      <w:r w:rsidRPr="00A176B6">
        <w:rPr>
          <w:rFonts w:ascii="Arial" w:eastAsia="Times New Roman" w:hAnsi="Arial" w:cs="Arial"/>
          <w:kern w:val="0"/>
          <w:sz w:val="20"/>
          <w:szCs w:val="20"/>
          <w:lang w:eastAsia="en-IN"/>
          <w14:ligatures w14:val="none"/>
        </w:rPr>
        <w:t xml:space="preserve">This study highlights the potential of </w:t>
      </w:r>
      <w:r w:rsidRPr="00A176B6">
        <w:rPr>
          <w:rFonts w:ascii="Arial" w:eastAsia="Times New Roman" w:hAnsi="Arial" w:cs="Arial"/>
          <w:i/>
          <w:iCs/>
          <w:kern w:val="0"/>
          <w:sz w:val="20"/>
          <w:szCs w:val="20"/>
          <w:lang w:eastAsia="en-IN"/>
          <w14:ligatures w14:val="none"/>
        </w:rPr>
        <w:t>A. oleracea</w:t>
      </w:r>
      <w:r w:rsidRPr="00A176B6">
        <w:rPr>
          <w:rFonts w:ascii="Arial" w:eastAsia="Times New Roman" w:hAnsi="Arial" w:cs="Arial"/>
          <w:kern w:val="0"/>
          <w:sz w:val="20"/>
          <w:szCs w:val="20"/>
          <w:lang w:eastAsia="en-IN"/>
          <w14:ligatures w14:val="none"/>
        </w:rPr>
        <w:t xml:space="preserve"> as a natural, cost-effective, and sustainable growth promoter in aquafeed. </w:t>
      </w:r>
    </w:p>
    <w:p w14:paraId="78E1D8E7" w14:textId="77777777" w:rsidR="00C16338" w:rsidRDefault="00C16338" w:rsidP="00C16338">
      <w:r w:rsidRPr="00D72A84">
        <w:rPr>
          <w:rFonts w:ascii="Arial" w:eastAsia="Times New Roman" w:hAnsi="Arial" w:cs="Arial"/>
          <w:b/>
          <w:kern w:val="0"/>
          <w:sz w:val="20"/>
          <w:szCs w:val="20"/>
          <w:lang w:eastAsia="en-IN"/>
          <w14:ligatures w14:val="none"/>
        </w:rPr>
        <w:t xml:space="preserve">Keywords: </w:t>
      </w:r>
      <w:r>
        <w:rPr>
          <w:rFonts w:ascii="Arial" w:hAnsi="Arial" w:cs="Arial"/>
          <w:sz w:val="20"/>
          <w:szCs w:val="20"/>
        </w:rPr>
        <w:t>I</w:t>
      </w:r>
      <w:r w:rsidRPr="00A176B6">
        <w:rPr>
          <w:rFonts w:ascii="Arial" w:hAnsi="Arial" w:cs="Arial"/>
          <w:sz w:val="20"/>
          <w:szCs w:val="20"/>
        </w:rPr>
        <w:t>ntensification</w:t>
      </w:r>
      <w:r>
        <w:rPr>
          <w:rFonts w:ascii="Arial" w:hAnsi="Arial" w:cs="Arial"/>
          <w:sz w:val="20"/>
          <w:szCs w:val="20"/>
        </w:rPr>
        <w:t>, I</w:t>
      </w:r>
      <w:r w:rsidRPr="00A176B6">
        <w:rPr>
          <w:rFonts w:ascii="Arial" w:hAnsi="Arial" w:cs="Arial"/>
          <w:sz w:val="20"/>
          <w:szCs w:val="20"/>
        </w:rPr>
        <w:t>mmunostimulatory</w:t>
      </w:r>
      <w:r>
        <w:rPr>
          <w:rFonts w:ascii="Arial" w:hAnsi="Arial" w:cs="Arial"/>
          <w:sz w:val="20"/>
          <w:szCs w:val="20"/>
        </w:rPr>
        <w:t>, F</w:t>
      </w:r>
      <w:r w:rsidRPr="00A176B6">
        <w:rPr>
          <w:rFonts w:ascii="Arial" w:hAnsi="Arial" w:cs="Arial"/>
          <w:sz w:val="20"/>
          <w:szCs w:val="20"/>
        </w:rPr>
        <w:t>ormulated feed</w:t>
      </w:r>
      <w:r>
        <w:rPr>
          <w:rFonts w:ascii="Arial" w:hAnsi="Arial" w:cs="Arial"/>
          <w:sz w:val="20"/>
          <w:szCs w:val="20"/>
        </w:rPr>
        <w:t>,</w:t>
      </w:r>
      <w:r w:rsidRPr="00A176B6">
        <w:rPr>
          <w:rFonts w:ascii="Arial" w:hAnsi="Arial" w:cs="Arial"/>
          <w:sz w:val="20"/>
          <w:szCs w:val="20"/>
        </w:rPr>
        <w:t xml:space="preserve"> </w:t>
      </w:r>
      <w:r>
        <w:rPr>
          <w:rFonts w:ascii="Arial" w:hAnsi="Arial" w:cs="Arial"/>
          <w:sz w:val="20"/>
          <w:szCs w:val="20"/>
        </w:rPr>
        <w:t>A</w:t>
      </w:r>
      <w:r w:rsidRPr="00A176B6">
        <w:rPr>
          <w:rFonts w:ascii="Arial" w:hAnsi="Arial" w:cs="Arial"/>
          <w:sz w:val="20"/>
          <w:szCs w:val="20"/>
        </w:rPr>
        <w:t>quafeed</w:t>
      </w:r>
      <w:r>
        <w:t xml:space="preserve"> and </w:t>
      </w:r>
      <w:r>
        <w:rPr>
          <w:rFonts w:ascii="Arial" w:hAnsi="Arial" w:cs="Arial"/>
          <w:sz w:val="20"/>
          <w:szCs w:val="20"/>
        </w:rPr>
        <w:t>S</w:t>
      </w:r>
      <w:r w:rsidRPr="00A176B6">
        <w:rPr>
          <w:rFonts w:ascii="Arial" w:hAnsi="Arial" w:cs="Arial"/>
          <w:sz w:val="20"/>
          <w:szCs w:val="20"/>
        </w:rPr>
        <w:t>ustainable</w:t>
      </w:r>
    </w:p>
    <w:p w14:paraId="0B4B18BF" w14:textId="77777777" w:rsidR="00C16338" w:rsidRPr="00A176B6" w:rsidRDefault="00C16338" w:rsidP="00C16338">
      <w:pPr>
        <w:spacing w:line="360" w:lineRule="auto"/>
        <w:jc w:val="both"/>
        <w:rPr>
          <w:rFonts w:ascii="Arial" w:eastAsia="Calibri" w:hAnsi="Arial" w:cs="Arial"/>
          <w:b/>
          <w:bCs/>
          <w:sz w:val="20"/>
          <w:szCs w:val="20"/>
        </w:rPr>
      </w:pPr>
      <w:r w:rsidRPr="00A176B6">
        <w:rPr>
          <w:rFonts w:ascii="Arial" w:eastAsia="Calibri" w:hAnsi="Arial" w:cs="Arial"/>
          <w:b/>
          <w:bCs/>
          <w:sz w:val="20"/>
          <w:szCs w:val="20"/>
        </w:rPr>
        <w:t>Introduction</w:t>
      </w:r>
    </w:p>
    <w:p w14:paraId="5B011068" w14:textId="77777777" w:rsidR="00C16338" w:rsidRPr="00A176B6" w:rsidRDefault="00C16338" w:rsidP="00C16338">
      <w:pPr>
        <w:spacing w:line="360" w:lineRule="auto"/>
        <w:jc w:val="both"/>
        <w:rPr>
          <w:rFonts w:ascii="Arial" w:hAnsi="Arial" w:cs="Arial"/>
          <w:sz w:val="20"/>
          <w:szCs w:val="20"/>
        </w:rPr>
      </w:pPr>
      <w:r w:rsidRPr="00A176B6">
        <w:rPr>
          <w:rFonts w:ascii="Arial" w:eastAsia="Times New Roman" w:hAnsi="Arial" w:cs="Arial"/>
          <w:kern w:val="0"/>
          <w:sz w:val="20"/>
          <w:szCs w:val="20"/>
          <w:lang w:eastAsia="en-IN"/>
          <w14:ligatures w14:val="none"/>
        </w:rPr>
        <w:t xml:space="preserve">Aquaculture plays a crucial role in ensuring global food security and economic development, particularly as the global population continues to rise. Sustainable intensification of aquaculture demands eco-friendly alternatives to synthetic feed additives to improve growth performance and overall fish health. In this context, plant-derived additives have emerged as promising candidates due to their bioactive properties. </w:t>
      </w:r>
      <w:r w:rsidRPr="00A176B6">
        <w:rPr>
          <w:rFonts w:ascii="Arial" w:hAnsi="Arial" w:cs="Arial"/>
          <w:sz w:val="20"/>
          <w:szCs w:val="20"/>
        </w:rPr>
        <w:t xml:space="preserve">Aquaculture essential to global food security, it accounts for a major portion of high-quality protein and plays a significant role in contributing to economic development </w:t>
      </w:r>
      <w:r w:rsidRPr="00A176B6">
        <w:rPr>
          <w:rFonts w:ascii="Arial" w:hAnsi="Arial" w:cs="Arial"/>
          <w:b/>
          <w:bCs/>
          <w:sz w:val="20"/>
          <w:szCs w:val="20"/>
        </w:rPr>
        <w:t>(FAO, 2021)</w:t>
      </w:r>
      <w:r w:rsidRPr="00A176B6">
        <w:rPr>
          <w:rFonts w:ascii="Arial" w:hAnsi="Arial" w:cs="Arial"/>
          <w:sz w:val="20"/>
          <w:szCs w:val="20"/>
        </w:rPr>
        <w:t xml:space="preserve">. The global population is predicted to increase by a little less than 30% by the year 2050 and, therefore, the rise in demand for food will be proportionately exponential. In this regard, it will be essential to guarantee that all people have access (which is both physically and economically feasible) to sufficient amounts of safe and nutritious food, to sustain a healthy and active life; and whether we are capable of meeting this demand will rely greatly on the development of the most sustainable food production systems. Aquaculture is showing itself to be a major vehicle toward this goal. </w:t>
      </w:r>
      <w:r w:rsidRPr="00A176B6">
        <w:rPr>
          <w:rFonts w:ascii="Arial" w:hAnsi="Arial" w:cs="Arial"/>
          <w:b/>
          <w:bCs/>
          <w:sz w:val="20"/>
          <w:szCs w:val="20"/>
        </w:rPr>
        <w:t xml:space="preserve">(FAO, 2009; Hassan </w:t>
      </w:r>
      <w:r w:rsidRPr="00A176B6">
        <w:rPr>
          <w:rFonts w:ascii="Arial" w:hAnsi="Arial" w:cs="Arial"/>
          <w:b/>
          <w:bCs/>
          <w:i/>
          <w:iCs/>
          <w:sz w:val="20"/>
          <w:szCs w:val="20"/>
        </w:rPr>
        <w:t>et al</w:t>
      </w:r>
      <w:r w:rsidRPr="00A176B6">
        <w:rPr>
          <w:rFonts w:ascii="Arial" w:hAnsi="Arial" w:cs="Arial"/>
          <w:b/>
          <w:bCs/>
          <w:sz w:val="20"/>
          <w:szCs w:val="20"/>
        </w:rPr>
        <w:t>., 2021)</w:t>
      </w:r>
      <w:r w:rsidRPr="00A176B6">
        <w:rPr>
          <w:rFonts w:ascii="Arial" w:hAnsi="Arial" w:cs="Arial"/>
          <w:sz w:val="20"/>
          <w:szCs w:val="20"/>
        </w:rPr>
        <w:t xml:space="preserve"> Nevertheless, aquaculture sustainable intensification necessitates novel feed formulations that improve growth performance and minimize reliance on synthetic additives and antibiotics </w:t>
      </w:r>
      <w:r w:rsidRPr="00A176B6">
        <w:rPr>
          <w:rFonts w:ascii="Arial" w:hAnsi="Arial" w:cs="Arial"/>
          <w:b/>
          <w:bCs/>
          <w:sz w:val="20"/>
          <w:szCs w:val="20"/>
        </w:rPr>
        <w:t xml:space="preserve">(Naylor </w:t>
      </w:r>
      <w:r w:rsidRPr="00A176B6">
        <w:rPr>
          <w:rFonts w:ascii="Arial" w:hAnsi="Arial" w:cs="Arial"/>
          <w:b/>
          <w:bCs/>
          <w:i/>
          <w:iCs/>
          <w:sz w:val="20"/>
          <w:szCs w:val="20"/>
        </w:rPr>
        <w:t>et al</w:t>
      </w:r>
      <w:r w:rsidRPr="00A176B6">
        <w:rPr>
          <w:rFonts w:ascii="Arial" w:hAnsi="Arial" w:cs="Arial"/>
          <w:b/>
          <w:bCs/>
          <w:sz w:val="20"/>
          <w:szCs w:val="20"/>
        </w:rPr>
        <w:t>., 2021)</w:t>
      </w:r>
      <w:r w:rsidRPr="00A176B6">
        <w:rPr>
          <w:rFonts w:ascii="Arial" w:hAnsi="Arial" w:cs="Arial"/>
          <w:sz w:val="20"/>
          <w:szCs w:val="20"/>
        </w:rPr>
        <w:t xml:space="preserve">. Plant-derived feed additives are increasingly considered for use because of their bioactive nature, which improves fish growth, immunity, and feed efficiency </w:t>
      </w:r>
      <w:r w:rsidRPr="00A176B6">
        <w:rPr>
          <w:rFonts w:ascii="Arial" w:hAnsi="Arial" w:cs="Arial"/>
          <w:b/>
          <w:bCs/>
          <w:sz w:val="20"/>
          <w:szCs w:val="20"/>
        </w:rPr>
        <w:t xml:space="preserve">(Van Hai, 2015; Dawood </w:t>
      </w:r>
      <w:r w:rsidRPr="00A176B6">
        <w:rPr>
          <w:rFonts w:ascii="Arial" w:hAnsi="Arial" w:cs="Arial"/>
          <w:b/>
          <w:bCs/>
          <w:i/>
          <w:iCs/>
          <w:sz w:val="20"/>
          <w:szCs w:val="20"/>
        </w:rPr>
        <w:t>et al</w:t>
      </w:r>
      <w:r w:rsidRPr="00A176B6">
        <w:rPr>
          <w:rFonts w:ascii="Arial" w:hAnsi="Arial" w:cs="Arial"/>
          <w:b/>
          <w:bCs/>
          <w:sz w:val="20"/>
          <w:szCs w:val="20"/>
        </w:rPr>
        <w:t>., 2018)</w:t>
      </w:r>
      <w:r w:rsidRPr="00A176B6">
        <w:rPr>
          <w:rFonts w:ascii="Arial" w:hAnsi="Arial" w:cs="Arial"/>
          <w:sz w:val="20"/>
          <w:szCs w:val="20"/>
        </w:rPr>
        <w:t xml:space="preserve">. One of such potential plants is </w:t>
      </w:r>
      <w:r w:rsidRPr="00A176B6">
        <w:rPr>
          <w:rFonts w:ascii="Arial" w:hAnsi="Arial" w:cs="Arial"/>
          <w:i/>
          <w:iCs/>
          <w:sz w:val="20"/>
          <w:szCs w:val="20"/>
        </w:rPr>
        <w:t>A. oleracea</w:t>
      </w:r>
      <w:r w:rsidRPr="00A176B6">
        <w:rPr>
          <w:rFonts w:ascii="Arial" w:hAnsi="Arial" w:cs="Arial"/>
          <w:sz w:val="20"/>
          <w:szCs w:val="20"/>
        </w:rPr>
        <w:t xml:space="preserve">, or the toothache plant. It contains a high concentration of spilanthol, a bioactive compound that </w:t>
      </w:r>
      <w:r w:rsidRPr="00A176B6">
        <w:rPr>
          <w:rFonts w:ascii="Arial" w:hAnsi="Arial" w:cs="Arial"/>
          <w:sz w:val="20"/>
          <w:szCs w:val="20"/>
        </w:rPr>
        <w:lastRenderedPageBreak/>
        <w:t xml:space="preserve">has been shown to exhibit antimicrobial, immunostimulatory, and appetite-stimulating activities </w:t>
      </w:r>
      <w:r w:rsidRPr="00A176B6">
        <w:rPr>
          <w:rFonts w:ascii="Arial" w:hAnsi="Arial" w:cs="Arial"/>
          <w:b/>
          <w:bCs/>
          <w:sz w:val="20"/>
          <w:szCs w:val="20"/>
        </w:rPr>
        <w:t xml:space="preserve">(Singh </w:t>
      </w:r>
      <w:r w:rsidRPr="00A176B6">
        <w:rPr>
          <w:rFonts w:ascii="Arial" w:hAnsi="Arial" w:cs="Arial"/>
          <w:b/>
          <w:bCs/>
          <w:i/>
          <w:iCs/>
          <w:sz w:val="20"/>
          <w:szCs w:val="20"/>
        </w:rPr>
        <w:t>et al</w:t>
      </w:r>
      <w:r w:rsidRPr="00A176B6">
        <w:rPr>
          <w:rFonts w:ascii="Arial" w:hAnsi="Arial" w:cs="Arial"/>
          <w:b/>
          <w:bCs/>
          <w:sz w:val="20"/>
          <w:szCs w:val="20"/>
        </w:rPr>
        <w:t>., 2020)</w:t>
      </w:r>
      <w:r w:rsidRPr="00A176B6">
        <w:rPr>
          <w:rFonts w:ascii="Arial" w:hAnsi="Arial" w:cs="Arial"/>
          <w:sz w:val="20"/>
          <w:szCs w:val="20"/>
        </w:rPr>
        <w:t xml:space="preserve">. Experiments have proven that bioactive compounds extracted from plants are able to improve the activity of digestive enzymes, increase nutrient absorption, and stimulate improved growth performance in aquaculture species </w:t>
      </w:r>
      <w:r w:rsidRPr="00A176B6">
        <w:rPr>
          <w:rFonts w:ascii="Arial" w:hAnsi="Arial" w:cs="Arial"/>
          <w:b/>
          <w:bCs/>
          <w:sz w:val="20"/>
          <w:szCs w:val="20"/>
        </w:rPr>
        <w:t xml:space="preserve">(Reverter </w:t>
      </w:r>
      <w:r w:rsidRPr="00A176B6">
        <w:rPr>
          <w:rFonts w:ascii="Arial" w:hAnsi="Arial" w:cs="Arial"/>
          <w:b/>
          <w:bCs/>
          <w:i/>
          <w:iCs/>
          <w:sz w:val="20"/>
          <w:szCs w:val="20"/>
        </w:rPr>
        <w:t>et al</w:t>
      </w:r>
      <w:r w:rsidRPr="00A176B6">
        <w:rPr>
          <w:rFonts w:ascii="Arial" w:hAnsi="Arial" w:cs="Arial"/>
          <w:b/>
          <w:bCs/>
          <w:sz w:val="20"/>
          <w:szCs w:val="20"/>
        </w:rPr>
        <w:t>., 2014; Awad &amp; Awaad, 2017)</w:t>
      </w:r>
      <w:r w:rsidRPr="00A176B6">
        <w:rPr>
          <w:rFonts w:ascii="Arial" w:hAnsi="Arial" w:cs="Arial"/>
          <w:sz w:val="20"/>
          <w:szCs w:val="20"/>
        </w:rPr>
        <w:t xml:space="preserve">. Still, there is little research on the effectiveness of </w:t>
      </w:r>
      <w:r w:rsidRPr="00A176B6">
        <w:rPr>
          <w:rFonts w:ascii="Arial" w:hAnsi="Arial" w:cs="Arial"/>
          <w:i/>
          <w:iCs/>
          <w:sz w:val="20"/>
          <w:szCs w:val="20"/>
        </w:rPr>
        <w:t xml:space="preserve">A. oleracea </w:t>
      </w:r>
      <w:r w:rsidRPr="00A176B6">
        <w:rPr>
          <w:rFonts w:ascii="Arial" w:hAnsi="Arial" w:cs="Arial"/>
          <w:sz w:val="20"/>
          <w:szCs w:val="20"/>
        </w:rPr>
        <w:t xml:space="preserve">as an aquaculture feed additive. The current research assesses the impact of </w:t>
      </w:r>
      <w:r w:rsidRPr="00A176B6">
        <w:rPr>
          <w:rFonts w:ascii="Arial" w:hAnsi="Arial" w:cs="Arial"/>
          <w:i/>
          <w:iCs/>
          <w:sz w:val="20"/>
          <w:szCs w:val="20"/>
        </w:rPr>
        <w:t xml:space="preserve">A. oleracea </w:t>
      </w:r>
      <w:r w:rsidRPr="00A176B6">
        <w:rPr>
          <w:rFonts w:ascii="Arial" w:hAnsi="Arial" w:cs="Arial"/>
          <w:sz w:val="20"/>
          <w:szCs w:val="20"/>
        </w:rPr>
        <w:t xml:space="preserve">extract on the growth performance of </w:t>
      </w:r>
      <w:r w:rsidRPr="00A176B6">
        <w:rPr>
          <w:rFonts w:ascii="Arial" w:hAnsi="Arial" w:cs="Arial"/>
          <w:i/>
          <w:iCs/>
          <w:sz w:val="20"/>
          <w:szCs w:val="20"/>
        </w:rPr>
        <w:t>C. mrigala</w:t>
      </w:r>
      <w:r w:rsidRPr="00A176B6">
        <w:rPr>
          <w:rFonts w:ascii="Arial" w:hAnsi="Arial" w:cs="Arial"/>
          <w:sz w:val="20"/>
          <w:szCs w:val="20"/>
        </w:rPr>
        <w:t xml:space="preserve">, a highly valued freshwater fish species used commercially. </w:t>
      </w:r>
      <w:r w:rsidRPr="00A176B6">
        <w:rPr>
          <w:rFonts w:ascii="Arial" w:hAnsi="Arial" w:cs="Arial"/>
          <w:i/>
          <w:iCs/>
          <w:sz w:val="20"/>
          <w:szCs w:val="20"/>
        </w:rPr>
        <w:t>C. mrigala</w:t>
      </w:r>
      <w:r w:rsidRPr="00A176B6">
        <w:rPr>
          <w:rFonts w:ascii="Arial" w:hAnsi="Arial" w:cs="Arial"/>
          <w:sz w:val="20"/>
          <w:szCs w:val="20"/>
        </w:rPr>
        <w:t xml:space="preserve"> is extensively farmed in South Asia because of its high growth rate, adaptability, and economic value in carp polyculture </w:t>
      </w:r>
      <w:r w:rsidRPr="00A176B6">
        <w:rPr>
          <w:rFonts w:ascii="Arial" w:hAnsi="Arial" w:cs="Arial"/>
          <w:b/>
          <w:bCs/>
          <w:sz w:val="20"/>
          <w:szCs w:val="20"/>
        </w:rPr>
        <w:t xml:space="preserve">(Kumar </w:t>
      </w:r>
      <w:r w:rsidRPr="00A176B6">
        <w:rPr>
          <w:rFonts w:ascii="Arial" w:hAnsi="Arial" w:cs="Arial"/>
          <w:b/>
          <w:bCs/>
          <w:i/>
          <w:iCs/>
          <w:sz w:val="20"/>
          <w:szCs w:val="20"/>
        </w:rPr>
        <w:t>et al</w:t>
      </w:r>
      <w:r w:rsidRPr="00A176B6">
        <w:rPr>
          <w:rFonts w:ascii="Arial" w:hAnsi="Arial" w:cs="Arial"/>
          <w:b/>
          <w:bCs/>
          <w:sz w:val="20"/>
          <w:szCs w:val="20"/>
        </w:rPr>
        <w:t xml:space="preserve">., 2022). </w:t>
      </w:r>
      <w:r w:rsidRPr="00A176B6">
        <w:rPr>
          <w:rFonts w:ascii="Arial" w:hAnsi="Arial" w:cs="Arial"/>
          <w:sz w:val="20"/>
          <w:szCs w:val="20"/>
        </w:rPr>
        <w:t xml:space="preserve">Through the evaluation of major growth indicators like weight gain, specific growth rate (SGR), feed conversion ratio (FCR), and survival rate, this research will seek to identify the potential of </w:t>
      </w:r>
      <w:r w:rsidRPr="00A176B6">
        <w:rPr>
          <w:rFonts w:ascii="Arial" w:hAnsi="Arial" w:cs="Arial"/>
          <w:i/>
          <w:iCs/>
          <w:sz w:val="20"/>
          <w:szCs w:val="20"/>
        </w:rPr>
        <w:t>A. oleracea</w:t>
      </w:r>
      <w:r w:rsidRPr="00A176B6">
        <w:rPr>
          <w:rFonts w:ascii="Arial" w:hAnsi="Arial" w:cs="Arial"/>
          <w:sz w:val="20"/>
          <w:szCs w:val="20"/>
        </w:rPr>
        <w:t xml:space="preserve"> as a natural growth promoter in aquafeed. Results of this study may help develop sustainable and low-cost feeding programs for aquaculture.</w:t>
      </w:r>
    </w:p>
    <w:p w14:paraId="52DF4863" w14:textId="77777777" w:rsidR="00C16338" w:rsidRPr="00A176B6" w:rsidRDefault="00C16338" w:rsidP="00C16338">
      <w:pPr>
        <w:spacing w:line="360" w:lineRule="auto"/>
        <w:jc w:val="both"/>
        <w:rPr>
          <w:rFonts w:ascii="Arial" w:hAnsi="Arial" w:cs="Arial"/>
          <w:b/>
          <w:bCs/>
          <w:sz w:val="20"/>
          <w:szCs w:val="20"/>
          <w:lang w:val="en-US"/>
        </w:rPr>
      </w:pPr>
      <w:r w:rsidRPr="00A176B6">
        <w:rPr>
          <w:rFonts w:ascii="Arial" w:hAnsi="Arial" w:cs="Arial"/>
          <w:b/>
          <w:bCs/>
          <w:sz w:val="20"/>
          <w:szCs w:val="20"/>
          <w:lang w:val="en-US"/>
        </w:rPr>
        <w:t xml:space="preserve">2. Materials and method </w:t>
      </w:r>
    </w:p>
    <w:p w14:paraId="5AE8D94D" w14:textId="77777777" w:rsidR="00C16338" w:rsidRPr="00A176B6" w:rsidRDefault="00C16338" w:rsidP="00C16338">
      <w:pPr>
        <w:spacing w:line="360" w:lineRule="auto"/>
        <w:jc w:val="both"/>
        <w:rPr>
          <w:rFonts w:ascii="Arial" w:hAnsi="Arial" w:cs="Arial"/>
          <w:b/>
          <w:bCs/>
          <w:sz w:val="20"/>
          <w:szCs w:val="20"/>
          <w:lang w:val="en-US"/>
        </w:rPr>
      </w:pPr>
      <w:r w:rsidRPr="00A176B6">
        <w:rPr>
          <w:rFonts w:ascii="Arial" w:hAnsi="Arial" w:cs="Arial"/>
          <w:b/>
          <w:bCs/>
          <w:sz w:val="20"/>
          <w:szCs w:val="20"/>
          <w:lang w:val="en-US"/>
        </w:rPr>
        <w:t xml:space="preserve">2.1 Experiment trial and </w:t>
      </w:r>
    </w:p>
    <w:p w14:paraId="31E548EC" w14:textId="77777777" w:rsidR="00C16338" w:rsidRPr="00A176B6" w:rsidRDefault="00C16338" w:rsidP="00C16338">
      <w:pPr>
        <w:spacing w:line="360" w:lineRule="auto"/>
        <w:jc w:val="both"/>
        <w:rPr>
          <w:rFonts w:ascii="Arial" w:hAnsi="Arial" w:cs="Arial"/>
          <w:sz w:val="20"/>
          <w:szCs w:val="20"/>
          <w:lang w:val="en-US"/>
        </w:rPr>
      </w:pPr>
      <w:r w:rsidRPr="00A176B6">
        <w:rPr>
          <w:rFonts w:ascii="Arial" w:hAnsi="Arial" w:cs="Arial"/>
          <w:sz w:val="20"/>
          <w:szCs w:val="20"/>
          <w:lang w:val="en-US"/>
        </w:rPr>
        <w:t>The experiment was conducted in Aquaculture Laboratory of S</w:t>
      </w:r>
      <w:r>
        <w:rPr>
          <w:rFonts w:ascii="Arial" w:hAnsi="Arial" w:cs="Arial"/>
          <w:sz w:val="20"/>
          <w:szCs w:val="20"/>
          <w:lang w:val="en-US"/>
        </w:rPr>
        <w:t>.</w:t>
      </w:r>
      <w:r w:rsidRPr="00A176B6">
        <w:rPr>
          <w:rFonts w:ascii="Arial" w:hAnsi="Arial" w:cs="Arial"/>
          <w:sz w:val="20"/>
          <w:szCs w:val="20"/>
          <w:lang w:val="en-US"/>
        </w:rPr>
        <w:t>A</w:t>
      </w:r>
      <w:r>
        <w:rPr>
          <w:rFonts w:ascii="Arial" w:hAnsi="Arial" w:cs="Arial"/>
          <w:sz w:val="20"/>
          <w:szCs w:val="20"/>
          <w:lang w:val="en-US"/>
        </w:rPr>
        <w:t>.</w:t>
      </w:r>
      <w:r w:rsidRPr="00A176B6">
        <w:rPr>
          <w:rFonts w:ascii="Arial" w:hAnsi="Arial" w:cs="Arial"/>
          <w:sz w:val="20"/>
          <w:szCs w:val="20"/>
          <w:lang w:val="en-US"/>
        </w:rPr>
        <w:t>G</w:t>
      </w:r>
      <w:r>
        <w:rPr>
          <w:rFonts w:ascii="Arial" w:hAnsi="Arial" w:cs="Arial"/>
          <w:sz w:val="20"/>
          <w:szCs w:val="20"/>
          <w:lang w:val="en-US"/>
        </w:rPr>
        <w:t>.</w:t>
      </w:r>
      <w:r w:rsidRPr="00A176B6">
        <w:rPr>
          <w:rFonts w:ascii="Arial" w:hAnsi="Arial" w:cs="Arial"/>
          <w:sz w:val="20"/>
          <w:szCs w:val="20"/>
          <w:lang w:val="en-US"/>
        </w:rPr>
        <w:t xml:space="preserve">E </w:t>
      </w:r>
      <w:r>
        <w:rPr>
          <w:rFonts w:ascii="Arial" w:hAnsi="Arial" w:cs="Arial"/>
          <w:sz w:val="20"/>
          <w:szCs w:val="20"/>
          <w:lang w:val="en-US"/>
        </w:rPr>
        <w:t>U</w:t>
      </w:r>
      <w:r w:rsidRPr="00A176B6">
        <w:rPr>
          <w:rFonts w:ascii="Arial" w:hAnsi="Arial" w:cs="Arial"/>
          <w:sz w:val="20"/>
          <w:szCs w:val="20"/>
          <w:lang w:val="en-US"/>
        </w:rPr>
        <w:t>niversity, Bhopal, Madhya Pradesh from December</w:t>
      </w:r>
      <w:r>
        <w:rPr>
          <w:rFonts w:ascii="Arial" w:hAnsi="Arial" w:cs="Arial"/>
          <w:sz w:val="20"/>
          <w:szCs w:val="20"/>
          <w:lang w:val="en-US"/>
        </w:rPr>
        <w:t xml:space="preserve"> 2024</w:t>
      </w:r>
      <w:r w:rsidRPr="00A176B6">
        <w:rPr>
          <w:rFonts w:ascii="Arial" w:hAnsi="Arial" w:cs="Arial"/>
          <w:sz w:val="20"/>
          <w:szCs w:val="20"/>
          <w:lang w:val="en-US"/>
        </w:rPr>
        <w:t xml:space="preserve"> to January</w:t>
      </w:r>
      <w:r>
        <w:rPr>
          <w:rFonts w:ascii="Arial" w:hAnsi="Arial" w:cs="Arial"/>
          <w:sz w:val="20"/>
          <w:szCs w:val="20"/>
          <w:lang w:val="en-US"/>
        </w:rPr>
        <w:t xml:space="preserve"> 2025</w:t>
      </w:r>
      <w:r w:rsidRPr="00A176B6">
        <w:rPr>
          <w:rFonts w:ascii="Arial" w:hAnsi="Arial" w:cs="Arial"/>
          <w:sz w:val="20"/>
          <w:szCs w:val="20"/>
          <w:lang w:val="en-US"/>
        </w:rPr>
        <w:t>.</w:t>
      </w:r>
    </w:p>
    <w:p w14:paraId="442B596E" w14:textId="77777777" w:rsidR="00C16338" w:rsidRPr="00A176B6" w:rsidRDefault="00C16338" w:rsidP="00C16338">
      <w:pPr>
        <w:spacing w:line="360" w:lineRule="auto"/>
        <w:jc w:val="both"/>
        <w:rPr>
          <w:rFonts w:ascii="Arial" w:hAnsi="Arial" w:cs="Arial"/>
          <w:b/>
          <w:bCs/>
          <w:sz w:val="20"/>
          <w:szCs w:val="20"/>
          <w:lang w:val="en-US"/>
        </w:rPr>
      </w:pPr>
      <w:r w:rsidRPr="00A176B6">
        <w:rPr>
          <w:rFonts w:ascii="Arial" w:hAnsi="Arial" w:cs="Arial"/>
          <w:b/>
          <w:bCs/>
          <w:sz w:val="20"/>
          <w:szCs w:val="20"/>
          <w:lang w:val="en-US"/>
        </w:rPr>
        <w:t>2.2 Collection of toothache plant (</w:t>
      </w:r>
      <w:r w:rsidRPr="00F15C54">
        <w:rPr>
          <w:rFonts w:ascii="Arial" w:hAnsi="Arial" w:cs="Arial"/>
          <w:b/>
          <w:bCs/>
          <w:i/>
          <w:sz w:val="20"/>
          <w:szCs w:val="20"/>
          <w:lang w:val="en-US"/>
        </w:rPr>
        <w:t>A. oleracea</w:t>
      </w:r>
      <w:r w:rsidRPr="00A176B6">
        <w:rPr>
          <w:rFonts w:ascii="Arial" w:hAnsi="Arial" w:cs="Arial"/>
          <w:b/>
          <w:bCs/>
          <w:sz w:val="20"/>
          <w:szCs w:val="20"/>
          <w:lang w:val="en-US"/>
        </w:rPr>
        <w:t>)</w:t>
      </w:r>
    </w:p>
    <w:p w14:paraId="4E12A6AE" w14:textId="77777777" w:rsidR="00C16338" w:rsidRPr="00A176B6" w:rsidRDefault="00C16338" w:rsidP="00C16338">
      <w:pPr>
        <w:spacing w:line="360" w:lineRule="auto"/>
        <w:jc w:val="both"/>
        <w:rPr>
          <w:rFonts w:ascii="Arial" w:hAnsi="Arial" w:cs="Arial"/>
          <w:sz w:val="20"/>
          <w:szCs w:val="20"/>
          <w:lang w:val="en-US"/>
        </w:rPr>
      </w:pPr>
      <w:r w:rsidRPr="00A176B6">
        <w:rPr>
          <w:rFonts w:ascii="Arial" w:hAnsi="Arial" w:cs="Arial"/>
          <w:sz w:val="20"/>
          <w:szCs w:val="20"/>
          <w:lang w:val="en-US"/>
        </w:rPr>
        <w:t xml:space="preserve">The toothache plant was collected from Papum Pare District of Arunachal Pradesh. The plant was sundried </w:t>
      </w:r>
      <w:r>
        <w:rPr>
          <w:rFonts w:ascii="Arial" w:hAnsi="Arial" w:cs="Arial"/>
          <w:sz w:val="20"/>
          <w:szCs w:val="20"/>
          <w:lang w:val="en-US"/>
        </w:rPr>
        <w:t xml:space="preserve">for one week </w:t>
      </w:r>
      <w:r w:rsidRPr="00A176B6">
        <w:rPr>
          <w:rFonts w:ascii="Arial" w:hAnsi="Arial" w:cs="Arial"/>
          <w:sz w:val="20"/>
          <w:szCs w:val="20"/>
          <w:lang w:val="en-US"/>
        </w:rPr>
        <w:t>and grinded into powder form. The extract was obtained through Soxhlet method.</w:t>
      </w:r>
    </w:p>
    <w:p w14:paraId="3C913342" w14:textId="77777777" w:rsidR="00C16338" w:rsidRPr="00A176B6" w:rsidRDefault="00C16338" w:rsidP="00C16338">
      <w:pPr>
        <w:spacing w:line="360" w:lineRule="auto"/>
        <w:jc w:val="both"/>
        <w:rPr>
          <w:rFonts w:ascii="Arial" w:hAnsi="Arial" w:cs="Arial"/>
          <w:b/>
          <w:bCs/>
          <w:i/>
          <w:iCs/>
          <w:sz w:val="20"/>
          <w:szCs w:val="20"/>
          <w:lang w:val="en-US"/>
        </w:rPr>
      </w:pPr>
      <w:r w:rsidRPr="00A176B6">
        <w:rPr>
          <w:rFonts w:ascii="Arial" w:hAnsi="Arial" w:cs="Arial"/>
          <w:b/>
          <w:bCs/>
          <w:i/>
          <w:iCs/>
          <w:sz w:val="20"/>
          <w:szCs w:val="20"/>
          <w:lang w:val="en-US"/>
        </w:rPr>
        <w:t xml:space="preserve">2.3 </w:t>
      </w:r>
      <w:r w:rsidRPr="00A176B6">
        <w:rPr>
          <w:rFonts w:ascii="Arial" w:hAnsi="Arial" w:cs="Arial"/>
          <w:b/>
          <w:bCs/>
          <w:sz w:val="20"/>
          <w:szCs w:val="20"/>
          <w:lang w:val="en-US"/>
        </w:rPr>
        <w:t>Experiment setup</w:t>
      </w:r>
    </w:p>
    <w:p w14:paraId="296840D9" w14:textId="77777777" w:rsidR="00C16338" w:rsidRPr="00A176B6" w:rsidRDefault="00C16338" w:rsidP="00C16338">
      <w:pPr>
        <w:spacing w:line="360" w:lineRule="auto"/>
        <w:jc w:val="both"/>
        <w:rPr>
          <w:rFonts w:ascii="Arial" w:hAnsi="Arial" w:cs="Arial"/>
          <w:sz w:val="20"/>
          <w:szCs w:val="20"/>
        </w:rPr>
      </w:pPr>
      <w:r w:rsidRPr="00A176B6">
        <w:rPr>
          <w:rFonts w:ascii="Arial" w:hAnsi="Arial" w:cs="Arial"/>
          <w:sz w:val="20"/>
          <w:szCs w:val="20"/>
        </w:rPr>
        <w:t xml:space="preserve">There were </w:t>
      </w:r>
      <w:r>
        <w:rPr>
          <w:rFonts w:ascii="Arial" w:hAnsi="Arial" w:cs="Arial"/>
          <w:sz w:val="20"/>
          <w:szCs w:val="20"/>
        </w:rPr>
        <w:t>three</w:t>
      </w:r>
      <w:r w:rsidRPr="00A176B6">
        <w:rPr>
          <w:rFonts w:ascii="Arial" w:hAnsi="Arial" w:cs="Arial"/>
          <w:sz w:val="20"/>
          <w:szCs w:val="20"/>
        </w:rPr>
        <w:t xml:space="preserve"> treatment</w:t>
      </w:r>
      <w:r>
        <w:rPr>
          <w:rFonts w:ascii="Arial" w:hAnsi="Arial" w:cs="Arial"/>
          <w:sz w:val="20"/>
          <w:szCs w:val="20"/>
        </w:rPr>
        <w:t>s and one control</w:t>
      </w:r>
      <w:r w:rsidRPr="00A176B6">
        <w:rPr>
          <w:rFonts w:ascii="Arial" w:hAnsi="Arial" w:cs="Arial"/>
          <w:sz w:val="20"/>
          <w:szCs w:val="20"/>
        </w:rPr>
        <w:t xml:space="preserve"> designated as T</w:t>
      </w:r>
      <w:r>
        <w:rPr>
          <w:rFonts w:ascii="Arial" w:hAnsi="Arial" w:cs="Arial"/>
          <w:sz w:val="20"/>
          <w:szCs w:val="20"/>
        </w:rPr>
        <w:t>0</w:t>
      </w:r>
      <w:r w:rsidRPr="00A176B6">
        <w:rPr>
          <w:rFonts w:ascii="Arial" w:hAnsi="Arial" w:cs="Arial"/>
          <w:sz w:val="20"/>
          <w:szCs w:val="20"/>
        </w:rPr>
        <w:t xml:space="preserve"> (Cont</w:t>
      </w:r>
      <w:r>
        <w:rPr>
          <w:rFonts w:ascii="Arial" w:hAnsi="Arial" w:cs="Arial"/>
          <w:sz w:val="20"/>
          <w:szCs w:val="20"/>
        </w:rPr>
        <w:t>rol</w:t>
      </w:r>
      <w:r w:rsidRPr="00A176B6">
        <w:rPr>
          <w:rFonts w:ascii="Arial" w:hAnsi="Arial" w:cs="Arial"/>
          <w:sz w:val="20"/>
          <w:szCs w:val="20"/>
        </w:rPr>
        <w:t>), T</w:t>
      </w:r>
      <w:r>
        <w:rPr>
          <w:rFonts w:ascii="Arial" w:hAnsi="Arial" w:cs="Arial"/>
          <w:sz w:val="20"/>
          <w:szCs w:val="20"/>
        </w:rPr>
        <w:t>1</w:t>
      </w:r>
      <w:r w:rsidRPr="00A176B6">
        <w:rPr>
          <w:rFonts w:ascii="Arial" w:hAnsi="Arial" w:cs="Arial"/>
          <w:sz w:val="20"/>
          <w:szCs w:val="20"/>
        </w:rPr>
        <w:t xml:space="preserve"> (0.5%), T</w:t>
      </w:r>
      <w:r>
        <w:rPr>
          <w:rFonts w:ascii="Arial" w:hAnsi="Arial" w:cs="Arial"/>
          <w:sz w:val="20"/>
          <w:szCs w:val="20"/>
        </w:rPr>
        <w:t>2</w:t>
      </w:r>
      <w:r w:rsidRPr="00A176B6">
        <w:rPr>
          <w:rFonts w:ascii="Arial" w:hAnsi="Arial" w:cs="Arial"/>
          <w:sz w:val="20"/>
          <w:szCs w:val="20"/>
        </w:rPr>
        <w:t xml:space="preserve"> (</w:t>
      </w:r>
      <w:r>
        <w:rPr>
          <w:rFonts w:ascii="Arial" w:hAnsi="Arial" w:cs="Arial"/>
          <w:sz w:val="20"/>
          <w:szCs w:val="20"/>
        </w:rPr>
        <w:t>1</w:t>
      </w:r>
      <w:r w:rsidRPr="00A176B6">
        <w:rPr>
          <w:rFonts w:ascii="Arial" w:hAnsi="Arial" w:cs="Arial"/>
          <w:sz w:val="20"/>
          <w:szCs w:val="20"/>
        </w:rPr>
        <w:t>%) and T</w:t>
      </w:r>
      <w:r>
        <w:rPr>
          <w:rFonts w:ascii="Arial" w:hAnsi="Arial" w:cs="Arial"/>
          <w:sz w:val="20"/>
          <w:szCs w:val="20"/>
        </w:rPr>
        <w:t>3</w:t>
      </w:r>
      <w:r w:rsidRPr="00A176B6">
        <w:rPr>
          <w:rFonts w:ascii="Arial" w:hAnsi="Arial" w:cs="Arial"/>
          <w:sz w:val="20"/>
          <w:szCs w:val="20"/>
        </w:rPr>
        <w:t xml:space="preserve"> (1.5%)</w:t>
      </w:r>
      <w:r w:rsidRPr="00F15C54">
        <w:rPr>
          <w:rFonts w:ascii="Arial" w:hAnsi="Arial" w:cs="Arial"/>
          <w:i/>
          <w:iCs/>
          <w:sz w:val="20"/>
          <w:szCs w:val="20"/>
        </w:rPr>
        <w:t xml:space="preserve"> </w:t>
      </w:r>
      <w:r w:rsidRPr="00A176B6">
        <w:rPr>
          <w:rFonts w:ascii="Arial" w:hAnsi="Arial" w:cs="Arial"/>
          <w:i/>
          <w:iCs/>
          <w:sz w:val="20"/>
          <w:szCs w:val="20"/>
        </w:rPr>
        <w:t>A. oleracea</w:t>
      </w:r>
      <w:r w:rsidRPr="00A176B6">
        <w:rPr>
          <w:rFonts w:ascii="Arial" w:hAnsi="Arial" w:cs="Arial"/>
          <w:sz w:val="20"/>
          <w:szCs w:val="20"/>
        </w:rPr>
        <w:t xml:space="preserve"> extract were fed with experimental diets for 45 days. Each </w:t>
      </w:r>
      <w:r>
        <w:rPr>
          <w:rFonts w:ascii="Arial" w:hAnsi="Arial" w:cs="Arial"/>
          <w:sz w:val="20"/>
          <w:szCs w:val="20"/>
        </w:rPr>
        <w:t>t</w:t>
      </w:r>
      <w:r w:rsidRPr="00A176B6">
        <w:rPr>
          <w:rFonts w:ascii="Arial" w:hAnsi="Arial" w:cs="Arial"/>
          <w:sz w:val="20"/>
          <w:szCs w:val="20"/>
        </w:rPr>
        <w:t xml:space="preserve">reatment had three replications. The </w:t>
      </w:r>
      <w:r>
        <w:rPr>
          <w:rFonts w:ascii="Arial" w:hAnsi="Arial" w:cs="Arial"/>
          <w:sz w:val="20"/>
          <w:szCs w:val="20"/>
        </w:rPr>
        <w:t>f</w:t>
      </w:r>
      <w:r w:rsidRPr="00A176B6">
        <w:rPr>
          <w:rFonts w:ascii="Arial" w:hAnsi="Arial" w:cs="Arial"/>
          <w:sz w:val="20"/>
          <w:szCs w:val="20"/>
        </w:rPr>
        <w:t xml:space="preserve">ish was acclimatized for two weeks in the tank before the start of experiment. Each tank consists of five fish </w:t>
      </w:r>
      <w:r>
        <w:rPr>
          <w:rFonts w:ascii="Arial" w:hAnsi="Arial" w:cs="Arial"/>
          <w:sz w:val="20"/>
          <w:szCs w:val="20"/>
        </w:rPr>
        <w:t xml:space="preserve">with average weight 8.3 g and length 6.8cm </w:t>
      </w:r>
      <w:r w:rsidRPr="00A176B6">
        <w:rPr>
          <w:rFonts w:ascii="Arial" w:hAnsi="Arial" w:cs="Arial"/>
          <w:sz w:val="20"/>
          <w:szCs w:val="20"/>
        </w:rPr>
        <w:t>and t</w:t>
      </w:r>
      <w:r>
        <w:rPr>
          <w:rFonts w:ascii="Arial" w:hAnsi="Arial" w:cs="Arial"/>
          <w:sz w:val="20"/>
          <w:szCs w:val="20"/>
        </w:rPr>
        <w:t>hey were fed a basal diet of 28 per cent</w:t>
      </w:r>
      <w:r w:rsidRPr="00A176B6">
        <w:rPr>
          <w:rFonts w:ascii="Arial" w:hAnsi="Arial" w:cs="Arial"/>
          <w:sz w:val="20"/>
          <w:szCs w:val="20"/>
        </w:rPr>
        <w:t xml:space="preserve"> protein</w:t>
      </w:r>
      <w:r>
        <w:rPr>
          <w:rFonts w:ascii="Arial" w:hAnsi="Arial" w:cs="Arial"/>
          <w:sz w:val="20"/>
          <w:szCs w:val="20"/>
        </w:rPr>
        <w:t xml:space="preserve"> at 3 per cent</w:t>
      </w:r>
      <w:r w:rsidRPr="00A176B6">
        <w:rPr>
          <w:rFonts w:ascii="Arial" w:hAnsi="Arial" w:cs="Arial"/>
          <w:sz w:val="20"/>
          <w:szCs w:val="20"/>
        </w:rPr>
        <w:t xml:space="preserve"> body weight and feeding was </w:t>
      </w:r>
      <w:r>
        <w:rPr>
          <w:rFonts w:ascii="Arial" w:hAnsi="Arial" w:cs="Arial"/>
          <w:sz w:val="20"/>
          <w:szCs w:val="20"/>
        </w:rPr>
        <w:t xml:space="preserve">done at </w:t>
      </w:r>
      <w:r w:rsidRPr="00A176B6">
        <w:rPr>
          <w:rFonts w:ascii="Arial" w:hAnsi="Arial" w:cs="Arial"/>
          <w:sz w:val="20"/>
          <w:szCs w:val="20"/>
        </w:rPr>
        <w:t>two times in a day for 45 days. The ingredien</w:t>
      </w:r>
      <w:r>
        <w:rPr>
          <w:rFonts w:ascii="Arial" w:hAnsi="Arial" w:cs="Arial"/>
          <w:sz w:val="20"/>
          <w:szCs w:val="20"/>
        </w:rPr>
        <w:t>ts used for formulated feed were f</w:t>
      </w:r>
      <w:r w:rsidRPr="00A176B6">
        <w:rPr>
          <w:rFonts w:ascii="Arial" w:hAnsi="Arial" w:cs="Arial"/>
          <w:sz w:val="20"/>
          <w:szCs w:val="20"/>
        </w:rPr>
        <w:t xml:space="preserve">ish </w:t>
      </w:r>
      <w:r>
        <w:rPr>
          <w:rFonts w:ascii="Arial" w:hAnsi="Arial" w:cs="Arial"/>
          <w:sz w:val="20"/>
          <w:szCs w:val="20"/>
        </w:rPr>
        <w:t>meal, r</w:t>
      </w:r>
      <w:r w:rsidRPr="00A176B6">
        <w:rPr>
          <w:rFonts w:ascii="Arial" w:hAnsi="Arial" w:cs="Arial"/>
          <w:sz w:val="20"/>
          <w:szCs w:val="20"/>
        </w:rPr>
        <w:t xml:space="preserve">ice </w:t>
      </w:r>
      <w:r>
        <w:rPr>
          <w:rFonts w:ascii="Arial" w:hAnsi="Arial" w:cs="Arial"/>
          <w:sz w:val="20"/>
          <w:szCs w:val="20"/>
        </w:rPr>
        <w:t>brand, w</w:t>
      </w:r>
      <w:r w:rsidRPr="00A176B6">
        <w:rPr>
          <w:rFonts w:ascii="Arial" w:hAnsi="Arial" w:cs="Arial"/>
          <w:sz w:val="20"/>
          <w:szCs w:val="20"/>
        </w:rPr>
        <w:t xml:space="preserve">heat </w:t>
      </w:r>
      <w:r>
        <w:rPr>
          <w:rFonts w:ascii="Arial" w:hAnsi="Arial" w:cs="Arial"/>
          <w:sz w:val="20"/>
          <w:szCs w:val="20"/>
        </w:rPr>
        <w:t>flour, vitamin</w:t>
      </w:r>
      <w:r w:rsidRPr="00A176B6">
        <w:rPr>
          <w:rFonts w:ascii="Arial" w:hAnsi="Arial" w:cs="Arial"/>
          <w:sz w:val="20"/>
          <w:szCs w:val="20"/>
        </w:rPr>
        <w:t xml:space="preserve"> </w:t>
      </w:r>
      <w:r>
        <w:rPr>
          <w:rFonts w:ascii="Arial" w:hAnsi="Arial" w:cs="Arial"/>
          <w:sz w:val="20"/>
          <w:szCs w:val="20"/>
        </w:rPr>
        <w:t>premix and</w:t>
      </w:r>
      <w:r w:rsidRPr="00A176B6">
        <w:rPr>
          <w:rFonts w:ascii="Arial" w:hAnsi="Arial" w:cs="Arial"/>
          <w:sz w:val="20"/>
          <w:szCs w:val="20"/>
        </w:rPr>
        <w:t xml:space="preserve"> MOC as shown in (Table 1.) Each tank was provided </w:t>
      </w:r>
      <w:r>
        <w:rPr>
          <w:rFonts w:ascii="Arial" w:hAnsi="Arial" w:cs="Arial"/>
          <w:sz w:val="20"/>
          <w:szCs w:val="20"/>
        </w:rPr>
        <w:t xml:space="preserve">the </w:t>
      </w:r>
      <w:r w:rsidRPr="00A176B6">
        <w:rPr>
          <w:rFonts w:ascii="Arial" w:hAnsi="Arial" w:cs="Arial"/>
          <w:sz w:val="20"/>
          <w:szCs w:val="20"/>
        </w:rPr>
        <w:t xml:space="preserve">aeration </w:t>
      </w:r>
      <w:r>
        <w:rPr>
          <w:rFonts w:ascii="Arial" w:hAnsi="Arial" w:cs="Arial"/>
          <w:sz w:val="20"/>
          <w:szCs w:val="20"/>
        </w:rPr>
        <w:t>facility through aerators.</w:t>
      </w:r>
    </w:p>
    <w:p w14:paraId="1F8C7E74" w14:textId="77777777" w:rsidR="00C16338" w:rsidRPr="00A176B6" w:rsidRDefault="00C16338" w:rsidP="00C16338">
      <w:pPr>
        <w:spacing w:line="360" w:lineRule="auto"/>
        <w:jc w:val="both"/>
        <w:rPr>
          <w:rFonts w:ascii="Arial" w:hAnsi="Arial" w:cs="Arial"/>
          <w:sz w:val="20"/>
          <w:szCs w:val="20"/>
        </w:rPr>
      </w:pPr>
    </w:p>
    <w:p w14:paraId="6BDBF5C4" w14:textId="77777777" w:rsidR="00C16338" w:rsidRPr="008214FF" w:rsidRDefault="00C16338" w:rsidP="00C16338">
      <w:pPr>
        <w:spacing w:line="360" w:lineRule="auto"/>
        <w:jc w:val="both"/>
        <w:rPr>
          <w:rFonts w:ascii="Arial" w:hAnsi="Arial" w:cs="Arial"/>
          <w:b/>
          <w:sz w:val="20"/>
          <w:szCs w:val="20"/>
        </w:rPr>
      </w:pPr>
      <w:r w:rsidRPr="00A176B6">
        <w:rPr>
          <w:rFonts w:ascii="Arial" w:hAnsi="Arial" w:cs="Arial"/>
          <w:b/>
          <w:bCs/>
          <w:sz w:val="20"/>
          <w:szCs w:val="20"/>
        </w:rPr>
        <w:t>Table 1</w:t>
      </w:r>
      <w:r w:rsidRPr="00A176B6">
        <w:rPr>
          <w:rFonts w:ascii="Arial" w:hAnsi="Arial" w:cs="Arial"/>
          <w:sz w:val="20"/>
          <w:szCs w:val="20"/>
        </w:rPr>
        <w:t>.</w:t>
      </w:r>
      <w:r w:rsidRPr="00A176B6">
        <w:rPr>
          <w:rFonts w:ascii="Arial" w:hAnsi="Arial" w:cs="Arial"/>
          <w:b/>
          <w:bCs/>
          <w:sz w:val="20"/>
          <w:szCs w:val="20"/>
        </w:rPr>
        <w:t xml:space="preserve"> </w:t>
      </w:r>
      <w:r w:rsidRPr="008214FF">
        <w:rPr>
          <w:rFonts w:ascii="Arial" w:hAnsi="Arial" w:cs="Arial"/>
          <w:b/>
          <w:bCs/>
          <w:sz w:val="20"/>
          <w:szCs w:val="20"/>
        </w:rPr>
        <w:t xml:space="preserve">Experimental </w:t>
      </w:r>
      <w:r>
        <w:rPr>
          <w:rFonts w:ascii="Arial" w:hAnsi="Arial" w:cs="Arial"/>
          <w:b/>
          <w:bCs/>
          <w:sz w:val="20"/>
          <w:szCs w:val="20"/>
        </w:rPr>
        <w:t>D</w:t>
      </w:r>
      <w:r w:rsidRPr="008214FF">
        <w:rPr>
          <w:rFonts w:ascii="Arial" w:hAnsi="Arial" w:cs="Arial"/>
          <w:b/>
          <w:bCs/>
          <w:sz w:val="20"/>
          <w:szCs w:val="20"/>
        </w:rPr>
        <w:t xml:space="preserve">iet </w:t>
      </w:r>
      <w:r>
        <w:rPr>
          <w:rFonts w:ascii="Arial" w:hAnsi="Arial" w:cs="Arial"/>
          <w:b/>
          <w:sz w:val="20"/>
          <w:szCs w:val="20"/>
        </w:rPr>
        <w:t>I</w:t>
      </w:r>
      <w:r w:rsidRPr="008214FF">
        <w:rPr>
          <w:rFonts w:ascii="Arial" w:hAnsi="Arial" w:cs="Arial"/>
          <w:b/>
          <w:sz w:val="20"/>
          <w:szCs w:val="20"/>
        </w:rPr>
        <w:t xml:space="preserve">ngredient </w:t>
      </w:r>
      <w:r>
        <w:rPr>
          <w:rFonts w:ascii="Arial" w:hAnsi="Arial" w:cs="Arial"/>
          <w:b/>
          <w:sz w:val="20"/>
          <w:szCs w:val="20"/>
        </w:rPr>
        <w:t>C</w:t>
      </w:r>
      <w:r w:rsidRPr="008214FF">
        <w:rPr>
          <w:rFonts w:ascii="Arial" w:hAnsi="Arial" w:cs="Arial"/>
          <w:b/>
          <w:sz w:val="20"/>
          <w:szCs w:val="20"/>
        </w:rPr>
        <w:t xml:space="preserve">omposition </w:t>
      </w:r>
    </w:p>
    <w:tbl>
      <w:tblPr>
        <w:tblStyle w:val="TableGrid"/>
        <w:tblW w:w="7933" w:type="dxa"/>
        <w:tblInd w:w="542" w:type="dxa"/>
        <w:tblLook w:val="04A0" w:firstRow="1" w:lastRow="0" w:firstColumn="1" w:lastColumn="0" w:noHBand="0" w:noVBand="1"/>
      </w:tblPr>
      <w:tblGrid>
        <w:gridCol w:w="1129"/>
        <w:gridCol w:w="2410"/>
        <w:gridCol w:w="1134"/>
        <w:gridCol w:w="1134"/>
        <w:gridCol w:w="992"/>
        <w:gridCol w:w="1134"/>
      </w:tblGrid>
      <w:tr w:rsidR="00C16338" w:rsidRPr="00A176B6" w14:paraId="4C24CBCE" w14:textId="77777777" w:rsidTr="00116A05">
        <w:trPr>
          <w:trHeight w:val="366"/>
        </w:trPr>
        <w:tc>
          <w:tcPr>
            <w:tcW w:w="1129" w:type="dxa"/>
            <w:hideMark/>
          </w:tcPr>
          <w:p w14:paraId="707040EF" w14:textId="77777777" w:rsidR="00C16338" w:rsidRPr="00A176B6" w:rsidRDefault="00C16338" w:rsidP="00116A05">
            <w:pPr>
              <w:spacing w:after="160" w:line="360" w:lineRule="auto"/>
              <w:jc w:val="center"/>
              <w:rPr>
                <w:rFonts w:ascii="Arial" w:hAnsi="Arial" w:cs="Arial"/>
                <w:b/>
                <w:bCs/>
                <w:sz w:val="20"/>
                <w:szCs w:val="20"/>
              </w:rPr>
            </w:pPr>
            <w:r w:rsidRPr="00A176B6">
              <w:rPr>
                <w:rFonts w:ascii="Arial" w:hAnsi="Arial" w:cs="Arial"/>
                <w:b/>
                <w:bCs/>
                <w:sz w:val="20"/>
                <w:szCs w:val="20"/>
              </w:rPr>
              <w:t>S.No.</w:t>
            </w:r>
          </w:p>
        </w:tc>
        <w:tc>
          <w:tcPr>
            <w:tcW w:w="2410" w:type="dxa"/>
            <w:hideMark/>
          </w:tcPr>
          <w:p w14:paraId="1D77FDD9" w14:textId="77777777" w:rsidR="00C16338" w:rsidRPr="00A176B6" w:rsidRDefault="00C16338" w:rsidP="00116A05">
            <w:pPr>
              <w:spacing w:after="160" w:line="360" w:lineRule="auto"/>
              <w:jc w:val="center"/>
              <w:rPr>
                <w:rFonts w:ascii="Arial" w:hAnsi="Arial" w:cs="Arial"/>
                <w:b/>
                <w:bCs/>
                <w:sz w:val="20"/>
                <w:szCs w:val="20"/>
              </w:rPr>
            </w:pPr>
            <w:r w:rsidRPr="00A176B6">
              <w:rPr>
                <w:rFonts w:ascii="Arial" w:hAnsi="Arial" w:cs="Arial"/>
                <w:b/>
                <w:bCs/>
                <w:sz w:val="20"/>
                <w:szCs w:val="20"/>
              </w:rPr>
              <w:t>Ingredients (g)</w:t>
            </w:r>
          </w:p>
        </w:tc>
        <w:tc>
          <w:tcPr>
            <w:tcW w:w="1134" w:type="dxa"/>
            <w:hideMark/>
          </w:tcPr>
          <w:p w14:paraId="1F522C66" w14:textId="77777777" w:rsidR="00C16338" w:rsidRPr="00A176B6" w:rsidRDefault="00C16338" w:rsidP="00116A05">
            <w:pPr>
              <w:spacing w:after="160" w:line="360" w:lineRule="auto"/>
              <w:jc w:val="center"/>
              <w:rPr>
                <w:rFonts w:ascii="Arial" w:hAnsi="Arial" w:cs="Arial"/>
                <w:b/>
                <w:bCs/>
                <w:sz w:val="20"/>
                <w:szCs w:val="20"/>
              </w:rPr>
            </w:pPr>
            <w:r w:rsidRPr="00A176B6">
              <w:rPr>
                <w:rFonts w:ascii="Arial" w:hAnsi="Arial" w:cs="Arial"/>
                <w:b/>
                <w:bCs/>
                <w:sz w:val="20"/>
                <w:szCs w:val="20"/>
              </w:rPr>
              <w:t>T0</w:t>
            </w:r>
          </w:p>
        </w:tc>
        <w:tc>
          <w:tcPr>
            <w:tcW w:w="1134" w:type="dxa"/>
            <w:hideMark/>
          </w:tcPr>
          <w:p w14:paraId="2E7E123B" w14:textId="77777777" w:rsidR="00C16338" w:rsidRPr="00A176B6" w:rsidRDefault="00C16338" w:rsidP="00116A05">
            <w:pPr>
              <w:spacing w:after="160" w:line="360" w:lineRule="auto"/>
              <w:jc w:val="center"/>
              <w:rPr>
                <w:rFonts w:ascii="Arial" w:hAnsi="Arial" w:cs="Arial"/>
                <w:b/>
                <w:bCs/>
                <w:sz w:val="20"/>
                <w:szCs w:val="20"/>
              </w:rPr>
            </w:pPr>
            <w:r w:rsidRPr="00A176B6">
              <w:rPr>
                <w:rFonts w:ascii="Arial" w:hAnsi="Arial" w:cs="Arial"/>
                <w:b/>
                <w:bCs/>
                <w:sz w:val="20"/>
                <w:szCs w:val="20"/>
              </w:rPr>
              <w:t>T1</w:t>
            </w:r>
          </w:p>
        </w:tc>
        <w:tc>
          <w:tcPr>
            <w:tcW w:w="992" w:type="dxa"/>
            <w:hideMark/>
          </w:tcPr>
          <w:p w14:paraId="358E3EB8" w14:textId="77777777" w:rsidR="00C16338" w:rsidRPr="00A176B6" w:rsidRDefault="00C16338" w:rsidP="00116A05">
            <w:pPr>
              <w:spacing w:after="160" w:line="360" w:lineRule="auto"/>
              <w:jc w:val="center"/>
              <w:rPr>
                <w:rFonts w:ascii="Arial" w:hAnsi="Arial" w:cs="Arial"/>
                <w:b/>
                <w:bCs/>
                <w:sz w:val="20"/>
                <w:szCs w:val="20"/>
              </w:rPr>
            </w:pPr>
            <w:r w:rsidRPr="00A176B6">
              <w:rPr>
                <w:rFonts w:ascii="Arial" w:hAnsi="Arial" w:cs="Arial"/>
                <w:b/>
                <w:bCs/>
                <w:sz w:val="20"/>
                <w:szCs w:val="20"/>
              </w:rPr>
              <w:t>T2</w:t>
            </w:r>
          </w:p>
        </w:tc>
        <w:tc>
          <w:tcPr>
            <w:tcW w:w="1134" w:type="dxa"/>
            <w:hideMark/>
          </w:tcPr>
          <w:p w14:paraId="2D08F827" w14:textId="77777777" w:rsidR="00C16338" w:rsidRPr="00A176B6" w:rsidRDefault="00C16338" w:rsidP="00116A05">
            <w:pPr>
              <w:spacing w:after="160" w:line="360" w:lineRule="auto"/>
              <w:jc w:val="center"/>
              <w:rPr>
                <w:rFonts w:ascii="Arial" w:hAnsi="Arial" w:cs="Arial"/>
                <w:b/>
                <w:bCs/>
                <w:sz w:val="20"/>
                <w:szCs w:val="20"/>
              </w:rPr>
            </w:pPr>
            <w:r w:rsidRPr="00A176B6">
              <w:rPr>
                <w:rFonts w:ascii="Arial" w:hAnsi="Arial" w:cs="Arial"/>
                <w:b/>
                <w:bCs/>
                <w:sz w:val="20"/>
                <w:szCs w:val="20"/>
              </w:rPr>
              <w:t>T3</w:t>
            </w:r>
          </w:p>
        </w:tc>
      </w:tr>
      <w:tr w:rsidR="00C16338" w:rsidRPr="00A176B6" w14:paraId="3E09FD9E" w14:textId="77777777" w:rsidTr="00116A05">
        <w:trPr>
          <w:trHeight w:val="366"/>
        </w:trPr>
        <w:tc>
          <w:tcPr>
            <w:tcW w:w="1129" w:type="dxa"/>
            <w:hideMark/>
          </w:tcPr>
          <w:p w14:paraId="3AAB7D4C" w14:textId="77777777" w:rsidR="00C16338" w:rsidRPr="00A176B6" w:rsidRDefault="00C16338" w:rsidP="00116A05">
            <w:pPr>
              <w:spacing w:after="160" w:line="360" w:lineRule="auto"/>
              <w:jc w:val="center"/>
              <w:rPr>
                <w:rFonts w:ascii="Arial" w:hAnsi="Arial" w:cs="Arial"/>
                <w:b/>
                <w:bCs/>
                <w:sz w:val="20"/>
                <w:szCs w:val="20"/>
              </w:rPr>
            </w:pPr>
            <w:r w:rsidRPr="00A176B6">
              <w:rPr>
                <w:rFonts w:ascii="Arial" w:hAnsi="Arial" w:cs="Arial"/>
                <w:b/>
                <w:bCs/>
                <w:sz w:val="20"/>
                <w:szCs w:val="20"/>
              </w:rPr>
              <w:t>1</w:t>
            </w:r>
          </w:p>
        </w:tc>
        <w:tc>
          <w:tcPr>
            <w:tcW w:w="2410" w:type="dxa"/>
            <w:hideMark/>
          </w:tcPr>
          <w:p w14:paraId="5FF28FD2" w14:textId="77777777" w:rsidR="00C16338" w:rsidRPr="00A176B6" w:rsidRDefault="00C16338" w:rsidP="00116A05">
            <w:pPr>
              <w:spacing w:after="160" w:line="360" w:lineRule="auto"/>
              <w:jc w:val="center"/>
              <w:rPr>
                <w:rFonts w:ascii="Arial" w:hAnsi="Arial" w:cs="Arial"/>
                <w:b/>
                <w:bCs/>
                <w:sz w:val="20"/>
                <w:szCs w:val="20"/>
              </w:rPr>
            </w:pPr>
            <w:r w:rsidRPr="00A176B6">
              <w:rPr>
                <w:rFonts w:ascii="Arial" w:hAnsi="Arial" w:cs="Arial"/>
                <w:b/>
                <w:bCs/>
                <w:sz w:val="20"/>
                <w:szCs w:val="20"/>
              </w:rPr>
              <w:t>Fish Meal</w:t>
            </w:r>
          </w:p>
        </w:tc>
        <w:tc>
          <w:tcPr>
            <w:tcW w:w="1134" w:type="dxa"/>
            <w:noWrap/>
            <w:hideMark/>
          </w:tcPr>
          <w:p w14:paraId="77844281" w14:textId="77777777" w:rsidR="00C16338" w:rsidRPr="00A176B6" w:rsidRDefault="00C16338" w:rsidP="00116A05">
            <w:pPr>
              <w:spacing w:after="160" w:line="360" w:lineRule="auto"/>
              <w:jc w:val="center"/>
              <w:rPr>
                <w:rFonts w:ascii="Arial" w:hAnsi="Arial" w:cs="Arial"/>
                <w:sz w:val="20"/>
                <w:szCs w:val="20"/>
              </w:rPr>
            </w:pPr>
            <w:r w:rsidRPr="00A176B6">
              <w:rPr>
                <w:rFonts w:ascii="Arial" w:hAnsi="Arial" w:cs="Arial"/>
                <w:sz w:val="20"/>
                <w:szCs w:val="20"/>
              </w:rPr>
              <w:t>34.00</w:t>
            </w:r>
          </w:p>
        </w:tc>
        <w:tc>
          <w:tcPr>
            <w:tcW w:w="1134" w:type="dxa"/>
            <w:noWrap/>
            <w:hideMark/>
          </w:tcPr>
          <w:p w14:paraId="27F83930" w14:textId="77777777" w:rsidR="00C16338" w:rsidRPr="00A176B6" w:rsidRDefault="00C16338" w:rsidP="00116A05">
            <w:pPr>
              <w:spacing w:after="160" w:line="360" w:lineRule="auto"/>
              <w:jc w:val="center"/>
              <w:rPr>
                <w:rFonts w:ascii="Arial" w:hAnsi="Arial" w:cs="Arial"/>
                <w:sz w:val="20"/>
                <w:szCs w:val="20"/>
              </w:rPr>
            </w:pPr>
            <w:r w:rsidRPr="00A176B6">
              <w:rPr>
                <w:rFonts w:ascii="Arial" w:hAnsi="Arial" w:cs="Arial"/>
                <w:sz w:val="20"/>
                <w:szCs w:val="20"/>
              </w:rPr>
              <w:t>34.07</w:t>
            </w:r>
          </w:p>
        </w:tc>
        <w:tc>
          <w:tcPr>
            <w:tcW w:w="992" w:type="dxa"/>
            <w:noWrap/>
            <w:hideMark/>
          </w:tcPr>
          <w:p w14:paraId="78B6B6AF" w14:textId="77777777" w:rsidR="00C16338" w:rsidRPr="00A176B6" w:rsidRDefault="00C16338" w:rsidP="00116A05">
            <w:pPr>
              <w:spacing w:after="160" w:line="360" w:lineRule="auto"/>
              <w:jc w:val="center"/>
              <w:rPr>
                <w:rFonts w:ascii="Arial" w:hAnsi="Arial" w:cs="Arial"/>
                <w:sz w:val="20"/>
                <w:szCs w:val="20"/>
              </w:rPr>
            </w:pPr>
            <w:r w:rsidRPr="00A176B6">
              <w:rPr>
                <w:rFonts w:ascii="Arial" w:hAnsi="Arial" w:cs="Arial"/>
                <w:sz w:val="20"/>
                <w:szCs w:val="20"/>
              </w:rPr>
              <w:t>34.08</w:t>
            </w:r>
          </w:p>
        </w:tc>
        <w:tc>
          <w:tcPr>
            <w:tcW w:w="1134" w:type="dxa"/>
            <w:noWrap/>
            <w:hideMark/>
          </w:tcPr>
          <w:p w14:paraId="148B4606" w14:textId="77777777" w:rsidR="00C16338" w:rsidRPr="00A176B6" w:rsidRDefault="00C16338" w:rsidP="00116A05">
            <w:pPr>
              <w:spacing w:after="160" w:line="360" w:lineRule="auto"/>
              <w:jc w:val="center"/>
              <w:rPr>
                <w:rFonts w:ascii="Arial" w:hAnsi="Arial" w:cs="Arial"/>
                <w:sz w:val="20"/>
                <w:szCs w:val="20"/>
              </w:rPr>
            </w:pPr>
            <w:r w:rsidRPr="00A176B6">
              <w:rPr>
                <w:rFonts w:ascii="Arial" w:hAnsi="Arial" w:cs="Arial"/>
                <w:sz w:val="20"/>
                <w:szCs w:val="20"/>
              </w:rPr>
              <w:t>34.07</w:t>
            </w:r>
          </w:p>
        </w:tc>
      </w:tr>
      <w:tr w:rsidR="00C16338" w:rsidRPr="00A176B6" w14:paraId="7AEB227D" w14:textId="77777777" w:rsidTr="00116A05">
        <w:trPr>
          <w:trHeight w:val="366"/>
        </w:trPr>
        <w:tc>
          <w:tcPr>
            <w:tcW w:w="1129" w:type="dxa"/>
            <w:hideMark/>
          </w:tcPr>
          <w:p w14:paraId="20535B09" w14:textId="77777777" w:rsidR="00C16338" w:rsidRPr="00A176B6" w:rsidRDefault="00C16338" w:rsidP="00116A05">
            <w:pPr>
              <w:spacing w:after="160" w:line="360" w:lineRule="auto"/>
              <w:jc w:val="center"/>
              <w:rPr>
                <w:rFonts w:ascii="Arial" w:hAnsi="Arial" w:cs="Arial"/>
                <w:b/>
                <w:bCs/>
                <w:sz w:val="20"/>
                <w:szCs w:val="20"/>
              </w:rPr>
            </w:pPr>
            <w:r w:rsidRPr="00A176B6">
              <w:rPr>
                <w:rFonts w:ascii="Arial" w:hAnsi="Arial" w:cs="Arial"/>
                <w:b/>
                <w:bCs/>
                <w:sz w:val="20"/>
                <w:szCs w:val="20"/>
              </w:rPr>
              <w:t>2</w:t>
            </w:r>
          </w:p>
        </w:tc>
        <w:tc>
          <w:tcPr>
            <w:tcW w:w="2410" w:type="dxa"/>
            <w:hideMark/>
          </w:tcPr>
          <w:p w14:paraId="38D82A6F" w14:textId="77777777" w:rsidR="00C16338" w:rsidRPr="00A176B6" w:rsidRDefault="00C16338" w:rsidP="00116A05">
            <w:pPr>
              <w:spacing w:after="160" w:line="360" w:lineRule="auto"/>
              <w:jc w:val="center"/>
              <w:rPr>
                <w:rFonts w:ascii="Arial" w:hAnsi="Arial" w:cs="Arial"/>
                <w:b/>
                <w:bCs/>
                <w:sz w:val="20"/>
                <w:szCs w:val="20"/>
              </w:rPr>
            </w:pPr>
            <w:r w:rsidRPr="00A176B6">
              <w:rPr>
                <w:rFonts w:ascii="Arial" w:hAnsi="Arial" w:cs="Arial"/>
                <w:b/>
                <w:bCs/>
                <w:sz w:val="20"/>
                <w:szCs w:val="20"/>
              </w:rPr>
              <w:t>Rice Brand</w:t>
            </w:r>
          </w:p>
        </w:tc>
        <w:tc>
          <w:tcPr>
            <w:tcW w:w="1134" w:type="dxa"/>
            <w:noWrap/>
            <w:hideMark/>
          </w:tcPr>
          <w:p w14:paraId="57E0A6B6" w14:textId="77777777" w:rsidR="00C16338" w:rsidRPr="00A176B6" w:rsidRDefault="00C16338" w:rsidP="00116A05">
            <w:pPr>
              <w:spacing w:after="160" w:line="360" w:lineRule="auto"/>
              <w:jc w:val="center"/>
              <w:rPr>
                <w:rFonts w:ascii="Arial" w:hAnsi="Arial" w:cs="Arial"/>
                <w:sz w:val="20"/>
                <w:szCs w:val="20"/>
              </w:rPr>
            </w:pPr>
            <w:r w:rsidRPr="00A176B6">
              <w:rPr>
                <w:rFonts w:ascii="Arial" w:hAnsi="Arial" w:cs="Arial"/>
                <w:sz w:val="20"/>
                <w:szCs w:val="20"/>
              </w:rPr>
              <w:t>25.00</w:t>
            </w:r>
          </w:p>
        </w:tc>
        <w:tc>
          <w:tcPr>
            <w:tcW w:w="1134" w:type="dxa"/>
            <w:noWrap/>
            <w:hideMark/>
          </w:tcPr>
          <w:p w14:paraId="60686B68" w14:textId="77777777" w:rsidR="00C16338" w:rsidRPr="00A176B6" w:rsidRDefault="00C16338" w:rsidP="00116A05">
            <w:pPr>
              <w:spacing w:after="160" w:line="360" w:lineRule="auto"/>
              <w:jc w:val="center"/>
              <w:rPr>
                <w:rFonts w:ascii="Arial" w:hAnsi="Arial" w:cs="Arial"/>
                <w:sz w:val="20"/>
                <w:szCs w:val="20"/>
              </w:rPr>
            </w:pPr>
            <w:r w:rsidRPr="00A176B6">
              <w:rPr>
                <w:rFonts w:ascii="Arial" w:hAnsi="Arial" w:cs="Arial"/>
                <w:sz w:val="20"/>
                <w:szCs w:val="20"/>
              </w:rPr>
              <w:t>24.93</w:t>
            </w:r>
          </w:p>
        </w:tc>
        <w:tc>
          <w:tcPr>
            <w:tcW w:w="992" w:type="dxa"/>
            <w:noWrap/>
            <w:hideMark/>
          </w:tcPr>
          <w:p w14:paraId="20ED6613" w14:textId="77777777" w:rsidR="00C16338" w:rsidRPr="00A176B6" w:rsidRDefault="00C16338" w:rsidP="00116A05">
            <w:pPr>
              <w:spacing w:after="160" w:line="360" w:lineRule="auto"/>
              <w:jc w:val="center"/>
              <w:rPr>
                <w:rFonts w:ascii="Arial" w:hAnsi="Arial" w:cs="Arial"/>
                <w:sz w:val="20"/>
                <w:szCs w:val="20"/>
              </w:rPr>
            </w:pPr>
            <w:r w:rsidRPr="00A176B6">
              <w:rPr>
                <w:rFonts w:ascii="Arial" w:hAnsi="Arial" w:cs="Arial"/>
                <w:sz w:val="20"/>
                <w:szCs w:val="20"/>
              </w:rPr>
              <w:t>24.92</w:t>
            </w:r>
          </w:p>
        </w:tc>
        <w:tc>
          <w:tcPr>
            <w:tcW w:w="1134" w:type="dxa"/>
            <w:noWrap/>
            <w:hideMark/>
          </w:tcPr>
          <w:p w14:paraId="4E71B2F4" w14:textId="77777777" w:rsidR="00C16338" w:rsidRPr="00A176B6" w:rsidRDefault="00C16338" w:rsidP="00116A05">
            <w:pPr>
              <w:spacing w:after="160" w:line="360" w:lineRule="auto"/>
              <w:jc w:val="center"/>
              <w:rPr>
                <w:rFonts w:ascii="Arial" w:hAnsi="Arial" w:cs="Arial"/>
                <w:sz w:val="20"/>
                <w:szCs w:val="20"/>
              </w:rPr>
            </w:pPr>
            <w:r w:rsidRPr="00A176B6">
              <w:rPr>
                <w:rFonts w:ascii="Arial" w:hAnsi="Arial" w:cs="Arial"/>
                <w:sz w:val="20"/>
                <w:szCs w:val="20"/>
              </w:rPr>
              <w:t>23.44</w:t>
            </w:r>
          </w:p>
        </w:tc>
      </w:tr>
      <w:tr w:rsidR="00C16338" w:rsidRPr="00A176B6" w14:paraId="762ACDE9" w14:textId="77777777" w:rsidTr="00116A05">
        <w:trPr>
          <w:trHeight w:val="366"/>
        </w:trPr>
        <w:tc>
          <w:tcPr>
            <w:tcW w:w="1129" w:type="dxa"/>
            <w:hideMark/>
          </w:tcPr>
          <w:p w14:paraId="29970C2C" w14:textId="77777777" w:rsidR="00C16338" w:rsidRPr="00A176B6" w:rsidRDefault="00C16338" w:rsidP="00116A05">
            <w:pPr>
              <w:spacing w:after="160" w:line="360" w:lineRule="auto"/>
              <w:jc w:val="center"/>
              <w:rPr>
                <w:rFonts w:ascii="Arial" w:hAnsi="Arial" w:cs="Arial"/>
                <w:b/>
                <w:bCs/>
                <w:sz w:val="20"/>
                <w:szCs w:val="20"/>
              </w:rPr>
            </w:pPr>
            <w:r w:rsidRPr="00A176B6">
              <w:rPr>
                <w:rFonts w:ascii="Arial" w:hAnsi="Arial" w:cs="Arial"/>
                <w:b/>
                <w:bCs/>
                <w:sz w:val="20"/>
                <w:szCs w:val="20"/>
              </w:rPr>
              <w:t>3</w:t>
            </w:r>
          </w:p>
        </w:tc>
        <w:tc>
          <w:tcPr>
            <w:tcW w:w="2410" w:type="dxa"/>
            <w:hideMark/>
          </w:tcPr>
          <w:p w14:paraId="22BACA14" w14:textId="77777777" w:rsidR="00C16338" w:rsidRPr="00A176B6" w:rsidRDefault="00C16338" w:rsidP="00116A05">
            <w:pPr>
              <w:spacing w:after="160" w:line="360" w:lineRule="auto"/>
              <w:jc w:val="center"/>
              <w:rPr>
                <w:rFonts w:ascii="Arial" w:hAnsi="Arial" w:cs="Arial"/>
                <w:b/>
                <w:bCs/>
                <w:sz w:val="20"/>
                <w:szCs w:val="20"/>
              </w:rPr>
            </w:pPr>
            <w:r w:rsidRPr="00A176B6">
              <w:rPr>
                <w:rFonts w:ascii="Arial" w:hAnsi="Arial" w:cs="Arial"/>
                <w:b/>
                <w:bCs/>
                <w:sz w:val="20"/>
                <w:szCs w:val="20"/>
              </w:rPr>
              <w:t>Wheat Flour</w:t>
            </w:r>
          </w:p>
        </w:tc>
        <w:tc>
          <w:tcPr>
            <w:tcW w:w="1134" w:type="dxa"/>
            <w:noWrap/>
            <w:hideMark/>
          </w:tcPr>
          <w:p w14:paraId="72E72FCA" w14:textId="77777777" w:rsidR="00C16338" w:rsidRPr="00A176B6" w:rsidRDefault="00C16338" w:rsidP="00116A05">
            <w:pPr>
              <w:spacing w:after="160" w:line="360" w:lineRule="auto"/>
              <w:jc w:val="center"/>
              <w:rPr>
                <w:rFonts w:ascii="Arial" w:hAnsi="Arial" w:cs="Arial"/>
                <w:sz w:val="20"/>
                <w:szCs w:val="20"/>
              </w:rPr>
            </w:pPr>
            <w:r w:rsidRPr="00A176B6">
              <w:rPr>
                <w:rFonts w:ascii="Arial" w:hAnsi="Arial" w:cs="Arial"/>
                <w:sz w:val="20"/>
                <w:szCs w:val="20"/>
              </w:rPr>
              <w:t>15</w:t>
            </w:r>
          </w:p>
        </w:tc>
        <w:tc>
          <w:tcPr>
            <w:tcW w:w="1134" w:type="dxa"/>
            <w:noWrap/>
            <w:hideMark/>
          </w:tcPr>
          <w:p w14:paraId="2A214003" w14:textId="77777777" w:rsidR="00C16338" w:rsidRPr="00A176B6" w:rsidRDefault="00C16338" w:rsidP="00116A05">
            <w:pPr>
              <w:spacing w:after="160" w:line="360" w:lineRule="auto"/>
              <w:jc w:val="center"/>
              <w:rPr>
                <w:rFonts w:ascii="Arial" w:hAnsi="Arial" w:cs="Arial"/>
                <w:sz w:val="20"/>
                <w:szCs w:val="20"/>
              </w:rPr>
            </w:pPr>
            <w:r w:rsidRPr="00A176B6">
              <w:rPr>
                <w:rFonts w:ascii="Arial" w:hAnsi="Arial" w:cs="Arial"/>
                <w:sz w:val="20"/>
                <w:szCs w:val="20"/>
              </w:rPr>
              <w:t>15</w:t>
            </w:r>
          </w:p>
        </w:tc>
        <w:tc>
          <w:tcPr>
            <w:tcW w:w="992" w:type="dxa"/>
            <w:noWrap/>
            <w:hideMark/>
          </w:tcPr>
          <w:p w14:paraId="58A16EA8" w14:textId="77777777" w:rsidR="00C16338" w:rsidRPr="00A176B6" w:rsidRDefault="00C16338" w:rsidP="00116A05">
            <w:pPr>
              <w:spacing w:after="160" w:line="360" w:lineRule="auto"/>
              <w:jc w:val="center"/>
              <w:rPr>
                <w:rFonts w:ascii="Arial" w:hAnsi="Arial" w:cs="Arial"/>
                <w:sz w:val="20"/>
                <w:szCs w:val="20"/>
              </w:rPr>
            </w:pPr>
            <w:r w:rsidRPr="00A176B6">
              <w:rPr>
                <w:rFonts w:ascii="Arial" w:hAnsi="Arial" w:cs="Arial"/>
                <w:sz w:val="20"/>
                <w:szCs w:val="20"/>
              </w:rPr>
              <w:t>15</w:t>
            </w:r>
          </w:p>
        </w:tc>
        <w:tc>
          <w:tcPr>
            <w:tcW w:w="1134" w:type="dxa"/>
            <w:noWrap/>
            <w:hideMark/>
          </w:tcPr>
          <w:p w14:paraId="441F0C61" w14:textId="77777777" w:rsidR="00C16338" w:rsidRPr="00A176B6" w:rsidRDefault="00C16338" w:rsidP="00116A05">
            <w:pPr>
              <w:spacing w:after="160" w:line="360" w:lineRule="auto"/>
              <w:jc w:val="center"/>
              <w:rPr>
                <w:rFonts w:ascii="Arial" w:hAnsi="Arial" w:cs="Arial"/>
                <w:sz w:val="20"/>
                <w:szCs w:val="20"/>
              </w:rPr>
            </w:pPr>
            <w:r w:rsidRPr="00A176B6">
              <w:rPr>
                <w:rFonts w:ascii="Arial" w:hAnsi="Arial" w:cs="Arial"/>
                <w:sz w:val="20"/>
                <w:szCs w:val="20"/>
              </w:rPr>
              <w:t>15</w:t>
            </w:r>
          </w:p>
        </w:tc>
      </w:tr>
      <w:tr w:rsidR="00C16338" w:rsidRPr="00A176B6" w14:paraId="0888C4D3" w14:textId="77777777" w:rsidTr="00116A05">
        <w:trPr>
          <w:trHeight w:val="366"/>
        </w:trPr>
        <w:tc>
          <w:tcPr>
            <w:tcW w:w="1129" w:type="dxa"/>
            <w:hideMark/>
          </w:tcPr>
          <w:p w14:paraId="632A5A54" w14:textId="77777777" w:rsidR="00C16338" w:rsidRPr="00A176B6" w:rsidRDefault="00C16338" w:rsidP="00116A05">
            <w:pPr>
              <w:spacing w:after="160" w:line="360" w:lineRule="auto"/>
              <w:jc w:val="center"/>
              <w:rPr>
                <w:rFonts w:ascii="Arial" w:hAnsi="Arial" w:cs="Arial"/>
                <w:b/>
                <w:bCs/>
                <w:sz w:val="20"/>
                <w:szCs w:val="20"/>
              </w:rPr>
            </w:pPr>
            <w:r w:rsidRPr="00A176B6">
              <w:rPr>
                <w:rFonts w:ascii="Arial" w:hAnsi="Arial" w:cs="Arial"/>
                <w:b/>
                <w:bCs/>
                <w:sz w:val="20"/>
                <w:szCs w:val="20"/>
              </w:rPr>
              <w:t>4</w:t>
            </w:r>
          </w:p>
        </w:tc>
        <w:tc>
          <w:tcPr>
            <w:tcW w:w="2410" w:type="dxa"/>
            <w:hideMark/>
          </w:tcPr>
          <w:p w14:paraId="6AD83DED" w14:textId="77777777" w:rsidR="00C16338" w:rsidRPr="00A176B6" w:rsidRDefault="00C16338" w:rsidP="00116A05">
            <w:pPr>
              <w:spacing w:after="160" w:line="360" w:lineRule="auto"/>
              <w:jc w:val="center"/>
              <w:rPr>
                <w:rFonts w:ascii="Arial" w:hAnsi="Arial" w:cs="Arial"/>
                <w:b/>
                <w:bCs/>
                <w:sz w:val="20"/>
                <w:szCs w:val="20"/>
              </w:rPr>
            </w:pPr>
            <w:r w:rsidRPr="00A176B6">
              <w:rPr>
                <w:rFonts w:ascii="Arial" w:hAnsi="Arial" w:cs="Arial"/>
                <w:b/>
                <w:bCs/>
                <w:sz w:val="20"/>
                <w:szCs w:val="20"/>
              </w:rPr>
              <w:t>Vit. Premix</w:t>
            </w:r>
          </w:p>
        </w:tc>
        <w:tc>
          <w:tcPr>
            <w:tcW w:w="1134" w:type="dxa"/>
            <w:noWrap/>
            <w:hideMark/>
          </w:tcPr>
          <w:p w14:paraId="04CC9F24" w14:textId="77777777" w:rsidR="00C16338" w:rsidRPr="00A176B6" w:rsidRDefault="00C16338" w:rsidP="00116A05">
            <w:pPr>
              <w:spacing w:after="160" w:line="360" w:lineRule="auto"/>
              <w:jc w:val="center"/>
              <w:rPr>
                <w:rFonts w:ascii="Arial" w:hAnsi="Arial" w:cs="Arial"/>
                <w:sz w:val="20"/>
                <w:szCs w:val="20"/>
              </w:rPr>
            </w:pPr>
            <w:r w:rsidRPr="00A176B6">
              <w:rPr>
                <w:rFonts w:ascii="Arial" w:hAnsi="Arial" w:cs="Arial"/>
                <w:sz w:val="20"/>
                <w:szCs w:val="20"/>
              </w:rPr>
              <w:t>1.0</w:t>
            </w:r>
          </w:p>
        </w:tc>
        <w:tc>
          <w:tcPr>
            <w:tcW w:w="1134" w:type="dxa"/>
            <w:noWrap/>
            <w:hideMark/>
          </w:tcPr>
          <w:p w14:paraId="3901ED16" w14:textId="77777777" w:rsidR="00C16338" w:rsidRPr="00A176B6" w:rsidRDefault="00C16338" w:rsidP="00116A05">
            <w:pPr>
              <w:spacing w:after="160" w:line="360" w:lineRule="auto"/>
              <w:jc w:val="center"/>
              <w:rPr>
                <w:rFonts w:ascii="Arial" w:hAnsi="Arial" w:cs="Arial"/>
                <w:sz w:val="20"/>
                <w:szCs w:val="20"/>
              </w:rPr>
            </w:pPr>
            <w:r w:rsidRPr="00A176B6">
              <w:rPr>
                <w:rFonts w:ascii="Arial" w:hAnsi="Arial" w:cs="Arial"/>
                <w:sz w:val="20"/>
                <w:szCs w:val="20"/>
              </w:rPr>
              <w:t>1.0</w:t>
            </w:r>
          </w:p>
        </w:tc>
        <w:tc>
          <w:tcPr>
            <w:tcW w:w="992" w:type="dxa"/>
            <w:noWrap/>
            <w:hideMark/>
          </w:tcPr>
          <w:p w14:paraId="19F14A00" w14:textId="77777777" w:rsidR="00C16338" w:rsidRPr="00A176B6" w:rsidRDefault="00C16338" w:rsidP="00116A05">
            <w:pPr>
              <w:spacing w:after="160" w:line="360" w:lineRule="auto"/>
              <w:jc w:val="center"/>
              <w:rPr>
                <w:rFonts w:ascii="Arial" w:hAnsi="Arial" w:cs="Arial"/>
                <w:sz w:val="20"/>
                <w:szCs w:val="20"/>
              </w:rPr>
            </w:pPr>
            <w:r w:rsidRPr="00A176B6">
              <w:rPr>
                <w:rFonts w:ascii="Arial" w:hAnsi="Arial" w:cs="Arial"/>
                <w:sz w:val="20"/>
                <w:szCs w:val="20"/>
              </w:rPr>
              <w:t>1.0</w:t>
            </w:r>
          </w:p>
        </w:tc>
        <w:tc>
          <w:tcPr>
            <w:tcW w:w="1134" w:type="dxa"/>
            <w:noWrap/>
            <w:hideMark/>
          </w:tcPr>
          <w:p w14:paraId="58B08FC8" w14:textId="77777777" w:rsidR="00C16338" w:rsidRPr="00A176B6" w:rsidRDefault="00C16338" w:rsidP="00116A05">
            <w:pPr>
              <w:spacing w:after="160" w:line="360" w:lineRule="auto"/>
              <w:jc w:val="center"/>
              <w:rPr>
                <w:rFonts w:ascii="Arial" w:hAnsi="Arial" w:cs="Arial"/>
                <w:sz w:val="20"/>
                <w:szCs w:val="20"/>
              </w:rPr>
            </w:pPr>
            <w:r w:rsidRPr="00A176B6">
              <w:rPr>
                <w:rFonts w:ascii="Arial" w:hAnsi="Arial" w:cs="Arial"/>
                <w:sz w:val="20"/>
                <w:szCs w:val="20"/>
              </w:rPr>
              <w:t>1.0</w:t>
            </w:r>
          </w:p>
        </w:tc>
      </w:tr>
      <w:tr w:rsidR="00C16338" w:rsidRPr="00A176B6" w14:paraId="17D815A9" w14:textId="77777777" w:rsidTr="00116A05">
        <w:trPr>
          <w:trHeight w:val="366"/>
        </w:trPr>
        <w:tc>
          <w:tcPr>
            <w:tcW w:w="1129" w:type="dxa"/>
            <w:hideMark/>
          </w:tcPr>
          <w:p w14:paraId="01F38BFA" w14:textId="77777777" w:rsidR="00C16338" w:rsidRPr="00A176B6" w:rsidRDefault="00C16338" w:rsidP="00116A05">
            <w:pPr>
              <w:spacing w:after="160" w:line="360" w:lineRule="auto"/>
              <w:jc w:val="center"/>
              <w:rPr>
                <w:rFonts w:ascii="Arial" w:hAnsi="Arial" w:cs="Arial"/>
                <w:b/>
                <w:bCs/>
                <w:sz w:val="20"/>
                <w:szCs w:val="20"/>
              </w:rPr>
            </w:pPr>
            <w:r w:rsidRPr="00A176B6">
              <w:rPr>
                <w:rFonts w:ascii="Arial" w:hAnsi="Arial" w:cs="Arial"/>
                <w:b/>
                <w:bCs/>
                <w:sz w:val="20"/>
                <w:szCs w:val="20"/>
              </w:rPr>
              <w:lastRenderedPageBreak/>
              <w:t>5</w:t>
            </w:r>
          </w:p>
        </w:tc>
        <w:tc>
          <w:tcPr>
            <w:tcW w:w="2410" w:type="dxa"/>
            <w:hideMark/>
          </w:tcPr>
          <w:p w14:paraId="774DA792" w14:textId="77777777" w:rsidR="00C16338" w:rsidRPr="00A176B6" w:rsidRDefault="00C16338" w:rsidP="00116A05">
            <w:pPr>
              <w:spacing w:after="160" w:line="360" w:lineRule="auto"/>
              <w:jc w:val="center"/>
              <w:rPr>
                <w:rFonts w:ascii="Arial" w:hAnsi="Arial" w:cs="Arial"/>
                <w:b/>
                <w:bCs/>
                <w:sz w:val="20"/>
                <w:szCs w:val="20"/>
              </w:rPr>
            </w:pPr>
            <w:r w:rsidRPr="00A176B6">
              <w:rPr>
                <w:rFonts w:ascii="Arial" w:hAnsi="Arial" w:cs="Arial"/>
                <w:b/>
                <w:bCs/>
                <w:sz w:val="20"/>
                <w:szCs w:val="20"/>
              </w:rPr>
              <w:t>MOC</w:t>
            </w:r>
          </w:p>
        </w:tc>
        <w:tc>
          <w:tcPr>
            <w:tcW w:w="1134" w:type="dxa"/>
            <w:noWrap/>
            <w:hideMark/>
          </w:tcPr>
          <w:p w14:paraId="79227D41" w14:textId="77777777" w:rsidR="00C16338" w:rsidRPr="00A176B6" w:rsidRDefault="00C16338" w:rsidP="00116A05">
            <w:pPr>
              <w:spacing w:after="160" w:line="360" w:lineRule="auto"/>
              <w:jc w:val="center"/>
              <w:rPr>
                <w:rFonts w:ascii="Arial" w:hAnsi="Arial" w:cs="Arial"/>
                <w:sz w:val="20"/>
                <w:szCs w:val="20"/>
              </w:rPr>
            </w:pPr>
            <w:r w:rsidRPr="00A176B6">
              <w:rPr>
                <w:rFonts w:ascii="Arial" w:hAnsi="Arial" w:cs="Arial"/>
                <w:sz w:val="20"/>
                <w:szCs w:val="20"/>
              </w:rPr>
              <w:t>25.0</w:t>
            </w:r>
          </w:p>
        </w:tc>
        <w:tc>
          <w:tcPr>
            <w:tcW w:w="1134" w:type="dxa"/>
            <w:noWrap/>
            <w:hideMark/>
          </w:tcPr>
          <w:p w14:paraId="3B2C2910" w14:textId="77777777" w:rsidR="00C16338" w:rsidRPr="00A176B6" w:rsidRDefault="00C16338" w:rsidP="00116A05">
            <w:pPr>
              <w:spacing w:after="160" w:line="360" w:lineRule="auto"/>
              <w:jc w:val="center"/>
              <w:rPr>
                <w:rFonts w:ascii="Arial" w:hAnsi="Arial" w:cs="Arial"/>
                <w:sz w:val="20"/>
                <w:szCs w:val="20"/>
              </w:rPr>
            </w:pPr>
            <w:r w:rsidRPr="00A176B6">
              <w:rPr>
                <w:rFonts w:ascii="Arial" w:hAnsi="Arial" w:cs="Arial"/>
                <w:sz w:val="20"/>
                <w:szCs w:val="20"/>
              </w:rPr>
              <w:t>25.0</w:t>
            </w:r>
          </w:p>
        </w:tc>
        <w:tc>
          <w:tcPr>
            <w:tcW w:w="992" w:type="dxa"/>
            <w:noWrap/>
            <w:hideMark/>
          </w:tcPr>
          <w:p w14:paraId="28302DCB" w14:textId="77777777" w:rsidR="00C16338" w:rsidRPr="00A176B6" w:rsidRDefault="00C16338" w:rsidP="00116A05">
            <w:pPr>
              <w:spacing w:after="160" w:line="360" w:lineRule="auto"/>
              <w:jc w:val="center"/>
              <w:rPr>
                <w:rFonts w:ascii="Arial" w:hAnsi="Arial" w:cs="Arial"/>
                <w:sz w:val="20"/>
                <w:szCs w:val="20"/>
              </w:rPr>
            </w:pPr>
            <w:r w:rsidRPr="00A176B6">
              <w:rPr>
                <w:rFonts w:ascii="Arial" w:hAnsi="Arial" w:cs="Arial"/>
                <w:sz w:val="20"/>
                <w:szCs w:val="20"/>
              </w:rPr>
              <w:t>25.0</w:t>
            </w:r>
          </w:p>
        </w:tc>
        <w:tc>
          <w:tcPr>
            <w:tcW w:w="1134" w:type="dxa"/>
            <w:noWrap/>
            <w:hideMark/>
          </w:tcPr>
          <w:p w14:paraId="5B599C90" w14:textId="77777777" w:rsidR="00C16338" w:rsidRPr="00A176B6" w:rsidRDefault="00C16338" w:rsidP="00116A05">
            <w:pPr>
              <w:spacing w:after="160" w:line="360" w:lineRule="auto"/>
              <w:jc w:val="center"/>
              <w:rPr>
                <w:rFonts w:ascii="Arial" w:hAnsi="Arial" w:cs="Arial"/>
                <w:sz w:val="20"/>
                <w:szCs w:val="20"/>
              </w:rPr>
            </w:pPr>
            <w:r w:rsidRPr="00A176B6">
              <w:rPr>
                <w:rFonts w:ascii="Arial" w:hAnsi="Arial" w:cs="Arial"/>
                <w:sz w:val="20"/>
                <w:szCs w:val="20"/>
              </w:rPr>
              <w:t>25.00</w:t>
            </w:r>
          </w:p>
        </w:tc>
      </w:tr>
      <w:tr w:rsidR="00C16338" w:rsidRPr="00A176B6" w14:paraId="398FD438" w14:textId="77777777" w:rsidTr="00116A05">
        <w:trPr>
          <w:trHeight w:val="377"/>
        </w:trPr>
        <w:tc>
          <w:tcPr>
            <w:tcW w:w="1129" w:type="dxa"/>
            <w:hideMark/>
          </w:tcPr>
          <w:p w14:paraId="57C3A399" w14:textId="77777777" w:rsidR="00C16338" w:rsidRPr="00A176B6" w:rsidRDefault="00C16338" w:rsidP="00116A05">
            <w:pPr>
              <w:spacing w:after="160" w:line="360" w:lineRule="auto"/>
              <w:jc w:val="center"/>
              <w:rPr>
                <w:rFonts w:ascii="Arial" w:hAnsi="Arial" w:cs="Arial"/>
                <w:b/>
                <w:bCs/>
                <w:sz w:val="20"/>
                <w:szCs w:val="20"/>
              </w:rPr>
            </w:pPr>
            <w:r w:rsidRPr="00A176B6">
              <w:rPr>
                <w:rFonts w:ascii="Arial" w:hAnsi="Arial" w:cs="Arial"/>
                <w:b/>
                <w:bCs/>
                <w:sz w:val="20"/>
                <w:szCs w:val="20"/>
              </w:rPr>
              <w:t>6</w:t>
            </w:r>
          </w:p>
        </w:tc>
        <w:tc>
          <w:tcPr>
            <w:tcW w:w="2410" w:type="dxa"/>
            <w:hideMark/>
          </w:tcPr>
          <w:p w14:paraId="07680F0F" w14:textId="77777777" w:rsidR="00C16338" w:rsidRPr="00A176B6" w:rsidRDefault="00C16338" w:rsidP="00116A05">
            <w:pPr>
              <w:spacing w:after="160" w:line="360" w:lineRule="auto"/>
              <w:jc w:val="center"/>
              <w:rPr>
                <w:rFonts w:ascii="Arial" w:hAnsi="Arial" w:cs="Arial"/>
                <w:b/>
                <w:bCs/>
                <w:sz w:val="20"/>
                <w:szCs w:val="20"/>
              </w:rPr>
            </w:pPr>
            <w:r w:rsidRPr="00A176B6">
              <w:rPr>
                <w:rFonts w:ascii="Arial" w:hAnsi="Arial" w:cs="Arial"/>
                <w:b/>
                <w:bCs/>
                <w:sz w:val="20"/>
                <w:szCs w:val="20"/>
              </w:rPr>
              <w:t>Toothache plant</w:t>
            </w:r>
          </w:p>
        </w:tc>
        <w:tc>
          <w:tcPr>
            <w:tcW w:w="1134" w:type="dxa"/>
            <w:hideMark/>
          </w:tcPr>
          <w:p w14:paraId="3E166A32" w14:textId="77777777" w:rsidR="00C16338" w:rsidRPr="00A176B6" w:rsidRDefault="00C16338" w:rsidP="00116A05">
            <w:pPr>
              <w:spacing w:after="160" w:line="360" w:lineRule="auto"/>
              <w:jc w:val="center"/>
              <w:rPr>
                <w:rFonts w:ascii="Arial" w:hAnsi="Arial" w:cs="Arial"/>
                <w:sz w:val="20"/>
                <w:szCs w:val="20"/>
              </w:rPr>
            </w:pPr>
            <w:r w:rsidRPr="00A176B6">
              <w:rPr>
                <w:rFonts w:ascii="Arial" w:hAnsi="Arial" w:cs="Arial"/>
                <w:sz w:val="20"/>
                <w:szCs w:val="20"/>
              </w:rPr>
              <w:t>0</w:t>
            </w:r>
          </w:p>
        </w:tc>
        <w:tc>
          <w:tcPr>
            <w:tcW w:w="1134" w:type="dxa"/>
            <w:hideMark/>
          </w:tcPr>
          <w:p w14:paraId="7CF4DF65" w14:textId="77777777" w:rsidR="00C16338" w:rsidRPr="00A176B6" w:rsidRDefault="00C16338" w:rsidP="00116A05">
            <w:pPr>
              <w:spacing w:after="160" w:line="360" w:lineRule="auto"/>
              <w:jc w:val="center"/>
              <w:rPr>
                <w:rFonts w:ascii="Arial" w:hAnsi="Arial" w:cs="Arial"/>
                <w:sz w:val="20"/>
                <w:szCs w:val="20"/>
              </w:rPr>
            </w:pPr>
            <w:r w:rsidRPr="00A176B6">
              <w:rPr>
                <w:rFonts w:ascii="Arial" w:hAnsi="Arial" w:cs="Arial"/>
                <w:sz w:val="20"/>
                <w:szCs w:val="20"/>
              </w:rPr>
              <w:t>0.5</w:t>
            </w:r>
          </w:p>
        </w:tc>
        <w:tc>
          <w:tcPr>
            <w:tcW w:w="992" w:type="dxa"/>
            <w:hideMark/>
          </w:tcPr>
          <w:p w14:paraId="592B20B9" w14:textId="77777777" w:rsidR="00C16338" w:rsidRPr="00A176B6" w:rsidRDefault="00C16338" w:rsidP="00116A05">
            <w:pPr>
              <w:spacing w:after="160" w:line="360" w:lineRule="auto"/>
              <w:jc w:val="center"/>
              <w:rPr>
                <w:rFonts w:ascii="Arial" w:hAnsi="Arial" w:cs="Arial"/>
                <w:sz w:val="20"/>
                <w:szCs w:val="20"/>
              </w:rPr>
            </w:pPr>
            <w:r w:rsidRPr="00A176B6">
              <w:rPr>
                <w:rFonts w:ascii="Arial" w:hAnsi="Arial" w:cs="Arial"/>
                <w:sz w:val="20"/>
                <w:szCs w:val="20"/>
              </w:rPr>
              <w:t>1</w:t>
            </w:r>
          </w:p>
        </w:tc>
        <w:tc>
          <w:tcPr>
            <w:tcW w:w="1134" w:type="dxa"/>
            <w:hideMark/>
          </w:tcPr>
          <w:p w14:paraId="66933CC9" w14:textId="77777777" w:rsidR="00C16338" w:rsidRPr="00A176B6" w:rsidRDefault="00C16338" w:rsidP="00116A05">
            <w:pPr>
              <w:spacing w:after="160" w:line="360" w:lineRule="auto"/>
              <w:jc w:val="center"/>
              <w:rPr>
                <w:rFonts w:ascii="Arial" w:hAnsi="Arial" w:cs="Arial"/>
                <w:sz w:val="20"/>
                <w:szCs w:val="20"/>
              </w:rPr>
            </w:pPr>
            <w:r w:rsidRPr="00A176B6">
              <w:rPr>
                <w:rFonts w:ascii="Arial" w:hAnsi="Arial" w:cs="Arial"/>
                <w:sz w:val="20"/>
                <w:szCs w:val="20"/>
              </w:rPr>
              <w:t>1.5</w:t>
            </w:r>
          </w:p>
        </w:tc>
      </w:tr>
      <w:tr w:rsidR="00C16338" w:rsidRPr="00A176B6" w14:paraId="40B9E178" w14:textId="77777777" w:rsidTr="00116A05">
        <w:trPr>
          <w:trHeight w:val="366"/>
        </w:trPr>
        <w:tc>
          <w:tcPr>
            <w:tcW w:w="3539" w:type="dxa"/>
            <w:gridSpan w:val="2"/>
            <w:hideMark/>
          </w:tcPr>
          <w:p w14:paraId="5DCD4315" w14:textId="77777777" w:rsidR="00C16338" w:rsidRPr="00A176B6" w:rsidRDefault="00C16338" w:rsidP="00116A05">
            <w:pPr>
              <w:spacing w:after="160" w:line="360" w:lineRule="auto"/>
              <w:jc w:val="center"/>
              <w:rPr>
                <w:rFonts w:ascii="Arial" w:hAnsi="Arial" w:cs="Arial"/>
                <w:b/>
                <w:bCs/>
                <w:sz w:val="20"/>
                <w:szCs w:val="20"/>
              </w:rPr>
            </w:pPr>
            <w:r w:rsidRPr="00A176B6">
              <w:rPr>
                <w:rFonts w:ascii="Arial" w:hAnsi="Arial" w:cs="Arial"/>
                <w:b/>
                <w:bCs/>
                <w:sz w:val="20"/>
                <w:szCs w:val="20"/>
              </w:rPr>
              <w:t>Total</w:t>
            </w:r>
          </w:p>
        </w:tc>
        <w:tc>
          <w:tcPr>
            <w:tcW w:w="1134" w:type="dxa"/>
            <w:noWrap/>
            <w:hideMark/>
          </w:tcPr>
          <w:p w14:paraId="26935532" w14:textId="77777777" w:rsidR="00C16338" w:rsidRPr="00A176B6" w:rsidRDefault="00C16338" w:rsidP="00116A05">
            <w:pPr>
              <w:spacing w:after="160" w:line="360" w:lineRule="auto"/>
              <w:jc w:val="center"/>
              <w:rPr>
                <w:rFonts w:ascii="Arial" w:hAnsi="Arial" w:cs="Arial"/>
                <w:sz w:val="20"/>
                <w:szCs w:val="20"/>
              </w:rPr>
            </w:pPr>
            <w:r w:rsidRPr="00A176B6">
              <w:rPr>
                <w:rFonts w:ascii="Arial" w:hAnsi="Arial" w:cs="Arial"/>
                <w:sz w:val="20"/>
                <w:szCs w:val="20"/>
              </w:rPr>
              <w:t>100.00</w:t>
            </w:r>
          </w:p>
        </w:tc>
        <w:tc>
          <w:tcPr>
            <w:tcW w:w="1134" w:type="dxa"/>
            <w:noWrap/>
            <w:hideMark/>
          </w:tcPr>
          <w:p w14:paraId="7D382D76" w14:textId="77777777" w:rsidR="00C16338" w:rsidRPr="00A176B6" w:rsidRDefault="00C16338" w:rsidP="00116A05">
            <w:pPr>
              <w:spacing w:after="160" w:line="360" w:lineRule="auto"/>
              <w:jc w:val="center"/>
              <w:rPr>
                <w:rFonts w:ascii="Arial" w:hAnsi="Arial" w:cs="Arial"/>
                <w:sz w:val="20"/>
                <w:szCs w:val="20"/>
              </w:rPr>
            </w:pPr>
            <w:r w:rsidRPr="00A176B6">
              <w:rPr>
                <w:rFonts w:ascii="Arial" w:hAnsi="Arial" w:cs="Arial"/>
                <w:sz w:val="20"/>
                <w:szCs w:val="20"/>
              </w:rPr>
              <w:t>100.00</w:t>
            </w:r>
          </w:p>
        </w:tc>
        <w:tc>
          <w:tcPr>
            <w:tcW w:w="992" w:type="dxa"/>
            <w:noWrap/>
            <w:hideMark/>
          </w:tcPr>
          <w:p w14:paraId="6F3500F3" w14:textId="77777777" w:rsidR="00C16338" w:rsidRPr="00A176B6" w:rsidRDefault="00C16338" w:rsidP="00116A05">
            <w:pPr>
              <w:spacing w:after="160" w:line="360" w:lineRule="auto"/>
              <w:jc w:val="center"/>
              <w:rPr>
                <w:rFonts w:ascii="Arial" w:hAnsi="Arial" w:cs="Arial"/>
                <w:sz w:val="20"/>
                <w:szCs w:val="20"/>
              </w:rPr>
            </w:pPr>
            <w:r w:rsidRPr="00A176B6">
              <w:rPr>
                <w:rFonts w:ascii="Arial" w:hAnsi="Arial" w:cs="Arial"/>
                <w:sz w:val="20"/>
                <w:szCs w:val="20"/>
              </w:rPr>
              <w:t>100.00</w:t>
            </w:r>
          </w:p>
        </w:tc>
        <w:tc>
          <w:tcPr>
            <w:tcW w:w="1134" w:type="dxa"/>
            <w:noWrap/>
            <w:hideMark/>
          </w:tcPr>
          <w:p w14:paraId="5F72587F" w14:textId="77777777" w:rsidR="00C16338" w:rsidRPr="00A176B6" w:rsidRDefault="00C16338" w:rsidP="00116A05">
            <w:pPr>
              <w:spacing w:after="160" w:line="360" w:lineRule="auto"/>
              <w:jc w:val="center"/>
              <w:rPr>
                <w:rFonts w:ascii="Arial" w:hAnsi="Arial" w:cs="Arial"/>
                <w:sz w:val="20"/>
                <w:szCs w:val="20"/>
              </w:rPr>
            </w:pPr>
            <w:r w:rsidRPr="00A176B6">
              <w:rPr>
                <w:rFonts w:ascii="Arial" w:hAnsi="Arial" w:cs="Arial"/>
                <w:sz w:val="20"/>
                <w:szCs w:val="20"/>
              </w:rPr>
              <w:t>100.00</w:t>
            </w:r>
          </w:p>
        </w:tc>
      </w:tr>
    </w:tbl>
    <w:p w14:paraId="360B908F" w14:textId="77777777" w:rsidR="00C16338" w:rsidRPr="00A176B6" w:rsidRDefault="00C16338" w:rsidP="00C16338">
      <w:pPr>
        <w:spacing w:line="360" w:lineRule="auto"/>
        <w:jc w:val="both"/>
        <w:rPr>
          <w:rFonts w:ascii="Arial" w:hAnsi="Arial" w:cs="Arial"/>
          <w:sz w:val="20"/>
          <w:szCs w:val="20"/>
          <w:lang w:val="en-US"/>
        </w:rPr>
      </w:pPr>
      <w:r w:rsidRPr="00A176B6">
        <w:rPr>
          <w:rFonts w:ascii="Arial" w:hAnsi="Arial" w:cs="Arial"/>
          <w:sz w:val="20"/>
          <w:szCs w:val="20"/>
          <w:lang w:val="en-US"/>
        </w:rPr>
        <w:t xml:space="preserve">   </w:t>
      </w:r>
    </w:p>
    <w:p w14:paraId="74B5A13A" w14:textId="77777777" w:rsidR="00C16338" w:rsidRDefault="00C16338" w:rsidP="00C16338">
      <w:pPr>
        <w:spacing w:line="360" w:lineRule="auto"/>
        <w:jc w:val="both"/>
        <w:rPr>
          <w:rFonts w:ascii="Arial" w:hAnsi="Arial" w:cs="Arial"/>
          <w:b/>
          <w:bCs/>
          <w:sz w:val="20"/>
          <w:szCs w:val="20"/>
        </w:rPr>
      </w:pPr>
      <w:r>
        <w:rPr>
          <w:rFonts w:ascii="Arial" w:hAnsi="Arial" w:cs="Arial"/>
          <w:b/>
          <w:bCs/>
          <w:sz w:val="20"/>
          <w:szCs w:val="20"/>
        </w:rPr>
        <w:t xml:space="preserve">2.4. </w:t>
      </w:r>
      <w:r w:rsidRPr="00A176B6">
        <w:rPr>
          <w:rFonts w:ascii="Arial" w:hAnsi="Arial" w:cs="Arial"/>
          <w:b/>
          <w:bCs/>
          <w:sz w:val="20"/>
          <w:szCs w:val="20"/>
        </w:rPr>
        <w:t>Growth Parameters</w:t>
      </w:r>
    </w:p>
    <w:p w14:paraId="76F721C2" w14:textId="77777777" w:rsidR="00C16338" w:rsidRPr="00C77CD3" w:rsidRDefault="00C16338" w:rsidP="00C16338">
      <w:pPr>
        <w:spacing w:line="360" w:lineRule="auto"/>
        <w:jc w:val="both"/>
        <w:rPr>
          <w:rFonts w:ascii="Arial" w:hAnsi="Arial" w:cs="Arial"/>
          <w:sz w:val="20"/>
          <w:szCs w:val="20"/>
        </w:rPr>
      </w:pPr>
      <w:r w:rsidRPr="00C77CD3">
        <w:rPr>
          <w:rFonts w:ascii="Arial" w:hAnsi="Arial" w:cs="Arial"/>
          <w:bCs/>
          <w:sz w:val="20"/>
          <w:szCs w:val="20"/>
        </w:rPr>
        <w:t>The growth parameters were calculated on the 15 days gapes.</w:t>
      </w:r>
      <w:r>
        <w:rPr>
          <w:rFonts w:ascii="Arial" w:hAnsi="Arial" w:cs="Arial"/>
          <w:sz w:val="20"/>
          <w:szCs w:val="20"/>
        </w:rPr>
        <w:t xml:space="preserve">in this study several growth parameters were analysed as Net Weight Gain, Per cent Weight Gain, Net Length Gain, SGR and FCR. </w:t>
      </w:r>
      <w:r w:rsidRPr="00C77CD3">
        <w:rPr>
          <w:rFonts w:ascii="Arial" w:hAnsi="Arial" w:cs="Arial"/>
          <w:sz w:val="20"/>
          <w:szCs w:val="20"/>
        </w:rPr>
        <w:t xml:space="preserve"> </w:t>
      </w:r>
    </w:p>
    <w:p w14:paraId="01D6FAB4" w14:textId="77777777" w:rsidR="00C16338" w:rsidRPr="00A176B6" w:rsidRDefault="00C16338" w:rsidP="00C16338">
      <w:pPr>
        <w:spacing w:line="360" w:lineRule="auto"/>
        <w:jc w:val="both"/>
        <w:rPr>
          <w:rFonts w:ascii="Arial" w:hAnsi="Arial" w:cs="Arial"/>
          <w:sz w:val="20"/>
          <w:szCs w:val="20"/>
        </w:rPr>
      </w:pPr>
      <w:r w:rsidRPr="00A176B6">
        <w:rPr>
          <w:rFonts w:ascii="Arial" w:hAnsi="Arial" w:cs="Arial"/>
          <w:sz w:val="20"/>
          <w:szCs w:val="20"/>
        </w:rPr>
        <w:t>The following formulas were used to calculate the fish's growth performance.</w:t>
      </w:r>
    </w:p>
    <w:p w14:paraId="2F5C7C2C" w14:textId="77777777" w:rsidR="00C16338" w:rsidRPr="00A176B6" w:rsidRDefault="00C16338" w:rsidP="00C16338">
      <w:pPr>
        <w:numPr>
          <w:ilvl w:val="0"/>
          <w:numId w:val="1"/>
        </w:numPr>
        <w:spacing w:line="360" w:lineRule="auto"/>
        <w:jc w:val="both"/>
        <w:rPr>
          <w:rFonts w:ascii="Arial" w:hAnsi="Arial" w:cs="Arial"/>
          <w:sz w:val="20"/>
          <w:szCs w:val="20"/>
        </w:rPr>
      </w:pPr>
      <w:r>
        <w:rPr>
          <w:rFonts w:ascii="Arial" w:hAnsi="Arial" w:cs="Arial"/>
          <w:b/>
          <w:sz w:val="20"/>
          <w:szCs w:val="20"/>
        </w:rPr>
        <w:t xml:space="preserve">Net </w:t>
      </w:r>
      <w:r w:rsidRPr="00A176B6">
        <w:rPr>
          <w:rFonts w:ascii="Arial" w:hAnsi="Arial" w:cs="Arial"/>
          <w:b/>
          <w:sz w:val="20"/>
          <w:szCs w:val="20"/>
        </w:rPr>
        <w:t xml:space="preserve">Weight gain (g) </w:t>
      </w:r>
      <w:r w:rsidRPr="00A176B6">
        <w:rPr>
          <w:rFonts w:ascii="Arial" w:hAnsi="Arial" w:cs="Arial"/>
          <w:sz w:val="20"/>
          <w:szCs w:val="20"/>
        </w:rPr>
        <w:t>= Final Weight (g) – Initial weight (g)</w:t>
      </w:r>
    </w:p>
    <w:p w14:paraId="0A1460FB" w14:textId="77777777" w:rsidR="00C16338" w:rsidRPr="00A176B6" w:rsidRDefault="00C16338" w:rsidP="00C16338">
      <w:pPr>
        <w:numPr>
          <w:ilvl w:val="0"/>
          <w:numId w:val="1"/>
        </w:numPr>
        <w:spacing w:line="360" w:lineRule="auto"/>
        <w:jc w:val="both"/>
        <w:rPr>
          <w:rFonts w:ascii="Arial" w:hAnsi="Arial" w:cs="Arial"/>
          <w:sz w:val="20"/>
          <w:szCs w:val="20"/>
        </w:rPr>
      </w:pPr>
      <w:r w:rsidRPr="00A176B6">
        <w:rPr>
          <w:rFonts w:ascii="Arial" w:hAnsi="Arial" w:cs="Arial"/>
          <w:b/>
          <w:sz w:val="20"/>
          <w:szCs w:val="20"/>
        </w:rPr>
        <w:t>Percent Weight Gain</w:t>
      </w:r>
      <w:r w:rsidRPr="00A176B6">
        <w:rPr>
          <w:rFonts w:ascii="Arial" w:hAnsi="Arial" w:cs="Arial"/>
          <w:sz w:val="20"/>
          <w:szCs w:val="20"/>
        </w:rPr>
        <w:t>= (Final weight gain – Initial weight gain / Initial weight gain) ×100</w:t>
      </w:r>
    </w:p>
    <w:p w14:paraId="4AD9421E" w14:textId="77777777" w:rsidR="00C16338" w:rsidRPr="00A176B6" w:rsidRDefault="00C16338" w:rsidP="00C16338">
      <w:pPr>
        <w:numPr>
          <w:ilvl w:val="0"/>
          <w:numId w:val="1"/>
        </w:numPr>
        <w:spacing w:line="360" w:lineRule="auto"/>
        <w:jc w:val="both"/>
        <w:rPr>
          <w:rFonts w:ascii="Arial" w:hAnsi="Arial" w:cs="Arial"/>
          <w:sz w:val="20"/>
          <w:szCs w:val="20"/>
        </w:rPr>
      </w:pPr>
      <w:r>
        <w:rPr>
          <w:rFonts w:ascii="Arial" w:hAnsi="Arial" w:cs="Arial"/>
          <w:b/>
          <w:sz w:val="20"/>
          <w:szCs w:val="20"/>
        </w:rPr>
        <w:t xml:space="preserve">Net </w:t>
      </w:r>
      <w:r w:rsidRPr="00A176B6">
        <w:rPr>
          <w:rFonts w:ascii="Arial" w:hAnsi="Arial" w:cs="Arial"/>
          <w:b/>
          <w:sz w:val="20"/>
          <w:szCs w:val="20"/>
        </w:rPr>
        <w:t>Length gain (g)</w:t>
      </w:r>
      <w:r w:rsidRPr="00A176B6">
        <w:rPr>
          <w:rFonts w:ascii="Arial" w:hAnsi="Arial" w:cs="Arial"/>
          <w:sz w:val="20"/>
          <w:szCs w:val="20"/>
        </w:rPr>
        <w:t xml:space="preserve"> = Final length gain(g) – Initial Length gain(g)</w:t>
      </w:r>
    </w:p>
    <w:p w14:paraId="0BCA56F0" w14:textId="77777777" w:rsidR="00C16338" w:rsidRPr="00A176B6" w:rsidRDefault="00C16338" w:rsidP="00C16338">
      <w:pPr>
        <w:spacing w:line="360" w:lineRule="auto"/>
        <w:jc w:val="both"/>
        <w:rPr>
          <w:rFonts w:ascii="Arial" w:hAnsi="Arial" w:cs="Arial"/>
          <w:b/>
          <w:sz w:val="20"/>
          <w:szCs w:val="20"/>
        </w:rPr>
      </w:pPr>
      <w:r w:rsidRPr="00A176B6">
        <w:rPr>
          <w:rFonts w:ascii="Arial" w:hAnsi="Arial" w:cs="Arial"/>
          <w:sz w:val="20"/>
          <w:szCs w:val="20"/>
        </w:rPr>
        <w:t xml:space="preserve">       4.  </w:t>
      </w:r>
      <w:r w:rsidRPr="00A176B6">
        <w:rPr>
          <w:rFonts w:ascii="Arial" w:hAnsi="Arial" w:cs="Arial"/>
          <w:b/>
          <w:sz w:val="20"/>
          <w:szCs w:val="20"/>
        </w:rPr>
        <w:t>Specific Growth Rate (SGR)</w:t>
      </w:r>
    </w:p>
    <w:p w14:paraId="6C75E716" w14:textId="77777777" w:rsidR="00C16338" w:rsidRPr="00A176B6" w:rsidRDefault="00C16338" w:rsidP="00C16338">
      <w:pPr>
        <w:spacing w:line="360" w:lineRule="auto"/>
        <w:jc w:val="both"/>
        <w:rPr>
          <w:rFonts w:ascii="Arial" w:hAnsi="Arial" w:cs="Arial"/>
          <w:sz w:val="20"/>
          <w:szCs w:val="20"/>
        </w:rPr>
      </w:pPr>
      <w:r w:rsidRPr="00A176B6">
        <w:rPr>
          <w:rFonts w:ascii="Arial" w:hAnsi="Arial" w:cs="Arial"/>
          <w:sz w:val="20"/>
          <w:szCs w:val="20"/>
        </w:rPr>
        <w:t xml:space="preserve">                                                SGR</w:t>
      </w:r>
      <m:oMath>
        <m:r>
          <m:rPr>
            <m:sty m:val="p"/>
          </m:rPr>
          <w:rPr>
            <w:rFonts w:ascii="Cambria Math" w:hAnsi="Cambria Math" w:cs="Arial"/>
            <w:sz w:val="20"/>
            <w:szCs w:val="20"/>
          </w:rPr>
          <m:t>=</m:t>
        </m:r>
        <m:f>
          <m:fPr>
            <m:ctrlPr>
              <w:rPr>
                <w:rFonts w:ascii="Cambria Math" w:hAnsi="Cambria Math" w:cs="Arial"/>
                <w:sz w:val="20"/>
                <w:szCs w:val="20"/>
              </w:rPr>
            </m:ctrlPr>
          </m:fPr>
          <m:num>
            <m:r>
              <m:rPr>
                <m:sty m:val="p"/>
              </m:rPr>
              <w:rPr>
                <w:rFonts w:ascii="Cambria Math" w:hAnsi="Cambria Math" w:cs="Arial"/>
                <w:sz w:val="20"/>
                <w:szCs w:val="20"/>
              </w:rPr>
              <m:t>(lnWt-InWo)</m:t>
            </m:r>
          </m:num>
          <m:den>
            <m:r>
              <m:rPr>
                <m:sty m:val="p"/>
              </m:rPr>
              <w:rPr>
                <w:rFonts w:ascii="Cambria Math" w:hAnsi="Cambria Math" w:cs="Arial"/>
                <w:sz w:val="20"/>
                <w:szCs w:val="20"/>
              </w:rPr>
              <m:t>D</m:t>
            </m:r>
          </m:den>
        </m:f>
        <m:r>
          <m:rPr>
            <m:sty m:val="p"/>
          </m:rPr>
          <w:rPr>
            <w:rFonts w:ascii="Cambria Math" w:hAnsi="Cambria Math" w:cs="Arial"/>
            <w:sz w:val="20"/>
            <w:szCs w:val="20"/>
          </w:rPr>
          <m:t>x100</m:t>
        </m:r>
      </m:oMath>
    </w:p>
    <w:p w14:paraId="022F3626" w14:textId="77777777" w:rsidR="00C16338" w:rsidRPr="00A176B6" w:rsidRDefault="00C16338" w:rsidP="00C16338">
      <w:pPr>
        <w:spacing w:line="360" w:lineRule="auto"/>
        <w:jc w:val="both"/>
        <w:rPr>
          <w:rFonts w:ascii="Arial" w:hAnsi="Arial" w:cs="Arial"/>
          <w:sz w:val="20"/>
          <w:szCs w:val="20"/>
        </w:rPr>
      </w:pPr>
      <w:r w:rsidRPr="00A176B6">
        <w:rPr>
          <w:rFonts w:ascii="Arial" w:hAnsi="Arial" w:cs="Arial"/>
          <w:sz w:val="20"/>
          <w:szCs w:val="20"/>
        </w:rPr>
        <w:t xml:space="preserve">               </w:t>
      </w:r>
    </w:p>
    <w:p w14:paraId="683D0CB8" w14:textId="77777777" w:rsidR="00C16338" w:rsidRPr="00A176B6" w:rsidRDefault="00C16338" w:rsidP="00C16338">
      <w:pPr>
        <w:spacing w:line="360" w:lineRule="auto"/>
        <w:jc w:val="both"/>
        <w:rPr>
          <w:rFonts w:ascii="Arial" w:hAnsi="Arial" w:cs="Arial"/>
          <w:sz w:val="20"/>
          <w:szCs w:val="20"/>
        </w:rPr>
      </w:pPr>
      <w:r w:rsidRPr="00A176B6">
        <w:rPr>
          <w:rFonts w:ascii="Arial" w:hAnsi="Arial" w:cs="Arial"/>
          <w:sz w:val="20"/>
          <w:szCs w:val="20"/>
        </w:rPr>
        <w:t xml:space="preserve"> Where,</w:t>
      </w:r>
    </w:p>
    <w:p w14:paraId="091DE28A" w14:textId="77777777" w:rsidR="00C16338" w:rsidRPr="00A176B6" w:rsidRDefault="00C16338" w:rsidP="00C16338">
      <w:pPr>
        <w:spacing w:line="360" w:lineRule="auto"/>
        <w:jc w:val="both"/>
        <w:rPr>
          <w:rFonts w:ascii="Arial" w:hAnsi="Arial" w:cs="Arial"/>
          <w:sz w:val="20"/>
          <w:szCs w:val="20"/>
        </w:rPr>
      </w:pPr>
      <w:r w:rsidRPr="00A176B6">
        <w:rPr>
          <w:rFonts w:ascii="Arial" w:hAnsi="Arial" w:cs="Arial"/>
          <w:sz w:val="20"/>
          <w:szCs w:val="20"/>
        </w:rPr>
        <w:t xml:space="preserve">                                                  In= log</w:t>
      </w:r>
    </w:p>
    <w:p w14:paraId="5A887DA1" w14:textId="77777777" w:rsidR="00C16338" w:rsidRPr="00A176B6" w:rsidRDefault="00C16338" w:rsidP="00C16338">
      <w:pPr>
        <w:spacing w:line="360" w:lineRule="auto"/>
        <w:jc w:val="both"/>
        <w:rPr>
          <w:rFonts w:ascii="Arial" w:hAnsi="Arial" w:cs="Arial"/>
          <w:sz w:val="20"/>
          <w:szCs w:val="20"/>
        </w:rPr>
      </w:pPr>
      <w:r w:rsidRPr="00A176B6">
        <w:rPr>
          <w:rFonts w:ascii="Arial" w:hAnsi="Arial" w:cs="Arial"/>
          <w:sz w:val="20"/>
          <w:szCs w:val="20"/>
        </w:rPr>
        <w:t xml:space="preserve">                                                  W</w:t>
      </w:r>
      <w:r w:rsidRPr="00A176B6">
        <w:rPr>
          <w:rFonts w:ascii="Arial" w:hAnsi="Arial" w:cs="Arial"/>
          <w:sz w:val="20"/>
          <w:szCs w:val="20"/>
          <w:vertAlign w:val="subscript"/>
        </w:rPr>
        <w:t>0</w:t>
      </w:r>
      <w:r w:rsidRPr="00A176B6">
        <w:rPr>
          <w:rFonts w:ascii="Arial" w:hAnsi="Arial" w:cs="Arial"/>
          <w:sz w:val="20"/>
          <w:szCs w:val="20"/>
        </w:rPr>
        <w:t xml:space="preserve"> = Initial weight of live fish (gm)</w:t>
      </w:r>
    </w:p>
    <w:p w14:paraId="41487DDA" w14:textId="77777777" w:rsidR="00C16338" w:rsidRPr="00A176B6" w:rsidRDefault="00C16338" w:rsidP="00C16338">
      <w:pPr>
        <w:spacing w:line="360" w:lineRule="auto"/>
        <w:jc w:val="both"/>
        <w:rPr>
          <w:rFonts w:ascii="Arial" w:hAnsi="Arial" w:cs="Arial"/>
          <w:sz w:val="20"/>
          <w:szCs w:val="20"/>
        </w:rPr>
      </w:pPr>
      <w:r w:rsidRPr="00A176B6">
        <w:rPr>
          <w:rFonts w:ascii="Arial" w:hAnsi="Arial" w:cs="Arial"/>
          <w:sz w:val="20"/>
          <w:szCs w:val="20"/>
        </w:rPr>
        <w:t xml:space="preserve">                                                  Wt = Final weight of live fish (gm) </w:t>
      </w:r>
    </w:p>
    <w:p w14:paraId="1510F169" w14:textId="77777777" w:rsidR="00C16338" w:rsidRPr="00A176B6" w:rsidRDefault="00C16338" w:rsidP="00C16338">
      <w:pPr>
        <w:spacing w:line="360" w:lineRule="auto"/>
        <w:jc w:val="both"/>
        <w:rPr>
          <w:rFonts w:ascii="Arial" w:hAnsi="Arial" w:cs="Arial"/>
          <w:sz w:val="20"/>
          <w:szCs w:val="20"/>
        </w:rPr>
      </w:pPr>
      <w:r w:rsidRPr="00A176B6">
        <w:rPr>
          <w:rFonts w:ascii="Arial" w:hAnsi="Arial" w:cs="Arial"/>
          <w:sz w:val="20"/>
          <w:szCs w:val="20"/>
        </w:rPr>
        <w:t xml:space="preserve">                                                   D = Duration of feeding (days) </w:t>
      </w:r>
    </w:p>
    <w:p w14:paraId="4609FB1F" w14:textId="77777777" w:rsidR="00C16338" w:rsidRPr="00A176B6" w:rsidRDefault="00C16338" w:rsidP="00C16338">
      <w:pPr>
        <w:spacing w:line="360" w:lineRule="auto"/>
        <w:jc w:val="both"/>
        <w:rPr>
          <w:rFonts w:ascii="Arial" w:hAnsi="Arial" w:cs="Arial"/>
          <w:sz w:val="20"/>
          <w:szCs w:val="20"/>
        </w:rPr>
      </w:pPr>
      <w:r w:rsidRPr="00A176B6">
        <w:rPr>
          <w:rFonts w:ascii="Arial" w:hAnsi="Arial" w:cs="Arial"/>
          <w:sz w:val="20"/>
          <w:szCs w:val="20"/>
        </w:rPr>
        <w:t xml:space="preserve">      5</w:t>
      </w:r>
      <w:r w:rsidRPr="00833A31">
        <w:rPr>
          <w:rFonts w:ascii="Arial" w:hAnsi="Arial" w:cs="Arial"/>
          <w:b/>
          <w:sz w:val="20"/>
          <w:szCs w:val="20"/>
        </w:rPr>
        <w:t>. Feed Conversion Ratio (FCR): -</w:t>
      </w:r>
    </w:p>
    <w:p w14:paraId="07F3B406" w14:textId="77777777" w:rsidR="00C16338" w:rsidRPr="00A176B6" w:rsidRDefault="00C16338" w:rsidP="00C16338">
      <w:pPr>
        <w:spacing w:line="360" w:lineRule="auto"/>
        <w:jc w:val="both"/>
        <w:rPr>
          <w:rFonts w:ascii="Arial" w:hAnsi="Arial" w:cs="Arial"/>
          <w:sz w:val="20"/>
          <w:szCs w:val="20"/>
        </w:rPr>
      </w:pPr>
      <w:r w:rsidRPr="00A176B6">
        <w:rPr>
          <w:rFonts w:ascii="Arial" w:hAnsi="Arial" w:cs="Arial"/>
          <w:sz w:val="20"/>
          <w:szCs w:val="20"/>
        </w:rPr>
        <w:t xml:space="preserve">                                   FCR = Feed given (g) / Weight gain (g)</w:t>
      </w:r>
    </w:p>
    <w:p w14:paraId="2B4E02E7" w14:textId="77777777" w:rsidR="00C16338" w:rsidRPr="00A176B6" w:rsidRDefault="00C16338" w:rsidP="00C16338">
      <w:pPr>
        <w:spacing w:line="360" w:lineRule="auto"/>
        <w:jc w:val="both"/>
        <w:rPr>
          <w:rFonts w:ascii="Arial" w:hAnsi="Arial" w:cs="Arial"/>
          <w:sz w:val="20"/>
          <w:szCs w:val="20"/>
        </w:rPr>
      </w:pPr>
    </w:p>
    <w:p w14:paraId="6AD21EA6" w14:textId="77777777" w:rsidR="00C16338" w:rsidRPr="00A176B6" w:rsidRDefault="00C16338" w:rsidP="00C16338">
      <w:pPr>
        <w:spacing w:line="360" w:lineRule="auto"/>
        <w:jc w:val="both"/>
        <w:rPr>
          <w:rFonts w:ascii="Arial" w:hAnsi="Arial" w:cs="Arial"/>
          <w:b/>
          <w:bCs/>
          <w:sz w:val="20"/>
          <w:szCs w:val="20"/>
        </w:rPr>
      </w:pPr>
      <w:r>
        <w:rPr>
          <w:rFonts w:ascii="Arial" w:hAnsi="Arial" w:cs="Arial"/>
          <w:b/>
          <w:bCs/>
          <w:sz w:val="20"/>
          <w:szCs w:val="20"/>
        </w:rPr>
        <w:t>2.5</w:t>
      </w:r>
      <w:r w:rsidRPr="00A176B6">
        <w:rPr>
          <w:rFonts w:ascii="Arial" w:hAnsi="Arial" w:cs="Arial"/>
          <w:b/>
          <w:bCs/>
          <w:sz w:val="20"/>
          <w:szCs w:val="20"/>
        </w:rPr>
        <w:t xml:space="preserve"> Statistical Data Analysis</w:t>
      </w:r>
    </w:p>
    <w:p w14:paraId="19EEB221" w14:textId="77777777" w:rsidR="00C16338" w:rsidRPr="00A176B6" w:rsidRDefault="00C16338" w:rsidP="00C16338">
      <w:pPr>
        <w:spacing w:line="360" w:lineRule="auto"/>
        <w:jc w:val="both"/>
        <w:rPr>
          <w:rFonts w:ascii="Arial" w:hAnsi="Arial" w:cs="Arial"/>
          <w:sz w:val="20"/>
          <w:szCs w:val="20"/>
        </w:rPr>
      </w:pPr>
      <w:r w:rsidRPr="00A176B6">
        <w:rPr>
          <w:rFonts w:ascii="Arial" w:hAnsi="Arial" w:cs="Arial"/>
          <w:sz w:val="20"/>
          <w:szCs w:val="20"/>
        </w:rPr>
        <w:t xml:space="preserve"> The growth performance </w:t>
      </w:r>
      <w:r>
        <w:rPr>
          <w:rFonts w:ascii="Arial" w:hAnsi="Arial" w:cs="Arial"/>
          <w:sz w:val="20"/>
          <w:szCs w:val="20"/>
        </w:rPr>
        <w:t>data</w:t>
      </w:r>
      <w:r w:rsidRPr="00A176B6">
        <w:rPr>
          <w:rFonts w:ascii="Arial" w:hAnsi="Arial" w:cs="Arial"/>
          <w:sz w:val="20"/>
          <w:szCs w:val="20"/>
        </w:rPr>
        <w:t>, including mean, NWG, PWG, LG, SGR and FCR, and were identified their significant differences among the groups. The data obtained from this study were analysed using the Statistical Package for the Social Sciences (SPSS</w:t>
      </w:r>
      <w:r>
        <w:rPr>
          <w:rFonts w:ascii="Arial" w:hAnsi="Arial" w:cs="Arial"/>
          <w:sz w:val="20"/>
          <w:szCs w:val="20"/>
        </w:rPr>
        <w:t xml:space="preserve"> 16.0</w:t>
      </w:r>
      <w:r w:rsidRPr="00A176B6">
        <w:rPr>
          <w:rFonts w:ascii="Arial" w:hAnsi="Arial" w:cs="Arial"/>
          <w:sz w:val="20"/>
          <w:szCs w:val="20"/>
        </w:rPr>
        <w:t>). To compare</w:t>
      </w:r>
      <w:r>
        <w:rPr>
          <w:rFonts w:ascii="Arial" w:hAnsi="Arial" w:cs="Arial"/>
          <w:sz w:val="20"/>
          <w:szCs w:val="20"/>
        </w:rPr>
        <w:t xml:space="preserve"> the treatment the Duncan</w:t>
      </w:r>
      <w:r w:rsidRPr="00A176B6">
        <w:rPr>
          <w:rFonts w:ascii="Arial" w:hAnsi="Arial" w:cs="Arial"/>
          <w:sz w:val="20"/>
          <w:szCs w:val="20"/>
        </w:rPr>
        <w:t xml:space="preserve"> </w:t>
      </w:r>
      <w:r>
        <w:rPr>
          <w:rFonts w:ascii="Arial" w:hAnsi="Arial" w:cs="Arial"/>
          <w:sz w:val="20"/>
          <w:szCs w:val="20"/>
        </w:rPr>
        <w:t xml:space="preserve">values </w:t>
      </w:r>
      <w:r w:rsidRPr="00A176B6">
        <w:rPr>
          <w:rFonts w:ascii="Arial" w:hAnsi="Arial" w:cs="Arial"/>
          <w:sz w:val="20"/>
          <w:szCs w:val="20"/>
        </w:rPr>
        <w:t>and the data were presented as mean ± SE. Results will be considered statistically significant at the 5% level (</w:t>
      </w:r>
      <w:r w:rsidRPr="00833A31">
        <w:rPr>
          <w:rFonts w:ascii="Arial" w:hAnsi="Arial" w:cs="Arial"/>
          <w:i/>
          <w:sz w:val="20"/>
          <w:szCs w:val="20"/>
        </w:rPr>
        <w:t>p &lt; 0.05</w:t>
      </w:r>
      <w:r w:rsidRPr="00A176B6">
        <w:rPr>
          <w:rFonts w:ascii="Arial" w:hAnsi="Arial" w:cs="Arial"/>
          <w:sz w:val="20"/>
          <w:szCs w:val="20"/>
        </w:rPr>
        <w:t>).</w:t>
      </w:r>
    </w:p>
    <w:p w14:paraId="75345E26" w14:textId="77777777" w:rsidR="00C16338" w:rsidRPr="00A176B6" w:rsidRDefault="00C16338" w:rsidP="00C16338">
      <w:pPr>
        <w:spacing w:line="360" w:lineRule="auto"/>
        <w:jc w:val="both"/>
        <w:rPr>
          <w:rFonts w:ascii="Arial" w:hAnsi="Arial" w:cs="Arial"/>
          <w:b/>
          <w:bCs/>
          <w:sz w:val="20"/>
          <w:szCs w:val="20"/>
        </w:rPr>
      </w:pPr>
      <w:r w:rsidRPr="00A176B6">
        <w:rPr>
          <w:rFonts w:ascii="Arial" w:hAnsi="Arial" w:cs="Arial"/>
          <w:b/>
          <w:bCs/>
          <w:sz w:val="20"/>
          <w:szCs w:val="20"/>
        </w:rPr>
        <w:t>5.0 RESULT</w:t>
      </w:r>
      <w:r>
        <w:rPr>
          <w:rFonts w:ascii="Arial" w:hAnsi="Arial" w:cs="Arial"/>
          <w:b/>
          <w:bCs/>
          <w:sz w:val="20"/>
          <w:szCs w:val="20"/>
        </w:rPr>
        <w:t xml:space="preserve">S and </w:t>
      </w:r>
      <w:r w:rsidRPr="00A176B6">
        <w:rPr>
          <w:rFonts w:ascii="Arial" w:hAnsi="Arial" w:cs="Arial"/>
          <w:b/>
          <w:bCs/>
          <w:sz w:val="20"/>
          <w:szCs w:val="20"/>
        </w:rPr>
        <w:t>DISCUSSION</w:t>
      </w:r>
    </w:p>
    <w:p w14:paraId="750CC08D" w14:textId="77777777" w:rsidR="00C16338" w:rsidRPr="00A176B6" w:rsidRDefault="00C16338" w:rsidP="00C16338">
      <w:pPr>
        <w:spacing w:line="360" w:lineRule="auto"/>
        <w:jc w:val="both"/>
        <w:rPr>
          <w:rFonts w:ascii="Arial" w:hAnsi="Arial" w:cs="Arial"/>
          <w:sz w:val="20"/>
          <w:szCs w:val="20"/>
        </w:rPr>
      </w:pPr>
      <w:r w:rsidRPr="00D202CD">
        <w:lastRenderedPageBreak/>
        <w:t xml:space="preserve">Adding </w:t>
      </w:r>
      <w:r w:rsidRPr="00D202CD">
        <w:rPr>
          <w:rStyle w:val="Strong"/>
        </w:rPr>
        <w:t>toothache plant (</w:t>
      </w:r>
      <w:r w:rsidRPr="00D202CD">
        <w:rPr>
          <w:rStyle w:val="Strong"/>
          <w:i/>
        </w:rPr>
        <w:t>A. oleracea</w:t>
      </w:r>
      <w:r w:rsidRPr="00D202CD">
        <w:rPr>
          <w:rStyle w:val="Strong"/>
        </w:rPr>
        <w:t>)</w:t>
      </w:r>
      <w:r w:rsidRPr="00D202CD">
        <w:t xml:space="preserve"> to the diet of </w:t>
      </w:r>
      <w:r w:rsidRPr="00D202CD">
        <w:rPr>
          <w:rStyle w:val="Strong"/>
        </w:rPr>
        <w:t>mrigal (</w:t>
      </w:r>
      <w:r w:rsidRPr="00D202CD">
        <w:rPr>
          <w:rStyle w:val="Strong"/>
          <w:i/>
        </w:rPr>
        <w:t>C. mrigala</w:t>
      </w:r>
      <w:r w:rsidRPr="00D202CD">
        <w:rPr>
          <w:rStyle w:val="Strong"/>
        </w:rPr>
        <w:t>)</w:t>
      </w:r>
      <w:r>
        <w:t xml:space="preserve"> consistently led to increased net weight gain across all treatment groups throughout the study. By</w:t>
      </w:r>
      <w:r w:rsidRPr="00A176B6">
        <w:rPr>
          <w:rFonts w:ascii="Arial" w:hAnsi="Arial" w:cs="Arial"/>
          <w:sz w:val="20"/>
          <w:szCs w:val="20"/>
        </w:rPr>
        <w:t xml:space="preserve"> adding (</w:t>
      </w:r>
      <w:r w:rsidRPr="00A176B6">
        <w:rPr>
          <w:rFonts w:ascii="Arial" w:hAnsi="Arial" w:cs="Arial"/>
          <w:i/>
          <w:iCs/>
          <w:sz w:val="20"/>
          <w:szCs w:val="20"/>
        </w:rPr>
        <w:t>A. oleracea</w:t>
      </w:r>
      <w:r w:rsidRPr="00A176B6">
        <w:rPr>
          <w:rFonts w:ascii="Arial" w:hAnsi="Arial" w:cs="Arial"/>
          <w:sz w:val="20"/>
          <w:szCs w:val="20"/>
        </w:rPr>
        <w:t>) extract at various concentrations and feeding it at 3% of the body weight, the study recorded continuous weight gain across all treatments. At the end of experiment, the relationship between NWG,</w:t>
      </w:r>
      <w:r w:rsidRPr="00705803">
        <w:rPr>
          <w:rFonts w:ascii="Arial" w:hAnsi="Arial" w:cs="Arial"/>
          <w:sz w:val="20"/>
          <w:szCs w:val="20"/>
        </w:rPr>
        <w:t xml:space="preserve"> </w:t>
      </w:r>
      <w:r>
        <w:rPr>
          <w:rFonts w:ascii="Arial" w:hAnsi="Arial" w:cs="Arial"/>
          <w:sz w:val="20"/>
          <w:szCs w:val="20"/>
        </w:rPr>
        <w:t>N</w:t>
      </w:r>
      <w:r w:rsidRPr="00A176B6">
        <w:rPr>
          <w:rFonts w:ascii="Arial" w:hAnsi="Arial" w:cs="Arial"/>
          <w:sz w:val="20"/>
          <w:szCs w:val="20"/>
        </w:rPr>
        <w:t xml:space="preserve">LG, PWG, SGR and FCR were significantly (p&lt;0.05) impacted by the diet that used Tootache plant extract. </w:t>
      </w:r>
      <w:r>
        <w:rPr>
          <w:rFonts w:ascii="Arial" w:hAnsi="Arial" w:cs="Arial"/>
          <w:sz w:val="20"/>
          <w:szCs w:val="20"/>
        </w:rPr>
        <w:t>N</w:t>
      </w:r>
      <w:r w:rsidRPr="00A176B6">
        <w:rPr>
          <w:rFonts w:ascii="Arial" w:hAnsi="Arial" w:cs="Arial"/>
          <w:sz w:val="20"/>
          <w:szCs w:val="20"/>
        </w:rPr>
        <w:t>LG, NWG, PWG, SGR and FCR better in T1 (0.5%) followed by T2 (1.0%), and T3 (1.5%),</w:t>
      </w:r>
      <w:r>
        <w:rPr>
          <w:rFonts w:ascii="Arial" w:hAnsi="Arial" w:cs="Arial"/>
          <w:sz w:val="20"/>
          <w:szCs w:val="20"/>
        </w:rPr>
        <w:t xml:space="preserve"> whereas the lowest was control. </w:t>
      </w:r>
      <w:r w:rsidRPr="00A176B6">
        <w:rPr>
          <w:rFonts w:ascii="Arial" w:hAnsi="Arial" w:cs="Arial"/>
          <w:sz w:val="20"/>
          <w:szCs w:val="20"/>
        </w:rPr>
        <w:t>The highest LG value</w:t>
      </w:r>
      <w:r>
        <w:rPr>
          <w:rFonts w:ascii="Arial" w:hAnsi="Arial" w:cs="Arial"/>
          <w:sz w:val="20"/>
          <w:szCs w:val="20"/>
        </w:rPr>
        <w:t xml:space="preserve"> </w:t>
      </w:r>
      <w:r w:rsidRPr="00A176B6">
        <w:rPr>
          <w:rFonts w:ascii="Arial" w:hAnsi="Arial" w:cs="Arial"/>
          <w:sz w:val="20"/>
          <w:szCs w:val="20"/>
        </w:rPr>
        <w:t>(p&lt;0.05) was observed in fish diet T1</w:t>
      </w:r>
      <w:r>
        <w:rPr>
          <w:rFonts w:ascii="Arial" w:hAnsi="Arial" w:cs="Arial"/>
          <w:sz w:val="20"/>
          <w:szCs w:val="20"/>
        </w:rPr>
        <w:t xml:space="preserve"> </w:t>
      </w:r>
      <w:r w:rsidRPr="00A176B6">
        <w:rPr>
          <w:rFonts w:ascii="Arial" w:hAnsi="Arial" w:cs="Arial"/>
          <w:sz w:val="20"/>
          <w:szCs w:val="20"/>
        </w:rPr>
        <w:t>(8.88</w:t>
      </w:r>
      <w:r w:rsidRPr="00A176B6">
        <w:rPr>
          <w:rFonts w:ascii="Arial" w:hAnsi="Arial" w:cs="Arial"/>
          <w:sz w:val="20"/>
          <w:szCs w:val="20"/>
          <w:vertAlign w:val="superscript"/>
        </w:rPr>
        <w:t>a</w:t>
      </w:r>
      <w:r w:rsidRPr="00A176B6">
        <w:rPr>
          <w:rFonts w:ascii="Arial" w:hAnsi="Arial" w:cs="Arial"/>
          <w:sz w:val="20"/>
          <w:szCs w:val="20"/>
        </w:rPr>
        <w:t>±1.154), followed by T2 and T3 and lowest (p&lt;0.05) in fish fed control (T0) (Table 2, fig.1). The highest NWG value (p&lt;0.05) was observed in fish diet T1</w:t>
      </w:r>
      <w:r>
        <w:rPr>
          <w:rFonts w:ascii="Arial" w:hAnsi="Arial" w:cs="Arial"/>
          <w:sz w:val="20"/>
          <w:szCs w:val="20"/>
        </w:rPr>
        <w:t xml:space="preserve"> </w:t>
      </w:r>
      <w:r w:rsidRPr="00A176B6">
        <w:rPr>
          <w:rFonts w:ascii="Arial" w:hAnsi="Arial" w:cs="Arial"/>
          <w:sz w:val="20"/>
          <w:szCs w:val="20"/>
        </w:rPr>
        <w:t>(32.3</w:t>
      </w:r>
      <w:r w:rsidRPr="00A176B6">
        <w:rPr>
          <w:rFonts w:ascii="Arial" w:hAnsi="Arial" w:cs="Arial"/>
          <w:sz w:val="20"/>
          <w:szCs w:val="20"/>
          <w:vertAlign w:val="superscript"/>
        </w:rPr>
        <w:t>d</w:t>
      </w:r>
      <w:r w:rsidRPr="00A176B6">
        <w:rPr>
          <w:rFonts w:ascii="Arial" w:hAnsi="Arial" w:cs="Arial"/>
          <w:sz w:val="20"/>
          <w:szCs w:val="20"/>
        </w:rPr>
        <w:t>±1.15470), followed by T2</w:t>
      </w:r>
      <w:r>
        <w:rPr>
          <w:rFonts w:ascii="Arial" w:hAnsi="Arial" w:cs="Arial"/>
          <w:sz w:val="20"/>
          <w:szCs w:val="20"/>
        </w:rPr>
        <w:t xml:space="preserve"> </w:t>
      </w:r>
      <w:r w:rsidRPr="00A176B6">
        <w:rPr>
          <w:rFonts w:ascii="Arial" w:hAnsi="Arial" w:cs="Arial"/>
          <w:sz w:val="20"/>
          <w:szCs w:val="20"/>
        </w:rPr>
        <w:t>(23.9</w:t>
      </w:r>
      <w:r w:rsidRPr="00A176B6">
        <w:rPr>
          <w:rFonts w:ascii="Arial" w:hAnsi="Arial" w:cs="Arial"/>
          <w:sz w:val="20"/>
          <w:szCs w:val="20"/>
          <w:vertAlign w:val="superscript"/>
        </w:rPr>
        <w:t>c</w:t>
      </w:r>
      <w:r w:rsidRPr="00A176B6">
        <w:rPr>
          <w:rFonts w:ascii="Arial" w:hAnsi="Arial" w:cs="Arial"/>
          <w:sz w:val="20"/>
          <w:szCs w:val="20"/>
        </w:rPr>
        <w:t>±1.15470</w:t>
      </w:r>
      <w:r w:rsidRPr="00A176B6">
        <w:rPr>
          <w:rFonts w:ascii="Arial" w:hAnsi="Arial" w:cs="Arial"/>
          <w:b/>
          <w:bCs/>
          <w:sz w:val="20"/>
          <w:szCs w:val="20"/>
        </w:rPr>
        <w:t>)</w:t>
      </w:r>
      <w:r w:rsidRPr="00A176B6">
        <w:rPr>
          <w:rFonts w:ascii="Arial" w:hAnsi="Arial" w:cs="Arial"/>
          <w:sz w:val="20"/>
          <w:szCs w:val="20"/>
        </w:rPr>
        <w:t xml:space="preserve"> and T3(20.3</w:t>
      </w:r>
      <w:r w:rsidRPr="00A176B6">
        <w:rPr>
          <w:rFonts w:ascii="Arial" w:hAnsi="Arial" w:cs="Arial"/>
          <w:sz w:val="20"/>
          <w:szCs w:val="20"/>
          <w:vertAlign w:val="superscript"/>
        </w:rPr>
        <w:t>b</w:t>
      </w:r>
      <w:r w:rsidRPr="00A176B6">
        <w:rPr>
          <w:rFonts w:ascii="Arial" w:hAnsi="Arial" w:cs="Arial"/>
          <w:sz w:val="20"/>
          <w:szCs w:val="20"/>
        </w:rPr>
        <w:t>±1.15470), with the lowest (p&lt;0.05) in the fish fed diet control T0 (18.8</w:t>
      </w:r>
      <w:r w:rsidRPr="00A176B6">
        <w:rPr>
          <w:rFonts w:ascii="Arial" w:hAnsi="Arial" w:cs="Arial"/>
          <w:sz w:val="20"/>
          <w:szCs w:val="20"/>
          <w:vertAlign w:val="superscript"/>
        </w:rPr>
        <w:t>a</w:t>
      </w:r>
      <w:r w:rsidRPr="00A176B6">
        <w:rPr>
          <w:rFonts w:ascii="Arial" w:hAnsi="Arial" w:cs="Arial"/>
          <w:sz w:val="20"/>
          <w:szCs w:val="20"/>
        </w:rPr>
        <w:t>±1.15470</w:t>
      </w:r>
      <w:r>
        <w:rPr>
          <w:rFonts w:ascii="Arial" w:hAnsi="Arial" w:cs="Arial"/>
          <w:sz w:val="20"/>
          <w:szCs w:val="20"/>
        </w:rPr>
        <w:t xml:space="preserve">). </w:t>
      </w:r>
      <w:r w:rsidRPr="00A176B6">
        <w:rPr>
          <w:rFonts w:ascii="Arial" w:hAnsi="Arial" w:cs="Arial"/>
          <w:sz w:val="20"/>
          <w:szCs w:val="20"/>
        </w:rPr>
        <w:t>The highest PWG value (p&lt;0.05) was observed in fish diet T1</w:t>
      </w:r>
      <w:r>
        <w:rPr>
          <w:rFonts w:ascii="Arial" w:hAnsi="Arial" w:cs="Arial"/>
          <w:sz w:val="20"/>
          <w:szCs w:val="20"/>
        </w:rPr>
        <w:t xml:space="preserve"> </w:t>
      </w:r>
      <w:r w:rsidRPr="00A176B6">
        <w:rPr>
          <w:rFonts w:ascii="Arial" w:hAnsi="Arial" w:cs="Arial"/>
          <w:sz w:val="20"/>
          <w:szCs w:val="20"/>
        </w:rPr>
        <w:t>(61.64</w:t>
      </w:r>
      <w:r w:rsidRPr="00A176B6">
        <w:rPr>
          <w:rFonts w:ascii="Arial" w:hAnsi="Arial" w:cs="Arial"/>
          <w:sz w:val="20"/>
          <w:szCs w:val="20"/>
          <w:vertAlign w:val="superscript"/>
        </w:rPr>
        <w:t>d</w:t>
      </w:r>
      <w:r w:rsidRPr="00A176B6">
        <w:rPr>
          <w:rFonts w:ascii="Arial" w:hAnsi="Arial" w:cs="Arial"/>
          <w:sz w:val="20"/>
          <w:szCs w:val="20"/>
        </w:rPr>
        <w:t>±1.360) followed by T2</w:t>
      </w:r>
      <w:r>
        <w:rPr>
          <w:rFonts w:ascii="Arial" w:hAnsi="Arial" w:cs="Arial"/>
          <w:sz w:val="20"/>
          <w:szCs w:val="20"/>
        </w:rPr>
        <w:t xml:space="preserve"> </w:t>
      </w:r>
      <w:r w:rsidRPr="00A176B6">
        <w:rPr>
          <w:rFonts w:ascii="Arial" w:hAnsi="Arial" w:cs="Arial"/>
          <w:sz w:val="20"/>
          <w:szCs w:val="20"/>
        </w:rPr>
        <w:t>(48.09</w:t>
      </w:r>
      <w:r w:rsidRPr="00A176B6">
        <w:rPr>
          <w:rFonts w:ascii="Arial" w:hAnsi="Arial" w:cs="Arial"/>
          <w:sz w:val="20"/>
          <w:szCs w:val="20"/>
          <w:vertAlign w:val="superscript"/>
        </w:rPr>
        <w:t>c</w:t>
      </w:r>
      <w:r w:rsidRPr="00A176B6">
        <w:rPr>
          <w:rFonts w:ascii="Arial" w:hAnsi="Arial" w:cs="Arial"/>
          <w:sz w:val="20"/>
          <w:szCs w:val="20"/>
        </w:rPr>
        <w:t>±1.117) and T3</w:t>
      </w:r>
      <w:r>
        <w:rPr>
          <w:rFonts w:ascii="Arial" w:hAnsi="Arial" w:cs="Arial"/>
          <w:sz w:val="20"/>
          <w:szCs w:val="20"/>
        </w:rPr>
        <w:t xml:space="preserve"> </w:t>
      </w:r>
      <w:r w:rsidRPr="00A176B6">
        <w:rPr>
          <w:rFonts w:ascii="Arial" w:hAnsi="Arial" w:cs="Arial"/>
          <w:sz w:val="20"/>
          <w:szCs w:val="20"/>
        </w:rPr>
        <w:t>(41.51</w:t>
      </w:r>
      <w:r w:rsidRPr="00A176B6">
        <w:rPr>
          <w:rFonts w:ascii="Arial" w:hAnsi="Arial" w:cs="Arial"/>
          <w:sz w:val="20"/>
          <w:szCs w:val="20"/>
          <w:vertAlign w:val="superscript"/>
        </w:rPr>
        <w:t>b</w:t>
      </w:r>
      <w:r w:rsidRPr="00A176B6">
        <w:rPr>
          <w:rFonts w:ascii="Arial" w:hAnsi="Arial" w:cs="Arial"/>
          <w:sz w:val="20"/>
          <w:szCs w:val="20"/>
        </w:rPr>
        <w:t>±0.981), with the lowest (p&lt;0.05) in the fish fed diet control T0 (35.81</w:t>
      </w:r>
      <w:r w:rsidRPr="00A176B6">
        <w:rPr>
          <w:rFonts w:ascii="Arial" w:hAnsi="Arial" w:cs="Arial"/>
          <w:sz w:val="20"/>
          <w:szCs w:val="20"/>
          <w:vertAlign w:val="superscript"/>
        </w:rPr>
        <w:t>a</w:t>
      </w:r>
      <w:r w:rsidRPr="00A176B6">
        <w:rPr>
          <w:rFonts w:ascii="Arial" w:hAnsi="Arial" w:cs="Arial"/>
          <w:sz w:val="20"/>
          <w:szCs w:val="20"/>
        </w:rPr>
        <w:t>±0.788</w:t>
      </w:r>
      <w:r>
        <w:rPr>
          <w:rFonts w:ascii="Arial" w:hAnsi="Arial" w:cs="Arial"/>
          <w:sz w:val="20"/>
          <w:szCs w:val="20"/>
        </w:rPr>
        <w:t xml:space="preserve">). </w:t>
      </w:r>
      <w:r w:rsidRPr="00A176B6">
        <w:rPr>
          <w:rFonts w:ascii="Arial" w:hAnsi="Arial" w:cs="Arial"/>
          <w:sz w:val="20"/>
          <w:szCs w:val="20"/>
        </w:rPr>
        <w:t>The highest SGR value (p&lt;0.05) was observed in fish diet T1</w:t>
      </w:r>
      <w:r>
        <w:rPr>
          <w:rFonts w:ascii="Arial" w:hAnsi="Arial" w:cs="Arial"/>
          <w:sz w:val="20"/>
          <w:szCs w:val="20"/>
        </w:rPr>
        <w:t xml:space="preserve"> </w:t>
      </w:r>
      <w:r w:rsidRPr="00A176B6">
        <w:rPr>
          <w:rFonts w:ascii="Arial" w:hAnsi="Arial" w:cs="Arial"/>
          <w:sz w:val="20"/>
          <w:szCs w:val="20"/>
        </w:rPr>
        <w:t>(1.067</w:t>
      </w:r>
      <w:r w:rsidRPr="00A176B6">
        <w:rPr>
          <w:rFonts w:ascii="Arial" w:hAnsi="Arial" w:cs="Arial"/>
          <w:sz w:val="20"/>
          <w:szCs w:val="20"/>
          <w:vertAlign w:val="superscript"/>
        </w:rPr>
        <w:t>d</w:t>
      </w:r>
      <w:r w:rsidRPr="00A176B6">
        <w:rPr>
          <w:rFonts w:ascii="Arial" w:hAnsi="Arial" w:cs="Arial"/>
          <w:sz w:val="20"/>
          <w:szCs w:val="20"/>
        </w:rPr>
        <w:t>±0.018) followed by T2</w:t>
      </w:r>
      <w:r>
        <w:rPr>
          <w:rFonts w:ascii="Arial" w:hAnsi="Arial" w:cs="Arial"/>
          <w:sz w:val="20"/>
          <w:szCs w:val="20"/>
        </w:rPr>
        <w:t xml:space="preserve"> </w:t>
      </w:r>
      <w:r w:rsidRPr="00A176B6">
        <w:rPr>
          <w:rFonts w:ascii="Arial" w:hAnsi="Arial" w:cs="Arial"/>
          <w:sz w:val="20"/>
          <w:szCs w:val="20"/>
        </w:rPr>
        <w:t>(0.873</w:t>
      </w:r>
      <w:r w:rsidRPr="00A176B6">
        <w:rPr>
          <w:rFonts w:ascii="Arial" w:hAnsi="Arial" w:cs="Arial"/>
          <w:sz w:val="20"/>
          <w:szCs w:val="20"/>
          <w:vertAlign w:val="superscript"/>
        </w:rPr>
        <w:t>c</w:t>
      </w:r>
      <w:r w:rsidRPr="00A176B6">
        <w:rPr>
          <w:rFonts w:ascii="Arial" w:hAnsi="Arial" w:cs="Arial"/>
          <w:sz w:val="20"/>
          <w:szCs w:val="20"/>
        </w:rPr>
        <w:t>±0.017) and T3</w:t>
      </w:r>
      <w:r>
        <w:rPr>
          <w:rFonts w:ascii="Arial" w:hAnsi="Arial" w:cs="Arial"/>
          <w:sz w:val="20"/>
          <w:szCs w:val="20"/>
        </w:rPr>
        <w:t xml:space="preserve"> </w:t>
      </w:r>
      <w:r w:rsidRPr="00A176B6">
        <w:rPr>
          <w:rFonts w:ascii="Arial" w:hAnsi="Arial" w:cs="Arial"/>
          <w:sz w:val="20"/>
          <w:szCs w:val="20"/>
        </w:rPr>
        <w:t>(0.772</w:t>
      </w:r>
      <w:r w:rsidRPr="00A176B6">
        <w:rPr>
          <w:rFonts w:ascii="Arial" w:hAnsi="Arial" w:cs="Arial"/>
          <w:sz w:val="20"/>
          <w:szCs w:val="20"/>
          <w:vertAlign w:val="superscript"/>
        </w:rPr>
        <w:t>b</w:t>
      </w:r>
      <w:r w:rsidRPr="00A176B6">
        <w:rPr>
          <w:rFonts w:ascii="Arial" w:hAnsi="Arial" w:cs="Arial"/>
          <w:sz w:val="20"/>
          <w:szCs w:val="20"/>
        </w:rPr>
        <w:t>±0.015) with the lowest (p&lt;0.05) being observed fish fed diet control</w:t>
      </w:r>
      <w:r>
        <w:rPr>
          <w:rFonts w:ascii="Arial" w:hAnsi="Arial" w:cs="Arial"/>
          <w:sz w:val="20"/>
          <w:szCs w:val="20"/>
        </w:rPr>
        <w:t xml:space="preserve"> </w:t>
      </w:r>
      <w:r w:rsidRPr="00A176B6">
        <w:rPr>
          <w:rFonts w:ascii="Arial" w:hAnsi="Arial" w:cs="Arial"/>
          <w:sz w:val="20"/>
          <w:szCs w:val="20"/>
        </w:rPr>
        <w:t>(0.68</w:t>
      </w:r>
      <w:r w:rsidRPr="00A176B6">
        <w:rPr>
          <w:rFonts w:ascii="Arial" w:hAnsi="Arial" w:cs="Arial"/>
          <w:sz w:val="20"/>
          <w:szCs w:val="20"/>
          <w:vertAlign w:val="superscript"/>
        </w:rPr>
        <w:t>a</w:t>
      </w:r>
      <w:r w:rsidRPr="00A176B6">
        <w:rPr>
          <w:rFonts w:ascii="Arial" w:hAnsi="Arial" w:cs="Arial"/>
          <w:sz w:val="20"/>
          <w:szCs w:val="20"/>
        </w:rPr>
        <w:t>±0.012</w:t>
      </w:r>
      <w:r>
        <w:rPr>
          <w:rFonts w:ascii="Arial" w:hAnsi="Arial" w:cs="Arial"/>
          <w:sz w:val="20"/>
          <w:szCs w:val="20"/>
        </w:rPr>
        <w:t xml:space="preserve">). </w:t>
      </w:r>
      <w:r w:rsidRPr="00A176B6">
        <w:rPr>
          <w:rFonts w:ascii="Arial" w:hAnsi="Arial" w:cs="Arial"/>
          <w:sz w:val="20"/>
          <w:szCs w:val="20"/>
        </w:rPr>
        <w:t>The better FCR significantly (p&lt;0.05) was observed in fish diet T1</w:t>
      </w:r>
      <w:r>
        <w:rPr>
          <w:rFonts w:ascii="Arial" w:hAnsi="Arial" w:cs="Arial"/>
          <w:sz w:val="20"/>
          <w:szCs w:val="20"/>
        </w:rPr>
        <w:t xml:space="preserve"> </w:t>
      </w:r>
      <w:r w:rsidRPr="00A176B6">
        <w:rPr>
          <w:rFonts w:ascii="Arial" w:hAnsi="Arial" w:cs="Arial"/>
          <w:sz w:val="20"/>
          <w:szCs w:val="20"/>
        </w:rPr>
        <w:t>(2.62</w:t>
      </w:r>
      <w:r w:rsidRPr="00A176B6">
        <w:rPr>
          <w:rFonts w:ascii="Arial" w:hAnsi="Arial" w:cs="Arial"/>
          <w:sz w:val="20"/>
          <w:szCs w:val="20"/>
          <w:vertAlign w:val="superscript"/>
        </w:rPr>
        <w:t>a</w:t>
      </w:r>
      <w:r w:rsidRPr="00A176B6">
        <w:rPr>
          <w:rFonts w:ascii="Arial" w:hAnsi="Arial" w:cs="Arial"/>
          <w:sz w:val="20"/>
          <w:szCs w:val="20"/>
        </w:rPr>
        <w:t>±0.049) followed by T2</w:t>
      </w:r>
      <w:r>
        <w:rPr>
          <w:rFonts w:ascii="Arial" w:hAnsi="Arial" w:cs="Arial"/>
          <w:sz w:val="20"/>
          <w:szCs w:val="20"/>
        </w:rPr>
        <w:t xml:space="preserve"> </w:t>
      </w:r>
      <w:r w:rsidRPr="00A176B6">
        <w:rPr>
          <w:rFonts w:ascii="Arial" w:hAnsi="Arial" w:cs="Arial"/>
          <w:sz w:val="20"/>
          <w:szCs w:val="20"/>
        </w:rPr>
        <w:t>(3.17</w:t>
      </w:r>
      <w:r w:rsidRPr="00A176B6">
        <w:rPr>
          <w:rFonts w:ascii="Arial" w:hAnsi="Arial" w:cs="Arial"/>
          <w:sz w:val="20"/>
          <w:szCs w:val="20"/>
          <w:vertAlign w:val="superscript"/>
        </w:rPr>
        <w:t>b</w:t>
      </w:r>
      <w:r w:rsidRPr="00A176B6">
        <w:rPr>
          <w:rFonts w:ascii="Arial" w:hAnsi="Arial" w:cs="Arial"/>
          <w:sz w:val="20"/>
          <w:szCs w:val="20"/>
        </w:rPr>
        <w:t>±0.066) and T3</w:t>
      </w:r>
      <w:r>
        <w:rPr>
          <w:rFonts w:ascii="Arial" w:hAnsi="Arial" w:cs="Arial"/>
          <w:sz w:val="20"/>
          <w:szCs w:val="20"/>
        </w:rPr>
        <w:t xml:space="preserve"> </w:t>
      </w:r>
      <w:r w:rsidRPr="00A176B6">
        <w:rPr>
          <w:rFonts w:ascii="Arial" w:hAnsi="Arial" w:cs="Arial"/>
          <w:sz w:val="20"/>
          <w:szCs w:val="20"/>
        </w:rPr>
        <w:t>(3.68</w:t>
      </w:r>
      <w:r w:rsidRPr="00A176B6">
        <w:rPr>
          <w:rFonts w:ascii="Arial" w:hAnsi="Arial" w:cs="Arial"/>
          <w:sz w:val="20"/>
          <w:szCs w:val="20"/>
          <w:vertAlign w:val="superscript"/>
        </w:rPr>
        <w:t>c</w:t>
      </w:r>
      <w:r w:rsidRPr="00A176B6">
        <w:rPr>
          <w:rFonts w:ascii="Arial" w:hAnsi="Arial" w:cs="Arial"/>
          <w:sz w:val="20"/>
          <w:szCs w:val="20"/>
        </w:rPr>
        <w:t>±0.075), with the lowest (p&lt;0.05) being observed fish fed diet control</w:t>
      </w:r>
      <w:r>
        <w:rPr>
          <w:rFonts w:ascii="Arial" w:hAnsi="Arial" w:cs="Arial"/>
          <w:sz w:val="20"/>
          <w:szCs w:val="20"/>
        </w:rPr>
        <w:t xml:space="preserve"> </w:t>
      </w:r>
      <w:r w:rsidRPr="00A176B6">
        <w:rPr>
          <w:rFonts w:ascii="Arial" w:hAnsi="Arial" w:cs="Arial"/>
          <w:sz w:val="20"/>
          <w:szCs w:val="20"/>
        </w:rPr>
        <w:t>(4.16</w:t>
      </w:r>
      <w:r w:rsidRPr="00A176B6">
        <w:rPr>
          <w:rFonts w:ascii="Arial" w:hAnsi="Arial" w:cs="Arial"/>
          <w:sz w:val="20"/>
          <w:szCs w:val="20"/>
          <w:vertAlign w:val="superscript"/>
        </w:rPr>
        <w:t>d</w:t>
      </w:r>
      <w:r w:rsidRPr="00A176B6">
        <w:rPr>
          <w:rFonts w:ascii="Arial" w:hAnsi="Arial" w:cs="Arial"/>
          <w:sz w:val="20"/>
          <w:szCs w:val="20"/>
        </w:rPr>
        <w:t>±0.083</w:t>
      </w:r>
      <w:r>
        <w:rPr>
          <w:rFonts w:ascii="Arial" w:hAnsi="Arial" w:cs="Arial"/>
          <w:sz w:val="20"/>
          <w:szCs w:val="20"/>
        </w:rPr>
        <w:t>), all growth parameters data were presented in Table 2.fig.1</w:t>
      </w:r>
      <w:r w:rsidRPr="00A176B6">
        <w:rPr>
          <w:rFonts w:ascii="Arial" w:hAnsi="Arial" w:cs="Arial"/>
          <w:sz w:val="20"/>
          <w:szCs w:val="20"/>
        </w:rPr>
        <w:t>.</w:t>
      </w:r>
      <w:r>
        <w:rPr>
          <w:rFonts w:ascii="Arial" w:hAnsi="Arial" w:cs="Arial"/>
          <w:sz w:val="20"/>
          <w:szCs w:val="20"/>
        </w:rPr>
        <w:t xml:space="preserve"> </w:t>
      </w:r>
      <w:r w:rsidRPr="00A176B6">
        <w:rPr>
          <w:rFonts w:ascii="Arial" w:hAnsi="Arial" w:cs="Arial"/>
          <w:sz w:val="20"/>
          <w:szCs w:val="20"/>
        </w:rPr>
        <w:t xml:space="preserve">NWG of </w:t>
      </w:r>
      <w:r>
        <w:rPr>
          <w:rFonts w:ascii="Arial" w:hAnsi="Arial" w:cs="Arial"/>
          <w:sz w:val="20"/>
          <w:szCs w:val="20"/>
        </w:rPr>
        <w:t>experimental fish</w:t>
      </w:r>
      <w:r w:rsidRPr="00A176B6">
        <w:rPr>
          <w:rFonts w:ascii="Arial" w:hAnsi="Arial" w:cs="Arial"/>
          <w:sz w:val="20"/>
          <w:szCs w:val="20"/>
        </w:rPr>
        <w:t xml:space="preserve"> body showed significant (p&lt;0.05) difference during the entire observation of the experiment. PWG of Mrigal carp also showed significant (p&lt;0.05) difference during observation of the experiment. FCR of the </w:t>
      </w:r>
      <w:r>
        <w:rPr>
          <w:rFonts w:ascii="Arial" w:hAnsi="Arial" w:cs="Arial"/>
          <w:sz w:val="20"/>
          <w:szCs w:val="20"/>
        </w:rPr>
        <w:t>experimental fish</w:t>
      </w:r>
      <w:r w:rsidRPr="00A176B6">
        <w:rPr>
          <w:rFonts w:ascii="Arial" w:hAnsi="Arial" w:cs="Arial"/>
          <w:sz w:val="20"/>
          <w:szCs w:val="20"/>
        </w:rPr>
        <w:t xml:space="preserve"> showed significant (p&lt;0.05) difference</w:t>
      </w:r>
      <w:r>
        <w:rPr>
          <w:rFonts w:ascii="Arial" w:hAnsi="Arial" w:cs="Arial"/>
          <w:sz w:val="20"/>
          <w:szCs w:val="20"/>
        </w:rPr>
        <w:t>.</w:t>
      </w:r>
      <w:r w:rsidRPr="00A176B6">
        <w:rPr>
          <w:rFonts w:ascii="Arial" w:hAnsi="Arial" w:cs="Arial"/>
          <w:sz w:val="20"/>
          <w:szCs w:val="20"/>
        </w:rPr>
        <w:t xml:space="preserve"> </w:t>
      </w:r>
    </w:p>
    <w:p w14:paraId="0543DEE2" w14:textId="77777777" w:rsidR="00C16338" w:rsidRPr="00A176B6" w:rsidRDefault="00C16338" w:rsidP="00C16338">
      <w:pPr>
        <w:spacing w:line="360" w:lineRule="auto"/>
        <w:jc w:val="both"/>
        <w:rPr>
          <w:rFonts w:ascii="Arial" w:hAnsi="Arial" w:cs="Arial"/>
          <w:sz w:val="20"/>
          <w:szCs w:val="20"/>
        </w:rPr>
      </w:pPr>
      <w:r w:rsidRPr="00A176B6">
        <w:rPr>
          <w:rFonts w:ascii="Arial" w:hAnsi="Arial" w:cs="Arial"/>
          <w:sz w:val="20"/>
          <w:szCs w:val="20"/>
        </w:rPr>
        <w:t xml:space="preserve">The bioactive compounds </w:t>
      </w:r>
      <w:r>
        <w:rPr>
          <w:rFonts w:ascii="Arial" w:hAnsi="Arial" w:cs="Arial"/>
          <w:i/>
          <w:iCs/>
          <w:sz w:val="20"/>
          <w:szCs w:val="20"/>
        </w:rPr>
        <w:t>of</w:t>
      </w:r>
      <w:r w:rsidRPr="00A176B6">
        <w:rPr>
          <w:rFonts w:ascii="Arial" w:hAnsi="Arial" w:cs="Arial"/>
          <w:i/>
          <w:iCs/>
          <w:sz w:val="20"/>
          <w:szCs w:val="20"/>
        </w:rPr>
        <w:t xml:space="preserve"> A. oleracea</w:t>
      </w:r>
      <w:r>
        <w:rPr>
          <w:rFonts w:ascii="Arial" w:hAnsi="Arial" w:cs="Arial"/>
          <w:sz w:val="20"/>
          <w:szCs w:val="20"/>
        </w:rPr>
        <w:t>,</w:t>
      </w:r>
      <w:r w:rsidRPr="00A176B6">
        <w:rPr>
          <w:rFonts w:ascii="Arial" w:hAnsi="Arial" w:cs="Arial"/>
          <w:sz w:val="20"/>
          <w:szCs w:val="20"/>
        </w:rPr>
        <w:t xml:space="preserve"> especially spilanthol, which </w:t>
      </w:r>
      <w:r>
        <w:rPr>
          <w:rFonts w:ascii="Arial" w:hAnsi="Arial" w:cs="Arial"/>
          <w:sz w:val="20"/>
          <w:szCs w:val="20"/>
        </w:rPr>
        <w:t>were had</w:t>
      </w:r>
      <w:r w:rsidRPr="00A176B6">
        <w:rPr>
          <w:rFonts w:ascii="Arial" w:hAnsi="Arial" w:cs="Arial"/>
          <w:sz w:val="20"/>
          <w:szCs w:val="20"/>
        </w:rPr>
        <w:t xml:space="preserve"> antimicrobial </w:t>
      </w:r>
      <w:r>
        <w:rPr>
          <w:rFonts w:ascii="Arial" w:hAnsi="Arial" w:cs="Arial"/>
          <w:sz w:val="20"/>
          <w:szCs w:val="20"/>
        </w:rPr>
        <w:t xml:space="preserve">properties </w:t>
      </w:r>
      <w:r w:rsidRPr="00A176B6">
        <w:rPr>
          <w:rFonts w:ascii="Arial" w:hAnsi="Arial" w:cs="Arial"/>
          <w:sz w:val="20"/>
          <w:szCs w:val="20"/>
        </w:rPr>
        <w:t>and an appetite stimulant (</w:t>
      </w:r>
      <w:r w:rsidRPr="00B77053">
        <w:rPr>
          <w:rFonts w:ascii="Arial" w:hAnsi="Arial" w:cs="Arial"/>
          <w:b/>
          <w:sz w:val="20"/>
          <w:szCs w:val="20"/>
        </w:rPr>
        <w:t xml:space="preserve">Rahim </w:t>
      </w:r>
      <w:r w:rsidRPr="00B77053">
        <w:rPr>
          <w:rFonts w:ascii="Arial" w:hAnsi="Arial" w:cs="Arial"/>
          <w:b/>
          <w:i/>
          <w:iCs/>
          <w:sz w:val="20"/>
          <w:szCs w:val="20"/>
        </w:rPr>
        <w:t>et al</w:t>
      </w:r>
      <w:r w:rsidRPr="00B77053">
        <w:rPr>
          <w:rFonts w:ascii="Arial" w:hAnsi="Arial" w:cs="Arial"/>
          <w:b/>
          <w:sz w:val="20"/>
          <w:szCs w:val="20"/>
        </w:rPr>
        <w:t>., 2021</w:t>
      </w:r>
      <w:r w:rsidRPr="00A176B6">
        <w:rPr>
          <w:rFonts w:ascii="Arial" w:hAnsi="Arial" w:cs="Arial"/>
          <w:sz w:val="20"/>
          <w:szCs w:val="20"/>
        </w:rPr>
        <w:t xml:space="preserve">), </w:t>
      </w:r>
      <w:r>
        <w:rPr>
          <w:rFonts w:ascii="Arial" w:hAnsi="Arial" w:cs="Arial"/>
          <w:sz w:val="20"/>
          <w:szCs w:val="20"/>
        </w:rPr>
        <w:t>was</w:t>
      </w:r>
      <w:r w:rsidRPr="00A176B6">
        <w:rPr>
          <w:rFonts w:ascii="Arial" w:hAnsi="Arial" w:cs="Arial"/>
          <w:sz w:val="20"/>
          <w:szCs w:val="20"/>
        </w:rPr>
        <w:t xml:space="preserve"> likely responsible for the growth performance seen in the </w:t>
      </w:r>
      <w:r>
        <w:rPr>
          <w:rFonts w:ascii="Arial" w:hAnsi="Arial" w:cs="Arial"/>
          <w:sz w:val="20"/>
          <w:szCs w:val="20"/>
        </w:rPr>
        <w:t>different treatment</w:t>
      </w:r>
      <w:r w:rsidRPr="00A176B6">
        <w:rPr>
          <w:rFonts w:ascii="Arial" w:hAnsi="Arial" w:cs="Arial"/>
          <w:sz w:val="20"/>
          <w:szCs w:val="20"/>
        </w:rPr>
        <w:t xml:space="preserve">. </w:t>
      </w:r>
      <w:r w:rsidRPr="00A176B6">
        <w:rPr>
          <w:rFonts w:ascii="Arial" w:hAnsi="Arial" w:cs="Arial"/>
          <w:i/>
          <w:iCs/>
          <w:sz w:val="20"/>
          <w:szCs w:val="20"/>
        </w:rPr>
        <w:t>A. oleracea</w:t>
      </w:r>
      <w:r w:rsidRPr="00A176B6">
        <w:rPr>
          <w:rFonts w:ascii="Arial" w:hAnsi="Arial" w:cs="Arial"/>
          <w:sz w:val="20"/>
          <w:szCs w:val="20"/>
        </w:rPr>
        <w:t xml:space="preserve"> may increase growth performance by increasing the palatability of feed, as well as nutrient use. </w:t>
      </w:r>
      <w:r w:rsidRPr="00A176B6">
        <w:rPr>
          <w:rFonts w:ascii="Arial" w:hAnsi="Arial" w:cs="Arial"/>
          <w:i/>
          <w:iCs/>
          <w:sz w:val="20"/>
          <w:szCs w:val="20"/>
        </w:rPr>
        <w:t>A. oleracea</w:t>
      </w:r>
      <w:r w:rsidRPr="00A176B6">
        <w:rPr>
          <w:rFonts w:ascii="Arial" w:hAnsi="Arial" w:cs="Arial"/>
          <w:sz w:val="20"/>
          <w:szCs w:val="20"/>
        </w:rPr>
        <w:t xml:space="preserve"> also contained bioactive compounds, such as glycosides, pyridine alkaloids, and flavonoid</w:t>
      </w:r>
      <w:r w:rsidRPr="00A176B6">
        <w:rPr>
          <w:rFonts w:ascii="Arial" w:hAnsi="Arial" w:cs="Arial"/>
          <w:color w:val="505050"/>
          <w:sz w:val="20"/>
          <w:szCs w:val="20"/>
          <w:shd w:val="clear" w:color="auto" w:fill="FFFFFF"/>
        </w:rPr>
        <w:t xml:space="preserve"> </w:t>
      </w:r>
      <w:r w:rsidRPr="00A176B6">
        <w:rPr>
          <w:rFonts w:ascii="Arial" w:hAnsi="Arial" w:cs="Arial"/>
          <w:sz w:val="20"/>
          <w:szCs w:val="20"/>
        </w:rPr>
        <w:t>(</w:t>
      </w:r>
      <w:r w:rsidRPr="00A176B6">
        <w:rPr>
          <w:rFonts w:ascii="Arial" w:hAnsi="Arial" w:cs="Arial"/>
          <w:b/>
          <w:sz w:val="20"/>
          <w:szCs w:val="20"/>
        </w:rPr>
        <w:t>Nabi &amp; Shrivastava, 2016</w:t>
      </w:r>
      <w:r w:rsidRPr="00A176B6">
        <w:rPr>
          <w:rFonts w:ascii="Arial" w:hAnsi="Arial" w:cs="Arial"/>
          <w:sz w:val="20"/>
          <w:szCs w:val="20"/>
        </w:rPr>
        <w:t xml:space="preserve">) these compounds stimulated growth performance </w:t>
      </w:r>
      <w:r>
        <w:rPr>
          <w:rFonts w:ascii="Arial" w:hAnsi="Arial" w:cs="Arial"/>
          <w:sz w:val="20"/>
          <w:szCs w:val="20"/>
        </w:rPr>
        <w:t xml:space="preserve">of treated fish </w:t>
      </w:r>
      <w:r w:rsidRPr="00A176B6">
        <w:rPr>
          <w:rFonts w:ascii="Arial" w:hAnsi="Arial" w:cs="Arial"/>
          <w:sz w:val="20"/>
          <w:szCs w:val="20"/>
        </w:rPr>
        <w:t>(</w:t>
      </w:r>
      <w:r w:rsidRPr="00A176B6">
        <w:rPr>
          <w:rFonts w:ascii="Arial" w:hAnsi="Arial" w:cs="Arial"/>
          <w:b/>
          <w:sz w:val="20"/>
          <w:szCs w:val="20"/>
        </w:rPr>
        <w:t xml:space="preserve">Asha </w:t>
      </w:r>
      <w:r w:rsidRPr="00A176B6">
        <w:rPr>
          <w:rFonts w:ascii="Arial" w:hAnsi="Arial" w:cs="Arial"/>
          <w:b/>
          <w:i/>
          <w:iCs/>
          <w:sz w:val="20"/>
          <w:szCs w:val="20"/>
        </w:rPr>
        <w:t>et al</w:t>
      </w:r>
      <w:r w:rsidRPr="00A176B6">
        <w:rPr>
          <w:rFonts w:ascii="Arial" w:hAnsi="Arial" w:cs="Arial"/>
          <w:b/>
          <w:sz w:val="20"/>
          <w:szCs w:val="20"/>
        </w:rPr>
        <w:t xml:space="preserve">. 2015; Ahmad </w:t>
      </w:r>
      <w:r w:rsidRPr="00A176B6">
        <w:rPr>
          <w:rFonts w:ascii="Arial" w:hAnsi="Arial" w:cs="Arial"/>
          <w:b/>
          <w:i/>
          <w:iCs/>
          <w:sz w:val="20"/>
          <w:szCs w:val="20"/>
        </w:rPr>
        <w:t>et al</w:t>
      </w:r>
      <w:r w:rsidRPr="00A176B6">
        <w:rPr>
          <w:rFonts w:ascii="Arial" w:hAnsi="Arial" w:cs="Arial"/>
          <w:b/>
          <w:sz w:val="20"/>
          <w:szCs w:val="20"/>
        </w:rPr>
        <w:t>. 2017</w:t>
      </w:r>
      <w:r w:rsidRPr="00A176B6">
        <w:rPr>
          <w:rFonts w:ascii="Arial" w:hAnsi="Arial" w:cs="Arial"/>
          <w:sz w:val="20"/>
          <w:szCs w:val="20"/>
        </w:rPr>
        <w:t>).</w:t>
      </w:r>
    </w:p>
    <w:p w14:paraId="17CA28BF" w14:textId="77777777" w:rsidR="00C16338" w:rsidRPr="00A176B6" w:rsidRDefault="00C16338" w:rsidP="00C16338">
      <w:pPr>
        <w:spacing w:line="360" w:lineRule="auto"/>
        <w:jc w:val="both"/>
        <w:rPr>
          <w:rFonts w:ascii="Arial" w:hAnsi="Arial" w:cs="Arial"/>
          <w:sz w:val="20"/>
          <w:szCs w:val="20"/>
        </w:rPr>
      </w:pPr>
      <w:r w:rsidRPr="00A176B6">
        <w:rPr>
          <w:rFonts w:ascii="Arial" w:hAnsi="Arial" w:cs="Arial"/>
          <w:sz w:val="20"/>
          <w:szCs w:val="20"/>
        </w:rPr>
        <w:t>The relationship between NWG,</w:t>
      </w:r>
      <w:r w:rsidRPr="00705803">
        <w:rPr>
          <w:rFonts w:ascii="Arial" w:hAnsi="Arial" w:cs="Arial"/>
          <w:sz w:val="20"/>
          <w:szCs w:val="20"/>
        </w:rPr>
        <w:t xml:space="preserve"> </w:t>
      </w:r>
      <w:r>
        <w:rPr>
          <w:rFonts w:ascii="Arial" w:hAnsi="Arial" w:cs="Arial"/>
          <w:sz w:val="20"/>
          <w:szCs w:val="20"/>
        </w:rPr>
        <w:t>N</w:t>
      </w:r>
      <w:r w:rsidRPr="00A176B6">
        <w:rPr>
          <w:rFonts w:ascii="Arial" w:hAnsi="Arial" w:cs="Arial"/>
          <w:sz w:val="20"/>
          <w:szCs w:val="20"/>
        </w:rPr>
        <w:t xml:space="preserve">LG, PWG, SGR and FCR were significantly (p&lt;0.05) impacted by the diet that used Tootache plant extract. </w:t>
      </w:r>
      <w:r>
        <w:rPr>
          <w:rFonts w:ascii="Arial" w:hAnsi="Arial" w:cs="Arial"/>
          <w:sz w:val="20"/>
          <w:szCs w:val="20"/>
        </w:rPr>
        <w:t>N</w:t>
      </w:r>
      <w:r w:rsidRPr="00A176B6">
        <w:rPr>
          <w:rFonts w:ascii="Arial" w:hAnsi="Arial" w:cs="Arial"/>
          <w:sz w:val="20"/>
          <w:szCs w:val="20"/>
        </w:rPr>
        <w:t>LG, NWG, PWG, SGR and FCR better in T1 (0.5%) followed by T2 (1.0%), and T3 (1.5%)</w:t>
      </w:r>
      <w:r>
        <w:rPr>
          <w:rFonts w:ascii="Arial" w:hAnsi="Arial" w:cs="Arial"/>
          <w:sz w:val="20"/>
          <w:szCs w:val="20"/>
        </w:rPr>
        <w:t>. The more s</w:t>
      </w:r>
      <w:r w:rsidRPr="00A176B6">
        <w:rPr>
          <w:rFonts w:ascii="Arial" w:hAnsi="Arial" w:cs="Arial"/>
          <w:sz w:val="20"/>
          <w:szCs w:val="20"/>
        </w:rPr>
        <w:t>imilar results were reported regarding use of herbal supplements</w:t>
      </w:r>
      <w:r>
        <w:rPr>
          <w:rFonts w:ascii="Arial" w:hAnsi="Arial" w:cs="Arial"/>
          <w:sz w:val="20"/>
          <w:szCs w:val="20"/>
        </w:rPr>
        <w:t xml:space="preserve"> in experimental fish diet </w:t>
      </w:r>
      <w:r w:rsidRPr="00A176B6">
        <w:rPr>
          <w:rFonts w:ascii="Arial" w:hAnsi="Arial" w:cs="Arial"/>
          <w:b/>
          <w:sz w:val="20"/>
          <w:szCs w:val="20"/>
        </w:rPr>
        <w:t xml:space="preserve">Abidin </w:t>
      </w:r>
      <w:r w:rsidRPr="00A176B6">
        <w:rPr>
          <w:rFonts w:ascii="Arial" w:hAnsi="Arial" w:cs="Arial"/>
          <w:b/>
          <w:i/>
          <w:iCs/>
          <w:sz w:val="20"/>
          <w:szCs w:val="20"/>
        </w:rPr>
        <w:t>et al</w:t>
      </w:r>
      <w:r w:rsidRPr="00A176B6">
        <w:rPr>
          <w:rFonts w:ascii="Arial" w:hAnsi="Arial" w:cs="Arial"/>
          <w:b/>
          <w:sz w:val="20"/>
          <w:szCs w:val="20"/>
        </w:rPr>
        <w:t xml:space="preserve">. </w:t>
      </w:r>
      <w:r>
        <w:rPr>
          <w:rFonts w:ascii="Arial" w:hAnsi="Arial" w:cs="Arial"/>
          <w:b/>
          <w:sz w:val="20"/>
          <w:szCs w:val="20"/>
        </w:rPr>
        <w:t xml:space="preserve">2022 </w:t>
      </w:r>
      <w:r w:rsidRPr="00B77053">
        <w:rPr>
          <w:rFonts w:ascii="Arial" w:hAnsi="Arial" w:cs="Arial"/>
          <w:sz w:val="20"/>
          <w:szCs w:val="20"/>
        </w:rPr>
        <w:t xml:space="preserve">and </w:t>
      </w:r>
      <w:r>
        <w:rPr>
          <w:rFonts w:ascii="Arial" w:hAnsi="Arial" w:cs="Arial"/>
          <w:sz w:val="20"/>
          <w:szCs w:val="20"/>
        </w:rPr>
        <w:t>other</w:t>
      </w:r>
      <w:r w:rsidRPr="00A176B6">
        <w:rPr>
          <w:rFonts w:ascii="Arial" w:hAnsi="Arial" w:cs="Arial"/>
          <w:sz w:val="20"/>
          <w:szCs w:val="20"/>
        </w:rPr>
        <w:t xml:space="preserve"> study that use of neem </w:t>
      </w:r>
      <w:r>
        <w:rPr>
          <w:rFonts w:ascii="Arial" w:hAnsi="Arial" w:cs="Arial"/>
          <w:sz w:val="20"/>
          <w:szCs w:val="20"/>
        </w:rPr>
        <w:t>(</w:t>
      </w:r>
      <w:r w:rsidRPr="00A176B6">
        <w:rPr>
          <w:rFonts w:ascii="Arial" w:hAnsi="Arial" w:cs="Arial"/>
          <w:i/>
          <w:iCs/>
          <w:sz w:val="20"/>
          <w:szCs w:val="20"/>
        </w:rPr>
        <w:t>Azadirachta indica</w:t>
      </w:r>
      <w:r>
        <w:rPr>
          <w:rFonts w:ascii="Arial" w:hAnsi="Arial" w:cs="Arial"/>
          <w:i/>
          <w:iCs/>
          <w:sz w:val="20"/>
          <w:szCs w:val="20"/>
        </w:rPr>
        <w:t>)</w:t>
      </w:r>
      <w:r w:rsidRPr="00A176B6">
        <w:rPr>
          <w:rFonts w:ascii="Arial" w:hAnsi="Arial" w:cs="Arial"/>
          <w:i/>
          <w:iCs/>
          <w:sz w:val="20"/>
          <w:szCs w:val="20"/>
        </w:rPr>
        <w:t xml:space="preserve"> </w:t>
      </w:r>
      <w:r w:rsidRPr="00A176B6">
        <w:rPr>
          <w:rFonts w:ascii="Arial" w:hAnsi="Arial" w:cs="Arial"/>
          <w:sz w:val="20"/>
          <w:szCs w:val="20"/>
        </w:rPr>
        <w:t xml:space="preserve">leaf extract </w:t>
      </w:r>
      <w:r>
        <w:rPr>
          <w:rFonts w:ascii="Arial" w:hAnsi="Arial" w:cs="Arial"/>
          <w:sz w:val="20"/>
          <w:szCs w:val="20"/>
        </w:rPr>
        <w:t>7 per cent</w:t>
      </w:r>
      <w:r w:rsidRPr="00A176B6">
        <w:rPr>
          <w:rFonts w:ascii="Arial" w:hAnsi="Arial" w:cs="Arial"/>
          <w:sz w:val="20"/>
          <w:szCs w:val="20"/>
        </w:rPr>
        <w:t xml:space="preserve"> in feed significantly improved growth performance in rainbow trout (</w:t>
      </w:r>
      <w:r w:rsidRPr="00A176B6">
        <w:rPr>
          <w:rFonts w:ascii="Arial" w:hAnsi="Arial" w:cs="Arial"/>
          <w:i/>
          <w:iCs/>
          <w:sz w:val="20"/>
          <w:szCs w:val="20"/>
        </w:rPr>
        <w:t xml:space="preserve">Oncorhynchus mykiss). </w:t>
      </w:r>
      <w:r w:rsidRPr="00865BA1">
        <w:rPr>
          <w:rFonts w:ascii="Arial" w:hAnsi="Arial" w:cs="Arial"/>
          <w:b/>
          <w:sz w:val="20"/>
          <w:szCs w:val="20"/>
        </w:rPr>
        <w:t>Abdel-Tawwab</w:t>
      </w:r>
      <w:r w:rsidRPr="00A176B6">
        <w:rPr>
          <w:rFonts w:ascii="Arial" w:hAnsi="Arial" w:cs="Arial"/>
          <w:b/>
          <w:sz w:val="20"/>
          <w:szCs w:val="20"/>
        </w:rPr>
        <w:t xml:space="preserve"> </w:t>
      </w:r>
      <w:r w:rsidRPr="00A176B6">
        <w:rPr>
          <w:rFonts w:ascii="Arial" w:hAnsi="Arial" w:cs="Arial"/>
          <w:b/>
          <w:i/>
          <w:iCs/>
          <w:sz w:val="20"/>
          <w:szCs w:val="20"/>
        </w:rPr>
        <w:t>et al</w:t>
      </w:r>
      <w:r w:rsidRPr="00A176B6">
        <w:rPr>
          <w:rFonts w:ascii="Arial" w:hAnsi="Arial" w:cs="Arial"/>
          <w:b/>
          <w:sz w:val="20"/>
          <w:szCs w:val="20"/>
        </w:rPr>
        <w:t>. (2010)</w:t>
      </w:r>
      <w:r w:rsidRPr="00A176B6">
        <w:rPr>
          <w:rFonts w:ascii="Arial" w:hAnsi="Arial" w:cs="Arial"/>
          <w:sz w:val="20"/>
          <w:szCs w:val="20"/>
        </w:rPr>
        <w:t xml:space="preserve"> reported that incorporating 0.5 g/kg of </w:t>
      </w:r>
      <w:r w:rsidRPr="00A176B6">
        <w:rPr>
          <w:rFonts w:ascii="Arial" w:hAnsi="Arial" w:cs="Arial"/>
          <w:i/>
          <w:sz w:val="20"/>
          <w:szCs w:val="20"/>
        </w:rPr>
        <w:t>Camellia sinensis</w:t>
      </w:r>
      <w:r w:rsidRPr="00A176B6">
        <w:rPr>
          <w:rFonts w:ascii="Arial" w:hAnsi="Arial" w:cs="Arial"/>
          <w:sz w:val="20"/>
          <w:szCs w:val="20"/>
        </w:rPr>
        <w:t xml:space="preserve"> (green tea) extract into Nile tilapia diets significantly improved weight gain and feed conversion ratios. Additionally, (</w:t>
      </w:r>
      <w:r w:rsidRPr="00A176B6">
        <w:rPr>
          <w:rFonts w:ascii="Arial" w:hAnsi="Arial" w:cs="Arial"/>
          <w:b/>
          <w:sz w:val="20"/>
          <w:szCs w:val="20"/>
        </w:rPr>
        <w:t xml:space="preserve">Kumar </w:t>
      </w:r>
      <w:r w:rsidRPr="00A176B6">
        <w:rPr>
          <w:rFonts w:ascii="Arial" w:hAnsi="Arial" w:cs="Arial"/>
          <w:b/>
          <w:i/>
          <w:iCs/>
          <w:sz w:val="20"/>
          <w:szCs w:val="20"/>
        </w:rPr>
        <w:t>et al</w:t>
      </w:r>
      <w:r w:rsidRPr="00A176B6">
        <w:rPr>
          <w:rFonts w:ascii="Arial" w:hAnsi="Arial" w:cs="Arial"/>
          <w:b/>
          <w:sz w:val="20"/>
          <w:szCs w:val="20"/>
        </w:rPr>
        <w:t>., 2017</w:t>
      </w:r>
      <w:r w:rsidRPr="00A176B6">
        <w:rPr>
          <w:rFonts w:ascii="Arial" w:hAnsi="Arial" w:cs="Arial"/>
          <w:sz w:val="20"/>
          <w:szCs w:val="20"/>
        </w:rPr>
        <w:t xml:space="preserve">) reported study on </w:t>
      </w:r>
      <w:r w:rsidRPr="00A176B6">
        <w:rPr>
          <w:rFonts w:ascii="Arial" w:hAnsi="Arial" w:cs="Arial"/>
          <w:i/>
          <w:iCs/>
          <w:sz w:val="20"/>
          <w:szCs w:val="20"/>
        </w:rPr>
        <w:t xml:space="preserve">C. mrigala </w:t>
      </w:r>
      <w:r w:rsidRPr="00A176B6">
        <w:rPr>
          <w:rFonts w:ascii="Arial" w:hAnsi="Arial" w:cs="Arial"/>
          <w:sz w:val="20"/>
          <w:szCs w:val="20"/>
        </w:rPr>
        <w:t>fingerlings demonstrated that dietary supplementation with anthraquinone extract at 1% enhanced growth performance and immune responses. (</w:t>
      </w:r>
      <w:r w:rsidRPr="00A176B6">
        <w:rPr>
          <w:rFonts w:ascii="Arial" w:hAnsi="Arial" w:cs="Arial"/>
          <w:b/>
          <w:sz w:val="20"/>
          <w:szCs w:val="20"/>
        </w:rPr>
        <w:t xml:space="preserve">Lee </w:t>
      </w:r>
      <w:r w:rsidRPr="00A176B6">
        <w:rPr>
          <w:rFonts w:ascii="Arial" w:hAnsi="Arial" w:cs="Arial"/>
          <w:b/>
          <w:i/>
          <w:iCs/>
          <w:sz w:val="20"/>
          <w:szCs w:val="20"/>
        </w:rPr>
        <w:t>et al</w:t>
      </w:r>
      <w:r w:rsidRPr="00A176B6">
        <w:rPr>
          <w:rFonts w:ascii="Arial" w:hAnsi="Arial" w:cs="Arial"/>
          <w:b/>
          <w:sz w:val="20"/>
          <w:szCs w:val="20"/>
        </w:rPr>
        <w:t>. 2012</w:t>
      </w:r>
      <w:r w:rsidRPr="00A176B6">
        <w:rPr>
          <w:rFonts w:ascii="Arial" w:hAnsi="Arial" w:cs="Arial"/>
          <w:sz w:val="20"/>
          <w:szCs w:val="20"/>
        </w:rPr>
        <w:t xml:space="preserve">) reported that garlic extract in the diet of Starlet sturgeon exhibited better FCR and PER. </w:t>
      </w:r>
      <w:r>
        <w:rPr>
          <w:rFonts w:ascii="Arial" w:hAnsi="Arial" w:cs="Arial"/>
          <w:sz w:val="20"/>
          <w:szCs w:val="20"/>
        </w:rPr>
        <w:t>growth parameters data were presented in Table 2.fig.1</w:t>
      </w:r>
      <w:r w:rsidRPr="00A176B6">
        <w:rPr>
          <w:rFonts w:ascii="Arial" w:hAnsi="Arial" w:cs="Arial"/>
          <w:sz w:val="20"/>
          <w:szCs w:val="20"/>
        </w:rPr>
        <w:t>.</w:t>
      </w:r>
      <w:r>
        <w:rPr>
          <w:rFonts w:ascii="Arial" w:hAnsi="Arial" w:cs="Arial"/>
          <w:sz w:val="20"/>
          <w:szCs w:val="20"/>
        </w:rPr>
        <w:t xml:space="preserve"> </w:t>
      </w:r>
      <w:r w:rsidRPr="00A176B6">
        <w:rPr>
          <w:rFonts w:ascii="Arial" w:hAnsi="Arial" w:cs="Arial"/>
          <w:sz w:val="20"/>
          <w:szCs w:val="20"/>
        </w:rPr>
        <w:t xml:space="preserve">NWG of </w:t>
      </w:r>
      <w:r>
        <w:rPr>
          <w:rFonts w:ascii="Arial" w:hAnsi="Arial" w:cs="Arial"/>
          <w:sz w:val="20"/>
          <w:szCs w:val="20"/>
        </w:rPr>
        <w:t>experimental fish</w:t>
      </w:r>
      <w:r w:rsidRPr="00A176B6">
        <w:rPr>
          <w:rFonts w:ascii="Arial" w:hAnsi="Arial" w:cs="Arial"/>
          <w:sz w:val="20"/>
          <w:szCs w:val="20"/>
        </w:rPr>
        <w:t xml:space="preserve"> body showed significant (p&lt;0.05) difference during the entire observation of the experiment. PWG of Mrigal carp also showed significant (p&lt;0.05) difference during observation of the experiment. FCR of the </w:t>
      </w:r>
      <w:r>
        <w:rPr>
          <w:rFonts w:ascii="Arial" w:hAnsi="Arial" w:cs="Arial"/>
          <w:sz w:val="20"/>
          <w:szCs w:val="20"/>
        </w:rPr>
        <w:t>experimental fish</w:t>
      </w:r>
      <w:r w:rsidRPr="00A176B6">
        <w:rPr>
          <w:rFonts w:ascii="Arial" w:hAnsi="Arial" w:cs="Arial"/>
          <w:sz w:val="20"/>
          <w:szCs w:val="20"/>
        </w:rPr>
        <w:t xml:space="preserve"> showed significant (p&lt;0.05) </w:t>
      </w:r>
      <w:r w:rsidRPr="00A176B6">
        <w:rPr>
          <w:rFonts w:ascii="Arial" w:hAnsi="Arial" w:cs="Arial"/>
          <w:sz w:val="20"/>
          <w:szCs w:val="20"/>
        </w:rPr>
        <w:lastRenderedPageBreak/>
        <w:t>difference</w:t>
      </w:r>
      <w:r>
        <w:rPr>
          <w:rFonts w:ascii="Arial" w:hAnsi="Arial" w:cs="Arial"/>
          <w:sz w:val="20"/>
          <w:szCs w:val="20"/>
        </w:rPr>
        <w:t xml:space="preserve">. This study was supported and more similar finding were found by </w:t>
      </w:r>
      <w:r w:rsidRPr="00A176B6">
        <w:rPr>
          <w:rFonts w:ascii="Arial" w:hAnsi="Arial" w:cs="Arial"/>
          <w:sz w:val="20"/>
          <w:szCs w:val="20"/>
        </w:rPr>
        <w:t>(</w:t>
      </w:r>
      <w:r w:rsidRPr="00A176B6">
        <w:rPr>
          <w:rFonts w:ascii="Arial" w:hAnsi="Arial" w:cs="Arial"/>
          <w:b/>
          <w:sz w:val="20"/>
          <w:szCs w:val="20"/>
        </w:rPr>
        <w:t>Ragunath &amp; Ramasubramanian, 2024</w:t>
      </w:r>
      <w:r w:rsidRPr="00A176B6">
        <w:rPr>
          <w:rFonts w:ascii="Arial" w:hAnsi="Arial" w:cs="Arial"/>
          <w:sz w:val="20"/>
          <w:szCs w:val="20"/>
        </w:rPr>
        <w:t>).</w:t>
      </w:r>
    </w:p>
    <w:tbl>
      <w:tblPr>
        <w:tblStyle w:val="TableGrid"/>
        <w:tblpPr w:leftFromText="180" w:rightFromText="180" w:vertAnchor="text" w:horzAnchor="margin" w:tblpXSpec="center" w:tblpY="957"/>
        <w:tblW w:w="8618" w:type="dxa"/>
        <w:tblLook w:val="04A0" w:firstRow="1" w:lastRow="0" w:firstColumn="1" w:lastColumn="0" w:noHBand="0" w:noVBand="1"/>
      </w:tblPr>
      <w:tblGrid>
        <w:gridCol w:w="1287"/>
        <w:gridCol w:w="1548"/>
        <w:gridCol w:w="1508"/>
        <w:gridCol w:w="1508"/>
        <w:gridCol w:w="1388"/>
        <w:gridCol w:w="1379"/>
      </w:tblGrid>
      <w:tr w:rsidR="00C16338" w:rsidRPr="00A176B6" w14:paraId="12D413AA" w14:textId="77777777" w:rsidTr="00116A05">
        <w:trPr>
          <w:trHeight w:val="398"/>
        </w:trPr>
        <w:tc>
          <w:tcPr>
            <w:tcW w:w="1287" w:type="dxa"/>
          </w:tcPr>
          <w:p w14:paraId="4189D40B" w14:textId="77777777" w:rsidR="00C16338" w:rsidRPr="00A176B6" w:rsidRDefault="00C16338" w:rsidP="00116A05">
            <w:pPr>
              <w:spacing w:after="160" w:line="360" w:lineRule="auto"/>
              <w:jc w:val="center"/>
              <w:rPr>
                <w:rFonts w:ascii="Arial" w:hAnsi="Arial" w:cs="Arial"/>
                <w:b/>
                <w:bCs/>
                <w:sz w:val="20"/>
                <w:szCs w:val="20"/>
              </w:rPr>
            </w:pPr>
            <w:r w:rsidRPr="00A176B6">
              <w:rPr>
                <w:rFonts w:ascii="Arial" w:hAnsi="Arial" w:cs="Arial"/>
                <w:b/>
                <w:bCs/>
                <w:sz w:val="20"/>
                <w:szCs w:val="20"/>
              </w:rPr>
              <w:t>Treatment</w:t>
            </w:r>
          </w:p>
        </w:tc>
        <w:tc>
          <w:tcPr>
            <w:tcW w:w="1548" w:type="dxa"/>
          </w:tcPr>
          <w:p w14:paraId="5F988DB9" w14:textId="77777777" w:rsidR="00C16338" w:rsidRPr="00A176B6" w:rsidRDefault="00C16338" w:rsidP="00116A05">
            <w:pPr>
              <w:spacing w:after="160" w:line="360" w:lineRule="auto"/>
              <w:jc w:val="center"/>
              <w:rPr>
                <w:rFonts w:ascii="Arial" w:hAnsi="Arial" w:cs="Arial"/>
                <w:b/>
                <w:bCs/>
                <w:sz w:val="20"/>
                <w:szCs w:val="20"/>
              </w:rPr>
            </w:pPr>
            <w:r w:rsidRPr="00A176B6">
              <w:rPr>
                <w:rFonts w:ascii="Arial" w:hAnsi="Arial" w:cs="Arial"/>
                <w:b/>
                <w:bCs/>
                <w:sz w:val="20"/>
                <w:szCs w:val="20"/>
              </w:rPr>
              <w:t>NWG</w:t>
            </w:r>
          </w:p>
        </w:tc>
        <w:tc>
          <w:tcPr>
            <w:tcW w:w="1508" w:type="dxa"/>
          </w:tcPr>
          <w:p w14:paraId="7A81E957" w14:textId="77777777" w:rsidR="00C16338" w:rsidRPr="00A176B6" w:rsidRDefault="00C16338" w:rsidP="00116A05">
            <w:pPr>
              <w:spacing w:after="160" w:line="360" w:lineRule="auto"/>
              <w:jc w:val="center"/>
              <w:rPr>
                <w:rFonts w:ascii="Arial" w:hAnsi="Arial" w:cs="Arial"/>
                <w:b/>
                <w:bCs/>
                <w:sz w:val="20"/>
                <w:szCs w:val="20"/>
              </w:rPr>
            </w:pPr>
            <w:r w:rsidRPr="00A176B6">
              <w:rPr>
                <w:rFonts w:ascii="Arial" w:hAnsi="Arial" w:cs="Arial"/>
                <w:b/>
                <w:bCs/>
                <w:sz w:val="20"/>
                <w:szCs w:val="20"/>
              </w:rPr>
              <w:t>PWG</w:t>
            </w:r>
          </w:p>
        </w:tc>
        <w:tc>
          <w:tcPr>
            <w:tcW w:w="1508" w:type="dxa"/>
          </w:tcPr>
          <w:p w14:paraId="64E1A776" w14:textId="77777777" w:rsidR="00C16338" w:rsidRPr="00A176B6" w:rsidRDefault="00C16338" w:rsidP="00116A05">
            <w:pPr>
              <w:spacing w:after="160" w:line="360" w:lineRule="auto"/>
              <w:jc w:val="center"/>
              <w:rPr>
                <w:rFonts w:ascii="Arial" w:hAnsi="Arial" w:cs="Arial"/>
                <w:b/>
                <w:bCs/>
                <w:sz w:val="20"/>
                <w:szCs w:val="20"/>
              </w:rPr>
            </w:pPr>
            <w:r w:rsidRPr="00A176B6">
              <w:rPr>
                <w:rFonts w:ascii="Arial" w:hAnsi="Arial" w:cs="Arial"/>
                <w:b/>
                <w:bCs/>
                <w:sz w:val="20"/>
                <w:szCs w:val="20"/>
              </w:rPr>
              <w:t>SGR</w:t>
            </w:r>
          </w:p>
        </w:tc>
        <w:tc>
          <w:tcPr>
            <w:tcW w:w="1388" w:type="dxa"/>
          </w:tcPr>
          <w:p w14:paraId="3FE2599F" w14:textId="77777777" w:rsidR="00C16338" w:rsidRPr="00A176B6" w:rsidRDefault="00C16338" w:rsidP="00116A05">
            <w:pPr>
              <w:spacing w:after="160" w:line="360" w:lineRule="auto"/>
              <w:jc w:val="center"/>
              <w:rPr>
                <w:rFonts w:ascii="Arial" w:hAnsi="Arial" w:cs="Arial"/>
                <w:b/>
                <w:bCs/>
                <w:sz w:val="20"/>
                <w:szCs w:val="20"/>
              </w:rPr>
            </w:pPr>
            <w:r w:rsidRPr="00A176B6">
              <w:rPr>
                <w:rFonts w:ascii="Arial" w:hAnsi="Arial" w:cs="Arial"/>
                <w:b/>
                <w:bCs/>
                <w:sz w:val="20"/>
                <w:szCs w:val="20"/>
              </w:rPr>
              <w:t>FCR</w:t>
            </w:r>
          </w:p>
        </w:tc>
        <w:tc>
          <w:tcPr>
            <w:tcW w:w="1379" w:type="dxa"/>
          </w:tcPr>
          <w:p w14:paraId="6994F6FC" w14:textId="77777777" w:rsidR="00C16338" w:rsidRPr="00A176B6" w:rsidRDefault="00C16338" w:rsidP="00116A05">
            <w:pPr>
              <w:spacing w:after="160" w:line="360" w:lineRule="auto"/>
              <w:jc w:val="center"/>
              <w:rPr>
                <w:rFonts w:ascii="Arial" w:hAnsi="Arial" w:cs="Arial"/>
                <w:b/>
                <w:bCs/>
                <w:sz w:val="20"/>
                <w:szCs w:val="20"/>
              </w:rPr>
            </w:pPr>
            <w:r w:rsidRPr="00A176B6">
              <w:rPr>
                <w:rFonts w:ascii="Arial" w:hAnsi="Arial" w:cs="Arial"/>
                <w:b/>
                <w:bCs/>
                <w:sz w:val="20"/>
                <w:szCs w:val="20"/>
              </w:rPr>
              <w:t>NLG</w:t>
            </w:r>
          </w:p>
        </w:tc>
      </w:tr>
      <w:tr w:rsidR="00C16338" w:rsidRPr="00A176B6" w14:paraId="62DF0BFB" w14:textId="77777777" w:rsidTr="00116A05">
        <w:trPr>
          <w:trHeight w:val="398"/>
        </w:trPr>
        <w:tc>
          <w:tcPr>
            <w:tcW w:w="1287" w:type="dxa"/>
          </w:tcPr>
          <w:p w14:paraId="6D032CBC" w14:textId="77777777" w:rsidR="00C16338" w:rsidRPr="00A176B6" w:rsidRDefault="00C16338" w:rsidP="00116A05">
            <w:pPr>
              <w:spacing w:after="160" w:line="360" w:lineRule="auto"/>
              <w:jc w:val="center"/>
              <w:rPr>
                <w:rFonts w:ascii="Arial" w:hAnsi="Arial" w:cs="Arial"/>
                <w:sz w:val="20"/>
                <w:szCs w:val="20"/>
              </w:rPr>
            </w:pPr>
            <w:r w:rsidRPr="00A176B6">
              <w:rPr>
                <w:rFonts w:ascii="Arial" w:hAnsi="Arial" w:cs="Arial"/>
                <w:sz w:val="20"/>
                <w:szCs w:val="20"/>
              </w:rPr>
              <w:t>T0</w:t>
            </w:r>
          </w:p>
        </w:tc>
        <w:tc>
          <w:tcPr>
            <w:tcW w:w="1548" w:type="dxa"/>
          </w:tcPr>
          <w:p w14:paraId="2DD8092E" w14:textId="77777777" w:rsidR="00C16338" w:rsidRPr="00A176B6" w:rsidRDefault="00C16338" w:rsidP="00116A05">
            <w:pPr>
              <w:spacing w:after="160" w:line="360" w:lineRule="auto"/>
              <w:jc w:val="center"/>
              <w:rPr>
                <w:rFonts w:ascii="Arial" w:hAnsi="Arial" w:cs="Arial"/>
                <w:sz w:val="20"/>
                <w:szCs w:val="20"/>
              </w:rPr>
            </w:pPr>
            <w:r w:rsidRPr="00A176B6">
              <w:rPr>
                <w:rFonts w:ascii="Arial" w:hAnsi="Arial" w:cs="Arial"/>
                <w:sz w:val="20"/>
                <w:szCs w:val="20"/>
              </w:rPr>
              <w:t>18.2</w:t>
            </w:r>
            <w:r w:rsidRPr="00A176B6">
              <w:rPr>
                <w:rFonts w:ascii="Arial" w:hAnsi="Arial" w:cs="Arial"/>
                <w:sz w:val="20"/>
                <w:szCs w:val="20"/>
                <w:vertAlign w:val="superscript"/>
              </w:rPr>
              <w:t>a</w:t>
            </w:r>
            <w:r w:rsidRPr="00A176B6">
              <w:rPr>
                <w:rFonts w:ascii="Arial" w:hAnsi="Arial" w:cs="Arial"/>
                <w:sz w:val="20"/>
                <w:szCs w:val="20"/>
              </w:rPr>
              <w:t>±1.15470</w:t>
            </w:r>
          </w:p>
        </w:tc>
        <w:tc>
          <w:tcPr>
            <w:tcW w:w="1508" w:type="dxa"/>
          </w:tcPr>
          <w:p w14:paraId="53E4FE4E" w14:textId="77777777" w:rsidR="00C16338" w:rsidRPr="00A176B6" w:rsidRDefault="00C16338" w:rsidP="00116A05">
            <w:pPr>
              <w:spacing w:after="160" w:line="360" w:lineRule="auto"/>
              <w:jc w:val="center"/>
              <w:rPr>
                <w:rFonts w:ascii="Arial" w:hAnsi="Arial" w:cs="Arial"/>
                <w:sz w:val="20"/>
                <w:szCs w:val="20"/>
              </w:rPr>
            </w:pPr>
            <w:r w:rsidRPr="00A176B6">
              <w:rPr>
                <w:rFonts w:ascii="Arial" w:hAnsi="Arial" w:cs="Arial"/>
                <w:sz w:val="20"/>
                <w:szCs w:val="20"/>
              </w:rPr>
              <w:t>35.81</w:t>
            </w:r>
            <w:r w:rsidRPr="00A176B6">
              <w:rPr>
                <w:rFonts w:ascii="Arial" w:hAnsi="Arial" w:cs="Arial"/>
                <w:sz w:val="20"/>
                <w:szCs w:val="20"/>
                <w:vertAlign w:val="superscript"/>
              </w:rPr>
              <w:t>a</w:t>
            </w:r>
            <w:r w:rsidRPr="00A176B6">
              <w:rPr>
                <w:rFonts w:ascii="Arial" w:hAnsi="Arial" w:cs="Arial"/>
                <w:sz w:val="20"/>
                <w:szCs w:val="20"/>
              </w:rPr>
              <w:t>±0.788</w:t>
            </w:r>
          </w:p>
        </w:tc>
        <w:tc>
          <w:tcPr>
            <w:tcW w:w="1508" w:type="dxa"/>
          </w:tcPr>
          <w:p w14:paraId="12FCD2F3" w14:textId="77777777" w:rsidR="00C16338" w:rsidRPr="00A176B6" w:rsidRDefault="00C16338" w:rsidP="00116A05">
            <w:pPr>
              <w:spacing w:after="160" w:line="360" w:lineRule="auto"/>
              <w:jc w:val="center"/>
              <w:rPr>
                <w:rFonts w:ascii="Arial" w:hAnsi="Arial" w:cs="Arial"/>
                <w:sz w:val="20"/>
                <w:szCs w:val="20"/>
              </w:rPr>
            </w:pPr>
            <w:r w:rsidRPr="00A176B6">
              <w:rPr>
                <w:rFonts w:ascii="Arial" w:hAnsi="Arial" w:cs="Arial"/>
                <w:sz w:val="20"/>
                <w:szCs w:val="20"/>
              </w:rPr>
              <w:t>0.68</w:t>
            </w:r>
            <w:r w:rsidRPr="00A176B6">
              <w:rPr>
                <w:rFonts w:ascii="Arial" w:hAnsi="Arial" w:cs="Arial"/>
                <w:sz w:val="20"/>
                <w:szCs w:val="20"/>
                <w:vertAlign w:val="superscript"/>
              </w:rPr>
              <w:t>a</w:t>
            </w:r>
            <w:r w:rsidRPr="00A176B6">
              <w:rPr>
                <w:rFonts w:ascii="Arial" w:hAnsi="Arial" w:cs="Arial"/>
                <w:sz w:val="20"/>
                <w:szCs w:val="20"/>
              </w:rPr>
              <w:t>±0.012</w:t>
            </w:r>
          </w:p>
        </w:tc>
        <w:tc>
          <w:tcPr>
            <w:tcW w:w="1388" w:type="dxa"/>
          </w:tcPr>
          <w:p w14:paraId="08357B3D" w14:textId="77777777" w:rsidR="00C16338" w:rsidRPr="00A176B6" w:rsidRDefault="00C16338" w:rsidP="00116A05">
            <w:pPr>
              <w:spacing w:after="160" w:line="360" w:lineRule="auto"/>
              <w:jc w:val="center"/>
              <w:rPr>
                <w:rFonts w:ascii="Arial" w:hAnsi="Arial" w:cs="Arial"/>
                <w:sz w:val="20"/>
                <w:szCs w:val="20"/>
              </w:rPr>
            </w:pPr>
            <w:r w:rsidRPr="00A176B6">
              <w:rPr>
                <w:rFonts w:ascii="Arial" w:hAnsi="Arial" w:cs="Arial"/>
                <w:sz w:val="20"/>
                <w:szCs w:val="20"/>
              </w:rPr>
              <w:t>4.16</w:t>
            </w:r>
            <w:r w:rsidRPr="00A176B6">
              <w:rPr>
                <w:rFonts w:ascii="Arial" w:hAnsi="Arial" w:cs="Arial"/>
                <w:sz w:val="20"/>
                <w:szCs w:val="20"/>
                <w:vertAlign w:val="superscript"/>
              </w:rPr>
              <w:t>d</w:t>
            </w:r>
            <w:r w:rsidRPr="00A176B6">
              <w:rPr>
                <w:rFonts w:ascii="Arial" w:hAnsi="Arial" w:cs="Arial"/>
                <w:sz w:val="20"/>
                <w:szCs w:val="20"/>
              </w:rPr>
              <w:t>±0.083</w:t>
            </w:r>
          </w:p>
        </w:tc>
        <w:tc>
          <w:tcPr>
            <w:tcW w:w="1379" w:type="dxa"/>
          </w:tcPr>
          <w:p w14:paraId="06C5872A" w14:textId="77777777" w:rsidR="00C16338" w:rsidRPr="00A176B6" w:rsidRDefault="00C16338" w:rsidP="00116A05">
            <w:pPr>
              <w:spacing w:after="160" w:line="360" w:lineRule="auto"/>
              <w:jc w:val="center"/>
              <w:rPr>
                <w:rFonts w:ascii="Arial" w:hAnsi="Arial" w:cs="Arial"/>
                <w:sz w:val="20"/>
                <w:szCs w:val="20"/>
              </w:rPr>
            </w:pPr>
            <w:r w:rsidRPr="00A176B6">
              <w:rPr>
                <w:rFonts w:ascii="Arial" w:hAnsi="Arial" w:cs="Arial"/>
                <w:sz w:val="20"/>
                <w:szCs w:val="20"/>
              </w:rPr>
              <w:t>6.1</w:t>
            </w:r>
            <w:r w:rsidRPr="00A176B6">
              <w:rPr>
                <w:rFonts w:ascii="Arial" w:hAnsi="Arial" w:cs="Arial"/>
                <w:sz w:val="20"/>
                <w:szCs w:val="20"/>
                <w:vertAlign w:val="superscript"/>
              </w:rPr>
              <w:t>a</w:t>
            </w:r>
            <w:r w:rsidRPr="00A176B6">
              <w:rPr>
                <w:rFonts w:ascii="Arial" w:hAnsi="Arial" w:cs="Arial"/>
                <w:sz w:val="20"/>
                <w:szCs w:val="20"/>
              </w:rPr>
              <w:t>±1.154</w:t>
            </w:r>
          </w:p>
        </w:tc>
      </w:tr>
      <w:tr w:rsidR="00C16338" w:rsidRPr="00A176B6" w14:paraId="10134186" w14:textId="77777777" w:rsidTr="00116A05">
        <w:trPr>
          <w:trHeight w:val="415"/>
        </w:trPr>
        <w:tc>
          <w:tcPr>
            <w:tcW w:w="1287" w:type="dxa"/>
          </w:tcPr>
          <w:p w14:paraId="21DB7F17" w14:textId="77777777" w:rsidR="00C16338" w:rsidRPr="00A176B6" w:rsidRDefault="00C16338" w:rsidP="00116A05">
            <w:pPr>
              <w:spacing w:after="160" w:line="360" w:lineRule="auto"/>
              <w:jc w:val="center"/>
              <w:rPr>
                <w:rFonts w:ascii="Arial" w:hAnsi="Arial" w:cs="Arial"/>
                <w:sz w:val="20"/>
                <w:szCs w:val="20"/>
              </w:rPr>
            </w:pPr>
            <w:r w:rsidRPr="00A176B6">
              <w:rPr>
                <w:rFonts w:ascii="Arial" w:hAnsi="Arial" w:cs="Arial"/>
                <w:sz w:val="20"/>
                <w:szCs w:val="20"/>
              </w:rPr>
              <w:t>T1</w:t>
            </w:r>
          </w:p>
        </w:tc>
        <w:tc>
          <w:tcPr>
            <w:tcW w:w="1548" w:type="dxa"/>
          </w:tcPr>
          <w:p w14:paraId="7CA76633" w14:textId="77777777" w:rsidR="00C16338" w:rsidRPr="00A176B6" w:rsidRDefault="00C16338" w:rsidP="00116A05">
            <w:pPr>
              <w:spacing w:after="160" w:line="360" w:lineRule="auto"/>
              <w:jc w:val="center"/>
              <w:rPr>
                <w:rFonts w:ascii="Arial" w:hAnsi="Arial" w:cs="Arial"/>
                <w:sz w:val="20"/>
                <w:szCs w:val="20"/>
              </w:rPr>
            </w:pPr>
            <w:r w:rsidRPr="00A176B6">
              <w:rPr>
                <w:rFonts w:ascii="Arial" w:hAnsi="Arial" w:cs="Arial"/>
                <w:sz w:val="20"/>
                <w:szCs w:val="20"/>
              </w:rPr>
              <w:t>32.2</w:t>
            </w:r>
            <w:r w:rsidRPr="00A176B6">
              <w:rPr>
                <w:rFonts w:ascii="Arial" w:hAnsi="Arial" w:cs="Arial"/>
                <w:sz w:val="20"/>
                <w:szCs w:val="20"/>
                <w:vertAlign w:val="superscript"/>
              </w:rPr>
              <w:t>d</w:t>
            </w:r>
            <w:r w:rsidRPr="00A176B6">
              <w:rPr>
                <w:rFonts w:ascii="Arial" w:hAnsi="Arial" w:cs="Arial"/>
                <w:sz w:val="20"/>
                <w:szCs w:val="20"/>
              </w:rPr>
              <w:t>±1.15470</w:t>
            </w:r>
          </w:p>
        </w:tc>
        <w:tc>
          <w:tcPr>
            <w:tcW w:w="1508" w:type="dxa"/>
          </w:tcPr>
          <w:p w14:paraId="3D08B25B" w14:textId="77777777" w:rsidR="00C16338" w:rsidRPr="00A176B6" w:rsidRDefault="00C16338" w:rsidP="00116A05">
            <w:pPr>
              <w:spacing w:after="160" w:line="360" w:lineRule="auto"/>
              <w:jc w:val="center"/>
              <w:rPr>
                <w:rFonts w:ascii="Arial" w:hAnsi="Arial" w:cs="Arial"/>
                <w:sz w:val="20"/>
                <w:szCs w:val="20"/>
              </w:rPr>
            </w:pPr>
            <w:r w:rsidRPr="00A176B6">
              <w:rPr>
                <w:rFonts w:ascii="Arial" w:hAnsi="Arial" w:cs="Arial"/>
                <w:sz w:val="20"/>
                <w:szCs w:val="20"/>
              </w:rPr>
              <w:t>61.64</w:t>
            </w:r>
            <w:r w:rsidRPr="00A176B6">
              <w:rPr>
                <w:rFonts w:ascii="Arial" w:hAnsi="Arial" w:cs="Arial"/>
                <w:sz w:val="20"/>
                <w:szCs w:val="20"/>
                <w:vertAlign w:val="superscript"/>
              </w:rPr>
              <w:t>d</w:t>
            </w:r>
            <w:r w:rsidRPr="00A176B6">
              <w:rPr>
                <w:rFonts w:ascii="Arial" w:hAnsi="Arial" w:cs="Arial"/>
                <w:sz w:val="20"/>
                <w:szCs w:val="20"/>
              </w:rPr>
              <w:t>±1.360</w:t>
            </w:r>
          </w:p>
        </w:tc>
        <w:tc>
          <w:tcPr>
            <w:tcW w:w="1508" w:type="dxa"/>
          </w:tcPr>
          <w:p w14:paraId="11AF2241" w14:textId="77777777" w:rsidR="00C16338" w:rsidRPr="00A176B6" w:rsidRDefault="00C16338" w:rsidP="00116A05">
            <w:pPr>
              <w:spacing w:after="160" w:line="360" w:lineRule="auto"/>
              <w:jc w:val="center"/>
              <w:rPr>
                <w:rFonts w:ascii="Arial" w:hAnsi="Arial" w:cs="Arial"/>
                <w:sz w:val="20"/>
                <w:szCs w:val="20"/>
              </w:rPr>
            </w:pPr>
            <w:r w:rsidRPr="00A176B6">
              <w:rPr>
                <w:rFonts w:ascii="Arial" w:hAnsi="Arial" w:cs="Arial"/>
                <w:sz w:val="20"/>
                <w:szCs w:val="20"/>
              </w:rPr>
              <w:t>1.067</w:t>
            </w:r>
            <w:r w:rsidRPr="00A176B6">
              <w:rPr>
                <w:rFonts w:ascii="Arial" w:hAnsi="Arial" w:cs="Arial"/>
                <w:sz w:val="20"/>
                <w:szCs w:val="20"/>
                <w:vertAlign w:val="superscript"/>
              </w:rPr>
              <w:t>d</w:t>
            </w:r>
            <w:r w:rsidRPr="00A176B6">
              <w:rPr>
                <w:rFonts w:ascii="Arial" w:hAnsi="Arial" w:cs="Arial"/>
                <w:sz w:val="20"/>
                <w:szCs w:val="20"/>
              </w:rPr>
              <w:t>±0.018</w:t>
            </w:r>
          </w:p>
        </w:tc>
        <w:tc>
          <w:tcPr>
            <w:tcW w:w="1388" w:type="dxa"/>
          </w:tcPr>
          <w:p w14:paraId="06C1DF40" w14:textId="77777777" w:rsidR="00C16338" w:rsidRPr="00A176B6" w:rsidRDefault="00C16338" w:rsidP="00116A05">
            <w:pPr>
              <w:spacing w:after="160" w:line="360" w:lineRule="auto"/>
              <w:jc w:val="center"/>
              <w:rPr>
                <w:rFonts w:ascii="Arial" w:hAnsi="Arial" w:cs="Arial"/>
                <w:sz w:val="20"/>
                <w:szCs w:val="20"/>
              </w:rPr>
            </w:pPr>
            <w:r w:rsidRPr="00A176B6">
              <w:rPr>
                <w:rFonts w:ascii="Arial" w:hAnsi="Arial" w:cs="Arial"/>
                <w:sz w:val="20"/>
                <w:szCs w:val="20"/>
              </w:rPr>
              <w:t>2.62</w:t>
            </w:r>
            <w:r w:rsidRPr="00A176B6">
              <w:rPr>
                <w:rFonts w:ascii="Arial" w:hAnsi="Arial" w:cs="Arial"/>
                <w:sz w:val="20"/>
                <w:szCs w:val="20"/>
                <w:vertAlign w:val="superscript"/>
              </w:rPr>
              <w:t>a</w:t>
            </w:r>
            <w:r w:rsidRPr="00A176B6">
              <w:rPr>
                <w:rFonts w:ascii="Arial" w:hAnsi="Arial" w:cs="Arial"/>
                <w:sz w:val="20"/>
                <w:szCs w:val="20"/>
              </w:rPr>
              <w:t>±0.049</w:t>
            </w:r>
          </w:p>
        </w:tc>
        <w:tc>
          <w:tcPr>
            <w:tcW w:w="1379" w:type="dxa"/>
          </w:tcPr>
          <w:p w14:paraId="569E403D" w14:textId="77777777" w:rsidR="00C16338" w:rsidRPr="00A176B6" w:rsidRDefault="00C16338" w:rsidP="00116A05">
            <w:pPr>
              <w:spacing w:after="160" w:line="360" w:lineRule="auto"/>
              <w:jc w:val="center"/>
              <w:rPr>
                <w:rFonts w:ascii="Arial" w:hAnsi="Arial" w:cs="Arial"/>
                <w:sz w:val="20"/>
                <w:szCs w:val="20"/>
              </w:rPr>
            </w:pPr>
            <w:r w:rsidRPr="00A176B6">
              <w:rPr>
                <w:rFonts w:ascii="Arial" w:hAnsi="Arial" w:cs="Arial"/>
                <w:sz w:val="20"/>
                <w:szCs w:val="20"/>
              </w:rPr>
              <w:t>8.88</w:t>
            </w:r>
            <w:r w:rsidRPr="00A176B6">
              <w:rPr>
                <w:rFonts w:ascii="Arial" w:hAnsi="Arial" w:cs="Arial"/>
                <w:sz w:val="20"/>
                <w:szCs w:val="20"/>
                <w:vertAlign w:val="superscript"/>
              </w:rPr>
              <w:t>a</w:t>
            </w:r>
            <w:r w:rsidRPr="00A176B6">
              <w:rPr>
                <w:rFonts w:ascii="Arial" w:hAnsi="Arial" w:cs="Arial"/>
                <w:sz w:val="20"/>
                <w:szCs w:val="20"/>
              </w:rPr>
              <w:t>±1.154</w:t>
            </w:r>
          </w:p>
        </w:tc>
      </w:tr>
      <w:tr w:rsidR="00C16338" w:rsidRPr="00A176B6" w14:paraId="6389E2A9" w14:textId="77777777" w:rsidTr="00116A05">
        <w:trPr>
          <w:trHeight w:val="398"/>
        </w:trPr>
        <w:tc>
          <w:tcPr>
            <w:tcW w:w="1287" w:type="dxa"/>
          </w:tcPr>
          <w:p w14:paraId="4DC57198" w14:textId="77777777" w:rsidR="00C16338" w:rsidRPr="00A176B6" w:rsidRDefault="00C16338" w:rsidP="00116A05">
            <w:pPr>
              <w:spacing w:after="160" w:line="360" w:lineRule="auto"/>
              <w:jc w:val="center"/>
              <w:rPr>
                <w:rFonts w:ascii="Arial" w:hAnsi="Arial" w:cs="Arial"/>
                <w:sz w:val="20"/>
                <w:szCs w:val="20"/>
              </w:rPr>
            </w:pPr>
            <w:r w:rsidRPr="00A176B6">
              <w:rPr>
                <w:rFonts w:ascii="Arial" w:hAnsi="Arial" w:cs="Arial"/>
                <w:sz w:val="20"/>
                <w:szCs w:val="20"/>
              </w:rPr>
              <w:t>T2</w:t>
            </w:r>
          </w:p>
        </w:tc>
        <w:tc>
          <w:tcPr>
            <w:tcW w:w="1548" w:type="dxa"/>
          </w:tcPr>
          <w:p w14:paraId="2AA3ABBD" w14:textId="77777777" w:rsidR="00C16338" w:rsidRPr="00A176B6" w:rsidRDefault="00C16338" w:rsidP="00116A05">
            <w:pPr>
              <w:spacing w:after="160" w:line="360" w:lineRule="auto"/>
              <w:jc w:val="center"/>
              <w:rPr>
                <w:rFonts w:ascii="Arial" w:hAnsi="Arial" w:cs="Arial"/>
                <w:sz w:val="20"/>
                <w:szCs w:val="20"/>
              </w:rPr>
            </w:pPr>
            <w:r w:rsidRPr="00A176B6">
              <w:rPr>
                <w:rFonts w:ascii="Arial" w:hAnsi="Arial" w:cs="Arial"/>
                <w:sz w:val="20"/>
                <w:szCs w:val="20"/>
              </w:rPr>
              <w:t>23.9c±1.15470</w:t>
            </w:r>
          </w:p>
        </w:tc>
        <w:tc>
          <w:tcPr>
            <w:tcW w:w="1508" w:type="dxa"/>
          </w:tcPr>
          <w:p w14:paraId="64002B21" w14:textId="77777777" w:rsidR="00C16338" w:rsidRPr="00A176B6" w:rsidRDefault="00C16338" w:rsidP="00116A05">
            <w:pPr>
              <w:spacing w:after="160" w:line="360" w:lineRule="auto"/>
              <w:jc w:val="center"/>
              <w:rPr>
                <w:rFonts w:ascii="Arial" w:hAnsi="Arial" w:cs="Arial"/>
                <w:sz w:val="20"/>
                <w:szCs w:val="20"/>
              </w:rPr>
            </w:pPr>
            <w:r w:rsidRPr="00A176B6">
              <w:rPr>
                <w:rFonts w:ascii="Arial" w:hAnsi="Arial" w:cs="Arial"/>
                <w:sz w:val="20"/>
                <w:szCs w:val="20"/>
              </w:rPr>
              <w:t>48.09</w:t>
            </w:r>
            <w:r w:rsidRPr="00A176B6">
              <w:rPr>
                <w:rFonts w:ascii="Arial" w:hAnsi="Arial" w:cs="Arial"/>
                <w:sz w:val="20"/>
                <w:szCs w:val="20"/>
                <w:vertAlign w:val="superscript"/>
              </w:rPr>
              <w:t>c</w:t>
            </w:r>
            <w:r w:rsidRPr="00A176B6">
              <w:rPr>
                <w:rFonts w:ascii="Arial" w:hAnsi="Arial" w:cs="Arial"/>
                <w:sz w:val="20"/>
                <w:szCs w:val="20"/>
              </w:rPr>
              <w:t>±1.117</w:t>
            </w:r>
          </w:p>
        </w:tc>
        <w:tc>
          <w:tcPr>
            <w:tcW w:w="1508" w:type="dxa"/>
          </w:tcPr>
          <w:p w14:paraId="7583770A" w14:textId="77777777" w:rsidR="00C16338" w:rsidRPr="00A176B6" w:rsidRDefault="00C16338" w:rsidP="00116A05">
            <w:pPr>
              <w:spacing w:after="160" w:line="360" w:lineRule="auto"/>
              <w:jc w:val="center"/>
              <w:rPr>
                <w:rFonts w:ascii="Arial" w:hAnsi="Arial" w:cs="Arial"/>
                <w:sz w:val="20"/>
                <w:szCs w:val="20"/>
              </w:rPr>
            </w:pPr>
            <w:r w:rsidRPr="00A176B6">
              <w:rPr>
                <w:rFonts w:ascii="Arial" w:hAnsi="Arial" w:cs="Arial"/>
                <w:sz w:val="20"/>
                <w:szCs w:val="20"/>
              </w:rPr>
              <w:t>0.873</w:t>
            </w:r>
            <w:r w:rsidRPr="00A176B6">
              <w:rPr>
                <w:rFonts w:ascii="Arial" w:hAnsi="Arial" w:cs="Arial"/>
                <w:sz w:val="20"/>
                <w:szCs w:val="20"/>
                <w:vertAlign w:val="superscript"/>
              </w:rPr>
              <w:t>c</w:t>
            </w:r>
            <w:r w:rsidRPr="00A176B6">
              <w:rPr>
                <w:rFonts w:ascii="Arial" w:hAnsi="Arial" w:cs="Arial"/>
                <w:sz w:val="20"/>
                <w:szCs w:val="20"/>
              </w:rPr>
              <w:t>±0.017</w:t>
            </w:r>
          </w:p>
        </w:tc>
        <w:tc>
          <w:tcPr>
            <w:tcW w:w="1388" w:type="dxa"/>
          </w:tcPr>
          <w:p w14:paraId="4F7AA39B" w14:textId="77777777" w:rsidR="00C16338" w:rsidRPr="00A176B6" w:rsidRDefault="00C16338" w:rsidP="00116A05">
            <w:pPr>
              <w:spacing w:after="160" w:line="360" w:lineRule="auto"/>
              <w:jc w:val="center"/>
              <w:rPr>
                <w:rFonts w:ascii="Arial" w:hAnsi="Arial" w:cs="Arial"/>
                <w:sz w:val="20"/>
                <w:szCs w:val="20"/>
              </w:rPr>
            </w:pPr>
            <w:r w:rsidRPr="00A176B6">
              <w:rPr>
                <w:rFonts w:ascii="Arial" w:hAnsi="Arial" w:cs="Arial"/>
                <w:sz w:val="20"/>
                <w:szCs w:val="20"/>
              </w:rPr>
              <w:t>3.17</w:t>
            </w:r>
            <w:r w:rsidRPr="00A176B6">
              <w:rPr>
                <w:rFonts w:ascii="Arial" w:hAnsi="Arial" w:cs="Arial"/>
                <w:sz w:val="20"/>
                <w:szCs w:val="20"/>
                <w:vertAlign w:val="superscript"/>
              </w:rPr>
              <w:t>b</w:t>
            </w:r>
            <w:r w:rsidRPr="00A176B6">
              <w:rPr>
                <w:rFonts w:ascii="Arial" w:hAnsi="Arial" w:cs="Arial"/>
                <w:sz w:val="20"/>
                <w:szCs w:val="20"/>
              </w:rPr>
              <w:t>±0.066</w:t>
            </w:r>
          </w:p>
        </w:tc>
        <w:tc>
          <w:tcPr>
            <w:tcW w:w="1379" w:type="dxa"/>
          </w:tcPr>
          <w:p w14:paraId="2EE35D95" w14:textId="77777777" w:rsidR="00C16338" w:rsidRPr="00A176B6" w:rsidRDefault="00C16338" w:rsidP="00116A05">
            <w:pPr>
              <w:spacing w:after="160" w:line="360" w:lineRule="auto"/>
              <w:jc w:val="center"/>
              <w:rPr>
                <w:rFonts w:ascii="Arial" w:hAnsi="Arial" w:cs="Arial"/>
                <w:sz w:val="20"/>
                <w:szCs w:val="20"/>
              </w:rPr>
            </w:pPr>
            <w:r w:rsidRPr="00A176B6">
              <w:rPr>
                <w:rFonts w:ascii="Arial" w:hAnsi="Arial" w:cs="Arial"/>
                <w:sz w:val="20"/>
                <w:szCs w:val="20"/>
              </w:rPr>
              <w:t>6.78</w:t>
            </w:r>
            <w:r w:rsidRPr="00A176B6">
              <w:rPr>
                <w:rFonts w:ascii="Arial" w:hAnsi="Arial" w:cs="Arial"/>
                <w:sz w:val="20"/>
                <w:szCs w:val="20"/>
                <w:vertAlign w:val="superscript"/>
              </w:rPr>
              <w:t>a</w:t>
            </w:r>
            <w:r w:rsidRPr="00A176B6">
              <w:rPr>
                <w:rFonts w:ascii="Arial" w:hAnsi="Arial" w:cs="Arial"/>
                <w:sz w:val="20"/>
                <w:szCs w:val="20"/>
              </w:rPr>
              <w:t>±1.154</w:t>
            </w:r>
          </w:p>
        </w:tc>
      </w:tr>
      <w:tr w:rsidR="00C16338" w:rsidRPr="00A176B6" w14:paraId="55E2C975" w14:textId="77777777" w:rsidTr="00116A05">
        <w:trPr>
          <w:trHeight w:val="398"/>
        </w:trPr>
        <w:tc>
          <w:tcPr>
            <w:tcW w:w="1287" w:type="dxa"/>
          </w:tcPr>
          <w:p w14:paraId="3BC95CD0" w14:textId="77777777" w:rsidR="00C16338" w:rsidRPr="00A176B6" w:rsidRDefault="00C16338" w:rsidP="00116A05">
            <w:pPr>
              <w:spacing w:after="160" w:line="360" w:lineRule="auto"/>
              <w:jc w:val="center"/>
              <w:rPr>
                <w:rFonts w:ascii="Arial" w:hAnsi="Arial" w:cs="Arial"/>
                <w:sz w:val="20"/>
                <w:szCs w:val="20"/>
              </w:rPr>
            </w:pPr>
            <w:r w:rsidRPr="00A176B6">
              <w:rPr>
                <w:rFonts w:ascii="Arial" w:hAnsi="Arial" w:cs="Arial"/>
                <w:sz w:val="20"/>
                <w:szCs w:val="20"/>
              </w:rPr>
              <w:t>T3</w:t>
            </w:r>
          </w:p>
        </w:tc>
        <w:tc>
          <w:tcPr>
            <w:tcW w:w="1548" w:type="dxa"/>
          </w:tcPr>
          <w:p w14:paraId="36FA7539" w14:textId="77777777" w:rsidR="00C16338" w:rsidRPr="00A176B6" w:rsidRDefault="00C16338" w:rsidP="00116A05">
            <w:pPr>
              <w:spacing w:after="160" w:line="360" w:lineRule="auto"/>
              <w:jc w:val="center"/>
              <w:rPr>
                <w:rFonts w:ascii="Arial" w:hAnsi="Arial" w:cs="Arial"/>
                <w:sz w:val="20"/>
                <w:szCs w:val="20"/>
              </w:rPr>
            </w:pPr>
            <w:r w:rsidRPr="00A176B6">
              <w:rPr>
                <w:rFonts w:ascii="Arial" w:hAnsi="Arial" w:cs="Arial"/>
                <w:sz w:val="20"/>
                <w:szCs w:val="20"/>
              </w:rPr>
              <w:t>20.3</w:t>
            </w:r>
            <w:r w:rsidRPr="00A176B6">
              <w:rPr>
                <w:rFonts w:ascii="Arial" w:hAnsi="Arial" w:cs="Arial"/>
                <w:sz w:val="20"/>
                <w:szCs w:val="20"/>
                <w:vertAlign w:val="superscript"/>
              </w:rPr>
              <w:t>b</w:t>
            </w:r>
            <w:r w:rsidRPr="00A176B6">
              <w:rPr>
                <w:rFonts w:ascii="Arial" w:hAnsi="Arial" w:cs="Arial"/>
                <w:sz w:val="20"/>
                <w:szCs w:val="20"/>
              </w:rPr>
              <w:t>±1.15470</w:t>
            </w:r>
          </w:p>
        </w:tc>
        <w:tc>
          <w:tcPr>
            <w:tcW w:w="1508" w:type="dxa"/>
          </w:tcPr>
          <w:p w14:paraId="416FE77F" w14:textId="77777777" w:rsidR="00C16338" w:rsidRPr="00A176B6" w:rsidRDefault="00C16338" w:rsidP="00116A05">
            <w:pPr>
              <w:spacing w:after="160" w:line="360" w:lineRule="auto"/>
              <w:jc w:val="center"/>
              <w:rPr>
                <w:rFonts w:ascii="Arial" w:hAnsi="Arial" w:cs="Arial"/>
                <w:sz w:val="20"/>
                <w:szCs w:val="20"/>
              </w:rPr>
            </w:pPr>
            <w:r w:rsidRPr="00A176B6">
              <w:rPr>
                <w:rFonts w:ascii="Arial" w:hAnsi="Arial" w:cs="Arial"/>
                <w:sz w:val="20"/>
                <w:szCs w:val="20"/>
              </w:rPr>
              <w:t>41.51</w:t>
            </w:r>
            <w:r w:rsidRPr="00A176B6">
              <w:rPr>
                <w:rFonts w:ascii="Arial" w:hAnsi="Arial" w:cs="Arial"/>
                <w:sz w:val="20"/>
                <w:szCs w:val="20"/>
                <w:vertAlign w:val="superscript"/>
              </w:rPr>
              <w:t>b</w:t>
            </w:r>
            <w:r w:rsidRPr="00A176B6">
              <w:rPr>
                <w:rFonts w:ascii="Arial" w:hAnsi="Arial" w:cs="Arial"/>
                <w:sz w:val="20"/>
                <w:szCs w:val="20"/>
              </w:rPr>
              <w:t>±0.981</w:t>
            </w:r>
          </w:p>
        </w:tc>
        <w:tc>
          <w:tcPr>
            <w:tcW w:w="1508" w:type="dxa"/>
          </w:tcPr>
          <w:p w14:paraId="7D10BA2A" w14:textId="77777777" w:rsidR="00C16338" w:rsidRPr="00A176B6" w:rsidRDefault="00C16338" w:rsidP="00116A05">
            <w:pPr>
              <w:spacing w:after="160" w:line="360" w:lineRule="auto"/>
              <w:jc w:val="center"/>
              <w:rPr>
                <w:rFonts w:ascii="Arial" w:hAnsi="Arial" w:cs="Arial"/>
                <w:sz w:val="20"/>
                <w:szCs w:val="20"/>
              </w:rPr>
            </w:pPr>
            <w:r w:rsidRPr="00A176B6">
              <w:rPr>
                <w:rFonts w:ascii="Arial" w:hAnsi="Arial" w:cs="Arial"/>
                <w:sz w:val="20"/>
                <w:szCs w:val="20"/>
              </w:rPr>
              <w:t>0.772</w:t>
            </w:r>
            <w:r w:rsidRPr="00A176B6">
              <w:rPr>
                <w:rFonts w:ascii="Arial" w:hAnsi="Arial" w:cs="Arial"/>
                <w:sz w:val="20"/>
                <w:szCs w:val="20"/>
                <w:vertAlign w:val="superscript"/>
              </w:rPr>
              <w:t>b</w:t>
            </w:r>
            <w:r w:rsidRPr="00A176B6">
              <w:rPr>
                <w:rFonts w:ascii="Arial" w:hAnsi="Arial" w:cs="Arial"/>
                <w:sz w:val="20"/>
                <w:szCs w:val="20"/>
              </w:rPr>
              <w:t>±0.015</w:t>
            </w:r>
          </w:p>
        </w:tc>
        <w:tc>
          <w:tcPr>
            <w:tcW w:w="1388" w:type="dxa"/>
          </w:tcPr>
          <w:p w14:paraId="05C2E4F5" w14:textId="77777777" w:rsidR="00C16338" w:rsidRPr="00A176B6" w:rsidRDefault="00C16338" w:rsidP="00116A05">
            <w:pPr>
              <w:spacing w:after="160" w:line="360" w:lineRule="auto"/>
              <w:jc w:val="center"/>
              <w:rPr>
                <w:rFonts w:ascii="Arial" w:hAnsi="Arial" w:cs="Arial"/>
                <w:sz w:val="20"/>
                <w:szCs w:val="20"/>
              </w:rPr>
            </w:pPr>
            <w:r w:rsidRPr="00A176B6">
              <w:rPr>
                <w:rFonts w:ascii="Arial" w:hAnsi="Arial" w:cs="Arial"/>
                <w:sz w:val="20"/>
                <w:szCs w:val="20"/>
              </w:rPr>
              <w:t>3.68</w:t>
            </w:r>
            <w:r w:rsidRPr="00A176B6">
              <w:rPr>
                <w:rFonts w:ascii="Arial" w:hAnsi="Arial" w:cs="Arial"/>
                <w:sz w:val="20"/>
                <w:szCs w:val="20"/>
                <w:vertAlign w:val="superscript"/>
              </w:rPr>
              <w:t>c</w:t>
            </w:r>
            <w:r w:rsidRPr="00A176B6">
              <w:rPr>
                <w:rFonts w:ascii="Arial" w:hAnsi="Arial" w:cs="Arial"/>
                <w:sz w:val="20"/>
                <w:szCs w:val="20"/>
              </w:rPr>
              <w:t>±0.075</w:t>
            </w:r>
          </w:p>
        </w:tc>
        <w:tc>
          <w:tcPr>
            <w:tcW w:w="1379" w:type="dxa"/>
          </w:tcPr>
          <w:p w14:paraId="20D63CAF" w14:textId="77777777" w:rsidR="00C16338" w:rsidRPr="00A176B6" w:rsidRDefault="00C16338" w:rsidP="00116A05">
            <w:pPr>
              <w:spacing w:after="160" w:line="360" w:lineRule="auto"/>
              <w:jc w:val="center"/>
              <w:rPr>
                <w:rFonts w:ascii="Arial" w:hAnsi="Arial" w:cs="Arial"/>
                <w:sz w:val="20"/>
                <w:szCs w:val="20"/>
              </w:rPr>
            </w:pPr>
            <w:r w:rsidRPr="00A176B6">
              <w:rPr>
                <w:rFonts w:ascii="Arial" w:hAnsi="Arial" w:cs="Arial"/>
                <w:sz w:val="20"/>
                <w:szCs w:val="20"/>
              </w:rPr>
              <w:t>6.2</w:t>
            </w:r>
            <w:r w:rsidRPr="00A176B6">
              <w:rPr>
                <w:rFonts w:ascii="Arial" w:hAnsi="Arial" w:cs="Arial"/>
                <w:sz w:val="20"/>
                <w:szCs w:val="20"/>
                <w:vertAlign w:val="superscript"/>
              </w:rPr>
              <w:t>a</w:t>
            </w:r>
            <w:r w:rsidRPr="00A176B6">
              <w:rPr>
                <w:rFonts w:ascii="Arial" w:hAnsi="Arial" w:cs="Arial"/>
                <w:sz w:val="20"/>
                <w:szCs w:val="20"/>
              </w:rPr>
              <w:t>±1.154</w:t>
            </w:r>
          </w:p>
        </w:tc>
      </w:tr>
    </w:tbl>
    <w:p w14:paraId="78577D12" w14:textId="77777777" w:rsidR="00C16338" w:rsidRPr="001A78DB" w:rsidRDefault="00C16338" w:rsidP="00C16338">
      <w:pPr>
        <w:spacing w:line="360" w:lineRule="auto"/>
        <w:jc w:val="both"/>
        <w:rPr>
          <w:rFonts w:ascii="Arial" w:hAnsi="Arial" w:cs="Arial"/>
          <w:sz w:val="20"/>
          <w:szCs w:val="20"/>
        </w:rPr>
      </w:pPr>
      <w:r w:rsidRPr="00A176B6">
        <w:rPr>
          <w:rFonts w:ascii="Arial" w:hAnsi="Arial" w:cs="Arial"/>
          <w:b/>
          <w:bCs/>
          <w:sz w:val="20"/>
          <w:szCs w:val="20"/>
        </w:rPr>
        <w:t>Table 2</w:t>
      </w:r>
      <w:r w:rsidRPr="001A78DB">
        <w:rPr>
          <w:rFonts w:ascii="Arial" w:hAnsi="Arial" w:cs="Arial"/>
          <w:bCs/>
          <w:sz w:val="20"/>
          <w:szCs w:val="20"/>
        </w:rPr>
        <w:t xml:space="preserve">: </w:t>
      </w:r>
      <w:r w:rsidRPr="001A78DB">
        <w:rPr>
          <w:rFonts w:ascii="Arial" w:hAnsi="Arial" w:cs="Arial"/>
          <w:b/>
          <w:sz w:val="20"/>
          <w:szCs w:val="20"/>
        </w:rPr>
        <w:t>Overall Growth parameters of different treatments (means ± standard error)</w:t>
      </w:r>
    </w:p>
    <w:p w14:paraId="4F660723" w14:textId="77777777" w:rsidR="00C16338" w:rsidRPr="00A176B6" w:rsidRDefault="00C16338" w:rsidP="00C16338">
      <w:pPr>
        <w:spacing w:line="360" w:lineRule="auto"/>
        <w:jc w:val="both"/>
        <w:rPr>
          <w:rFonts w:ascii="Arial" w:hAnsi="Arial" w:cs="Arial"/>
          <w:sz w:val="20"/>
          <w:szCs w:val="20"/>
        </w:rPr>
      </w:pPr>
    </w:p>
    <w:p w14:paraId="182C9D43" w14:textId="77777777" w:rsidR="00C16338" w:rsidRPr="00A176B6" w:rsidRDefault="00C16338" w:rsidP="00C16338">
      <w:pPr>
        <w:spacing w:line="360" w:lineRule="auto"/>
        <w:jc w:val="both"/>
        <w:rPr>
          <w:rFonts w:ascii="Arial" w:hAnsi="Arial" w:cs="Arial"/>
          <w:sz w:val="20"/>
          <w:szCs w:val="20"/>
        </w:rPr>
      </w:pPr>
    </w:p>
    <w:p w14:paraId="0299DB20" w14:textId="77777777" w:rsidR="00C16338" w:rsidRPr="00A176B6" w:rsidRDefault="00C16338" w:rsidP="00C16338">
      <w:pPr>
        <w:spacing w:line="360" w:lineRule="auto"/>
        <w:jc w:val="both"/>
        <w:rPr>
          <w:rFonts w:ascii="Arial" w:hAnsi="Arial" w:cs="Arial"/>
          <w:sz w:val="20"/>
          <w:szCs w:val="20"/>
        </w:rPr>
      </w:pPr>
      <w:r w:rsidRPr="00A176B6">
        <w:rPr>
          <w:rFonts w:ascii="Arial" w:hAnsi="Arial" w:cs="Arial"/>
          <w:noProof/>
          <w:sz w:val="20"/>
          <w:szCs w:val="20"/>
          <w:lang w:val="en-US"/>
        </w:rPr>
        <w:drawing>
          <wp:inline distT="0" distB="0" distL="0" distR="0" wp14:anchorId="626BE7EB" wp14:editId="60AD20A0">
            <wp:extent cx="5298831" cy="2708031"/>
            <wp:effectExtent l="0" t="0" r="16510" b="16510"/>
            <wp:docPr id="227412751" name="Chart 1">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E91DF91-E19C-933D-43CA-6176C16934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3780E8C" w14:textId="77777777" w:rsidR="00C16338" w:rsidRPr="00A176B6" w:rsidRDefault="00C16338" w:rsidP="00C16338">
      <w:pPr>
        <w:spacing w:line="360" w:lineRule="auto"/>
        <w:jc w:val="both"/>
        <w:rPr>
          <w:rFonts w:ascii="Arial" w:hAnsi="Arial" w:cs="Arial"/>
          <w:sz w:val="20"/>
          <w:szCs w:val="20"/>
        </w:rPr>
      </w:pPr>
      <w:r w:rsidRPr="00A176B6">
        <w:rPr>
          <w:rFonts w:ascii="Arial" w:hAnsi="Arial" w:cs="Arial"/>
          <w:b/>
          <w:bCs/>
          <w:sz w:val="20"/>
          <w:szCs w:val="20"/>
        </w:rPr>
        <w:t>Fig.1:</w:t>
      </w:r>
      <w:r w:rsidRPr="00A176B6">
        <w:rPr>
          <w:rFonts w:ascii="Arial" w:hAnsi="Arial" w:cs="Arial"/>
          <w:sz w:val="20"/>
          <w:szCs w:val="20"/>
        </w:rPr>
        <w:t xml:space="preserve"> </w:t>
      </w:r>
      <w:r w:rsidRPr="00865BA1">
        <w:rPr>
          <w:rFonts w:ascii="Arial" w:hAnsi="Arial" w:cs="Arial"/>
          <w:b/>
          <w:sz w:val="20"/>
          <w:szCs w:val="20"/>
        </w:rPr>
        <w:t xml:space="preserve">Comparative analysis of growth performance </w:t>
      </w:r>
    </w:p>
    <w:p w14:paraId="0FD30C59" w14:textId="77777777" w:rsidR="00C16338" w:rsidRPr="00A176B6" w:rsidRDefault="00C16338" w:rsidP="00C16338">
      <w:pPr>
        <w:spacing w:line="360" w:lineRule="auto"/>
        <w:jc w:val="both"/>
        <w:rPr>
          <w:rFonts w:ascii="Arial" w:hAnsi="Arial" w:cs="Arial"/>
          <w:b/>
          <w:bCs/>
          <w:sz w:val="20"/>
          <w:szCs w:val="20"/>
        </w:rPr>
      </w:pPr>
      <w:r w:rsidRPr="00A176B6">
        <w:rPr>
          <w:rFonts w:ascii="Arial" w:hAnsi="Arial" w:cs="Arial"/>
          <w:b/>
          <w:bCs/>
          <w:sz w:val="20"/>
          <w:szCs w:val="20"/>
        </w:rPr>
        <w:t>Conclusion</w:t>
      </w:r>
    </w:p>
    <w:p w14:paraId="2E8D63A3" w14:textId="77777777" w:rsidR="00C16338" w:rsidRPr="00A176B6" w:rsidRDefault="00C16338" w:rsidP="00C16338">
      <w:pPr>
        <w:spacing w:line="360" w:lineRule="auto"/>
        <w:jc w:val="both"/>
        <w:rPr>
          <w:rFonts w:ascii="Arial" w:hAnsi="Arial" w:cs="Arial"/>
          <w:sz w:val="20"/>
          <w:szCs w:val="20"/>
        </w:rPr>
      </w:pPr>
      <w:r w:rsidRPr="00A176B6">
        <w:rPr>
          <w:rFonts w:ascii="Arial" w:hAnsi="Arial" w:cs="Arial"/>
          <w:sz w:val="20"/>
          <w:szCs w:val="20"/>
        </w:rPr>
        <w:t xml:space="preserve">The growth performance of </w:t>
      </w:r>
      <w:r w:rsidRPr="00A176B6">
        <w:rPr>
          <w:rFonts w:ascii="Arial" w:hAnsi="Arial" w:cs="Arial"/>
          <w:i/>
          <w:iCs/>
          <w:sz w:val="20"/>
          <w:szCs w:val="20"/>
        </w:rPr>
        <w:t>C. mrigala</w:t>
      </w:r>
      <w:r w:rsidRPr="00A176B6">
        <w:rPr>
          <w:rFonts w:ascii="Arial" w:hAnsi="Arial" w:cs="Arial"/>
          <w:sz w:val="20"/>
          <w:szCs w:val="20"/>
        </w:rPr>
        <w:t xml:space="preserve"> was considerably improved by the dietary addition of </w:t>
      </w:r>
      <w:r w:rsidRPr="00A176B6">
        <w:rPr>
          <w:rFonts w:ascii="Arial" w:hAnsi="Arial" w:cs="Arial"/>
          <w:i/>
          <w:iCs/>
          <w:sz w:val="20"/>
          <w:szCs w:val="20"/>
        </w:rPr>
        <w:t>A. oleracea</w:t>
      </w:r>
      <w:r w:rsidRPr="00A176B6">
        <w:rPr>
          <w:rFonts w:ascii="Arial" w:hAnsi="Arial" w:cs="Arial"/>
          <w:sz w:val="20"/>
          <w:szCs w:val="20"/>
        </w:rPr>
        <w:t xml:space="preserve"> extract in the feed; the 0.5</w:t>
      </w:r>
      <w:r>
        <w:rPr>
          <w:rFonts w:ascii="Arial" w:hAnsi="Arial" w:cs="Arial"/>
          <w:sz w:val="20"/>
          <w:szCs w:val="20"/>
        </w:rPr>
        <w:t xml:space="preserve"> per cent</w:t>
      </w:r>
      <w:r w:rsidRPr="00A176B6">
        <w:rPr>
          <w:rFonts w:ascii="Arial" w:hAnsi="Arial" w:cs="Arial"/>
          <w:sz w:val="20"/>
          <w:szCs w:val="20"/>
        </w:rPr>
        <w:t xml:space="preserve"> supplementation (T1) produced the best results. Comparing this </w:t>
      </w:r>
      <w:r>
        <w:rPr>
          <w:rFonts w:ascii="Arial" w:hAnsi="Arial" w:cs="Arial"/>
          <w:sz w:val="20"/>
          <w:szCs w:val="20"/>
        </w:rPr>
        <w:t>trail</w:t>
      </w:r>
      <w:r w:rsidRPr="00A176B6">
        <w:rPr>
          <w:rFonts w:ascii="Arial" w:hAnsi="Arial" w:cs="Arial"/>
          <w:sz w:val="20"/>
          <w:szCs w:val="20"/>
        </w:rPr>
        <w:t xml:space="preserve"> to greater inclusion levels and the control group, </w:t>
      </w:r>
      <w:r>
        <w:rPr>
          <w:rFonts w:ascii="Arial" w:hAnsi="Arial" w:cs="Arial"/>
          <w:sz w:val="20"/>
          <w:szCs w:val="20"/>
        </w:rPr>
        <w:t xml:space="preserve">the T1 showed the </w:t>
      </w:r>
      <w:r w:rsidRPr="00A176B6">
        <w:rPr>
          <w:rFonts w:ascii="Arial" w:hAnsi="Arial" w:cs="Arial"/>
          <w:sz w:val="20"/>
          <w:szCs w:val="20"/>
        </w:rPr>
        <w:t xml:space="preserve">significant gains </w:t>
      </w:r>
      <w:r>
        <w:rPr>
          <w:rFonts w:ascii="Arial" w:hAnsi="Arial" w:cs="Arial"/>
          <w:sz w:val="20"/>
          <w:szCs w:val="20"/>
        </w:rPr>
        <w:t>in NWG</w:t>
      </w:r>
      <w:r w:rsidRPr="00A176B6">
        <w:rPr>
          <w:rFonts w:ascii="Arial" w:hAnsi="Arial" w:cs="Arial"/>
          <w:sz w:val="20"/>
          <w:szCs w:val="20"/>
        </w:rPr>
        <w:t xml:space="preserve">, </w:t>
      </w:r>
      <w:r>
        <w:rPr>
          <w:rFonts w:ascii="Arial" w:hAnsi="Arial" w:cs="Arial"/>
          <w:sz w:val="20"/>
          <w:szCs w:val="20"/>
        </w:rPr>
        <w:t>PWG</w:t>
      </w:r>
      <w:r w:rsidRPr="00A176B6">
        <w:rPr>
          <w:rFonts w:ascii="Arial" w:hAnsi="Arial" w:cs="Arial"/>
          <w:sz w:val="20"/>
          <w:szCs w:val="20"/>
        </w:rPr>
        <w:t xml:space="preserve">, </w:t>
      </w:r>
      <w:r>
        <w:rPr>
          <w:rFonts w:ascii="Arial" w:hAnsi="Arial" w:cs="Arial"/>
          <w:sz w:val="20"/>
          <w:szCs w:val="20"/>
        </w:rPr>
        <w:t>SGR, and FCR</w:t>
      </w:r>
      <w:r w:rsidRPr="00A176B6">
        <w:rPr>
          <w:rFonts w:ascii="Arial" w:hAnsi="Arial" w:cs="Arial"/>
          <w:sz w:val="20"/>
          <w:szCs w:val="20"/>
        </w:rPr>
        <w:t>.</w:t>
      </w:r>
      <w:r w:rsidRPr="00321394">
        <w:rPr>
          <w:rFonts w:ascii="Arial" w:hAnsi="Arial" w:cs="Arial"/>
          <w:sz w:val="20"/>
          <w:szCs w:val="20"/>
        </w:rPr>
        <w:t xml:space="preserve"> </w:t>
      </w:r>
      <w:r w:rsidRPr="00A176B6">
        <w:rPr>
          <w:rFonts w:ascii="Arial" w:hAnsi="Arial" w:cs="Arial"/>
          <w:sz w:val="20"/>
          <w:szCs w:val="20"/>
        </w:rPr>
        <w:t xml:space="preserve">These findings demonstrate the promise of </w:t>
      </w:r>
      <w:r w:rsidRPr="00321394">
        <w:rPr>
          <w:rFonts w:ascii="Arial" w:hAnsi="Arial" w:cs="Arial"/>
          <w:i/>
          <w:sz w:val="20"/>
          <w:szCs w:val="20"/>
        </w:rPr>
        <w:t>A. oleracea</w:t>
      </w:r>
      <w:r w:rsidRPr="00A176B6">
        <w:rPr>
          <w:rFonts w:ascii="Arial" w:hAnsi="Arial" w:cs="Arial"/>
          <w:sz w:val="20"/>
          <w:szCs w:val="20"/>
        </w:rPr>
        <w:t xml:space="preserve"> as a sustainable alternative to </w:t>
      </w:r>
      <w:r>
        <w:rPr>
          <w:rFonts w:ascii="Arial" w:hAnsi="Arial" w:cs="Arial"/>
          <w:sz w:val="20"/>
          <w:szCs w:val="20"/>
        </w:rPr>
        <w:t xml:space="preserve">other herbs in </w:t>
      </w:r>
      <w:r w:rsidRPr="00A176B6">
        <w:rPr>
          <w:rFonts w:ascii="Arial" w:hAnsi="Arial" w:cs="Arial"/>
          <w:sz w:val="20"/>
          <w:szCs w:val="20"/>
        </w:rPr>
        <w:t xml:space="preserve">aquaculture as a natural growth stimulant. However, </w:t>
      </w:r>
      <w:r w:rsidRPr="00321394">
        <w:rPr>
          <w:rFonts w:ascii="Arial" w:hAnsi="Arial" w:cs="Arial"/>
          <w:sz w:val="20"/>
          <w:szCs w:val="20"/>
        </w:rPr>
        <w:t>its</w:t>
      </w:r>
      <w:r w:rsidRPr="00A176B6">
        <w:rPr>
          <w:rFonts w:ascii="Arial" w:hAnsi="Arial" w:cs="Arial"/>
          <w:sz w:val="20"/>
          <w:szCs w:val="20"/>
        </w:rPr>
        <w:t xml:space="preserve"> efficacy is dose-dependent, highlighting the importance of adjusting inclusion levels to maximize good benefits and minimize negative ones.</w:t>
      </w:r>
    </w:p>
    <w:p w14:paraId="01342BA0" w14:textId="77777777" w:rsidR="00C16338" w:rsidRPr="00A176B6" w:rsidRDefault="00C16338" w:rsidP="00C16338">
      <w:pPr>
        <w:spacing w:line="360" w:lineRule="auto"/>
        <w:jc w:val="both"/>
        <w:rPr>
          <w:rFonts w:ascii="Arial" w:hAnsi="Arial" w:cs="Arial"/>
          <w:b/>
          <w:sz w:val="20"/>
          <w:szCs w:val="20"/>
        </w:rPr>
      </w:pPr>
      <w:r w:rsidRPr="00A176B6">
        <w:rPr>
          <w:rFonts w:ascii="Arial" w:hAnsi="Arial" w:cs="Arial"/>
          <w:b/>
          <w:sz w:val="20"/>
          <w:szCs w:val="20"/>
        </w:rPr>
        <w:t>Availability of data and Materials</w:t>
      </w:r>
    </w:p>
    <w:p w14:paraId="497A5092" w14:textId="77777777" w:rsidR="00C16338" w:rsidRPr="00A176B6" w:rsidRDefault="00C16338" w:rsidP="00C16338">
      <w:pPr>
        <w:spacing w:line="360" w:lineRule="auto"/>
        <w:jc w:val="both"/>
        <w:rPr>
          <w:rFonts w:ascii="Arial" w:hAnsi="Arial" w:cs="Arial"/>
          <w:sz w:val="20"/>
          <w:szCs w:val="20"/>
        </w:rPr>
      </w:pPr>
      <w:r w:rsidRPr="00A176B6">
        <w:rPr>
          <w:rFonts w:ascii="Arial" w:hAnsi="Arial" w:cs="Arial"/>
          <w:sz w:val="20"/>
          <w:szCs w:val="20"/>
        </w:rPr>
        <w:t>The data will be provided upon request to the journal.</w:t>
      </w:r>
    </w:p>
    <w:p w14:paraId="7471DAC3" w14:textId="77777777" w:rsidR="00C16338" w:rsidRPr="00A176B6" w:rsidRDefault="00C16338" w:rsidP="00C16338">
      <w:pPr>
        <w:spacing w:line="360" w:lineRule="auto"/>
        <w:jc w:val="both"/>
        <w:rPr>
          <w:rFonts w:ascii="Arial" w:hAnsi="Arial" w:cs="Arial"/>
          <w:b/>
          <w:sz w:val="20"/>
          <w:szCs w:val="20"/>
        </w:rPr>
      </w:pPr>
      <w:r w:rsidRPr="00A176B6">
        <w:rPr>
          <w:rFonts w:ascii="Arial" w:hAnsi="Arial" w:cs="Arial"/>
          <w:b/>
          <w:sz w:val="20"/>
          <w:szCs w:val="20"/>
        </w:rPr>
        <w:lastRenderedPageBreak/>
        <w:t>Ethical Statement:</w:t>
      </w:r>
    </w:p>
    <w:p w14:paraId="4EE25B75" w14:textId="77777777" w:rsidR="00C16338" w:rsidRPr="00A176B6" w:rsidRDefault="00C16338" w:rsidP="00C16338">
      <w:pPr>
        <w:spacing w:line="360" w:lineRule="auto"/>
        <w:jc w:val="both"/>
        <w:rPr>
          <w:rFonts w:ascii="Arial" w:hAnsi="Arial" w:cs="Arial"/>
          <w:sz w:val="20"/>
          <w:szCs w:val="20"/>
        </w:rPr>
      </w:pPr>
      <w:r w:rsidRPr="00A176B6">
        <w:rPr>
          <w:rFonts w:ascii="Arial" w:hAnsi="Arial" w:cs="Arial"/>
          <w:sz w:val="20"/>
          <w:szCs w:val="20"/>
        </w:rPr>
        <w:t>In the present study, silver carp were collected from the School of School, Sanjeev Agrawal Global Educational (SAGE) University, and Bhopal India). Ethical approval, specimen collection, and maintenance were performed in strict agreement with all the recommendations India.</w:t>
      </w:r>
    </w:p>
    <w:p w14:paraId="5CDB71A4" w14:textId="77777777" w:rsidR="00C16338" w:rsidRPr="00A176B6" w:rsidRDefault="00C16338" w:rsidP="00C16338">
      <w:pPr>
        <w:spacing w:line="360" w:lineRule="auto"/>
        <w:jc w:val="both"/>
        <w:rPr>
          <w:rFonts w:ascii="Arial" w:hAnsi="Arial" w:cs="Arial"/>
          <w:b/>
          <w:sz w:val="20"/>
          <w:szCs w:val="20"/>
        </w:rPr>
      </w:pPr>
      <w:r w:rsidRPr="00A176B6">
        <w:rPr>
          <w:rFonts w:ascii="Arial" w:hAnsi="Arial" w:cs="Arial"/>
          <w:b/>
          <w:sz w:val="20"/>
          <w:szCs w:val="20"/>
        </w:rPr>
        <w:t>Disclaimer (Artificial Intelligence)</w:t>
      </w:r>
    </w:p>
    <w:p w14:paraId="69A38E1F" w14:textId="77777777" w:rsidR="00C16338" w:rsidRDefault="00C16338" w:rsidP="00C16338">
      <w:pPr>
        <w:spacing w:line="360" w:lineRule="auto"/>
        <w:jc w:val="both"/>
        <w:rPr>
          <w:rFonts w:ascii="Arial" w:hAnsi="Arial" w:cs="Arial"/>
          <w:sz w:val="20"/>
          <w:szCs w:val="20"/>
        </w:rPr>
      </w:pPr>
      <w:r w:rsidRPr="00A176B6">
        <w:rPr>
          <w:rFonts w:ascii="Arial" w:hAnsi="Arial" w:cs="Arial"/>
          <w:sz w:val="20"/>
          <w:szCs w:val="20"/>
        </w:rPr>
        <w:t>Author(s)  hereby  declare  that  NO  generative  AI technologies  such  as  Large  Language  Models (ChatGPT,  COPILOT,  etc.)    and text-to-image generators have been used during the  writing or editing of this manuscript.</w:t>
      </w:r>
    </w:p>
    <w:p w14:paraId="42902A88" w14:textId="77777777" w:rsidR="00C16338" w:rsidRPr="00A176B6" w:rsidRDefault="00C16338" w:rsidP="00C16338">
      <w:pPr>
        <w:spacing w:line="360" w:lineRule="auto"/>
        <w:jc w:val="both"/>
        <w:rPr>
          <w:rFonts w:ascii="Arial" w:hAnsi="Arial" w:cs="Arial"/>
          <w:b/>
          <w:bCs/>
          <w:sz w:val="20"/>
          <w:szCs w:val="20"/>
        </w:rPr>
      </w:pPr>
    </w:p>
    <w:p w14:paraId="2FBC7322" w14:textId="77777777" w:rsidR="00C16338" w:rsidRPr="00A176B6" w:rsidRDefault="00C16338" w:rsidP="00C16338">
      <w:pPr>
        <w:spacing w:line="360" w:lineRule="auto"/>
        <w:jc w:val="both"/>
        <w:rPr>
          <w:rFonts w:ascii="Arial" w:hAnsi="Arial" w:cs="Arial"/>
          <w:b/>
          <w:bCs/>
          <w:sz w:val="20"/>
          <w:szCs w:val="20"/>
        </w:rPr>
      </w:pPr>
      <w:r w:rsidRPr="00A176B6">
        <w:rPr>
          <w:rFonts w:ascii="Arial" w:hAnsi="Arial" w:cs="Arial"/>
          <w:b/>
          <w:bCs/>
          <w:sz w:val="20"/>
          <w:szCs w:val="20"/>
        </w:rPr>
        <w:t>Reference</w:t>
      </w:r>
    </w:p>
    <w:p w14:paraId="6B999D04" w14:textId="77777777" w:rsidR="00C16338" w:rsidRPr="00A176B6" w:rsidRDefault="00C16338" w:rsidP="00C16338">
      <w:pPr>
        <w:spacing w:line="360" w:lineRule="auto"/>
        <w:jc w:val="both"/>
        <w:rPr>
          <w:rFonts w:ascii="Arial" w:hAnsi="Arial" w:cs="Arial"/>
          <w:sz w:val="20"/>
          <w:szCs w:val="20"/>
        </w:rPr>
      </w:pPr>
    </w:p>
    <w:p w14:paraId="7F298F18" w14:textId="77777777" w:rsidR="00C16338" w:rsidRDefault="00C16338" w:rsidP="00C16338">
      <w:pPr>
        <w:spacing w:line="360" w:lineRule="auto"/>
        <w:ind w:left="1440" w:hanging="720"/>
        <w:jc w:val="both"/>
        <w:rPr>
          <w:rFonts w:ascii="Arial" w:hAnsi="Arial" w:cs="Arial"/>
          <w:sz w:val="20"/>
          <w:szCs w:val="20"/>
        </w:rPr>
      </w:pPr>
      <w:r w:rsidRPr="00321394">
        <w:rPr>
          <w:rFonts w:ascii="Arial" w:hAnsi="Arial" w:cs="Arial"/>
          <w:b/>
          <w:bCs/>
          <w:sz w:val="20"/>
          <w:szCs w:val="20"/>
        </w:rPr>
        <w:t>Abdul Rahim, R., Jayusman, P. A., Muhammad, N., Mohamed, N., Lim, V., Ahmad, N. H., Mohamad, S., Abdul Hamid, Z. A., Ahmad, F., Mokhtar, N., Shuid, A. N., &amp; Mohamed, I. N. (2021).</w:t>
      </w:r>
      <w:r w:rsidRPr="00321394">
        <w:rPr>
          <w:rFonts w:ascii="Arial" w:hAnsi="Arial" w:cs="Arial"/>
          <w:sz w:val="20"/>
          <w:szCs w:val="20"/>
        </w:rPr>
        <w:t xml:space="preserve"> Potential Antioxidant and Anti-Inflammatory Effects of </w:t>
      </w:r>
      <w:r w:rsidRPr="00321394">
        <w:rPr>
          <w:rFonts w:ascii="Arial" w:hAnsi="Arial" w:cs="Arial"/>
          <w:i/>
          <w:iCs/>
          <w:sz w:val="20"/>
          <w:szCs w:val="20"/>
        </w:rPr>
        <w:t>Spilanthes acmella</w:t>
      </w:r>
      <w:r w:rsidRPr="00321394">
        <w:rPr>
          <w:rFonts w:ascii="Arial" w:hAnsi="Arial" w:cs="Arial"/>
          <w:sz w:val="20"/>
          <w:szCs w:val="20"/>
        </w:rPr>
        <w:t> and Its Health Beneficial Effects: A Review. </w:t>
      </w:r>
      <w:r w:rsidRPr="00321394">
        <w:rPr>
          <w:rFonts w:ascii="Arial" w:hAnsi="Arial" w:cs="Arial"/>
          <w:i/>
          <w:iCs/>
          <w:sz w:val="20"/>
          <w:szCs w:val="20"/>
        </w:rPr>
        <w:t>International Journal of Environmental Research and Public Health</w:t>
      </w:r>
      <w:r w:rsidRPr="00321394">
        <w:rPr>
          <w:rFonts w:ascii="Arial" w:hAnsi="Arial" w:cs="Arial"/>
          <w:sz w:val="20"/>
          <w:szCs w:val="20"/>
        </w:rPr>
        <w:t>, </w:t>
      </w:r>
      <w:r w:rsidRPr="00321394">
        <w:rPr>
          <w:rFonts w:ascii="Arial" w:hAnsi="Arial" w:cs="Arial"/>
          <w:i/>
          <w:iCs/>
          <w:sz w:val="20"/>
          <w:szCs w:val="20"/>
        </w:rPr>
        <w:t>18</w:t>
      </w:r>
      <w:r w:rsidRPr="00321394">
        <w:rPr>
          <w:rFonts w:ascii="Arial" w:hAnsi="Arial" w:cs="Arial"/>
          <w:sz w:val="20"/>
          <w:szCs w:val="20"/>
        </w:rPr>
        <w:t xml:space="preserve">(7), 3532. </w:t>
      </w:r>
      <w:hyperlink r:id="rId10" w:history="1">
        <w:r w:rsidRPr="00321394">
          <w:rPr>
            <w:rStyle w:val="Hyperlink"/>
            <w:rFonts w:ascii="Arial" w:hAnsi="Arial" w:cs="Arial"/>
            <w:sz w:val="20"/>
            <w:szCs w:val="20"/>
          </w:rPr>
          <w:t>https://doi.org/10.3390/ijerph18073532</w:t>
        </w:r>
      </w:hyperlink>
    </w:p>
    <w:p w14:paraId="78639A74" w14:textId="77777777" w:rsidR="00C16338" w:rsidRDefault="00C16338" w:rsidP="00C16338">
      <w:pPr>
        <w:spacing w:line="360" w:lineRule="auto"/>
        <w:ind w:left="1440" w:hanging="720"/>
        <w:jc w:val="both"/>
        <w:rPr>
          <w:rFonts w:ascii="Arial" w:hAnsi="Arial" w:cs="Arial"/>
          <w:sz w:val="20"/>
          <w:szCs w:val="20"/>
        </w:rPr>
      </w:pPr>
      <w:r w:rsidRPr="00321394">
        <w:rPr>
          <w:rFonts w:ascii="Arial" w:hAnsi="Arial" w:cs="Arial"/>
          <w:b/>
          <w:bCs/>
          <w:sz w:val="20"/>
          <w:szCs w:val="20"/>
        </w:rPr>
        <w:t>Abidin, Z. U., Hassan, H. U., Masood, Z., Rafique, N., Paray, B. A., Gabol, K., Shah, M. I. A., Gulnaz, A., Ullah, A., Zulfiqar, T., &amp; Siddique, M. A. M. (2022).</w:t>
      </w:r>
      <w:r w:rsidRPr="00321394">
        <w:rPr>
          <w:rFonts w:ascii="Arial" w:hAnsi="Arial" w:cs="Arial"/>
          <w:sz w:val="20"/>
          <w:szCs w:val="20"/>
        </w:rPr>
        <w:t xml:space="preserve"> Effect of dietary supplementation of Neem, </w:t>
      </w:r>
      <w:r w:rsidRPr="00321394">
        <w:rPr>
          <w:rFonts w:ascii="Arial" w:hAnsi="Arial" w:cs="Arial"/>
          <w:i/>
          <w:iCs/>
          <w:sz w:val="20"/>
          <w:szCs w:val="20"/>
        </w:rPr>
        <w:t>Azadirachta indica</w:t>
      </w:r>
      <w:r w:rsidRPr="00321394">
        <w:rPr>
          <w:rFonts w:ascii="Arial" w:hAnsi="Arial" w:cs="Arial"/>
          <w:sz w:val="20"/>
          <w:szCs w:val="20"/>
        </w:rPr>
        <w:t xml:space="preserve"> leaf extracts on enhancing the growth performance, chemical composition and survival of rainbow trout, </w:t>
      </w:r>
      <w:r w:rsidRPr="00321394">
        <w:rPr>
          <w:rFonts w:ascii="Arial" w:hAnsi="Arial" w:cs="Arial"/>
          <w:i/>
          <w:iCs/>
          <w:sz w:val="20"/>
          <w:szCs w:val="20"/>
        </w:rPr>
        <w:t>Oncorhynchus mykiss</w:t>
      </w:r>
      <w:r w:rsidRPr="00321394">
        <w:rPr>
          <w:rFonts w:ascii="Arial" w:hAnsi="Arial" w:cs="Arial"/>
          <w:sz w:val="20"/>
          <w:szCs w:val="20"/>
        </w:rPr>
        <w:t xml:space="preserve">. </w:t>
      </w:r>
      <w:r w:rsidRPr="00321394">
        <w:rPr>
          <w:rFonts w:ascii="Arial" w:hAnsi="Arial" w:cs="Arial"/>
          <w:i/>
          <w:iCs/>
          <w:sz w:val="20"/>
          <w:szCs w:val="20"/>
        </w:rPr>
        <w:t>Saudi Journal of Biological Sciences, 29</w:t>
      </w:r>
      <w:r w:rsidRPr="00321394">
        <w:rPr>
          <w:rFonts w:ascii="Arial" w:hAnsi="Arial" w:cs="Arial"/>
          <w:sz w:val="20"/>
          <w:szCs w:val="20"/>
        </w:rPr>
        <w:t xml:space="preserve">(4), 3075–3081. </w:t>
      </w:r>
      <w:hyperlink r:id="rId11" w:history="1">
        <w:r w:rsidRPr="00321394">
          <w:rPr>
            <w:rStyle w:val="Hyperlink"/>
            <w:rFonts w:ascii="Arial" w:hAnsi="Arial" w:cs="Arial"/>
            <w:sz w:val="20"/>
            <w:szCs w:val="20"/>
          </w:rPr>
          <w:t>https://doi.org/10.1016/j.sjbs.2022.01.046</w:t>
        </w:r>
      </w:hyperlink>
    </w:p>
    <w:p w14:paraId="20295565" w14:textId="77777777" w:rsidR="00C16338" w:rsidRDefault="00C16338" w:rsidP="00C16338">
      <w:pPr>
        <w:spacing w:line="360" w:lineRule="auto"/>
        <w:ind w:left="1440" w:hanging="720"/>
        <w:jc w:val="both"/>
        <w:rPr>
          <w:rFonts w:ascii="Arial" w:hAnsi="Arial" w:cs="Arial"/>
          <w:sz w:val="20"/>
          <w:szCs w:val="20"/>
        </w:rPr>
      </w:pPr>
      <w:r w:rsidRPr="00321394">
        <w:rPr>
          <w:rFonts w:ascii="Arial" w:hAnsi="Arial" w:cs="Arial"/>
          <w:b/>
          <w:bCs/>
          <w:sz w:val="20"/>
          <w:szCs w:val="20"/>
        </w:rPr>
        <w:t>Ahmad W, Singh S, Kumar S (2017)</w:t>
      </w:r>
      <w:r w:rsidRPr="00321394">
        <w:rPr>
          <w:rFonts w:ascii="Arial" w:hAnsi="Arial" w:cs="Arial"/>
          <w:sz w:val="20"/>
          <w:szCs w:val="20"/>
        </w:rPr>
        <w:t xml:space="preserve"> Phytochemical screening and antimicrobial study of Euphorbia hirta extracts. J Med Plants Stud 5: 183–186</w:t>
      </w:r>
    </w:p>
    <w:p w14:paraId="6CBDC3E7" w14:textId="77777777" w:rsidR="00C16338" w:rsidRDefault="00C16338" w:rsidP="00C16338">
      <w:pPr>
        <w:spacing w:line="360" w:lineRule="auto"/>
        <w:ind w:left="1440" w:hanging="720"/>
        <w:jc w:val="both"/>
        <w:rPr>
          <w:rFonts w:ascii="Arial" w:hAnsi="Arial" w:cs="Arial"/>
          <w:sz w:val="20"/>
          <w:szCs w:val="20"/>
        </w:rPr>
      </w:pPr>
      <w:r w:rsidRPr="00321394">
        <w:rPr>
          <w:rFonts w:ascii="Arial" w:hAnsi="Arial" w:cs="Arial"/>
          <w:b/>
          <w:bCs/>
          <w:sz w:val="20"/>
          <w:szCs w:val="20"/>
        </w:rPr>
        <w:t>Ahmad, M., Seden, M., &amp; Sakr, S. (2010).</w:t>
      </w:r>
      <w:r w:rsidRPr="00321394">
        <w:rPr>
          <w:rFonts w:ascii="Arial" w:hAnsi="Arial" w:cs="Arial"/>
          <w:sz w:val="20"/>
          <w:szCs w:val="20"/>
        </w:rPr>
        <w:t xml:space="preserve"> Use of green tea, </w:t>
      </w:r>
      <w:r w:rsidRPr="00321394">
        <w:rPr>
          <w:rFonts w:ascii="Arial" w:hAnsi="Arial" w:cs="Arial"/>
          <w:i/>
          <w:iCs/>
          <w:sz w:val="20"/>
          <w:szCs w:val="20"/>
        </w:rPr>
        <w:t>Camellia sinensis</w:t>
      </w:r>
      <w:r w:rsidRPr="00321394">
        <w:rPr>
          <w:rFonts w:ascii="Arial" w:hAnsi="Arial" w:cs="Arial"/>
          <w:sz w:val="20"/>
          <w:szCs w:val="20"/>
        </w:rPr>
        <w:t xml:space="preserve"> L., in practical diet for growth and protection of Nile tilapia, </w:t>
      </w:r>
      <w:r w:rsidRPr="00321394">
        <w:rPr>
          <w:rFonts w:ascii="Arial" w:hAnsi="Arial" w:cs="Arial"/>
          <w:i/>
          <w:iCs/>
          <w:sz w:val="20"/>
          <w:szCs w:val="20"/>
        </w:rPr>
        <w:t>Oreochromis niloticus</w:t>
      </w:r>
      <w:r w:rsidRPr="00321394">
        <w:rPr>
          <w:rFonts w:ascii="Arial" w:hAnsi="Arial" w:cs="Arial"/>
          <w:sz w:val="20"/>
          <w:szCs w:val="20"/>
        </w:rPr>
        <w:t xml:space="preserve"> (L.), against </w:t>
      </w:r>
      <w:r w:rsidRPr="00321394">
        <w:rPr>
          <w:rFonts w:ascii="Arial" w:hAnsi="Arial" w:cs="Arial"/>
          <w:i/>
          <w:iCs/>
          <w:sz w:val="20"/>
          <w:szCs w:val="20"/>
        </w:rPr>
        <w:t>Aeromonas hydrophila</w:t>
      </w:r>
      <w:r w:rsidRPr="00321394">
        <w:rPr>
          <w:rFonts w:ascii="Arial" w:hAnsi="Arial" w:cs="Arial"/>
          <w:sz w:val="20"/>
          <w:szCs w:val="20"/>
        </w:rPr>
        <w:t xml:space="preserve"> infection. </w:t>
      </w:r>
      <w:r w:rsidRPr="00321394">
        <w:rPr>
          <w:rFonts w:ascii="Arial" w:hAnsi="Arial" w:cs="Arial"/>
          <w:i/>
          <w:iCs/>
          <w:sz w:val="20"/>
          <w:szCs w:val="20"/>
        </w:rPr>
        <w:t>Journal of the World Aquaculture Society, 41</w:t>
      </w:r>
      <w:r w:rsidRPr="00321394">
        <w:rPr>
          <w:rFonts w:ascii="Arial" w:hAnsi="Arial" w:cs="Arial"/>
          <w:sz w:val="20"/>
          <w:szCs w:val="20"/>
        </w:rPr>
        <w:t>(2), 203–213</w:t>
      </w:r>
    </w:p>
    <w:p w14:paraId="4711684F" w14:textId="77777777" w:rsidR="00C16338" w:rsidRDefault="00C16338" w:rsidP="00C16338">
      <w:pPr>
        <w:spacing w:line="360" w:lineRule="auto"/>
        <w:ind w:left="1440" w:hanging="720"/>
        <w:jc w:val="both"/>
        <w:rPr>
          <w:rFonts w:ascii="Arial" w:hAnsi="Arial" w:cs="Arial"/>
          <w:sz w:val="20"/>
          <w:szCs w:val="20"/>
        </w:rPr>
      </w:pPr>
      <w:r w:rsidRPr="00321394">
        <w:rPr>
          <w:rFonts w:ascii="Arial" w:hAnsi="Arial" w:cs="Arial"/>
          <w:b/>
          <w:bCs/>
          <w:sz w:val="20"/>
          <w:szCs w:val="20"/>
        </w:rPr>
        <w:t>Asha S, Thirunavukkarasu P, Mohamad SA (2015)</w:t>
      </w:r>
      <w:r w:rsidRPr="00321394">
        <w:rPr>
          <w:rFonts w:ascii="Arial" w:hAnsi="Arial" w:cs="Arial"/>
          <w:sz w:val="20"/>
          <w:szCs w:val="20"/>
        </w:rPr>
        <w:t xml:space="preserve"> Phytochemical screening of Euphorbia hirta linn leaf extracts. World J Pharm Sci 3:1104–1112</w:t>
      </w:r>
    </w:p>
    <w:p w14:paraId="01DB6E0D" w14:textId="77777777" w:rsidR="00C16338" w:rsidRDefault="00C16338" w:rsidP="00C16338">
      <w:pPr>
        <w:spacing w:line="360" w:lineRule="auto"/>
        <w:ind w:left="1440" w:hanging="720"/>
        <w:jc w:val="both"/>
        <w:rPr>
          <w:rFonts w:ascii="Arial" w:hAnsi="Arial" w:cs="Arial"/>
          <w:sz w:val="20"/>
          <w:szCs w:val="20"/>
        </w:rPr>
      </w:pPr>
      <w:r w:rsidRPr="00321394">
        <w:rPr>
          <w:rFonts w:ascii="Arial" w:eastAsia="Times New Roman" w:hAnsi="Arial" w:cs="Arial"/>
          <w:b/>
          <w:bCs/>
          <w:kern w:val="0"/>
          <w:sz w:val="20"/>
          <w:szCs w:val="20"/>
          <w:lang w:eastAsia="en-IN"/>
          <w14:ligatures w14:val="none"/>
        </w:rPr>
        <w:t>Awad, E., &amp; Awaad, A. (2017).</w:t>
      </w:r>
      <w:r w:rsidRPr="00321394">
        <w:rPr>
          <w:rFonts w:ascii="Arial" w:eastAsia="Times New Roman" w:hAnsi="Arial" w:cs="Arial"/>
          <w:kern w:val="0"/>
          <w:sz w:val="20"/>
          <w:szCs w:val="20"/>
          <w:lang w:eastAsia="en-IN"/>
          <w14:ligatures w14:val="none"/>
        </w:rPr>
        <w:t xml:space="preserve"> Role of medicinal plants on growth performance and immune status in fish. </w:t>
      </w:r>
      <w:r w:rsidRPr="00321394">
        <w:rPr>
          <w:rFonts w:ascii="Arial" w:eastAsia="Times New Roman" w:hAnsi="Arial" w:cs="Arial"/>
          <w:i/>
          <w:iCs/>
          <w:kern w:val="0"/>
          <w:sz w:val="20"/>
          <w:szCs w:val="20"/>
          <w:lang w:eastAsia="en-IN"/>
          <w14:ligatures w14:val="none"/>
        </w:rPr>
        <w:t xml:space="preserve">Fish &amp; Shellfish Immunology, </w:t>
      </w:r>
      <w:r w:rsidRPr="00321394">
        <w:rPr>
          <w:rFonts w:ascii="Arial" w:eastAsia="Times New Roman" w:hAnsi="Arial" w:cs="Arial"/>
          <w:kern w:val="0"/>
          <w:sz w:val="20"/>
          <w:szCs w:val="20"/>
          <w:lang w:eastAsia="en-IN"/>
          <w14:ligatures w14:val="none"/>
        </w:rPr>
        <w:t xml:space="preserve">67, 40-54. </w:t>
      </w:r>
    </w:p>
    <w:p w14:paraId="5A19A9E9" w14:textId="77777777" w:rsidR="00C16338" w:rsidRDefault="00C16338" w:rsidP="00C16338">
      <w:pPr>
        <w:spacing w:line="360" w:lineRule="auto"/>
        <w:ind w:left="1440" w:hanging="720"/>
        <w:jc w:val="both"/>
        <w:rPr>
          <w:rFonts w:ascii="Arial" w:hAnsi="Arial" w:cs="Arial"/>
          <w:sz w:val="20"/>
          <w:szCs w:val="20"/>
        </w:rPr>
      </w:pPr>
      <w:r w:rsidRPr="00321394">
        <w:rPr>
          <w:rFonts w:ascii="Arial" w:eastAsia="Times New Roman" w:hAnsi="Arial" w:cs="Arial"/>
          <w:b/>
          <w:bCs/>
          <w:kern w:val="0"/>
          <w:sz w:val="20"/>
          <w:szCs w:val="20"/>
          <w:lang w:eastAsia="en-IN"/>
          <w14:ligatures w14:val="none"/>
        </w:rPr>
        <w:t>Dawood, M. A. O., Koshio, S., &amp; Esteban, M. Á. (2018).</w:t>
      </w:r>
      <w:r w:rsidRPr="00321394">
        <w:rPr>
          <w:rFonts w:ascii="Arial" w:eastAsia="Times New Roman" w:hAnsi="Arial" w:cs="Arial"/>
          <w:kern w:val="0"/>
          <w:sz w:val="20"/>
          <w:szCs w:val="20"/>
          <w:lang w:eastAsia="en-IN"/>
          <w14:ligatures w14:val="none"/>
        </w:rPr>
        <w:t xml:space="preserve"> Beneficial roles of feed additives as immunostimulants in aquaculture: A review. </w:t>
      </w:r>
      <w:r w:rsidRPr="00321394">
        <w:rPr>
          <w:rFonts w:ascii="Arial" w:eastAsia="Times New Roman" w:hAnsi="Arial" w:cs="Arial"/>
          <w:i/>
          <w:iCs/>
          <w:kern w:val="0"/>
          <w:sz w:val="20"/>
          <w:szCs w:val="20"/>
          <w:lang w:eastAsia="en-IN"/>
          <w14:ligatures w14:val="none"/>
        </w:rPr>
        <w:t xml:space="preserve">Fish &amp; Shellfish Immunology, </w:t>
      </w:r>
      <w:r w:rsidRPr="00321394">
        <w:rPr>
          <w:rFonts w:ascii="Arial" w:eastAsia="Times New Roman" w:hAnsi="Arial" w:cs="Arial"/>
          <w:kern w:val="0"/>
          <w:sz w:val="20"/>
          <w:szCs w:val="20"/>
          <w:lang w:eastAsia="en-IN"/>
          <w14:ligatures w14:val="none"/>
        </w:rPr>
        <w:t xml:space="preserve">73, 639-659. </w:t>
      </w:r>
    </w:p>
    <w:p w14:paraId="25982A89" w14:textId="77777777" w:rsidR="00C16338" w:rsidRDefault="00C16338" w:rsidP="00C16338">
      <w:pPr>
        <w:spacing w:line="360" w:lineRule="auto"/>
        <w:ind w:left="1440" w:hanging="720"/>
        <w:jc w:val="both"/>
        <w:rPr>
          <w:rFonts w:ascii="Arial" w:hAnsi="Arial" w:cs="Arial"/>
          <w:sz w:val="20"/>
          <w:szCs w:val="20"/>
        </w:rPr>
      </w:pPr>
      <w:r w:rsidRPr="00321394">
        <w:rPr>
          <w:rFonts w:ascii="Arial" w:eastAsia="Times New Roman" w:hAnsi="Arial" w:cs="Arial"/>
          <w:b/>
          <w:bCs/>
          <w:kern w:val="0"/>
          <w:sz w:val="20"/>
          <w:szCs w:val="20"/>
          <w:lang w:eastAsia="en-IN"/>
          <w14:ligatures w14:val="none"/>
        </w:rPr>
        <w:lastRenderedPageBreak/>
        <w:t>FAO, (2021</w:t>
      </w:r>
      <w:r w:rsidRPr="00321394">
        <w:rPr>
          <w:rFonts w:ascii="Arial" w:eastAsia="Times New Roman" w:hAnsi="Arial" w:cs="Arial"/>
          <w:kern w:val="0"/>
          <w:sz w:val="20"/>
          <w:szCs w:val="20"/>
          <w:lang w:eastAsia="en-IN"/>
          <w14:ligatures w14:val="none"/>
        </w:rPr>
        <w:t xml:space="preserve">). The State of World Fisheries and Aquaculture 2021. Food and Agriculture Organization of the United Nations. </w:t>
      </w:r>
    </w:p>
    <w:p w14:paraId="59A4A0E9" w14:textId="77777777" w:rsidR="00C16338" w:rsidRDefault="00C16338" w:rsidP="00C16338">
      <w:pPr>
        <w:spacing w:line="360" w:lineRule="auto"/>
        <w:ind w:left="1440" w:hanging="720"/>
        <w:jc w:val="both"/>
        <w:rPr>
          <w:rFonts w:ascii="Arial" w:hAnsi="Arial" w:cs="Arial"/>
          <w:sz w:val="20"/>
          <w:szCs w:val="20"/>
        </w:rPr>
      </w:pPr>
      <w:r w:rsidRPr="00321394">
        <w:rPr>
          <w:rFonts w:ascii="Arial" w:eastAsia="Times New Roman" w:hAnsi="Arial" w:cs="Arial"/>
          <w:b/>
          <w:bCs/>
          <w:kern w:val="0"/>
          <w:sz w:val="20"/>
          <w:szCs w:val="20"/>
          <w:lang w:eastAsia="en-IN"/>
          <w14:ligatures w14:val="none"/>
        </w:rPr>
        <w:t>FAO, 2009.</w:t>
      </w:r>
      <w:r w:rsidRPr="00321394">
        <w:rPr>
          <w:rFonts w:ascii="Arial" w:eastAsia="Times New Roman" w:hAnsi="Arial" w:cs="Arial"/>
          <w:kern w:val="0"/>
          <w:sz w:val="20"/>
          <w:szCs w:val="20"/>
          <w:lang w:eastAsia="en-IN"/>
          <w14:ligatures w14:val="none"/>
        </w:rPr>
        <w:t xml:space="preserve"> Food Security and Agricultural Mitigation in Developing Countries: Options for Capturing Synergies. </w:t>
      </w:r>
      <w:hyperlink r:id="rId12" w:history="1">
        <w:r w:rsidRPr="00E64F6F">
          <w:rPr>
            <w:rStyle w:val="Hyperlink"/>
            <w:rFonts w:ascii="Arial" w:eastAsia="Times New Roman" w:hAnsi="Arial" w:cs="Arial"/>
            <w:kern w:val="0"/>
            <w:sz w:val="20"/>
            <w:szCs w:val="20"/>
            <w:lang w:eastAsia="en-IN"/>
            <w14:ligatures w14:val="none"/>
          </w:rPr>
          <w:t>www.fao.org/docrep/012/i1318e/i1318e00</w:t>
        </w:r>
      </w:hyperlink>
      <w:r w:rsidRPr="00321394">
        <w:rPr>
          <w:rFonts w:ascii="Arial" w:eastAsia="Times New Roman" w:hAnsi="Arial" w:cs="Arial"/>
          <w:kern w:val="0"/>
          <w:sz w:val="20"/>
          <w:szCs w:val="20"/>
          <w:lang w:eastAsia="en-IN"/>
          <w14:ligatures w14:val="none"/>
        </w:rPr>
        <w:t>.</w:t>
      </w:r>
    </w:p>
    <w:p w14:paraId="1BBDEE01" w14:textId="77777777" w:rsidR="00C16338" w:rsidRDefault="00C16338" w:rsidP="00C16338">
      <w:pPr>
        <w:spacing w:line="360" w:lineRule="auto"/>
        <w:ind w:left="1440" w:hanging="720"/>
        <w:jc w:val="both"/>
        <w:rPr>
          <w:rFonts w:ascii="Arial" w:hAnsi="Arial" w:cs="Arial"/>
          <w:sz w:val="20"/>
          <w:szCs w:val="20"/>
        </w:rPr>
      </w:pPr>
      <w:r w:rsidRPr="00321394">
        <w:rPr>
          <w:rFonts w:ascii="Arial" w:eastAsia="Times New Roman" w:hAnsi="Arial" w:cs="Arial"/>
          <w:b/>
          <w:bCs/>
          <w:kern w:val="0"/>
          <w:sz w:val="20"/>
          <w:szCs w:val="20"/>
          <w:lang w:eastAsia="en-IN"/>
          <w14:ligatures w14:val="none"/>
        </w:rPr>
        <w:t xml:space="preserve">Hassan, H.U., Ali, Q.M., Siddique, M.A.M., Hasan, M.R., Hossain, M.Y., 2021a. </w:t>
      </w:r>
      <w:r w:rsidRPr="00321394">
        <w:rPr>
          <w:rFonts w:ascii="Arial" w:eastAsia="Times New Roman" w:hAnsi="Arial" w:cs="Arial"/>
          <w:kern w:val="0"/>
          <w:sz w:val="20"/>
          <w:szCs w:val="20"/>
          <w:lang w:eastAsia="en-IN"/>
          <w14:ligatures w14:val="none"/>
        </w:rPr>
        <w:t>Effects of dietary protein levels on growth, nutritional utilization, carcass composition and survival of Asian Seabass Lates calcarifer (Bloch, 1790) fingerlings rearing in net cages. Thalassas: Int. J. Mar. Sci. https://doi.org/10.1007/s41208-021 00371-8.</w:t>
      </w:r>
    </w:p>
    <w:p w14:paraId="60604A4B" w14:textId="77777777" w:rsidR="00C16338" w:rsidRDefault="00C16338" w:rsidP="00C16338">
      <w:pPr>
        <w:spacing w:line="360" w:lineRule="auto"/>
        <w:ind w:left="1440" w:hanging="720"/>
        <w:jc w:val="both"/>
        <w:rPr>
          <w:rFonts w:ascii="Arial" w:hAnsi="Arial" w:cs="Arial"/>
          <w:sz w:val="20"/>
          <w:szCs w:val="20"/>
        </w:rPr>
      </w:pPr>
      <w:r w:rsidRPr="00321394">
        <w:rPr>
          <w:rFonts w:ascii="Arial" w:hAnsi="Arial" w:cs="Arial"/>
          <w:b/>
          <w:bCs/>
          <w:sz w:val="20"/>
          <w:szCs w:val="20"/>
        </w:rPr>
        <w:t>Kumar, S., Prakash, C., Gupta, S. K., Chadha, N. K., Jain, K., Ghughuskar, M. M., &amp; Pandey, P. K. (2017).</w:t>
      </w:r>
      <w:r w:rsidRPr="00321394">
        <w:rPr>
          <w:rFonts w:ascii="Arial" w:hAnsi="Arial" w:cs="Arial"/>
          <w:sz w:val="20"/>
          <w:szCs w:val="20"/>
        </w:rPr>
        <w:t> </w:t>
      </w:r>
      <w:r w:rsidRPr="00321394">
        <w:rPr>
          <w:rFonts w:ascii="Arial" w:hAnsi="Arial" w:cs="Arial"/>
          <w:i/>
          <w:iCs/>
          <w:sz w:val="20"/>
          <w:szCs w:val="20"/>
        </w:rPr>
        <w:t>Effects of Dietary Anthraquinone Extract on Growth, Metabolic and Haemato-immunological Responses of C. mrigala (Hamilton, 1822) Fingerlings</w:t>
      </w:r>
      <w:r w:rsidRPr="00321394">
        <w:rPr>
          <w:rFonts w:ascii="Arial" w:hAnsi="Arial" w:cs="Arial"/>
          <w:sz w:val="20"/>
          <w:szCs w:val="20"/>
        </w:rPr>
        <w:t>. </w:t>
      </w:r>
      <w:r w:rsidRPr="00321394">
        <w:rPr>
          <w:rFonts w:ascii="Arial" w:hAnsi="Arial" w:cs="Arial"/>
          <w:i/>
          <w:iCs/>
          <w:sz w:val="20"/>
          <w:szCs w:val="20"/>
        </w:rPr>
        <w:t>87</w:t>
      </w:r>
      <w:r w:rsidRPr="00321394">
        <w:rPr>
          <w:rFonts w:ascii="Arial" w:hAnsi="Arial" w:cs="Arial"/>
          <w:sz w:val="20"/>
          <w:szCs w:val="20"/>
        </w:rPr>
        <w:t xml:space="preserve">(1), 243–252. </w:t>
      </w:r>
      <w:hyperlink r:id="rId13" w:history="1">
        <w:r w:rsidRPr="00321394">
          <w:rPr>
            <w:rStyle w:val="Hyperlink"/>
            <w:rFonts w:ascii="Arial" w:hAnsi="Arial" w:cs="Arial"/>
            <w:sz w:val="20"/>
            <w:szCs w:val="20"/>
          </w:rPr>
          <w:t>https://doi.org/10.1007/S40011-015-0609-7</w:t>
        </w:r>
      </w:hyperlink>
    </w:p>
    <w:p w14:paraId="690F0658" w14:textId="77777777" w:rsidR="00C16338" w:rsidRDefault="00C16338" w:rsidP="00C16338">
      <w:pPr>
        <w:spacing w:line="360" w:lineRule="auto"/>
        <w:ind w:left="1440" w:hanging="720"/>
        <w:jc w:val="both"/>
        <w:rPr>
          <w:rFonts w:ascii="Arial" w:hAnsi="Arial" w:cs="Arial"/>
          <w:sz w:val="20"/>
          <w:szCs w:val="20"/>
        </w:rPr>
      </w:pPr>
      <w:r w:rsidRPr="00321394">
        <w:rPr>
          <w:rFonts w:ascii="Arial" w:hAnsi="Arial" w:cs="Arial"/>
          <w:b/>
          <w:bCs/>
          <w:sz w:val="20"/>
          <w:szCs w:val="20"/>
        </w:rPr>
        <w:t>Kumar, T. (2008).</w:t>
      </w:r>
      <w:r w:rsidRPr="00321394">
        <w:rPr>
          <w:rFonts w:ascii="Arial" w:hAnsi="Arial" w:cs="Arial"/>
          <w:sz w:val="20"/>
          <w:szCs w:val="20"/>
        </w:rPr>
        <w:t xml:space="preserve"> </w:t>
      </w:r>
      <w:r w:rsidRPr="00321394">
        <w:rPr>
          <w:rFonts w:ascii="Arial" w:hAnsi="Arial" w:cs="Arial"/>
          <w:i/>
          <w:iCs/>
          <w:sz w:val="20"/>
          <w:szCs w:val="20"/>
        </w:rPr>
        <w:t>Effect of herb, Satavari (Asparagus racemosus Willd.) as a growth promoter in the supplementary feed of an Indian major carp, C. mrigala (Ham.).</w:t>
      </w:r>
      <w:r w:rsidRPr="00321394">
        <w:rPr>
          <w:rFonts w:ascii="Arial" w:hAnsi="Arial" w:cs="Arial"/>
          <w:sz w:val="20"/>
          <w:szCs w:val="20"/>
        </w:rPr>
        <w:t xml:space="preserve"> [Master’s thesis, Indira Gandhi Krishi Vishwavidyalaya, Raipur]. KrishiKosh. </w:t>
      </w:r>
      <w:hyperlink r:id="rId14" w:history="1">
        <w:r w:rsidRPr="00321394">
          <w:rPr>
            <w:rStyle w:val="Hyperlink"/>
            <w:rFonts w:ascii="Arial" w:hAnsi="Arial" w:cs="Arial"/>
            <w:sz w:val="20"/>
            <w:szCs w:val="20"/>
          </w:rPr>
          <w:t>http://krishikosh.egranth.ac.in/handle/1/5810001684</w:t>
        </w:r>
      </w:hyperlink>
    </w:p>
    <w:p w14:paraId="00735BC7" w14:textId="77777777" w:rsidR="00C16338" w:rsidRDefault="00C16338" w:rsidP="00C16338">
      <w:pPr>
        <w:spacing w:line="360" w:lineRule="auto"/>
        <w:ind w:left="1440" w:hanging="720"/>
        <w:jc w:val="both"/>
        <w:rPr>
          <w:rFonts w:ascii="Arial" w:eastAsia="Times New Roman" w:hAnsi="Arial" w:cs="Arial"/>
          <w:kern w:val="0"/>
          <w:sz w:val="20"/>
          <w:szCs w:val="20"/>
          <w:lang w:eastAsia="en-IN"/>
          <w14:ligatures w14:val="none"/>
        </w:rPr>
      </w:pPr>
      <w:r w:rsidRPr="00321394">
        <w:rPr>
          <w:rFonts w:ascii="Arial" w:eastAsia="Times New Roman" w:hAnsi="Arial" w:cs="Arial"/>
          <w:b/>
          <w:bCs/>
          <w:kern w:val="0"/>
          <w:sz w:val="20"/>
          <w:szCs w:val="20"/>
          <w:lang w:eastAsia="en-IN"/>
          <w14:ligatures w14:val="none"/>
        </w:rPr>
        <w:t>Kumar, V., Roy, S., &amp; Behera, B. K. (2022).</w:t>
      </w:r>
      <w:r w:rsidRPr="00321394">
        <w:rPr>
          <w:rFonts w:ascii="Arial" w:eastAsia="Times New Roman" w:hAnsi="Arial" w:cs="Arial"/>
          <w:kern w:val="0"/>
          <w:sz w:val="20"/>
          <w:szCs w:val="20"/>
          <w:lang w:eastAsia="en-IN"/>
          <w14:ligatures w14:val="none"/>
        </w:rPr>
        <w:t xml:space="preserve"> Status, challenges, and future perspectives of Indian major carps (</w:t>
      </w:r>
      <w:r w:rsidRPr="00321394">
        <w:rPr>
          <w:rFonts w:ascii="Arial" w:eastAsia="Times New Roman" w:hAnsi="Arial" w:cs="Arial"/>
          <w:i/>
          <w:iCs/>
          <w:kern w:val="0"/>
          <w:sz w:val="20"/>
          <w:szCs w:val="20"/>
          <w:lang w:eastAsia="en-IN"/>
          <w14:ligatures w14:val="none"/>
        </w:rPr>
        <w:t>Labeo rohita, Catla catla, C. mrigala</w:t>
      </w:r>
      <w:r w:rsidRPr="00321394">
        <w:rPr>
          <w:rFonts w:ascii="Arial" w:eastAsia="Times New Roman" w:hAnsi="Arial" w:cs="Arial"/>
          <w:kern w:val="0"/>
          <w:sz w:val="20"/>
          <w:szCs w:val="20"/>
          <w:lang w:eastAsia="en-IN"/>
          <w14:ligatures w14:val="none"/>
        </w:rPr>
        <w:t xml:space="preserve">) aquaculture. </w:t>
      </w:r>
      <w:r w:rsidRPr="00321394">
        <w:rPr>
          <w:rFonts w:ascii="Arial" w:eastAsia="Times New Roman" w:hAnsi="Arial" w:cs="Arial"/>
          <w:i/>
          <w:iCs/>
          <w:kern w:val="0"/>
          <w:sz w:val="20"/>
          <w:szCs w:val="20"/>
          <w:lang w:eastAsia="en-IN"/>
          <w14:ligatures w14:val="none"/>
        </w:rPr>
        <w:t>Aquaculture Reports, 22</w:t>
      </w:r>
      <w:r>
        <w:rPr>
          <w:rFonts w:ascii="Arial" w:eastAsia="Times New Roman" w:hAnsi="Arial" w:cs="Arial"/>
          <w:kern w:val="0"/>
          <w:sz w:val="20"/>
          <w:szCs w:val="20"/>
          <w:lang w:eastAsia="en-IN"/>
          <w14:ligatures w14:val="none"/>
        </w:rPr>
        <w:t>, 100948.</w:t>
      </w:r>
    </w:p>
    <w:p w14:paraId="649493CB" w14:textId="77777777" w:rsidR="00C16338" w:rsidRDefault="00C16338" w:rsidP="00C16338">
      <w:pPr>
        <w:spacing w:line="360" w:lineRule="auto"/>
        <w:ind w:left="1440" w:hanging="720"/>
        <w:jc w:val="both"/>
        <w:rPr>
          <w:rFonts w:ascii="Arial" w:hAnsi="Arial" w:cs="Arial"/>
          <w:sz w:val="20"/>
          <w:szCs w:val="20"/>
        </w:rPr>
      </w:pPr>
      <w:r w:rsidRPr="00321394">
        <w:rPr>
          <w:rFonts w:ascii="Arial" w:hAnsi="Arial" w:cs="Arial"/>
          <w:b/>
          <w:bCs/>
          <w:sz w:val="20"/>
          <w:szCs w:val="20"/>
        </w:rPr>
        <w:t xml:space="preserve">Lee, S. H., Yang, J., Goddard, M. E., Visscher, P. M., and Wray, N. R. (2012). </w:t>
      </w:r>
      <w:r w:rsidRPr="00321394">
        <w:rPr>
          <w:rFonts w:ascii="Arial" w:hAnsi="Arial" w:cs="Arial"/>
          <w:sz w:val="20"/>
          <w:szCs w:val="20"/>
        </w:rPr>
        <w:t>Estimation of pleiotropy between complex diseases using single-nucleotide polymorphism-derived genomic relationships and restricted maximum likelihood. </w:t>
      </w:r>
      <w:r w:rsidRPr="00321394">
        <w:rPr>
          <w:rFonts w:ascii="Arial" w:hAnsi="Arial" w:cs="Arial"/>
          <w:i/>
          <w:iCs/>
          <w:sz w:val="20"/>
          <w:szCs w:val="20"/>
        </w:rPr>
        <w:t>Bioinformatics</w:t>
      </w:r>
      <w:r w:rsidRPr="00321394">
        <w:rPr>
          <w:rFonts w:ascii="Arial" w:hAnsi="Arial" w:cs="Arial"/>
          <w:sz w:val="20"/>
          <w:szCs w:val="20"/>
        </w:rPr>
        <w:t>, </w:t>
      </w:r>
      <w:r w:rsidRPr="00321394">
        <w:rPr>
          <w:rFonts w:ascii="Arial" w:hAnsi="Arial" w:cs="Arial"/>
          <w:i/>
          <w:iCs/>
          <w:sz w:val="20"/>
          <w:szCs w:val="20"/>
        </w:rPr>
        <w:t>28</w:t>
      </w:r>
      <w:r>
        <w:rPr>
          <w:rFonts w:ascii="Arial" w:hAnsi="Arial" w:cs="Arial"/>
          <w:sz w:val="20"/>
          <w:szCs w:val="20"/>
        </w:rPr>
        <w:t>(19), 2540-2542.</w:t>
      </w:r>
    </w:p>
    <w:p w14:paraId="32F6BCEC" w14:textId="77777777" w:rsidR="00C16338" w:rsidRDefault="00C16338" w:rsidP="00C16338">
      <w:pPr>
        <w:spacing w:line="360" w:lineRule="auto"/>
        <w:ind w:left="1440" w:hanging="720"/>
        <w:jc w:val="both"/>
        <w:rPr>
          <w:rFonts w:ascii="Arial" w:hAnsi="Arial" w:cs="Arial"/>
          <w:sz w:val="20"/>
          <w:szCs w:val="20"/>
        </w:rPr>
      </w:pPr>
      <w:r w:rsidRPr="00321394">
        <w:rPr>
          <w:rFonts w:ascii="Arial" w:hAnsi="Arial" w:cs="Arial"/>
          <w:b/>
          <w:bCs/>
          <w:sz w:val="20"/>
          <w:szCs w:val="20"/>
        </w:rPr>
        <w:t xml:space="preserve">Nabi, N. G., &amp; Shrivastava, M. (2016). </w:t>
      </w:r>
      <w:r w:rsidRPr="00321394">
        <w:rPr>
          <w:rFonts w:ascii="Arial" w:hAnsi="Arial" w:cs="Arial"/>
          <w:sz w:val="20"/>
          <w:szCs w:val="20"/>
        </w:rPr>
        <w:t xml:space="preserve">Estimation of total flavonoids and antioxidant activity of </w:t>
      </w:r>
      <w:r w:rsidRPr="00321394">
        <w:rPr>
          <w:rFonts w:ascii="Arial" w:hAnsi="Arial" w:cs="Arial"/>
          <w:i/>
          <w:iCs/>
          <w:sz w:val="20"/>
          <w:szCs w:val="20"/>
        </w:rPr>
        <w:t>Spilanthes acmella</w:t>
      </w:r>
      <w:r w:rsidRPr="00321394">
        <w:rPr>
          <w:rFonts w:ascii="Arial" w:hAnsi="Arial" w:cs="Arial"/>
          <w:sz w:val="20"/>
          <w:szCs w:val="20"/>
        </w:rPr>
        <w:t xml:space="preserve"> leaves. </w:t>
      </w:r>
      <w:r w:rsidRPr="00321394">
        <w:rPr>
          <w:rFonts w:ascii="Arial" w:hAnsi="Arial" w:cs="Arial"/>
          <w:i/>
          <w:iCs/>
          <w:sz w:val="20"/>
          <w:szCs w:val="20"/>
        </w:rPr>
        <w:t>UK Journal of Pharmaceutical and Biosciences, 4</w:t>
      </w:r>
      <w:r w:rsidRPr="00321394">
        <w:rPr>
          <w:rFonts w:ascii="Arial" w:hAnsi="Arial" w:cs="Arial"/>
          <w:sz w:val="20"/>
          <w:szCs w:val="20"/>
        </w:rPr>
        <w:t xml:space="preserve">(6), 29–34. </w:t>
      </w:r>
      <w:hyperlink r:id="rId15" w:tgtFrame="_new" w:history="1">
        <w:r w:rsidRPr="00321394">
          <w:rPr>
            <w:rStyle w:val="Hyperlink"/>
            <w:rFonts w:ascii="Arial" w:hAnsi="Arial" w:cs="Arial"/>
            <w:sz w:val="20"/>
            <w:szCs w:val="20"/>
          </w:rPr>
          <w:t>https://doi.org/10.20510/ukjpb/4/i6/134657</w:t>
        </w:r>
      </w:hyperlink>
    </w:p>
    <w:p w14:paraId="3EBA776F" w14:textId="77777777" w:rsidR="00C16338" w:rsidRDefault="00C16338" w:rsidP="00C16338">
      <w:pPr>
        <w:spacing w:line="360" w:lineRule="auto"/>
        <w:ind w:left="1440" w:hanging="720"/>
        <w:jc w:val="both"/>
        <w:rPr>
          <w:rFonts w:ascii="Arial" w:hAnsi="Arial" w:cs="Arial"/>
          <w:sz w:val="20"/>
          <w:szCs w:val="20"/>
        </w:rPr>
      </w:pPr>
      <w:r w:rsidRPr="00321394">
        <w:rPr>
          <w:rFonts w:ascii="Arial" w:hAnsi="Arial" w:cs="Arial"/>
          <w:b/>
          <w:bCs/>
          <w:sz w:val="20"/>
          <w:szCs w:val="20"/>
        </w:rPr>
        <w:t>Naylor, R., Troell, M., Little, D., Hardy, R., Bush, S., Shumway, S., Lubchenco, J., Cao, L., Klinger, D., &amp; Buschmann, A. (2021).</w:t>
      </w:r>
      <w:r w:rsidRPr="00321394">
        <w:rPr>
          <w:rFonts w:ascii="Arial" w:hAnsi="Arial" w:cs="Arial"/>
          <w:sz w:val="20"/>
          <w:szCs w:val="20"/>
        </w:rPr>
        <w:t xml:space="preserve"> A 20-year retrospective review of global aquaculture. </w:t>
      </w:r>
      <w:r w:rsidRPr="00321394">
        <w:rPr>
          <w:rFonts w:ascii="Arial" w:hAnsi="Arial" w:cs="Arial"/>
          <w:i/>
          <w:iCs/>
          <w:sz w:val="20"/>
          <w:szCs w:val="20"/>
        </w:rPr>
        <w:t>Nature, 591</w:t>
      </w:r>
      <w:r w:rsidRPr="00321394">
        <w:rPr>
          <w:rFonts w:ascii="Arial" w:hAnsi="Arial" w:cs="Arial"/>
          <w:sz w:val="20"/>
          <w:szCs w:val="20"/>
        </w:rPr>
        <w:t xml:space="preserve">, 551. </w:t>
      </w:r>
      <w:hyperlink r:id="rId16" w:history="1">
        <w:r w:rsidRPr="00E64F6F">
          <w:rPr>
            <w:rStyle w:val="Hyperlink"/>
            <w:rFonts w:ascii="Arial" w:hAnsi="Arial" w:cs="Arial"/>
            <w:sz w:val="20"/>
            <w:szCs w:val="20"/>
          </w:rPr>
          <w:t>https://doi.org/10.1038/s41586-021-03308-6</w:t>
        </w:r>
      </w:hyperlink>
    </w:p>
    <w:p w14:paraId="1284C507" w14:textId="77777777" w:rsidR="00C16338" w:rsidRDefault="00C16338" w:rsidP="00C16338">
      <w:pPr>
        <w:spacing w:line="360" w:lineRule="auto"/>
        <w:ind w:left="1440" w:hanging="720"/>
        <w:jc w:val="both"/>
        <w:rPr>
          <w:rFonts w:ascii="Arial" w:hAnsi="Arial" w:cs="Arial"/>
          <w:sz w:val="20"/>
          <w:szCs w:val="20"/>
        </w:rPr>
      </w:pPr>
      <w:r w:rsidRPr="00321394">
        <w:rPr>
          <w:rFonts w:ascii="Arial" w:hAnsi="Arial" w:cs="Arial"/>
          <w:b/>
          <w:bCs/>
          <w:sz w:val="20"/>
          <w:szCs w:val="20"/>
        </w:rPr>
        <w:t>Ragunath, C., &amp; Ramasubramanian, V. (2024).</w:t>
      </w:r>
      <w:r w:rsidRPr="00321394">
        <w:rPr>
          <w:rFonts w:ascii="Arial" w:hAnsi="Arial" w:cs="Arial"/>
          <w:sz w:val="20"/>
          <w:szCs w:val="20"/>
        </w:rPr>
        <w:t xml:space="preserve"> Effect of dietary seaweed </w:t>
      </w:r>
      <w:r w:rsidRPr="00321394">
        <w:rPr>
          <w:rFonts w:ascii="Arial" w:hAnsi="Arial" w:cs="Arial"/>
          <w:i/>
          <w:iCs/>
          <w:sz w:val="20"/>
          <w:szCs w:val="20"/>
        </w:rPr>
        <w:t>Caulerpa racemosa</w:t>
      </w:r>
      <w:r w:rsidRPr="00321394">
        <w:rPr>
          <w:rFonts w:ascii="Arial" w:hAnsi="Arial" w:cs="Arial"/>
          <w:sz w:val="20"/>
          <w:szCs w:val="20"/>
        </w:rPr>
        <w:t xml:space="preserve"> on growth, biochemical, non-specific immunity, and disease resistance to </w:t>
      </w:r>
      <w:r w:rsidRPr="00321394">
        <w:rPr>
          <w:rFonts w:ascii="Arial" w:hAnsi="Arial" w:cs="Arial"/>
          <w:i/>
          <w:iCs/>
          <w:sz w:val="20"/>
          <w:szCs w:val="20"/>
        </w:rPr>
        <w:t>Pseudomonas aeruginosa</w:t>
      </w:r>
      <w:r w:rsidRPr="00321394">
        <w:rPr>
          <w:rFonts w:ascii="Arial" w:hAnsi="Arial" w:cs="Arial"/>
          <w:sz w:val="20"/>
          <w:szCs w:val="20"/>
        </w:rPr>
        <w:t xml:space="preserve"> in </w:t>
      </w:r>
      <w:r w:rsidRPr="00321394">
        <w:rPr>
          <w:rFonts w:ascii="Arial" w:hAnsi="Arial" w:cs="Arial"/>
          <w:i/>
          <w:iCs/>
          <w:sz w:val="20"/>
          <w:szCs w:val="20"/>
        </w:rPr>
        <w:t>C. mrigala</w:t>
      </w:r>
      <w:r w:rsidRPr="00321394">
        <w:rPr>
          <w:rFonts w:ascii="Arial" w:hAnsi="Arial" w:cs="Arial"/>
          <w:sz w:val="20"/>
          <w:szCs w:val="20"/>
        </w:rPr>
        <w:t xml:space="preserve">. </w:t>
      </w:r>
      <w:r w:rsidRPr="00321394">
        <w:rPr>
          <w:rFonts w:ascii="Arial" w:hAnsi="Arial" w:cs="Arial"/>
          <w:i/>
          <w:iCs/>
          <w:sz w:val="20"/>
          <w:szCs w:val="20"/>
        </w:rPr>
        <w:t>The Journal of Basic and Applied Zoology, 85</w:t>
      </w:r>
      <w:r w:rsidRPr="00321394">
        <w:rPr>
          <w:rFonts w:ascii="Arial" w:hAnsi="Arial" w:cs="Arial"/>
          <w:sz w:val="20"/>
          <w:szCs w:val="20"/>
        </w:rPr>
        <w:t xml:space="preserve">, 12. </w:t>
      </w:r>
      <w:hyperlink r:id="rId17" w:tgtFrame="_new" w:history="1">
        <w:r w:rsidRPr="00321394">
          <w:rPr>
            <w:rStyle w:val="Hyperlink"/>
            <w:rFonts w:ascii="Arial" w:hAnsi="Arial" w:cs="Arial"/>
            <w:sz w:val="20"/>
            <w:szCs w:val="20"/>
          </w:rPr>
          <w:t>https://doi.org/10.1186/s41936-024-00365-x</w:t>
        </w:r>
      </w:hyperlink>
    </w:p>
    <w:p w14:paraId="0A876002" w14:textId="77777777" w:rsidR="00C16338" w:rsidRPr="00321394" w:rsidRDefault="00C16338" w:rsidP="00C16338">
      <w:pPr>
        <w:spacing w:line="360" w:lineRule="auto"/>
        <w:ind w:left="1440" w:hanging="720"/>
        <w:jc w:val="both"/>
        <w:rPr>
          <w:rFonts w:ascii="Arial" w:hAnsi="Arial" w:cs="Arial"/>
          <w:sz w:val="20"/>
          <w:szCs w:val="20"/>
        </w:rPr>
      </w:pPr>
      <w:r w:rsidRPr="004A61D3">
        <w:rPr>
          <w:rFonts w:ascii="Arial" w:hAnsi="Arial" w:cs="Arial"/>
          <w:b/>
          <w:sz w:val="20"/>
          <w:szCs w:val="20"/>
        </w:rPr>
        <w:t>Rahim RA, Jayusman PA, Muhammad N, Mohamed N, Lim V, Ahmad NH, Mohamad S, Abdul Hamid ZA, Ahmad F, Mokhtar N,. 2021.</w:t>
      </w:r>
      <w:r w:rsidRPr="004A61D3">
        <w:rPr>
          <w:rFonts w:ascii="Arial" w:hAnsi="Arial" w:cs="Arial"/>
          <w:sz w:val="20"/>
          <w:szCs w:val="20"/>
        </w:rPr>
        <w:t xml:space="preserve"> Potential antioxidant and anti-inflammatory </w:t>
      </w:r>
      <w:r w:rsidRPr="004A61D3">
        <w:rPr>
          <w:rFonts w:ascii="Arial" w:hAnsi="Arial" w:cs="Arial"/>
          <w:sz w:val="20"/>
          <w:szCs w:val="20"/>
        </w:rPr>
        <w:lastRenderedPageBreak/>
        <w:t xml:space="preserve">effects of </w:t>
      </w:r>
      <w:r w:rsidRPr="004A61D3">
        <w:rPr>
          <w:rFonts w:ascii="Arial" w:hAnsi="Arial" w:cs="Arial"/>
          <w:i/>
          <w:sz w:val="20"/>
          <w:szCs w:val="20"/>
        </w:rPr>
        <w:t xml:space="preserve">Spilanthes acmella </w:t>
      </w:r>
      <w:r w:rsidRPr="004A61D3">
        <w:rPr>
          <w:rFonts w:ascii="Arial" w:hAnsi="Arial" w:cs="Arial"/>
          <w:sz w:val="20"/>
          <w:szCs w:val="20"/>
        </w:rPr>
        <w:t xml:space="preserve">and its health beneficial effects: a review. </w:t>
      </w:r>
      <w:r w:rsidRPr="004A61D3">
        <w:rPr>
          <w:rFonts w:ascii="Arial" w:hAnsi="Arial" w:cs="Arial"/>
          <w:i/>
          <w:sz w:val="20"/>
          <w:szCs w:val="20"/>
        </w:rPr>
        <w:t>Int J Environ Res Public Health.</w:t>
      </w:r>
      <w:r w:rsidRPr="004A61D3">
        <w:rPr>
          <w:rFonts w:ascii="Arial" w:hAnsi="Arial" w:cs="Arial"/>
          <w:sz w:val="20"/>
          <w:szCs w:val="20"/>
        </w:rPr>
        <w:t xml:space="preserve"> 18(7):3532. doi:10.3390/ijerph18073532.</w:t>
      </w:r>
    </w:p>
    <w:p w14:paraId="067AE4A0" w14:textId="77777777" w:rsidR="00C16338" w:rsidRDefault="00C16338" w:rsidP="00C16338">
      <w:pPr>
        <w:spacing w:line="360" w:lineRule="auto"/>
        <w:ind w:left="1440" w:hanging="720"/>
        <w:jc w:val="both"/>
        <w:rPr>
          <w:rFonts w:ascii="Arial" w:hAnsi="Arial" w:cs="Arial"/>
          <w:sz w:val="20"/>
          <w:szCs w:val="20"/>
        </w:rPr>
      </w:pPr>
      <w:r w:rsidRPr="00321394">
        <w:rPr>
          <w:rFonts w:ascii="Arial" w:eastAsia="Times New Roman" w:hAnsi="Arial" w:cs="Arial"/>
          <w:b/>
          <w:bCs/>
          <w:kern w:val="0"/>
          <w:sz w:val="20"/>
          <w:szCs w:val="20"/>
          <w:lang w:eastAsia="en-IN"/>
          <w14:ligatures w14:val="none"/>
        </w:rPr>
        <w:t xml:space="preserve">Reverter, M., Tapissier-Bontemps, N., Sasal, P., </w:t>
      </w:r>
      <w:r w:rsidRPr="00321394">
        <w:rPr>
          <w:rFonts w:ascii="Arial" w:eastAsia="Times New Roman" w:hAnsi="Arial" w:cs="Arial"/>
          <w:b/>
          <w:bCs/>
          <w:i/>
          <w:iCs/>
          <w:kern w:val="0"/>
          <w:sz w:val="20"/>
          <w:szCs w:val="20"/>
          <w:lang w:eastAsia="en-IN"/>
          <w14:ligatures w14:val="none"/>
        </w:rPr>
        <w:t>et al</w:t>
      </w:r>
      <w:r w:rsidRPr="00321394">
        <w:rPr>
          <w:rFonts w:ascii="Arial" w:eastAsia="Times New Roman" w:hAnsi="Arial" w:cs="Arial"/>
          <w:b/>
          <w:bCs/>
          <w:kern w:val="0"/>
          <w:sz w:val="20"/>
          <w:szCs w:val="20"/>
          <w:lang w:eastAsia="en-IN"/>
          <w14:ligatures w14:val="none"/>
        </w:rPr>
        <w:t>. (2014).</w:t>
      </w:r>
      <w:r w:rsidRPr="00321394">
        <w:rPr>
          <w:rFonts w:ascii="Arial" w:eastAsia="Times New Roman" w:hAnsi="Arial" w:cs="Arial"/>
          <w:kern w:val="0"/>
          <w:sz w:val="20"/>
          <w:szCs w:val="20"/>
          <w:lang w:eastAsia="en-IN"/>
          <w14:ligatures w14:val="none"/>
        </w:rPr>
        <w:t xml:space="preserve"> Use of plant extracts in fish aquaculture as an alternative to chemotherapy: Current status and future perspectives. </w:t>
      </w:r>
      <w:r w:rsidRPr="00321394">
        <w:rPr>
          <w:rFonts w:ascii="Arial" w:eastAsia="Times New Roman" w:hAnsi="Arial" w:cs="Arial"/>
          <w:i/>
          <w:iCs/>
          <w:kern w:val="0"/>
          <w:sz w:val="20"/>
          <w:szCs w:val="20"/>
          <w:lang w:eastAsia="en-IN"/>
          <w14:ligatures w14:val="none"/>
        </w:rPr>
        <w:t>Aquaculture</w:t>
      </w:r>
      <w:r w:rsidRPr="00321394">
        <w:rPr>
          <w:rFonts w:ascii="Arial" w:eastAsia="Times New Roman" w:hAnsi="Arial" w:cs="Arial"/>
          <w:kern w:val="0"/>
          <w:sz w:val="20"/>
          <w:szCs w:val="20"/>
          <w:lang w:eastAsia="en-IN"/>
          <w14:ligatures w14:val="none"/>
        </w:rPr>
        <w:t xml:space="preserve">, 433, 50-61. </w:t>
      </w:r>
    </w:p>
    <w:p w14:paraId="33A194EF" w14:textId="77777777" w:rsidR="00C16338" w:rsidRDefault="00C16338" w:rsidP="00C16338">
      <w:pPr>
        <w:spacing w:line="360" w:lineRule="auto"/>
        <w:ind w:left="1440" w:hanging="720"/>
        <w:jc w:val="both"/>
        <w:rPr>
          <w:rFonts w:ascii="Arial" w:hAnsi="Arial" w:cs="Arial"/>
          <w:sz w:val="20"/>
          <w:szCs w:val="20"/>
        </w:rPr>
      </w:pPr>
      <w:r w:rsidRPr="00321394">
        <w:rPr>
          <w:rFonts w:ascii="Arial" w:eastAsia="Times New Roman" w:hAnsi="Arial" w:cs="Arial"/>
          <w:b/>
          <w:bCs/>
          <w:kern w:val="0"/>
          <w:sz w:val="20"/>
          <w:szCs w:val="20"/>
          <w:lang w:eastAsia="en-IN"/>
          <w14:ligatures w14:val="none"/>
        </w:rPr>
        <w:t>Singh, A., Kumar, P., &amp; Verma, S. (2020).</w:t>
      </w:r>
      <w:r w:rsidRPr="00321394">
        <w:rPr>
          <w:rFonts w:ascii="Arial" w:eastAsia="Times New Roman" w:hAnsi="Arial" w:cs="Arial"/>
          <w:kern w:val="0"/>
          <w:sz w:val="20"/>
          <w:szCs w:val="20"/>
          <w:lang w:eastAsia="en-IN"/>
          <w14:ligatures w14:val="none"/>
        </w:rPr>
        <w:t xml:space="preserve"> Phytochemical and pharmacological importance of </w:t>
      </w:r>
      <w:r w:rsidRPr="00321394">
        <w:rPr>
          <w:rFonts w:ascii="Arial" w:eastAsia="Times New Roman" w:hAnsi="Arial" w:cs="Arial"/>
          <w:i/>
          <w:iCs/>
          <w:kern w:val="0"/>
          <w:sz w:val="20"/>
          <w:szCs w:val="20"/>
          <w:lang w:eastAsia="en-IN"/>
          <w14:ligatures w14:val="none"/>
        </w:rPr>
        <w:t>A. oleracea</w:t>
      </w:r>
      <w:r w:rsidRPr="00321394">
        <w:rPr>
          <w:rFonts w:ascii="Arial" w:eastAsia="Times New Roman" w:hAnsi="Arial" w:cs="Arial"/>
          <w:kern w:val="0"/>
          <w:sz w:val="20"/>
          <w:szCs w:val="20"/>
          <w:lang w:eastAsia="en-IN"/>
          <w14:ligatures w14:val="none"/>
        </w:rPr>
        <w:t xml:space="preserve">: A review. </w:t>
      </w:r>
      <w:r w:rsidRPr="00321394">
        <w:rPr>
          <w:rFonts w:ascii="Arial" w:eastAsia="Times New Roman" w:hAnsi="Arial" w:cs="Arial"/>
          <w:i/>
          <w:iCs/>
          <w:kern w:val="0"/>
          <w:sz w:val="20"/>
          <w:szCs w:val="20"/>
          <w:lang w:eastAsia="en-IN"/>
          <w14:ligatures w14:val="none"/>
        </w:rPr>
        <w:t>Journal of Ethnopharmacology</w:t>
      </w:r>
      <w:r w:rsidRPr="00321394">
        <w:rPr>
          <w:rFonts w:ascii="Arial" w:eastAsia="Times New Roman" w:hAnsi="Arial" w:cs="Arial"/>
          <w:kern w:val="0"/>
          <w:sz w:val="20"/>
          <w:szCs w:val="20"/>
          <w:lang w:eastAsia="en-IN"/>
          <w14:ligatures w14:val="none"/>
        </w:rPr>
        <w:t xml:space="preserve">, 253, 112680. </w:t>
      </w:r>
    </w:p>
    <w:p w14:paraId="58DB6140" w14:textId="77777777" w:rsidR="00C16338" w:rsidRDefault="00C16338" w:rsidP="00C16338">
      <w:pPr>
        <w:spacing w:line="360" w:lineRule="auto"/>
        <w:ind w:left="1440" w:hanging="720"/>
        <w:jc w:val="both"/>
        <w:rPr>
          <w:rFonts w:ascii="Arial" w:eastAsia="Times New Roman" w:hAnsi="Arial" w:cs="Arial"/>
          <w:kern w:val="0"/>
          <w:sz w:val="20"/>
          <w:szCs w:val="20"/>
          <w:lang w:eastAsia="en-IN"/>
          <w14:ligatures w14:val="none"/>
        </w:rPr>
      </w:pPr>
      <w:r w:rsidRPr="00321394">
        <w:rPr>
          <w:rFonts w:ascii="Arial" w:eastAsia="Times New Roman" w:hAnsi="Arial" w:cs="Arial"/>
          <w:b/>
          <w:bCs/>
          <w:kern w:val="0"/>
          <w:sz w:val="20"/>
          <w:szCs w:val="20"/>
          <w:lang w:eastAsia="en-IN"/>
          <w14:ligatures w14:val="none"/>
        </w:rPr>
        <w:t xml:space="preserve">Van Hai, N. (2015). </w:t>
      </w:r>
      <w:r w:rsidRPr="00321394">
        <w:rPr>
          <w:rFonts w:ascii="Arial" w:eastAsia="Times New Roman" w:hAnsi="Arial" w:cs="Arial"/>
          <w:kern w:val="0"/>
          <w:sz w:val="20"/>
          <w:szCs w:val="20"/>
          <w:lang w:eastAsia="en-IN"/>
          <w14:ligatures w14:val="none"/>
        </w:rPr>
        <w:t xml:space="preserve">The use of medicinal plants as immunostimulants in aquaculture: A review. </w:t>
      </w:r>
      <w:r w:rsidRPr="00321394">
        <w:rPr>
          <w:rFonts w:ascii="Arial" w:eastAsia="Times New Roman" w:hAnsi="Arial" w:cs="Arial"/>
          <w:i/>
          <w:iCs/>
          <w:kern w:val="0"/>
          <w:sz w:val="20"/>
          <w:szCs w:val="20"/>
          <w:lang w:eastAsia="en-IN"/>
          <w14:ligatures w14:val="none"/>
        </w:rPr>
        <w:t xml:space="preserve">Aquaculture, </w:t>
      </w:r>
      <w:r w:rsidRPr="00321394">
        <w:rPr>
          <w:rFonts w:ascii="Arial" w:eastAsia="Times New Roman" w:hAnsi="Arial" w:cs="Arial"/>
          <w:kern w:val="0"/>
          <w:sz w:val="20"/>
          <w:szCs w:val="20"/>
          <w:lang w:eastAsia="en-IN"/>
          <w14:ligatures w14:val="none"/>
        </w:rPr>
        <w:t>446, 88-96.</w:t>
      </w:r>
    </w:p>
    <w:p w14:paraId="732EB894" w14:textId="77777777" w:rsidR="00C16338" w:rsidRPr="00321394" w:rsidRDefault="00C16338" w:rsidP="00C16338">
      <w:pPr>
        <w:spacing w:line="360" w:lineRule="auto"/>
        <w:ind w:left="1440" w:hanging="720"/>
        <w:jc w:val="both"/>
        <w:rPr>
          <w:rFonts w:ascii="Arial" w:hAnsi="Arial" w:cs="Arial"/>
          <w:sz w:val="20"/>
          <w:szCs w:val="20"/>
        </w:rPr>
      </w:pPr>
    </w:p>
    <w:p w14:paraId="35A8C0BB" w14:textId="79EF9CBF" w:rsidR="005C7E1E" w:rsidRPr="00C16338" w:rsidRDefault="005C7E1E" w:rsidP="00C16338">
      <w:bookmarkStart w:id="1" w:name="_GoBack"/>
      <w:bookmarkEnd w:id="1"/>
    </w:p>
    <w:sectPr w:rsidR="005C7E1E" w:rsidRPr="00C16338" w:rsidSect="00321394">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99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DA7015" w14:textId="77777777" w:rsidR="00CA6924" w:rsidRDefault="00CA6924" w:rsidP="00FF0CB3">
      <w:pPr>
        <w:spacing w:after="0" w:line="240" w:lineRule="auto"/>
      </w:pPr>
      <w:r>
        <w:separator/>
      </w:r>
    </w:p>
  </w:endnote>
  <w:endnote w:type="continuationSeparator" w:id="0">
    <w:p w14:paraId="34130E9C" w14:textId="77777777" w:rsidR="00CA6924" w:rsidRDefault="00CA6924" w:rsidP="00FF0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D56BF" w14:textId="77777777" w:rsidR="00091893" w:rsidRDefault="000918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29C52" w14:textId="77777777" w:rsidR="00091893" w:rsidRDefault="000918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60DD1" w14:textId="77777777" w:rsidR="00091893" w:rsidRDefault="000918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8030D0" w14:textId="77777777" w:rsidR="00CA6924" w:rsidRDefault="00CA6924" w:rsidP="00FF0CB3">
      <w:pPr>
        <w:spacing w:after="0" w:line="240" w:lineRule="auto"/>
      </w:pPr>
      <w:r>
        <w:separator/>
      </w:r>
    </w:p>
  </w:footnote>
  <w:footnote w:type="continuationSeparator" w:id="0">
    <w:p w14:paraId="50AB2289" w14:textId="77777777" w:rsidR="00CA6924" w:rsidRDefault="00CA6924" w:rsidP="00FF0C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5DD5B" w14:textId="29EBBA1E" w:rsidR="00091893" w:rsidRDefault="00091893">
    <w:pPr>
      <w:pStyle w:val="Header"/>
    </w:pPr>
    <w:r>
      <w:rPr>
        <w:noProof/>
      </w:rPr>
      <w:pict w14:anchorId="57210C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62.55pt;height:105.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4B911" w14:textId="60CCB637" w:rsidR="00091893" w:rsidRDefault="00091893">
    <w:pPr>
      <w:pStyle w:val="Header"/>
    </w:pPr>
    <w:r>
      <w:rPr>
        <w:noProof/>
      </w:rPr>
      <w:pict w14:anchorId="210F3E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62.55pt;height:105.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491F6" w14:textId="24BB54A3" w:rsidR="00091893" w:rsidRDefault="00091893">
    <w:pPr>
      <w:pStyle w:val="Header"/>
    </w:pPr>
    <w:r>
      <w:rPr>
        <w:noProof/>
      </w:rPr>
      <w:pict w14:anchorId="02201B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62.55pt;height:105.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131738"/>
    <w:multiLevelType w:val="hybridMultilevel"/>
    <w:tmpl w:val="1C44E5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70351FC"/>
    <w:multiLevelType w:val="hybridMultilevel"/>
    <w:tmpl w:val="FA7AB9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6FE"/>
    <w:rsid w:val="0000591B"/>
    <w:rsid w:val="0001252D"/>
    <w:rsid w:val="00035D27"/>
    <w:rsid w:val="000366E5"/>
    <w:rsid w:val="000372ED"/>
    <w:rsid w:val="00046B2A"/>
    <w:rsid w:val="00047307"/>
    <w:rsid w:val="0005381E"/>
    <w:rsid w:val="000602D0"/>
    <w:rsid w:val="000634ED"/>
    <w:rsid w:val="000704F0"/>
    <w:rsid w:val="000761CC"/>
    <w:rsid w:val="00091893"/>
    <w:rsid w:val="000A1CB0"/>
    <w:rsid w:val="000B6386"/>
    <w:rsid w:val="000C1B29"/>
    <w:rsid w:val="000D1E25"/>
    <w:rsid w:val="000D566E"/>
    <w:rsid w:val="000D59FC"/>
    <w:rsid w:val="000E1781"/>
    <w:rsid w:val="000E37C2"/>
    <w:rsid w:val="000E5E2C"/>
    <w:rsid w:val="000F0500"/>
    <w:rsid w:val="000F0E26"/>
    <w:rsid w:val="000F5488"/>
    <w:rsid w:val="00101460"/>
    <w:rsid w:val="001032D3"/>
    <w:rsid w:val="00105388"/>
    <w:rsid w:val="001138D9"/>
    <w:rsid w:val="00117EF9"/>
    <w:rsid w:val="00126328"/>
    <w:rsid w:val="00133FA6"/>
    <w:rsid w:val="00152631"/>
    <w:rsid w:val="00160FD0"/>
    <w:rsid w:val="00187E34"/>
    <w:rsid w:val="00193AD7"/>
    <w:rsid w:val="001A71B5"/>
    <w:rsid w:val="001A78DB"/>
    <w:rsid w:val="001B1DA2"/>
    <w:rsid w:val="001B2A5A"/>
    <w:rsid w:val="001B5BAE"/>
    <w:rsid w:val="001D0548"/>
    <w:rsid w:val="001D315B"/>
    <w:rsid w:val="001D3FD5"/>
    <w:rsid w:val="001F687C"/>
    <w:rsid w:val="0020270C"/>
    <w:rsid w:val="00213219"/>
    <w:rsid w:val="00221D56"/>
    <w:rsid w:val="002240A0"/>
    <w:rsid w:val="002242B7"/>
    <w:rsid w:val="0023192A"/>
    <w:rsid w:val="002340BE"/>
    <w:rsid w:val="00241AA2"/>
    <w:rsid w:val="00253207"/>
    <w:rsid w:val="00266688"/>
    <w:rsid w:val="00280140"/>
    <w:rsid w:val="002837BB"/>
    <w:rsid w:val="0028728F"/>
    <w:rsid w:val="002B209A"/>
    <w:rsid w:val="002B2937"/>
    <w:rsid w:val="002B5BF8"/>
    <w:rsid w:val="002C4DD1"/>
    <w:rsid w:val="002E17F8"/>
    <w:rsid w:val="002F74F1"/>
    <w:rsid w:val="00301CDC"/>
    <w:rsid w:val="00321394"/>
    <w:rsid w:val="00337B9D"/>
    <w:rsid w:val="003433EA"/>
    <w:rsid w:val="00343B6E"/>
    <w:rsid w:val="00346249"/>
    <w:rsid w:val="00350369"/>
    <w:rsid w:val="0036121A"/>
    <w:rsid w:val="003958B0"/>
    <w:rsid w:val="00397178"/>
    <w:rsid w:val="003B2E3E"/>
    <w:rsid w:val="003E111C"/>
    <w:rsid w:val="003E132C"/>
    <w:rsid w:val="003E5883"/>
    <w:rsid w:val="003F11BE"/>
    <w:rsid w:val="00412A14"/>
    <w:rsid w:val="00413773"/>
    <w:rsid w:val="0042297B"/>
    <w:rsid w:val="00430933"/>
    <w:rsid w:val="00456606"/>
    <w:rsid w:val="00465346"/>
    <w:rsid w:val="00482AF6"/>
    <w:rsid w:val="004902F5"/>
    <w:rsid w:val="004959DE"/>
    <w:rsid w:val="00497076"/>
    <w:rsid w:val="004A4B56"/>
    <w:rsid w:val="004A4BB3"/>
    <w:rsid w:val="004A5F85"/>
    <w:rsid w:val="004B2049"/>
    <w:rsid w:val="004B3C44"/>
    <w:rsid w:val="004B6C5E"/>
    <w:rsid w:val="004C1AE2"/>
    <w:rsid w:val="004C4E85"/>
    <w:rsid w:val="004D1D0E"/>
    <w:rsid w:val="004D289D"/>
    <w:rsid w:val="004E56BC"/>
    <w:rsid w:val="004E7610"/>
    <w:rsid w:val="004F7FA6"/>
    <w:rsid w:val="005052C4"/>
    <w:rsid w:val="0050587F"/>
    <w:rsid w:val="0050767B"/>
    <w:rsid w:val="00510BA7"/>
    <w:rsid w:val="0051253D"/>
    <w:rsid w:val="00512C1A"/>
    <w:rsid w:val="0051597C"/>
    <w:rsid w:val="00517393"/>
    <w:rsid w:val="00532FCB"/>
    <w:rsid w:val="0053591D"/>
    <w:rsid w:val="0054625D"/>
    <w:rsid w:val="005613FE"/>
    <w:rsid w:val="00563712"/>
    <w:rsid w:val="005653B9"/>
    <w:rsid w:val="00572710"/>
    <w:rsid w:val="00582C5E"/>
    <w:rsid w:val="005B399F"/>
    <w:rsid w:val="005B43B7"/>
    <w:rsid w:val="005C7E1E"/>
    <w:rsid w:val="005D0B8D"/>
    <w:rsid w:val="005D5515"/>
    <w:rsid w:val="005E6AA8"/>
    <w:rsid w:val="00601C58"/>
    <w:rsid w:val="006067E9"/>
    <w:rsid w:val="00607662"/>
    <w:rsid w:val="006239D3"/>
    <w:rsid w:val="00625F72"/>
    <w:rsid w:val="00631D99"/>
    <w:rsid w:val="006348E0"/>
    <w:rsid w:val="00637B08"/>
    <w:rsid w:val="00660DC3"/>
    <w:rsid w:val="00690B5D"/>
    <w:rsid w:val="006B30C3"/>
    <w:rsid w:val="006C0E67"/>
    <w:rsid w:val="006C3EAF"/>
    <w:rsid w:val="006E403F"/>
    <w:rsid w:val="00700B84"/>
    <w:rsid w:val="00701955"/>
    <w:rsid w:val="00705803"/>
    <w:rsid w:val="007064B5"/>
    <w:rsid w:val="00706882"/>
    <w:rsid w:val="00743B13"/>
    <w:rsid w:val="007526FE"/>
    <w:rsid w:val="0076252A"/>
    <w:rsid w:val="00773F91"/>
    <w:rsid w:val="007760B8"/>
    <w:rsid w:val="007779E2"/>
    <w:rsid w:val="00786834"/>
    <w:rsid w:val="00787B26"/>
    <w:rsid w:val="0079151D"/>
    <w:rsid w:val="007E544D"/>
    <w:rsid w:val="007F1145"/>
    <w:rsid w:val="007F1ED6"/>
    <w:rsid w:val="007F57B1"/>
    <w:rsid w:val="007F665E"/>
    <w:rsid w:val="00803875"/>
    <w:rsid w:val="00806D05"/>
    <w:rsid w:val="008214FF"/>
    <w:rsid w:val="00833A31"/>
    <w:rsid w:val="00833F90"/>
    <w:rsid w:val="00834A30"/>
    <w:rsid w:val="00837CE1"/>
    <w:rsid w:val="00860E36"/>
    <w:rsid w:val="0086424E"/>
    <w:rsid w:val="00865BA1"/>
    <w:rsid w:val="00882C50"/>
    <w:rsid w:val="00882D06"/>
    <w:rsid w:val="00895DEE"/>
    <w:rsid w:val="008A4E80"/>
    <w:rsid w:val="008D26CA"/>
    <w:rsid w:val="008F206F"/>
    <w:rsid w:val="00902397"/>
    <w:rsid w:val="009122D1"/>
    <w:rsid w:val="00923385"/>
    <w:rsid w:val="00927E49"/>
    <w:rsid w:val="009532C3"/>
    <w:rsid w:val="00971CC2"/>
    <w:rsid w:val="00996951"/>
    <w:rsid w:val="009A1ABF"/>
    <w:rsid w:val="009A30FC"/>
    <w:rsid w:val="009A7342"/>
    <w:rsid w:val="009A7D8C"/>
    <w:rsid w:val="009B3305"/>
    <w:rsid w:val="009B3AE4"/>
    <w:rsid w:val="009D20F8"/>
    <w:rsid w:val="009F05D6"/>
    <w:rsid w:val="009F59EB"/>
    <w:rsid w:val="00A1160A"/>
    <w:rsid w:val="00A176B6"/>
    <w:rsid w:val="00A2066D"/>
    <w:rsid w:val="00A24292"/>
    <w:rsid w:val="00A3553E"/>
    <w:rsid w:val="00A6405A"/>
    <w:rsid w:val="00A937C8"/>
    <w:rsid w:val="00AB6CEC"/>
    <w:rsid w:val="00AC020F"/>
    <w:rsid w:val="00AD1FF1"/>
    <w:rsid w:val="00AE17CC"/>
    <w:rsid w:val="00B005A7"/>
    <w:rsid w:val="00B1763A"/>
    <w:rsid w:val="00B2091C"/>
    <w:rsid w:val="00B32987"/>
    <w:rsid w:val="00B471C3"/>
    <w:rsid w:val="00B52767"/>
    <w:rsid w:val="00B56D6A"/>
    <w:rsid w:val="00B6429D"/>
    <w:rsid w:val="00B6695B"/>
    <w:rsid w:val="00B67B22"/>
    <w:rsid w:val="00B77053"/>
    <w:rsid w:val="00B91CF3"/>
    <w:rsid w:val="00B92334"/>
    <w:rsid w:val="00B9610B"/>
    <w:rsid w:val="00BC4E55"/>
    <w:rsid w:val="00BC5518"/>
    <w:rsid w:val="00BF5F87"/>
    <w:rsid w:val="00BF6FC2"/>
    <w:rsid w:val="00C13C97"/>
    <w:rsid w:val="00C16338"/>
    <w:rsid w:val="00C449AB"/>
    <w:rsid w:val="00C6022B"/>
    <w:rsid w:val="00C70A7B"/>
    <w:rsid w:val="00C77CD3"/>
    <w:rsid w:val="00CA6924"/>
    <w:rsid w:val="00CB3226"/>
    <w:rsid w:val="00CB5A8D"/>
    <w:rsid w:val="00CC3E97"/>
    <w:rsid w:val="00CC4793"/>
    <w:rsid w:val="00CE141B"/>
    <w:rsid w:val="00CE5839"/>
    <w:rsid w:val="00CF5385"/>
    <w:rsid w:val="00D04DE4"/>
    <w:rsid w:val="00D0503E"/>
    <w:rsid w:val="00D07EDE"/>
    <w:rsid w:val="00D21101"/>
    <w:rsid w:val="00D26A71"/>
    <w:rsid w:val="00D275B2"/>
    <w:rsid w:val="00D469EB"/>
    <w:rsid w:val="00D53015"/>
    <w:rsid w:val="00D56A6C"/>
    <w:rsid w:val="00D64900"/>
    <w:rsid w:val="00D72A84"/>
    <w:rsid w:val="00D81E4B"/>
    <w:rsid w:val="00D84D81"/>
    <w:rsid w:val="00D84DF9"/>
    <w:rsid w:val="00D95461"/>
    <w:rsid w:val="00DB56CF"/>
    <w:rsid w:val="00DC282A"/>
    <w:rsid w:val="00DD7D99"/>
    <w:rsid w:val="00DF4B66"/>
    <w:rsid w:val="00DF740C"/>
    <w:rsid w:val="00E05FA6"/>
    <w:rsid w:val="00E302EA"/>
    <w:rsid w:val="00E37E79"/>
    <w:rsid w:val="00E41AF7"/>
    <w:rsid w:val="00E526EB"/>
    <w:rsid w:val="00E54D03"/>
    <w:rsid w:val="00E65970"/>
    <w:rsid w:val="00E67191"/>
    <w:rsid w:val="00E94D51"/>
    <w:rsid w:val="00EC2A09"/>
    <w:rsid w:val="00EC6FB1"/>
    <w:rsid w:val="00ED1EBE"/>
    <w:rsid w:val="00ED43E1"/>
    <w:rsid w:val="00ED4D23"/>
    <w:rsid w:val="00EF51E6"/>
    <w:rsid w:val="00EF7056"/>
    <w:rsid w:val="00F04DE4"/>
    <w:rsid w:val="00F15C54"/>
    <w:rsid w:val="00F31B06"/>
    <w:rsid w:val="00F415F5"/>
    <w:rsid w:val="00F75FEF"/>
    <w:rsid w:val="00F779A5"/>
    <w:rsid w:val="00F91B3A"/>
    <w:rsid w:val="00FA628F"/>
    <w:rsid w:val="00FC6921"/>
    <w:rsid w:val="00FF0760"/>
    <w:rsid w:val="00FF0CB3"/>
    <w:rsid w:val="00FF2B91"/>
    <w:rsid w:val="00FF687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66D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526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26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26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26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26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26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26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26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26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6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26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26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26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26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26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6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6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6FE"/>
    <w:rPr>
      <w:rFonts w:eastAsiaTheme="majorEastAsia" w:cstheme="majorBidi"/>
      <w:color w:val="272727" w:themeColor="text1" w:themeTint="D8"/>
    </w:rPr>
  </w:style>
  <w:style w:type="paragraph" w:styleId="Title">
    <w:name w:val="Title"/>
    <w:basedOn w:val="Normal"/>
    <w:next w:val="Normal"/>
    <w:link w:val="TitleChar"/>
    <w:uiPriority w:val="10"/>
    <w:qFormat/>
    <w:rsid w:val="007526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6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6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6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6FE"/>
    <w:pPr>
      <w:spacing w:before="160"/>
      <w:jc w:val="center"/>
    </w:pPr>
    <w:rPr>
      <w:i/>
      <w:iCs/>
      <w:color w:val="404040" w:themeColor="text1" w:themeTint="BF"/>
    </w:rPr>
  </w:style>
  <w:style w:type="character" w:customStyle="1" w:styleId="QuoteChar">
    <w:name w:val="Quote Char"/>
    <w:basedOn w:val="DefaultParagraphFont"/>
    <w:link w:val="Quote"/>
    <w:uiPriority w:val="29"/>
    <w:rsid w:val="007526FE"/>
    <w:rPr>
      <w:i/>
      <w:iCs/>
      <w:color w:val="404040" w:themeColor="text1" w:themeTint="BF"/>
    </w:rPr>
  </w:style>
  <w:style w:type="paragraph" w:styleId="ListParagraph">
    <w:name w:val="List Paragraph"/>
    <w:basedOn w:val="Normal"/>
    <w:uiPriority w:val="34"/>
    <w:qFormat/>
    <w:rsid w:val="007526FE"/>
    <w:pPr>
      <w:ind w:left="720"/>
      <w:contextualSpacing/>
    </w:pPr>
  </w:style>
  <w:style w:type="character" w:styleId="IntenseEmphasis">
    <w:name w:val="Intense Emphasis"/>
    <w:basedOn w:val="DefaultParagraphFont"/>
    <w:uiPriority w:val="21"/>
    <w:qFormat/>
    <w:rsid w:val="007526FE"/>
    <w:rPr>
      <w:i/>
      <w:iCs/>
      <w:color w:val="2F5496" w:themeColor="accent1" w:themeShade="BF"/>
    </w:rPr>
  </w:style>
  <w:style w:type="paragraph" w:styleId="IntenseQuote">
    <w:name w:val="Intense Quote"/>
    <w:basedOn w:val="Normal"/>
    <w:next w:val="Normal"/>
    <w:link w:val="IntenseQuoteChar"/>
    <w:uiPriority w:val="30"/>
    <w:qFormat/>
    <w:rsid w:val="007526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26FE"/>
    <w:rPr>
      <w:i/>
      <w:iCs/>
      <w:color w:val="2F5496" w:themeColor="accent1" w:themeShade="BF"/>
    </w:rPr>
  </w:style>
  <w:style w:type="character" w:styleId="IntenseReference">
    <w:name w:val="Intense Reference"/>
    <w:basedOn w:val="DefaultParagraphFont"/>
    <w:uiPriority w:val="32"/>
    <w:qFormat/>
    <w:rsid w:val="007526FE"/>
    <w:rPr>
      <w:b/>
      <w:bCs/>
      <w:smallCaps/>
      <w:color w:val="2F5496" w:themeColor="accent1" w:themeShade="BF"/>
      <w:spacing w:val="5"/>
    </w:rPr>
  </w:style>
  <w:style w:type="table" w:styleId="TableGrid">
    <w:name w:val="Table Grid"/>
    <w:basedOn w:val="TableNormal"/>
    <w:uiPriority w:val="39"/>
    <w:rsid w:val="00E526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A4BB3"/>
    <w:rPr>
      <w:color w:val="0563C1" w:themeColor="hyperlink"/>
      <w:u w:val="single"/>
    </w:rPr>
  </w:style>
  <w:style w:type="character" w:customStyle="1" w:styleId="UnresolvedMention1">
    <w:name w:val="Unresolved Mention1"/>
    <w:basedOn w:val="DefaultParagraphFont"/>
    <w:uiPriority w:val="99"/>
    <w:semiHidden/>
    <w:unhideWhenUsed/>
    <w:rsid w:val="004A4BB3"/>
    <w:rPr>
      <w:color w:val="605E5C"/>
      <w:shd w:val="clear" w:color="auto" w:fill="E1DFDD"/>
    </w:rPr>
  </w:style>
  <w:style w:type="paragraph" w:styleId="BalloonText">
    <w:name w:val="Balloon Text"/>
    <w:basedOn w:val="Normal"/>
    <w:link w:val="BalloonTextChar"/>
    <w:uiPriority w:val="99"/>
    <w:semiHidden/>
    <w:unhideWhenUsed/>
    <w:rsid w:val="000D1E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E25"/>
    <w:rPr>
      <w:rFonts w:ascii="Tahoma" w:hAnsi="Tahoma" w:cs="Tahoma"/>
      <w:sz w:val="16"/>
      <w:szCs w:val="16"/>
    </w:rPr>
  </w:style>
  <w:style w:type="character" w:customStyle="1" w:styleId="UnresolvedMention">
    <w:name w:val="Unresolved Mention"/>
    <w:basedOn w:val="DefaultParagraphFont"/>
    <w:uiPriority w:val="99"/>
    <w:semiHidden/>
    <w:unhideWhenUsed/>
    <w:rsid w:val="0054625D"/>
    <w:rPr>
      <w:color w:val="605E5C"/>
      <w:shd w:val="clear" w:color="auto" w:fill="E1DFDD"/>
    </w:rPr>
  </w:style>
  <w:style w:type="paragraph" w:styleId="Header">
    <w:name w:val="header"/>
    <w:basedOn w:val="Normal"/>
    <w:link w:val="HeaderChar"/>
    <w:uiPriority w:val="99"/>
    <w:unhideWhenUsed/>
    <w:rsid w:val="00FF0C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CB3"/>
  </w:style>
  <w:style w:type="paragraph" w:styleId="Footer">
    <w:name w:val="footer"/>
    <w:basedOn w:val="Normal"/>
    <w:link w:val="FooterChar"/>
    <w:uiPriority w:val="99"/>
    <w:unhideWhenUsed/>
    <w:rsid w:val="00FF0C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CB3"/>
  </w:style>
  <w:style w:type="character" w:styleId="CommentReference">
    <w:name w:val="annotation reference"/>
    <w:basedOn w:val="DefaultParagraphFont"/>
    <w:uiPriority w:val="99"/>
    <w:semiHidden/>
    <w:unhideWhenUsed/>
    <w:rsid w:val="00091893"/>
    <w:rPr>
      <w:sz w:val="16"/>
      <w:szCs w:val="16"/>
    </w:rPr>
  </w:style>
  <w:style w:type="paragraph" w:styleId="CommentText">
    <w:name w:val="annotation text"/>
    <w:basedOn w:val="Normal"/>
    <w:link w:val="CommentTextChar"/>
    <w:uiPriority w:val="99"/>
    <w:semiHidden/>
    <w:unhideWhenUsed/>
    <w:rsid w:val="00091893"/>
    <w:pPr>
      <w:spacing w:line="240" w:lineRule="auto"/>
    </w:pPr>
    <w:rPr>
      <w:sz w:val="20"/>
      <w:szCs w:val="20"/>
      <w14:ligatures w14:val="none"/>
    </w:rPr>
  </w:style>
  <w:style w:type="character" w:customStyle="1" w:styleId="CommentTextChar">
    <w:name w:val="Comment Text Char"/>
    <w:basedOn w:val="DefaultParagraphFont"/>
    <w:link w:val="CommentText"/>
    <w:uiPriority w:val="99"/>
    <w:semiHidden/>
    <w:rsid w:val="00091893"/>
    <w:rPr>
      <w:sz w:val="20"/>
      <w:szCs w:val="20"/>
      <w14:ligatures w14:val="none"/>
    </w:rPr>
  </w:style>
  <w:style w:type="character" w:styleId="Strong">
    <w:name w:val="Strong"/>
    <w:basedOn w:val="DefaultParagraphFont"/>
    <w:uiPriority w:val="22"/>
    <w:qFormat/>
    <w:rsid w:val="00C1633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526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26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26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26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26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26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26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26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26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6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26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26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26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26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26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6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6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6FE"/>
    <w:rPr>
      <w:rFonts w:eastAsiaTheme="majorEastAsia" w:cstheme="majorBidi"/>
      <w:color w:val="272727" w:themeColor="text1" w:themeTint="D8"/>
    </w:rPr>
  </w:style>
  <w:style w:type="paragraph" w:styleId="Title">
    <w:name w:val="Title"/>
    <w:basedOn w:val="Normal"/>
    <w:next w:val="Normal"/>
    <w:link w:val="TitleChar"/>
    <w:uiPriority w:val="10"/>
    <w:qFormat/>
    <w:rsid w:val="007526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6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6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6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6FE"/>
    <w:pPr>
      <w:spacing w:before="160"/>
      <w:jc w:val="center"/>
    </w:pPr>
    <w:rPr>
      <w:i/>
      <w:iCs/>
      <w:color w:val="404040" w:themeColor="text1" w:themeTint="BF"/>
    </w:rPr>
  </w:style>
  <w:style w:type="character" w:customStyle="1" w:styleId="QuoteChar">
    <w:name w:val="Quote Char"/>
    <w:basedOn w:val="DefaultParagraphFont"/>
    <w:link w:val="Quote"/>
    <w:uiPriority w:val="29"/>
    <w:rsid w:val="007526FE"/>
    <w:rPr>
      <w:i/>
      <w:iCs/>
      <w:color w:val="404040" w:themeColor="text1" w:themeTint="BF"/>
    </w:rPr>
  </w:style>
  <w:style w:type="paragraph" w:styleId="ListParagraph">
    <w:name w:val="List Paragraph"/>
    <w:basedOn w:val="Normal"/>
    <w:uiPriority w:val="34"/>
    <w:qFormat/>
    <w:rsid w:val="007526FE"/>
    <w:pPr>
      <w:ind w:left="720"/>
      <w:contextualSpacing/>
    </w:pPr>
  </w:style>
  <w:style w:type="character" w:styleId="IntenseEmphasis">
    <w:name w:val="Intense Emphasis"/>
    <w:basedOn w:val="DefaultParagraphFont"/>
    <w:uiPriority w:val="21"/>
    <w:qFormat/>
    <w:rsid w:val="007526FE"/>
    <w:rPr>
      <w:i/>
      <w:iCs/>
      <w:color w:val="2F5496" w:themeColor="accent1" w:themeShade="BF"/>
    </w:rPr>
  </w:style>
  <w:style w:type="paragraph" w:styleId="IntenseQuote">
    <w:name w:val="Intense Quote"/>
    <w:basedOn w:val="Normal"/>
    <w:next w:val="Normal"/>
    <w:link w:val="IntenseQuoteChar"/>
    <w:uiPriority w:val="30"/>
    <w:qFormat/>
    <w:rsid w:val="007526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26FE"/>
    <w:rPr>
      <w:i/>
      <w:iCs/>
      <w:color w:val="2F5496" w:themeColor="accent1" w:themeShade="BF"/>
    </w:rPr>
  </w:style>
  <w:style w:type="character" w:styleId="IntenseReference">
    <w:name w:val="Intense Reference"/>
    <w:basedOn w:val="DefaultParagraphFont"/>
    <w:uiPriority w:val="32"/>
    <w:qFormat/>
    <w:rsid w:val="007526FE"/>
    <w:rPr>
      <w:b/>
      <w:bCs/>
      <w:smallCaps/>
      <w:color w:val="2F5496" w:themeColor="accent1" w:themeShade="BF"/>
      <w:spacing w:val="5"/>
    </w:rPr>
  </w:style>
  <w:style w:type="table" w:styleId="TableGrid">
    <w:name w:val="Table Grid"/>
    <w:basedOn w:val="TableNormal"/>
    <w:uiPriority w:val="39"/>
    <w:rsid w:val="00E526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A4BB3"/>
    <w:rPr>
      <w:color w:val="0563C1" w:themeColor="hyperlink"/>
      <w:u w:val="single"/>
    </w:rPr>
  </w:style>
  <w:style w:type="character" w:customStyle="1" w:styleId="UnresolvedMention1">
    <w:name w:val="Unresolved Mention1"/>
    <w:basedOn w:val="DefaultParagraphFont"/>
    <w:uiPriority w:val="99"/>
    <w:semiHidden/>
    <w:unhideWhenUsed/>
    <w:rsid w:val="004A4BB3"/>
    <w:rPr>
      <w:color w:val="605E5C"/>
      <w:shd w:val="clear" w:color="auto" w:fill="E1DFDD"/>
    </w:rPr>
  </w:style>
  <w:style w:type="paragraph" w:styleId="BalloonText">
    <w:name w:val="Balloon Text"/>
    <w:basedOn w:val="Normal"/>
    <w:link w:val="BalloonTextChar"/>
    <w:uiPriority w:val="99"/>
    <w:semiHidden/>
    <w:unhideWhenUsed/>
    <w:rsid w:val="000D1E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E25"/>
    <w:rPr>
      <w:rFonts w:ascii="Tahoma" w:hAnsi="Tahoma" w:cs="Tahoma"/>
      <w:sz w:val="16"/>
      <w:szCs w:val="16"/>
    </w:rPr>
  </w:style>
  <w:style w:type="character" w:customStyle="1" w:styleId="UnresolvedMention">
    <w:name w:val="Unresolved Mention"/>
    <w:basedOn w:val="DefaultParagraphFont"/>
    <w:uiPriority w:val="99"/>
    <w:semiHidden/>
    <w:unhideWhenUsed/>
    <w:rsid w:val="0054625D"/>
    <w:rPr>
      <w:color w:val="605E5C"/>
      <w:shd w:val="clear" w:color="auto" w:fill="E1DFDD"/>
    </w:rPr>
  </w:style>
  <w:style w:type="paragraph" w:styleId="Header">
    <w:name w:val="header"/>
    <w:basedOn w:val="Normal"/>
    <w:link w:val="HeaderChar"/>
    <w:uiPriority w:val="99"/>
    <w:unhideWhenUsed/>
    <w:rsid w:val="00FF0C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CB3"/>
  </w:style>
  <w:style w:type="paragraph" w:styleId="Footer">
    <w:name w:val="footer"/>
    <w:basedOn w:val="Normal"/>
    <w:link w:val="FooterChar"/>
    <w:uiPriority w:val="99"/>
    <w:unhideWhenUsed/>
    <w:rsid w:val="00FF0C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CB3"/>
  </w:style>
  <w:style w:type="character" w:styleId="CommentReference">
    <w:name w:val="annotation reference"/>
    <w:basedOn w:val="DefaultParagraphFont"/>
    <w:uiPriority w:val="99"/>
    <w:semiHidden/>
    <w:unhideWhenUsed/>
    <w:rsid w:val="00091893"/>
    <w:rPr>
      <w:sz w:val="16"/>
      <w:szCs w:val="16"/>
    </w:rPr>
  </w:style>
  <w:style w:type="paragraph" w:styleId="CommentText">
    <w:name w:val="annotation text"/>
    <w:basedOn w:val="Normal"/>
    <w:link w:val="CommentTextChar"/>
    <w:uiPriority w:val="99"/>
    <w:semiHidden/>
    <w:unhideWhenUsed/>
    <w:rsid w:val="00091893"/>
    <w:pPr>
      <w:spacing w:line="240" w:lineRule="auto"/>
    </w:pPr>
    <w:rPr>
      <w:sz w:val="20"/>
      <w:szCs w:val="20"/>
      <w14:ligatures w14:val="none"/>
    </w:rPr>
  </w:style>
  <w:style w:type="character" w:customStyle="1" w:styleId="CommentTextChar">
    <w:name w:val="Comment Text Char"/>
    <w:basedOn w:val="DefaultParagraphFont"/>
    <w:link w:val="CommentText"/>
    <w:uiPriority w:val="99"/>
    <w:semiHidden/>
    <w:rsid w:val="00091893"/>
    <w:rPr>
      <w:sz w:val="20"/>
      <w:szCs w:val="20"/>
      <w14:ligatures w14:val="none"/>
    </w:rPr>
  </w:style>
  <w:style w:type="character" w:styleId="Strong">
    <w:name w:val="Strong"/>
    <w:basedOn w:val="DefaultParagraphFont"/>
    <w:uiPriority w:val="22"/>
    <w:qFormat/>
    <w:rsid w:val="00C163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08261">
      <w:bodyDiv w:val="1"/>
      <w:marLeft w:val="0"/>
      <w:marRight w:val="0"/>
      <w:marTop w:val="0"/>
      <w:marBottom w:val="0"/>
      <w:divBdr>
        <w:top w:val="none" w:sz="0" w:space="0" w:color="auto"/>
        <w:left w:val="none" w:sz="0" w:space="0" w:color="auto"/>
        <w:bottom w:val="none" w:sz="0" w:space="0" w:color="auto"/>
        <w:right w:val="none" w:sz="0" w:space="0" w:color="auto"/>
      </w:divBdr>
    </w:div>
    <w:div w:id="387415456">
      <w:bodyDiv w:val="1"/>
      <w:marLeft w:val="0"/>
      <w:marRight w:val="0"/>
      <w:marTop w:val="0"/>
      <w:marBottom w:val="0"/>
      <w:divBdr>
        <w:top w:val="none" w:sz="0" w:space="0" w:color="auto"/>
        <w:left w:val="none" w:sz="0" w:space="0" w:color="auto"/>
        <w:bottom w:val="none" w:sz="0" w:space="0" w:color="auto"/>
        <w:right w:val="none" w:sz="0" w:space="0" w:color="auto"/>
      </w:divBdr>
    </w:div>
    <w:div w:id="404954733">
      <w:bodyDiv w:val="1"/>
      <w:marLeft w:val="0"/>
      <w:marRight w:val="0"/>
      <w:marTop w:val="0"/>
      <w:marBottom w:val="0"/>
      <w:divBdr>
        <w:top w:val="none" w:sz="0" w:space="0" w:color="auto"/>
        <w:left w:val="none" w:sz="0" w:space="0" w:color="auto"/>
        <w:bottom w:val="none" w:sz="0" w:space="0" w:color="auto"/>
        <w:right w:val="none" w:sz="0" w:space="0" w:color="auto"/>
      </w:divBdr>
    </w:div>
    <w:div w:id="712464653">
      <w:bodyDiv w:val="1"/>
      <w:marLeft w:val="0"/>
      <w:marRight w:val="0"/>
      <w:marTop w:val="0"/>
      <w:marBottom w:val="0"/>
      <w:divBdr>
        <w:top w:val="none" w:sz="0" w:space="0" w:color="auto"/>
        <w:left w:val="none" w:sz="0" w:space="0" w:color="auto"/>
        <w:bottom w:val="none" w:sz="0" w:space="0" w:color="auto"/>
        <w:right w:val="none" w:sz="0" w:space="0" w:color="auto"/>
      </w:divBdr>
    </w:div>
    <w:div w:id="978076130">
      <w:bodyDiv w:val="1"/>
      <w:marLeft w:val="0"/>
      <w:marRight w:val="0"/>
      <w:marTop w:val="0"/>
      <w:marBottom w:val="0"/>
      <w:divBdr>
        <w:top w:val="none" w:sz="0" w:space="0" w:color="auto"/>
        <w:left w:val="none" w:sz="0" w:space="0" w:color="auto"/>
        <w:bottom w:val="none" w:sz="0" w:space="0" w:color="auto"/>
        <w:right w:val="none" w:sz="0" w:space="0" w:color="auto"/>
      </w:divBdr>
    </w:div>
    <w:div w:id="995112297">
      <w:bodyDiv w:val="1"/>
      <w:marLeft w:val="0"/>
      <w:marRight w:val="0"/>
      <w:marTop w:val="0"/>
      <w:marBottom w:val="0"/>
      <w:divBdr>
        <w:top w:val="none" w:sz="0" w:space="0" w:color="auto"/>
        <w:left w:val="none" w:sz="0" w:space="0" w:color="auto"/>
        <w:bottom w:val="none" w:sz="0" w:space="0" w:color="auto"/>
        <w:right w:val="none" w:sz="0" w:space="0" w:color="auto"/>
      </w:divBdr>
    </w:div>
    <w:div w:id="1196309582">
      <w:bodyDiv w:val="1"/>
      <w:marLeft w:val="0"/>
      <w:marRight w:val="0"/>
      <w:marTop w:val="0"/>
      <w:marBottom w:val="0"/>
      <w:divBdr>
        <w:top w:val="none" w:sz="0" w:space="0" w:color="auto"/>
        <w:left w:val="none" w:sz="0" w:space="0" w:color="auto"/>
        <w:bottom w:val="none" w:sz="0" w:space="0" w:color="auto"/>
        <w:right w:val="none" w:sz="0" w:space="0" w:color="auto"/>
      </w:divBdr>
    </w:div>
    <w:div w:id="1413771920">
      <w:bodyDiv w:val="1"/>
      <w:marLeft w:val="0"/>
      <w:marRight w:val="0"/>
      <w:marTop w:val="0"/>
      <w:marBottom w:val="0"/>
      <w:divBdr>
        <w:top w:val="none" w:sz="0" w:space="0" w:color="auto"/>
        <w:left w:val="none" w:sz="0" w:space="0" w:color="auto"/>
        <w:bottom w:val="none" w:sz="0" w:space="0" w:color="auto"/>
        <w:right w:val="none" w:sz="0" w:space="0" w:color="auto"/>
      </w:divBdr>
    </w:div>
    <w:div w:id="1450509836">
      <w:bodyDiv w:val="1"/>
      <w:marLeft w:val="0"/>
      <w:marRight w:val="0"/>
      <w:marTop w:val="0"/>
      <w:marBottom w:val="0"/>
      <w:divBdr>
        <w:top w:val="none" w:sz="0" w:space="0" w:color="auto"/>
        <w:left w:val="none" w:sz="0" w:space="0" w:color="auto"/>
        <w:bottom w:val="none" w:sz="0" w:space="0" w:color="auto"/>
        <w:right w:val="none" w:sz="0" w:space="0" w:color="auto"/>
      </w:divBdr>
    </w:div>
    <w:div w:id="1533424165">
      <w:bodyDiv w:val="1"/>
      <w:marLeft w:val="0"/>
      <w:marRight w:val="0"/>
      <w:marTop w:val="0"/>
      <w:marBottom w:val="0"/>
      <w:divBdr>
        <w:top w:val="none" w:sz="0" w:space="0" w:color="auto"/>
        <w:left w:val="none" w:sz="0" w:space="0" w:color="auto"/>
        <w:bottom w:val="none" w:sz="0" w:space="0" w:color="auto"/>
        <w:right w:val="none" w:sz="0" w:space="0" w:color="auto"/>
      </w:divBdr>
    </w:div>
    <w:div w:id="1559975525">
      <w:bodyDiv w:val="1"/>
      <w:marLeft w:val="0"/>
      <w:marRight w:val="0"/>
      <w:marTop w:val="0"/>
      <w:marBottom w:val="0"/>
      <w:divBdr>
        <w:top w:val="none" w:sz="0" w:space="0" w:color="auto"/>
        <w:left w:val="none" w:sz="0" w:space="0" w:color="auto"/>
        <w:bottom w:val="none" w:sz="0" w:space="0" w:color="auto"/>
        <w:right w:val="none" w:sz="0" w:space="0" w:color="auto"/>
      </w:divBdr>
    </w:div>
    <w:div w:id="1632595173">
      <w:bodyDiv w:val="1"/>
      <w:marLeft w:val="0"/>
      <w:marRight w:val="0"/>
      <w:marTop w:val="0"/>
      <w:marBottom w:val="0"/>
      <w:divBdr>
        <w:top w:val="none" w:sz="0" w:space="0" w:color="auto"/>
        <w:left w:val="none" w:sz="0" w:space="0" w:color="auto"/>
        <w:bottom w:val="none" w:sz="0" w:space="0" w:color="auto"/>
        <w:right w:val="none" w:sz="0" w:space="0" w:color="auto"/>
      </w:divBdr>
    </w:div>
    <w:div w:id="1755397764">
      <w:bodyDiv w:val="1"/>
      <w:marLeft w:val="0"/>
      <w:marRight w:val="0"/>
      <w:marTop w:val="0"/>
      <w:marBottom w:val="0"/>
      <w:divBdr>
        <w:top w:val="none" w:sz="0" w:space="0" w:color="auto"/>
        <w:left w:val="none" w:sz="0" w:space="0" w:color="auto"/>
        <w:bottom w:val="none" w:sz="0" w:space="0" w:color="auto"/>
        <w:right w:val="none" w:sz="0" w:space="0" w:color="auto"/>
      </w:divBdr>
    </w:div>
    <w:div w:id="175748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07/S40011-015-0609-7"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fao.org/docrep/012/i1318e/i1318e00" TargetMode="External"/><Relationship Id="rId17" Type="http://schemas.openxmlformats.org/officeDocument/2006/relationships/hyperlink" Target="https://doi.org/10.1186/s41936-024-00365-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38/s41586-021-03308-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16/j.sjbs.2022.01.046"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20510/ukjpb/4/i6/134657" TargetMode="External"/><Relationship Id="rId23" Type="http://schemas.openxmlformats.org/officeDocument/2006/relationships/footer" Target="footer3.xml"/><Relationship Id="rId10" Type="http://schemas.openxmlformats.org/officeDocument/2006/relationships/hyperlink" Target="https://doi.org/10.3390/ijerph18073532"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krishikosh.egranth.ac.in/handle/1/5810001684" TargetMode="Externa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https://d.docs.live.net/16877667554AE5CF/Documents/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0" i="0" u="none" strike="noStrike" baseline="0">
                <a:effectLst/>
              </a:rPr>
              <a:t>Overall Growth parameters </a:t>
            </a:r>
            <a:endParaRPr lang="en-IN"/>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[Book1.xlsx]Sheet1!$A$2</c:f>
              <c:strCache>
                <c:ptCount val="1"/>
                <c:pt idx="0">
                  <c:v>T0</c:v>
                </c:pt>
              </c:strCache>
            </c:strRef>
          </c:tx>
          <c:spPr>
            <a:solidFill>
              <a:schemeClr val="accent1"/>
            </a:solidFill>
            <a:ln>
              <a:noFill/>
            </a:ln>
            <a:effectLst/>
            <a:sp3d/>
          </c:spPr>
          <c:invertIfNegative val="0"/>
          <c:dLbls>
            <c:dLbl>
              <c:idx val="0"/>
              <c:tx>
                <c:rich>
                  <a:bodyPr/>
                  <a:lstStyle/>
                  <a:p>
                    <a:r>
                      <a:rPr lang="en-US"/>
                      <a:t>a</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12E4-4883-852D-22370690BAE6}"/>
                </c:ext>
                <c:ext xmlns:c15="http://schemas.microsoft.com/office/drawing/2012/chart" uri="{CE6537A1-D6FC-4f65-9D91-7224C49458BB}"/>
              </c:extLst>
            </c:dLbl>
            <c:dLbl>
              <c:idx val="1"/>
              <c:tx>
                <c:rich>
                  <a:bodyPr/>
                  <a:lstStyle/>
                  <a:p>
                    <a:r>
                      <a:rPr lang="en-US"/>
                      <a:t>a</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12E4-4883-852D-22370690BAE6}"/>
                </c:ext>
                <c:ext xmlns:c15="http://schemas.microsoft.com/office/drawing/2012/chart" uri="{CE6537A1-D6FC-4f65-9D91-7224C49458BB}"/>
              </c:extLst>
            </c:dLbl>
            <c:dLbl>
              <c:idx val="2"/>
              <c:tx>
                <c:rich>
                  <a:bodyPr/>
                  <a:lstStyle/>
                  <a:p>
                    <a:r>
                      <a:rPr lang="en-US"/>
                      <a:t>a</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12E4-4883-852D-22370690BAE6}"/>
                </c:ext>
                <c:ext xmlns:c15="http://schemas.microsoft.com/office/drawing/2012/chart" uri="{CE6537A1-D6FC-4f65-9D91-7224C49458BB}"/>
              </c:extLst>
            </c:dLbl>
            <c:dLbl>
              <c:idx val="3"/>
              <c:tx>
                <c:rich>
                  <a:bodyPr/>
                  <a:lstStyle/>
                  <a:p>
                    <a:r>
                      <a:rPr lang="en-US"/>
                      <a:t>d</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12E4-4883-852D-22370690BAE6}"/>
                </c:ext>
                <c:ext xmlns:c15="http://schemas.microsoft.com/office/drawing/2012/chart" uri="{CE6537A1-D6FC-4f65-9D91-7224C49458BB}"/>
              </c:extLst>
            </c:dLbl>
            <c:dLbl>
              <c:idx val="4"/>
              <c:tx>
                <c:rich>
                  <a:bodyPr/>
                  <a:lstStyle/>
                  <a:p>
                    <a:r>
                      <a:rPr lang="en-US"/>
                      <a:t>a</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12E4-4883-852D-22370690BAE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[Book1.xlsx]Sheet1!$B$1:$F$1</c:f>
              <c:strCache>
                <c:ptCount val="5"/>
                <c:pt idx="0">
                  <c:v>NWG</c:v>
                </c:pt>
                <c:pt idx="1">
                  <c:v>PWG</c:v>
                </c:pt>
                <c:pt idx="2">
                  <c:v>SGR</c:v>
                </c:pt>
                <c:pt idx="3">
                  <c:v>FCR</c:v>
                </c:pt>
                <c:pt idx="4">
                  <c:v>NLG</c:v>
                </c:pt>
              </c:strCache>
            </c:strRef>
          </c:cat>
          <c:val>
            <c:numRef>
              <c:f>[Book1.xlsx]Sheet1!$B$2:$F$2</c:f>
              <c:numCache>
                <c:formatCode>General</c:formatCode>
                <c:ptCount val="5"/>
                <c:pt idx="0">
                  <c:v>18.2</c:v>
                </c:pt>
                <c:pt idx="1">
                  <c:v>35.81</c:v>
                </c:pt>
                <c:pt idx="2">
                  <c:v>0.68</c:v>
                </c:pt>
                <c:pt idx="3">
                  <c:v>4.16</c:v>
                </c:pt>
                <c:pt idx="4">
                  <c:v>6.1</c:v>
                </c:pt>
              </c:numCache>
            </c:numRef>
          </c:val>
          <c:extLst xmlns:c16r2="http://schemas.microsoft.com/office/drawing/2015/06/chart">
            <c:ext xmlns:c16="http://schemas.microsoft.com/office/drawing/2014/chart" uri="{C3380CC4-5D6E-409C-BE32-E72D297353CC}">
              <c16:uniqueId val="{00000005-12E4-4883-852D-22370690BAE6}"/>
            </c:ext>
          </c:extLst>
        </c:ser>
        <c:ser>
          <c:idx val="1"/>
          <c:order val="1"/>
          <c:tx>
            <c:strRef>
              <c:f>[Book1.xlsx]Sheet1!$A$3</c:f>
              <c:strCache>
                <c:ptCount val="1"/>
                <c:pt idx="0">
                  <c:v>T1</c:v>
                </c:pt>
              </c:strCache>
            </c:strRef>
          </c:tx>
          <c:spPr>
            <a:solidFill>
              <a:schemeClr val="accent2"/>
            </a:solidFill>
            <a:ln>
              <a:noFill/>
            </a:ln>
            <a:effectLst/>
            <a:sp3d/>
          </c:spPr>
          <c:invertIfNegative val="0"/>
          <c:dLbls>
            <c:dLbl>
              <c:idx val="0"/>
              <c:tx>
                <c:rich>
                  <a:bodyPr/>
                  <a:lstStyle/>
                  <a:p>
                    <a:r>
                      <a:rPr lang="en-US"/>
                      <a:t>d</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12E4-4883-852D-22370690BAE6}"/>
                </c:ext>
                <c:ext xmlns:c15="http://schemas.microsoft.com/office/drawing/2012/chart" uri="{CE6537A1-D6FC-4f65-9D91-7224C49458BB}"/>
              </c:extLst>
            </c:dLbl>
            <c:dLbl>
              <c:idx val="1"/>
              <c:tx>
                <c:rich>
                  <a:bodyPr/>
                  <a:lstStyle/>
                  <a:p>
                    <a:r>
                      <a:rPr lang="en-US"/>
                      <a:t>d</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12E4-4883-852D-22370690BAE6}"/>
                </c:ext>
                <c:ext xmlns:c15="http://schemas.microsoft.com/office/drawing/2012/chart" uri="{CE6537A1-D6FC-4f65-9D91-7224C49458BB}"/>
              </c:extLst>
            </c:dLbl>
            <c:dLbl>
              <c:idx val="2"/>
              <c:tx>
                <c:rich>
                  <a:bodyPr/>
                  <a:lstStyle/>
                  <a:p>
                    <a:r>
                      <a:rPr lang="en-US"/>
                      <a:t>d</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12E4-4883-852D-22370690BAE6}"/>
                </c:ext>
                <c:ext xmlns:c15="http://schemas.microsoft.com/office/drawing/2012/chart" uri="{CE6537A1-D6FC-4f65-9D91-7224C49458BB}"/>
              </c:extLst>
            </c:dLbl>
            <c:dLbl>
              <c:idx val="3"/>
              <c:tx>
                <c:rich>
                  <a:bodyPr/>
                  <a:lstStyle/>
                  <a:p>
                    <a:r>
                      <a:rPr lang="en-US"/>
                      <a:t>a</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12E4-4883-852D-22370690BAE6}"/>
                </c:ext>
                <c:ext xmlns:c15="http://schemas.microsoft.com/office/drawing/2012/chart" uri="{CE6537A1-D6FC-4f65-9D91-7224C49458BB}"/>
              </c:extLst>
            </c:dLbl>
            <c:dLbl>
              <c:idx val="4"/>
              <c:tx>
                <c:rich>
                  <a:bodyPr/>
                  <a:lstStyle/>
                  <a:p>
                    <a:r>
                      <a:rPr lang="en-US"/>
                      <a:t>a</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12E4-4883-852D-22370690BAE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[Book1.xlsx]Sheet1!$B$1:$F$1</c:f>
              <c:strCache>
                <c:ptCount val="5"/>
                <c:pt idx="0">
                  <c:v>NWG</c:v>
                </c:pt>
                <c:pt idx="1">
                  <c:v>PWG</c:v>
                </c:pt>
                <c:pt idx="2">
                  <c:v>SGR</c:v>
                </c:pt>
                <c:pt idx="3">
                  <c:v>FCR</c:v>
                </c:pt>
                <c:pt idx="4">
                  <c:v>NLG</c:v>
                </c:pt>
              </c:strCache>
            </c:strRef>
          </c:cat>
          <c:val>
            <c:numRef>
              <c:f>[Book1.xlsx]Sheet1!$B$3:$F$3</c:f>
              <c:numCache>
                <c:formatCode>General</c:formatCode>
                <c:ptCount val="5"/>
                <c:pt idx="0">
                  <c:v>32.200000000000003</c:v>
                </c:pt>
                <c:pt idx="1">
                  <c:v>61.64</c:v>
                </c:pt>
                <c:pt idx="2">
                  <c:v>1.0669999999999999</c:v>
                </c:pt>
                <c:pt idx="3">
                  <c:v>2.62</c:v>
                </c:pt>
                <c:pt idx="4">
                  <c:v>8.8800000000000008</c:v>
                </c:pt>
              </c:numCache>
            </c:numRef>
          </c:val>
          <c:extLst xmlns:c16r2="http://schemas.microsoft.com/office/drawing/2015/06/chart">
            <c:ext xmlns:c16="http://schemas.microsoft.com/office/drawing/2014/chart" uri="{C3380CC4-5D6E-409C-BE32-E72D297353CC}">
              <c16:uniqueId val="{0000000B-12E4-4883-852D-22370690BAE6}"/>
            </c:ext>
          </c:extLst>
        </c:ser>
        <c:ser>
          <c:idx val="2"/>
          <c:order val="2"/>
          <c:tx>
            <c:strRef>
              <c:f>[Book1.xlsx]Sheet1!$A$4</c:f>
              <c:strCache>
                <c:ptCount val="1"/>
                <c:pt idx="0">
                  <c:v>T2</c:v>
                </c:pt>
              </c:strCache>
            </c:strRef>
          </c:tx>
          <c:spPr>
            <a:solidFill>
              <a:schemeClr val="accent3"/>
            </a:solidFill>
            <a:ln>
              <a:noFill/>
            </a:ln>
            <a:effectLst/>
            <a:sp3d/>
          </c:spPr>
          <c:invertIfNegative val="0"/>
          <c:dLbls>
            <c:dLbl>
              <c:idx val="0"/>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c</a:t>
                    </a:r>
                  </a:p>
                </c:rich>
              </c:tx>
              <c:spPr>
                <a:noFill/>
                <a:ln>
                  <a:noFill/>
                </a:ln>
                <a:effectLst/>
              </c:sp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12E4-4883-852D-22370690BAE6}"/>
                </c:ext>
                <c:ext xmlns:c15="http://schemas.microsoft.com/office/drawing/2012/chart" uri="{CE6537A1-D6FC-4f65-9D91-7224C49458BB}">
                  <c15:spPr xmlns:c15="http://schemas.microsoft.com/office/drawing/2012/chart">
                    <a:prstGeom prst="rect">
                      <a:avLst/>
                    </a:prstGeom>
                  </c15:spPr>
                </c:ext>
              </c:extLst>
            </c:dLbl>
            <c:dLbl>
              <c:idx val="1"/>
              <c:tx>
                <c:rich>
                  <a:bodyPr/>
                  <a:lstStyle/>
                  <a:p>
                    <a:r>
                      <a:rPr lang="en-US"/>
                      <a:t>c</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12E4-4883-852D-22370690BAE6}"/>
                </c:ext>
                <c:ext xmlns:c15="http://schemas.microsoft.com/office/drawing/2012/chart" uri="{CE6537A1-D6FC-4f65-9D91-7224C49458BB}"/>
              </c:extLst>
            </c:dLbl>
            <c:dLbl>
              <c:idx val="2"/>
              <c:tx>
                <c:rich>
                  <a:bodyPr/>
                  <a:lstStyle/>
                  <a:p>
                    <a:r>
                      <a:rPr lang="en-US"/>
                      <a:t>cb</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12E4-4883-852D-22370690BAE6}"/>
                </c:ext>
                <c:ext xmlns:c15="http://schemas.microsoft.com/office/drawing/2012/chart" uri="{CE6537A1-D6FC-4f65-9D91-7224C49458BB}"/>
              </c:extLst>
            </c:dLbl>
            <c:dLbl>
              <c:idx val="3"/>
              <c:tx>
                <c:rich>
                  <a:bodyPr/>
                  <a:lstStyle/>
                  <a:p>
                    <a:r>
                      <a:rPr lang="en-US"/>
                      <a:t>b</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12E4-4883-852D-22370690BAE6}"/>
                </c:ext>
                <c:ext xmlns:c15="http://schemas.microsoft.com/office/drawing/2012/chart" uri="{CE6537A1-D6FC-4f65-9D91-7224C49458BB}"/>
              </c:extLst>
            </c:dLbl>
            <c:dLbl>
              <c:idx val="4"/>
              <c:tx>
                <c:rich>
                  <a:bodyPr/>
                  <a:lstStyle/>
                  <a:p>
                    <a:r>
                      <a:rPr lang="en-US"/>
                      <a:t>a</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12E4-4883-852D-22370690BAE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[Book1.xlsx]Sheet1!$B$1:$F$1</c:f>
              <c:strCache>
                <c:ptCount val="5"/>
                <c:pt idx="0">
                  <c:v>NWG</c:v>
                </c:pt>
                <c:pt idx="1">
                  <c:v>PWG</c:v>
                </c:pt>
                <c:pt idx="2">
                  <c:v>SGR</c:v>
                </c:pt>
                <c:pt idx="3">
                  <c:v>FCR</c:v>
                </c:pt>
                <c:pt idx="4">
                  <c:v>NLG</c:v>
                </c:pt>
              </c:strCache>
            </c:strRef>
          </c:cat>
          <c:val>
            <c:numRef>
              <c:f>[Book1.xlsx]Sheet1!$B$4:$F$4</c:f>
              <c:numCache>
                <c:formatCode>General</c:formatCode>
                <c:ptCount val="5"/>
                <c:pt idx="0">
                  <c:v>23.9</c:v>
                </c:pt>
                <c:pt idx="1">
                  <c:v>48.09</c:v>
                </c:pt>
                <c:pt idx="2">
                  <c:v>0.873</c:v>
                </c:pt>
                <c:pt idx="3">
                  <c:v>3.17</c:v>
                </c:pt>
                <c:pt idx="4">
                  <c:v>6.78</c:v>
                </c:pt>
              </c:numCache>
            </c:numRef>
          </c:val>
          <c:extLst xmlns:c16r2="http://schemas.microsoft.com/office/drawing/2015/06/chart">
            <c:ext xmlns:c16="http://schemas.microsoft.com/office/drawing/2014/chart" uri="{C3380CC4-5D6E-409C-BE32-E72D297353CC}">
              <c16:uniqueId val="{00000011-12E4-4883-852D-22370690BAE6}"/>
            </c:ext>
          </c:extLst>
        </c:ser>
        <c:ser>
          <c:idx val="3"/>
          <c:order val="3"/>
          <c:tx>
            <c:strRef>
              <c:f>[Book1.xlsx]Sheet1!$A$5</c:f>
              <c:strCache>
                <c:ptCount val="1"/>
                <c:pt idx="0">
                  <c:v>T3</c:v>
                </c:pt>
              </c:strCache>
            </c:strRef>
          </c:tx>
          <c:spPr>
            <a:solidFill>
              <a:schemeClr val="accent4"/>
            </a:solidFill>
            <a:ln>
              <a:noFill/>
            </a:ln>
            <a:effectLst/>
            <a:sp3d/>
          </c:spPr>
          <c:invertIfNegative val="0"/>
          <c:dLbls>
            <c:dLbl>
              <c:idx val="0"/>
              <c:tx>
                <c:rich>
                  <a:bodyPr/>
                  <a:lstStyle/>
                  <a:p>
                    <a:r>
                      <a:rPr lang="en-US"/>
                      <a:t>b</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12E4-4883-852D-22370690BAE6}"/>
                </c:ext>
                <c:ext xmlns:c15="http://schemas.microsoft.com/office/drawing/2012/chart" uri="{CE6537A1-D6FC-4f65-9D91-7224C49458BB}"/>
              </c:extLst>
            </c:dLbl>
            <c:dLbl>
              <c:idx val="1"/>
              <c:tx>
                <c:rich>
                  <a:bodyPr/>
                  <a:lstStyle/>
                  <a:p>
                    <a:r>
                      <a:rPr lang="en-US"/>
                      <a:t>b</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12E4-4883-852D-22370690BAE6}"/>
                </c:ext>
                <c:ext xmlns:c15="http://schemas.microsoft.com/office/drawing/2012/chart" uri="{CE6537A1-D6FC-4f65-9D91-7224C49458BB}"/>
              </c:extLst>
            </c:dLbl>
            <c:dLbl>
              <c:idx val="2"/>
              <c:tx>
                <c:rich>
                  <a:bodyPr/>
                  <a:lstStyle/>
                  <a:p>
                    <a:r>
                      <a:rPr lang="en-US"/>
                      <a:t>b</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12E4-4883-852D-22370690BAE6}"/>
                </c:ext>
                <c:ext xmlns:c15="http://schemas.microsoft.com/office/drawing/2012/chart" uri="{CE6537A1-D6FC-4f65-9D91-7224C49458BB}"/>
              </c:extLst>
            </c:dLbl>
            <c:dLbl>
              <c:idx val="3"/>
              <c:tx>
                <c:rich>
                  <a:bodyPr/>
                  <a:lstStyle/>
                  <a:p>
                    <a:r>
                      <a:rPr lang="en-US"/>
                      <a:t>c</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12E4-4883-852D-22370690BAE6}"/>
                </c:ext>
                <c:ext xmlns:c15="http://schemas.microsoft.com/office/drawing/2012/chart" uri="{CE6537A1-D6FC-4f65-9D91-7224C49458BB}"/>
              </c:extLst>
            </c:dLbl>
            <c:dLbl>
              <c:idx val="4"/>
              <c:tx>
                <c:rich>
                  <a:bodyPr/>
                  <a:lstStyle/>
                  <a:p>
                    <a:r>
                      <a:rPr lang="en-US"/>
                      <a:t>a</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12E4-4883-852D-22370690BAE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[Book1.xlsx]Sheet1!$B$1:$F$1</c:f>
              <c:strCache>
                <c:ptCount val="5"/>
                <c:pt idx="0">
                  <c:v>NWG</c:v>
                </c:pt>
                <c:pt idx="1">
                  <c:v>PWG</c:v>
                </c:pt>
                <c:pt idx="2">
                  <c:v>SGR</c:v>
                </c:pt>
                <c:pt idx="3">
                  <c:v>FCR</c:v>
                </c:pt>
                <c:pt idx="4">
                  <c:v>NLG</c:v>
                </c:pt>
              </c:strCache>
            </c:strRef>
          </c:cat>
          <c:val>
            <c:numRef>
              <c:f>[Book1.xlsx]Sheet1!$B$5:$F$5</c:f>
              <c:numCache>
                <c:formatCode>General</c:formatCode>
                <c:ptCount val="5"/>
                <c:pt idx="0">
                  <c:v>20.3</c:v>
                </c:pt>
                <c:pt idx="1">
                  <c:v>41.51</c:v>
                </c:pt>
                <c:pt idx="2">
                  <c:v>0.77200000000000002</c:v>
                </c:pt>
                <c:pt idx="3">
                  <c:v>3.68</c:v>
                </c:pt>
                <c:pt idx="4">
                  <c:v>6.2</c:v>
                </c:pt>
              </c:numCache>
            </c:numRef>
          </c:val>
          <c:extLst xmlns:c16r2="http://schemas.microsoft.com/office/drawing/2015/06/chart">
            <c:ext xmlns:c16="http://schemas.microsoft.com/office/drawing/2014/chart" uri="{C3380CC4-5D6E-409C-BE32-E72D297353CC}">
              <c16:uniqueId val="{00000017-12E4-4883-852D-22370690BAE6}"/>
            </c:ext>
          </c:extLst>
        </c:ser>
        <c:dLbls>
          <c:showLegendKey val="0"/>
          <c:showVal val="1"/>
          <c:showCatName val="0"/>
          <c:showSerName val="0"/>
          <c:showPercent val="0"/>
          <c:showBubbleSize val="0"/>
        </c:dLbls>
        <c:gapWidth val="150"/>
        <c:shape val="box"/>
        <c:axId val="227837440"/>
        <c:axId val="227838976"/>
        <c:axId val="0"/>
      </c:bar3DChart>
      <c:catAx>
        <c:axId val="2278374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7838976"/>
        <c:crosses val="autoZero"/>
        <c:auto val="1"/>
        <c:lblAlgn val="ctr"/>
        <c:lblOffset val="100"/>
        <c:noMultiLvlLbl val="0"/>
      </c:catAx>
      <c:valAx>
        <c:axId val="227838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7837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EDE56-A2AA-4C9C-9E8D-44D233C5D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8</Pages>
  <Words>2764</Words>
  <Characters>15755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Moda Ngilyang</dc:creator>
  <cp:keywords/>
  <dc:description/>
  <cp:lastModifiedBy>Dr. M.K Yadav</cp:lastModifiedBy>
  <cp:revision>43</cp:revision>
  <dcterms:created xsi:type="dcterms:W3CDTF">2025-05-30T08:31:00Z</dcterms:created>
  <dcterms:modified xsi:type="dcterms:W3CDTF">2025-06-20T10:20:00Z</dcterms:modified>
</cp:coreProperties>
</file>