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EE0" w:rsidRPr="003C1EE0" w:rsidRDefault="003C1EE0" w:rsidP="003C1EE0">
      <w:pPr>
        <w:spacing w:before="100" w:beforeAutospacing="1" w:after="100" w:afterAutospacing="1" w:line="240" w:lineRule="auto"/>
        <w:outlineLvl w:val="0"/>
        <w:rPr>
          <w:rFonts w:ascii="Arial" w:eastAsia="Times New Roman" w:hAnsi="Arial" w:cs="Arial"/>
          <w:b/>
          <w:bCs/>
          <w:kern w:val="36"/>
          <w:sz w:val="24"/>
          <w:szCs w:val="24"/>
          <w:u w:val="single"/>
          <w:lang w:eastAsia="en-IN"/>
        </w:rPr>
      </w:pPr>
      <w:r w:rsidRPr="003C1EE0">
        <w:rPr>
          <w:rFonts w:ascii="Arial" w:eastAsia="Times New Roman" w:hAnsi="Arial" w:cs="Arial"/>
          <w:b/>
          <w:bCs/>
          <w:kern w:val="36"/>
          <w:sz w:val="24"/>
          <w:szCs w:val="24"/>
          <w:u w:val="single"/>
          <w:lang w:eastAsia="en-IN"/>
        </w:rPr>
        <w:t>Original Research Article</w:t>
      </w:r>
    </w:p>
    <w:p w:rsidR="00193242" w:rsidRPr="00F8233C" w:rsidRDefault="00193242" w:rsidP="006C761B">
      <w:pPr>
        <w:spacing w:before="100" w:beforeAutospacing="1" w:after="100" w:afterAutospacing="1" w:line="240" w:lineRule="auto"/>
        <w:jc w:val="center"/>
        <w:outlineLvl w:val="0"/>
        <w:rPr>
          <w:rFonts w:ascii="Arial" w:eastAsia="Times New Roman" w:hAnsi="Arial" w:cs="Arial"/>
          <w:b/>
          <w:bCs/>
          <w:kern w:val="36"/>
          <w:sz w:val="36"/>
          <w:szCs w:val="36"/>
          <w:lang w:eastAsia="en-IN"/>
        </w:rPr>
      </w:pPr>
      <w:r w:rsidRPr="00F8233C">
        <w:rPr>
          <w:rFonts w:ascii="Arial" w:eastAsia="Times New Roman" w:hAnsi="Arial" w:cs="Arial"/>
          <w:b/>
          <w:bCs/>
          <w:kern w:val="36"/>
          <w:sz w:val="36"/>
          <w:szCs w:val="36"/>
          <w:lang w:eastAsia="en-IN"/>
        </w:rPr>
        <w:t>Effect of Mango Leaf Meal as Supplementary Feed on Growth Parameters of Rohu (</w:t>
      </w:r>
      <w:proofErr w:type="spellStart"/>
      <w:r w:rsidRPr="00F8233C">
        <w:rPr>
          <w:rFonts w:ascii="Arial" w:eastAsia="Times New Roman" w:hAnsi="Arial" w:cs="Arial"/>
          <w:b/>
          <w:bCs/>
          <w:i/>
          <w:iCs/>
          <w:kern w:val="36"/>
          <w:sz w:val="36"/>
          <w:szCs w:val="36"/>
          <w:lang w:eastAsia="en-IN"/>
        </w:rPr>
        <w:t>Labeo</w:t>
      </w:r>
      <w:proofErr w:type="spellEnd"/>
      <w:r w:rsidRPr="00F8233C">
        <w:rPr>
          <w:rFonts w:ascii="Arial" w:eastAsia="Times New Roman" w:hAnsi="Arial" w:cs="Arial"/>
          <w:b/>
          <w:bCs/>
          <w:i/>
          <w:iCs/>
          <w:kern w:val="36"/>
          <w:sz w:val="36"/>
          <w:szCs w:val="36"/>
          <w:lang w:eastAsia="en-IN"/>
        </w:rPr>
        <w:t xml:space="preserve"> </w:t>
      </w:r>
      <w:proofErr w:type="spellStart"/>
      <w:r w:rsidRPr="00F8233C">
        <w:rPr>
          <w:rFonts w:ascii="Arial" w:eastAsia="Times New Roman" w:hAnsi="Arial" w:cs="Arial"/>
          <w:b/>
          <w:bCs/>
          <w:i/>
          <w:iCs/>
          <w:kern w:val="36"/>
          <w:sz w:val="36"/>
          <w:szCs w:val="36"/>
          <w:lang w:eastAsia="en-IN"/>
        </w:rPr>
        <w:t>rohita</w:t>
      </w:r>
      <w:proofErr w:type="spellEnd"/>
      <w:r w:rsidRPr="00F8233C">
        <w:rPr>
          <w:rFonts w:ascii="Arial" w:eastAsia="Times New Roman" w:hAnsi="Arial" w:cs="Arial"/>
          <w:b/>
          <w:bCs/>
          <w:kern w:val="36"/>
          <w:sz w:val="36"/>
          <w:szCs w:val="36"/>
          <w:lang w:eastAsia="en-IN"/>
        </w:rPr>
        <w:t>) Fingerlings</w:t>
      </w:r>
      <w:bookmarkStart w:id="0" w:name="_GoBack"/>
      <w:bookmarkEnd w:id="0"/>
    </w:p>
    <w:p w:rsidR="00D41532" w:rsidRDefault="00D41532" w:rsidP="00F415A9">
      <w:pPr>
        <w:spacing w:before="100" w:beforeAutospacing="1" w:after="100" w:afterAutospacing="1" w:line="240" w:lineRule="auto"/>
        <w:jc w:val="both"/>
        <w:outlineLvl w:val="1"/>
        <w:rPr>
          <w:rFonts w:ascii="Arial" w:eastAsia="Times New Roman" w:hAnsi="Arial" w:cs="Arial"/>
          <w:b/>
          <w:bCs/>
          <w:lang w:eastAsia="en-IN"/>
        </w:rPr>
      </w:pPr>
    </w:p>
    <w:p w:rsidR="00F415A9" w:rsidRDefault="00193242" w:rsidP="00F415A9">
      <w:pPr>
        <w:spacing w:before="100" w:beforeAutospacing="1" w:after="100" w:afterAutospacing="1" w:line="240" w:lineRule="auto"/>
        <w:jc w:val="both"/>
        <w:outlineLvl w:val="1"/>
        <w:rPr>
          <w:rFonts w:ascii="Arial" w:eastAsia="Times New Roman" w:hAnsi="Arial" w:cs="Arial"/>
          <w:b/>
          <w:bCs/>
          <w:lang w:eastAsia="en-IN"/>
        </w:rPr>
      </w:pPr>
      <w:r w:rsidRPr="00F415A9">
        <w:rPr>
          <w:rFonts w:ascii="Arial" w:eastAsia="Times New Roman" w:hAnsi="Arial" w:cs="Arial"/>
          <w:b/>
          <w:bCs/>
          <w:lang w:eastAsia="en-IN"/>
        </w:rPr>
        <w:t>Abstract</w:t>
      </w:r>
      <w:r w:rsidR="00F415A9">
        <w:rPr>
          <w:rFonts w:ascii="Arial" w:eastAsia="Times New Roman" w:hAnsi="Arial" w:cs="Arial"/>
          <w:b/>
          <w:bCs/>
          <w:lang w:eastAsia="en-IN"/>
        </w:rPr>
        <w:t>:</w:t>
      </w:r>
    </w:p>
    <w:p w:rsidR="00193242" w:rsidRPr="00DC792A" w:rsidRDefault="00DC792A" w:rsidP="00F415A9">
      <w:pPr>
        <w:spacing w:before="100" w:beforeAutospacing="1" w:after="100" w:afterAutospacing="1" w:line="240" w:lineRule="auto"/>
        <w:jc w:val="both"/>
        <w:outlineLvl w:val="1"/>
        <w:rPr>
          <w:rFonts w:ascii="Arial" w:eastAsia="Times New Roman" w:hAnsi="Arial" w:cs="Arial"/>
          <w:b/>
          <w:bCs/>
          <w:lang w:eastAsia="en-IN"/>
        </w:rPr>
      </w:pPr>
      <w:r w:rsidRPr="00DC792A">
        <w:rPr>
          <w:rFonts w:ascii="Arial" w:eastAsia="Times New Roman" w:hAnsi="Arial" w:cs="Arial"/>
          <w:sz w:val="20"/>
          <w:szCs w:val="20"/>
          <w:highlight w:val="yellow"/>
          <w:lang w:eastAsia="en-IN"/>
        </w:rPr>
        <w:t>The incorporation of different feed ingredients in fish diets contributes to protein sparing while improving palatability and energy utilization.</w:t>
      </w:r>
      <w:r w:rsidRPr="00DC792A">
        <w:rPr>
          <w:rFonts w:ascii="Arial" w:eastAsia="Times New Roman" w:hAnsi="Arial" w:cs="Arial"/>
          <w:sz w:val="20"/>
          <w:szCs w:val="20"/>
          <w:lang w:eastAsia="en-IN"/>
        </w:rPr>
        <w:t xml:space="preserve"> </w:t>
      </w:r>
      <w:r w:rsidRPr="00DC792A">
        <w:rPr>
          <w:rFonts w:ascii="Arial" w:eastAsia="Times New Roman" w:hAnsi="Arial" w:cs="Arial"/>
          <w:sz w:val="20"/>
          <w:szCs w:val="20"/>
          <w:highlight w:val="yellow"/>
          <w:lang w:eastAsia="en-IN"/>
        </w:rPr>
        <w:t>The present study was conducted to evaluate the effect of mango leaf meal as supplementary feed on growth parameters of rohu (</w:t>
      </w:r>
      <w:proofErr w:type="spellStart"/>
      <w:r w:rsidRPr="00DC792A">
        <w:rPr>
          <w:rFonts w:ascii="Arial" w:eastAsia="Times New Roman" w:hAnsi="Arial" w:cs="Arial"/>
          <w:i/>
          <w:sz w:val="20"/>
          <w:szCs w:val="20"/>
          <w:highlight w:val="yellow"/>
          <w:lang w:eastAsia="en-IN"/>
        </w:rPr>
        <w:t>Labeo</w:t>
      </w:r>
      <w:proofErr w:type="spellEnd"/>
      <w:r w:rsidRPr="00DC792A">
        <w:rPr>
          <w:rFonts w:ascii="Arial" w:eastAsia="Times New Roman" w:hAnsi="Arial" w:cs="Arial"/>
          <w:i/>
          <w:sz w:val="20"/>
          <w:szCs w:val="20"/>
          <w:highlight w:val="yellow"/>
          <w:lang w:eastAsia="en-IN"/>
        </w:rPr>
        <w:t xml:space="preserve"> </w:t>
      </w:r>
      <w:proofErr w:type="spellStart"/>
      <w:r w:rsidRPr="00DC792A">
        <w:rPr>
          <w:rFonts w:ascii="Arial" w:eastAsia="Times New Roman" w:hAnsi="Arial" w:cs="Arial"/>
          <w:i/>
          <w:sz w:val="20"/>
          <w:szCs w:val="20"/>
          <w:highlight w:val="yellow"/>
          <w:lang w:eastAsia="en-IN"/>
        </w:rPr>
        <w:t>rohita</w:t>
      </w:r>
      <w:proofErr w:type="spellEnd"/>
      <w:r w:rsidRPr="00DC792A">
        <w:rPr>
          <w:rFonts w:ascii="Arial" w:eastAsia="Times New Roman" w:hAnsi="Arial" w:cs="Arial"/>
          <w:sz w:val="20"/>
          <w:szCs w:val="20"/>
          <w:highlight w:val="yellow"/>
          <w:lang w:eastAsia="en-IN"/>
        </w:rPr>
        <w:t>) fingerlings at different inclusion levels.</w:t>
      </w:r>
      <w:r>
        <w:rPr>
          <w:rFonts w:ascii="Arial" w:eastAsia="Times New Roman" w:hAnsi="Arial" w:cs="Arial"/>
          <w:sz w:val="20"/>
          <w:szCs w:val="20"/>
          <w:lang w:eastAsia="en-IN"/>
        </w:rPr>
        <w:t xml:space="preserve"> </w:t>
      </w:r>
      <w:proofErr w:type="spellStart"/>
      <w:r w:rsidR="00193242" w:rsidRPr="00BB0878">
        <w:rPr>
          <w:rFonts w:ascii="Arial" w:eastAsia="Times New Roman" w:hAnsi="Arial" w:cs="Arial"/>
          <w:sz w:val="20"/>
          <w:szCs w:val="20"/>
          <w:lang w:eastAsia="en-IN"/>
        </w:rPr>
        <w:t>A</w:t>
      </w:r>
      <w:proofErr w:type="spellEnd"/>
      <w:r w:rsidR="00193242" w:rsidRPr="00BB0878">
        <w:rPr>
          <w:rFonts w:ascii="Arial" w:eastAsia="Times New Roman" w:hAnsi="Arial" w:cs="Arial"/>
          <w:sz w:val="20"/>
          <w:szCs w:val="20"/>
          <w:lang w:eastAsia="en-IN"/>
        </w:rPr>
        <w:t>n experiment was conducted to evaluate the effect of mango leaf meal (MLM) as supplementary feed on growth parameters of rohu (</w:t>
      </w:r>
      <w:proofErr w:type="spellStart"/>
      <w:r w:rsidR="00193242" w:rsidRPr="00BB0878">
        <w:rPr>
          <w:rFonts w:ascii="Arial" w:eastAsia="Times New Roman" w:hAnsi="Arial" w:cs="Arial"/>
          <w:i/>
          <w:iCs/>
          <w:sz w:val="20"/>
          <w:szCs w:val="20"/>
          <w:lang w:eastAsia="en-IN"/>
        </w:rPr>
        <w:t>Labeo</w:t>
      </w:r>
      <w:proofErr w:type="spellEnd"/>
      <w:r w:rsidR="00193242" w:rsidRPr="00BB0878">
        <w:rPr>
          <w:rFonts w:ascii="Arial" w:eastAsia="Times New Roman" w:hAnsi="Arial" w:cs="Arial"/>
          <w:i/>
          <w:iCs/>
          <w:sz w:val="20"/>
          <w:szCs w:val="20"/>
          <w:lang w:eastAsia="en-IN"/>
        </w:rPr>
        <w:t xml:space="preserve"> </w:t>
      </w:r>
      <w:proofErr w:type="spellStart"/>
      <w:r w:rsidR="00193242" w:rsidRPr="00BB0878">
        <w:rPr>
          <w:rFonts w:ascii="Arial" w:eastAsia="Times New Roman" w:hAnsi="Arial" w:cs="Arial"/>
          <w:i/>
          <w:iCs/>
          <w:sz w:val="20"/>
          <w:szCs w:val="20"/>
          <w:lang w:eastAsia="en-IN"/>
        </w:rPr>
        <w:t>rohita</w:t>
      </w:r>
      <w:proofErr w:type="spellEnd"/>
      <w:r w:rsidR="00193242" w:rsidRPr="00BB0878">
        <w:rPr>
          <w:rFonts w:ascii="Arial" w:eastAsia="Times New Roman" w:hAnsi="Arial" w:cs="Arial"/>
          <w:sz w:val="20"/>
          <w:szCs w:val="20"/>
          <w:lang w:eastAsia="en-IN"/>
        </w:rPr>
        <w:t>) fingerlings. Four different concentrations of MLM were incorporated into the basal diet at 2%, 4%, 8%, and 16% levels. The experiment was conducted for 60 days using a completely randomized design with triplicate treatments. Results showed that MLM supplementation significantly improved fish growth parameters while maintaining optimal water quality conditions across all treatments. The 8% MLM supplementation (T3) demonstrated superior performance with the highest weight gain (19.31±0.136 g), percentage weight gain (59.77±1.557%), specific growth rate (0.036±0.016), and best feed conversion ratio (2.92±0.071). Water quality parameters remained within acceptable ranges throughout the experimental period. Based on these findings, MLM supplementation at 8% in the basal diet is recommended for enhancing growth performance of rohu fingerlings.</w:t>
      </w:r>
      <w:r>
        <w:rPr>
          <w:rFonts w:ascii="Arial" w:eastAsia="Times New Roman" w:hAnsi="Arial" w:cs="Arial"/>
          <w:sz w:val="20"/>
          <w:szCs w:val="20"/>
          <w:lang w:eastAsia="en-IN"/>
        </w:rPr>
        <w:t xml:space="preserve"> </w:t>
      </w:r>
      <w:r w:rsidRPr="00DC792A">
        <w:rPr>
          <w:rFonts w:ascii="Arial" w:eastAsia="Times New Roman" w:hAnsi="Arial" w:cs="Arial"/>
          <w:sz w:val="20"/>
          <w:szCs w:val="20"/>
          <w:highlight w:val="yellow"/>
          <w:lang w:eastAsia="en-IN"/>
        </w:rPr>
        <w:t>Future research should focus on field trials with different stocking densities and extended culture periods to validate these findings under commercial conditions. Additionally, studies on the economic feasibility and long-term effects of MLM supplementation would provide valuable insights for the aquaculture industry.</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F415A9">
        <w:rPr>
          <w:rFonts w:ascii="Arial" w:eastAsia="Times New Roman" w:hAnsi="Arial" w:cs="Arial"/>
          <w:b/>
          <w:bCs/>
          <w:lang w:eastAsia="en-IN"/>
        </w:rPr>
        <w:t>Keywords:</w:t>
      </w:r>
      <w:r w:rsidRPr="00BB0878">
        <w:rPr>
          <w:rFonts w:ascii="Arial" w:eastAsia="Times New Roman" w:hAnsi="Arial" w:cs="Arial"/>
          <w:sz w:val="20"/>
          <w:szCs w:val="20"/>
          <w:lang w:eastAsia="en-IN"/>
        </w:rPr>
        <w:t xml:space="preserve"> Aquaculture, feed additive, growth enhancement, </w:t>
      </w:r>
      <w:proofErr w:type="spellStart"/>
      <w:r w:rsidRPr="00BB0878">
        <w:rPr>
          <w:rFonts w:ascii="Arial" w:eastAsia="Times New Roman" w:hAnsi="Arial" w:cs="Arial"/>
          <w:i/>
          <w:iCs/>
          <w:sz w:val="20"/>
          <w:szCs w:val="20"/>
          <w:lang w:eastAsia="en-IN"/>
        </w:rPr>
        <w:t>Labeo</w:t>
      </w:r>
      <w:proofErr w:type="spellEnd"/>
      <w:r w:rsidRPr="00BB0878">
        <w:rPr>
          <w:rFonts w:ascii="Arial" w:eastAsia="Times New Roman" w:hAnsi="Arial" w:cs="Arial"/>
          <w:i/>
          <w:iCs/>
          <w:sz w:val="20"/>
          <w:szCs w:val="20"/>
          <w:lang w:eastAsia="en-IN"/>
        </w:rPr>
        <w:t xml:space="preserve"> </w:t>
      </w:r>
      <w:proofErr w:type="spellStart"/>
      <w:r w:rsidRPr="00BB0878">
        <w:rPr>
          <w:rFonts w:ascii="Arial" w:eastAsia="Times New Roman" w:hAnsi="Arial" w:cs="Arial"/>
          <w:i/>
          <w:iCs/>
          <w:sz w:val="20"/>
          <w:szCs w:val="20"/>
          <w:lang w:eastAsia="en-IN"/>
        </w:rPr>
        <w:t>rohita</w:t>
      </w:r>
      <w:proofErr w:type="spellEnd"/>
      <w:r w:rsidRPr="00BB0878">
        <w:rPr>
          <w:rFonts w:ascii="Arial" w:eastAsia="Times New Roman" w:hAnsi="Arial" w:cs="Arial"/>
          <w:sz w:val="20"/>
          <w:szCs w:val="20"/>
          <w:lang w:eastAsia="en-IN"/>
        </w:rPr>
        <w:t>, mango leaf meal, supplementary feed</w:t>
      </w:r>
    </w:p>
    <w:p w:rsidR="00193242" w:rsidRPr="00F415A9" w:rsidRDefault="00193242" w:rsidP="00BB0878">
      <w:pPr>
        <w:spacing w:before="100" w:beforeAutospacing="1" w:after="100" w:afterAutospacing="1" w:line="240" w:lineRule="auto"/>
        <w:jc w:val="both"/>
        <w:outlineLvl w:val="1"/>
        <w:rPr>
          <w:rFonts w:ascii="Arial" w:eastAsia="Times New Roman" w:hAnsi="Arial" w:cs="Arial"/>
          <w:b/>
          <w:bCs/>
          <w:lang w:eastAsia="en-IN"/>
        </w:rPr>
      </w:pPr>
      <w:r w:rsidRPr="00BB0878">
        <w:rPr>
          <w:rFonts w:ascii="Arial" w:eastAsia="Times New Roman" w:hAnsi="Arial" w:cs="Arial"/>
          <w:b/>
          <w:bCs/>
          <w:sz w:val="20"/>
          <w:szCs w:val="20"/>
          <w:lang w:eastAsia="en-IN"/>
        </w:rPr>
        <w:t xml:space="preserve">1. </w:t>
      </w:r>
      <w:r w:rsidRPr="00F415A9">
        <w:rPr>
          <w:rFonts w:ascii="Arial" w:eastAsia="Times New Roman" w:hAnsi="Arial" w:cs="Arial"/>
          <w:b/>
          <w:bCs/>
          <w:lang w:eastAsia="en-IN"/>
        </w:rPr>
        <w:t>Introduction</w:t>
      </w:r>
      <w:r w:rsidR="00F415A9">
        <w:rPr>
          <w:rFonts w:ascii="Arial" w:eastAsia="Times New Roman" w:hAnsi="Arial" w:cs="Arial"/>
          <w:b/>
          <w:bCs/>
          <w:lang w:eastAsia="en-IN"/>
        </w:rPr>
        <w:t>:</w:t>
      </w:r>
    </w:p>
    <w:p w:rsidR="00193242" w:rsidRPr="00394FE8" w:rsidRDefault="00110873" w:rsidP="00BB0878">
      <w:pPr>
        <w:spacing w:before="100" w:beforeAutospacing="1" w:after="100" w:afterAutospacing="1" w:line="240" w:lineRule="auto"/>
        <w:jc w:val="both"/>
        <w:rPr>
          <w:rFonts w:ascii="Arial" w:eastAsia="Times New Roman" w:hAnsi="Arial" w:cs="Arial"/>
          <w:i/>
          <w:sz w:val="20"/>
          <w:szCs w:val="20"/>
          <w:lang w:eastAsia="en-IN"/>
        </w:rPr>
      </w:pPr>
      <w:r w:rsidRPr="00BC3235">
        <w:rPr>
          <w:highlight w:val="yellow"/>
        </w:rPr>
        <w:t>Fisheries is an essential area of food production that ensures the nations nutritional security while also providing a source of income for a substantial portion of the population, particularly the country’s fisherman</w:t>
      </w:r>
      <w:r>
        <w:rPr>
          <w:highlight w:val="yellow"/>
        </w:rPr>
        <w:t xml:space="preserve"> (</w:t>
      </w:r>
      <w:proofErr w:type="spellStart"/>
      <w:r w:rsidRPr="00BC3235">
        <w:rPr>
          <w:highlight w:val="yellow"/>
        </w:rPr>
        <w:t>Meghraj</w:t>
      </w:r>
      <w:proofErr w:type="spellEnd"/>
      <w:r w:rsidRPr="00BC3235">
        <w:rPr>
          <w:highlight w:val="yellow"/>
        </w:rPr>
        <w:t xml:space="preserve"> et al., 2023</w:t>
      </w:r>
      <w:r>
        <w:rPr>
          <w:highlight w:val="yellow"/>
        </w:rPr>
        <w:t>)</w:t>
      </w:r>
      <w:r w:rsidRPr="00BC3235">
        <w:rPr>
          <w:rFonts w:ascii="Arial" w:eastAsia="Times New Roman" w:hAnsi="Arial" w:cs="Arial"/>
          <w:sz w:val="20"/>
          <w:szCs w:val="20"/>
          <w:highlight w:val="yellow"/>
          <w:lang w:eastAsia="en-IN"/>
        </w:rPr>
        <w:t xml:space="preserve">. </w:t>
      </w:r>
      <w:r w:rsidR="00193242" w:rsidRPr="00BB0878">
        <w:rPr>
          <w:rFonts w:ascii="Arial" w:eastAsia="Times New Roman" w:hAnsi="Arial" w:cs="Arial"/>
          <w:sz w:val="20"/>
          <w:szCs w:val="20"/>
          <w:lang w:eastAsia="en-IN"/>
        </w:rPr>
        <w:t>Indian fisheries and aquaculture contributed approximately 17.45 million metric tons (MMT) of fish production during the 2023 financial year, representing an important food production sector that supports the livelihoods of more than 19 million people and contributes around 8% of the agricultural GDP</w:t>
      </w:r>
      <w:r w:rsidR="00F92C92">
        <w:rPr>
          <w:rFonts w:ascii="Arial" w:eastAsia="Times New Roman" w:hAnsi="Arial" w:cs="Arial"/>
          <w:sz w:val="20"/>
          <w:szCs w:val="20"/>
          <w:lang w:eastAsia="en-IN"/>
        </w:rPr>
        <w:t xml:space="preserve"> (FAO, 2024)</w:t>
      </w:r>
      <w:r w:rsidR="00193242" w:rsidRPr="00BB0878">
        <w:rPr>
          <w:rFonts w:ascii="Arial" w:eastAsia="Times New Roman" w:hAnsi="Arial" w:cs="Arial"/>
          <w:sz w:val="20"/>
          <w:szCs w:val="20"/>
          <w:lang w:eastAsia="en-IN"/>
        </w:rPr>
        <w:t>. India possesses vast aquatic resources that contribute 10% of the world's fish biodiversity. Since independence, the sector has achieved sustainable and continuous gro</w:t>
      </w:r>
      <w:r w:rsidR="00F92C92">
        <w:rPr>
          <w:rFonts w:ascii="Arial" w:eastAsia="Times New Roman" w:hAnsi="Arial" w:cs="Arial"/>
          <w:sz w:val="20"/>
          <w:szCs w:val="20"/>
          <w:lang w:eastAsia="en-IN"/>
        </w:rPr>
        <w:t>wth at 8.92% annually as of 2023 (PIB, 2025)</w:t>
      </w:r>
      <w:r w:rsidR="00193242" w:rsidRPr="00BB0878">
        <w:rPr>
          <w:rFonts w:ascii="Arial" w:eastAsia="Times New Roman" w:hAnsi="Arial" w:cs="Arial"/>
          <w:sz w:val="20"/>
          <w:szCs w:val="20"/>
          <w:lang w:eastAsia="en-IN"/>
        </w:rPr>
        <w:t xml:space="preserve">. </w:t>
      </w:r>
      <w:r w:rsidRPr="00BC3235">
        <w:rPr>
          <w:highlight w:val="yellow"/>
        </w:rPr>
        <w:t>Carp are used as food in many areas but are also regarded as a pest in several regions due to their ability to out-compete native fish stocks</w:t>
      </w:r>
      <w:r w:rsidRPr="008D191A">
        <w:rPr>
          <w:highlight w:val="yellow"/>
        </w:rPr>
        <w:t xml:space="preserve"> (</w:t>
      </w:r>
      <w:proofErr w:type="spellStart"/>
      <w:r w:rsidRPr="00BC3235">
        <w:rPr>
          <w:highlight w:val="yellow"/>
        </w:rPr>
        <w:t>Meghraj</w:t>
      </w:r>
      <w:proofErr w:type="spellEnd"/>
      <w:r w:rsidRPr="00BC3235">
        <w:rPr>
          <w:highlight w:val="yellow"/>
        </w:rPr>
        <w:t xml:space="preserve"> et al., 2023</w:t>
      </w:r>
      <w:r w:rsidRPr="00BC3235">
        <w:t>)</w:t>
      </w:r>
      <w:r w:rsidRPr="00F55511">
        <w:t>.</w:t>
      </w:r>
      <w:r w:rsidRPr="00F413BC">
        <w:rPr>
          <w:rFonts w:ascii="Arial" w:eastAsia="Times New Roman" w:hAnsi="Arial" w:cs="Arial"/>
          <w:sz w:val="20"/>
          <w:szCs w:val="20"/>
          <w:lang w:eastAsia="en-IN"/>
        </w:rPr>
        <w:t xml:space="preserve"> </w:t>
      </w:r>
      <w:r w:rsidR="00193242" w:rsidRPr="00BB0878">
        <w:rPr>
          <w:rFonts w:ascii="Arial" w:eastAsia="Times New Roman" w:hAnsi="Arial" w:cs="Arial"/>
          <w:sz w:val="20"/>
          <w:szCs w:val="20"/>
          <w:lang w:eastAsia="en-IN"/>
        </w:rPr>
        <w:t>Culture practices currently contribute around 49% of total global fish production, with the remainder supported by capture fisheries (Anonymous, 2023).</w:t>
      </w:r>
      <w:r w:rsidR="008D191A">
        <w:rPr>
          <w:rFonts w:ascii="Arial" w:eastAsia="Times New Roman" w:hAnsi="Arial" w:cs="Arial"/>
          <w:sz w:val="20"/>
          <w:szCs w:val="20"/>
          <w:lang w:eastAsia="en-IN"/>
        </w:rPr>
        <w:t xml:space="preserve"> </w:t>
      </w:r>
      <w:proofErr w:type="gramStart"/>
      <w:r w:rsidR="00394FE8" w:rsidRPr="00394FE8">
        <w:rPr>
          <w:rFonts w:ascii="Arial" w:hAnsi="Arial" w:cs="Arial"/>
          <w:sz w:val="20"/>
          <w:szCs w:val="20"/>
        </w:rPr>
        <w:t>Among</w:t>
      </w:r>
      <w:proofErr w:type="gramEnd"/>
      <w:r w:rsidR="00394FE8" w:rsidRPr="00394FE8">
        <w:rPr>
          <w:rFonts w:ascii="Arial" w:hAnsi="Arial" w:cs="Arial"/>
          <w:sz w:val="20"/>
          <w:szCs w:val="20"/>
        </w:rPr>
        <w:t xml:space="preserve"> the three Indian major carp species, rohu is the most significant and favourite fish of farmers due to its higher market demands and consumer preference</w:t>
      </w:r>
      <w:r w:rsidR="00394FE8">
        <w:rPr>
          <w:rFonts w:ascii="Arial" w:hAnsi="Arial" w:cs="Arial"/>
          <w:sz w:val="20"/>
          <w:szCs w:val="20"/>
        </w:rPr>
        <w:t xml:space="preserve"> (</w:t>
      </w:r>
      <w:r w:rsidR="00F576D3">
        <w:rPr>
          <w:rFonts w:ascii="Arial" w:hAnsi="Arial" w:cs="Arial"/>
          <w:sz w:val="20"/>
          <w:szCs w:val="20"/>
        </w:rPr>
        <w:t xml:space="preserve">Nair and </w:t>
      </w:r>
      <w:proofErr w:type="spellStart"/>
      <w:r w:rsidR="00F576D3">
        <w:rPr>
          <w:rFonts w:ascii="Arial" w:hAnsi="Arial" w:cs="Arial"/>
          <w:sz w:val="20"/>
          <w:szCs w:val="20"/>
        </w:rPr>
        <w:t>Salin</w:t>
      </w:r>
      <w:proofErr w:type="spellEnd"/>
      <w:r w:rsidR="00F576D3">
        <w:rPr>
          <w:rFonts w:ascii="Arial" w:hAnsi="Arial" w:cs="Arial"/>
          <w:sz w:val="20"/>
          <w:szCs w:val="20"/>
        </w:rPr>
        <w:t>, 2007</w:t>
      </w:r>
      <w:r w:rsidR="00394FE8" w:rsidRPr="00F576D3">
        <w:rPr>
          <w:rFonts w:ascii="Arial" w:hAnsi="Arial" w:cs="Arial"/>
          <w:sz w:val="20"/>
          <w:szCs w:val="20"/>
        </w:rPr>
        <w:t>)</w:t>
      </w:r>
      <w:r w:rsidR="00F92C92">
        <w:rPr>
          <w:rFonts w:ascii="Arial" w:hAnsi="Arial" w:cs="Arial"/>
          <w:sz w:val="20"/>
          <w:szCs w:val="20"/>
        </w:rPr>
        <w:t>.</w:t>
      </w:r>
      <w:r>
        <w:rPr>
          <w:rFonts w:ascii="Arial" w:hAnsi="Arial" w:cs="Arial"/>
          <w:sz w:val="20"/>
          <w:szCs w:val="20"/>
        </w:rPr>
        <w:t xml:space="preserve"> </w:t>
      </w:r>
      <w:r w:rsidRPr="00BC3235">
        <w:rPr>
          <w:highlight w:val="yellow"/>
        </w:rPr>
        <w:t>Mango (</w:t>
      </w:r>
      <w:proofErr w:type="spellStart"/>
      <w:r w:rsidRPr="00BC3235">
        <w:rPr>
          <w:i/>
          <w:highlight w:val="yellow"/>
        </w:rPr>
        <w:t>Mangifera</w:t>
      </w:r>
      <w:proofErr w:type="spellEnd"/>
      <w:r w:rsidRPr="00BC3235">
        <w:rPr>
          <w:i/>
          <w:highlight w:val="yellow"/>
        </w:rPr>
        <w:t xml:space="preserve"> </w:t>
      </w:r>
      <w:proofErr w:type="spellStart"/>
      <w:r w:rsidRPr="00BC3235">
        <w:rPr>
          <w:i/>
          <w:highlight w:val="yellow"/>
        </w:rPr>
        <w:t>indica</w:t>
      </w:r>
      <w:proofErr w:type="spellEnd"/>
      <w:r w:rsidRPr="00BC3235">
        <w:rPr>
          <w:highlight w:val="yellow"/>
        </w:rPr>
        <w:t xml:space="preserve"> L.) ascribed to the family </w:t>
      </w:r>
      <w:proofErr w:type="spellStart"/>
      <w:r w:rsidRPr="00BC3235">
        <w:rPr>
          <w:highlight w:val="yellow"/>
        </w:rPr>
        <w:t>Anacardiaceae</w:t>
      </w:r>
      <w:proofErr w:type="spellEnd"/>
      <w:r w:rsidRPr="00BC3235">
        <w:rPr>
          <w:highlight w:val="yellow"/>
        </w:rPr>
        <w:t xml:space="preserve"> has been adjudged as the vital traditionally significant and one of the most economically important tropical fruit </w:t>
      </w:r>
      <w:proofErr w:type="gramStart"/>
      <w:r w:rsidRPr="00BC3235">
        <w:rPr>
          <w:highlight w:val="yellow"/>
        </w:rPr>
        <w:t>crop</w:t>
      </w:r>
      <w:proofErr w:type="gramEnd"/>
      <w:r w:rsidRPr="00BC3235">
        <w:rPr>
          <w:highlight w:val="yellow"/>
        </w:rPr>
        <w:t xml:space="preserve"> globally. Mango is an evergreen tree with a lot of traditional medicinal resources apart from its very famous fruits. Mango leaves are </w:t>
      </w:r>
      <w:r w:rsidR="008D191A">
        <w:rPr>
          <w:highlight w:val="yellow"/>
        </w:rPr>
        <w:t>a</w:t>
      </w:r>
      <w:r w:rsidRPr="00BC3235">
        <w:rPr>
          <w:highlight w:val="yellow"/>
        </w:rPr>
        <w:t xml:space="preserve"> potential source of minerals, viz. nitrogen, potassium, phosphorus, iron, sodium, calcium, magnesium, </w:t>
      </w:r>
      <w:r w:rsidRPr="00F55511">
        <w:t xml:space="preserve">and </w:t>
      </w:r>
      <w:r w:rsidRPr="00BC3235">
        <w:rPr>
          <w:highlight w:val="yellow"/>
        </w:rPr>
        <w:t>vitamins, viz. A, B, E, and C. A major bio-macromolecule present in mango leaves is protein</w:t>
      </w:r>
      <w:r w:rsidRPr="00F413BC">
        <w:rPr>
          <w:highlight w:val="yellow"/>
        </w:rPr>
        <w:t xml:space="preserve"> (</w:t>
      </w:r>
      <w:proofErr w:type="spellStart"/>
      <w:r w:rsidRPr="00BC3235">
        <w:rPr>
          <w:highlight w:val="yellow"/>
        </w:rPr>
        <w:t>Meghraj</w:t>
      </w:r>
      <w:proofErr w:type="spellEnd"/>
      <w:r w:rsidRPr="00BC3235">
        <w:rPr>
          <w:highlight w:val="yellow"/>
        </w:rPr>
        <w:t xml:space="preserve"> et al., 2023; </w:t>
      </w:r>
      <w:proofErr w:type="spellStart"/>
      <w:r w:rsidRPr="00BC3235">
        <w:rPr>
          <w:highlight w:val="yellow"/>
        </w:rPr>
        <w:t>Troell</w:t>
      </w:r>
      <w:proofErr w:type="spellEnd"/>
      <w:r w:rsidRPr="00BC3235">
        <w:rPr>
          <w:highlight w:val="yellow"/>
        </w:rPr>
        <w:t xml:space="preserve"> et al., 2023</w:t>
      </w:r>
      <w:r w:rsidRPr="00F413BC">
        <w:rPr>
          <w:highlight w:val="yellow"/>
        </w:rPr>
        <w:t>)</w:t>
      </w:r>
      <w:r w:rsidRPr="00BC3235">
        <w:rPr>
          <w:highlight w:val="yellow"/>
        </w:rPr>
        <w: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lastRenderedPageBreak/>
        <w:t xml:space="preserve">The incorporation of different feed ingredients in fish diets contributes to protein sparing while improving palatability and energy utilization. Several studies have demonstrated that protein, fat, and other nutrients have effects similar to fish oil on </w:t>
      </w:r>
      <w:r w:rsidR="008D191A" w:rsidRPr="00BC3235">
        <w:rPr>
          <w:rFonts w:ascii="Arial" w:eastAsia="Times New Roman" w:hAnsi="Arial" w:cs="Arial"/>
          <w:sz w:val="20"/>
          <w:szCs w:val="20"/>
          <w:highlight w:val="yellow"/>
          <w:lang w:eastAsia="en-IN"/>
        </w:rPr>
        <w:t xml:space="preserve">the </w:t>
      </w:r>
      <w:r w:rsidRPr="00BC3235">
        <w:rPr>
          <w:rFonts w:ascii="Arial" w:eastAsia="Times New Roman" w:hAnsi="Arial" w:cs="Arial"/>
          <w:sz w:val="20"/>
          <w:szCs w:val="20"/>
          <w:highlight w:val="yellow"/>
          <w:lang w:eastAsia="en-IN"/>
        </w:rPr>
        <w:t xml:space="preserve">development </w:t>
      </w:r>
      <w:r w:rsidR="008D191A" w:rsidRPr="008D191A">
        <w:rPr>
          <w:rFonts w:ascii="Arial" w:eastAsia="Times New Roman" w:hAnsi="Arial" w:cs="Arial"/>
          <w:sz w:val="20"/>
          <w:szCs w:val="20"/>
          <w:highlight w:val="yellow"/>
          <w:lang w:eastAsia="en-IN"/>
        </w:rPr>
        <w:t>of</w:t>
      </w:r>
      <w:r w:rsidR="008D191A" w:rsidRPr="00BC3235">
        <w:rPr>
          <w:rFonts w:ascii="Arial" w:eastAsia="Times New Roman" w:hAnsi="Arial" w:cs="Arial"/>
          <w:sz w:val="20"/>
          <w:szCs w:val="20"/>
          <w:highlight w:val="yellow"/>
          <w:lang w:eastAsia="en-IN"/>
        </w:rPr>
        <w:t xml:space="preserve"> </w:t>
      </w:r>
      <w:r w:rsidRPr="00BC3235">
        <w:rPr>
          <w:rFonts w:ascii="Arial" w:eastAsia="Times New Roman" w:hAnsi="Arial" w:cs="Arial"/>
          <w:sz w:val="20"/>
          <w:szCs w:val="20"/>
          <w:highlight w:val="yellow"/>
          <w:lang w:eastAsia="en-IN"/>
        </w:rPr>
        <w:t>salmo</w:t>
      </w:r>
      <w:r w:rsidRPr="00BB0878">
        <w:rPr>
          <w:rFonts w:ascii="Arial" w:eastAsia="Times New Roman" w:hAnsi="Arial" w:cs="Arial"/>
          <w:sz w:val="20"/>
          <w:szCs w:val="20"/>
          <w:lang w:eastAsia="en-IN"/>
        </w:rPr>
        <w:t xml:space="preserve">nids (Bell et al., 2001, 2002). Olusola et al. (2020) studied the efficacy of tamarind and mango leaves with oxytetracycline on growth and immunological parameters of </w:t>
      </w:r>
      <w:proofErr w:type="spellStart"/>
      <w:r w:rsidRPr="00BB0878">
        <w:rPr>
          <w:rFonts w:ascii="Arial" w:eastAsia="Times New Roman" w:hAnsi="Arial" w:cs="Arial"/>
          <w:i/>
          <w:iCs/>
          <w:sz w:val="20"/>
          <w:szCs w:val="20"/>
          <w:lang w:eastAsia="en-IN"/>
        </w:rPr>
        <w:t>Clarias</w:t>
      </w:r>
      <w:proofErr w:type="spellEnd"/>
      <w:r w:rsidR="00607B2A">
        <w:rPr>
          <w:rFonts w:ascii="Arial" w:eastAsia="Times New Roman" w:hAnsi="Arial" w:cs="Arial"/>
          <w:i/>
          <w:iCs/>
          <w:sz w:val="20"/>
          <w:szCs w:val="20"/>
          <w:lang w:eastAsia="en-IN"/>
        </w:rPr>
        <w:t xml:space="preserve"> </w:t>
      </w:r>
      <w:proofErr w:type="spellStart"/>
      <w:r w:rsidRPr="00BB0878">
        <w:rPr>
          <w:rFonts w:ascii="Arial" w:eastAsia="Times New Roman" w:hAnsi="Arial" w:cs="Arial"/>
          <w:i/>
          <w:iCs/>
          <w:sz w:val="20"/>
          <w:szCs w:val="20"/>
          <w:lang w:eastAsia="en-IN"/>
        </w:rPr>
        <w:t>gariepinus</w:t>
      </w:r>
      <w:proofErr w:type="spellEnd"/>
      <w:r w:rsidRPr="00BB0878">
        <w:rPr>
          <w:rFonts w:ascii="Arial" w:eastAsia="Times New Roman" w:hAnsi="Arial" w:cs="Arial"/>
          <w:sz w:val="20"/>
          <w:szCs w:val="20"/>
          <w:lang w:eastAsia="en-IN"/>
        </w:rPr>
        <w:t>, concluding that experimental diets containing tamarind leaves, mango leaves, and oxytetracycline at 10% showed significantly higher mean weight gain (7.74±0.69 g) and specific growth rate (0.97±0.01 g).</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Rohu (</w:t>
      </w:r>
      <w:r w:rsidRPr="00BB0878">
        <w:rPr>
          <w:rFonts w:ascii="Arial" w:eastAsia="Times New Roman" w:hAnsi="Arial" w:cs="Arial"/>
          <w:i/>
          <w:iCs/>
          <w:sz w:val="20"/>
          <w:szCs w:val="20"/>
          <w:lang w:eastAsia="en-IN"/>
        </w:rPr>
        <w:t xml:space="preserve">L. </w:t>
      </w:r>
      <w:proofErr w:type="spellStart"/>
      <w:r w:rsidRPr="00BB0878">
        <w:rPr>
          <w:rFonts w:ascii="Arial" w:eastAsia="Times New Roman" w:hAnsi="Arial" w:cs="Arial"/>
          <w:i/>
          <w:iCs/>
          <w:sz w:val="20"/>
          <w:szCs w:val="20"/>
          <w:lang w:eastAsia="en-IN"/>
        </w:rPr>
        <w:t>rohita</w:t>
      </w:r>
      <w:proofErr w:type="spellEnd"/>
      <w:r w:rsidRPr="00BB0878">
        <w:rPr>
          <w:rFonts w:ascii="Arial" w:eastAsia="Times New Roman" w:hAnsi="Arial" w:cs="Arial"/>
          <w:sz w:val="20"/>
          <w:szCs w:val="20"/>
          <w:lang w:eastAsia="en-IN"/>
        </w:rPr>
        <w:t xml:space="preserve">) is a fast-growing species that can attain body lengths of 35-45 cm and weights of 700-800 g in one culture period under suitable conditions. In polyculture systems, its growth rate is higher than that of </w:t>
      </w:r>
      <w:proofErr w:type="spellStart"/>
      <w:r w:rsidRPr="00BB0878">
        <w:rPr>
          <w:rFonts w:ascii="Arial" w:eastAsia="Times New Roman" w:hAnsi="Arial" w:cs="Arial"/>
          <w:sz w:val="20"/>
          <w:szCs w:val="20"/>
          <w:lang w:eastAsia="en-IN"/>
        </w:rPr>
        <w:t>mrigal</w:t>
      </w:r>
      <w:r w:rsidR="00C44FB1">
        <w:rPr>
          <w:rFonts w:ascii="Arial" w:eastAsia="Times New Roman" w:hAnsi="Arial" w:cs="Arial"/>
          <w:sz w:val="20"/>
          <w:szCs w:val="20"/>
          <w:lang w:eastAsia="en-IN"/>
        </w:rPr>
        <w:t>a</w:t>
      </w:r>
      <w:proofErr w:type="spellEnd"/>
      <w:r w:rsidRPr="00BB0878">
        <w:rPr>
          <w:rFonts w:ascii="Arial" w:eastAsia="Times New Roman" w:hAnsi="Arial" w:cs="Arial"/>
          <w:sz w:val="20"/>
          <w:szCs w:val="20"/>
          <w:lang w:eastAsia="en-IN"/>
        </w:rPr>
        <w:t xml:space="preserve"> but lower than </w:t>
      </w:r>
      <w:proofErr w:type="spellStart"/>
      <w:r w:rsidRPr="00BB0878">
        <w:rPr>
          <w:rFonts w:ascii="Arial" w:eastAsia="Times New Roman" w:hAnsi="Arial" w:cs="Arial"/>
          <w:sz w:val="20"/>
          <w:szCs w:val="20"/>
          <w:lang w:eastAsia="en-IN"/>
        </w:rPr>
        <w:t>catla</w:t>
      </w:r>
      <w:proofErr w:type="spellEnd"/>
      <w:r w:rsidRPr="00BB0878">
        <w:rPr>
          <w:rFonts w:ascii="Arial" w:eastAsia="Times New Roman" w:hAnsi="Arial" w:cs="Arial"/>
          <w:sz w:val="20"/>
          <w:szCs w:val="20"/>
          <w:lang w:eastAsia="en-IN"/>
        </w:rPr>
        <w:t xml:space="preserve"> (FAO, 2009). Feed accounts for 60-70% of total production costs in any culture system, making cost-effective feed management crucial for successful fish farming. Production efficiency is directly correlated with feed quality. To achieve maximum net returns, farmers must ensure complete feed consumption, avoid excess feed supply, and minimize feed waste to maintain system sustainability.</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This study was conducted to evaluate the effect of mango leaf meal as supplementary feed on growth parameters of rohu (</w:t>
      </w:r>
      <w:r w:rsidRPr="00BB0878">
        <w:rPr>
          <w:rFonts w:ascii="Arial" w:eastAsia="Times New Roman" w:hAnsi="Arial" w:cs="Arial"/>
          <w:i/>
          <w:iCs/>
          <w:sz w:val="20"/>
          <w:szCs w:val="20"/>
          <w:lang w:eastAsia="en-IN"/>
        </w:rPr>
        <w:t xml:space="preserve">L. </w:t>
      </w:r>
      <w:proofErr w:type="spellStart"/>
      <w:r w:rsidRPr="00BB0878">
        <w:rPr>
          <w:rFonts w:ascii="Arial" w:eastAsia="Times New Roman" w:hAnsi="Arial" w:cs="Arial"/>
          <w:i/>
          <w:iCs/>
          <w:sz w:val="20"/>
          <w:szCs w:val="20"/>
          <w:lang w:eastAsia="en-IN"/>
        </w:rPr>
        <w:t>rohita</w:t>
      </w:r>
      <w:proofErr w:type="spellEnd"/>
      <w:r w:rsidRPr="00BB0878">
        <w:rPr>
          <w:rFonts w:ascii="Arial" w:eastAsia="Times New Roman" w:hAnsi="Arial" w:cs="Arial"/>
          <w:sz w:val="20"/>
          <w:szCs w:val="20"/>
          <w:lang w:eastAsia="en-IN"/>
        </w:rPr>
        <w:t>) fingerlings at different inclusion levels.</w:t>
      </w:r>
    </w:p>
    <w:p w:rsidR="00193242" w:rsidRPr="00BB0878" w:rsidRDefault="00193242" w:rsidP="00BB0878">
      <w:pPr>
        <w:spacing w:before="100" w:beforeAutospacing="1" w:after="100" w:afterAutospacing="1" w:line="240" w:lineRule="auto"/>
        <w:jc w:val="both"/>
        <w:outlineLvl w:val="1"/>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 xml:space="preserve">2. </w:t>
      </w:r>
      <w:r w:rsidRPr="00F415A9">
        <w:rPr>
          <w:rFonts w:ascii="Arial" w:eastAsia="Times New Roman" w:hAnsi="Arial" w:cs="Arial"/>
          <w:b/>
          <w:bCs/>
          <w:lang w:eastAsia="en-IN"/>
        </w:rPr>
        <w:t>Materials and Methods</w:t>
      </w:r>
      <w:r w:rsidR="00F415A9">
        <w:rPr>
          <w:rFonts w:ascii="Arial" w:eastAsia="Times New Roman" w:hAnsi="Arial" w:cs="Arial"/>
          <w:b/>
          <w:bCs/>
          <w:lang w:eastAsia="en-IN"/>
        </w:rPr>
        <w:t>:</w:t>
      </w:r>
    </w:p>
    <w:p w:rsidR="00193242" w:rsidRPr="00F415A9" w:rsidRDefault="00193242" w:rsidP="00BB0878">
      <w:pPr>
        <w:spacing w:before="100" w:beforeAutospacing="1" w:after="100" w:afterAutospacing="1" w:line="240" w:lineRule="auto"/>
        <w:jc w:val="both"/>
        <w:outlineLvl w:val="2"/>
        <w:rPr>
          <w:rFonts w:ascii="Arial" w:eastAsia="Times New Roman" w:hAnsi="Arial" w:cs="Arial"/>
          <w:b/>
          <w:bCs/>
          <w:lang w:eastAsia="en-IN"/>
        </w:rPr>
      </w:pPr>
      <w:r w:rsidRPr="00BB0878">
        <w:rPr>
          <w:rFonts w:ascii="Arial" w:eastAsia="Times New Roman" w:hAnsi="Arial" w:cs="Arial"/>
          <w:b/>
          <w:bCs/>
          <w:sz w:val="20"/>
          <w:szCs w:val="20"/>
          <w:lang w:eastAsia="en-IN"/>
        </w:rPr>
        <w:t xml:space="preserve">2.1 </w:t>
      </w:r>
      <w:r w:rsidRPr="00F415A9">
        <w:rPr>
          <w:rFonts w:ascii="Arial" w:eastAsia="Times New Roman" w:hAnsi="Arial" w:cs="Arial"/>
          <w:b/>
          <w:bCs/>
          <w:lang w:eastAsia="en-IN"/>
        </w:rPr>
        <w:t>Experimental Design</w:t>
      </w:r>
      <w:r w:rsidR="00F415A9">
        <w:rPr>
          <w:rFonts w:ascii="Arial" w:eastAsia="Times New Roman" w:hAnsi="Arial" w:cs="Arial"/>
          <w:b/>
          <w:bCs/>
          <w:lang w:eastAsia="en-IN"/>
        </w:rPr>
        <w: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 xml:space="preserve">The study was conducted </w:t>
      </w:r>
      <w:r w:rsidR="00C02B5A">
        <w:rPr>
          <w:rFonts w:ascii="Arial" w:eastAsia="Times New Roman" w:hAnsi="Arial" w:cs="Arial"/>
          <w:sz w:val="20"/>
          <w:szCs w:val="20"/>
          <w:lang w:eastAsia="en-IN"/>
        </w:rPr>
        <w:t>in</w:t>
      </w:r>
      <w:r w:rsidRPr="00BB0878">
        <w:rPr>
          <w:rFonts w:ascii="Arial" w:eastAsia="Times New Roman" w:hAnsi="Arial" w:cs="Arial"/>
          <w:sz w:val="20"/>
          <w:szCs w:val="20"/>
          <w:lang w:eastAsia="en-IN"/>
        </w:rPr>
        <w:t xml:space="preserve"> 2024 at Shree Vinayak Fish Farm, </w:t>
      </w:r>
      <w:proofErr w:type="spellStart"/>
      <w:r w:rsidRPr="00BB0878">
        <w:rPr>
          <w:rFonts w:ascii="Arial" w:eastAsia="Times New Roman" w:hAnsi="Arial" w:cs="Arial"/>
          <w:sz w:val="20"/>
          <w:szCs w:val="20"/>
          <w:lang w:eastAsia="en-IN"/>
        </w:rPr>
        <w:t>Baruwali</w:t>
      </w:r>
      <w:proofErr w:type="spellEnd"/>
      <w:r w:rsidRPr="00BB0878">
        <w:rPr>
          <w:rFonts w:ascii="Arial" w:eastAsia="Times New Roman" w:hAnsi="Arial" w:cs="Arial"/>
          <w:sz w:val="20"/>
          <w:szCs w:val="20"/>
          <w:lang w:eastAsia="en-IN"/>
        </w:rPr>
        <w:t xml:space="preserve">, Sirsa, Haryana. Healthy and disease-free fingerlings of </w:t>
      </w:r>
      <w:proofErr w:type="spellStart"/>
      <w:r w:rsidRPr="00BB0878">
        <w:rPr>
          <w:rFonts w:ascii="Arial" w:eastAsia="Times New Roman" w:hAnsi="Arial" w:cs="Arial"/>
          <w:i/>
          <w:iCs/>
          <w:sz w:val="20"/>
          <w:szCs w:val="20"/>
          <w:lang w:eastAsia="en-IN"/>
        </w:rPr>
        <w:t>Labeo</w:t>
      </w:r>
      <w:proofErr w:type="spellEnd"/>
      <w:r w:rsidRPr="00BB0878">
        <w:rPr>
          <w:rFonts w:ascii="Arial" w:eastAsia="Times New Roman" w:hAnsi="Arial" w:cs="Arial"/>
          <w:i/>
          <w:iCs/>
          <w:sz w:val="20"/>
          <w:szCs w:val="20"/>
          <w:lang w:eastAsia="en-IN"/>
        </w:rPr>
        <w:t xml:space="preserve"> </w:t>
      </w:r>
      <w:proofErr w:type="spellStart"/>
      <w:r w:rsidRPr="00BB0878">
        <w:rPr>
          <w:rFonts w:ascii="Arial" w:eastAsia="Times New Roman" w:hAnsi="Arial" w:cs="Arial"/>
          <w:i/>
          <w:iCs/>
          <w:sz w:val="20"/>
          <w:szCs w:val="20"/>
          <w:lang w:eastAsia="en-IN"/>
        </w:rPr>
        <w:t>rohita</w:t>
      </w:r>
      <w:proofErr w:type="spellEnd"/>
      <w:r w:rsidRPr="00BB0878">
        <w:rPr>
          <w:rFonts w:ascii="Arial" w:eastAsia="Times New Roman" w:hAnsi="Arial" w:cs="Arial"/>
          <w:sz w:val="20"/>
          <w:szCs w:val="20"/>
          <w:lang w:eastAsia="en-IN"/>
        </w:rPr>
        <w:t xml:space="preserve"> (Hamilton, 1822) were obtained from the same farm and acclimatized for 15 days in 1000-liter plastic tanks.</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The experiment was conducted in 500-liter rectangular plastic tanks, with each tank thoroughly cleaned before fish introduction. Each tank was stocked with 10 fingerlings, and the experiment was conducted in triplicate following a completely randomized design (CRD) for 60 days.</w:t>
      </w:r>
      <w:r w:rsidR="00607B2A">
        <w:rPr>
          <w:rFonts w:ascii="Arial" w:eastAsia="Times New Roman" w:hAnsi="Arial" w:cs="Arial"/>
          <w:sz w:val="20"/>
          <w:szCs w:val="20"/>
          <w:lang w:eastAsia="en-IN"/>
        </w:rPr>
        <w:t xml:space="preserve"> Implied </w:t>
      </w:r>
      <w:proofErr w:type="gramStart"/>
      <w:r w:rsidR="00607B2A">
        <w:rPr>
          <w:rFonts w:ascii="Arial" w:eastAsia="Times New Roman" w:hAnsi="Arial" w:cs="Arial"/>
          <w:sz w:val="20"/>
          <w:szCs w:val="20"/>
          <w:lang w:eastAsia="en-IN"/>
        </w:rPr>
        <w:t>Pearson  Square</w:t>
      </w:r>
      <w:proofErr w:type="gramEnd"/>
      <w:r w:rsidR="00607B2A">
        <w:rPr>
          <w:rFonts w:ascii="Arial" w:eastAsia="Times New Roman" w:hAnsi="Arial" w:cs="Arial"/>
          <w:sz w:val="20"/>
          <w:szCs w:val="20"/>
          <w:lang w:eastAsia="en-IN"/>
        </w:rPr>
        <w:t xml:space="preserve"> </w:t>
      </w:r>
      <w:proofErr w:type="spellStart"/>
      <w:r w:rsidR="00607B2A">
        <w:rPr>
          <w:rFonts w:ascii="Arial" w:eastAsia="Times New Roman" w:hAnsi="Arial" w:cs="Arial"/>
          <w:sz w:val="20"/>
          <w:szCs w:val="20"/>
          <w:lang w:eastAsia="en-IN"/>
        </w:rPr>
        <w:t>feed</w:t>
      </w:r>
      <w:proofErr w:type="spellEnd"/>
      <w:r w:rsidR="00607B2A">
        <w:rPr>
          <w:rFonts w:ascii="Arial" w:eastAsia="Times New Roman" w:hAnsi="Arial" w:cs="Arial"/>
          <w:sz w:val="20"/>
          <w:szCs w:val="20"/>
          <w:lang w:eastAsia="en-IN"/>
        </w:rPr>
        <w:t xml:space="preserve"> for making artificial diet.</w:t>
      </w:r>
      <w:r w:rsidRPr="00BB0878">
        <w:rPr>
          <w:rFonts w:ascii="Arial" w:eastAsia="Times New Roman" w:hAnsi="Arial" w:cs="Arial"/>
          <w:sz w:val="20"/>
          <w:szCs w:val="20"/>
          <w:lang w:eastAsia="en-IN"/>
        </w:rPr>
        <w:t xml:space="preserve"> The basal diet consisted of groundnut oil cake (400 g/kg), rice bran (400 g/kg), wheat flour (190 g/kg), and plant protein mixture (10 g/kg). Growth and water quality parameters were monitored at 15-day intervals. Fish were fed at 3% of body weight twice daily (10:00 AM and 5:00 PM) in split doses.</w:t>
      </w:r>
    </w:p>
    <w:p w:rsidR="00193242" w:rsidRPr="00F415A9" w:rsidRDefault="00193242" w:rsidP="00BB0878">
      <w:pPr>
        <w:spacing w:before="100" w:beforeAutospacing="1" w:after="100" w:afterAutospacing="1" w:line="240" w:lineRule="auto"/>
        <w:jc w:val="both"/>
        <w:outlineLvl w:val="2"/>
        <w:rPr>
          <w:rFonts w:ascii="Arial" w:eastAsia="Times New Roman" w:hAnsi="Arial" w:cs="Arial"/>
          <w:b/>
          <w:bCs/>
          <w:lang w:eastAsia="en-IN"/>
        </w:rPr>
      </w:pPr>
      <w:r w:rsidRPr="00BB0878">
        <w:rPr>
          <w:rFonts w:ascii="Arial" w:eastAsia="Times New Roman" w:hAnsi="Arial" w:cs="Arial"/>
          <w:b/>
          <w:bCs/>
          <w:sz w:val="20"/>
          <w:szCs w:val="20"/>
          <w:lang w:eastAsia="en-IN"/>
        </w:rPr>
        <w:t xml:space="preserve">2.2 </w:t>
      </w:r>
      <w:r w:rsidRPr="00F415A9">
        <w:rPr>
          <w:rFonts w:ascii="Arial" w:eastAsia="Times New Roman" w:hAnsi="Arial" w:cs="Arial"/>
          <w:b/>
          <w:bCs/>
          <w:lang w:eastAsia="en-IN"/>
        </w:rPr>
        <w:t>Experimental Feed Preparation</w:t>
      </w:r>
      <w:r w:rsidR="00F415A9">
        <w:rPr>
          <w:rFonts w:ascii="Arial" w:eastAsia="Times New Roman" w:hAnsi="Arial" w:cs="Arial"/>
          <w:b/>
          <w:bCs/>
          <w:lang w:eastAsia="en-IN"/>
        </w:rPr>
        <w: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Experimental diets were prepared by incorporating mango leaf powder (MLP) into the basal diet. Fresh mango leaves and other ingredients were procured from local markets. The control diet (C) contained no MLP, while treatments T1, T2, T3, and T4 incorporated MLP at 2%, 4%, 8%, and 16% levels, respectively, replacing equivalent amounts of the basal diet.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Dry ingredients of the basal diet were thoroughly mixed and formed into dough. After cooling, MLP and mineral mixture were added, and pellets (2.0 mm diameter) were prepared using a hand pelletizer. The pelleted feed was air-dried and stored in airtight containers.</w:t>
      </w:r>
    </w:p>
    <w:p w:rsidR="00193242" w:rsidRDefault="00193242" w:rsidP="00BB0878">
      <w:pPr>
        <w:spacing w:before="100" w:beforeAutospacing="1" w:after="100" w:afterAutospacing="1" w:line="240" w:lineRule="auto"/>
        <w:jc w:val="both"/>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Table 1: Composition of experimental diets (g/kg)</w:t>
      </w:r>
    </w:p>
    <w:tbl>
      <w:tblPr>
        <w:tblStyle w:val="TableGrid"/>
        <w:tblW w:w="0" w:type="auto"/>
        <w:tblLook w:val="04A0" w:firstRow="1" w:lastRow="0" w:firstColumn="1" w:lastColumn="0" w:noHBand="0" w:noVBand="1"/>
      </w:tblPr>
      <w:tblGrid>
        <w:gridCol w:w="2512"/>
        <w:gridCol w:w="6"/>
        <w:gridCol w:w="2093"/>
        <w:gridCol w:w="9"/>
        <w:gridCol w:w="2304"/>
        <w:gridCol w:w="7"/>
        <w:gridCol w:w="2311"/>
      </w:tblGrid>
      <w:tr w:rsidR="00A25BEE" w:rsidRPr="001E4F47" w:rsidTr="00553238">
        <w:trPr>
          <w:trHeight w:val="474"/>
        </w:trPr>
        <w:tc>
          <w:tcPr>
            <w:tcW w:w="2518" w:type="dxa"/>
            <w:gridSpan w:val="2"/>
          </w:tcPr>
          <w:p w:rsidR="00A25BEE" w:rsidRPr="00E66557" w:rsidRDefault="00A25BEE" w:rsidP="00553238">
            <w:pPr>
              <w:rPr>
                <w:rFonts w:ascii="Arial" w:hAnsi="Arial" w:cs="Arial"/>
                <w:b/>
                <w:sz w:val="20"/>
                <w:szCs w:val="20"/>
              </w:rPr>
            </w:pPr>
            <w:r w:rsidRPr="00E66557">
              <w:rPr>
                <w:rFonts w:ascii="Arial" w:hAnsi="Arial" w:cs="Arial"/>
                <w:b/>
                <w:sz w:val="20"/>
                <w:szCs w:val="20"/>
              </w:rPr>
              <w:t>Treatment</w:t>
            </w:r>
          </w:p>
        </w:tc>
        <w:tc>
          <w:tcPr>
            <w:tcW w:w="2102" w:type="dxa"/>
            <w:gridSpan w:val="2"/>
          </w:tcPr>
          <w:p w:rsidR="00A25BEE" w:rsidRPr="00E66557" w:rsidRDefault="00A25BEE" w:rsidP="00553238">
            <w:pPr>
              <w:rPr>
                <w:rFonts w:ascii="Arial" w:hAnsi="Arial" w:cs="Arial"/>
                <w:b/>
                <w:sz w:val="20"/>
                <w:szCs w:val="20"/>
              </w:rPr>
            </w:pPr>
            <w:r w:rsidRPr="00E66557">
              <w:rPr>
                <w:rFonts w:ascii="Arial" w:hAnsi="Arial" w:cs="Arial"/>
                <w:b/>
                <w:sz w:val="20"/>
                <w:szCs w:val="20"/>
              </w:rPr>
              <w:t>Basal Diet (%)</w:t>
            </w:r>
          </w:p>
        </w:tc>
        <w:tc>
          <w:tcPr>
            <w:tcW w:w="2311" w:type="dxa"/>
            <w:gridSpan w:val="2"/>
          </w:tcPr>
          <w:p w:rsidR="00A25BEE" w:rsidRPr="00E66557" w:rsidRDefault="00A25BEE" w:rsidP="00553238">
            <w:pPr>
              <w:rPr>
                <w:rFonts w:ascii="Arial" w:hAnsi="Arial" w:cs="Arial"/>
                <w:b/>
                <w:sz w:val="20"/>
                <w:szCs w:val="20"/>
              </w:rPr>
            </w:pPr>
            <w:r w:rsidRPr="00E66557">
              <w:rPr>
                <w:rFonts w:ascii="Arial" w:hAnsi="Arial" w:cs="Arial"/>
                <w:b/>
                <w:sz w:val="20"/>
                <w:szCs w:val="20"/>
              </w:rPr>
              <w:t>Mango Leaf Powder (%)</w:t>
            </w:r>
          </w:p>
        </w:tc>
        <w:tc>
          <w:tcPr>
            <w:tcW w:w="2311" w:type="dxa"/>
          </w:tcPr>
          <w:p w:rsidR="00A25BEE" w:rsidRPr="00E66557" w:rsidRDefault="00A25BEE" w:rsidP="00553238">
            <w:pPr>
              <w:rPr>
                <w:rFonts w:ascii="Arial" w:hAnsi="Arial" w:cs="Arial"/>
                <w:b/>
                <w:sz w:val="20"/>
                <w:szCs w:val="20"/>
              </w:rPr>
            </w:pPr>
            <w:r w:rsidRPr="00E66557">
              <w:rPr>
                <w:rFonts w:ascii="Arial" w:hAnsi="Arial" w:cs="Arial"/>
                <w:b/>
                <w:sz w:val="20"/>
                <w:szCs w:val="20"/>
              </w:rPr>
              <w:t>Total (%)</w:t>
            </w:r>
          </w:p>
        </w:tc>
      </w:tr>
      <w:tr w:rsidR="00A25BEE"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0"/>
        </w:trPr>
        <w:tc>
          <w:tcPr>
            <w:tcW w:w="2512" w:type="dxa"/>
          </w:tcPr>
          <w:p w:rsidR="00A25BEE" w:rsidRPr="00E66557" w:rsidRDefault="00A25BEE" w:rsidP="00553238">
            <w:pPr>
              <w:rPr>
                <w:rFonts w:ascii="Arial" w:hAnsi="Arial" w:cs="Arial"/>
                <w:sz w:val="20"/>
                <w:szCs w:val="20"/>
              </w:rPr>
            </w:pPr>
            <w:r w:rsidRPr="00E66557">
              <w:rPr>
                <w:rFonts w:ascii="Arial" w:hAnsi="Arial" w:cs="Arial"/>
                <w:sz w:val="20"/>
                <w:szCs w:val="20"/>
              </w:rPr>
              <w:t>C (Control)</w:t>
            </w:r>
          </w:p>
        </w:tc>
        <w:tc>
          <w:tcPr>
            <w:tcW w:w="2099"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100</w:t>
            </w:r>
          </w:p>
        </w:tc>
        <w:tc>
          <w:tcPr>
            <w:tcW w:w="2313"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0</w:t>
            </w:r>
          </w:p>
        </w:tc>
        <w:tc>
          <w:tcPr>
            <w:tcW w:w="2318"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100</w:t>
            </w:r>
          </w:p>
        </w:tc>
      </w:tr>
      <w:tr w:rsidR="00A25BEE"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9"/>
        </w:trPr>
        <w:tc>
          <w:tcPr>
            <w:tcW w:w="2512" w:type="dxa"/>
          </w:tcPr>
          <w:p w:rsidR="00A25BEE" w:rsidRPr="00E66557" w:rsidRDefault="00A25BEE" w:rsidP="00553238">
            <w:pPr>
              <w:rPr>
                <w:rFonts w:ascii="Arial" w:hAnsi="Arial" w:cs="Arial"/>
                <w:sz w:val="20"/>
                <w:szCs w:val="20"/>
              </w:rPr>
            </w:pPr>
            <w:r w:rsidRPr="00E66557">
              <w:rPr>
                <w:rFonts w:ascii="Arial" w:hAnsi="Arial" w:cs="Arial"/>
                <w:sz w:val="20"/>
                <w:szCs w:val="20"/>
              </w:rPr>
              <w:t>T1</w:t>
            </w:r>
          </w:p>
        </w:tc>
        <w:tc>
          <w:tcPr>
            <w:tcW w:w="2099"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98</w:t>
            </w:r>
          </w:p>
        </w:tc>
        <w:tc>
          <w:tcPr>
            <w:tcW w:w="2313"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2</w:t>
            </w:r>
          </w:p>
        </w:tc>
        <w:tc>
          <w:tcPr>
            <w:tcW w:w="2318"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100</w:t>
            </w:r>
          </w:p>
        </w:tc>
      </w:tr>
      <w:tr w:rsidR="00A25BEE"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2512" w:type="dxa"/>
          </w:tcPr>
          <w:p w:rsidR="00A25BEE" w:rsidRPr="00E66557" w:rsidRDefault="00A25BEE" w:rsidP="00553238">
            <w:pPr>
              <w:rPr>
                <w:rFonts w:ascii="Arial" w:hAnsi="Arial" w:cs="Arial"/>
                <w:sz w:val="20"/>
                <w:szCs w:val="20"/>
              </w:rPr>
            </w:pPr>
            <w:r w:rsidRPr="00E66557">
              <w:rPr>
                <w:rFonts w:ascii="Arial" w:hAnsi="Arial" w:cs="Arial"/>
                <w:sz w:val="20"/>
                <w:szCs w:val="20"/>
              </w:rPr>
              <w:t>T2</w:t>
            </w:r>
          </w:p>
        </w:tc>
        <w:tc>
          <w:tcPr>
            <w:tcW w:w="2099"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96</w:t>
            </w:r>
          </w:p>
        </w:tc>
        <w:tc>
          <w:tcPr>
            <w:tcW w:w="2313"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4</w:t>
            </w:r>
          </w:p>
        </w:tc>
        <w:tc>
          <w:tcPr>
            <w:tcW w:w="2318"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100</w:t>
            </w:r>
          </w:p>
        </w:tc>
      </w:tr>
      <w:tr w:rsidR="00A25BEE"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3"/>
        </w:trPr>
        <w:tc>
          <w:tcPr>
            <w:tcW w:w="2512" w:type="dxa"/>
          </w:tcPr>
          <w:p w:rsidR="00A25BEE" w:rsidRPr="00E66557" w:rsidRDefault="00A25BEE" w:rsidP="00553238">
            <w:pPr>
              <w:rPr>
                <w:rFonts w:ascii="Arial" w:hAnsi="Arial" w:cs="Arial"/>
                <w:sz w:val="20"/>
                <w:szCs w:val="20"/>
              </w:rPr>
            </w:pPr>
            <w:r w:rsidRPr="00E66557">
              <w:rPr>
                <w:rFonts w:ascii="Arial" w:hAnsi="Arial" w:cs="Arial"/>
                <w:sz w:val="20"/>
                <w:szCs w:val="20"/>
              </w:rPr>
              <w:t>T3</w:t>
            </w:r>
          </w:p>
        </w:tc>
        <w:tc>
          <w:tcPr>
            <w:tcW w:w="2099"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92</w:t>
            </w:r>
          </w:p>
        </w:tc>
        <w:tc>
          <w:tcPr>
            <w:tcW w:w="2313"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8</w:t>
            </w:r>
          </w:p>
        </w:tc>
        <w:tc>
          <w:tcPr>
            <w:tcW w:w="2318"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100</w:t>
            </w:r>
          </w:p>
        </w:tc>
      </w:tr>
      <w:tr w:rsidR="00A25BEE"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9"/>
        </w:trPr>
        <w:tc>
          <w:tcPr>
            <w:tcW w:w="2512" w:type="dxa"/>
          </w:tcPr>
          <w:p w:rsidR="00A25BEE" w:rsidRPr="00E66557" w:rsidRDefault="00A25BEE" w:rsidP="00553238">
            <w:pPr>
              <w:rPr>
                <w:rFonts w:ascii="Arial" w:hAnsi="Arial" w:cs="Arial"/>
                <w:sz w:val="20"/>
                <w:szCs w:val="20"/>
              </w:rPr>
            </w:pPr>
            <w:r w:rsidRPr="00E66557">
              <w:rPr>
                <w:rFonts w:ascii="Arial" w:hAnsi="Arial" w:cs="Arial"/>
                <w:sz w:val="20"/>
                <w:szCs w:val="20"/>
              </w:rPr>
              <w:lastRenderedPageBreak/>
              <w:t>T4</w:t>
            </w:r>
          </w:p>
        </w:tc>
        <w:tc>
          <w:tcPr>
            <w:tcW w:w="2099"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84</w:t>
            </w:r>
          </w:p>
        </w:tc>
        <w:tc>
          <w:tcPr>
            <w:tcW w:w="2313"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16</w:t>
            </w:r>
          </w:p>
        </w:tc>
        <w:tc>
          <w:tcPr>
            <w:tcW w:w="2318" w:type="dxa"/>
            <w:gridSpan w:val="2"/>
          </w:tcPr>
          <w:p w:rsidR="00A25BEE" w:rsidRPr="00E66557" w:rsidRDefault="00A25BEE" w:rsidP="00553238">
            <w:pPr>
              <w:rPr>
                <w:rFonts w:ascii="Arial" w:hAnsi="Arial" w:cs="Arial"/>
                <w:sz w:val="20"/>
                <w:szCs w:val="20"/>
              </w:rPr>
            </w:pPr>
            <w:r w:rsidRPr="00E66557">
              <w:rPr>
                <w:rFonts w:ascii="Arial" w:hAnsi="Arial" w:cs="Arial"/>
                <w:sz w:val="20"/>
                <w:szCs w:val="20"/>
              </w:rPr>
              <w:t>100</w:t>
            </w:r>
          </w:p>
        </w:tc>
      </w:tr>
    </w:tbl>
    <w:p w:rsidR="00193242" w:rsidRPr="00A25BEE" w:rsidRDefault="00193242" w:rsidP="00BB0878">
      <w:pPr>
        <w:spacing w:before="100" w:beforeAutospacing="1" w:after="100" w:afterAutospacing="1" w:line="240" w:lineRule="auto"/>
        <w:jc w:val="both"/>
        <w:rPr>
          <w:rFonts w:ascii="Arial" w:eastAsia="Times New Roman" w:hAnsi="Arial" w:cs="Arial"/>
          <w:b/>
          <w:sz w:val="20"/>
          <w:szCs w:val="20"/>
          <w:lang w:eastAsia="en-IN"/>
        </w:rPr>
      </w:pPr>
      <w:r w:rsidRPr="00A25BEE">
        <w:rPr>
          <w:rFonts w:ascii="Arial" w:eastAsia="Times New Roman" w:hAnsi="Arial" w:cs="Arial"/>
          <w:b/>
          <w:iCs/>
          <w:sz w:val="20"/>
          <w:szCs w:val="20"/>
          <w:lang w:eastAsia="en-IN"/>
        </w:rPr>
        <w:t>Basal diet composition: groundnut oil cake (40%), rice bran (40%), wheat flour (20%)</w:t>
      </w:r>
    </w:p>
    <w:p w:rsidR="00193242" w:rsidRPr="00F415A9" w:rsidRDefault="00193242" w:rsidP="00BB0878">
      <w:pPr>
        <w:spacing w:before="100" w:beforeAutospacing="1" w:after="100" w:afterAutospacing="1" w:line="240" w:lineRule="auto"/>
        <w:jc w:val="both"/>
        <w:outlineLvl w:val="2"/>
        <w:rPr>
          <w:rFonts w:ascii="Arial" w:eastAsia="Times New Roman" w:hAnsi="Arial" w:cs="Arial"/>
          <w:b/>
          <w:bCs/>
          <w:lang w:eastAsia="en-IN"/>
        </w:rPr>
      </w:pPr>
      <w:r w:rsidRPr="00BB0878">
        <w:rPr>
          <w:rFonts w:ascii="Arial" w:eastAsia="Times New Roman" w:hAnsi="Arial" w:cs="Arial"/>
          <w:b/>
          <w:bCs/>
          <w:sz w:val="20"/>
          <w:szCs w:val="20"/>
          <w:lang w:eastAsia="en-IN"/>
        </w:rPr>
        <w:t xml:space="preserve">2.3 </w:t>
      </w:r>
      <w:r w:rsidRPr="00F415A9">
        <w:rPr>
          <w:rFonts w:ascii="Arial" w:eastAsia="Times New Roman" w:hAnsi="Arial" w:cs="Arial"/>
          <w:b/>
          <w:bCs/>
          <w:lang w:eastAsia="en-IN"/>
        </w:rPr>
        <w:t>Growth Parameters</w:t>
      </w:r>
      <w:r w:rsidR="00F415A9">
        <w:rPr>
          <w:rFonts w:ascii="Arial" w:eastAsia="Times New Roman" w:hAnsi="Arial" w:cs="Arial"/>
          <w:b/>
          <w:bCs/>
          <w:lang w:eastAsia="en-IN"/>
        </w:rPr>
        <w: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Growth parameters were evaluated at 15-day intervals using the</w:t>
      </w:r>
      <w:r w:rsidR="00607B2A">
        <w:rPr>
          <w:rFonts w:ascii="Arial" w:eastAsia="Times New Roman" w:hAnsi="Arial" w:cs="Arial"/>
          <w:sz w:val="20"/>
          <w:szCs w:val="20"/>
          <w:lang w:eastAsia="en-IN"/>
        </w:rPr>
        <w:t xml:space="preserve"> </w:t>
      </w:r>
      <w:r w:rsidR="00BA3A0F">
        <w:rPr>
          <w:rFonts w:ascii="Arial" w:eastAsia="Times New Roman" w:hAnsi="Arial" w:cs="Arial"/>
          <w:sz w:val="20"/>
          <w:szCs w:val="20"/>
          <w:lang w:eastAsia="en-IN"/>
        </w:rPr>
        <w:t>(</w:t>
      </w:r>
      <w:proofErr w:type="spellStart"/>
      <w:r w:rsidR="00BA3A0F">
        <w:rPr>
          <w:rFonts w:ascii="Arial" w:eastAsia="Times New Roman" w:hAnsi="Arial" w:cs="Arial"/>
          <w:sz w:val="20"/>
          <w:szCs w:val="20"/>
          <w:lang w:eastAsia="en-IN"/>
        </w:rPr>
        <w:t>Bagenal</w:t>
      </w:r>
      <w:proofErr w:type="spellEnd"/>
      <w:r w:rsidR="00BA3A0F">
        <w:rPr>
          <w:rFonts w:ascii="Arial" w:eastAsia="Times New Roman" w:hAnsi="Arial" w:cs="Arial"/>
          <w:sz w:val="20"/>
          <w:szCs w:val="20"/>
          <w:lang w:eastAsia="en-IN"/>
        </w:rPr>
        <w:t xml:space="preserve"> and </w:t>
      </w:r>
      <w:proofErr w:type="spellStart"/>
      <w:r w:rsidR="00BA3A0F">
        <w:rPr>
          <w:rFonts w:ascii="Arial" w:eastAsia="Times New Roman" w:hAnsi="Arial" w:cs="Arial"/>
          <w:sz w:val="20"/>
          <w:szCs w:val="20"/>
          <w:lang w:eastAsia="en-IN"/>
        </w:rPr>
        <w:t>Tesch</w:t>
      </w:r>
      <w:proofErr w:type="spellEnd"/>
      <w:r w:rsidR="00BA3A0F">
        <w:rPr>
          <w:rFonts w:ascii="Arial" w:eastAsia="Times New Roman" w:hAnsi="Arial" w:cs="Arial"/>
          <w:sz w:val="20"/>
          <w:szCs w:val="20"/>
          <w:lang w:eastAsia="en-IN"/>
        </w:rPr>
        <w:t>, 1978) formulas which are given below:</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Weight gain (g)</w:t>
      </w:r>
      <w:r w:rsidRPr="00BB0878">
        <w:rPr>
          <w:rFonts w:ascii="Arial" w:eastAsia="Times New Roman" w:hAnsi="Arial" w:cs="Arial"/>
          <w:sz w:val="20"/>
          <w:szCs w:val="20"/>
          <w:lang w:eastAsia="en-IN"/>
        </w:rPr>
        <w:t xml:space="preserve"> = Final weight (g) - Initial weight (g)</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Specific Growth Rate (SGR)</w:t>
      </w:r>
      <w:r w:rsidRPr="00BB0878">
        <w:rPr>
          <w:rFonts w:ascii="Arial" w:eastAsia="Times New Roman" w:hAnsi="Arial" w:cs="Arial"/>
          <w:sz w:val="20"/>
          <w:szCs w:val="20"/>
          <w:lang w:eastAsia="en-IN"/>
        </w:rPr>
        <w:t xml:space="preserve"> = [(ln </w:t>
      </w:r>
      <w:proofErr w:type="spellStart"/>
      <w:r w:rsidRPr="00BB0878">
        <w:rPr>
          <w:rFonts w:ascii="Arial" w:eastAsia="Times New Roman" w:hAnsi="Arial" w:cs="Arial"/>
          <w:sz w:val="20"/>
          <w:szCs w:val="20"/>
          <w:lang w:eastAsia="en-IN"/>
        </w:rPr>
        <w:t>Wt</w:t>
      </w:r>
      <w:proofErr w:type="spellEnd"/>
      <w:r w:rsidRPr="00BB0878">
        <w:rPr>
          <w:rFonts w:ascii="Arial" w:eastAsia="Times New Roman" w:hAnsi="Arial" w:cs="Arial"/>
          <w:sz w:val="20"/>
          <w:szCs w:val="20"/>
          <w:lang w:eastAsia="en-IN"/>
        </w:rPr>
        <w:t xml:space="preserve"> - ln W0) / D] × 100 Where: ln = natural logarithm, W0 = initial weight (g), </w:t>
      </w:r>
      <w:proofErr w:type="spellStart"/>
      <w:r w:rsidRPr="00BB0878">
        <w:rPr>
          <w:rFonts w:ascii="Arial" w:eastAsia="Times New Roman" w:hAnsi="Arial" w:cs="Arial"/>
          <w:sz w:val="20"/>
          <w:szCs w:val="20"/>
          <w:lang w:eastAsia="en-IN"/>
        </w:rPr>
        <w:t>Wt</w:t>
      </w:r>
      <w:proofErr w:type="spellEnd"/>
      <w:r w:rsidRPr="00BB0878">
        <w:rPr>
          <w:rFonts w:ascii="Arial" w:eastAsia="Times New Roman" w:hAnsi="Arial" w:cs="Arial"/>
          <w:sz w:val="20"/>
          <w:szCs w:val="20"/>
          <w:lang w:eastAsia="en-IN"/>
        </w:rPr>
        <w:t xml:space="preserve"> = final weight (g), D = duration (days)</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Feed Conversion Ratio (FCR)</w:t>
      </w:r>
      <w:r w:rsidRPr="00BB0878">
        <w:rPr>
          <w:rFonts w:ascii="Arial" w:eastAsia="Times New Roman" w:hAnsi="Arial" w:cs="Arial"/>
          <w:sz w:val="20"/>
          <w:szCs w:val="20"/>
          <w:lang w:eastAsia="en-IN"/>
        </w:rPr>
        <w:t xml:space="preserve"> = Feed given (g) / Weight gain (g)</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Survival rate (%)</w:t>
      </w:r>
      <w:r w:rsidRPr="00BB0878">
        <w:rPr>
          <w:rFonts w:ascii="Arial" w:eastAsia="Times New Roman" w:hAnsi="Arial" w:cs="Arial"/>
          <w:sz w:val="20"/>
          <w:szCs w:val="20"/>
          <w:lang w:eastAsia="en-IN"/>
        </w:rPr>
        <w:t xml:space="preserve"> = (Number of survivors / Initial stocking) × 100</w:t>
      </w:r>
    </w:p>
    <w:p w:rsidR="00193242" w:rsidRPr="00BB0878" w:rsidRDefault="00193242" w:rsidP="00BB0878">
      <w:pPr>
        <w:spacing w:before="100" w:beforeAutospacing="1" w:after="100" w:afterAutospacing="1" w:line="240" w:lineRule="auto"/>
        <w:jc w:val="both"/>
        <w:outlineLvl w:val="2"/>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 xml:space="preserve">2.4 </w:t>
      </w:r>
      <w:r w:rsidRPr="00F415A9">
        <w:rPr>
          <w:rFonts w:ascii="Arial" w:eastAsia="Times New Roman" w:hAnsi="Arial" w:cs="Arial"/>
          <w:b/>
          <w:bCs/>
          <w:lang w:eastAsia="en-IN"/>
        </w:rPr>
        <w:t>Water Quality Parameters</w:t>
      </w:r>
      <w:r w:rsidR="00F415A9">
        <w:rPr>
          <w:rFonts w:ascii="Arial" w:eastAsia="Times New Roman" w:hAnsi="Arial" w:cs="Arial"/>
          <w:b/>
          <w:bCs/>
          <w:lang w:eastAsia="en-IN"/>
        </w:rPr>
        <w: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Water samples were collected initially and subsequently every 15 days for analysis following standard APHA (2005) methods.</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Temperature:</w:t>
      </w:r>
      <w:r w:rsidRPr="00BB0878">
        <w:rPr>
          <w:rFonts w:ascii="Arial" w:eastAsia="Times New Roman" w:hAnsi="Arial" w:cs="Arial"/>
          <w:sz w:val="20"/>
          <w:szCs w:val="20"/>
          <w:lang w:eastAsia="en-IN"/>
        </w:rPr>
        <w:t xml:space="preserve"> Measured directly using a digital thermometer</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pH:</w:t>
      </w:r>
      <w:r w:rsidRPr="00BB0878">
        <w:rPr>
          <w:rFonts w:ascii="Arial" w:eastAsia="Times New Roman" w:hAnsi="Arial" w:cs="Arial"/>
          <w:sz w:val="20"/>
          <w:szCs w:val="20"/>
          <w:lang w:eastAsia="en-IN"/>
        </w:rPr>
        <w:t xml:space="preserve"> Determined using a standardized digital pH meter</w:t>
      </w:r>
      <w:r w:rsidR="00BA3A0F">
        <w:rPr>
          <w:rFonts w:ascii="Arial" w:eastAsia="Times New Roman" w:hAnsi="Arial" w:cs="Arial"/>
          <w:sz w:val="20"/>
          <w:szCs w:val="20"/>
          <w:lang w:eastAsia="en-IN"/>
        </w:rPr>
        <w:t xml:space="preserve"> model number G LAB original Hanna.</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Dissolved Oxygen (DO):</w:t>
      </w:r>
      <w:r w:rsidRPr="00BB0878">
        <w:rPr>
          <w:rFonts w:ascii="Arial" w:eastAsia="Times New Roman" w:hAnsi="Arial" w:cs="Arial"/>
          <w:sz w:val="20"/>
          <w:szCs w:val="20"/>
          <w:lang w:eastAsia="en-IN"/>
        </w:rPr>
        <w:t xml:space="preserve"> </w:t>
      </w:r>
      <w:proofErr w:type="spellStart"/>
      <w:r w:rsidRPr="00BB0878">
        <w:rPr>
          <w:rFonts w:ascii="Arial" w:eastAsia="Times New Roman" w:hAnsi="Arial" w:cs="Arial"/>
          <w:sz w:val="20"/>
          <w:szCs w:val="20"/>
          <w:lang w:eastAsia="en-IN"/>
        </w:rPr>
        <w:t>Analyzed</w:t>
      </w:r>
      <w:proofErr w:type="spellEnd"/>
      <w:r w:rsidRPr="00BB0878">
        <w:rPr>
          <w:rFonts w:ascii="Arial" w:eastAsia="Times New Roman" w:hAnsi="Arial" w:cs="Arial"/>
          <w:sz w:val="20"/>
          <w:szCs w:val="20"/>
          <w:lang w:eastAsia="en-IN"/>
        </w:rPr>
        <w:t xml:space="preserve"> using the modified Winkler's method with sodium thiosulfate titration</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Alkalinity:</w:t>
      </w:r>
      <w:r w:rsidRPr="00BB0878">
        <w:rPr>
          <w:rFonts w:ascii="Arial" w:eastAsia="Times New Roman" w:hAnsi="Arial" w:cs="Arial"/>
          <w:sz w:val="20"/>
          <w:szCs w:val="20"/>
          <w:lang w:eastAsia="en-IN"/>
        </w:rPr>
        <w:t xml:space="preserve"> Measured as CaCO3 equivalent</w:t>
      </w:r>
    </w:p>
    <w:p w:rsidR="00193242" w:rsidRPr="00F415A9" w:rsidRDefault="00193242" w:rsidP="00BB0878">
      <w:pPr>
        <w:spacing w:before="100" w:beforeAutospacing="1" w:after="100" w:afterAutospacing="1" w:line="240" w:lineRule="auto"/>
        <w:jc w:val="both"/>
        <w:outlineLvl w:val="2"/>
        <w:rPr>
          <w:rFonts w:ascii="Arial" w:eastAsia="Times New Roman" w:hAnsi="Arial" w:cs="Arial"/>
          <w:b/>
          <w:bCs/>
          <w:lang w:eastAsia="en-IN"/>
        </w:rPr>
      </w:pPr>
      <w:r w:rsidRPr="00BB0878">
        <w:rPr>
          <w:rFonts w:ascii="Arial" w:eastAsia="Times New Roman" w:hAnsi="Arial" w:cs="Arial"/>
          <w:b/>
          <w:bCs/>
          <w:sz w:val="20"/>
          <w:szCs w:val="20"/>
          <w:lang w:eastAsia="en-IN"/>
        </w:rPr>
        <w:t xml:space="preserve">2.5 </w:t>
      </w:r>
      <w:r w:rsidRPr="00F415A9">
        <w:rPr>
          <w:rFonts w:ascii="Arial" w:eastAsia="Times New Roman" w:hAnsi="Arial" w:cs="Arial"/>
          <w:b/>
          <w:bCs/>
          <w:lang w:eastAsia="en-IN"/>
        </w:rPr>
        <w:t>Statistical Analysis</w:t>
      </w:r>
      <w:r w:rsidR="00F415A9">
        <w:rPr>
          <w:rFonts w:ascii="Arial" w:eastAsia="Times New Roman" w:hAnsi="Arial" w:cs="Arial"/>
          <w:b/>
          <w:bCs/>
          <w:lang w:eastAsia="en-IN"/>
        </w:rPr>
        <w: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 xml:space="preserve">Data were </w:t>
      </w:r>
      <w:proofErr w:type="spellStart"/>
      <w:r w:rsidRPr="00BB0878">
        <w:rPr>
          <w:rFonts w:ascii="Arial" w:eastAsia="Times New Roman" w:hAnsi="Arial" w:cs="Arial"/>
          <w:sz w:val="20"/>
          <w:szCs w:val="20"/>
          <w:lang w:eastAsia="en-IN"/>
        </w:rPr>
        <w:t>analyzed</w:t>
      </w:r>
      <w:proofErr w:type="spellEnd"/>
      <w:r w:rsidRPr="00BB0878">
        <w:rPr>
          <w:rFonts w:ascii="Arial" w:eastAsia="Times New Roman" w:hAnsi="Arial" w:cs="Arial"/>
          <w:sz w:val="20"/>
          <w:szCs w:val="20"/>
          <w:lang w:eastAsia="en-IN"/>
        </w:rPr>
        <w:t xml:space="preserve"> using one-way ANOVA followed by Duncan's multiple range test using SPSS 16.0. Significance was set at P &lt; 0.05.</w:t>
      </w:r>
    </w:p>
    <w:p w:rsidR="00193242" w:rsidRPr="00BB0878" w:rsidRDefault="00193242" w:rsidP="00BB0878">
      <w:pPr>
        <w:spacing w:before="100" w:beforeAutospacing="1" w:after="100" w:afterAutospacing="1" w:line="240" w:lineRule="auto"/>
        <w:jc w:val="both"/>
        <w:outlineLvl w:val="1"/>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 xml:space="preserve">3. </w:t>
      </w:r>
      <w:r w:rsidRPr="00F415A9">
        <w:rPr>
          <w:rFonts w:ascii="Arial" w:eastAsia="Times New Roman" w:hAnsi="Arial" w:cs="Arial"/>
          <w:b/>
          <w:bCs/>
          <w:lang w:eastAsia="en-IN"/>
        </w:rPr>
        <w:t>Results and Discussion</w:t>
      </w:r>
      <w:r w:rsidR="00E66557" w:rsidRPr="00F415A9">
        <w:rPr>
          <w:rFonts w:ascii="Arial" w:eastAsia="Times New Roman" w:hAnsi="Arial" w:cs="Arial"/>
          <w:b/>
          <w:bCs/>
          <w:lang w:eastAsia="en-IN"/>
        </w:rPr>
        <w:t>:</w:t>
      </w:r>
    </w:p>
    <w:p w:rsidR="00193242" w:rsidRPr="00BB0878" w:rsidRDefault="00193242" w:rsidP="00BB0878">
      <w:pPr>
        <w:spacing w:before="100" w:beforeAutospacing="1" w:after="100" w:afterAutospacing="1" w:line="240" w:lineRule="auto"/>
        <w:jc w:val="both"/>
        <w:outlineLvl w:val="2"/>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 xml:space="preserve">3.1 </w:t>
      </w:r>
      <w:r w:rsidRPr="00F415A9">
        <w:rPr>
          <w:rFonts w:ascii="Arial" w:eastAsia="Times New Roman" w:hAnsi="Arial" w:cs="Arial"/>
          <w:b/>
          <w:bCs/>
          <w:lang w:eastAsia="en-IN"/>
        </w:rPr>
        <w:t>Water Quality Parameters</w:t>
      </w:r>
      <w:r w:rsidR="00E66557" w:rsidRPr="00F415A9">
        <w:rPr>
          <w:rFonts w:ascii="Arial" w:eastAsia="Times New Roman" w:hAnsi="Arial" w:cs="Arial"/>
          <w:b/>
          <w:bCs/>
          <w:lang w:eastAsia="en-IN"/>
        </w:rPr>
        <w: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Water quality parameters remained within acceptable ranges throughout the experimental period, indicating that MLM supplementation did not adversely affect the culture environment.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Temperature:</w:t>
      </w:r>
      <w:r w:rsidR="00BA3A0F">
        <w:rPr>
          <w:rFonts w:ascii="Arial" w:eastAsia="Times New Roman" w:hAnsi="Arial" w:cs="Arial"/>
          <w:b/>
          <w:bCs/>
          <w:sz w:val="20"/>
          <w:szCs w:val="20"/>
          <w:lang w:eastAsia="en-IN"/>
        </w:rPr>
        <w:t xml:space="preserve"> </w:t>
      </w:r>
      <w:r w:rsidR="00BA3A0F">
        <w:rPr>
          <w:rFonts w:ascii="Arial" w:eastAsia="Times New Roman" w:hAnsi="Arial" w:cs="Arial"/>
          <w:bCs/>
          <w:sz w:val="20"/>
          <w:szCs w:val="20"/>
          <w:lang w:eastAsia="en-IN"/>
        </w:rPr>
        <w:t>The experimental record was carried out in most monsoons and Probably post</w:t>
      </w:r>
      <w:r w:rsidR="008D191A">
        <w:rPr>
          <w:rFonts w:ascii="Arial" w:eastAsia="Times New Roman" w:hAnsi="Arial" w:cs="Arial"/>
          <w:bCs/>
          <w:sz w:val="20"/>
          <w:szCs w:val="20"/>
          <w:lang w:eastAsia="en-IN"/>
        </w:rPr>
        <w:t>-</w:t>
      </w:r>
      <w:r w:rsidR="008D191A" w:rsidRPr="00BC3235">
        <w:rPr>
          <w:rFonts w:ascii="Arial" w:eastAsia="Times New Roman" w:hAnsi="Arial" w:cs="Arial"/>
          <w:bCs/>
          <w:sz w:val="20"/>
          <w:szCs w:val="20"/>
          <w:highlight w:val="yellow"/>
          <w:lang w:eastAsia="en-IN"/>
        </w:rPr>
        <w:t>m</w:t>
      </w:r>
      <w:r w:rsidR="00BA3A0F" w:rsidRPr="00BC3235">
        <w:rPr>
          <w:rFonts w:ascii="Arial" w:eastAsia="Times New Roman" w:hAnsi="Arial" w:cs="Arial"/>
          <w:bCs/>
          <w:sz w:val="20"/>
          <w:szCs w:val="20"/>
          <w:highlight w:val="yellow"/>
          <w:lang w:eastAsia="en-IN"/>
        </w:rPr>
        <w:t>onso</w:t>
      </w:r>
      <w:r w:rsidR="00BA3A0F">
        <w:rPr>
          <w:rFonts w:ascii="Arial" w:eastAsia="Times New Roman" w:hAnsi="Arial" w:cs="Arial"/>
          <w:bCs/>
          <w:sz w:val="20"/>
          <w:szCs w:val="20"/>
          <w:lang w:eastAsia="en-IN"/>
        </w:rPr>
        <w:t>ons period.</w:t>
      </w:r>
      <w:r w:rsidRPr="00BB0878">
        <w:rPr>
          <w:rFonts w:ascii="Arial" w:eastAsia="Times New Roman" w:hAnsi="Arial" w:cs="Arial"/>
          <w:sz w:val="20"/>
          <w:szCs w:val="20"/>
          <w:lang w:eastAsia="en-IN"/>
        </w:rPr>
        <w:t xml:space="preserve"> Water temperature ranged from 25.10-26.60°C across all treatments, with minimal variation between treatments (25.74-25.83°C). These values fall within the optimal range recommended for carp culture.</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pH:</w:t>
      </w:r>
      <w:r w:rsidRPr="00BB0878">
        <w:rPr>
          <w:rFonts w:ascii="Arial" w:eastAsia="Times New Roman" w:hAnsi="Arial" w:cs="Arial"/>
          <w:sz w:val="20"/>
          <w:szCs w:val="20"/>
          <w:lang w:eastAsia="en-IN"/>
        </w:rPr>
        <w:t xml:space="preserve"> All treatments maintained alkaline conditions with pH values ranging from 7.8-8.4. Treatment T1 showed the highest average pH (8.25), while T2 had the lowest (8.1).</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Alkalinity:</w:t>
      </w:r>
      <w:r w:rsidRPr="00BB0878">
        <w:rPr>
          <w:rFonts w:ascii="Arial" w:eastAsia="Times New Roman" w:hAnsi="Arial" w:cs="Arial"/>
          <w:sz w:val="20"/>
          <w:szCs w:val="20"/>
          <w:lang w:eastAsia="en-IN"/>
        </w:rPr>
        <w:t xml:space="preserve"> Total alkalinity varied between 110.0-134.0 mg/L across treatments. The control group showed the minimum average alkalinity (117 mg/L), while T3 had the maximum (128 mg/L).</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lastRenderedPageBreak/>
        <w:t>Dissolved Oxygen:</w:t>
      </w:r>
      <w:r w:rsidRPr="00BB0878">
        <w:rPr>
          <w:rFonts w:ascii="Arial" w:eastAsia="Times New Roman" w:hAnsi="Arial" w:cs="Arial"/>
          <w:sz w:val="20"/>
          <w:szCs w:val="20"/>
          <w:lang w:eastAsia="en-IN"/>
        </w:rPr>
        <w:t xml:space="preserve"> DO concentrations remained above the critical minimum level of 4.0 mg/L in all treatments. The control group maintained the highest mean DO (7.15 mg/L), while T3 showed the lowest (5.2 mg/L), though still within acceptable limits.</w:t>
      </w:r>
    </w:p>
    <w:p w:rsidR="00193242" w:rsidRPr="00BB0878" w:rsidRDefault="00193242" w:rsidP="00BB0878">
      <w:pPr>
        <w:spacing w:before="100" w:beforeAutospacing="1" w:after="100" w:afterAutospacing="1" w:line="240" w:lineRule="auto"/>
        <w:jc w:val="both"/>
        <w:outlineLvl w:val="2"/>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 xml:space="preserve">3.2 </w:t>
      </w:r>
      <w:r w:rsidRPr="00F415A9">
        <w:rPr>
          <w:rFonts w:ascii="Arial" w:eastAsia="Times New Roman" w:hAnsi="Arial" w:cs="Arial"/>
          <w:b/>
          <w:bCs/>
          <w:lang w:eastAsia="en-IN"/>
        </w:rPr>
        <w:t>Growth Parameters</w:t>
      </w:r>
      <w:r w:rsidR="00E66557" w:rsidRPr="00F415A9">
        <w:rPr>
          <w:rFonts w:ascii="Arial" w:eastAsia="Times New Roman" w:hAnsi="Arial" w:cs="Arial"/>
          <w:b/>
          <w:bCs/>
          <w:lang w:eastAsia="en-IN"/>
        </w:rPr>
        <w: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MLM supplementation significantly improved all growth parameters compared to the control group, with T3 (8% MLM) showing optimal performance.</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Weight Gain:</w:t>
      </w:r>
      <w:r w:rsidRPr="00BB0878">
        <w:rPr>
          <w:rFonts w:ascii="Arial" w:eastAsia="Times New Roman" w:hAnsi="Arial" w:cs="Arial"/>
          <w:sz w:val="20"/>
          <w:szCs w:val="20"/>
          <w:lang w:eastAsia="en-IN"/>
        </w:rPr>
        <w:t xml:space="preserve"> Net weight gain was significantly higher in all treatments compared to control. T3 achieved the highest weight gain (19.31±0.136 g), while the control showed the lowest (9.43±0.043 g). ANOVA confirmed significant differences between treatments and control (P &lt; 0.05).</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Percentage Weight Gain:</w:t>
      </w:r>
      <w:r w:rsidRPr="00BB0878">
        <w:rPr>
          <w:rFonts w:ascii="Arial" w:eastAsia="Times New Roman" w:hAnsi="Arial" w:cs="Arial"/>
          <w:sz w:val="20"/>
          <w:szCs w:val="20"/>
          <w:lang w:eastAsia="en-IN"/>
        </w:rPr>
        <w:t xml:space="preserve"> T3 demonstrated the highest percentage weight gain (59.77±1.557%), significantly superior to the control (34.96±0.422%). All treatments showed significantly better performance than control.</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Specific Growth Rate (SGR):</w:t>
      </w:r>
      <w:r w:rsidRPr="00BB0878">
        <w:rPr>
          <w:rFonts w:ascii="Arial" w:eastAsia="Times New Roman" w:hAnsi="Arial" w:cs="Arial"/>
          <w:sz w:val="20"/>
          <w:szCs w:val="20"/>
          <w:lang w:eastAsia="en-IN"/>
        </w:rPr>
        <w:t xml:space="preserve"> The highest SGR was recorded in T3 (0.036±0.016), while the control showed the lowest (0.022±0.005). Statistical analysis confirmed significant differences between treatments.</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Feed Conversion Ratio (FCR):</w:t>
      </w:r>
      <w:r w:rsidRPr="00BB0878">
        <w:rPr>
          <w:rFonts w:ascii="Arial" w:eastAsia="Times New Roman" w:hAnsi="Arial" w:cs="Arial"/>
          <w:sz w:val="20"/>
          <w:szCs w:val="20"/>
          <w:lang w:eastAsia="en-IN"/>
        </w:rPr>
        <w:t xml:space="preserve"> T3 exhibited the most efficient feed utilization with the lowest FCR (2.92±0.071), while the control showed the poorest performance (5.31±0.052). Lower FCR values indicate better feed efficiency.</w:t>
      </w:r>
    </w:p>
    <w:p w:rsidR="00193242" w:rsidRDefault="00193242" w:rsidP="00BB0878">
      <w:pPr>
        <w:spacing w:before="100" w:beforeAutospacing="1" w:after="100" w:afterAutospacing="1" w:line="240" w:lineRule="auto"/>
        <w:jc w:val="both"/>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Table 2: Growth performance of rohu fingerlings fed different levels of mango leaf meal</w:t>
      </w:r>
    </w:p>
    <w:tbl>
      <w:tblPr>
        <w:tblStyle w:val="TableGrid"/>
        <w:tblW w:w="0" w:type="auto"/>
        <w:tblLook w:val="04A0" w:firstRow="1" w:lastRow="0" w:firstColumn="1" w:lastColumn="0" w:noHBand="0" w:noVBand="1"/>
      </w:tblPr>
      <w:tblGrid>
        <w:gridCol w:w="1661"/>
        <w:gridCol w:w="1558"/>
        <w:gridCol w:w="1559"/>
        <w:gridCol w:w="1390"/>
        <w:gridCol w:w="8"/>
        <w:gridCol w:w="1530"/>
        <w:gridCol w:w="1536"/>
      </w:tblGrid>
      <w:tr w:rsidR="00E66557" w:rsidTr="00553238">
        <w:trPr>
          <w:trHeight w:val="474"/>
        </w:trPr>
        <w:tc>
          <w:tcPr>
            <w:tcW w:w="1669" w:type="dxa"/>
            <w:tcBorders>
              <w:right w:val="single" w:sz="4" w:space="0" w:color="auto"/>
            </w:tcBorders>
          </w:tcPr>
          <w:p w:rsidR="00E66557" w:rsidRPr="00E66557" w:rsidRDefault="00E66557" w:rsidP="00553238">
            <w:pPr>
              <w:rPr>
                <w:rFonts w:ascii="Arial" w:hAnsi="Arial" w:cs="Arial"/>
                <w:b/>
                <w:sz w:val="20"/>
                <w:szCs w:val="20"/>
              </w:rPr>
            </w:pPr>
            <w:r w:rsidRPr="00E66557">
              <w:rPr>
                <w:rFonts w:ascii="Arial" w:hAnsi="Arial" w:cs="Arial"/>
                <w:b/>
                <w:sz w:val="20"/>
                <w:szCs w:val="20"/>
              </w:rPr>
              <w:t>Parameter</w:t>
            </w:r>
          </w:p>
        </w:tc>
        <w:tc>
          <w:tcPr>
            <w:tcW w:w="1561" w:type="dxa"/>
            <w:tcBorders>
              <w:left w:val="single" w:sz="4" w:space="0" w:color="auto"/>
            </w:tcBorders>
          </w:tcPr>
          <w:p w:rsidR="00E66557" w:rsidRPr="00E66557" w:rsidRDefault="00E66557" w:rsidP="00553238">
            <w:pPr>
              <w:rPr>
                <w:rFonts w:ascii="Arial" w:hAnsi="Arial" w:cs="Arial"/>
                <w:b/>
                <w:sz w:val="20"/>
                <w:szCs w:val="20"/>
              </w:rPr>
            </w:pPr>
            <w:r w:rsidRPr="00E66557">
              <w:rPr>
                <w:rFonts w:ascii="Arial" w:hAnsi="Arial" w:cs="Arial"/>
                <w:b/>
                <w:sz w:val="20"/>
                <w:szCs w:val="20"/>
              </w:rPr>
              <w:t>Control</w:t>
            </w:r>
          </w:p>
        </w:tc>
        <w:tc>
          <w:tcPr>
            <w:tcW w:w="1562" w:type="dxa"/>
            <w:tcBorders>
              <w:right w:val="single" w:sz="4" w:space="0" w:color="auto"/>
            </w:tcBorders>
          </w:tcPr>
          <w:p w:rsidR="00E66557" w:rsidRPr="00E66557" w:rsidRDefault="00E66557" w:rsidP="00553238">
            <w:pPr>
              <w:rPr>
                <w:rFonts w:ascii="Arial" w:hAnsi="Arial" w:cs="Arial"/>
                <w:b/>
                <w:sz w:val="20"/>
                <w:szCs w:val="20"/>
              </w:rPr>
            </w:pPr>
            <w:r w:rsidRPr="00E66557">
              <w:rPr>
                <w:rFonts w:ascii="Arial" w:hAnsi="Arial" w:cs="Arial"/>
                <w:b/>
                <w:sz w:val="20"/>
                <w:szCs w:val="20"/>
              </w:rPr>
              <w:t>T1 (2%)</w:t>
            </w:r>
          </w:p>
        </w:tc>
        <w:tc>
          <w:tcPr>
            <w:tcW w:w="1372" w:type="dxa"/>
            <w:tcBorders>
              <w:left w:val="single" w:sz="4" w:space="0" w:color="auto"/>
              <w:right w:val="single" w:sz="4" w:space="0" w:color="auto"/>
            </w:tcBorders>
          </w:tcPr>
          <w:p w:rsidR="00E66557" w:rsidRPr="00E66557" w:rsidRDefault="00E66557" w:rsidP="00553238">
            <w:pPr>
              <w:rPr>
                <w:rFonts w:ascii="Arial" w:hAnsi="Arial" w:cs="Arial"/>
                <w:b/>
                <w:sz w:val="20"/>
                <w:szCs w:val="20"/>
              </w:rPr>
            </w:pPr>
            <w:r w:rsidRPr="00E66557">
              <w:rPr>
                <w:rFonts w:ascii="Arial" w:hAnsi="Arial" w:cs="Arial"/>
                <w:b/>
                <w:sz w:val="20"/>
                <w:szCs w:val="20"/>
              </w:rPr>
              <w:t>T2 (4%)</w:t>
            </w:r>
          </w:p>
        </w:tc>
        <w:tc>
          <w:tcPr>
            <w:tcW w:w="1539" w:type="dxa"/>
            <w:gridSpan w:val="2"/>
            <w:tcBorders>
              <w:left w:val="single" w:sz="4" w:space="0" w:color="auto"/>
            </w:tcBorders>
          </w:tcPr>
          <w:p w:rsidR="00E66557" w:rsidRPr="00E66557" w:rsidRDefault="00E66557" w:rsidP="00553238">
            <w:pPr>
              <w:rPr>
                <w:rFonts w:ascii="Arial" w:hAnsi="Arial" w:cs="Arial"/>
                <w:b/>
                <w:sz w:val="20"/>
                <w:szCs w:val="20"/>
              </w:rPr>
            </w:pPr>
            <w:r w:rsidRPr="00E66557">
              <w:rPr>
                <w:rFonts w:ascii="Arial" w:hAnsi="Arial" w:cs="Arial"/>
                <w:b/>
                <w:sz w:val="20"/>
                <w:szCs w:val="20"/>
              </w:rPr>
              <w:t>T3 (8%)</w:t>
            </w:r>
          </w:p>
        </w:tc>
        <w:tc>
          <w:tcPr>
            <w:tcW w:w="1539" w:type="dxa"/>
          </w:tcPr>
          <w:p w:rsidR="00E66557" w:rsidRPr="00E66557" w:rsidRDefault="00E66557" w:rsidP="00553238">
            <w:pPr>
              <w:rPr>
                <w:rFonts w:ascii="Arial" w:hAnsi="Arial" w:cs="Arial"/>
                <w:b/>
                <w:sz w:val="20"/>
                <w:szCs w:val="20"/>
              </w:rPr>
            </w:pPr>
            <w:r w:rsidRPr="00E66557">
              <w:rPr>
                <w:rFonts w:ascii="Arial" w:hAnsi="Arial" w:cs="Arial"/>
                <w:b/>
                <w:sz w:val="20"/>
                <w:szCs w:val="20"/>
              </w:rPr>
              <w:t>T4 (16 %)</w:t>
            </w:r>
          </w:p>
        </w:tc>
      </w:tr>
      <w:tr w:rsidR="00E66557" w:rsidRPr="000A4874"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5"/>
        </w:trPr>
        <w:tc>
          <w:tcPr>
            <w:tcW w:w="1669"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Weight gain (g)</w:t>
            </w:r>
          </w:p>
        </w:tc>
        <w:tc>
          <w:tcPr>
            <w:tcW w:w="1561"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9.43±0.043ᵃ</w:t>
            </w:r>
          </w:p>
        </w:tc>
        <w:tc>
          <w:tcPr>
            <w:tcW w:w="1562"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12.54±0.089ᵇ</w:t>
            </w:r>
          </w:p>
        </w:tc>
        <w:tc>
          <w:tcPr>
            <w:tcW w:w="1379" w:type="dxa"/>
            <w:gridSpan w:val="2"/>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15.67±0.112ᶜ</w:t>
            </w:r>
          </w:p>
        </w:tc>
        <w:tc>
          <w:tcPr>
            <w:tcW w:w="1532"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19.31±0.136ᵈ</w:t>
            </w:r>
          </w:p>
        </w:tc>
        <w:tc>
          <w:tcPr>
            <w:tcW w:w="1539"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16.82±0.124ᶜ</w:t>
            </w:r>
          </w:p>
        </w:tc>
      </w:tr>
      <w:tr w:rsidR="00E66557" w:rsidRPr="000A4874"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0"/>
        </w:trPr>
        <w:tc>
          <w:tcPr>
            <w:tcW w:w="1669"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 Weight gain</w:t>
            </w:r>
          </w:p>
        </w:tc>
        <w:tc>
          <w:tcPr>
            <w:tcW w:w="1561"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34.96±0.422ᵃ</w:t>
            </w:r>
          </w:p>
        </w:tc>
        <w:tc>
          <w:tcPr>
            <w:tcW w:w="1562"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42.18±0.756ᵇ</w:t>
            </w:r>
          </w:p>
        </w:tc>
        <w:tc>
          <w:tcPr>
            <w:tcW w:w="1379" w:type="dxa"/>
            <w:gridSpan w:val="2"/>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51.23±0.934ᶜ</w:t>
            </w:r>
          </w:p>
        </w:tc>
        <w:tc>
          <w:tcPr>
            <w:tcW w:w="1532"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59.77±1.557ᵈ</w:t>
            </w:r>
          </w:p>
        </w:tc>
        <w:tc>
          <w:tcPr>
            <w:tcW w:w="1539"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54.32±1.128ᶜ</w:t>
            </w:r>
          </w:p>
        </w:tc>
      </w:tr>
      <w:tr w:rsidR="00E66557" w:rsidRPr="000A4874"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3"/>
        </w:trPr>
        <w:tc>
          <w:tcPr>
            <w:tcW w:w="1669"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SGR</w:t>
            </w:r>
          </w:p>
        </w:tc>
        <w:tc>
          <w:tcPr>
            <w:tcW w:w="1561"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0.022±0.005ᵃ</w:t>
            </w:r>
          </w:p>
        </w:tc>
        <w:tc>
          <w:tcPr>
            <w:tcW w:w="1562"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0.027±0.008ᵇ</w:t>
            </w:r>
          </w:p>
        </w:tc>
        <w:tc>
          <w:tcPr>
            <w:tcW w:w="1379" w:type="dxa"/>
            <w:gridSpan w:val="2"/>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0.031±0.011ᶜ</w:t>
            </w:r>
          </w:p>
        </w:tc>
        <w:tc>
          <w:tcPr>
            <w:tcW w:w="1532"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0.036±0.016ᵈ</w:t>
            </w:r>
          </w:p>
        </w:tc>
        <w:tc>
          <w:tcPr>
            <w:tcW w:w="1539"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0.033±0.013ᶜ</w:t>
            </w:r>
          </w:p>
        </w:tc>
      </w:tr>
      <w:tr w:rsidR="00E66557" w:rsidRPr="000A4874"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9"/>
        </w:trPr>
        <w:tc>
          <w:tcPr>
            <w:tcW w:w="1669"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FCR</w:t>
            </w:r>
          </w:p>
        </w:tc>
        <w:tc>
          <w:tcPr>
            <w:tcW w:w="1561"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5.31±0.052ᵈ</w:t>
            </w:r>
          </w:p>
        </w:tc>
        <w:tc>
          <w:tcPr>
            <w:tcW w:w="1562"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4.12±0.034ᶜ</w:t>
            </w:r>
          </w:p>
        </w:tc>
        <w:tc>
          <w:tcPr>
            <w:tcW w:w="1379" w:type="dxa"/>
            <w:gridSpan w:val="2"/>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3.45±0.028ᵇ</w:t>
            </w:r>
          </w:p>
        </w:tc>
        <w:tc>
          <w:tcPr>
            <w:tcW w:w="1532"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2.92±0.071ᵃ</w:t>
            </w:r>
          </w:p>
        </w:tc>
        <w:tc>
          <w:tcPr>
            <w:tcW w:w="1539" w:type="dxa"/>
          </w:tcPr>
          <w:p w:rsidR="00E66557" w:rsidRPr="000A4874" w:rsidRDefault="00E66557" w:rsidP="00553238">
            <w:pPr>
              <w:rPr>
                <w:rFonts w:ascii="Arial" w:hAnsi="Arial" w:cs="Arial"/>
              </w:rPr>
            </w:pPr>
            <w:r w:rsidRPr="000A4874">
              <w:rPr>
                <w:rFonts w:ascii="Arial" w:eastAsia="Times New Roman" w:hAnsi="Arial" w:cs="Arial"/>
                <w:sz w:val="20"/>
                <w:szCs w:val="20"/>
                <w:lang w:eastAsia="en-IN"/>
              </w:rPr>
              <w:t>3.18±0.045ᵇ</w:t>
            </w:r>
          </w:p>
        </w:tc>
      </w:tr>
    </w:tbl>
    <w:p w:rsidR="00193242" w:rsidRPr="00E66557" w:rsidRDefault="00193242" w:rsidP="00BB0878">
      <w:pPr>
        <w:spacing w:before="100" w:beforeAutospacing="1" w:after="100" w:afterAutospacing="1" w:line="240" w:lineRule="auto"/>
        <w:jc w:val="both"/>
        <w:rPr>
          <w:rFonts w:ascii="Arial" w:eastAsia="Times New Roman" w:hAnsi="Arial" w:cs="Arial"/>
          <w:b/>
          <w:sz w:val="20"/>
          <w:szCs w:val="20"/>
          <w:lang w:eastAsia="en-IN"/>
        </w:rPr>
      </w:pPr>
      <w:r w:rsidRPr="00E66557">
        <w:rPr>
          <w:rFonts w:ascii="Arial" w:eastAsia="Times New Roman" w:hAnsi="Arial" w:cs="Arial"/>
          <w:b/>
          <w:iCs/>
          <w:sz w:val="20"/>
          <w:szCs w:val="20"/>
          <w:lang w:eastAsia="en-IN"/>
        </w:rPr>
        <w:t>Values with different superscripts in the same row differ significantly (P &lt; 0.05)</w:t>
      </w:r>
    </w:p>
    <w:p w:rsidR="00193242" w:rsidRPr="00F415A9" w:rsidRDefault="00193242" w:rsidP="00BB0878">
      <w:pPr>
        <w:spacing w:before="100" w:beforeAutospacing="1" w:after="100" w:afterAutospacing="1" w:line="240" w:lineRule="auto"/>
        <w:jc w:val="both"/>
        <w:outlineLvl w:val="2"/>
        <w:rPr>
          <w:rFonts w:ascii="Arial" w:eastAsia="Times New Roman" w:hAnsi="Arial" w:cs="Arial"/>
          <w:b/>
          <w:bCs/>
          <w:lang w:eastAsia="en-IN"/>
        </w:rPr>
      </w:pPr>
      <w:r w:rsidRPr="00BB0878">
        <w:rPr>
          <w:rFonts w:ascii="Arial" w:eastAsia="Times New Roman" w:hAnsi="Arial" w:cs="Arial"/>
          <w:b/>
          <w:bCs/>
          <w:sz w:val="20"/>
          <w:szCs w:val="20"/>
          <w:lang w:eastAsia="en-IN"/>
        </w:rPr>
        <w:t xml:space="preserve">3.3 </w:t>
      </w:r>
      <w:r w:rsidRPr="00F415A9">
        <w:rPr>
          <w:rFonts w:ascii="Arial" w:eastAsia="Times New Roman" w:hAnsi="Arial" w:cs="Arial"/>
          <w:b/>
          <w:bCs/>
          <w:lang w:eastAsia="en-IN"/>
        </w:rPr>
        <w:t>Discussion</w:t>
      </w:r>
      <w:r w:rsidR="00F415A9">
        <w:rPr>
          <w:rFonts w:ascii="Arial" w:eastAsia="Times New Roman" w:hAnsi="Arial" w:cs="Arial"/>
          <w:b/>
          <w:bCs/>
          <w:lang w:eastAsia="en-IN"/>
        </w:rPr>
        <w: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The significant improvement in growth parameters with MLM supplementation can be attributed to the nutritional and bioactive compounds present in mango leaves. These findings align with previous studies demonstrating the growth-promoting effects of plant-based feed additives in aquaculture.</w:t>
      </w:r>
    </w:p>
    <w:p w:rsidR="00F576D3" w:rsidRPr="00F576D3" w:rsidRDefault="00F576D3" w:rsidP="00BB0878">
      <w:pPr>
        <w:spacing w:before="100" w:beforeAutospacing="1" w:after="100" w:afterAutospacing="1" w:line="240" w:lineRule="auto"/>
        <w:jc w:val="both"/>
        <w:rPr>
          <w:rFonts w:ascii="Arial" w:eastAsia="Times New Roman" w:hAnsi="Arial" w:cs="Arial"/>
          <w:sz w:val="20"/>
          <w:szCs w:val="20"/>
          <w:lang w:eastAsia="en-IN"/>
        </w:rPr>
      </w:pPr>
      <w:r w:rsidRPr="00F576D3">
        <w:rPr>
          <w:rFonts w:ascii="Arial" w:hAnsi="Arial" w:cs="Arial"/>
          <w:sz w:val="20"/>
          <w:szCs w:val="20"/>
        </w:rPr>
        <w:t>The effects of Mango Seed (</w:t>
      </w:r>
      <w:proofErr w:type="spellStart"/>
      <w:r w:rsidRPr="00925E0B">
        <w:rPr>
          <w:rFonts w:ascii="Arial" w:hAnsi="Arial" w:cs="Arial"/>
          <w:i/>
          <w:sz w:val="20"/>
          <w:szCs w:val="20"/>
        </w:rPr>
        <w:t>Mangiferaindica</w:t>
      </w:r>
      <w:proofErr w:type="spellEnd"/>
      <w:r w:rsidRPr="00925E0B">
        <w:rPr>
          <w:rFonts w:ascii="Arial" w:hAnsi="Arial" w:cs="Arial"/>
          <w:i/>
          <w:sz w:val="20"/>
          <w:szCs w:val="20"/>
        </w:rPr>
        <w:t>)</w:t>
      </w:r>
      <w:r w:rsidRPr="00F576D3">
        <w:rPr>
          <w:rFonts w:ascii="Arial" w:hAnsi="Arial" w:cs="Arial"/>
          <w:sz w:val="20"/>
          <w:szCs w:val="20"/>
        </w:rPr>
        <w:t xml:space="preserve"> powder on Growth Performance, Immune Response, Gut Morphology, and Gene Expression of Nile Tilapia (</w:t>
      </w:r>
      <w:proofErr w:type="spellStart"/>
      <w:r w:rsidRPr="00F576D3">
        <w:rPr>
          <w:rFonts w:ascii="Arial" w:hAnsi="Arial" w:cs="Arial"/>
          <w:sz w:val="20"/>
          <w:szCs w:val="20"/>
        </w:rPr>
        <w:t>Oreochromisniloticus</w:t>
      </w:r>
      <w:proofErr w:type="spellEnd"/>
      <w:r w:rsidRPr="00F576D3">
        <w:rPr>
          <w:rFonts w:ascii="Arial" w:hAnsi="Arial" w:cs="Arial"/>
          <w:sz w:val="20"/>
          <w:szCs w:val="20"/>
        </w:rPr>
        <w:t>)</w:t>
      </w:r>
      <w:r w:rsidR="00925E0B">
        <w:rPr>
          <w:rFonts w:ascii="Arial" w:hAnsi="Arial" w:cs="Arial"/>
          <w:sz w:val="20"/>
          <w:szCs w:val="20"/>
        </w:rPr>
        <w:t>,</w:t>
      </w:r>
      <w:r w:rsidR="008D191A">
        <w:rPr>
          <w:rFonts w:ascii="Arial" w:hAnsi="Arial" w:cs="Arial"/>
          <w:sz w:val="20"/>
          <w:szCs w:val="20"/>
        </w:rPr>
        <w:t xml:space="preserve"> </w:t>
      </w:r>
      <w:r w:rsidR="00925E0B" w:rsidRPr="00BC3235">
        <w:rPr>
          <w:rFonts w:ascii="Arial" w:hAnsi="Arial" w:cs="Arial"/>
          <w:sz w:val="20"/>
          <w:szCs w:val="20"/>
          <w:highlight w:val="yellow"/>
        </w:rPr>
        <w:t xml:space="preserve">found a </w:t>
      </w:r>
      <w:r w:rsidRPr="00BC3235">
        <w:rPr>
          <w:rFonts w:ascii="Arial" w:hAnsi="Arial" w:cs="Arial"/>
          <w:sz w:val="20"/>
          <w:szCs w:val="20"/>
          <w:highlight w:val="yellow"/>
        </w:rPr>
        <w:t>significant</w:t>
      </w:r>
      <w:r w:rsidRPr="00F576D3">
        <w:rPr>
          <w:rFonts w:ascii="Arial" w:hAnsi="Arial" w:cs="Arial"/>
          <w:sz w:val="20"/>
          <w:szCs w:val="20"/>
        </w:rPr>
        <w:t xml:space="preserve"> effect on growth, immunity, and immuno-oxidant gene expression in Nile </w:t>
      </w:r>
      <w:proofErr w:type="gramStart"/>
      <w:r w:rsidRPr="00F576D3">
        <w:rPr>
          <w:rFonts w:ascii="Arial" w:hAnsi="Arial" w:cs="Arial"/>
          <w:sz w:val="20"/>
          <w:szCs w:val="20"/>
        </w:rPr>
        <w:t>tilapia(</w:t>
      </w:r>
      <w:proofErr w:type="gramEnd"/>
      <w:r w:rsidRPr="00F576D3">
        <w:rPr>
          <w:rFonts w:ascii="Arial" w:hAnsi="Arial" w:cs="Arial"/>
          <w:sz w:val="20"/>
          <w:szCs w:val="20"/>
        </w:rPr>
        <w:t xml:space="preserve">Fontana </w:t>
      </w:r>
      <w:r w:rsidRPr="00925E0B">
        <w:rPr>
          <w:rFonts w:ascii="Arial" w:hAnsi="Arial" w:cs="Arial"/>
          <w:i/>
          <w:sz w:val="20"/>
          <w:szCs w:val="20"/>
        </w:rPr>
        <w:t>et al</w:t>
      </w:r>
      <w:r w:rsidR="00925E0B">
        <w:rPr>
          <w:rFonts w:ascii="Arial" w:hAnsi="Arial" w:cs="Arial"/>
          <w:i/>
          <w:sz w:val="20"/>
          <w:szCs w:val="20"/>
        </w:rPr>
        <w:t>,</w:t>
      </w:r>
      <w:r w:rsidRPr="00925E0B">
        <w:rPr>
          <w:rFonts w:ascii="Arial" w:hAnsi="Arial" w:cs="Arial"/>
          <w:i/>
          <w:sz w:val="20"/>
          <w:szCs w:val="20"/>
        </w:rPr>
        <w:t>.</w:t>
      </w:r>
      <w:r w:rsidRPr="00F576D3">
        <w:rPr>
          <w:rFonts w:ascii="Arial" w:hAnsi="Arial" w:cs="Arial"/>
          <w:sz w:val="20"/>
          <w:szCs w:val="20"/>
        </w:rPr>
        <w:t xml:space="preserve"> 2024).</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The optimal performance observed at 8% MLM inclusion (T3) suggests that this level provides the best balance of nutritional benefits without adverse effects. Higher inclusion levels (16% in T4) showed reduced performance, possibly due to the presence of anti-nutritional factors or reduced palatability.</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lastRenderedPageBreak/>
        <w:t>Water quality parameters remained within acceptable ranges throughout the study, indicating that MLM supplementation does not negatively impact the culture environment. The slight variations observed were minimal and did not affect fish health or growth.</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Previous research by Olusola et al. (2020) reported similar growth enhancement with mango leaf supplementation in catfish, supporting the broader applicability of mango leaves as feed additives in aquaculture. The improved FCR in MLM-supplemented groups indicates better feed utilization efficiency, which has significant economic implications for commercial aquaculture operations.</w:t>
      </w:r>
    </w:p>
    <w:p w:rsidR="00193242" w:rsidRPr="00F415A9" w:rsidRDefault="00193242" w:rsidP="00BB0878">
      <w:pPr>
        <w:spacing w:before="100" w:beforeAutospacing="1" w:after="100" w:afterAutospacing="1" w:line="240" w:lineRule="auto"/>
        <w:jc w:val="both"/>
        <w:outlineLvl w:val="1"/>
        <w:rPr>
          <w:rFonts w:ascii="Arial" w:eastAsia="Times New Roman" w:hAnsi="Arial" w:cs="Arial"/>
          <w:b/>
          <w:bCs/>
          <w:lang w:eastAsia="en-IN"/>
        </w:rPr>
      </w:pPr>
      <w:r w:rsidRPr="00BB0878">
        <w:rPr>
          <w:rFonts w:ascii="Arial" w:eastAsia="Times New Roman" w:hAnsi="Arial" w:cs="Arial"/>
          <w:b/>
          <w:bCs/>
          <w:sz w:val="20"/>
          <w:szCs w:val="20"/>
          <w:lang w:eastAsia="en-IN"/>
        </w:rPr>
        <w:t xml:space="preserve">4. </w:t>
      </w:r>
      <w:r w:rsidRPr="00F415A9">
        <w:rPr>
          <w:rFonts w:ascii="Arial" w:eastAsia="Times New Roman" w:hAnsi="Arial" w:cs="Arial"/>
          <w:b/>
          <w:bCs/>
          <w:lang w:eastAsia="en-IN"/>
        </w:rPr>
        <w:t>Conclusion</w:t>
      </w:r>
      <w:r w:rsidR="00F415A9">
        <w:rPr>
          <w:rFonts w:ascii="Arial" w:eastAsia="Times New Roman" w:hAnsi="Arial" w:cs="Arial"/>
          <w:b/>
          <w:bCs/>
          <w:lang w:eastAsia="en-IN"/>
        </w:rPr>
        <w:t>:</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 xml:space="preserve">This study demonstrates that mango leaf meal supplementation significantly </w:t>
      </w:r>
      <w:r w:rsidRPr="00BC3235">
        <w:rPr>
          <w:rFonts w:ascii="Arial" w:eastAsia="Times New Roman" w:hAnsi="Arial" w:cs="Arial"/>
          <w:sz w:val="20"/>
          <w:szCs w:val="20"/>
          <w:highlight w:val="yellow"/>
          <w:lang w:eastAsia="en-IN"/>
        </w:rPr>
        <w:t xml:space="preserve">enhances </w:t>
      </w:r>
      <w:r w:rsidR="008D191A" w:rsidRPr="00BC3235">
        <w:rPr>
          <w:rFonts w:ascii="Arial" w:eastAsia="Times New Roman" w:hAnsi="Arial" w:cs="Arial"/>
          <w:sz w:val="20"/>
          <w:szCs w:val="20"/>
          <w:highlight w:val="yellow"/>
          <w:lang w:eastAsia="en-IN"/>
        </w:rPr>
        <w:t xml:space="preserve">the </w:t>
      </w:r>
      <w:r w:rsidRPr="00BC3235">
        <w:rPr>
          <w:rFonts w:ascii="Arial" w:eastAsia="Times New Roman" w:hAnsi="Arial" w:cs="Arial"/>
          <w:sz w:val="20"/>
          <w:szCs w:val="20"/>
          <w:highlight w:val="yellow"/>
          <w:lang w:eastAsia="en-IN"/>
        </w:rPr>
        <w:t>growth</w:t>
      </w:r>
      <w:r w:rsidRPr="00BB0878">
        <w:rPr>
          <w:rFonts w:ascii="Arial" w:eastAsia="Times New Roman" w:hAnsi="Arial" w:cs="Arial"/>
          <w:sz w:val="20"/>
          <w:szCs w:val="20"/>
          <w:lang w:eastAsia="en-IN"/>
        </w:rPr>
        <w:t xml:space="preserve"> performance of rohu (</w:t>
      </w:r>
      <w:r w:rsidRPr="00BB0878">
        <w:rPr>
          <w:rFonts w:ascii="Arial" w:eastAsia="Times New Roman" w:hAnsi="Arial" w:cs="Arial"/>
          <w:i/>
          <w:iCs/>
          <w:sz w:val="20"/>
          <w:szCs w:val="20"/>
          <w:lang w:eastAsia="en-IN"/>
        </w:rPr>
        <w:t xml:space="preserve">L. </w:t>
      </w:r>
      <w:proofErr w:type="spellStart"/>
      <w:r w:rsidRPr="00BB0878">
        <w:rPr>
          <w:rFonts w:ascii="Arial" w:eastAsia="Times New Roman" w:hAnsi="Arial" w:cs="Arial"/>
          <w:i/>
          <w:iCs/>
          <w:sz w:val="20"/>
          <w:szCs w:val="20"/>
          <w:lang w:eastAsia="en-IN"/>
        </w:rPr>
        <w:t>rohita</w:t>
      </w:r>
      <w:proofErr w:type="spellEnd"/>
      <w:r w:rsidRPr="00BB0878">
        <w:rPr>
          <w:rFonts w:ascii="Arial" w:eastAsia="Times New Roman" w:hAnsi="Arial" w:cs="Arial"/>
          <w:sz w:val="20"/>
          <w:szCs w:val="20"/>
          <w:lang w:eastAsia="en-IN"/>
        </w:rPr>
        <w:t>) fingerlings. The optimal inclusion level of 8% MLM in the basal diet (T3) resulted in superior weight gain, percentage weight gain, specific growth rate, and feed conversion efficiency while maintaining acceptable water quality parameters.</w:t>
      </w:r>
    </w:p>
    <w:p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The findings suggest that MLM can serve as an effective, cost-efficient feed additive for rohu culture, potentially reducing production costs while improving growth performance. The 8% inclusion level is recommended for practical application in rohu fingerling production.</w:t>
      </w:r>
    </w:p>
    <w:p w:rsidR="00193242"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Future research should focus on field trials with different stocking densities and extended culture periods to validate these findings under commercial conditions. Additionally, studies on the economic feasibility and long-term effects of MLM supplementation would provide valuable insights for the aquaculture industry.</w:t>
      </w:r>
    </w:p>
    <w:p w:rsidR="00B64C16" w:rsidRDefault="00B64C16" w:rsidP="00BB0878">
      <w:pPr>
        <w:spacing w:before="100" w:beforeAutospacing="1" w:after="100" w:afterAutospacing="1" w:line="240" w:lineRule="auto"/>
        <w:jc w:val="both"/>
        <w:rPr>
          <w:rFonts w:ascii="Arial" w:eastAsia="Times New Roman" w:hAnsi="Arial" w:cs="Arial"/>
          <w:sz w:val="20"/>
          <w:szCs w:val="20"/>
          <w:lang w:eastAsia="en-IN"/>
        </w:rPr>
      </w:pPr>
    </w:p>
    <w:p w:rsidR="00B64C16" w:rsidRPr="00B64C16" w:rsidRDefault="00B64C16" w:rsidP="00B64C16">
      <w:pPr>
        <w:spacing w:before="100" w:beforeAutospacing="1" w:after="100" w:afterAutospacing="1" w:line="240" w:lineRule="auto"/>
        <w:jc w:val="both"/>
        <w:rPr>
          <w:rFonts w:ascii="Arial" w:eastAsia="Times New Roman" w:hAnsi="Arial" w:cs="Arial"/>
          <w:sz w:val="20"/>
          <w:szCs w:val="20"/>
          <w:lang w:val="en-GB" w:eastAsia="en-IN"/>
        </w:rPr>
      </w:pPr>
      <w:r w:rsidRPr="00B64C16">
        <w:rPr>
          <w:rFonts w:ascii="Arial" w:eastAsia="Times New Roman" w:hAnsi="Arial" w:cs="Arial"/>
          <w:b/>
          <w:bCs/>
          <w:sz w:val="20"/>
          <w:szCs w:val="20"/>
          <w:lang w:val="en-GB" w:eastAsia="en-IN"/>
        </w:rPr>
        <w:t>COMPETING INTERESTS DISCLAIMER:</w:t>
      </w:r>
    </w:p>
    <w:p w:rsidR="00B64C16" w:rsidRPr="00F92C92" w:rsidRDefault="00B64C16" w:rsidP="00B64C16">
      <w:pPr>
        <w:spacing w:before="100" w:beforeAutospacing="1" w:after="100" w:afterAutospacing="1" w:line="240" w:lineRule="auto"/>
        <w:jc w:val="both"/>
        <w:rPr>
          <w:rFonts w:ascii="Arial" w:eastAsia="Times New Roman" w:hAnsi="Arial" w:cs="Arial"/>
          <w:b/>
          <w:sz w:val="20"/>
          <w:szCs w:val="20"/>
          <w:lang w:val="en-GB" w:eastAsia="en-IN"/>
        </w:rPr>
      </w:pPr>
      <w:r w:rsidRPr="00B64C16">
        <w:rPr>
          <w:rFonts w:ascii="Arial" w:eastAsia="Times New Roman" w:hAnsi="Arial" w:cs="Arial"/>
          <w:sz w:val="20"/>
          <w:szCs w:val="20"/>
          <w:lang w:val="en-GB" w:eastAsia="en-IN"/>
        </w:rPr>
        <w:t>Authors have declared that they have no known competing financial interests OR non-financial interests OR personal relationships that could have appeared to influence the work reported in this paper.</w:t>
      </w:r>
    </w:p>
    <w:p w:rsidR="00E54A73" w:rsidRDefault="00E54A73" w:rsidP="00B64C16">
      <w:pPr>
        <w:spacing w:before="100" w:beforeAutospacing="1" w:after="100" w:afterAutospacing="1" w:line="240" w:lineRule="auto"/>
        <w:jc w:val="both"/>
        <w:rPr>
          <w:rFonts w:ascii="Arial" w:eastAsia="Times New Roman" w:hAnsi="Arial" w:cs="Arial"/>
          <w:sz w:val="20"/>
          <w:szCs w:val="20"/>
          <w:lang w:val="en-GB" w:eastAsia="en-IN"/>
        </w:rPr>
      </w:pPr>
    </w:p>
    <w:p w:rsidR="00E54A73" w:rsidRPr="009C5487" w:rsidRDefault="00E54A73" w:rsidP="00E54A73">
      <w:pPr>
        <w:rPr>
          <w:rFonts w:ascii="Calibri" w:eastAsia="Calibri" w:hAnsi="Calibri" w:cs="Times New Roman"/>
          <w:kern w:val="2"/>
          <w:highlight w:val="yellow"/>
          <w:lang w:val="en-US"/>
        </w:rPr>
      </w:pPr>
      <w:bookmarkStart w:id="1" w:name="_Hlk197682619"/>
      <w:bookmarkStart w:id="2" w:name="_Hlk180402183"/>
      <w:bookmarkStart w:id="3" w:name="_Hlk183680988"/>
      <w:r w:rsidRPr="009C5487">
        <w:rPr>
          <w:rFonts w:ascii="Calibri" w:eastAsia="Calibri" w:hAnsi="Calibri" w:cs="Times New Roman"/>
          <w:kern w:val="2"/>
          <w:highlight w:val="yellow"/>
          <w:lang w:val="en-US"/>
        </w:rPr>
        <w:t>Disclaimer (Artificial intelligence)</w:t>
      </w:r>
    </w:p>
    <w:p w:rsidR="00E54A73" w:rsidRPr="009C5487" w:rsidRDefault="00E54A73" w:rsidP="00E54A7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rsidR="00E54A73" w:rsidRPr="009C5487" w:rsidRDefault="00E54A73" w:rsidP="00E54A7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bookmarkEnd w:id="1"/>
    <w:bookmarkEnd w:id="2"/>
    <w:bookmarkEnd w:id="3"/>
    <w:p w:rsidR="00B64C16" w:rsidRPr="00D60996" w:rsidRDefault="00B64C16" w:rsidP="00BB0878">
      <w:pPr>
        <w:spacing w:before="100" w:beforeAutospacing="1" w:after="100" w:afterAutospacing="1" w:line="240" w:lineRule="auto"/>
        <w:jc w:val="both"/>
        <w:rPr>
          <w:rFonts w:ascii="Arial" w:eastAsia="Times New Roman" w:hAnsi="Arial" w:cs="Arial"/>
          <w:sz w:val="20"/>
          <w:szCs w:val="20"/>
          <w:lang w:eastAsia="en-IN"/>
        </w:rPr>
      </w:pPr>
    </w:p>
    <w:p w:rsidR="00193242" w:rsidRPr="00F576D3" w:rsidRDefault="00193242" w:rsidP="00BB0878">
      <w:pPr>
        <w:spacing w:before="100" w:beforeAutospacing="1" w:after="100" w:afterAutospacing="1" w:line="240" w:lineRule="auto"/>
        <w:jc w:val="both"/>
        <w:outlineLvl w:val="1"/>
        <w:rPr>
          <w:rFonts w:ascii="Arial" w:eastAsia="Times New Roman" w:hAnsi="Arial" w:cs="Arial"/>
          <w:b/>
          <w:bCs/>
          <w:color w:val="000000" w:themeColor="text1"/>
          <w:lang w:eastAsia="en-IN"/>
        </w:rPr>
      </w:pPr>
      <w:r w:rsidRPr="00F415A9">
        <w:rPr>
          <w:rFonts w:ascii="Arial" w:eastAsia="Times New Roman" w:hAnsi="Arial" w:cs="Arial"/>
          <w:b/>
          <w:bCs/>
          <w:lang w:eastAsia="en-IN"/>
        </w:rPr>
        <w:t>References</w:t>
      </w:r>
      <w:r w:rsidR="00F415A9">
        <w:rPr>
          <w:rFonts w:ascii="Arial" w:eastAsia="Times New Roman" w:hAnsi="Arial" w:cs="Arial"/>
          <w:b/>
          <w:bCs/>
          <w:lang w:eastAsia="en-IN"/>
        </w:rPr>
        <w:t>:</w:t>
      </w:r>
    </w:p>
    <w:p w:rsidR="00193242" w:rsidRDefault="00193242" w:rsidP="00BB0878">
      <w:pPr>
        <w:spacing w:before="100" w:beforeAutospacing="1" w:after="100" w:afterAutospacing="1" w:line="240" w:lineRule="auto"/>
        <w:jc w:val="both"/>
        <w:rPr>
          <w:rFonts w:ascii="Arial" w:hAnsi="Arial" w:cs="Arial"/>
          <w:sz w:val="20"/>
          <w:szCs w:val="20"/>
          <w:u w:color="FFFFFF" w:themeColor="background1"/>
        </w:rPr>
      </w:pPr>
      <w:r w:rsidRPr="006C4AD8">
        <w:rPr>
          <w:rFonts w:ascii="Arial" w:eastAsia="Times New Roman" w:hAnsi="Arial" w:cs="Arial"/>
          <w:sz w:val="20"/>
          <w:szCs w:val="20"/>
          <w:lang w:eastAsia="en-IN"/>
        </w:rPr>
        <w:t xml:space="preserve">Anonymous. (2023). Fisheries statistics of India, Ministry of Fisheries, Government of India. Retrieved from </w:t>
      </w:r>
      <w:hyperlink r:id="rId6" w:history="1">
        <w:r w:rsidRPr="006C4AD8">
          <w:rPr>
            <w:rFonts w:ascii="Arial" w:eastAsia="Times New Roman" w:hAnsi="Arial" w:cs="Arial"/>
            <w:sz w:val="20"/>
            <w:szCs w:val="20"/>
            <w:u w:val="single" w:color="FFFFFF" w:themeColor="background1"/>
            <w:lang w:eastAsia="en-IN"/>
          </w:rPr>
          <w:t>https://dof.gov.in/fisheries-statistics</w:t>
        </w:r>
      </w:hyperlink>
      <w:r w:rsidR="00F576D3" w:rsidRPr="006C4AD8">
        <w:rPr>
          <w:rFonts w:ascii="Arial" w:hAnsi="Arial" w:cs="Arial"/>
          <w:sz w:val="20"/>
          <w:szCs w:val="20"/>
          <w:u w:color="FFFFFF" w:themeColor="background1"/>
        </w:rPr>
        <w:t>.</w:t>
      </w:r>
    </w:p>
    <w:p w:rsidR="00607B2A" w:rsidRPr="00265E99" w:rsidRDefault="00265E99" w:rsidP="00BB0878">
      <w:pPr>
        <w:spacing w:before="100" w:beforeAutospacing="1" w:after="100" w:afterAutospacing="1" w:line="240" w:lineRule="auto"/>
        <w:jc w:val="both"/>
        <w:rPr>
          <w:rFonts w:ascii="Arial" w:eastAsia="Times New Roman" w:hAnsi="Arial" w:cs="Arial"/>
          <w:sz w:val="20"/>
          <w:szCs w:val="20"/>
          <w:u w:color="FFFFFF" w:themeColor="background1"/>
          <w:lang w:eastAsia="en-IN"/>
        </w:rPr>
      </w:pPr>
      <w:proofErr w:type="spellStart"/>
      <w:r w:rsidRPr="00265E99">
        <w:rPr>
          <w:rFonts w:ascii="Arial" w:hAnsi="Arial" w:cs="Arial"/>
          <w:color w:val="000000"/>
          <w:sz w:val="20"/>
          <w:szCs w:val="20"/>
          <w:shd w:val="clear" w:color="auto" w:fill="FFFFFF"/>
        </w:rPr>
        <w:t>Bagenal</w:t>
      </w:r>
      <w:proofErr w:type="spellEnd"/>
      <w:r w:rsidRPr="00265E99">
        <w:rPr>
          <w:rFonts w:ascii="Arial" w:hAnsi="Arial" w:cs="Arial"/>
          <w:color w:val="000000"/>
          <w:sz w:val="20"/>
          <w:szCs w:val="20"/>
          <w:shd w:val="clear" w:color="auto" w:fill="FFFFFF"/>
        </w:rPr>
        <w:t xml:space="preserve">, T.B. and </w:t>
      </w:r>
      <w:proofErr w:type="spellStart"/>
      <w:r w:rsidRPr="00265E99">
        <w:rPr>
          <w:rFonts w:ascii="Arial" w:hAnsi="Arial" w:cs="Arial"/>
          <w:color w:val="000000"/>
          <w:sz w:val="20"/>
          <w:szCs w:val="20"/>
          <w:shd w:val="clear" w:color="auto" w:fill="FFFFFF"/>
        </w:rPr>
        <w:t>Tesch</w:t>
      </w:r>
      <w:proofErr w:type="spellEnd"/>
      <w:r w:rsidRPr="00265E99">
        <w:rPr>
          <w:rFonts w:ascii="Arial" w:hAnsi="Arial" w:cs="Arial"/>
          <w:color w:val="000000"/>
          <w:sz w:val="20"/>
          <w:szCs w:val="20"/>
          <w:shd w:val="clear" w:color="auto" w:fill="FFFFFF"/>
        </w:rPr>
        <w:t xml:space="preserve">, F.W. </w:t>
      </w:r>
      <w:r w:rsidR="00BA3A0F">
        <w:rPr>
          <w:rFonts w:ascii="Arial" w:hAnsi="Arial" w:cs="Arial"/>
          <w:color w:val="000000"/>
          <w:sz w:val="20"/>
          <w:szCs w:val="20"/>
          <w:shd w:val="clear" w:color="auto" w:fill="FFFFFF"/>
        </w:rPr>
        <w:t>(</w:t>
      </w:r>
      <w:r w:rsidRPr="00265E99">
        <w:rPr>
          <w:rFonts w:ascii="Arial" w:hAnsi="Arial" w:cs="Arial"/>
          <w:color w:val="000000"/>
          <w:sz w:val="20"/>
          <w:szCs w:val="20"/>
          <w:shd w:val="clear" w:color="auto" w:fill="FFFFFF"/>
        </w:rPr>
        <w:t>1978</w:t>
      </w:r>
      <w:r w:rsidR="00BA3A0F">
        <w:rPr>
          <w:rFonts w:ascii="Arial" w:hAnsi="Arial" w:cs="Arial"/>
          <w:color w:val="000000"/>
          <w:sz w:val="20"/>
          <w:szCs w:val="20"/>
          <w:shd w:val="clear" w:color="auto" w:fill="FFFFFF"/>
        </w:rPr>
        <w:t>)</w:t>
      </w:r>
      <w:r w:rsidRPr="00265E99">
        <w:rPr>
          <w:rFonts w:ascii="Arial" w:hAnsi="Arial" w:cs="Arial"/>
          <w:color w:val="000000"/>
          <w:sz w:val="20"/>
          <w:szCs w:val="20"/>
          <w:shd w:val="clear" w:color="auto" w:fill="FFFFFF"/>
        </w:rPr>
        <w:t>. Age and growth.  Methods for assessment of fish production in freshwater, 3rd edition. Blackwell Scientific Publication, Oxford, UK.: 101–136.</w:t>
      </w:r>
    </w:p>
    <w:p w:rsidR="00193242" w:rsidRPr="006C4AD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6C4AD8">
        <w:rPr>
          <w:rFonts w:ascii="Arial" w:eastAsia="Times New Roman" w:hAnsi="Arial" w:cs="Arial"/>
          <w:sz w:val="20"/>
          <w:szCs w:val="20"/>
          <w:lang w:eastAsia="en-IN"/>
        </w:rPr>
        <w:t xml:space="preserve">Bell, J. G., Henderson, R. J., </w:t>
      </w:r>
      <w:proofErr w:type="spellStart"/>
      <w:r w:rsidRPr="006C4AD8">
        <w:rPr>
          <w:rFonts w:ascii="Arial" w:eastAsia="Times New Roman" w:hAnsi="Arial" w:cs="Arial"/>
          <w:sz w:val="20"/>
          <w:szCs w:val="20"/>
          <w:lang w:eastAsia="en-IN"/>
        </w:rPr>
        <w:t>Tocher</w:t>
      </w:r>
      <w:proofErr w:type="spellEnd"/>
      <w:r w:rsidRPr="006C4AD8">
        <w:rPr>
          <w:rFonts w:ascii="Arial" w:eastAsia="Times New Roman" w:hAnsi="Arial" w:cs="Arial"/>
          <w:sz w:val="20"/>
          <w:szCs w:val="20"/>
          <w:lang w:eastAsia="en-IN"/>
        </w:rPr>
        <w:t xml:space="preserve">, D. R., McGhee, F., Dick, J. R., Porter, A., </w:t>
      </w:r>
      <w:proofErr w:type="spellStart"/>
      <w:r w:rsidRPr="006C4AD8">
        <w:rPr>
          <w:rFonts w:ascii="Arial" w:eastAsia="Times New Roman" w:hAnsi="Arial" w:cs="Arial"/>
          <w:sz w:val="20"/>
          <w:szCs w:val="20"/>
          <w:lang w:eastAsia="en-IN"/>
        </w:rPr>
        <w:t>Smullen</w:t>
      </w:r>
      <w:proofErr w:type="spellEnd"/>
      <w:r w:rsidRPr="006C4AD8">
        <w:rPr>
          <w:rFonts w:ascii="Arial" w:eastAsia="Times New Roman" w:hAnsi="Arial" w:cs="Arial"/>
          <w:sz w:val="20"/>
          <w:szCs w:val="20"/>
          <w:lang w:eastAsia="en-IN"/>
        </w:rPr>
        <w:t>, R. P., &amp; Sargent, J. R. (2002). Substituting fish oil with crude palm oil in the diet of Atlantic salmon (</w:t>
      </w:r>
      <w:r w:rsidRPr="006C4AD8">
        <w:rPr>
          <w:rFonts w:ascii="Arial" w:eastAsia="Times New Roman" w:hAnsi="Arial" w:cs="Arial"/>
          <w:i/>
          <w:iCs/>
          <w:sz w:val="20"/>
          <w:szCs w:val="20"/>
          <w:lang w:eastAsia="en-IN"/>
        </w:rPr>
        <w:t xml:space="preserve">Salmo </w:t>
      </w:r>
      <w:proofErr w:type="spellStart"/>
      <w:r w:rsidRPr="006C4AD8">
        <w:rPr>
          <w:rFonts w:ascii="Arial" w:eastAsia="Times New Roman" w:hAnsi="Arial" w:cs="Arial"/>
          <w:i/>
          <w:iCs/>
          <w:sz w:val="20"/>
          <w:szCs w:val="20"/>
          <w:lang w:eastAsia="en-IN"/>
        </w:rPr>
        <w:lastRenderedPageBreak/>
        <w:t>salar</w:t>
      </w:r>
      <w:proofErr w:type="spellEnd"/>
      <w:r w:rsidRPr="006C4AD8">
        <w:rPr>
          <w:rFonts w:ascii="Arial" w:eastAsia="Times New Roman" w:hAnsi="Arial" w:cs="Arial"/>
          <w:sz w:val="20"/>
          <w:szCs w:val="20"/>
          <w:lang w:eastAsia="en-IN"/>
        </w:rPr>
        <w:t xml:space="preserve">) affects muscle fatty acid composition and hepatic fatty acid metabolism. </w:t>
      </w:r>
      <w:r w:rsidRPr="006C4AD8">
        <w:rPr>
          <w:rFonts w:ascii="Arial" w:eastAsia="Times New Roman" w:hAnsi="Arial" w:cs="Arial"/>
          <w:i/>
          <w:iCs/>
          <w:sz w:val="20"/>
          <w:szCs w:val="20"/>
          <w:lang w:eastAsia="en-IN"/>
        </w:rPr>
        <w:t>The Journal of Nutrition</w:t>
      </w:r>
      <w:r w:rsidRPr="006C4AD8">
        <w:rPr>
          <w:rFonts w:ascii="Arial" w:eastAsia="Times New Roman" w:hAnsi="Arial" w:cs="Arial"/>
          <w:sz w:val="20"/>
          <w:szCs w:val="20"/>
          <w:lang w:eastAsia="en-IN"/>
        </w:rPr>
        <w:t>, 132(2), 222-230.</w:t>
      </w:r>
    </w:p>
    <w:p w:rsidR="00193242" w:rsidRPr="006C4AD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6C4AD8">
        <w:rPr>
          <w:rFonts w:ascii="Arial" w:eastAsia="Times New Roman" w:hAnsi="Arial" w:cs="Arial"/>
          <w:sz w:val="20"/>
          <w:szCs w:val="20"/>
          <w:lang w:eastAsia="en-IN"/>
        </w:rPr>
        <w:t xml:space="preserve">Bell, J. G., McEvoy, J., </w:t>
      </w:r>
      <w:proofErr w:type="spellStart"/>
      <w:r w:rsidRPr="006C4AD8">
        <w:rPr>
          <w:rFonts w:ascii="Arial" w:eastAsia="Times New Roman" w:hAnsi="Arial" w:cs="Arial"/>
          <w:sz w:val="20"/>
          <w:szCs w:val="20"/>
          <w:lang w:eastAsia="en-IN"/>
        </w:rPr>
        <w:t>Tocher</w:t>
      </w:r>
      <w:proofErr w:type="spellEnd"/>
      <w:r w:rsidRPr="006C4AD8">
        <w:rPr>
          <w:rFonts w:ascii="Arial" w:eastAsia="Times New Roman" w:hAnsi="Arial" w:cs="Arial"/>
          <w:sz w:val="20"/>
          <w:szCs w:val="20"/>
          <w:lang w:eastAsia="en-IN"/>
        </w:rPr>
        <w:t>, D. R., McGhee, F., Campbell, P. J., &amp; Sargent, J. R. (2001). Replacement of fish oil with rapeseed oil in diets of Atlantic salmon (</w:t>
      </w:r>
      <w:r w:rsidRPr="006C4AD8">
        <w:rPr>
          <w:rFonts w:ascii="Arial" w:eastAsia="Times New Roman" w:hAnsi="Arial" w:cs="Arial"/>
          <w:i/>
          <w:iCs/>
          <w:sz w:val="20"/>
          <w:szCs w:val="20"/>
          <w:lang w:eastAsia="en-IN"/>
        </w:rPr>
        <w:t xml:space="preserve">Salmo </w:t>
      </w:r>
      <w:proofErr w:type="spellStart"/>
      <w:r w:rsidRPr="006C4AD8">
        <w:rPr>
          <w:rFonts w:ascii="Arial" w:eastAsia="Times New Roman" w:hAnsi="Arial" w:cs="Arial"/>
          <w:i/>
          <w:iCs/>
          <w:sz w:val="20"/>
          <w:szCs w:val="20"/>
          <w:lang w:eastAsia="en-IN"/>
        </w:rPr>
        <w:t>salar</w:t>
      </w:r>
      <w:proofErr w:type="spellEnd"/>
      <w:r w:rsidRPr="006C4AD8">
        <w:rPr>
          <w:rFonts w:ascii="Arial" w:eastAsia="Times New Roman" w:hAnsi="Arial" w:cs="Arial"/>
          <w:sz w:val="20"/>
          <w:szCs w:val="20"/>
          <w:lang w:eastAsia="en-IN"/>
        </w:rPr>
        <w:t xml:space="preserve">) affects tissue lipid compositions and hepatocyte fatty acid metabolism. </w:t>
      </w:r>
      <w:r w:rsidRPr="006C4AD8">
        <w:rPr>
          <w:rFonts w:ascii="Arial" w:eastAsia="Times New Roman" w:hAnsi="Arial" w:cs="Arial"/>
          <w:i/>
          <w:iCs/>
          <w:sz w:val="20"/>
          <w:szCs w:val="20"/>
          <w:lang w:eastAsia="en-IN"/>
        </w:rPr>
        <w:t>The Journal of Nutrition</w:t>
      </w:r>
      <w:r w:rsidRPr="006C4AD8">
        <w:rPr>
          <w:rFonts w:ascii="Arial" w:eastAsia="Times New Roman" w:hAnsi="Arial" w:cs="Arial"/>
          <w:sz w:val="20"/>
          <w:szCs w:val="20"/>
          <w:lang w:eastAsia="en-IN"/>
        </w:rPr>
        <w:t>, 131(5), 1535-1543.</w:t>
      </w:r>
    </w:p>
    <w:p w:rsidR="00193242"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6C4AD8">
        <w:rPr>
          <w:rFonts w:ascii="Arial" w:eastAsia="Times New Roman" w:hAnsi="Arial" w:cs="Arial"/>
          <w:sz w:val="20"/>
          <w:szCs w:val="20"/>
          <w:lang w:eastAsia="en-IN"/>
        </w:rPr>
        <w:t>FAO. (2009). Cultured aquatic species fact sheets. Food and Agriculture Organization of the United Nations, Rome, 1-9.</w:t>
      </w:r>
    </w:p>
    <w:p w:rsidR="00F92C92" w:rsidRPr="006C4AD8" w:rsidRDefault="00F92C92" w:rsidP="00BB0878">
      <w:pPr>
        <w:spacing w:before="100" w:beforeAutospacing="1" w:after="100" w:afterAutospacing="1" w:line="240" w:lineRule="auto"/>
        <w:jc w:val="both"/>
        <w:rPr>
          <w:rFonts w:ascii="Arial" w:eastAsia="Times New Roman" w:hAnsi="Arial" w:cs="Arial"/>
          <w:sz w:val="20"/>
          <w:szCs w:val="20"/>
          <w:lang w:eastAsia="en-IN"/>
        </w:rPr>
      </w:pPr>
      <w:proofErr w:type="gramStart"/>
      <w:r>
        <w:rPr>
          <w:rFonts w:ascii="Arial" w:eastAsia="Times New Roman" w:hAnsi="Arial" w:cs="Arial"/>
          <w:sz w:val="20"/>
          <w:szCs w:val="20"/>
          <w:lang w:eastAsia="en-IN"/>
        </w:rPr>
        <w:t>FAO.(</w:t>
      </w:r>
      <w:proofErr w:type="gramEnd"/>
      <w:r>
        <w:rPr>
          <w:rFonts w:ascii="Arial" w:eastAsia="Times New Roman" w:hAnsi="Arial" w:cs="Arial"/>
          <w:sz w:val="20"/>
          <w:szCs w:val="20"/>
          <w:lang w:eastAsia="en-IN"/>
        </w:rPr>
        <w:t xml:space="preserve">2024). </w:t>
      </w:r>
      <w:proofErr w:type="spellStart"/>
      <w:r>
        <w:rPr>
          <w:rFonts w:ascii="Arial" w:eastAsia="Times New Roman" w:hAnsi="Arial" w:cs="Arial"/>
          <w:sz w:val="20"/>
          <w:szCs w:val="20"/>
          <w:lang w:eastAsia="en-IN"/>
        </w:rPr>
        <w:t>Indias</w:t>
      </w:r>
      <w:proofErr w:type="spellEnd"/>
      <w:r>
        <w:rPr>
          <w:rFonts w:ascii="Arial" w:eastAsia="Times New Roman" w:hAnsi="Arial" w:cs="Arial"/>
          <w:sz w:val="20"/>
          <w:szCs w:val="20"/>
          <w:lang w:eastAsia="en-IN"/>
        </w:rPr>
        <w:t xml:space="preserve"> Fisheries and Aquaculture Sectors Critical for Its Nutrition Security: FAO ADG.</w:t>
      </w:r>
    </w:p>
    <w:p w:rsidR="006C4AD8" w:rsidRPr="006C4AD8" w:rsidRDefault="00925E0B" w:rsidP="006C4AD8">
      <w:pPr>
        <w:pStyle w:val="Heading1"/>
        <w:shd w:val="clear" w:color="auto" w:fill="FFFFFF"/>
        <w:rPr>
          <w:rFonts w:ascii="Arial" w:hAnsi="Arial" w:cs="Arial"/>
          <w:b w:val="0"/>
          <w:color w:val="000000"/>
          <w:sz w:val="20"/>
          <w:szCs w:val="20"/>
        </w:rPr>
      </w:pPr>
      <w:r w:rsidRPr="006C4AD8">
        <w:rPr>
          <w:rFonts w:ascii="Arial" w:hAnsi="Arial" w:cs="Arial"/>
          <w:b w:val="0"/>
          <w:sz w:val="20"/>
          <w:szCs w:val="20"/>
        </w:rPr>
        <w:t xml:space="preserve">Camilla, Maria. Fontana., </w:t>
      </w:r>
      <w:proofErr w:type="spellStart"/>
      <w:proofErr w:type="gramStart"/>
      <w:r w:rsidRPr="006C4AD8">
        <w:rPr>
          <w:rFonts w:ascii="Arial" w:hAnsi="Arial" w:cs="Arial"/>
          <w:b w:val="0"/>
          <w:sz w:val="20"/>
          <w:szCs w:val="20"/>
        </w:rPr>
        <w:t>Md,Afsar</w:t>
      </w:r>
      <w:proofErr w:type="spellEnd"/>
      <w:proofErr w:type="gramEnd"/>
      <w:r w:rsidRPr="006C4AD8">
        <w:rPr>
          <w:rFonts w:ascii="Arial" w:hAnsi="Arial" w:cs="Arial"/>
          <w:b w:val="0"/>
          <w:sz w:val="20"/>
          <w:szCs w:val="20"/>
        </w:rPr>
        <w:t xml:space="preserve">. Ahmed. </w:t>
      </w:r>
      <w:proofErr w:type="spellStart"/>
      <w:r w:rsidRPr="006C4AD8">
        <w:rPr>
          <w:rFonts w:ascii="Arial" w:hAnsi="Arial" w:cs="Arial"/>
          <w:b w:val="0"/>
          <w:sz w:val="20"/>
          <w:szCs w:val="20"/>
        </w:rPr>
        <w:t>Sumon</w:t>
      </w:r>
      <w:proofErr w:type="spellEnd"/>
      <w:proofErr w:type="gramStart"/>
      <w:r w:rsidRPr="006C4AD8">
        <w:rPr>
          <w:rFonts w:ascii="Arial" w:hAnsi="Arial" w:cs="Arial"/>
          <w:b w:val="0"/>
          <w:sz w:val="20"/>
          <w:szCs w:val="20"/>
        </w:rPr>
        <w:t>.,</w:t>
      </w:r>
      <w:proofErr w:type="spellStart"/>
      <w:r w:rsidRPr="006C4AD8">
        <w:rPr>
          <w:rFonts w:ascii="Arial" w:hAnsi="Arial" w:cs="Arial"/>
          <w:b w:val="0"/>
          <w:sz w:val="20"/>
          <w:szCs w:val="20"/>
        </w:rPr>
        <w:t>Supreya</w:t>
      </w:r>
      <w:proofErr w:type="spellEnd"/>
      <w:proofErr w:type="gramEnd"/>
      <w:r w:rsidRPr="006C4AD8">
        <w:rPr>
          <w:rFonts w:ascii="Arial" w:hAnsi="Arial" w:cs="Arial"/>
          <w:b w:val="0"/>
          <w:sz w:val="20"/>
          <w:szCs w:val="20"/>
        </w:rPr>
        <w:t xml:space="preserve">, </w:t>
      </w:r>
      <w:proofErr w:type="spellStart"/>
      <w:r w:rsidRPr="006C4AD8">
        <w:rPr>
          <w:rFonts w:ascii="Arial" w:hAnsi="Arial" w:cs="Arial"/>
          <w:b w:val="0"/>
          <w:sz w:val="20"/>
          <w:szCs w:val="20"/>
        </w:rPr>
        <w:t>Wannavijit</w:t>
      </w:r>
      <w:proofErr w:type="spellEnd"/>
      <w:r w:rsidRPr="006C4AD8">
        <w:rPr>
          <w:rFonts w:ascii="Arial" w:hAnsi="Arial" w:cs="Arial"/>
          <w:b w:val="0"/>
          <w:sz w:val="20"/>
          <w:szCs w:val="20"/>
        </w:rPr>
        <w:t xml:space="preserve">., Anisa, Rilla. </w:t>
      </w:r>
      <w:proofErr w:type="spellStart"/>
      <w:r w:rsidRPr="006C4AD8">
        <w:rPr>
          <w:rFonts w:ascii="Arial" w:hAnsi="Arial" w:cs="Arial"/>
          <w:b w:val="0"/>
          <w:sz w:val="20"/>
          <w:szCs w:val="20"/>
        </w:rPr>
        <w:t>Lubis</w:t>
      </w:r>
      <w:proofErr w:type="spellEnd"/>
      <w:r w:rsidRPr="006C4AD8">
        <w:rPr>
          <w:rFonts w:ascii="Arial" w:hAnsi="Arial" w:cs="Arial"/>
          <w:b w:val="0"/>
          <w:sz w:val="20"/>
          <w:szCs w:val="20"/>
        </w:rPr>
        <w:t xml:space="preserve">., </w:t>
      </w:r>
      <w:proofErr w:type="spellStart"/>
      <w:r w:rsidRPr="006C4AD8">
        <w:rPr>
          <w:rFonts w:ascii="Arial" w:hAnsi="Arial" w:cs="Arial"/>
          <w:b w:val="0"/>
          <w:sz w:val="20"/>
          <w:szCs w:val="20"/>
        </w:rPr>
        <w:t>Nuttapon</w:t>
      </w:r>
      <w:proofErr w:type="spellEnd"/>
      <w:r w:rsidRPr="006C4AD8">
        <w:rPr>
          <w:rFonts w:ascii="Arial" w:hAnsi="Arial" w:cs="Arial"/>
          <w:b w:val="0"/>
          <w:sz w:val="20"/>
          <w:szCs w:val="20"/>
        </w:rPr>
        <w:t xml:space="preserve">, </w:t>
      </w:r>
      <w:proofErr w:type="spellStart"/>
      <w:r w:rsidRPr="006C4AD8">
        <w:rPr>
          <w:rFonts w:ascii="Arial" w:hAnsi="Arial" w:cs="Arial"/>
          <w:b w:val="0"/>
          <w:sz w:val="20"/>
          <w:szCs w:val="20"/>
        </w:rPr>
        <w:t>khongdee</w:t>
      </w:r>
      <w:proofErr w:type="spellEnd"/>
      <w:r w:rsidRPr="006C4AD8">
        <w:rPr>
          <w:rFonts w:ascii="Arial" w:hAnsi="Arial" w:cs="Arial"/>
          <w:b w:val="0"/>
          <w:sz w:val="20"/>
          <w:szCs w:val="20"/>
        </w:rPr>
        <w:t xml:space="preserve">., Nguyen, Vu. Linh., </w:t>
      </w:r>
      <w:proofErr w:type="spellStart"/>
      <w:r w:rsidRPr="006C4AD8">
        <w:rPr>
          <w:rFonts w:ascii="Arial" w:hAnsi="Arial" w:cs="Arial"/>
          <w:b w:val="0"/>
          <w:sz w:val="20"/>
          <w:szCs w:val="20"/>
        </w:rPr>
        <w:t>Yuth</w:t>
      </w:r>
      <w:r w:rsidR="003C481B" w:rsidRPr="006C4AD8">
        <w:rPr>
          <w:rFonts w:ascii="Arial" w:hAnsi="Arial" w:cs="Arial"/>
          <w:b w:val="0"/>
          <w:sz w:val="20"/>
          <w:szCs w:val="20"/>
        </w:rPr>
        <w:t>ana</w:t>
      </w:r>
      <w:proofErr w:type="spellEnd"/>
      <w:r w:rsidR="003C481B" w:rsidRPr="006C4AD8">
        <w:rPr>
          <w:rFonts w:ascii="Arial" w:hAnsi="Arial" w:cs="Arial"/>
          <w:b w:val="0"/>
          <w:sz w:val="20"/>
          <w:szCs w:val="20"/>
        </w:rPr>
        <w:t xml:space="preserve">, </w:t>
      </w:r>
      <w:proofErr w:type="spellStart"/>
      <w:r w:rsidR="003C481B" w:rsidRPr="006C4AD8">
        <w:rPr>
          <w:rFonts w:ascii="Arial" w:hAnsi="Arial" w:cs="Arial"/>
          <w:b w:val="0"/>
          <w:sz w:val="20"/>
          <w:szCs w:val="20"/>
        </w:rPr>
        <w:t>Phimolsiripol</w:t>
      </w:r>
      <w:proofErr w:type="spellEnd"/>
      <w:proofErr w:type="gramStart"/>
      <w:r w:rsidR="003C481B" w:rsidRPr="006C4AD8">
        <w:rPr>
          <w:rFonts w:ascii="Arial" w:hAnsi="Arial" w:cs="Arial"/>
          <w:b w:val="0"/>
          <w:sz w:val="20"/>
          <w:szCs w:val="20"/>
        </w:rPr>
        <w:t>.,</w:t>
      </w:r>
      <w:proofErr w:type="spellStart"/>
      <w:r w:rsidR="003C481B" w:rsidRPr="006C4AD8">
        <w:rPr>
          <w:rFonts w:ascii="Arial" w:hAnsi="Arial" w:cs="Arial"/>
          <w:b w:val="0"/>
          <w:sz w:val="20"/>
          <w:szCs w:val="20"/>
        </w:rPr>
        <w:t>Seyed</w:t>
      </w:r>
      <w:proofErr w:type="spellEnd"/>
      <w:proofErr w:type="gramEnd"/>
      <w:r w:rsidR="003C481B" w:rsidRPr="006C4AD8">
        <w:rPr>
          <w:rFonts w:ascii="Arial" w:hAnsi="Arial" w:cs="Arial"/>
          <w:b w:val="0"/>
          <w:sz w:val="20"/>
          <w:szCs w:val="20"/>
        </w:rPr>
        <w:t>, Hosse</w:t>
      </w:r>
      <w:r w:rsidRPr="006C4AD8">
        <w:rPr>
          <w:rFonts w:ascii="Arial" w:hAnsi="Arial" w:cs="Arial"/>
          <w:b w:val="0"/>
          <w:sz w:val="20"/>
          <w:szCs w:val="20"/>
        </w:rPr>
        <w:t>in</w:t>
      </w:r>
      <w:r w:rsidR="003C481B" w:rsidRPr="006C4AD8">
        <w:rPr>
          <w:rFonts w:ascii="Arial" w:hAnsi="Arial" w:cs="Arial"/>
          <w:b w:val="0"/>
          <w:sz w:val="20"/>
          <w:szCs w:val="20"/>
        </w:rPr>
        <w:t xml:space="preserve">. </w:t>
      </w:r>
      <w:proofErr w:type="spellStart"/>
      <w:r w:rsidR="003C481B" w:rsidRPr="006C4AD8">
        <w:rPr>
          <w:rFonts w:ascii="Arial" w:hAnsi="Arial" w:cs="Arial"/>
          <w:b w:val="0"/>
          <w:sz w:val="20"/>
          <w:szCs w:val="20"/>
        </w:rPr>
        <w:t>Hosseinifar</w:t>
      </w:r>
      <w:proofErr w:type="spellEnd"/>
      <w:proofErr w:type="gramStart"/>
      <w:r w:rsidR="003C481B" w:rsidRPr="006C4AD8">
        <w:rPr>
          <w:rFonts w:ascii="Arial" w:hAnsi="Arial" w:cs="Arial"/>
          <w:b w:val="0"/>
          <w:sz w:val="20"/>
          <w:szCs w:val="20"/>
        </w:rPr>
        <w:t>.,Hien</w:t>
      </w:r>
      <w:proofErr w:type="gramEnd"/>
      <w:r w:rsidR="003C481B" w:rsidRPr="006C4AD8">
        <w:rPr>
          <w:rFonts w:ascii="Arial" w:hAnsi="Arial" w:cs="Arial"/>
          <w:b w:val="0"/>
          <w:sz w:val="20"/>
          <w:szCs w:val="20"/>
        </w:rPr>
        <w:t>, Van. Doan</w:t>
      </w:r>
      <w:proofErr w:type="gramStart"/>
      <w:r w:rsidR="003C481B" w:rsidRPr="006C4AD8">
        <w:rPr>
          <w:rFonts w:ascii="Arial" w:hAnsi="Arial" w:cs="Arial"/>
          <w:b w:val="0"/>
          <w:sz w:val="20"/>
          <w:szCs w:val="20"/>
        </w:rPr>
        <w:t>.,(</w:t>
      </w:r>
      <w:proofErr w:type="gramEnd"/>
      <w:r w:rsidR="003C481B" w:rsidRPr="006C4AD8">
        <w:rPr>
          <w:rFonts w:ascii="Arial" w:hAnsi="Arial" w:cs="Arial"/>
          <w:b w:val="0"/>
          <w:sz w:val="20"/>
          <w:szCs w:val="20"/>
        </w:rPr>
        <w:t>2024).</w:t>
      </w:r>
      <w:r w:rsidR="006C4AD8" w:rsidRPr="006C4AD8">
        <w:rPr>
          <w:rFonts w:ascii="Arial" w:hAnsi="Arial" w:cs="Arial"/>
          <w:b w:val="0"/>
          <w:color w:val="000000"/>
          <w:sz w:val="20"/>
          <w:szCs w:val="20"/>
        </w:rPr>
        <w:t xml:space="preserve"> Effects of Mango Seed (</w:t>
      </w:r>
      <w:proofErr w:type="spellStart"/>
      <w:r w:rsidR="006C4AD8" w:rsidRPr="006C4AD8">
        <w:rPr>
          <w:rFonts w:ascii="Arial" w:hAnsi="Arial" w:cs="Arial"/>
          <w:b w:val="0"/>
          <w:i/>
          <w:iCs/>
          <w:color w:val="000000"/>
          <w:sz w:val="20"/>
          <w:szCs w:val="20"/>
        </w:rPr>
        <w:t>Mangifera</w:t>
      </w:r>
      <w:proofErr w:type="spellEnd"/>
      <w:r w:rsidR="006C4AD8" w:rsidRPr="006C4AD8">
        <w:rPr>
          <w:rFonts w:ascii="Arial" w:hAnsi="Arial" w:cs="Arial"/>
          <w:b w:val="0"/>
          <w:i/>
          <w:iCs/>
          <w:color w:val="000000"/>
          <w:sz w:val="20"/>
          <w:szCs w:val="20"/>
        </w:rPr>
        <w:t xml:space="preserve"> </w:t>
      </w:r>
      <w:proofErr w:type="spellStart"/>
      <w:r w:rsidR="006C4AD8" w:rsidRPr="006C4AD8">
        <w:rPr>
          <w:rFonts w:ascii="Arial" w:hAnsi="Arial" w:cs="Arial"/>
          <w:b w:val="0"/>
          <w:i/>
          <w:iCs/>
          <w:color w:val="000000"/>
          <w:sz w:val="20"/>
          <w:szCs w:val="20"/>
        </w:rPr>
        <w:t>indica</w:t>
      </w:r>
      <w:proofErr w:type="spellEnd"/>
      <w:r w:rsidR="006C4AD8" w:rsidRPr="006C4AD8">
        <w:rPr>
          <w:rFonts w:ascii="Arial" w:hAnsi="Arial" w:cs="Arial"/>
          <w:b w:val="0"/>
          <w:color w:val="000000"/>
          <w:sz w:val="20"/>
          <w:szCs w:val="20"/>
        </w:rPr>
        <w:t>) Powder on Growth Performance, Immune Response, Gut Morphology, and Gene Expression of Nile Tilapia (</w:t>
      </w:r>
      <w:r w:rsidR="006C4AD8" w:rsidRPr="006C4AD8">
        <w:rPr>
          <w:rFonts w:ascii="Arial" w:hAnsi="Arial" w:cs="Arial"/>
          <w:b w:val="0"/>
          <w:i/>
          <w:iCs/>
          <w:color w:val="000000"/>
          <w:sz w:val="20"/>
          <w:szCs w:val="20"/>
        </w:rPr>
        <w:t xml:space="preserve">Oreochromis </w:t>
      </w:r>
      <w:proofErr w:type="spellStart"/>
      <w:r w:rsidR="006C4AD8" w:rsidRPr="006C4AD8">
        <w:rPr>
          <w:rFonts w:ascii="Arial" w:hAnsi="Arial" w:cs="Arial"/>
          <w:b w:val="0"/>
          <w:i/>
          <w:iCs/>
          <w:color w:val="000000"/>
          <w:sz w:val="20"/>
          <w:szCs w:val="20"/>
        </w:rPr>
        <w:t>niloticus</w:t>
      </w:r>
      <w:proofErr w:type="spellEnd"/>
      <w:r w:rsidR="006C4AD8" w:rsidRPr="006C4AD8">
        <w:rPr>
          <w:rFonts w:ascii="Arial" w:hAnsi="Arial" w:cs="Arial"/>
          <w:b w:val="0"/>
          <w:color w:val="000000"/>
          <w:sz w:val="20"/>
          <w:szCs w:val="20"/>
        </w:rPr>
        <w:t xml:space="preserve">). </w:t>
      </w:r>
      <w:r w:rsidR="006C4AD8" w:rsidRPr="006C4AD8">
        <w:rPr>
          <w:rFonts w:ascii="Arial" w:hAnsi="Arial" w:cs="Arial"/>
          <w:b w:val="0"/>
          <w:i/>
          <w:color w:val="000000"/>
          <w:sz w:val="20"/>
          <w:szCs w:val="20"/>
        </w:rPr>
        <w:t xml:space="preserve">Advancing Aquaculture Health and Performance, </w:t>
      </w:r>
      <w:r w:rsidR="006C4AD8" w:rsidRPr="006C4AD8">
        <w:rPr>
          <w:rFonts w:ascii="Arial" w:hAnsi="Arial" w:cs="Arial"/>
          <w:b w:val="0"/>
          <w:color w:val="000000"/>
          <w:sz w:val="20"/>
          <w:szCs w:val="20"/>
        </w:rPr>
        <w:t>9 (12). 514.</w:t>
      </w:r>
    </w:p>
    <w:p w:rsidR="00F576D3" w:rsidRPr="006C4AD8" w:rsidRDefault="00F576D3" w:rsidP="00BB0878">
      <w:pPr>
        <w:spacing w:before="100" w:beforeAutospacing="1" w:after="100" w:afterAutospacing="1" w:line="240" w:lineRule="auto"/>
        <w:jc w:val="both"/>
        <w:rPr>
          <w:rFonts w:ascii="Arial" w:eastAsia="Times New Roman" w:hAnsi="Arial" w:cs="Arial"/>
          <w:sz w:val="20"/>
          <w:szCs w:val="20"/>
          <w:lang w:eastAsia="en-IN"/>
        </w:rPr>
      </w:pPr>
      <w:r w:rsidRPr="006C4AD8">
        <w:rPr>
          <w:rFonts w:ascii="Arial" w:eastAsia="Times New Roman" w:hAnsi="Arial" w:cs="Arial"/>
          <w:sz w:val="20"/>
          <w:szCs w:val="20"/>
          <w:lang w:eastAsia="en-IN"/>
        </w:rPr>
        <w:t xml:space="preserve">Nair, C. </w:t>
      </w:r>
      <w:proofErr w:type="gramStart"/>
      <w:r w:rsidRPr="006C4AD8">
        <w:rPr>
          <w:rFonts w:ascii="Arial" w:eastAsia="Times New Roman" w:hAnsi="Arial" w:cs="Arial"/>
          <w:sz w:val="20"/>
          <w:szCs w:val="20"/>
          <w:lang w:eastAsia="en-IN"/>
        </w:rPr>
        <w:t>M.,</w:t>
      </w:r>
      <w:proofErr w:type="spellStart"/>
      <w:r w:rsidRPr="006C4AD8">
        <w:rPr>
          <w:rFonts w:ascii="Arial" w:eastAsia="Times New Roman" w:hAnsi="Arial" w:cs="Arial"/>
          <w:sz w:val="20"/>
          <w:szCs w:val="20"/>
          <w:lang w:eastAsia="en-IN"/>
        </w:rPr>
        <w:t>Salin</w:t>
      </w:r>
      <w:proofErr w:type="spellEnd"/>
      <w:proofErr w:type="gramEnd"/>
      <w:r w:rsidRPr="006C4AD8">
        <w:rPr>
          <w:rFonts w:ascii="Arial" w:eastAsia="Times New Roman" w:hAnsi="Arial" w:cs="Arial"/>
          <w:sz w:val="20"/>
          <w:szCs w:val="20"/>
          <w:lang w:eastAsia="en-IN"/>
        </w:rPr>
        <w:t xml:space="preserve">, K. R.(2007). Carp Polyculture in India- Practices, emerging trends. In: </w:t>
      </w:r>
      <w:r w:rsidRPr="006C4AD8">
        <w:rPr>
          <w:rFonts w:ascii="Arial" w:eastAsia="Times New Roman" w:hAnsi="Arial" w:cs="Arial"/>
          <w:i/>
          <w:sz w:val="20"/>
          <w:szCs w:val="20"/>
          <w:lang w:eastAsia="en-IN"/>
        </w:rPr>
        <w:t>Global aquaculture Advocate</w:t>
      </w:r>
      <w:r w:rsidRPr="006C4AD8">
        <w:rPr>
          <w:rFonts w:ascii="Arial" w:eastAsia="Times New Roman" w:hAnsi="Arial" w:cs="Arial"/>
          <w:sz w:val="20"/>
          <w:szCs w:val="20"/>
          <w:lang w:eastAsia="en-IN"/>
        </w:rPr>
        <w:t>, pp. 53-56.</w:t>
      </w:r>
    </w:p>
    <w:p w:rsidR="00193242"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6C4AD8">
        <w:rPr>
          <w:rFonts w:ascii="Arial" w:eastAsia="Times New Roman" w:hAnsi="Arial" w:cs="Arial"/>
          <w:sz w:val="20"/>
          <w:szCs w:val="20"/>
          <w:lang w:eastAsia="en-IN"/>
        </w:rPr>
        <w:t xml:space="preserve">Olusola, S. E., </w:t>
      </w:r>
      <w:proofErr w:type="spellStart"/>
      <w:r w:rsidRPr="006C4AD8">
        <w:rPr>
          <w:rFonts w:ascii="Arial" w:eastAsia="Times New Roman" w:hAnsi="Arial" w:cs="Arial"/>
          <w:sz w:val="20"/>
          <w:szCs w:val="20"/>
          <w:lang w:eastAsia="en-IN"/>
        </w:rPr>
        <w:t>Ajiwoju</w:t>
      </w:r>
      <w:proofErr w:type="spellEnd"/>
      <w:r w:rsidRPr="006C4AD8">
        <w:rPr>
          <w:rFonts w:ascii="Arial" w:eastAsia="Times New Roman" w:hAnsi="Arial" w:cs="Arial"/>
          <w:sz w:val="20"/>
          <w:szCs w:val="20"/>
          <w:lang w:eastAsia="en-IN"/>
        </w:rPr>
        <w:t>, I. J., &amp;</w:t>
      </w:r>
      <w:proofErr w:type="spellStart"/>
      <w:r w:rsidRPr="006C4AD8">
        <w:rPr>
          <w:rFonts w:ascii="Arial" w:eastAsia="Times New Roman" w:hAnsi="Arial" w:cs="Arial"/>
          <w:sz w:val="20"/>
          <w:szCs w:val="20"/>
          <w:lang w:eastAsia="en-IN"/>
        </w:rPr>
        <w:t>Emikpe</w:t>
      </w:r>
      <w:proofErr w:type="spellEnd"/>
      <w:r w:rsidRPr="006C4AD8">
        <w:rPr>
          <w:rFonts w:ascii="Arial" w:eastAsia="Times New Roman" w:hAnsi="Arial" w:cs="Arial"/>
          <w:sz w:val="20"/>
          <w:szCs w:val="20"/>
          <w:lang w:eastAsia="en-IN"/>
        </w:rPr>
        <w:t>, B. O. (2020). Efficacy of tamarind (</w:t>
      </w:r>
      <w:proofErr w:type="spellStart"/>
      <w:r w:rsidRPr="006C4AD8">
        <w:rPr>
          <w:rFonts w:ascii="Arial" w:eastAsia="Times New Roman" w:hAnsi="Arial" w:cs="Arial"/>
          <w:i/>
          <w:iCs/>
          <w:sz w:val="20"/>
          <w:szCs w:val="20"/>
          <w:lang w:eastAsia="en-IN"/>
        </w:rPr>
        <w:t>Tamarindus</w:t>
      </w:r>
      <w:proofErr w:type="spellEnd"/>
      <w:r w:rsidRPr="006C4AD8">
        <w:rPr>
          <w:rFonts w:ascii="Arial" w:eastAsia="Times New Roman" w:hAnsi="Arial" w:cs="Arial"/>
          <w:i/>
          <w:iCs/>
          <w:sz w:val="20"/>
          <w:szCs w:val="20"/>
          <w:lang w:eastAsia="en-IN"/>
        </w:rPr>
        <w:t xml:space="preserve"> </w:t>
      </w:r>
      <w:proofErr w:type="spellStart"/>
      <w:r w:rsidRPr="006C4AD8">
        <w:rPr>
          <w:rFonts w:ascii="Arial" w:eastAsia="Times New Roman" w:hAnsi="Arial" w:cs="Arial"/>
          <w:i/>
          <w:iCs/>
          <w:sz w:val="20"/>
          <w:szCs w:val="20"/>
          <w:lang w:eastAsia="en-IN"/>
        </w:rPr>
        <w:t>indica</w:t>
      </w:r>
      <w:proofErr w:type="spellEnd"/>
      <w:r w:rsidRPr="006C4AD8">
        <w:rPr>
          <w:rFonts w:ascii="Arial" w:eastAsia="Times New Roman" w:hAnsi="Arial" w:cs="Arial"/>
          <w:sz w:val="20"/>
          <w:szCs w:val="20"/>
          <w:lang w:eastAsia="en-IN"/>
        </w:rPr>
        <w:t>) leaves and mango (</w:t>
      </w:r>
      <w:proofErr w:type="spellStart"/>
      <w:r w:rsidRPr="006C4AD8">
        <w:rPr>
          <w:rFonts w:ascii="Arial" w:eastAsia="Times New Roman" w:hAnsi="Arial" w:cs="Arial"/>
          <w:i/>
          <w:iCs/>
          <w:sz w:val="20"/>
          <w:szCs w:val="20"/>
          <w:lang w:eastAsia="en-IN"/>
        </w:rPr>
        <w:t>Mangifera</w:t>
      </w:r>
      <w:proofErr w:type="spellEnd"/>
      <w:r w:rsidRPr="006C4AD8">
        <w:rPr>
          <w:rFonts w:ascii="Arial" w:eastAsia="Times New Roman" w:hAnsi="Arial" w:cs="Arial"/>
          <w:i/>
          <w:iCs/>
          <w:sz w:val="20"/>
          <w:szCs w:val="20"/>
          <w:lang w:eastAsia="en-IN"/>
        </w:rPr>
        <w:t xml:space="preserve"> </w:t>
      </w:r>
      <w:proofErr w:type="spellStart"/>
      <w:r w:rsidRPr="006C4AD8">
        <w:rPr>
          <w:rFonts w:ascii="Arial" w:eastAsia="Times New Roman" w:hAnsi="Arial" w:cs="Arial"/>
          <w:i/>
          <w:iCs/>
          <w:sz w:val="20"/>
          <w:szCs w:val="20"/>
          <w:lang w:eastAsia="en-IN"/>
        </w:rPr>
        <w:t>indica</w:t>
      </w:r>
      <w:proofErr w:type="spellEnd"/>
      <w:r w:rsidRPr="006C4AD8">
        <w:rPr>
          <w:rFonts w:ascii="Arial" w:eastAsia="Times New Roman" w:hAnsi="Arial" w:cs="Arial"/>
          <w:sz w:val="20"/>
          <w:szCs w:val="20"/>
          <w:lang w:eastAsia="en-IN"/>
        </w:rPr>
        <w:t xml:space="preserve">) leaves as feed additives on growth, blood status and resistance to </w:t>
      </w:r>
      <w:r w:rsidRPr="006C4AD8">
        <w:rPr>
          <w:rFonts w:ascii="Arial" w:eastAsia="Times New Roman" w:hAnsi="Arial" w:cs="Arial"/>
          <w:i/>
          <w:iCs/>
          <w:sz w:val="20"/>
          <w:szCs w:val="20"/>
          <w:lang w:eastAsia="en-IN"/>
        </w:rPr>
        <w:t xml:space="preserve">Aeromonas </w:t>
      </w:r>
      <w:proofErr w:type="spellStart"/>
      <w:r w:rsidRPr="006C4AD8">
        <w:rPr>
          <w:rFonts w:ascii="Arial" w:eastAsia="Times New Roman" w:hAnsi="Arial" w:cs="Arial"/>
          <w:i/>
          <w:iCs/>
          <w:sz w:val="20"/>
          <w:szCs w:val="20"/>
          <w:lang w:eastAsia="en-IN"/>
        </w:rPr>
        <w:t>hydrophila</w:t>
      </w:r>
      <w:proofErr w:type="spellEnd"/>
      <w:r w:rsidRPr="006C4AD8">
        <w:rPr>
          <w:rFonts w:ascii="Arial" w:eastAsia="Times New Roman" w:hAnsi="Arial" w:cs="Arial"/>
          <w:sz w:val="20"/>
          <w:szCs w:val="20"/>
          <w:lang w:eastAsia="en-IN"/>
        </w:rPr>
        <w:t xml:space="preserve"> in juvenile African catfish </w:t>
      </w:r>
      <w:proofErr w:type="spellStart"/>
      <w:r w:rsidRPr="006C4AD8">
        <w:rPr>
          <w:rFonts w:ascii="Arial" w:eastAsia="Times New Roman" w:hAnsi="Arial" w:cs="Arial"/>
          <w:i/>
          <w:iCs/>
          <w:sz w:val="20"/>
          <w:szCs w:val="20"/>
          <w:lang w:eastAsia="en-IN"/>
        </w:rPr>
        <w:t>Clariasgariepinus</w:t>
      </w:r>
      <w:proofErr w:type="spellEnd"/>
      <w:r w:rsidRPr="006C4AD8">
        <w:rPr>
          <w:rFonts w:ascii="Arial" w:eastAsia="Times New Roman" w:hAnsi="Arial" w:cs="Arial"/>
          <w:sz w:val="20"/>
          <w:szCs w:val="20"/>
          <w:lang w:eastAsia="en-IN"/>
        </w:rPr>
        <w:t xml:space="preserve">. </w:t>
      </w:r>
      <w:r w:rsidRPr="006C4AD8">
        <w:rPr>
          <w:rFonts w:ascii="Arial" w:eastAsia="Times New Roman" w:hAnsi="Arial" w:cs="Arial"/>
          <w:i/>
          <w:iCs/>
          <w:sz w:val="20"/>
          <w:szCs w:val="20"/>
          <w:lang w:eastAsia="en-IN"/>
        </w:rPr>
        <w:t>Croatian Journal of Fisheries</w:t>
      </w:r>
      <w:r w:rsidRPr="006C4AD8">
        <w:rPr>
          <w:rFonts w:ascii="Arial" w:eastAsia="Times New Roman" w:hAnsi="Arial" w:cs="Arial"/>
          <w:sz w:val="20"/>
          <w:szCs w:val="20"/>
          <w:lang w:eastAsia="en-IN"/>
        </w:rPr>
        <w:t>, 78(1), 11-20.</w:t>
      </w:r>
    </w:p>
    <w:p w:rsidR="00F92C92" w:rsidRPr="006C4AD8" w:rsidRDefault="00F92C92" w:rsidP="00BB0878">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PIB. (2025). “Eco fishing Ports” in Focus: Department of Fisheries and AFD Hold Technical Dialogue in New Delhi.</w:t>
      </w:r>
    </w:p>
    <w:p w:rsidR="00B0274A" w:rsidRDefault="00110873" w:rsidP="00BB0878">
      <w:pPr>
        <w:jc w:val="both"/>
        <w:rPr>
          <w:rFonts w:ascii="Arial" w:hAnsi="Arial" w:cs="Arial"/>
          <w:sz w:val="20"/>
          <w:szCs w:val="20"/>
        </w:rPr>
      </w:pPr>
      <w:proofErr w:type="spellStart"/>
      <w:r w:rsidRPr="00BC3235">
        <w:rPr>
          <w:rFonts w:ascii="Arial" w:hAnsi="Arial" w:cs="Arial"/>
          <w:sz w:val="20"/>
          <w:szCs w:val="20"/>
          <w:highlight w:val="yellow"/>
        </w:rPr>
        <w:t>Meghraj</w:t>
      </w:r>
      <w:proofErr w:type="spellEnd"/>
      <w:r w:rsidRPr="00BC3235">
        <w:rPr>
          <w:rFonts w:ascii="Arial" w:hAnsi="Arial" w:cs="Arial"/>
          <w:sz w:val="20"/>
          <w:szCs w:val="20"/>
          <w:highlight w:val="yellow"/>
        </w:rPr>
        <w:t xml:space="preserve">, Y. BK Sharma, SK Sharma and B Upadhyay (2023). Effect of Mango Leaf Meal as Supplementary Feed on Growth and Digestibility of Common carp (Cyprinus </w:t>
      </w:r>
      <w:proofErr w:type="spellStart"/>
      <w:proofErr w:type="gramStart"/>
      <w:r w:rsidRPr="00BC3235">
        <w:rPr>
          <w:rFonts w:ascii="Arial" w:hAnsi="Arial" w:cs="Arial"/>
          <w:sz w:val="20"/>
          <w:szCs w:val="20"/>
          <w:highlight w:val="yellow"/>
        </w:rPr>
        <w:t>carpio</w:t>
      </w:r>
      <w:proofErr w:type="spellEnd"/>
      <w:r w:rsidRPr="00BC3235">
        <w:rPr>
          <w:rFonts w:ascii="Arial" w:hAnsi="Arial" w:cs="Arial"/>
          <w:sz w:val="20"/>
          <w:szCs w:val="20"/>
          <w:highlight w:val="yellow"/>
        </w:rPr>
        <w:t>)(</w:t>
      </w:r>
      <w:proofErr w:type="gramEnd"/>
      <w:r w:rsidRPr="00BC3235">
        <w:rPr>
          <w:rFonts w:ascii="Arial" w:hAnsi="Arial" w:cs="Arial"/>
          <w:sz w:val="20"/>
          <w:szCs w:val="20"/>
          <w:highlight w:val="yellow"/>
        </w:rPr>
        <w:t xml:space="preserve">Linnaeus, 1758) Fingerlings (Doctoral dissertation, MPUAT, Udaipur). The Pharma Innovation </w:t>
      </w:r>
      <w:proofErr w:type="gramStart"/>
      <w:r w:rsidRPr="00BC3235">
        <w:rPr>
          <w:rFonts w:ascii="Arial" w:hAnsi="Arial" w:cs="Arial"/>
          <w:sz w:val="20"/>
          <w:szCs w:val="20"/>
          <w:highlight w:val="yellow"/>
        </w:rPr>
        <w:t>Journal  12</w:t>
      </w:r>
      <w:proofErr w:type="gramEnd"/>
      <w:r w:rsidRPr="00BC3235">
        <w:rPr>
          <w:rFonts w:ascii="Arial" w:hAnsi="Arial" w:cs="Arial"/>
          <w:sz w:val="20"/>
          <w:szCs w:val="20"/>
          <w:highlight w:val="yellow"/>
        </w:rPr>
        <w:t>(3): 1239-1241</w:t>
      </w:r>
    </w:p>
    <w:p w:rsidR="00D60996" w:rsidRPr="006C4AD8" w:rsidRDefault="00110873" w:rsidP="00BB0878">
      <w:pPr>
        <w:jc w:val="both"/>
        <w:rPr>
          <w:rFonts w:ascii="Arial" w:hAnsi="Arial" w:cs="Arial"/>
          <w:sz w:val="20"/>
          <w:szCs w:val="20"/>
        </w:rPr>
      </w:pPr>
      <w:proofErr w:type="spellStart"/>
      <w:r w:rsidRPr="00BC3235">
        <w:rPr>
          <w:rFonts w:ascii="Arial" w:hAnsi="Arial" w:cs="Arial"/>
          <w:sz w:val="20"/>
          <w:szCs w:val="20"/>
          <w:highlight w:val="yellow"/>
        </w:rPr>
        <w:t>Troell</w:t>
      </w:r>
      <w:proofErr w:type="spellEnd"/>
      <w:r w:rsidRPr="00BC3235">
        <w:rPr>
          <w:rFonts w:ascii="Arial" w:hAnsi="Arial" w:cs="Arial"/>
          <w:sz w:val="20"/>
          <w:szCs w:val="20"/>
          <w:highlight w:val="yellow"/>
        </w:rPr>
        <w:t xml:space="preserve">, M.; Costa-Pierce, B.; Stead, S.; Cottrell, R.S.; </w:t>
      </w:r>
      <w:proofErr w:type="spellStart"/>
      <w:r w:rsidRPr="00BC3235">
        <w:rPr>
          <w:rFonts w:ascii="Arial" w:hAnsi="Arial" w:cs="Arial"/>
          <w:sz w:val="20"/>
          <w:szCs w:val="20"/>
          <w:highlight w:val="yellow"/>
        </w:rPr>
        <w:t>Brugere</w:t>
      </w:r>
      <w:proofErr w:type="spellEnd"/>
      <w:r w:rsidRPr="00BC3235">
        <w:rPr>
          <w:rFonts w:ascii="Arial" w:hAnsi="Arial" w:cs="Arial"/>
          <w:sz w:val="20"/>
          <w:szCs w:val="20"/>
          <w:highlight w:val="yellow"/>
        </w:rPr>
        <w:t xml:space="preserve">, C.; </w:t>
      </w:r>
      <w:proofErr w:type="spellStart"/>
      <w:r w:rsidRPr="00BC3235">
        <w:rPr>
          <w:rFonts w:ascii="Arial" w:hAnsi="Arial" w:cs="Arial"/>
          <w:sz w:val="20"/>
          <w:szCs w:val="20"/>
          <w:highlight w:val="yellow"/>
        </w:rPr>
        <w:t>Farmery</w:t>
      </w:r>
      <w:proofErr w:type="spellEnd"/>
      <w:r w:rsidRPr="00BC3235">
        <w:rPr>
          <w:rFonts w:ascii="Arial" w:hAnsi="Arial" w:cs="Arial"/>
          <w:sz w:val="20"/>
          <w:szCs w:val="20"/>
          <w:highlight w:val="yellow"/>
        </w:rPr>
        <w:t xml:space="preserve">, A.K.; Little, D.C.; Strand, Å.; Pullin, R.; Soto, D. Perspectives on aquaculture’s contribution to the Sustainable Development Goals for improved human and planetary health. J. World </w:t>
      </w:r>
      <w:proofErr w:type="spellStart"/>
      <w:r w:rsidRPr="00BC3235">
        <w:rPr>
          <w:rFonts w:ascii="Arial" w:hAnsi="Arial" w:cs="Arial"/>
          <w:sz w:val="20"/>
          <w:szCs w:val="20"/>
          <w:highlight w:val="yellow"/>
        </w:rPr>
        <w:t>Aquac</w:t>
      </w:r>
      <w:proofErr w:type="spellEnd"/>
      <w:r w:rsidRPr="00BC3235">
        <w:rPr>
          <w:rFonts w:ascii="Arial" w:hAnsi="Arial" w:cs="Arial"/>
          <w:sz w:val="20"/>
          <w:szCs w:val="20"/>
          <w:highlight w:val="yellow"/>
        </w:rPr>
        <w:t>. Soc. 2023, 54, 251–342.</w:t>
      </w:r>
    </w:p>
    <w:sectPr w:rsidR="00D60996" w:rsidRPr="006C4AD8" w:rsidSect="00B0274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874" w:rsidRDefault="00077874" w:rsidP="00D41532">
      <w:pPr>
        <w:spacing w:after="0" w:line="240" w:lineRule="auto"/>
      </w:pPr>
      <w:r>
        <w:separator/>
      </w:r>
    </w:p>
  </w:endnote>
  <w:endnote w:type="continuationSeparator" w:id="0">
    <w:p w:rsidR="00077874" w:rsidRDefault="00077874" w:rsidP="00D4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532" w:rsidRDefault="00D41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532" w:rsidRDefault="00D415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532" w:rsidRDefault="00D41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874" w:rsidRDefault="00077874" w:rsidP="00D41532">
      <w:pPr>
        <w:spacing w:after="0" w:line="240" w:lineRule="auto"/>
      </w:pPr>
      <w:r>
        <w:separator/>
      </w:r>
    </w:p>
  </w:footnote>
  <w:footnote w:type="continuationSeparator" w:id="0">
    <w:p w:rsidR="00077874" w:rsidRDefault="00077874" w:rsidP="00D4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532" w:rsidRDefault="000778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188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532" w:rsidRDefault="000778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188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532" w:rsidRDefault="000778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188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E2szA2NjM0NDIzNDdX0lEKTi0uzszPAykwrAUANUCRXSwAAAA="/>
  </w:docVars>
  <w:rsids>
    <w:rsidRoot w:val="00193242"/>
    <w:rsid w:val="000239BD"/>
    <w:rsid w:val="00077874"/>
    <w:rsid w:val="00085E69"/>
    <w:rsid w:val="00094411"/>
    <w:rsid w:val="00110873"/>
    <w:rsid w:val="0015548D"/>
    <w:rsid w:val="00193242"/>
    <w:rsid w:val="00265E99"/>
    <w:rsid w:val="00394FE8"/>
    <w:rsid w:val="003C1EE0"/>
    <w:rsid w:val="003C481B"/>
    <w:rsid w:val="00407968"/>
    <w:rsid w:val="0041107D"/>
    <w:rsid w:val="00607B2A"/>
    <w:rsid w:val="006C4AD8"/>
    <w:rsid w:val="006C761B"/>
    <w:rsid w:val="007C0B16"/>
    <w:rsid w:val="008246DA"/>
    <w:rsid w:val="00833AAE"/>
    <w:rsid w:val="008C6FF8"/>
    <w:rsid w:val="008D191A"/>
    <w:rsid w:val="008F1CDC"/>
    <w:rsid w:val="00925E0B"/>
    <w:rsid w:val="00A25BEE"/>
    <w:rsid w:val="00AB5FF5"/>
    <w:rsid w:val="00B0274A"/>
    <w:rsid w:val="00B64C16"/>
    <w:rsid w:val="00B65039"/>
    <w:rsid w:val="00B876C0"/>
    <w:rsid w:val="00BA3A0F"/>
    <w:rsid w:val="00BB0878"/>
    <w:rsid w:val="00BC3235"/>
    <w:rsid w:val="00C02B5A"/>
    <w:rsid w:val="00C44FB1"/>
    <w:rsid w:val="00D07A5A"/>
    <w:rsid w:val="00D41532"/>
    <w:rsid w:val="00D42AFE"/>
    <w:rsid w:val="00D60996"/>
    <w:rsid w:val="00DA3FFC"/>
    <w:rsid w:val="00DC792A"/>
    <w:rsid w:val="00E3745D"/>
    <w:rsid w:val="00E54A73"/>
    <w:rsid w:val="00E62995"/>
    <w:rsid w:val="00E66557"/>
    <w:rsid w:val="00E81812"/>
    <w:rsid w:val="00EC38C2"/>
    <w:rsid w:val="00F23FE7"/>
    <w:rsid w:val="00F413BC"/>
    <w:rsid w:val="00F415A9"/>
    <w:rsid w:val="00F55511"/>
    <w:rsid w:val="00F576D3"/>
    <w:rsid w:val="00F8233C"/>
    <w:rsid w:val="00F92C9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CCC2BF"/>
  <w15:docId w15:val="{AE3F9F80-D2FE-4D25-945F-10E5A817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74A"/>
  </w:style>
  <w:style w:type="paragraph" w:styleId="Heading1">
    <w:name w:val="heading 1"/>
    <w:basedOn w:val="Normal"/>
    <w:link w:val="Heading1Char"/>
    <w:uiPriority w:val="9"/>
    <w:qFormat/>
    <w:rsid w:val="001932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19324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19324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242"/>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193242"/>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193242"/>
    <w:rPr>
      <w:rFonts w:ascii="Times New Roman" w:eastAsia="Times New Roman" w:hAnsi="Times New Roman" w:cs="Times New Roman"/>
      <w:b/>
      <w:bCs/>
      <w:sz w:val="27"/>
      <w:szCs w:val="27"/>
      <w:lang w:eastAsia="en-IN"/>
    </w:rPr>
  </w:style>
  <w:style w:type="character" w:styleId="Emphasis">
    <w:name w:val="Emphasis"/>
    <w:basedOn w:val="DefaultParagraphFont"/>
    <w:uiPriority w:val="20"/>
    <w:qFormat/>
    <w:rsid w:val="00193242"/>
    <w:rPr>
      <w:i/>
      <w:iCs/>
    </w:rPr>
  </w:style>
  <w:style w:type="paragraph" w:customStyle="1" w:styleId="whitespace-normal">
    <w:name w:val="whitespace-normal"/>
    <w:basedOn w:val="Normal"/>
    <w:rsid w:val="0019324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93242"/>
    <w:rPr>
      <w:b/>
      <w:bCs/>
    </w:rPr>
  </w:style>
  <w:style w:type="character" w:styleId="Hyperlink">
    <w:name w:val="Hyperlink"/>
    <w:basedOn w:val="DefaultParagraphFont"/>
    <w:uiPriority w:val="99"/>
    <w:unhideWhenUsed/>
    <w:rsid w:val="00193242"/>
    <w:rPr>
      <w:color w:val="0000FF"/>
      <w:u w:val="single"/>
    </w:rPr>
  </w:style>
  <w:style w:type="table" w:styleId="TableGrid">
    <w:name w:val="Table Grid"/>
    <w:basedOn w:val="TableNormal"/>
    <w:uiPriority w:val="59"/>
    <w:rsid w:val="00A25B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tml-italic">
    <w:name w:val="html-italic"/>
    <w:basedOn w:val="DefaultParagraphFont"/>
    <w:rsid w:val="006C4AD8"/>
  </w:style>
  <w:style w:type="paragraph" w:styleId="ListParagraph">
    <w:name w:val="List Paragraph"/>
    <w:basedOn w:val="Normal"/>
    <w:uiPriority w:val="34"/>
    <w:qFormat/>
    <w:rsid w:val="00B876C0"/>
    <w:pPr>
      <w:ind w:left="720"/>
      <w:contextualSpacing/>
    </w:pPr>
  </w:style>
  <w:style w:type="paragraph" w:styleId="Header">
    <w:name w:val="header"/>
    <w:basedOn w:val="Normal"/>
    <w:link w:val="HeaderChar"/>
    <w:uiPriority w:val="99"/>
    <w:unhideWhenUsed/>
    <w:rsid w:val="00D41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532"/>
  </w:style>
  <w:style w:type="paragraph" w:styleId="Footer">
    <w:name w:val="footer"/>
    <w:basedOn w:val="Normal"/>
    <w:link w:val="FooterChar"/>
    <w:uiPriority w:val="99"/>
    <w:unhideWhenUsed/>
    <w:rsid w:val="00D4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532"/>
  </w:style>
  <w:style w:type="paragraph" w:styleId="BalloonText">
    <w:name w:val="Balloon Text"/>
    <w:basedOn w:val="Normal"/>
    <w:link w:val="BalloonTextChar"/>
    <w:uiPriority w:val="99"/>
    <w:semiHidden/>
    <w:unhideWhenUsed/>
    <w:rsid w:val="00110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878316">
      <w:bodyDiv w:val="1"/>
      <w:marLeft w:val="0"/>
      <w:marRight w:val="0"/>
      <w:marTop w:val="0"/>
      <w:marBottom w:val="0"/>
      <w:divBdr>
        <w:top w:val="none" w:sz="0" w:space="0" w:color="auto"/>
        <w:left w:val="none" w:sz="0" w:space="0" w:color="auto"/>
        <w:bottom w:val="none" w:sz="0" w:space="0" w:color="auto"/>
        <w:right w:val="none" w:sz="0" w:space="0" w:color="auto"/>
      </w:divBdr>
    </w:div>
    <w:div w:id="18413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f.gov.in/fisheries-statistic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2498</Words>
  <Characters>14241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SDI PC New 16</cp:lastModifiedBy>
  <cp:revision>9</cp:revision>
  <dcterms:created xsi:type="dcterms:W3CDTF">2025-06-13T05:54:00Z</dcterms:created>
  <dcterms:modified xsi:type="dcterms:W3CDTF">2025-06-14T10:05:00Z</dcterms:modified>
</cp:coreProperties>
</file>