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CE5C7" w14:textId="49CBD371" w:rsidR="00A97B22" w:rsidRDefault="00E41E53" w:rsidP="00F105AD">
      <w:pPr>
        <w:jc w:val="both"/>
        <w:rPr>
          <w:rFonts w:ascii="Times New Roman" w:hAnsi="Times New Roman" w:cs="Times New Roman"/>
          <w:b/>
          <w:bCs/>
          <w:sz w:val="24"/>
          <w:szCs w:val="24"/>
        </w:rPr>
      </w:pPr>
      <w:bookmarkStart w:id="0" w:name="_GoBack"/>
      <w:bookmarkEnd w:id="0"/>
      <w:r w:rsidRPr="00E41E53">
        <w:rPr>
          <w:rFonts w:ascii="Times New Roman" w:hAnsi="Times New Roman" w:cs="Times New Roman"/>
          <w:b/>
          <w:bCs/>
          <w:sz w:val="24"/>
          <w:szCs w:val="24"/>
        </w:rPr>
        <w:t xml:space="preserve">Intrinsic Network Pharmacology for Mapping Divergent System Trajectories: Computational Study of </w:t>
      </w:r>
      <w:proofErr w:type="spellStart"/>
      <w:r w:rsidRPr="00E41E53">
        <w:rPr>
          <w:rFonts w:ascii="Times New Roman" w:hAnsi="Times New Roman" w:cs="Times New Roman"/>
          <w:b/>
          <w:bCs/>
          <w:sz w:val="24"/>
          <w:szCs w:val="24"/>
        </w:rPr>
        <w:t>Rasayana</w:t>
      </w:r>
      <w:proofErr w:type="spellEnd"/>
      <w:r w:rsidR="009110AA">
        <w:rPr>
          <w:rFonts w:ascii="Times New Roman" w:hAnsi="Times New Roman" w:cs="Times New Roman"/>
          <w:b/>
          <w:bCs/>
          <w:sz w:val="24"/>
          <w:szCs w:val="24"/>
        </w:rPr>
        <w:t xml:space="preserve"> </w:t>
      </w:r>
      <w:r w:rsidRPr="00E41E53">
        <w:rPr>
          <w:rFonts w:ascii="Times New Roman" w:hAnsi="Times New Roman" w:cs="Times New Roman"/>
          <w:b/>
          <w:bCs/>
          <w:sz w:val="24"/>
          <w:szCs w:val="24"/>
        </w:rPr>
        <w:t>Induced Restoration and Deficiency</w:t>
      </w:r>
      <w:r w:rsidR="009110AA">
        <w:rPr>
          <w:rFonts w:ascii="Times New Roman" w:hAnsi="Times New Roman" w:cs="Times New Roman"/>
          <w:b/>
          <w:bCs/>
          <w:sz w:val="24"/>
          <w:szCs w:val="24"/>
        </w:rPr>
        <w:t xml:space="preserve"> </w:t>
      </w:r>
      <w:r w:rsidRPr="00E41E53">
        <w:rPr>
          <w:rFonts w:ascii="Times New Roman" w:hAnsi="Times New Roman" w:cs="Times New Roman"/>
          <w:b/>
          <w:bCs/>
          <w:sz w:val="24"/>
          <w:szCs w:val="24"/>
        </w:rPr>
        <w:t>Driven Collapse</w:t>
      </w:r>
    </w:p>
    <w:p w14:paraId="3B57DA5C" w14:textId="77777777" w:rsidR="00F105AD" w:rsidRPr="00095D50" w:rsidRDefault="00F105AD" w:rsidP="00F105AD">
      <w:pPr>
        <w:jc w:val="both"/>
        <w:rPr>
          <w:rFonts w:ascii="Times New Roman" w:hAnsi="Times New Roman" w:cs="Times New Roman"/>
          <w:b/>
          <w:bCs/>
          <w:sz w:val="24"/>
          <w:szCs w:val="24"/>
        </w:rPr>
      </w:pPr>
      <w:r w:rsidRPr="00095D50">
        <w:rPr>
          <w:rFonts w:ascii="Times New Roman" w:hAnsi="Times New Roman" w:cs="Times New Roman"/>
          <w:b/>
          <w:bCs/>
          <w:sz w:val="24"/>
          <w:szCs w:val="24"/>
        </w:rPr>
        <w:t>Abstract</w:t>
      </w:r>
    </w:p>
    <w:p w14:paraId="3460D7CF" w14:textId="77777777" w:rsidR="00E41E53" w:rsidRDefault="00E41E53" w:rsidP="00E41E53">
      <w:pPr>
        <w:jc w:val="both"/>
        <w:rPr>
          <w:rFonts w:ascii="Times New Roman" w:hAnsi="Times New Roman" w:cs="Times New Roman"/>
          <w:bCs/>
          <w:sz w:val="24"/>
          <w:szCs w:val="24"/>
        </w:rPr>
      </w:pPr>
      <w:r w:rsidRPr="00E41E53">
        <w:rPr>
          <w:rFonts w:ascii="Times New Roman" w:hAnsi="Times New Roman" w:cs="Times New Roman"/>
          <w:bCs/>
          <w:sz w:val="24"/>
          <w:szCs w:val="24"/>
        </w:rPr>
        <w:t>Contemporary chronic diseases, including pervasive Vitamin D3 and B12 deficiencies, are increasingly considered failures of intricate metabolic and regulatory networks—rather than isolated biochemical imbalance. Deficiencies interrupt integrated processes such as redox signaling, immune modulation, feedback inhibition, and epigenetic stability. To investigate these system-level dysfunctions and potential cures, we use a formal 7-layer Intrinsic Network Pharmacology (INP) protocol. In contrast to regular network pharmacology, INP incorporates feedback loops, control over oxidative stress, autophagy kinetics, and homeostatic collapse and recovery dynamic simulation.</w:t>
      </w:r>
      <w:r>
        <w:rPr>
          <w:rFonts w:ascii="Times New Roman" w:hAnsi="Times New Roman" w:cs="Times New Roman"/>
          <w:bCs/>
          <w:sz w:val="24"/>
          <w:szCs w:val="24"/>
        </w:rPr>
        <w:t xml:space="preserve"> </w:t>
      </w:r>
      <w:r w:rsidRPr="00E41E53">
        <w:rPr>
          <w:rFonts w:ascii="Times New Roman" w:hAnsi="Times New Roman" w:cs="Times New Roman"/>
          <w:bCs/>
          <w:sz w:val="24"/>
          <w:szCs w:val="24"/>
        </w:rPr>
        <w:t>In the present work, we apply the INP model to investigate two opposing situations. First, we break down the multi-level failure cascade in Vitamin D3 and B12 deficiencies, revealing breakdown points in all seven INP layers—from molecular signals up to compromised autophagy. Second, we assess the restorative potential of Chyawanprash, an Ayurvedic Rasayana with multi-herb formulation and adaptogenic activity. Through literature-derived target mapping, INP Fit Scores, and ODE simulations, we demonstrate how Chyawanprash regulates important regulators like Nrf2, SIRT1, FOXO3, Beclin1, and DNMT1.</w:t>
      </w:r>
      <w:r>
        <w:rPr>
          <w:rFonts w:ascii="Times New Roman" w:hAnsi="Times New Roman" w:cs="Times New Roman"/>
          <w:bCs/>
          <w:sz w:val="24"/>
          <w:szCs w:val="24"/>
        </w:rPr>
        <w:t xml:space="preserve"> </w:t>
      </w:r>
      <w:r w:rsidRPr="00E41E53">
        <w:rPr>
          <w:rFonts w:ascii="Times New Roman" w:hAnsi="Times New Roman" w:cs="Times New Roman"/>
          <w:bCs/>
          <w:sz w:val="24"/>
          <w:szCs w:val="24"/>
        </w:rPr>
        <w:t>Our results demonstrate unequivocal divergence between Rasayana-supported reversal and deficiency-triggered breakdown, confirming INP as a diagnostic and therapeutic modeling platform. Although simulation-based, the outcomes imply that Rasayana preparations might exert system-level action via epigenetic network reprogramming. The present study signifies the capability of INP to guide integrative management of chronic diseases and promote nutraceutical science.</w:t>
      </w:r>
    </w:p>
    <w:p w14:paraId="0243F89E" w14:textId="3974D005" w:rsidR="00353F37" w:rsidRPr="00E41E53" w:rsidRDefault="00353F37" w:rsidP="00E41E53">
      <w:pPr>
        <w:jc w:val="both"/>
        <w:rPr>
          <w:rFonts w:ascii="Times New Roman" w:hAnsi="Times New Roman" w:cs="Times New Roman"/>
          <w:bCs/>
          <w:sz w:val="24"/>
          <w:szCs w:val="24"/>
        </w:rPr>
      </w:pPr>
      <w:r w:rsidRPr="00095D50">
        <w:rPr>
          <w:rFonts w:ascii="Times New Roman" w:hAnsi="Times New Roman" w:cs="Times New Roman"/>
          <w:b/>
          <w:bCs/>
          <w:sz w:val="24"/>
          <w:szCs w:val="24"/>
        </w:rPr>
        <w:t xml:space="preserve">Keywords: </w:t>
      </w:r>
      <w:r w:rsidRPr="00095D50">
        <w:rPr>
          <w:rFonts w:ascii="Times New Roman" w:hAnsi="Times New Roman" w:cs="Times New Roman"/>
          <w:bCs/>
          <w:sz w:val="24"/>
          <w:szCs w:val="24"/>
        </w:rPr>
        <w:t>Network pharmacology, Intrinsic Network pharmacology, Epigenetic repair</w:t>
      </w:r>
      <w:proofErr w:type="gramStart"/>
      <w:r w:rsidRPr="00095D50">
        <w:rPr>
          <w:rFonts w:ascii="Times New Roman" w:hAnsi="Times New Roman" w:cs="Times New Roman"/>
          <w:bCs/>
          <w:sz w:val="24"/>
          <w:szCs w:val="24"/>
        </w:rPr>
        <w:t xml:space="preserve">, </w:t>
      </w:r>
      <w:r w:rsidR="00BC08E3" w:rsidRPr="00095D50">
        <w:rPr>
          <w:rFonts w:ascii="Times New Roman" w:hAnsi="Times New Roman" w:cs="Times New Roman"/>
          <w:bCs/>
          <w:sz w:val="24"/>
          <w:szCs w:val="24"/>
        </w:rPr>
        <w:t>,</w:t>
      </w:r>
      <w:proofErr w:type="gramEnd"/>
      <w:r w:rsidRPr="00095D50">
        <w:rPr>
          <w:rFonts w:ascii="Times New Roman" w:hAnsi="Times New Roman" w:cs="Times New Roman"/>
          <w:bCs/>
          <w:sz w:val="24"/>
          <w:szCs w:val="24"/>
        </w:rPr>
        <w:t xml:space="preserve"> Vitamin deficiency, Feedback loops</w:t>
      </w:r>
    </w:p>
    <w:p w14:paraId="04A585C4" w14:textId="77777777" w:rsidR="005A7C3A" w:rsidRPr="00095D50" w:rsidRDefault="005A7C3A" w:rsidP="005833E6">
      <w:pPr>
        <w:jc w:val="both"/>
        <w:rPr>
          <w:rFonts w:ascii="Times New Roman" w:hAnsi="Times New Roman" w:cs="Times New Roman"/>
          <w:b/>
          <w:bCs/>
          <w:sz w:val="24"/>
          <w:szCs w:val="24"/>
        </w:rPr>
      </w:pPr>
    </w:p>
    <w:p w14:paraId="5D0964CE"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 Introduction</w:t>
      </w:r>
    </w:p>
    <w:p w14:paraId="4C6D10F0"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1.1 Systems Biology and Its Role in Drug Discovery</w:t>
      </w:r>
    </w:p>
    <w:p w14:paraId="0F2F9724"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The past two decades have seen a shift in biomedical research from reductionist biology to systems biology, a field that seeks to comprehend biological complexity by integrating multi-omics data, computational models, and network </w:t>
      </w:r>
      <w:r w:rsidR="00633C11" w:rsidRPr="00095D50">
        <w:rPr>
          <w:rFonts w:ascii="Times New Roman" w:hAnsi="Times New Roman" w:cs="Times New Roman"/>
          <w:bCs/>
          <w:sz w:val="24"/>
          <w:szCs w:val="24"/>
        </w:rPr>
        <w:t>analysis [1,2]</w:t>
      </w:r>
      <w:r w:rsidRPr="00095D50">
        <w:rPr>
          <w:rFonts w:ascii="Times New Roman" w:hAnsi="Times New Roman" w:cs="Times New Roman"/>
          <w:bCs/>
          <w:sz w:val="24"/>
          <w:szCs w:val="24"/>
        </w:rPr>
        <w:t>. As opposed to studying single genes or pathways, systems biology builds and simulates system-level models of biological systems and captures their emergent features like feedback loops, robustness, adaptation, and nonlinear dynamics</w:t>
      </w:r>
      <w:r w:rsidR="00633C11" w:rsidRPr="00095D50">
        <w:rPr>
          <w:rFonts w:ascii="Times New Roman" w:hAnsi="Times New Roman" w:cs="Times New Roman"/>
          <w:bCs/>
          <w:sz w:val="24"/>
          <w:szCs w:val="24"/>
        </w:rPr>
        <w:t xml:space="preserve"> [3,4]</w:t>
      </w:r>
      <w:r w:rsidRPr="00095D50">
        <w:rPr>
          <w:rFonts w:ascii="Times New Roman" w:hAnsi="Times New Roman" w:cs="Times New Roman"/>
          <w:bCs/>
          <w:sz w:val="24"/>
          <w:szCs w:val="24"/>
        </w:rPr>
        <w:t>.</w:t>
      </w:r>
    </w:p>
    <w:p w14:paraId="2FC5EC4A"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 drug discovery, this has meant network-guided target identification, prediction of off-target activity, and optimization of polypharmacology interventions</w:t>
      </w:r>
      <w:r w:rsidR="00633C11" w:rsidRPr="00095D50">
        <w:rPr>
          <w:rFonts w:ascii="Times New Roman" w:hAnsi="Times New Roman" w:cs="Times New Roman"/>
          <w:bCs/>
          <w:sz w:val="24"/>
          <w:szCs w:val="24"/>
        </w:rPr>
        <w:t xml:space="preserve"> [5]</w:t>
      </w:r>
      <w:r w:rsidRPr="00095D50">
        <w:rPr>
          <w:rFonts w:ascii="Times New Roman" w:hAnsi="Times New Roman" w:cs="Times New Roman"/>
          <w:bCs/>
          <w:sz w:val="24"/>
          <w:szCs w:val="24"/>
        </w:rPr>
        <w:t>. Systems biology has particularly influenced the comprehension of chronic, multifactorial pathologies like cancer, neurodegeneration, and metabolic syndromes, wherein mono-targeted approaches fall short as a result of pathway redundancies and compensatory responses</w:t>
      </w:r>
      <w:r w:rsidR="00633C11" w:rsidRPr="00095D50">
        <w:rPr>
          <w:rFonts w:ascii="Times New Roman" w:hAnsi="Times New Roman" w:cs="Times New Roman"/>
          <w:bCs/>
          <w:sz w:val="24"/>
          <w:szCs w:val="24"/>
        </w:rPr>
        <w:t xml:space="preserve"> [6]</w:t>
      </w:r>
      <w:r w:rsidRPr="00095D50">
        <w:rPr>
          <w:rFonts w:ascii="Times New Roman" w:hAnsi="Times New Roman" w:cs="Times New Roman"/>
          <w:bCs/>
          <w:sz w:val="24"/>
          <w:szCs w:val="24"/>
        </w:rPr>
        <w:t>.</w:t>
      </w:r>
    </w:p>
    <w:p w14:paraId="57068CCD"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lastRenderedPageBreak/>
        <w:t>1.2 Evolution to Network Pharmacology</w:t>
      </w:r>
    </w:p>
    <w:p w14:paraId="31547DF9"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Extending the systems biology paradigm, Network Pharmacology (NP) as a new field was born in the early 2000s with the call made by Hopkins and others that drugs should be designed to act upon entire networks rather than individual proteins</w:t>
      </w:r>
      <w:r w:rsidR="00633C11" w:rsidRPr="00095D50">
        <w:rPr>
          <w:rFonts w:ascii="Times New Roman" w:hAnsi="Times New Roman" w:cs="Times New Roman"/>
          <w:bCs/>
          <w:sz w:val="24"/>
          <w:szCs w:val="24"/>
        </w:rPr>
        <w:t xml:space="preserve"> [8,9]</w:t>
      </w:r>
      <w:r w:rsidRPr="00095D50">
        <w:rPr>
          <w:rFonts w:ascii="Times New Roman" w:hAnsi="Times New Roman" w:cs="Times New Roman"/>
          <w:bCs/>
          <w:sz w:val="24"/>
          <w:szCs w:val="24"/>
        </w:rPr>
        <w:t>. NP makes this concept operational by:</w:t>
      </w:r>
    </w:p>
    <w:p w14:paraId="117189B5" w14:textId="77777777"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Cartographing drug–target–disease </w:t>
      </w:r>
      <w:r w:rsidR="00633C11" w:rsidRPr="00095D50">
        <w:rPr>
          <w:rFonts w:ascii="Times New Roman" w:hAnsi="Times New Roman" w:cs="Times New Roman"/>
          <w:bCs/>
          <w:sz w:val="24"/>
          <w:szCs w:val="24"/>
        </w:rPr>
        <w:t>associations, [10,11]</w:t>
      </w:r>
    </w:p>
    <w:p w14:paraId="4BBCACD6" w14:textId="77777777"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Designing interaction networks (e.g., protein–protein interaction, gene regulation),</w:t>
      </w:r>
      <w:r w:rsidR="00633C11" w:rsidRPr="00095D50">
        <w:rPr>
          <w:rFonts w:ascii="Times New Roman" w:hAnsi="Times New Roman" w:cs="Times New Roman"/>
          <w:bCs/>
          <w:sz w:val="24"/>
          <w:szCs w:val="24"/>
        </w:rPr>
        <w:t xml:space="preserve"> [12,13]</w:t>
      </w:r>
    </w:p>
    <w:p w14:paraId="203F5D8B" w14:textId="77777777"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Discovery of key hubs or bottlenecks affecting disease phenotypes,</w:t>
      </w:r>
      <w:r w:rsidR="00633C11" w:rsidRPr="00095D50">
        <w:rPr>
          <w:rFonts w:ascii="Times New Roman" w:hAnsi="Times New Roman" w:cs="Times New Roman"/>
          <w:bCs/>
          <w:sz w:val="24"/>
          <w:szCs w:val="24"/>
        </w:rPr>
        <w:t xml:space="preserve"> [14,15]</w:t>
      </w:r>
    </w:p>
    <w:p w14:paraId="39F46222" w14:textId="77777777" w:rsidR="005833E6" w:rsidRPr="00095D50" w:rsidRDefault="005833E6" w:rsidP="005833E6">
      <w:pPr>
        <w:pStyle w:val="ListParagraph"/>
        <w:numPr>
          <w:ilvl w:val="0"/>
          <w:numId w:val="11"/>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Assessment of drug repurposing or synergistic combinations using common network </w:t>
      </w:r>
      <w:r w:rsidR="00633C11" w:rsidRPr="00095D50">
        <w:rPr>
          <w:rFonts w:ascii="Times New Roman" w:hAnsi="Times New Roman" w:cs="Times New Roman"/>
          <w:bCs/>
          <w:sz w:val="24"/>
          <w:szCs w:val="24"/>
        </w:rPr>
        <w:t>footprints. [16, 17]</w:t>
      </w:r>
    </w:p>
    <w:p w14:paraId="6F657483"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This strategy facilitated the research on multi-targeted ancient drugs (e.g., Ayurveda, TCM), polyherbal combinations, and drug repositioning approaches through computational pipelines. Classical NP is, however, subject to some limitations</w:t>
      </w:r>
      <w:r w:rsidR="00682C0A">
        <w:rPr>
          <w:rFonts w:ascii="Times New Roman" w:hAnsi="Times New Roman" w:cs="Times New Roman"/>
          <w:bCs/>
          <w:sz w:val="24"/>
          <w:szCs w:val="24"/>
        </w:rPr>
        <w:t xml:space="preserve"> </w:t>
      </w:r>
      <w:r w:rsidR="00682C0A" w:rsidRPr="00095D50">
        <w:rPr>
          <w:rFonts w:ascii="Times New Roman" w:hAnsi="Times New Roman" w:cs="Times New Roman"/>
          <w:bCs/>
          <w:sz w:val="24"/>
          <w:szCs w:val="24"/>
        </w:rPr>
        <w:t>[18</w:t>
      </w:r>
      <w:r w:rsidR="00DA320B" w:rsidRPr="00095D50">
        <w:rPr>
          <w:rFonts w:ascii="Times New Roman" w:hAnsi="Times New Roman" w:cs="Times New Roman"/>
          <w:bCs/>
          <w:sz w:val="24"/>
          <w:szCs w:val="24"/>
        </w:rPr>
        <w:t>, 19, and 20</w:t>
      </w:r>
      <w:r w:rsidR="00682C0A" w:rsidRPr="00095D50">
        <w:rPr>
          <w:rFonts w:ascii="Times New Roman" w:hAnsi="Times New Roman" w:cs="Times New Roman"/>
          <w:bCs/>
          <w:sz w:val="24"/>
          <w:szCs w:val="24"/>
        </w:rPr>
        <w:t>]</w:t>
      </w:r>
      <w:r w:rsidRPr="00095D50">
        <w:rPr>
          <w:rFonts w:ascii="Times New Roman" w:hAnsi="Times New Roman" w:cs="Times New Roman"/>
          <w:bCs/>
          <w:sz w:val="24"/>
          <w:szCs w:val="24"/>
        </w:rPr>
        <w:t>:</w:t>
      </w:r>
      <w:r w:rsidR="00633C11" w:rsidRPr="00095D50">
        <w:rPr>
          <w:rFonts w:ascii="Times New Roman" w:hAnsi="Times New Roman" w:cs="Times New Roman"/>
          <w:bCs/>
          <w:sz w:val="24"/>
          <w:szCs w:val="24"/>
        </w:rPr>
        <w:t xml:space="preserve"> </w:t>
      </w:r>
    </w:p>
    <w:p w14:paraId="2233AE57" w14:textId="77777777"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It tends to use static, topology-based network representations,</w:t>
      </w:r>
      <w:r w:rsidR="00633C11" w:rsidRPr="00095D50">
        <w:rPr>
          <w:rFonts w:ascii="Times New Roman" w:hAnsi="Times New Roman" w:cs="Times New Roman"/>
          <w:bCs/>
          <w:sz w:val="24"/>
          <w:szCs w:val="24"/>
        </w:rPr>
        <w:t xml:space="preserve"> [21]</w:t>
      </w:r>
    </w:p>
    <w:p w14:paraId="33B4170C" w14:textId="77777777"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It fails to integrate functional aspects of redox, immune, and repair </w:t>
      </w:r>
      <w:r w:rsidR="00633C11" w:rsidRPr="00095D50">
        <w:rPr>
          <w:rFonts w:ascii="Times New Roman" w:hAnsi="Times New Roman" w:cs="Times New Roman"/>
          <w:bCs/>
          <w:sz w:val="24"/>
          <w:szCs w:val="24"/>
        </w:rPr>
        <w:t>dynamics, [22]</w:t>
      </w:r>
    </w:p>
    <w:p w14:paraId="1EE5003A" w14:textId="77777777"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It has difficulty simulating network collapse and recovery in nutrient or stress conditions,</w:t>
      </w:r>
      <w:r w:rsidR="00633C11" w:rsidRPr="00095D50">
        <w:rPr>
          <w:rFonts w:ascii="Times New Roman" w:hAnsi="Times New Roman" w:cs="Times New Roman"/>
          <w:bCs/>
          <w:sz w:val="24"/>
          <w:szCs w:val="24"/>
        </w:rPr>
        <w:t xml:space="preserve"> [23]</w:t>
      </w:r>
    </w:p>
    <w:p w14:paraId="524674E1" w14:textId="77777777" w:rsidR="005833E6" w:rsidRPr="00095D50" w:rsidRDefault="005833E6" w:rsidP="005833E6">
      <w:pPr>
        <w:pStyle w:val="ListParagraph"/>
        <w:numPr>
          <w:ilvl w:val="0"/>
          <w:numId w:val="12"/>
        </w:num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And it infrequently incorporates temporal simulation or homeostatic feedback </w:t>
      </w:r>
      <w:r w:rsidR="00633C11" w:rsidRPr="00095D50">
        <w:rPr>
          <w:rFonts w:ascii="Times New Roman" w:hAnsi="Times New Roman" w:cs="Times New Roman"/>
          <w:bCs/>
          <w:sz w:val="24"/>
          <w:szCs w:val="24"/>
        </w:rPr>
        <w:t>modeling. [23,24]</w:t>
      </w:r>
    </w:p>
    <w:p w14:paraId="73FEC456"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t>1.3 Justification for Establishing the Intrinsic Network Pharmacology (INP) Model</w:t>
      </w:r>
    </w:p>
    <w:p w14:paraId="0FBF06F7"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 order to overcome these shortcomings, we established the 7-layer Intrinsic Network Pharmacology (INP) model. The model advances traditional NP by:</w:t>
      </w:r>
    </w:p>
    <w:p w14:paraId="2E7ADE9D"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Including feedback loops and oscillatory networks (e.g., VDR–FGF23–Klotho, SAM–SAH methylation), Translating redox regulation and ROS buffering into the network (through Nrf2, GPX, SOD), Representing immune–vascular–autophagic interactions that characterize the cellular context, scoring drugs based on a Fit Score measure commensurate with functional network repair, and Modeling dynamic restoration with ODE-based or Boolean models.</w:t>
      </w:r>
    </w:p>
    <w:p w14:paraId="3ABAFF4F"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INP interprets disease and deficiency not as all-or-nothing states but as progressive dissolutions of resilience and regulation, and therefore places recovery as systemic reprogramming, rather than receptor engagement.</w:t>
      </w:r>
    </w:p>
    <w:p w14:paraId="32E13E1C"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This is especially well-suited for:</w:t>
      </w:r>
    </w:p>
    <w:p w14:paraId="06188BCC" w14:textId="77777777" w:rsidR="005833E6" w:rsidRPr="00095D50" w:rsidRDefault="005833E6" w:rsidP="005833E6">
      <w:pPr>
        <w:pStyle w:val="ListParagraph"/>
        <w:numPr>
          <w:ilvl w:val="0"/>
          <w:numId w:val="13"/>
        </w:numPr>
        <w:jc w:val="both"/>
        <w:rPr>
          <w:rFonts w:ascii="Times New Roman" w:hAnsi="Times New Roman" w:cs="Times New Roman"/>
          <w:bCs/>
          <w:sz w:val="24"/>
          <w:szCs w:val="24"/>
        </w:rPr>
      </w:pPr>
      <w:r w:rsidRPr="00095D50">
        <w:rPr>
          <w:rFonts w:ascii="Times New Roman" w:hAnsi="Times New Roman" w:cs="Times New Roman"/>
          <w:bCs/>
          <w:sz w:val="24"/>
          <w:szCs w:val="24"/>
        </w:rPr>
        <w:t>Nutrient-cofactor deficiency syndromes in which deficiencies disrupt dozens of downstream processes,</w:t>
      </w:r>
    </w:p>
    <w:p w14:paraId="76B7B97E" w14:textId="77777777" w:rsidR="005833E6" w:rsidRPr="00095D50" w:rsidRDefault="005833E6" w:rsidP="005833E6">
      <w:pPr>
        <w:pStyle w:val="ListParagraph"/>
        <w:numPr>
          <w:ilvl w:val="0"/>
          <w:numId w:val="13"/>
        </w:numPr>
        <w:jc w:val="both"/>
        <w:rPr>
          <w:rFonts w:ascii="Times New Roman" w:hAnsi="Times New Roman" w:cs="Times New Roman"/>
          <w:bCs/>
          <w:sz w:val="24"/>
          <w:szCs w:val="24"/>
        </w:rPr>
      </w:pPr>
      <w:r w:rsidRPr="00095D50">
        <w:rPr>
          <w:rFonts w:ascii="Times New Roman" w:hAnsi="Times New Roman" w:cs="Times New Roman"/>
          <w:bCs/>
          <w:sz w:val="24"/>
          <w:szCs w:val="24"/>
        </w:rPr>
        <w:t>Multi-targeted herbal or nutraceutical treatments in which individual compound activity is weak but collectively synergistic</w:t>
      </w:r>
    </w:p>
    <w:p w14:paraId="0154134F" w14:textId="77777777" w:rsidR="005833E6" w:rsidRPr="00095D50" w:rsidRDefault="005833E6" w:rsidP="005833E6">
      <w:pPr>
        <w:pStyle w:val="ListParagraph"/>
        <w:numPr>
          <w:ilvl w:val="0"/>
          <w:numId w:val="13"/>
        </w:numPr>
        <w:jc w:val="both"/>
        <w:rPr>
          <w:rFonts w:ascii="Times New Roman" w:hAnsi="Times New Roman" w:cs="Times New Roman"/>
          <w:bCs/>
          <w:sz w:val="24"/>
          <w:szCs w:val="24"/>
        </w:rPr>
      </w:pPr>
      <w:r w:rsidRPr="00095D50">
        <w:rPr>
          <w:rFonts w:ascii="Times New Roman" w:hAnsi="Times New Roman" w:cs="Times New Roman"/>
          <w:bCs/>
          <w:sz w:val="24"/>
          <w:szCs w:val="24"/>
        </w:rPr>
        <w:t>And chronic diseases in which dynamic restoration, instead of symptom control, is the treatment objective.</w:t>
      </w:r>
    </w:p>
    <w:p w14:paraId="11756CFB" w14:textId="77777777" w:rsidR="005833E6" w:rsidRPr="00095D50" w:rsidRDefault="005833E6" w:rsidP="005833E6">
      <w:pPr>
        <w:jc w:val="both"/>
        <w:rPr>
          <w:rFonts w:ascii="Times New Roman" w:hAnsi="Times New Roman" w:cs="Times New Roman"/>
          <w:b/>
          <w:bCs/>
          <w:sz w:val="24"/>
          <w:szCs w:val="24"/>
        </w:rPr>
      </w:pPr>
      <w:r w:rsidRPr="00095D50">
        <w:rPr>
          <w:rFonts w:ascii="Times New Roman" w:hAnsi="Times New Roman" w:cs="Times New Roman"/>
          <w:b/>
          <w:bCs/>
          <w:sz w:val="24"/>
          <w:szCs w:val="24"/>
        </w:rPr>
        <w:lastRenderedPageBreak/>
        <w:t>1.4 Relevance to Contemporary Nutrient Deficiency and Rasayana-Based Epigenetic Repair</w:t>
      </w:r>
    </w:p>
    <w:p w14:paraId="60E2A443"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One of the urgent contemporary phenomena of INP breakdown is the global prevalence of Vitamin D3 and B12 deficiency, especially among city-dwelling, indoor-living populations</w:t>
      </w:r>
      <w:r w:rsidR="00633C11" w:rsidRPr="00095D50">
        <w:rPr>
          <w:rFonts w:ascii="Times New Roman" w:hAnsi="Times New Roman" w:cs="Times New Roman"/>
          <w:bCs/>
          <w:sz w:val="24"/>
          <w:szCs w:val="24"/>
        </w:rPr>
        <w:t xml:space="preserve"> [22,23,24,25,26]</w:t>
      </w:r>
      <w:r w:rsidRPr="00095D50">
        <w:rPr>
          <w:rFonts w:ascii="Times New Roman" w:hAnsi="Times New Roman" w:cs="Times New Roman"/>
          <w:bCs/>
          <w:sz w:val="24"/>
          <w:szCs w:val="24"/>
        </w:rPr>
        <w:t>. These deficiencies are no longer considered just micronutrient deficiencies; they are known to impair:</w:t>
      </w:r>
    </w:p>
    <w:p w14:paraId="71C483D4" w14:textId="77777777"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Epigenetic regulation (through methylation derangement),</w:t>
      </w:r>
    </w:p>
    <w:p w14:paraId="1B024A50" w14:textId="77777777"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Redox signaling (through reduced antioxidant enzymes),</w:t>
      </w:r>
    </w:p>
    <w:p w14:paraId="41E9A0ED" w14:textId="77777777"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Immune resilience (through cytokine imbalance and gut permeability),</w:t>
      </w:r>
    </w:p>
    <w:p w14:paraId="3ACF70FA" w14:textId="77777777" w:rsidR="005833E6" w:rsidRPr="00095D50" w:rsidRDefault="005833E6" w:rsidP="005833E6">
      <w:pPr>
        <w:pStyle w:val="ListParagraph"/>
        <w:numPr>
          <w:ilvl w:val="0"/>
          <w:numId w:val="14"/>
        </w:numPr>
        <w:jc w:val="both"/>
        <w:rPr>
          <w:rFonts w:ascii="Times New Roman" w:hAnsi="Times New Roman" w:cs="Times New Roman"/>
          <w:bCs/>
          <w:sz w:val="24"/>
          <w:szCs w:val="24"/>
        </w:rPr>
      </w:pPr>
      <w:r w:rsidRPr="00095D50">
        <w:rPr>
          <w:rFonts w:ascii="Times New Roman" w:hAnsi="Times New Roman" w:cs="Times New Roman"/>
          <w:bCs/>
          <w:sz w:val="24"/>
          <w:szCs w:val="24"/>
        </w:rPr>
        <w:t>Autophagy and mitochondrial integrity (owing to inefficient NAD+/SAM cycling)</w:t>
      </w:r>
    </w:p>
    <w:p w14:paraId="432DE83C"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At the same time, interest in classical Rasayana therapies like Chyawanprash is revived, which are said to regain vigor, immunity, and resilience. Their mechanisms, however, have been poorly elaborated at the molecular level. The INP approach offers a scientifically sound and computationally convenient framework to assess how such multi-herb combinations may engage with contemporary pathophysiology at a systems </w:t>
      </w:r>
      <w:r w:rsidR="00E41E53" w:rsidRPr="00095D50">
        <w:rPr>
          <w:rFonts w:ascii="Times New Roman" w:hAnsi="Times New Roman" w:cs="Times New Roman"/>
          <w:bCs/>
          <w:sz w:val="24"/>
          <w:szCs w:val="24"/>
        </w:rPr>
        <w:t>level. [</w:t>
      </w:r>
      <w:r w:rsidR="00633C11" w:rsidRPr="00095D50">
        <w:rPr>
          <w:rFonts w:ascii="Times New Roman" w:hAnsi="Times New Roman" w:cs="Times New Roman"/>
          <w:bCs/>
          <w:sz w:val="24"/>
          <w:szCs w:val="24"/>
        </w:rPr>
        <w:t>26, 27]</w:t>
      </w:r>
    </w:p>
    <w:p w14:paraId="53330F3A" w14:textId="77777777" w:rsidR="005833E6"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 xml:space="preserve">By deriving INP to both contemporary deficiency-led collapse and classical formulation-led renewal, we advocate a common approach to: Disassemble intricate failure sequences, </w:t>
      </w:r>
      <w:r w:rsidR="00BC08E3" w:rsidRPr="00095D50">
        <w:rPr>
          <w:rFonts w:ascii="Times New Roman" w:hAnsi="Times New Roman" w:cs="Times New Roman"/>
          <w:bCs/>
          <w:sz w:val="24"/>
          <w:szCs w:val="24"/>
        </w:rPr>
        <w:t>anticipate</w:t>
      </w:r>
      <w:r w:rsidRPr="00095D50">
        <w:rPr>
          <w:rFonts w:ascii="Times New Roman" w:hAnsi="Times New Roman" w:cs="Times New Roman"/>
          <w:bCs/>
          <w:sz w:val="24"/>
          <w:szCs w:val="24"/>
        </w:rPr>
        <w:t xml:space="preserve"> synergistic repair hubs, create or refine comprehensive interventions.</w:t>
      </w:r>
    </w:p>
    <w:p w14:paraId="68DBFE35" w14:textId="77777777" w:rsidR="00C45D71" w:rsidRPr="00095D50" w:rsidRDefault="00C45D71"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For the first time, we introduce the Intrinsic Network Pharmacology (INP) protocol as a structured framework to bridge the gap between theoretical network pharmacology and real-world pharmacological systems. This model offers a dynamic, multi-layered approach to simulate, analyze, and align pharmacological interventions with biological complexity.</w:t>
      </w:r>
    </w:p>
    <w:p w14:paraId="5AB424CC" w14:textId="77777777" w:rsidR="00EC04BD" w:rsidRPr="00095D50" w:rsidRDefault="005833E6" w:rsidP="005833E6">
      <w:pPr>
        <w:jc w:val="both"/>
        <w:rPr>
          <w:rFonts w:ascii="Times New Roman" w:hAnsi="Times New Roman" w:cs="Times New Roman"/>
          <w:bCs/>
          <w:sz w:val="24"/>
          <w:szCs w:val="24"/>
        </w:rPr>
      </w:pPr>
      <w:r w:rsidRPr="00095D50">
        <w:rPr>
          <w:rFonts w:ascii="Times New Roman" w:hAnsi="Times New Roman" w:cs="Times New Roman"/>
          <w:bCs/>
          <w:sz w:val="24"/>
          <w:szCs w:val="24"/>
        </w:rPr>
        <w:t>In this paper, we implement the INP protocol to compare two scenarios: the network failure profile in Vitamin D3 and B12 deficiencies, and network repair potential of the traditional Rasayana medicine Chyawanprash. Our results, though computational and based on models, disclose therapeutic hypotheses and system-wide interactions that are worthy of further experimental confirmation.</w:t>
      </w:r>
    </w:p>
    <w:p w14:paraId="4BF49561" w14:textId="77777777" w:rsidR="00EC04BD" w:rsidRPr="00095D50" w:rsidRDefault="005833E6"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2. </w:t>
      </w:r>
      <w:r w:rsidR="00EC04BD" w:rsidRPr="00095D50">
        <w:rPr>
          <w:rFonts w:ascii="Times New Roman" w:hAnsi="Times New Roman" w:cs="Times New Roman"/>
          <w:b/>
          <w:bCs/>
          <w:sz w:val="24"/>
          <w:szCs w:val="24"/>
        </w:rPr>
        <w:t xml:space="preserve">Methodology: </w:t>
      </w:r>
    </w:p>
    <w:p w14:paraId="011379F7"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The 7-Layer Intrinsic Network Pharmacology (INP) Framework</w:t>
      </w:r>
    </w:p>
    <w:p w14:paraId="633AB665"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 xml:space="preserve">The </w:t>
      </w:r>
      <w:r w:rsidRPr="00095D50">
        <w:rPr>
          <w:rFonts w:ascii="Times New Roman" w:hAnsi="Times New Roman" w:cs="Times New Roman"/>
          <w:b/>
          <w:bCs/>
          <w:sz w:val="24"/>
          <w:szCs w:val="24"/>
        </w:rPr>
        <w:t>7-layer INP framework</w:t>
      </w:r>
      <w:r w:rsidRPr="00095D50">
        <w:rPr>
          <w:rFonts w:ascii="Times New Roman" w:hAnsi="Times New Roman" w:cs="Times New Roman"/>
          <w:sz w:val="24"/>
          <w:szCs w:val="24"/>
        </w:rPr>
        <w:t xml:space="preserve"> is designed to systemically map how biological networks collapse under chronic stress or insufficiency and how they can be theoretically restored using targeted or polypharmacological inputs</w:t>
      </w:r>
      <w:r w:rsidR="00E41E53">
        <w:rPr>
          <w:rFonts w:ascii="Times New Roman" w:hAnsi="Times New Roman" w:cs="Times New Roman"/>
          <w:sz w:val="24"/>
          <w:szCs w:val="24"/>
        </w:rPr>
        <w:t xml:space="preserve"> [28]</w:t>
      </w:r>
      <w:r w:rsidRPr="00095D50">
        <w:rPr>
          <w:rFonts w:ascii="Times New Roman" w:hAnsi="Times New Roman" w:cs="Times New Roman"/>
          <w:sz w:val="24"/>
          <w:szCs w:val="24"/>
        </w:rPr>
        <w:t xml:space="preserve">. It is an expansion of conventional </w:t>
      </w:r>
      <w:r w:rsidRPr="00095D50">
        <w:rPr>
          <w:rFonts w:ascii="Times New Roman" w:hAnsi="Times New Roman" w:cs="Times New Roman"/>
          <w:b/>
          <w:bCs/>
          <w:sz w:val="24"/>
          <w:szCs w:val="24"/>
        </w:rPr>
        <w:t>network pharmacology (NP)</w:t>
      </w:r>
      <w:r w:rsidRPr="00095D50">
        <w:rPr>
          <w:rFonts w:ascii="Times New Roman" w:hAnsi="Times New Roman" w:cs="Times New Roman"/>
          <w:sz w:val="24"/>
          <w:szCs w:val="24"/>
        </w:rPr>
        <w:t>, incorporating feedback systems, redox coupling, immune signaling, and simulation layers beyond static node-target associations.</w:t>
      </w:r>
    </w:p>
    <w:p w14:paraId="5E742D56"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Each layer builds upon the previous one, integrating dynamic, functional, and hierarchical network behavior into a unified modeling pipeline.</w:t>
      </w:r>
    </w:p>
    <w:p w14:paraId="29FC3015"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1: Trigger &amp; Collapse Node Identification</w:t>
      </w:r>
    </w:p>
    <w:p w14:paraId="4ACD686D"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lastRenderedPageBreak/>
        <w:t>Objective</w:t>
      </w:r>
      <w:r w:rsidRPr="00095D50">
        <w:rPr>
          <w:rFonts w:ascii="Times New Roman" w:hAnsi="Times New Roman" w:cs="Times New Roman"/>
          <w:sz w:val="24"/>
          <w:szCs w:val="24"/>
        </w:rPr>
        <w:t>: Identify primary stressors or biological imbalances that initiate the destabilization of complex homeostatic networks.</w:t>
      </w:r>
      <w:r w:rsidR="00E41E53">
        <w:rPr>
          <w:rFonts w:ascii="Times New Roman" w:hAnsi="Times New Roman" w:cs="Times New Roman"/>
          <w:sz w:val="24"/>
          <w:szCs w:val="24"/>
        </w:rPr>
        <w:t xml:space="preserve"> [28]</w:t>
      </w:r>
    </w:p>
    <w:p w14:paraId="452BEC6C"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r w:rsidR="00E41E53">
        <w:rPr>
          <w:rFonts w:ascii="Times New Roman" w:hAnsi="Times New Roman" w:cs="Times New Roman"/>
          <w:sz w:val="24"/>
          <w:szCs w:val="24"/>
        </w:rPr>
        <w:t xml:space="preserve"> [28]</w:t>
      </w:r>
    </w:p>
    <w:p w14:paraId="4119C85F" w14:textId="77777777"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Extract system-level triggers (environmental, genetic, metabolic) through omics analysis or literature curation.</w:t>
      </w:r>
    </w:p>
    <w:p w14:paraId="1528B5E3" w14:textId="77777777"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 xml:space="preserve">Map these triggers to </w:t>
      </w:r>
      <w:r w:rsidRPr="00095D50">
        <w:rPr>
          <w:rFonts w:ascii="Times New Roman" w:hAnsi="Times New Roman" w:cs="Times New Roman"/>
          <w:b/>
          <w:bCs/>
          <w:sz w:val="24"/>
          <w:szCs w:val="24"/>
        </w:rPr>
        <w:t>first-order molecular events</w:t>
      </w:r>
      <w:r w:rsidRPr="00095D50">
        <w:rPr>
          <w:rFonts w:ascii="Times New Roman" w:hAnsi="Times New Roman" w:cs="Times New Roman"/>
          <w:sz w:val="24"/>
          <w:szCs w:val="24"/>
        </w:rPr>
        <w:t>, such as transcriptional repression, nutrient transporter failure, or ROS accumulation.</w:t>
      </w:r>
    </w:p>
    <w:p w14:paraId="55D682FB" w14:textId="77777777"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 xml:space="preserve">Construct </w:t>
      </w:r>
      <w:r w:rsidRPr="00095D50">
        <w:rPr>
          <w:rFonts w:ascii="Times New Roman" w:hAnsi="Times New Roman" w:cs="Times New Roman"/>
          <w:b/>
          <w:bCs/>
          <w:sz w:val="24"/>
          <w:szCs w:val="24"/>
        </w:rPr>
        <w:t>cause-effect cascades</w:t>
      </w:r>
      <w:r w:rsidRPr="00095D50">
        <w:rPr>
          <w:rFonts w:ascii="Times New Roman" w:hAnsi="Times New Roman" w:cs="Times New Roman"/>
          <w:sz w:val="24"/>
          <w:szCs w:val="24"/>
        </w:rPr>
        <w:t xml:space="preserve"> using directed acyclic graphs (DAGs) to highlight the first collapse node(s).</w:t>
      </w:r>
    </w:p>
    <w:p w14:paraId="216BB5E5" w14:textId="77777777" w:rsidR="00EC04BD" w:rsidRPr="00095D50" w:rsidRDefault="00EC04BD" w:rsidP="00EC04BD">
      <w:pPr>
        <w:numPr>
          <w:ilvl w:val="0"/>
          <w:numId w:val="1"/>
        </w:numPr>
        <w:jc w:val="both"/>
        <w:rPr>
          <w:rFonts w:ascii="Times New Roman" w:hAnsi="Times New Roman" w:cs="Times New Roman"/>
          <w:sz w:val="24"/>
          <w:szCs w:val="24"/>
        </w:rPr>
      </w:pPr>
      <w:r w:rsidRPr="00095D50">
        <w:rPr>
          <w:rFonts w:ascii="Times New Roman" w:hAnsi="Times New Roman" w:cs="Times New Roman"/>
          <w:sz w:val="24"/>
          <w:szCs w:val="24"/>
        </w:rPr>
        <w:t>Use data integration tools (e.g., DisGeNET, BioGRID) to trace how localized failures propagate across multi-organ systems or cellular compartments.</w:t>
      </w:r>
    </w:p>
    <w:p w14:paraId="3C2DDC72"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Root collapse map identifying upstream initiators and early sentinel nodes of INP disruption.</w:t>
      </w:r>
    </w:p>
    <w:p w14:paraId="466EDB7A"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2: Feedback Inhibition Mapping</w:t>
      </w:r>
    </w:p>
    <w:p w14:paraId="25E6BDE6"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xml:space="preserve">: Analyze the breakdown or reinforcement of regulatory feedback loops that maintain system </w:t>
      </w:r>
      <w:r w:rsidR="00E41E53" w:rsidRPr="00095D50">
        <w:rPr>
          <w:rFonts w:ascii="Times New Roman" w:hAnsi="Times New Roman" w:cs="Times New Roman"/>
          <w:sz w:val="24"/>
          <w:szCs w:val="24"/>
        </w:rPr>
        <w:t>stability.</w:t>
      </w:r>
      <w:r w:rsidR="00E41E53">
        <w:rPr>
          <w:rFonts w:ascii="Times New Roman" w:hAnsi="Times New Roman" w:cs="Times New Roman"/>
          <w:sz w:val="24"/>
          <w:szCs w:val="24"/>
        </w:rPr>
        <w:t xml:space="preserve"> [28]</w:t>
      </w:r>
    </w:p>
    <w:p w14:paraId="200FED95"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r w:rsidR="00E41E53">
        <w:rPr>
          <w:rFonts w:ascii="Times New Roman" w:hAnsi="Times New Roman" w:cs="Times New Roman"/>
          <w:sz w:val="24"/>
          <w:szCs w:val="24"/>
        </w:rPr>
        <w:t xml:space="preserve"> [28]</w:t>
      </w:r>
    </w:p>
    <w:p w14:paraId="1E1A3C7B" w14:textId="77777777"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 xml:space="preserve">Identify </w:t>
      </w:r>
      <w:r w:rsidRPr="00095D50">
        <w:rPr>
          <w:rFonts w:ascii="Times New Roman" w:hAnsi="Times New Roman" w:cs="Times New Roman"/>
          <w:b/>
          <w:bCs/>
          <w:sz w:val="24"/>
          <w:szCs w:val="24"/>
        </w:rPr>
        <w:t>positive and negative feedback motifs</w:t>
      </w:r>
      <w:r w:rsidRPr="00095D50">
        <w:rPr>
          <w:rFonts w:ascii="Times New Roman" w:hAnsi="Times New Roman" w:cs="Times New Roman"/>
          <w:sz w:val="24"/>
          <w:szCs w:val="24"/>
        </w:rPr>
        <w:t xml:space="preserve"> in signaling pathways using logic-based modeling or Boolean algebra.</w:t>
      </w:r>
    </w:p>
    <w:p w14:paraId="6F8EFBDE" w14:textId="77777777"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Focus on regulators like transcription factors, repressors, and coactivators (e.g., SOCS, LRIG, SIRT).</w:t>
      </w:r>
    </w:p>
    <w:p w14:paraId="5B6174E6" w14:textId="77777777"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 xml:space="preserve">Use feedback network topology to evaluate </w:t>
      </w:r>
      <w:r w:rsidRPr="00095D50">
        <w:rPr>
          <w:rFonts w:ascii="Times New Roman" w:hAnsi="Times New Roman" w:cs="Times New Roman"/>
          <w:b/>
          <w:bCs/>
          <w:sz w:val="24"/>
          <w:szCs w:val="24"/>
        </w:rPr>
        <w:t>control robustness</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gain saturation</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feedback damping</w:t>
      </w:r>
      <w:r w:rsidRPr="00095D50">
        <w:rPr>
          <w:rFonts w:ascii="Times New Roman" w:hAnsi="Times New Roman" w:cs="Times New Roman"/>
          <w:sz w:val="24"/>
          <w:szCs w:val="24"/>
        </w:rPr>
        <w:t xml:space="preserve"> characteristics.</w:t>
      </w:r>
    </w:p>
    <w:p w14:paraId="44CE8222" w14:textId="77777777" w:rsidR="00EC04BD" w:rsidRPr="00095D50" w:rsidRDefault="00EC04BD" w:rsidP="00EC04BD">
      <w:pPr>
        <w:numPr>
          <w:ilvl w:val="0"/>
          <w:numId w:val="2"/>
        </w:numPr>
        <w:jc w:val="both"/>
        <w:rPr>
          <w:rFonts w:ascii="Times New Roman" w:hAnsi="Times New Roman" w:cs="Times New Roman"/>
          <w:sz w:val="24"/>
          <w:szCs w:val="24"/>
        </w:rPr>
      </w:pPr>
      <w:r w:rsidRPr="00095D50">
        <w:rPr>
          <w:rFonts w:ascii="Times New Roman" w:hAnsi="Times New Roman" w:cs="Times New Roman"/>
          <w:sz w:val="24"/>
          <w:szCs w:val="24"/>
        </w:rPr>
        <w:t>Classify feedback loops as disrupted, compensatory, or amplified using pathway simulators (e.g., CellDesigner or PySB).</w:t>
      </w:r>
    </w:p>
    <w:p w14:paraId="41631F61"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Dynamic feedback map characterizing how the system loses or regains regulatory control.</w:t>
      </w:r>
    </w:p>
    <w:p w14:paraId="12B79B97"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3: Redox and Oxidative Balance Layer</w:t>
      </w:r>
      <w:r w:rsidR="00E41E53">
        <w:rPr>
          <w:rFonts w:ascii="Times New Roman" w:hAnsi="Times New Roman" w:cs="Times New Roman"/>
          <w:b/>
          <w:bCs/>
          <w:sz w:val="24"/>
          <w:szCs w:val="24"/>
        </w:rPr>
        <w:t xml:space="preserve"> [28]</w:t>
      </w:r>
    </w:p>
    <w:p w14:paraId="28D8B10B"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Assess how redox status influences overall system function and failure.</w:t>
      </w:r>
    </w:p>
    <w:p w14:paraId="1C0CCDE3"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r w:rsidR="00E41E53">
        <w:rPr>
          <w:rFonts w:ascii="Times New Roman" w:hAnsi="Times New Roman" w:cs="Times New Roman"/>
          <w:sz w:val="24"/>
          <w:szCs w:val="24"/>
        </w:rPr>
        <w:t xml:space="preserve"> [28]</w:t>
      </w:r>
    </w:p>
    <w:p w14:paraId="32433D9B" w14:textId="77777777"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Use omics data or curated literature to assess expression and activity of redox-sensitive molecules (e.g., Nrf2, GPX, CAT, SOD).</w:t>
      </w:r>
    </w:p>
    <w:p w14:paraId="589F295E" w14:textId="77777777"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 xml:space="preserve">Construct </w:t>
      </w:r>
      <w:r w:rsidRPr="00095D50">
        <w:rPr>
          <w:rFonts w:ascii="Times New Roman" w:hAnsi="Times New Roman" w:cs="Times New Roman"/>
          <w:b/>
          <w:bCs/>
          <w:sz w:val="24"/>
          <w:szCs w:val="24"/>
        </w:rPr>
        <w:t>redox regulatory networks</w:t>
      </w:r>
      <w:r w:rsidRPr="00095D50">
        <w:rPr>
          <w:rFonts w:ascii="Times New Roman" w:hAnsi="Times New Roman" w:cs="Times New Roman"/>
          <w:sz w:val="24"/>
          <w:szCs w:val="24"/>
        </w:rPr>
        <w:t xml:space="preserve"> that interface with mitochondrial health, autophagy, and metabolic sensing.</w:t>
      </w:r>
    </w:p>
    <w:p w14:paraId="6D02CE9E" w14:textId="77777777"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Model ROS dynamics using differential equations that incorporate ROS generation (e.g., NOX, COX) and scavenging (e.g., GSH, thioredoxin).</w:t>
      </w:r>
    </w:p>
    <w:p w14:paraId="1FBD6A94" w14:textId="77777777" w:rsidR="00EC04BD" w:rsidRPr="00095D50" w:rsidRDefault="00EC04BD" w:rsidP="00EC04BD">
      <w:pPr>
        <w:numPr>
          <w:ilvl w:val="0"/>
          <w:numId w:val="3"/>
        </w:numPr>
        <w:jc w:val="both"/>
        <w:rPr>
          <w:rFonts w:ascii="Times New Roman" w:hAnsi="Times New Roman" w:cs="Times New Roman"/>
          <w:sz w:val="24"/>
          <w:szCs w:val="24"/>
        </w:rPr>
      </w:pPr>
      <w:r w:rsidRPr="00095D50">
        <w:rPr>
          <w:rFonts w:ascii="Times New Roman" w:hAnsi="Times New Roman" w:cs="Times New Roman"/>
          <w:sz w:val="24"/>
          <w:szCs w:val="24"/>
        </w:rPr>
        <w:t>Integrate redox feedback with transcriptional response layers to simulate oxidative resilience or overload.</w:t>
      </w:r>
    </w:p>
    <w:p w14:paraId="40AE67E3"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A map of redox homeostasis capacity and its systemic impact on signaling fidelity and resilience.</w:t>
      </w:r>
    </w:p>
    <w:p w14:paraId="7DD44B2C"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4: Immune, Coagulative, and Vascular Crosstalk Layer</w:t>
      </w:r>
      <w:r w:rsidR="00E41E53">
        <w:rPr>
          <w:rFonts w:ascii="Times New Roman" w:hAnsi="Times New Roman" w:cs="Times New Roman"/>
          <w:b/>
          <w:bCs/>
          <w:sz w:val="24"/>
          <w:szCs w:val="24"/>
        </w:rPr>
        <w:t xml:space="preserve"> [28]</w:t>
      </w:r>
    </w:p>
    <w:p w14:paraId="5454E3C6"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Understand how immune activation and inflammatory loops interface with vascular integrity and systemic feedback.</w:t>
      </w:r>
    </w:p>
    <w:p w14:paraId="57B30875"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r w:rsidR="00E41E53">
        <w:rPr>
          <w:rFonts w:ascii="Times New Roman" w:hAnsi="Times New Roman" w:cs="Times New Roman"/>
          <w:sz w:val="24"/>
          <w:szCs w:val="24"/>
        </w:rPr>
        <w:t xml:space="preserve"> [28]</w:t>
      </w:r>
    </w:p>
    <w:p w14:paraId="0A584F11" w14:textId="77777777"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Identify key cytokines, chemokines, and vascular regulators (e.g., IL-6, TNF-α, VEGF, NOX2) in the network.</w:t>
      </w:r>
    </w:p>
    <w:p w14:paraId="78DDFB7D" w14:textId="77777777"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 xml:space="preserve">Use multi-scale models (tissue + cellular) to simulate </w:t>
      </w:r>
      <w:r w:rsidRPr="00095D50">
        <w:rPr>
          <w:rFonts w:ascii="Times New Roman" w:hAnsi="Times New Roman" w:cs="Times New Roman"/>
          <w:b/>
          <w:bCs/>
          <w:sz w:val="24"/>
          <w:szCs w:val="24"/>
        </w:rPr>
        <w:t>immune-triggered remodeling</w:t>
      </w:r>
      <w:r w:rsidRPr="00095D50">
        <w:rPr>
          <w:rFonts w:ascii="Times New Roman" w:hAnsi="Times New Roman" w:cs="Times New Roman"/>
          <w:sz w:val="24"/>
          <w:szCs w:val="24"/>
        </w:rPr>
        <w:t xml:space="preserve"> of endothelial, epithelial, or lymphatic barriers.</w:t>
      </w:r>
    </w:p>
    <w:p w14:paraId="7705F314" w14:textId="77777777"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Map T-cell, B-cell, and macrophage signal integration using NP databases (e.g., InnateDB, Reactome).</w:t>
      </w:r>
    </w:p>
    <w:p w14:paraId="3A4B2C18" w14:textId="77777777" w:rsidR="00EC04BD" w:rsidRPr="00095D50" w:rsidRDefault="00EC04BD" w:rsidP="00EC04BD">
      <w:pPr>
        <w:numPr>
          <w:ilvl w:val="0"/>
          <w:numId w:val="4"/>
        </w:numPr>
        <w:jc w:val="both"/>
        <w:rPr>
          <w:rFonts w:ascii="Times New Roman" w:hAnsi="Times New Roman" w:cs="Times New Roman"/>
          <w:sz w:val="24"/>
          <w:szCs w:val="24"/>
        </w:rPr>
      </w:pPr>
      <w:r w:rsidRPr="00095D50">
        <w:rPr>
          <w:rFonts w:ascii="Times New Roman" w:hAnsi="Times New Roman" w:cs="Times New Roman"/>
          <w:sz w:val="24"/>
          <w:szCs w:val="24"/>
        </w:rPr>
        <w:t xml:space="preserve">Analyze </w:t>
      </w:r>
      <w:r w:rsidRPr="00095D50">
        <w:rPr>
          <w:rFonts w:ascii="Times New Roman" w:hAnsi="Times New Roman" w:cs="Times New Roman"/>
          <w:b/>
          <w:bCs/>
          <w:sz w:val="24"/>
          <w:szCs w:val="24"/>
        </w:rPr>
        <w:t>immune–metabolism cross-regulation</w:t>
      </w:r>
      <w:r w:rsidRPr="00095D50">
        <w:rPr>
          <w:rFonts w:ascii="Times New Roman" w:hAnsi="Times New Roman" w:cs="Times New Roman"/>
          <w:sz w:val="24"/>
          <w:szCs w:val="24"/>
        </w:rPr>
        <w:t xml:space="preserve"> through mTOR, AMPK, and PPAR pathways using network enrichment tools.</w:t>
      </w:r>
    </w:p>
    <w:p w14:paraId="70E768DC"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A systems immunology map showing how immune feedback modulates INP states across local and systemic axes.</w:t>
      </w:r>
    </w:p>
    <w:p w14:paraId="78AEBF72"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5: Autophagy and Damage Repair Integration</w:t>
      </w:r>
      <w:r w:rsidR="00E41E53">
        <w:rPr>
          <w:rFonts w:ascii="Times New Roman" w:hAnsi="Times New Roman" w:cs="Times New Roman"/>
          <w:b/>
          <w:bCs/>
          <w:sz w:val="24"/>
          <w:szCs w:val="24"/>
        </w:rPr>
        <w:t xml:space="preserve"> [28]</w:t>
      </w:r>
    </w:p>
    <w:p w14:paraId="62F37E9C"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Map the capacity of the system to detect, clear, and repair internal molecular damage.</w:t>
      </w:r>
    </w:p>
    <w:p w14:paraId="324D0CCD"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r w:rsidR="00E41E53">
        <w:rPr>
          <w:rFonts w:ascii="Times New Roman" w:hAnsi="Times New Roman" w:cs="Times New Roman"/>
          <w:sz w:val="24"/>
          <w:szCs w:val="24"/>
        </w:rPr>
        <w:t xml:space="preserve"> [28]</w:t>
      </w:r>
    </w:p>
    <w:p w14:paraId="50F0DE0D" w14:textId="77777777"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Identify nodes involved in autophagy initiation and execution (e.g., Beclin1, LC3, ULK1) and damage sensors (e.g., p62/SQSTM1, CHOP).</w:t>
      </w:r>
    </w:p>
    <w:p w14:paraId="438380CC" w14:textId="77777777"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Integrate these with unfolded protein response (UPR), ER stress markers, and DNA repair pathways (e.g., ATM, PARP).</w:t>
      </w:r>
    </w:p>
    <w:p w14:paraId="26F0F76A" w14:textId="77777777"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Quantify transcriptional and translational activation of autophagic flux using bioinformatic tools.</w:t>
      </w:r>
    </w:p>
    <w:p w14:paraId="0550672B" w14:textId="77777777" w:rsidR="00EC04BD" w:rsidRPr="00095D50" w:rsidRDefault="00EC04BD" w:rsidP="00EC04BD">
      <w:pPr>
        <w:numPr>
          <w:ilvl w:val="0"/>
          <w:numId w:val="5"/>
        </w:numPr>
        <w:jc w:val="both"/>
        <w:rPr>
          <w:rFonts w:ascii="Times New Roman" w:hAnsi="Times New Roman" w:cs="Times New Roman"/>
          <w:sz w:val="24"/>
          <w:szCs w:val="24"/>
        </w:rPr>
      </w:pPr>
      <w:r w:rsidRPr="00095D50">
        <w:rPr>
          <w:rFonts w:ascii="Times New Roman" w:hAnsi="Times New Roman" w:cs="Times New Roman"/>
          <w:sz w:val="24"/>
          <w:szCs w:val="24"/>
        </w:rPr>
        <w:t>Simulate autophagy induction thresholds under nutrient-rich vs. nutrient-poor conditions using time-delay differential models.</w:t>
      </w:r>
    </w:p>
    <w:p w14:paraId="78927EEF"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lastRenderedPageBreak/>
        <w:t>Output</w:t>
      </w:r>
      <w:r w:rsidRPr="00095D50">
        <w:rPr>
          <w:rFonts w:ascii="Times New Roman" w:hAnsi="Times New Roman" w:cs="Times New Roman"/>
          <w:sz w:val="24"/>
          <w:szCs w:val="24"/>
        </w:rPr>
        <w:t>: A layered model of cellular damage clearance and self-repair, indicating points of overload or therapeutic leverage.</w:t>
      </w:r>
    </w:p>
    <w:p w14:paraId="271C9E5F"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6: Therapeutic Fit and Compound-Network Mapping</w:t>
      </w:r>
      <w:r w:rsidR="00E41E53">
        <w:rPr>
          <w:rFonts w:ascii="Times New Roman" w:hAnsi="Times New Roman" w:cs="Times New Roman"/>
          <w:b/>
          <w:bCs/>
          <w:sz w:val="24"/>
          <w:szCs w:val="24"/>
        </w:rPr>
        <w:t xml:space="preserve"> [28]</w:t>
      </w:r>
    </w:p>
    <w:p w14:paraId="0FF46C9E"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Assess how well individual or multi-component therapeutics fit the INP-disrupted network.</w:t>
      </w:r>
    </w:p>
    <w:p w14:paraId="2EF7B587"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r w:rsidR="00E41E53">
        <w:rPr>
          <w:rFonts w:ascii="Times New Roman" w:hAnsi="Times New Roman" w:cs="Times New Roman"/>
          <w:sz w:val="24"/>
          <w:szCs w:val="24"/>
        </w:rPr>
        <w:t xml:space="preserve"> [28]</w:t>
      </w:r>
    </w:p>
    <w:p w14:paraId="6FFBC47F"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 xml:space="preserve">Construct a </w:t>
      </w:r>
      <w:r w:rsidRPr="00095D50">
        <w:rPr>
          <w:rFonts w:ascii="Times New Roman" w:hAnsi="Times New Roman" w:cs="Times New Roman"/>
          <w:b/>
          <w:bCs/>
          <w:sz w:val="24"/>
          <w:szCs w:val="24"/>
        </w:rPr>
        <w:t>target-matching score matrix</w:t>
      </w:r>
      <w:r w:rsidRPr="00095D50">
        <w:rPr>
          <w:rFonts w:ascii="Times New Roman" w:hAnsi="Times New Roman" w:cs="Times New Roman"/>
          <w:sz w:val="24"/>
          <w:szCs w:val="24"/>
        </w:rPr>
        <w:t xml:space="preserve"> using data from STITCH, ChEMBL, BindingDB, or TCMSP.</w:t>
      </w:r>
    </w:p>
    <w:p w14:paraId="28AE2EC7"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Score each compound or formula for its target overlap with INP nodes across layers.</w:t>
      </w:r>
    </w:p>
    <w:p w14:paraId="3D455ED6"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 xml:space="preserve">Use </w:t>
      </w:r>
      <w:r w:rsidRPr="00095D50">
        <w:rPr>
          <w:rFonts w:ascii="Times New Roman" w:hAnsi="Times New Roman" w:cs="Times New Roman"/>
          <w:b/>
          <w:bCs/>
          <w:sz w:val="24"/>
          <w:szCs w:val="24"/>
        </w:rPr>
        <w:t>Fit Score</w:t>
      </w:r>
      <w:r w:rsidRPr="00095D50">
        <w:rPr>
          <w:rFonts w:ascii="Times New Roman" w:hAnsi="Times New Roman" w:cs="Times New Roman"/>
          <w:sz w:val="24"/>
          <w:szCs w:val="24"/>
        </w:rPr>
        <w:t xml:space="preserve"> = (# of matched nodes) / (total relevant INP targets) as a quantitative measure.</w:t>
      </w:r>
    </w:p>
    <w:p w14:paraId="295409B7"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Apply network proximity analysis or diffusion modeling to evaluate indirect network effects.</w:t>
      </w:r>
    </w:p>
    <w:p w14:paraId="18058062" w14:textId="77777777" w:rsidR="00EC04BD" w:rsidRPr="00095D50" w:rsidRDefault="00EC04BD" w:rsidP="00EC04BD">
      <w:pPr>
        <w:numPr>
          <w:ilvl w:val="0"/>
          <w:numId w:val="6"/>
        </w:numPr>
        <w:jc w:val="both"/>
        <w:rPr>
          <w:rFonts w:ascii="Times New Roman" w:hAnsi="Times New Roman" w:cs="Times New Roman"/>
          <w:sz w:val="24"/>
          <w:szCs w:val="24"/>
        </w:rPr>
      </w:pPr>
      <w:r w:rsidRPr="00095D50">
        <w:rPr>
          <w:rFonts w:ascii="Times New Roman" w:hAnsi="Times New Roman" w:cs="Times New Roman"/>
          <w:sz w:val="24"/>
          <w:szCs w:val="24"/>
        </w:rPr>
        <w:t xml:space="preserve">Prioritize compounds or formulas with high </w:t>
      </w:r>
      <w:r w:rsidRPr="00095D50">
        <w:rPr>
          <w:rFonts w:ascii="Times New Roman" w:hAnsi="Times New Roman" w:cs="Times New Roman"/>
          <w:b/>
          <w:bCs/>
          <w:sz w:val="24"/>
          <w:szCs w:val="24"/>
        </w:rPr>
        <w:t>multi-layer cross-talk coverage</w:t>
      </w:r>
      <w:r w:rsidRPr="00095D50">
        <w:rPr>
          <w:rFonts w:ascii="Times New Roman" w:hAnsi="Times New Roman" w:cs="Times New Roman"/>
          <w:sz w:val="24"/>
          <w:szCs w:val="24"/>
        </w:rPr>
        <w:t>.</w:t>
      </w:r>
    </w:p>
    <w:p w14:paraId="261AED58"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Ranked therapeutic candidates or combinations based on system-fit and predicted restorative range.</w:t>
      </w:r>
    </w:p>
    <w:p w14:paraId="72101638" w14:textId="77777777" w:rsidR="00EC04BD" w:rsidRPr="00095D50" w:rsidRDefault="00EC04BD"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Layer 7: System Simulation and Restoration Modeling</w:t>
      </w:r>
      <w:r w:rsidR="00E41E53">
        <w:rPr>
          <w:rFonts w:ascii="Times New Roman" w:hAnsi="Times New Roman" w:cs="Times New Roman"/>
          <w:b/>
          <w:bCs/>
          <w:sz w:val="24"/>
          <w:szCs w:val="24"/>
        </w:rPr>
        <w:t xml:space="preserve"> [28]</w:t>
      </w:r>
    </w:p>
    <w:p w14:paraId="6E314698"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Objective</w:t>
      </w:r>
      <w:r w:rsidRPr="00095D50">
        <w:rPr>
          <w:rFonts w:ascii="Times New Roman" w:hAnsi="Times New Roman" w:cs="Times New Roman"/>
          <w:sz w:val="24"/>
          <w:szCs w:val="24"/>
        </w:rPr>
        <w:t>: Dynamically simulate the recovery or further collapse of the INP system under various intervention models.</w:t>
      </w:r>
    </w:p>
    <w:p w14:paraId="736E36EB"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Methodology</w:t>
      </w:r>
      <w:r w:rsidRPr="00095D50">
        <w:rPr>
          <w:rFonts w:ascii="Times New Roman" w:hAnsi="Times New Roman" w:cs="Times New Roman"/>
          <w:sz w:val="24"/>
          <w:szCs w:val="24"/>
        </w:rPr>
        <w:t>:</w:t>
      </w:r>
      <w:r w:rsidR="00E41E53">
        <w:rPr>
          <w:rFonts w:ascii="Times New Roman" w:hAnsi="Times New Roman" w:cs="Times New Roman"/>
          <w:sz w:val="24"/>
          <w:szCs w:val="24"/>
        </w:rPr>
        <w:t xml:space="preserve"> [28]</w:t>
      </w:r>
    </w:p>
    <w:p w14:paraId="663DBF65" w14:textId="77777777"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Build ordinary differential equation (ODE) models or Boolean networks capturing feedback, activation, repression, and degradation rates of key nodes.</w:t>
      </w:r>
    </w:p>
    <w:p w14:paraId="69E4606D" w14:textId="77777777"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Simulate system trajectories under baseline (unstressed), disrupted, and intervention states.</w:t>
      </w:r>
    </w:p>
    <w:p w14:paraId="79543486" w14:textId="77777777"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 xml:space="preserve">Perform </w:t>
      </w:r>
      <w:r w:rsidRPr="00095D50">
        <w:rPr>
          <w:rFonts w:ascii="Times New Roman" w:hAnsi="Times New Roman" w:cs="Times New Roman"/>
          <w:b/>
          <w:bCs/>
          <w:sz w:val="24"/>
          <w:szCs w:val="24"/>
        </w:rPr>
        <w:t>stability and sensitivity analysis</w:t>
      </w:r>
      <w:r w:rsidRPr="00095D50">
        <w:rPr>
          <w:rFonts w:ascii="Times New Roman" w:hAnsi="Times New Roman" w:cs="Times New Roman"/>
          <w:sz w:val="24"/>
          <w:szCs w:val="24"/>
        </w:rPr>
        <w:t xml:space="preserve"> to identify fragile network nodes and therapeutic tipping points.</w:t>
      </w:r>
    </w:p>
    <w:p w14:paraId="2E6FED58" w14:textId="77777777" w:rsidR="00EC04BD" w:rsidRPr="00095D50" w:rsidRDefault="00EC04BD" w:rsidP="00EC04BD">
      <w:pPr>
        <w:numPr>
          <w:ilvl w:val="0"/>
          <w:numId w:val="7"/>
        </w:numPr>
        <w:jc w:val="both"/>
        <w:rPr>
          <w:rFonts w:ascii="Times New Roman" w:hAnsi="Times New Roman" w:cs="Times New Roman"/>
          <w:sz w:val="24"/>
          <w:szCs w:val="24"/>
        </w:rPr>
      </w:pPr>
      <w:r w:rsidRPr="00095D50">
        <w:rPr>
          <w:rFonts w:ascii="Times New Roman" w:hAnsi="Times New Roman" w:cs="Times New Roman"/>
          <w:sz w:val="24"/>
          <w:szCs w:val="24"/>
        </w:rPr>
        <w:t>Use simulation tools (e.g., PySB, COPASI, Tellurium) to visualize time-based restoration curves and steady-state equilibria.</w:t>
      </w:r>
    </w:p>
    <w:p w14:paraId="16F11BC4"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bCs/>
          <w:sz w:val="24"/>
          <w:szCs w:val="24"/>
        </w:rPr>
        <w:t>Output</w:t>
      </w:r>
      <w:r w:rsidRPr="00095D50">
        <w:rPr>
          <w:rFonts w:ascii="Times New Roman" w:hAnsi="Times New Roman" w:cs="Times New Roman"/>
          <w:sz w:val="24"/>
          <w:szCs w:val="24"/>
        </w:rPr>
        <w:t>: Predictive restoration profiles and critical transition maps showing system recovery potential under selected interventions.</w:t>
      </w:r>
    </w:p>
    <w:p w14:paraId="3AC2FD07" w14:textId="77777777" w:rsidR="00EC04BD" w:rsidRPr="00095D50" w:rsidRDefault="005833E6" w:rsidP="00EC04BD">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3. </w:t>
      </w:r>
      <w:r w:rsidR="00EC04BD" w:rsidRPr="00095D50">
        <w:rPr>
          <w:rFonts w:ascii="Times New Roman" w:hAnsi="Times New Roman" w:cs="Times New Roman"/>
          <w:b/>
          <w:bCs/>
          <w:sz w:val="24"/>
          <w:szCs w:val="24"/>
        </w:rPr>
        <w:t>Integration with Classical Network Pharmacology (NP)</w:t>
      </w:r>
      <w:r w:rsidR="00E41E53">
        <w:rPr>
          <w:rFonts w:ascii="Times New Roman" w:hAnsi="Times New Roman" w:cs="Times New Roman"/>
          <w:b/>
          <w:bCs/>
          <w:sz w:val="24"/>
          <w:szCs w:val="24"/>
        </w:rPr>
        <w:t xml:space="preserve"> [28]</w:t>
      </w:r>
    </w:p>
    <w:p w14:paraId="6571D2AD"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 xml:space="preserve">While </w:t>
      </w:r>
      <w:r w:rsidRPr="00095D50">
        <w:rPr>
          <w:rFonts w:ascii="Times New Roman" w:hAnsi="Times New Roman" w:cs="Times New Roman"/>
          <w:b/>
          <w:bCs/>
          <w:sz w:val="24"/>
          <w:szCs w:val="24"/>
        </w:rPr>
        <w:t>NP</w:t>
      </w:r>
      <w:r w:rsidRPr="00095D50">
        <w:rPr>
          <w:rFonts w:ascii="Times New Roman" w:hAnsi="Times New Roman" w:cs="Times New Roman"/>
          <w:sz w:val="24"/>
          <w:szCs w:val="24"/>
        </w:rPr>
        <w:t xml:space="preserve"> focuses on static node–compound–disease relationships, INP extends this by:</w:t>
      </w:r>
    </w:p>
    <w:p w14:paraId="5AAC2E95" w14:textId="77777777"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Incorporating feedback control,</w:t>
      </w:r>
    </w:p>
    <w:p w14:paraId="1A83EE03" w14:textId="77777777"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Modeling temporal dynamics,</w:t>
      </w:r>
    </w:p>
    <w:p w14:paraId="524EA16F" w14:textId="77777777"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Mapping redox, immune, and autophagy loops, and</w:t>
      </w:r>
    </w:p>
    <w:p w14:paraId="2D940FF1" w14:textId="77777777" w:rsidR="00EC04BD" w:rsidRPr="00095D50" w:rsidRDefault="00EC04BD" w:rsidP="00EC04BD">
      <w:pPr>
        <w:numPr>
          <w:ilvl w:val="0"/>
          <w:numId w:val="8"/>
        </w:numPr>
        <w:jc w:val="both"/>
        <w:rPr>
          <w:rFonts w:ascii="Times New Roman" w:hAnsi="Times New Roman" w:cs="Times New Roman"/>
          <w:sz w:val="24"/>
          <w:szCs w:val="24"/>
        </w:rPr>
      </w:pPr>
      <w:r w:rsidRPr="00095D50">
        <w:rPr>
          <w:rFonts w:ascii="Times New Roman" w:hAnsi="Times New Roman" w:cs="Times New Roman"/>
          <w:sz w:val="24"/>
          <w:szCs w:val="24"/>
        </w:rPr>
        <w:t>Quantifying system resilience vs. overload thresholds.</w:t>
      </w:r>
    </w:p>
    <w:p w14:paraId="24346A9E"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 xml:space="preserve">The INP protocol retains all core NP techniques—target prediction, docking, enrichment—but layers them with </w:t>
      </w:r>
      <w:r w:rsidRPr="00095D50">
        <w:rPr>
          <w:rFonts w:ascii="Times New Roman" w:hAnsi="Times New Roman" w:cs="Times New Roman"/>
          <w:b/>
          <w:bCs/>
          <w:sz w:val="24"/>
          <w:szCs w:val="24"/>
        </w:rPr>
        <w:t>control theory</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systems biology</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simulation logic</w:t>
      </w:r>
      <w:r w:rsidRPr="00095D50">
        <w:rPr>
          <w:rFonts w:ascii="Times New Roman" w:hAnsi="Times New Roman" w:cs="Times New Roman"/>
          <w:sz w:val="24"/>
          <w:szCs w:val="24"/>
        </w:rPr>
        <w:t>, enabling a richer and more predictive exploration of biological complexity.</w:t>
      </w:r>
      <w:r w:rsidR="00E41E53">
        <w:rPr>
          <w:rFonts w:ascii="Times New Roman" w:hAnsi="Times New Roman" w:cs="Times New Roman"/>
          <w:sz w:val="24"/>
          <w:szCs w:val="24"/>
        </w:rPr>
        <w:t xml:space="preserve"> [28</w:t>
      </w:r>
      <w:r w:rsidR="00CC7844">
        <w:rPr>
          <w:rFonts w:ascii="Times New Roman" w:hAnsi="Times New Roman" w:cs="Times New Roman"/>
          <w:sz w:val="24"/>
          <w:szCs w:val="24"/>
        </w:rPr>
        <w:t>]</w:t>
      </w:r>
    </w:p>
    <w:p w14:paraId="09EAEF9E" w14:textId="77777777" w:rsidR="00EC04BD" w:rsidRPr="00095D50" w:rsidRDefault="005833E6" w:rsidP="00EC04BD">
      <w:pPr>
        <w:jc w:val="both"/>
        <w:rPr>
          <w:rFonts w:ascii="Times New Roman" w:hAnsi="Times New Roman" w:cs="Times New Roman"/>
          <w:b/>
          <w:sz w:val="24"/>
          <w:szCs w:val="24"/>
        </w:rPr>
      </w:pPr>
      <w:r w:rsidRPr="00095D50">
        <w:rPr>
          <w:rFonts w:ascii="Times New Roman" w:hAnsi="Times New Roman" w:cs="Times New Roman"/>
          <w:b/>
          <w:sz w:val="24"/>
          <w:szCs w:val="24"/>
        </w:rPr>
        <w:t xml:space="preserve">4. </w:t>
      </w:r>
      <w:r w:rsidR="00EC04BD" w:rsidRPr="00095D50">
        <w:rPr>
          <w:rFonts w:ascii="Times New Roman" w:hAnsi="Times New Roman" w:cs="Times New Roman"/>
          <w:b/>
          <w:sz w:val="24"/>
          <w:szCs w:val="24"/>
        </w:rPr>
        <w:t>INP Failure in Modern Nutrient Deficiency States</w:t>
      </w:r>
      <w:r w:rsidR="00CC7844">
        <w:rPr>
          <w:rFonts w:ascii="Times New Roman" w:hAnsi="Times New Roman" w:cs="Times New Roman"/>
          <w:b/>
          <w:sz w:val="24"/>
          <w:szCs w:val="24"/>
        </w:rPr>
        <w:t xml:space="preserve"> </w:t>
      </w:r>
    </w:p>
    <w:p w14:paraId="14F72710"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Vitamin D3 and B12 deficiency were examined as exemplary models for INP failure, demonstrating multi-level failure in homeostatic regulation</w:t>
      </w:r>
      <w:r w:rsidR="00710950" w:rsidRPr="00095D50">
        <w:rPr>
          <w:rFonts w:ascii="Times New Roman" w:hAnsi="Times New Roman" w:cs="Times New Roman"/>
          <w:sz w:val="24"/>
          <w:szCs w:val="24"/>
        </w:rPr>
        <w:t xml:space="preserve"> </w:t>
      </w:r>
      <w:r w:rsidR="00CC7844">
        <w:rPr>
          <w:rFonts w:ascii="Times New Roman" w:hAnsi="Times New Roman" w:cs="Times New Roman"/>
          <w:sz w:val="24"/>
          <w:szCs w:val="24"/>
        </w:rPr>
        <w:t xml:space="preserve">[28] </w:t>
      </w:r>
      <w:r w:rsidR="00710950" w:rsidRPr="00095D50">
        <w:rPr>
          <w:rFonts w:ascii="Times New Roman" w:hAnsi="Times New Roman" w:cs="Times New Roman"/>
          <w:sz w:val="24"/>
          <w:szCs w:val="24"/>
        </w:rPr>
        <w:t>Image 1</w:t>
      </w:r>
      <w:r w:rsidRPr="00095D50">
        <w:rPr>
          <w:rFonts w:ascii="Times New Roman" w:hAnsi="Times New Roman" w:cs="Times New Roman"/>
          <w:sz w:val="24"/>
          <w:szCs w:val="24"/>
        </w:rPr>
        <w:t>.</w:t>
      </w:r>
    </w:p>
    <w:p w14:paraId="68A26029"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1: Collapse Node Activation</w:t>
      </w:r>
    </w:p>
    <w:p w14:paraId="384FEC72"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Environmental and lifestyle factors like decreased UVB exposure and gastrointestinal impairment were recognized as trigger nodes. The downstream consequence was an important diminishment in Vitamin D3 production (through 7-dehydrocholesterol photoconversion) and B12 absorption (due to compromised intrinsic factor production). These are typical "collapse nodes"—initial disintegration points in the network that disseminate systemic dysfunction</w:t>
      </w:r>
      <w:r w:rsidR="00CC7844">
        <w:rPr>
          <w:rFonts w:ascii="Times New Roman" w:hAnsi="Times New Roman" w:cs="Times New Roman"/>
          <w:sz w:val="24"/>
          <w:szCs w:val="24"/>
        </w:rPr>
        <w:t xml:space="preserve"> [28]</w:t>
      </w:r>
      <w:r w:rsidRPr="00095D50">
        <w:rPr>
          <w:rFonts w:ascii="Times New Roman" w:hAnsi="Times New Roman" w:cs="Times New Roman"/>
          <w:sz w:val="24"/>
          <w:szCs w:val="24"/>
        </w:rPr>
        <w:t>.</w:t>
      </w:r>
    </w:p>
    <w:p w14:paraId="6D2EAC4D"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2: Feedback Breakdown</w:t>
      </w:r>
    </w:p>
    <w:p w14:paraId="3294EC7A"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Critical biological feedback processes, i.e., the VDR–FGF23–Klotho for D3 and methylation–SAM/SAH feedback for B12, were compromised. These compromises are damaging to the ability of adaptive systems to recalibrate and to cellular decision-making during stress</w:t>
      </w:r>
      <w:r w:rsidR="00CC7844">
        <w:rPr>
          <w:rFonts w:ascii="Times New Roman" w:hAnsi="Times New Roman" w:cs="Times New Roman"/>
          <w:sz w:val="24"/>
          <w:szCs w:val="24"/>
        </w:rPr>
        <w:t xml:space="preserve"> [28]</w:t>
      </w:r>
      <w:r w:rsidRPr="00095D50">
        <w:rPr>
          <w:rFonts w:ascii="Times New Roman" w:hAnsi="Times New Roman" w:cs="Times New Roman"/>
          <w:sz w:val="24"/>
          <w:szCs w:val="24"/>
        </w:rPr>
        <w:t>.</w:t>
      </w:r>
    </w:p>
    <w:p w14:paraId="1640CA62"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3: Redox Imbalance</w:t>
      </w:r>
    </w:p>
    <w:p w14:paraId="4EA0BEB5" w14:textId="44578BD9"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The states of deficiency were associated with endogenous antioxidant system downregulation (e.g., glutathione, catalase, superoxide dismutase), leading to high oxidative stress. This favors ROS-induced signaling distortion and destroys regulatory transcription factors such as Nrf</w:t>
      </w:r>
      <w:r w:rsidR="006A1540" w:rsidRPr="00095D50">
        <w:rPr>
          <w:rFonts w:ascii="Times New Roman" w:hAnsi="Times New Roman" w:cs="Times New Roman"/>
          <w:sz w:val="24"/>
          <w:szCs w:val="24"/>
        </w:rPr>
        <w:t>2.</w:t>
      </w:r>
      <w:r w:rsidR="006A1540">
        <w:rPr>
          <w:rFonts w:ascii="Times New Roman" w:hAnsi="Times New Roman" w:cs="Times New Roman"/>
          <w:sz w:val="24"/>
          <w:szCs w:val="24"/>
        </w:rPr>
        <w:t xml:space="preserve"> [</w:t>
      </w:r>
      <w:r w:rsidR="00CC7844">
        <w:rPr>
          <w:rFonts w:ascii="Times New Roman" w:hAnsi="Times New Roman" w:cs="Times New Roman"/>
          <w:sz w:val="24"/>
          <w:szCs w:val="24"/>
        </w:rPr>
        <w:t>28]</w:t>
      </w:r>
    </w:p>
    <w:p w14:paraId="07C10CEF"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4: Immune-Vascular Crosstalk</w:t>
      </w:r>
    </w:p>
    <w:p w14:paraId="1419E4E0"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INP disruption</w:t>
      </w:r>
      <w:r w:rsidR="00CC7844">
        <w:rPr>
          <w:rFonts w:ascii="Times New Roman" w:hAnsi="Times New Roman" w:cs="Times New Roman"/>
          <w:sz w:val="24"/>
          <w:szCs w:val="24"/>
        </w:rPr>
        <w:t xml:space="preserve"> [28]</w:t>
      </w:r>
      <w:r w:rsidRPr="00095D50">
        <w:rPr>
          <w:rFonts w:ascii="Times New Roman" w:hAnsi="Times New Roman" w:cs="Times New Roman"/>
          <w:sz w:val="24"/>
          <w:szCs w:val="24"/>
        </w:rPr>
        <w:t xml:space="preserve"> was extended to the immune response, with deficiencies resulting in increased pro-inflammatory markers (e.g., IL-6, TNF-α) and endothelial dysfunction. This initiates a feed-forward inflammatory state and perpetuates immune misregulation.</w:t>
      </w:r>
    </w:p>
    <w:p w14:paraId="406E13C2"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5: Failure of Autophagy</w:t>
      </w:r>
    </w:p>
    <w:p w14:paraId="59F8BDA9"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Accumulation of cellular waste and defective mitochondrial clearance were described as results of suppressed autophagy and unresolved unfolded protein response (UPR), further exacerbating damage response failures</w:t>
      </w:r>
      <w:r w:rsidR="00CC7844">
        <w:rPr>
          <w:rFonts w:ascii="Times New Roman" w:hAnsi="Times New Roman" w:cs="Times New Roman"/>
          <w:sz w:val="24"/>
          <w:szCs w:val="24"/>
        </w:rPr>
        <w:t xml:space="preserve"> [28]</w:t>
      </w:r>
      <w:r w:rsidRPr="00095D50">
        <w:rPr>
          <w:rFonts w:ascii="Times New Roman" w:hAnsi="Times New Roman" w:cs="Times New Roman"/>
          <w:sz w:val="24"/>
          <w:szCs w:val="24"/>
        </w:rPr>
        <w:t>.</w:t>
      </w:r>
    </w:p>
    <w:p w14:paraId="3690E179" w14:textId="77777777" w:rsidR="00EC04BD" w:rsidRPr="00095D50" w:rsidRDefault="00EC04BD" w:rsidP="00EC04BD">
      <w:pPr>
        <w:jc w:val="both"/>
        <w:rPr>
          <w:rFonts w:ascii="Times New Roman" w:hAnsi="Times New Roman" w:cs="Times New Roman"/>
          <w:b/>
          <w:sz w:val="24"/>
          <w:szCs w:val="24"/>
        </w:rPr>
      </w:pPr>
      <w:r w:rsidRPr="00095D50">
        <w:rPr>
          <w:rFonts w:ascii="Times New Roman" w:hAnsi="Times New Roman" w:cs="Times New Roman"/>
          <w:b/>
          <w:sz w:val="24"/>
          <w:szCs w:val="24"/>
        </w:rPr>
        <w:t>Layer 6 &amp; 7: Therapeutic Limitations</w:t>
      </w:r>
    </w:p>
    <w:p w14:paraId="6F26BA11"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lastRenderedPageBreak/>
        <w:t>Monotherapies with isolated vitamin supplementation were shown to be poorly congruent with the multi-targeted, complex failure map. Simulation experiments showed restoration to be only incomplete unless co-factors like NAD+, SAMe, and microbiota-supporting agents (e.g., probiotics) were included to facilitate feedback loops and mitochondrial repair.</w:t>
      </w:r>
    </w:p>
    <w:p w14:paraId="3BBD1995"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The findings illustrate vitamin deficiency as a network failure of systemic origin rather than as a single metabolic deficiency, demanding multi-layered therapeutic attention.</w:t>
      </w:r>
      <w:r w:rsidR="00CC7844">
        <w:rPr>
          <w:rFonts w:ascii="Times New Roman" w:hAnsi="Times New Roman" w:cs="Times New Roman"/>
          <w:sz w:val="24"/>
          <w:szCs w:val="24"/>
        </w:rPr>
        <w:t xml:space="preserve"> [28]</w:t>
      </w:r>
    </w:p>
    <w:p w14:paraId="608B4943" w14:textId="77777777" w:rsidR="00EC04BD" w:rsidRPr="00095D50" w:rsidRDefault="005833E6" w:rsidP="00EC04BD">
      <w:pPr>
        <w:jc w:val="both"/>
        <w:rPr>
          <w:rFonts w:ascii="Times New Roman" w:hAnsi="Times New Roman" w:cs="Times New Roman"/>
          <w:b/>
          <w:sz w:val="24"/>
          <w:szCs w:val="24"/>
        </w:rPr>
      </w:pPr>
      <w:r w:rsidRPr="00095D50">
        <w:rPr>
          <w:rFonts w:ascii="Times New Roman" w:hAnsi="Times New Roman" w:cs="Times New Roman"/>
          <w:b/>
          <w:sz w:val="24"/>
          <w:szCs w:val="24"/>
        </w:rPr>
        <w:t xml:space="preserve">5. </w:t>
      </w:r>
      <w:r w:rsidR="00EC04BD" w:rsidRPr="00095D50">
        <w:rPr>
          <w:rFonts w:ascii="Times New Roman" w:hAnsi="Times New Roman" w:cs="Times New Roman"/>
          <w:b/>
          <w:sz w:val="24"/>
          <w:szCs w:val="24"/>
        </w:rPr>
        <w:t>INP Restoration through Rasayana-Based Epigenetic Network Reprogramming</w:t>
      </w:r>
    </w:p>
    <w:p w14:paraId="5A866AE7" w14:textId="77777777"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sz w:val="24"/>
          <w:szCs w:val="24"/>
        </w:rPr>
        <w:t>The traditional Ayurvedic preparation Chyawanprash was designed as a lead candidate for systemic INP rejuvenation,</w:t>
      </w:r>
      <w:r w:rsidR="00CC7844">
        <w:rPr>
          <w:rFonts w:ascii="Times New Roman" w:hAnsi="Times New Roman" w:cs="Times New Roman"/>
          <w:sz w:val="24"/>
          <w:szCs w:val="24"/>
        </w:rPr>
        <w:t xml:space="preserve"> [28]</w:t>
      </w:r>
      <w:r w:rsidRPr="00095D50">
        <w:rPr>
          <w:rFonts w:ascii="Times New Roman" w:hAnsi="Times New Roman" w:cs="Times New Roman"/>
          <w:sz w:val="24"/>
          <w:szCs w:val="24"/>
        </w:rPr>
        <w:t xml:space="preserve"> with its multicomponent, adaptogenic composition.</w:t>
      </w:r>
    </w:p>
    <w:p w14:paraId="71BFF868" w14:textId="77777777" w:rsidR="00560C2E" w:rsidRPr="00095D50" w:rsidRDefault="00560C2E" w:rsidP="00560C2E">
      <w:pPr>
        <w:jc w:val="both"/>
        <w:rPr>
          <w:rFonts w:ascii="Times New Roman" w:hAnsi="Times New Roman" w:cs="Times New Roman"/>
          <w:b/>
          <w:bCs/>
          <w:sz w:val="24"/>
          <w:szCs w:val="24"/>
        </w:rPr>
      </w:pPr>
      <w:r w:rsidRPr="00095D50">
        <w:rPr>
          <w:rFonts w:ascii="Times New Roman" w:hAnsi="Times New Roman" w:cs="Times New Roman"/>
          <w:b/>
          <w:bCs/>
          <w:sz w:val="24"/>
          <w:szCs w:val="24"/>
        </w:rPr>
        <w:t>Epigenetic Simulation via ODE Modeling</w:t>
      </w:r>
    </w:p>
    <w:p w14:paraId="6CA99B79"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 xml:space="preserve">To explore time-based system restoration, a dynamic ODE model was developed for five key epigenetic regulators: </w:t>
      </w:r>
      <w:r w:rsidRPr="00095D50">
        <w:rPr>
          <w:rFonts w:ascii="Times New Roman" w:hAnsi="Times New Roman" w:cs="Times New Roman"/>
          <w:b/>
          <w:bCs/>
          <w:sz w:val="24"/>
          <w:szCs w:val="24"/>
        </w:rPr>
        <w:t>Nrf2</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SIRT1</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FOXO3</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DNMT1</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Beclin</w:t>
      </w:r>
      <w:r w:rsidR="00CC7844" w:rsidRPr="00095D50">
        <w:rPr>
          <w:rFonts w:ascii="Times New Roman" w:hAnsi="Times New Roman" w:cs="Times New Roman"/>
          <w:b/>
          <w:bCs/>
          <w:sz w:val="24"/>
          <w:szCs w:val="24"/>
        </w:rPr>
        <w:t>1</w:t>
      </w:r>
      <w:r w:rsidR="00CC7844" w:rsidRPr="00095D50">
        <w:rPr>
          <w:rFonts w:ascii="Times New Roman" w:hAnsi="Times New Roman" w:cs="Times New Roman"/>
          <w:sz w:val="24"/>
          <w:szCs w:val="24"/>
        </w:rPr>
        <w:t>.</w:t>
      </w:r>
      <w:r w:rsidR="00CC7844">
        <w:rPr>
          <w:rFonts w:ascii="Times New Roman" w:hAnsi="Times New Roman" w:cs="Times New Roman"/>
          <w:sz w:val="24"/>
          <w:szCs w:val="24"/>
        </w:rPr>
        <w:t xml:space="preserve"> [28]</w:t>
      </w:r>
    </w:p>
    <w:p w14:paraId="41BE6E2A"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Two conditions were simulated:</w:t>
      </w:r>
    </w:p>
    <w:p w14:paraId="419508D1" w14:textId="77777777" w:rsidR="00560C2E" w:rsidRPr="00095D50" w:rsidRDefault="00560C2E" w:rsidP="00560C2E">
      <w:pPr>
        <w:numPr>
          <w:ilvl w:val="0"/>
          <w:numId w:val="9"/>
        </w:numPr>
        <w:jc w:val="both"/>
        <w:rPr>
          <w:rFonts w:ascii="Times New Roman" w:hAnsi="Times New Roman" w:cs="Times New Roman"/>
          <w:sz w:val="24"/>
          <w:szCs w:val="24"/>
        </w:rPr>
      </w:pPr>
      <w:r w:rsidRPr="00095D50">
        <w:rPr>
          <w:rFonts w:ascii="Times New Roman" w:hAnsi="Times New Roman" w:cs="Times New Roman"/>
          <w:b/>
          <w:bCs/>
          <w:sz w:val="24"/>
          <w:szCs w:val="24"/>
        </w:rPr>
        <w:t>Deficiency State</w:t>
      </w:r>
      <w:r w:rsidRPr="00095D50">
        <w:rPr>
          <w:rFonts w:ascii="Times New Roman" w:hAnsi="Times New Roman" w:cs="Times New Roman"/>
          <w:sz w:val="24"/>
          <w:szCs w:val="24"/>
        </w:rPr>
        <w:t>: with minimal stimulation coefficients (0.1 per node),</w:t>
      </w:r>
    </w:p>
    <w:p w14:paraId="0D7FFF50" w14:textId="77777777" w:rsidR="00560C2E" w:rsidRPr="00095D50" w:rsidRDefault="00560C2E" w:rsidP="00560C2E">
      <w:pPr>
        <w:numPr>
          <w:ilvl w:val="0"/>
          <w:numId w:val="9"/>
        </w:numPr>
        <w:jc w:val="both"/>
        <w:rPr>
          <w:rFonts w:ascii="Times New Roman" w:hAnsi="Times New Roman" w:cs="Times New Roman"/>
          <w:sz w:val="24"/>
          <w:szCs w:val="24"/>
        </w:rPr>
      </w:pPr>
      <w:r w:rsidRPr="00095D50">
        <w:rPr>
          <w:rFonts w:ascii="Times New Roman" w:hAnsi="Times New Roman" w:cs="Times New Roman"/>
          <w:b/>
          <w:bCs/>
          <w:sz w:val="24"/>
          <w:szCs w:val="24"/>
        </w:rPr>
        <w:t>Full Chyawanprash Synergy</w:t>
      </w:r>
      <w:r w:rsidRPr="00095D50">
        <w:rPr>
          <w:rFonts w:ascii="Times New Roman" w:hAnsi="Times New Roman" w:cs="Times New Roman"/>
          <w:sz w:val="24"/>
          <w:szCs w:val="24"/>
        </w:rPr>
        <w:t>: using influence coefficients derived from the compound-target map (0.6–1.0).</w:t>
      </w:r>
    </w:p>
    <w:p w14:paraId="02725B2F" w14:textId="77777777" w:rsidR="00560C2E" w:rsidRPr="00095D50" w:rsidRDefault="00560C2E" w:rsidP="00560C2E">
      <w:pPr>
        <w:jc w:val="both"/>
        <w:rPr>
          <w:rFonts w:ascii="Times New Roman" w:hAnsi="Times New Roman" w:cs="Times New Roman"/>
          <w:b/>
          <w:sz w:val="24"/>
          <w:szCs w:val="24"/>
        </w:rPr>
      </w:pPr>
      <w:r w:rsidRPr="00095D50">
        <w:rPr>
          <w:rFonts w:ascii="Times New Roman" w:hAnsi="Times New Roman" w:cs="Times New Roman"/>
          <w:b/>
          <w:sz w:val="24"/>
          <w:szCs w:val="24"/>
        </w:rPr>
        <w:t>Results showed:</w:t>
      </w:r>
    </w:p>
    <w:p w14:paraId="7820D99C" w14:textId="77777777" w:rsidR="00560C2E" w:rsidRPr="00095D50" w:rsidRDefault="00560C2E" w:rsidP="00560C2E">
      <w:pPr>
        <w:numPr>
          <w:ilvl w:val="0"/>
          <w:numId w:val="10"/>
        </w:numPr>
        <w:jc w:val="both"/>
        <w:rPr>
          <w:rFonts w:ascii="Times New Roman" w:hAnsi="Times New Roman" w:cs="Times New Roman"/>
          <w:sz w:val="24"/>
          <w:szCs w:val="24"/>
        </w:rPr>
      </w:pPr>
      <w:r w:rsidRPr="00095D50">
        <w:rPr>
          <w:rFonts w:ascii="Times New Roman" w:hAnsi="Times New Roman" w:cs="Times New Roman"/>
          <w:sz w:val="24"/>
          <w:szCs w:val="24"/>
        </w:rPr>
        <w:t xml:space="preserve">Early and strong reactivation of </w:t>
      </w:r>
      <w:r w:rsidRPr="00095D50">
        <w:rPr>
          <w:rFonts w:ascii="Times New Roman" w:hAnsi="Times New Roman" w:cs="Times New Roman"/>
          <w:b/>
          <w:bCs/>
          <w:sz w:val="24"/>
          <w:szCs w:val="24"/>
        </w:rPr>
        <w:t>Nrf2</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SIRT1</w:t>
      </w:r>
      <w:r w:rsidRPr="00095D50">
        <w:rPr>
          <w:rFonts w:ascii="Times New Roman" w:hAnsi="Times New Roman" w:cs="Times New Roman"/>
          <w:sz w:val="24"/>
          <w:szCs w:val="24"/>
        </w:rPr>
        <w:t xml:space="preserve"> under the full formulation.</w:t>
      </w:r>
    </w:p>
    <w:p w14:paraId="1F493714" w14:textId="77777777" w:rsidR="00560C2E" w:rsidRPr="00095D50" w:rsidRDefault="00560C2E" w:rsidP="00560C2E">
      <w:pPr>
        <w:numPr>
          <w:ilvl w:val="0"/>
          <w:numId w:val="10"/>
        </w:numPr>
        <w:jc w:val="both"/>
        <w:rPr>
          <w:rFonts w:ascii="Times New Roman" w:hAnsi="Times New Roman" w:cs="Times New Roman"/>
          <w:sz w:val="24"/>
          <w:szCs w:val="24"/>
        </w:rPr>
      </w:pPr>
      <w:r w:rsidRPr="00095D50">
        <w:rPr>
          <w:rFonts w:ascii="Times New Roman" w:hAnsi="Times New Roman" w:cs="Times New Roman"/>
          <w:sz w:val="24"/>
          <w:szCs w:val="24"/>
        </w:rPr>
        <w:t xml:space="preserve">Downstream re-engagement of </w:t>
      </w:r>
      <w:r w:rsidRPr="00095D50">
        <w:rPr>
          <w:rFonts w:ascii="Times New Roman" w:hAnsi="Times New Roman" w:cs="Times New Roman"/>
          <w:b/>
          <w:bCs/>
          <w:sz w:val="24"/>
          <w:szCs w:val="24"/>
        </w:rPr>
        <w:t>FOXO3</w:t>
      </w:r>
      <w:r w:rsidRPr="00095D50">
        <w:rPr>
          <w:rFonts w:ascii="Times New Roman" w:hAnsi="Times New Roman" w:cs="Times New Roman"/>
          <w:sz w:val="24"/>
          <w:szCs w:val="24"/>
        </w:rPr>
        <w:t xml:space="preserve">, </w:t>
      </w:r>
      <w:r w:rsidRPr="00095D50">
        <w:rPr>
          <w:rFonts w:ascii="Times New Roman" w:hAnsi="Times New Roman" w:cs="Times New Roman"/>
          <w:b/>
          <w:bCs/>
          <w:sz w:val="24"/>
          <w:szCs w:val="24"/>
        </w:rPr>
        <w:t>Beclin1</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DNMT1</w:t>
      </w:r>
      <w:r w:rsidRPr="00095D50">
        <w:rPr>
          <w:rFonts w:ascii="Times New Roman" w:hAnsi="Times New Roman" w:cs="Times New Roman"/>
          <w:sz w:val="24"/>
          <w:szCs w:val="24"/>
        </w:rPr>
        <w:t xml:space="preserve"> over time.</w:t>
      </w:r>
    </w:p>
    <w:p w14:paraId="56D2B8FB" w14:textId="77777777" w:rsidR="00560C2E" w:rsidRPr="00095D50" w:rsidRDefault="00560C2E" w:rsidP="00560C2E">
      <w:pPr>
        <w:numPr>
          <w:ilvl w:val="0"/>
          <w:numId w:val="10"/>
        </w:numPr>
        <w:jc w:val="both"/>
        <w:rPr>
          <w:rFonts w:ascii="Times New Roman" w:hAnsi="Times New Roman" w:cs="Times New Roman"/>
          <w:sz w:val="24"/>
          <w:szCs w:val="24"/>
        </w:rPr>
      </w:pPr>
      <w:r w:rsidRPr="00095D50">
        <w:rPr>
          <w:rFonts w:ascii="Times New Roman" w:hAnsi="Times New Roman" w:cs="Times New Roman"/>
          <w:sz w:val="24"/>
          <w:szCs w:val="24"/>
        </w:rPr>
        <w:t>Emergence of stable gene expression levels, in contrast to system stagnation observed in the deficiency state.</w:t>
      </w:r>
    </w:p>
    <w:p w14:paraId="6D0F504B"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 xml:space="preserve">This simulation suggests that Chyawanprash may </w:t>
      </w:r>
      <w:r w:rsidRPr="00095D50">
        <w:rPr>
          <w:rFonts w:ascii="Times New Roman" w:hAnsi="Times New Roman" w:cs="Times New Roman"/>
          <w:b/>
          <w:bCs/>
          <w:sz w:val="24"/>
          <w:szCs w:val="24"/>
        </w:rPr>
        <w:t>rebuild feedback loops and restore network stability</w:t>
      </w:r>
      <w:r w:rsidR="00CC7844">
        <w:rPr>
          <w:rFonts w:ascii="Times New Roman" w:hAnsi="Times New Roman" w:cs="Times New Roman"/>
          <w:b/>
          <w:bCs/>
          <w:sz w:val="24"/>
          <w:szCs w:val="24"/>
        </w:rPr>
        <w:t xml:space="preserve"> </w:t>
      </w:r>
      <w:r w:rsidRPr="00095D50">
        <w:rPr>
          <w:rFonts w:ascii="Times New Roman" w:hAnsi="Times New Roman" w:cs="Times New Roman"/>
          <w:sz w:val="24"/>
          <w:szCs w:val="24"/>
        </w:rPr>
        <w:t>by reactivating upstream regulators that cascade into broader system repair.</w:t>
      </w:r>
    </w:p>
    <w:p w14:paraId="7F8848A6" w14:textId="77777777" w:rsidR="00560C2E" w:rsidRPr="00095D50" w:rsidRDefault="005833E6" w:rsidP="00560C2E">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6. </w:t>
      </w:r>
      <w:r w:rsidR="00560C2E" w:rsidRPr="00095D50">
        <w:rPr>
          <w:rFonts w:ascii="Times New Roman" w:hAnsi="Times New Roman" w:cs="Times New Roman"/>
          <w:b/>
          <w:bCs/>
          <w:sz w:val="24"/>
          <w:szCs w:val="24"/>
        </w:rPr>
        <w:t>Comparative Map: Failure vs. Restoration</w:t>
      </w:r>
    </w:p>
    <w:p w14:paraId="2A580ECD" w14:textId="77777777" w:rsidR="00560C2E" w:rsidRPr="00095D50" w:rsidRDefault="00560C2E" w:rsidP="00560C2E">
      <w:pPr>
        <w:jc w:val="both"/>
        <w:rPr>
          <w:rFonts w:ascii="Times New Roman" w:hAnsi="Times New Roman" w:cs="Times New Roman"/>
          <w:b/>
          <w:bCs/>
          <w:sz w:val="24"/>
          <w:szCs w:val="24"/>
        </w:rPr>
      </w:pPr>
      <w:r w:rsidRPr="00095D50">
        <w:rPr>
          <w:rFonts w:ascii="Times New Roman" w:hAnsi="Times New Roman" w:cs="Times New Roman"/>
          <w:sz w:val="24"/>
          <w:szCs w:val="24"/>
        </w:rPr>
        <w:t>A layer-by-layer comparison</w:t>
      </w:r>
      <w:r w:rsidR="00CC7844">
        <w:rPr>
          <w:rFonts w:ascii="Times New Roman" w:hAnsi="Times New Roman" w:cs="Times New Roman"/>
          <w:sz w:val="24"/>
          <w:szCs w:val="24"/>
        </w:rPr>
        <w:t xml:space="preserve"> </w:t>
      </w:r>
      <w:r w:rsidRPr="00095D50">
        <w:rPr>
          <w:rFonts w:ascii="Times New Roman" w:hAnsi="Times New Roman" w:cs="Times New Roman"/>
          <w:sz w:val="24"/>
          <w:szCs w:val="24"/>
        </w:rPr>
        <w:t>between deficiency-induced failure and Rasayana-enabled recovery provides a structured systems-level contrast.</w:t>
      </w:r>
      <w:r w:rsidRPr="00095D50">
        <w:t xml:space="preserve"> </w:t>
      </w:r>
      <w:r w:rsidRPr="00095D50">
        <w:rPr>
          <w:rFonts w:ascii="Times New Roman" w:hAnsi="Times New Roman" w:cs="Times New Roman"/>
          <w:sz w:val="24"/>
          <w:szCs w:val="24"/>
        </w:rPr>
        <w:t>This dual-trajectory view demonstrates how complex biological failure can be gradually reversed by multi-layer pharmacological and epigenetic input, rather than single-molecule approaches.</w:t>
      </w:r>
      <w:r w:rsidRPr="00095D50">
        <w:rPr>
          <w:rFonts w:ascii="Times New Roman" w:hAnsi="Times New Roman" w:cs="Times New Roman"/>
          <w:b/>
          <w:bCs/>
          <w:sz w:val="24"/>
          <w:szCs w:val="24"/>
        </w:rPr>
        <w:t xml:space="preserve"> </w:t>
      </w:r>
    </w:p>
    <w:p w14:paraId="0F3CAA1D" w14:textId="77777777" w:rsidR="00560C2E" w:rsidRPr="00095D50" w:rsidRDefault="005833E6" w:rsidP="00560C2E">
      <w:pPr>
        <w:jc w:val="both"/>
        <w:rPr>
          <w:rFonts w:ascii="Times New Roman" w:hAnsi="Times New Roman" w:cs="Times New Roman"/>
          <w:b/>
          <w:bCs/>
          <w:sz w:val="24"/>
          <w:szCs w:val="24"/>
        </w:rPr>
      </w:pPr>
      <w:r w:rsidRPr="00095D50">
        <w:rPr>
          <w:rFonts w:ascii="Times New Roman" w:hAnsi="Times New Roman" w:cs="Times New Roman"/>
          <w:b/>
          <w:bCs/>
          <w:sz w:val="24"/>
          <w:szCs w:val="24"/>
        </w:rPr>
        <w:t xml:space="preserve">7. </w:t>
      </w:r>
      <w:r w:rsidR="00560C2E" w:rsidRPr="00095D50">
        <w:rPr>
          <w:rFonts w:ascii="Times New Roman" w:hAnsi="Times New Roman" w:cs="Times New Roman"/>
          <w:b/>
          <w:bCs/>
          <w:sz w:val="24"/>
          <w:szCs w:val="24"/>
        </w:rPr>
        <w:t>Target Mapping and Fit Score Analysis</w:t>
      </w:r>
    </w:p>
    <w:p w14:paraId="2556D3A2"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t xml:space="preserve">Each herb in the formulation was mapped against known regulators of redox, epigenetic, and feedback-related pathways. Fit scores were computed to evaluate alignment with core INP failure nodes. High fit scores for </w:t>
      </w:r>
      <w:r w:rsidRPr="00095D50">
        <w:rPr>
          <w:rFonts w:ascii="Times New Roman" w:hAnsi="Times New Roman" w:cs="Times New Roman"/>
          <w:b/>
          <w:bCs/>
          <w:sz w:val="24"/>
          <w:szCs w:val="24"/>
        </w:rPr>
        <w:t>Amla</w:t>
      </w:r>
      <w:r w:rsidRPr="00095D50">
        <w:rPr>
          <w:rFonts w:ascii="Times New Roman" w:hAnsi="Times New Roman" w:cs="Times New Roman"/>
          <w:sz w:val="24"/>
          <w:szCs w:val="24"/>
        </w:rPr>
        <w:t xml:space="preserve"> and </w:t>
      </w:r>
      <w:r w:rsidRPr="00095D50">
        <w:rPr>
          <w:rFonts w:ascii="Times New Roman" w:hAnsi="Times New Roman" w:cs="Times New Roman"/>
          <w:b/>
          <w:bCs/>
          <w:sz w:val="24"/>
          <w:szCs w:val="24"/>
        </w:rPr>
        <w:t>Ashwagandha</w:t>
      </w:r>
      <w:r w:rsidRPr="00095D50">
        <w:rPr>
          <w:rFonts w:ascii="Times New Roman" w:hAnsi="Times New Roman" w:cs="Times New Roman"/>
          <w:sz w:val="24"/>
          <w:szCs w:val="24"/>
        </w:rPr>
        <w:t xml:space="preserve"> confirm their ability to modulate multiple INP-relevant nodes including transcriptional activators, redox buffers, and damage repair </w:t>
      </w:r>
      <w:r w:rsidR="00CC7844" w:rsidRPr="00095D50">
        <w:rPr>
          <w:rFonts w:ascii="Times New Roman" w:hAnsi="Times New Roman" w:cs="Times New Roman"/>
          <w:sz w:val="24"/>
          <w:szCs w:val="24"/>
        </w:rPr>
        <w:t>initiators</w:t>
      </w:r>
      <w:r w:rsidR="00CC7844">
        <w:rPr>
          <w:rFonts w:ascii="Times New Roman" w:hAnsi="Times New Roman" w:cs="Times New Roman"/>
          <w:sz w:val="24"/>
          <w:szCs w:val="24"/>
        </w:rPr>
        <w:t>.</w:t>
      </w:r>
      <w:r w:rsidR="00CC7844" w:rsidRPr="00095D50">
        <w:rPr>
          <w:rFonts w:ascii="Times New Roman" w:hAnsi="Times New Roman" w:cs="Times New Roman"/>
          <w:sz w:val="24"/>
          <w:szCs w:val="24"/>
        </w:rPr>
        <w:t xml:space="preserve"> Table</w:t>
      </w:r>
      <w:r w:rsidRPr="00095D50">
        <w:rPr>
          <w:rFonts w:ascii="Times New Roman" w:hAnsi="Times New Roman" w:cs="Times New Roman"/>
          <w:sz w:val="24"/>
          <w:szCs w:val="24"/>
        </w:rPr>
        <w:t xml:space="preserve"> 1</w:t>
      </w:r>
    </w:p>
    <w:p w14:paraId="0F01B111" w14:textId="77777777" w:rsidR="00560C2E" w:rsidRPr="00095D50" w:rsidRDefault="00560C2E" w:rsidP="00560C2E">
      <w:pPr>
        <w:jc w:val="both"/>
        <w:rPr>
          <w:rFonts w:ascii="Times New Roman" w:hAnsi="Times New Roman" w:cs="Times New Roman"/>
          <w:sz w:val="24"/>
          <w:szCs w:val="24"/>
        </w:rPr>
      </w:pPr>
      <w:r w:rsidRPr="00095D50">
        <w:rPr>
          <w:rFonts w:ascii="Times New Roman" w:hAnsi="Times New Roman" w:cs="Times New Roman"/>
          <w:sz w:val="24"/>
          <w:szCs w:val="24"/>
        </w:rPr>
        <w:lastRenderedPageBreak/>
        <w:t xml:space="preserve">Nutrient deficiencies initiate cascade failures beginning at specific trigger nodes and extending into redox, immune, and repair systems. The classical INP framework successfully maps these disruptions and provides a consistent structure to model intervention </w:t>
      </w:r>
      <w:r w:rsidR="00CC7844" w:rsidRPr="00095D50">
        <w:rPr>
          <w:rFonts w:ascii="Times New Roman" w:hAnsi="Times New Roman" w:cs="Times New Roman"/>
          <w:sz w:val="24"/>
          <w:szCs w:val="24"/>
        </w:rPr>
        <w:t>strategies</w:t>
      </w:r>
      <w:r w:rsidR="00CC7844">
        <w:rPr>
          <w:rFonts w:ascii="Times New Roman" w:hAnsi="Times New Roman" w:cs="Times New Roman"/>
          <w:sz w:val="24"/>
          <w:szCs w:val="24"/>
        </w:rPr>
        <w:t>.</w:t>
      </w:r>
      <w:r w:rsidRPr="00095D50">
        <w:rPr>
          <w:rFonts w:ascii="Times New Roman" w:hAnsi="Times New Roman" w:cs="Times New Roman"/>
          <w:sz w:val="24"/>
          <w:szCs w:val="24"/>
        </w:rPr>
        <w:t xml:space="preserve"> Chyawanprash, due to its high INP fit score across herbs and dynamic simulation outcomes, presents a plausible computational model for Rasayana-mediated epigenetic and systemic restoration.</w:t>
      </w:r>
      <w:r w:rsidR="005833E6" w:rsidRPr="00095D50">
        <w:rPr>
          <w:rFonts w:ascii="Times New Roman" w:hAnsi="Times New Roman" w:cs="Times New Roman"/>
          <w:sz w:val="24"/>
          <w:szCs w:val="24"/>
        </w:rPr>
        <w:t xml:space="preserve"> Table 2 </w:t>
      </w:r>
    </w:p>
    <w:p w14:paraId="4EF28A07" w14:textId="77777777" w:rsidR="005833E6" w:rsidRPr="00095D50" w:rsidRDefault="005833E6" w:rsidP="00560C2E">
      <w:pPr>
        <w:jc w:val="both"/>
        <w:rPr>
          <w:rFonts w:ascii="Times New Roman" w:hAnsi="Times New Roman" w:cs="Times New Roman"/>
          <w:b/>
          <w:sz w:val="24"/>
          <w:szCs w:val="24"/>
        </w:rPr>
      </w:pPr>
      <w:r w:rsidRPr="00095D50">
        <w:rPr>
          <w:rFonts w:ascii="Times New Roman" w:hAnsi="Times New Roman" w:cs="Times New Roman"/>
          <w:b/>
          <w:sz w:val="24"/>
          <w:szCs w:val="24"/>
        </w:rPr>
        <w:t xml:space="preserve">8. Simulation of Chyawanprash’s epigenetic network rewiring using these scores: </w:t>
      </w:r>
    </w:p>
    <w:p w14:paraId="49A618DE" w14:textId="77777777" w:rsidR="005833E6" w:rsidRPr="00095D50" w:rsidRDefault="005833E6" w:rsidP="005833E6">
      <w:pPr>
        <w:jc w:val="both"/>
        <w:rPr>
          <w:rFonts w:ascii="Times New Roman" w:hAnsi="Times New Roman" w:cs="Times New Roman"/>
          <w:sz w:val="24"/>
          <w:szCs w:val="24"/>
        </w:rPr>
      </w:pPr>
      <w:r w:rsidRPr="00095D50">
        <w:rPr>
          <w:rFonts w:ascii="Times New Roman" w:hAnsi="Times New Roman" w:cs="Times New Roman"/>
          <w:sz w:val="24"/>
          <w:szCs w:val="24"/>
        </w:rPr>
        <w:t xml:space="preserve">Simulation Output of Chyawanprash’s Epigenetic Network Rewiring graph shows the epigenetic INP failure network is restored over time through the cumulative effects of top Chyawanprash herbs </w:t>
      </w:r>
      <w:r w:rsidRPr="00095D50">
        <w:rPr>
          <w:rFonts w:ascii="Times New Roman" w:hAnsi="Times New Roman" w:cs="Times New Roman"/>
          <w:b/>
          <w:sz w:val="24"/>
          <w:szCs w:val="24"/>
        </w:rPr>
        <w:t>Graph 1.</w:t>
      </w:r>
      <w:r w:rsidRPr="00095D50">
        <w:rPr>
          <w:rFonts w:ascii="Times New Roman" w:hAnsi="Times New Roman" w:cs="Times New Roman"/>
          <w:sz w:val="24"/>
          <w:szCs w:val="24"/>
        </w:rPr>
        <w:t xml:space="preserve"> </w:t>
      </w:r>
    </w:p>
    <w:p w14:paraId="0414CCD3" w14:textId="77777777" w:rsidR="00EC04BD" w:rsidRPr="00095D50" w:rsidRDefault="0063768D" w:rsidP="00EC04BD">
      <w:pPr>
        <w:jc w:val="both"/>
        <w:rPr>
          <w:rFonts w:ascii="Times New Roman" w:hAnsi="Times New Roman" w:cs="Times New Roman"/>
          <w:sz w:val="24"/>
          <w:szCs w:val="24"/>
        </w:rPr>
      </w:pPr>
      <w:r w:rsidRPr="00095D50">
        <w:rPr>
          <w:rFonts w:ascii="Times New Roman" w:hAnsi="Times New Roman" w:cs="Times New Roman"/>
          <w:sz w:val="24"/>
          <w:szCs w:val="24"/>
        </w:rPr>
        <w:t>During the simulation, Nrf2 and SIRT1 were revealed as early responders that took center stage in triggering redox buffering and metabolic stabilization in the initial 10–15-time units. Their early activation unleashes a cascade that brings about the progressive restoration of downstream epigenetic regulators such as DNMT1 (DNA methylation), FOXO3 (stress resistance and longevity), and Beclin1 (initiator autophagy). This temporal progression reflects the multi-layered logic of the INP repair model, in which early oxidative resistance pav</w:t>
      </w:r>
      <w:r w:rsidRPr="00095D50">
        <w:t xml:space="preserve"> </w:t>
      </w:r>
      <w:r w:rsidRPr="00095D50">
        <w:rPr>
          <w:rFonts w:ascii="Times New Roman" w:hAnsi="Times New Roman" w:cs="Times New Roman"/>
          <w:sz w:val="24"/>
          <w:szCs w:val="24"/>
        </w:rPr>
        <w:t>During the simulation, Nrf2 and SIRT1 were revealed as early responders that took center stage in triggering redox buffering and metabolic stabilization in the initial 10–15-time units. Their early activation unleashes a cascade that brings about the progressive restoration of downstream epigenetic regulators such as DNMT1 (DNA methylation), FOXO3 (stress resistance and longevity), and Beclin1 (initiator autophagy). This temporal progression reflects the multi-layered logic of the INP repair model, in which early oxidative resistance paves the way for later epigenetic and repair system stabilization. By around time unit 40, the expression of all five master regulators is stabilized, reflecting systemic balance has been restored under Chyawanprash treatment. These findings validate the hypothesis that Chyawanprash functions as a systems-level Rasayana, having the ability to stimulate upstream redox circuits (Nrf2, SIRT1), re-activate epigenetic methylation cycles (DNMT1), and augment transcriptional resilience and autophagic capacity (FOXO3, Beclin1).es the way for later epigenetic and repair system stabilization. By around time unit 40, the expression of all five master regulators is stabilized, reflecting systemic balance has been restored under Chyawanprash treatment. These findings validate the hypothesis that Chyawanprash functions as a systems-level Rasayana, having the ability to stimulate upstream redox circuits (Nrf2, SIRT1), re-activate epigenetic methylation cycles (DNMT1), and augment transcriptional resilience and autophagic capacity (FOXO3, Beclin1)</w:t>
      </w:r>
      <w:r w:rsidR="00710950" w:rsidRPr="00095D50">
        <w:rPr>
          <w:rFonts w:ascii="Times New Roman" w:hAnsi="Times New Roman" w:cs="Times New Roman"/>
          <w:sz w:val="24"/>
          <w:szCs w:val="24"/>
        </w:rPr>
        <w:t xml:space="preserve"> Graph 1</w:t>
      </w:r>
      <w:r w:rsidRPr="00095D50">
        <w:rPr>
          <w:rFonts w:ascii="Times New Roman" w:hAnsi="Times New Roman" w:cs="Times New Roman"/>
          <w:sz w:val="24"/>
          <w:szCs w:val="24"/>
        </w:rPr>
        <w:t>.</w:t>
      </w:r>
      <w:r w:rsidR="004D0F15" w:rsidRPr="00095D50">
        <w:rPr>
          <w:rFonts w:ascii="Times New Roman" w:hAnsi="Times New Roman" w:cs="Times New Roman"/>
          <w:sz w:val="24"/>
          <w:szCs w:val="24"/>
        </w:rPr>
        <w:t xml:space="preserve"> We also identified other natural compounds that restore Vitamin D3 and Vitamin B12 intrinsic network failures using INP module given in Table 3</w:t>
      </w:r>
      <w:r w:rsidR="00710950" w:rsidRPr="00095D50">
        <w:rPr>
          <w:rFonts w:ascii="Times New Roman" w:hAnsi="Times New Roman" w:cs="Times New Roman"/>
          <w:sz w:val="24"/>
          <w:szCs w:val="24"/>
        </w:rPr>
        <w:t xml:space="preserve"> &amp; Image 2.</w:t>
      </w:r>
    </w:p>
    <w:p w14:paraId="2D027BC4" w14:textId="77777777" w:rsidR="00011F85" w:rsidRPr="00095D50" w:rsidRDefault="00011F85" w:rsidP="00011F85">
      <w:pPr>
        <w:jc w:val="both"/>
        <w:rPr>
          <w:rFonts w:ascii="Times New Roman" w:hAnsi="Times New Roman" w:cs="Times New Roman"/>
          <w:b/>
          <w:sz w:val="24"/>
          <w:szCs w:val="24"/>
        </w:rPr>
      </w:pPr>
      <w:r w:rsidRPr="00095D50">
        <w:rPr>
          <w:rFonts w:ascii="Times New Roman" w:hAnsi="Times New Roman" w:cs="Times New Roman"/>
          <w:b/>
          <w:sz w:val="24"/>
          <w:szCs w:val="24"/>
        </w:rPr>
        <w:t>9. Discussion</w:t>
      </w:r>
    </w:p>
    <w:p w14:paraId="5352E21F"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This article describes a new application of the 7-layer Intrinsic Network Pharmacology (INP) approach to probe two intensely opposing biological conditions: the gradual failure of systemic function in Vitamin D3 and B12 deficiencies</w:t>
      </w:r>
      <w:r w:rsidR="00633C11" w:rsidRPr="00095D50">
        <w:rPr>
          <w:rFonts w:ascii="Times New Roman" w:hAnsi="Times New Roman" w:cs="Times New Roman"/>
          <w:sz w:val="24"/>
          <w:szCs w:val="24"/>
        </w:rPr>
        <w:t xml:space="preserve"> [18, 19,23]</w:t>
      </w:r>
      <w:r w:rsidRPr="00095D50">
        <w:rPr>
          <w:rFonts w:ascii="Times New Roman" w:hAnsi="Times New Roman" w:cs="Times New Roman"/>
          <w:sz w:val="24"/>
          <w:szCs w:val="24"/>
        </w:rPr>
        <w:t xml:space="preserve">, and the possible systemic restoration through the polyherbal Rasayana product Chyawanprash. The findings illustrate that chronic undernutrition with key nutrients goes well beyond single-biomarker dysfunctions and evokes </w:t>
      </w:r>
      <w:r w:rsidRPr="00095D50">
        <w:rPr>
          <w:rFonts w:ascii="Times New Roman" w:hAnsi="Times New Roman" w:cs="Times New Roman"/>
          <w:sz w:val="24"/>
          <w:szCs w:val="24"/>
        </w:rPr>
        <w:lastRenderedPageBreak/>
        <w:t>broad-spectrum collapses in feedback control, redox balance, immune signaling, and autophagic clearance. In contrast, the multicomponent and adaptogenic profile of Chyawanprash offers a novel systems-level intervention that can network rewire these same layers.</w:t>
      </w:r>
    </w:p>
    <w:p w14:paraId="2DB9A9E3" w14:textId="77777777" w:rsidR="00011F85" w:rsidRPr="00095D50" w:rsidRDefault="00011F85" w:rsidP="00011F85">
      <w:pPr>
        <w:jc w:val="both"/>
        <w:rPr>
          <w:rFonts w:ascii="Times New Roman" w:hAnsi="Times New Roman" w:cs="Times New Roman"/>
          <w:b/>
          <w:sz w:val="24"/>
          <w:szCs w:val="24"/>
        </w:rPr>
      </w:pPr>
      <w:r w:rsidRPr="00095D50">
        <w:rPr>
          <w:rFonts w:ascii="Times New Roman" w:hAnsi="Times New Roman" w:cs="Times New Roman"/>
          <w:b/>
          <w:sz w:val="24"/>
          <w:szCs w:val="24"/>
        </w:rPr>
        <w:t>9.1 Systemic Breakdown Under Nutrient Deficiency</w:t>
      </w:r>
    </w:p>
    <w:p w14:paraId="46B72F26"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The INP failure mapping between Vitamin D3 and B12 metabolism exposed a clear and layered pattern of breakdown:</w:t>
      </w:r>
    </w:p>
    <w:p w14:paraId="7C989BCB"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Early precipitants like compromised UV exposure or gastric inflammation trigger collapse (Layer 1),Which causes feedback loop failure in methylation and hormonal control (Layer 2),</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Then redox imbalance through exhausted antioxidants and ROS buffering (Layer 3),</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And immune dysregulation, vascular stress, and inflammatory priming (Layer 4).These disruptions eventually affect cellular restoration processes (Layer 5), with our simulations of model systems (Layers 6–7) indicating mere partial rehabilitation via standard supplementation</w:t>
      </w:r>
      <w:r w:rsidR="00633C11" w:rsidRPr="00095D50">
        <w:rPr>
          <w:rFonts w:ascii="Times New Roman" w:hAnsi="Times New Roman" w:cs="Times New Roman"/>
          <w:sz w:val="24"/>
          <w:szCs w:val="24"/>
        </w:rPr>
        <w:t xml:space="preserve"> [18,19]</w:t>
      </w:r>
      <w:r w:rsidRPr="00095D50">
        <w:rPr>
          <w:rFonts w:ascii="Times New Roman" w:hAnsi="Times New Roman" w:cs="Times New Roman"/>
          <w:sz w:val="24"/>
          <w:szCs w:val="24"/>
        </w:rPr>
        <w:t>. The results indicate that monotherapies, even if biochemically adequate, could be insufficient to re-establish the complete dynamic integrity of biological systems after multi-layer network breakdown.</w:t>
      </w:r>
    </w:p>
    <w:p w14:paraId="059DB688" w14:textId="77777777" w:rsidR="00011F85" w:rsidRPr="00095D50" w:rsidRDefault="00BA361A" w:rsidP="00011F85">
      <w:pPr>
        <w:jc w:val="both"/>
        <w:rPr>
          <w:rFonts w:ascii="Times New Roman" w:hAnsi="Times New Roman" w:cs="Times New Roman"/>
          <w:b/>
          <w:sz w:val="24"/>
          <w:szCs w:val="24"/>
        </w:rPr>
      </w:pPr>
      <w:r w:rsidRPr="00095D50">
        <w:rPr>
          <w:rFonts w:ascii="Times New Roman" w:hAnsi="Times New Roman" w:cs="Times New Roman"/>
          <w:b/>
          <w:sz w:val="24"/>
          <w:szCs w:val="24"/>
        </w:rPr>
        <w:t>9</w:t>
      </w:r>
      <w:r w:rsidR="00011F85" w:rsidRPr="00095D50">
        <w:rPr>
          <w:rFonts w:ascii="Times New Roman" w:hAnsi="Times New Roman" w:cs="Times New Roman"/>
          <w:b/>
          <w:sz w:val="24"/>
          <w:szCs w:val="24"/>
        </w:rPr>
        <w:t>.2 Rasayana-Based Restoration and INP Reprogramming</w:t>
      </w:r>
    </w:p>
    <w:p w14:paraId="0E703595"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In contrast, our INP Fit Score analysis and ODE-based simulations show that Chyawanprash, a product with more than 40 synergistic botanicals, concurrently activates a number of key regulators</w:t>
      </w:r>
      <w:r w:rsidR="00633C11" w:rsidRPr="00095D50">
        <w:rPr>
          <w:rFonts w:ascii="Times New Roman" w:hAnsi="Times New Roman" w:cs="Times New Roman"/>
          <w:sz w:val="24"/>
          <w:szCs w:val="24"/>
        </w:rPr>
        <w:t xml:space="preserve"> [24,25,26,27]</w:t>
      </w:r>
      <w:r w:rsidRPr="00095D50">
        <w:rPr>
          <w:rFonts w:ascii="Times New Roman" w:hAnsi="Times New Roman" w:cs="Times New Roman"/>
          <w:sz w:val="24"/>
          <w:szCs w:val="24"/>
        </w:rPr>
        <w:t>:</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Redox balancing and metabolic repair are induced early by the activation of Nrf2 and SIRT</w:t>
      </w:r>
      <w:r w:rsidR="00BA361A" w:rsidRPr="00095D50">
        <w:rPr>
          <w:rFonts w:ascii="Times New Roman" w:hAnsi="Times New Roman" w:cs="Times New Roman"/>
          <w:sz w:val="24"/>
          <w:szCs w:val="24"/>
        </w:rPr>
        <w:t>1, Stress</w:t>
      </w:r>
      <w:r w:rsidRPr="00095D50">
        <w:rPr>
          <w:rFonts w:ascii="Times New Roman" w:hAnsi="Times New Roman" w:cs="Times New Roman"/>
          <w:sz w:val="24"/>
          <w:szCs w:val="24"/>
        </w:rPr>
        <w:t xml:space="preserve"> resilience and epigenetic remodeling are facilitated by FOXO3 and DNMT</w:t>
      </w:r>
      <w:r w:rsidR="00BA361A" w:rsidRPr="00095D50">
        <w:rPr>
          <w:rFonts w:ascii="Times New Roman" w:hAnsi="Times New Roman" w:cs="Times New Roman"/>
          <w:sz w:val="24"/>
          <w:szCs w:val="24"/>
        </w:rPr>
        <w:t>1, Beclin</w:t>
      </w:r>
      <w:r w:rsidRPr="00095D50">
        <w:rPr>
          <w:rFonts w:ascii="Times New Roman" w:hAnsi="Times New Roman" w:cs="Times New Roman"/>
          <w:sz w:val="24"/>
          <w:szCs w:val="24"/>
        </w:rPr>
        <w:t xml:space="preserve">1 and LC3B initiate the reactivation of autophagy and damage </w:t>
      </w:r>
      <w:r w:rsidR="00BA361A" w:rsidRPr="00095D50">
        <w:rPr>
          <w:rFonts w:ascii="Times New Roman" w:hAnsi="Times New Roman" w:cs="Times New Roman"/>
          <w:sz w:val="24"/>
          <w:szCs w:val="24"/>
        </w:rPr>
        <w:t>clearance. Our</w:t>
      </w:r>
      <w:r w:rsidRPr="00095D50">
        <w:rPr>
          <w:rFonts w:ascii="Times New Roman" w:hAnsi="Times New Roman" w:cs="Times New Roman"/>
          <w:sz w:val="24"/>
          <w:szCs w:val="24"/>
        </w:rPr>
        <w:t xml:space="preserve"> comparative simulation evidently demonstrates a divergence in system trajectories, wherein the Rasayana condition attained stable restoration of INP function, in contrast to stagnation within nutrient-deficiency simulations. This confirms the hypothesis that polyherbal adaptogens act not by single targets, but by guiding entire networks to equilibrium.</w:t>
      </w:r>
    </w:p>
    <w:p w14:paraId="01C4551F" w14:textId="77777777" w:rsidR="00011F85" w:rsidRPr="00095D50" w:rsidRDefault="00BA361A" w:rsidP="00011F85">
      <w:pPr>
        <w:jc w:val="both"/>
        <w:rPr>
          <w:rFonts w:ascii="Times New Roman" w:hAnsi="Times New Roman" w:cs="Times New Roman"/>
          <w:b/>
          <w:sz w:val="24"/>
          <w:szCs w:val="24"/>
        </w:rPr>
      </w:pPr>
      <w:r w:rsidRPr="00095D50">
        <w:rPr>
          <w:rFonts w:ascii="Times New Roman" w:hAnsi="Times New Roman" w:cs="Times New Roman"/>
          <w:b/>
          <w:sz w:val="24"/>
          <w:szCs w:val="24"/>
        </w:rPr>
        <w:t>9</w:t>
      </w:r>
      <w:r w:rsidR="00011F85" w:rsidRPr="00095D50">
        <w:rPr>
          <w:rFonts w:ascii="Times New Roman" w:hAnsi="Times New Roman" w:cs="Times New Roman"/>
          <w:b/>
          <w:sz w:val="24"/>
          <w:szCs w:val="24"/>
        </w:rPr>
        <w:t>.3 Strengths and Limitations</w:t>
      </w:r>
    </w:p>
    <w:p w14:paraId="64023E62"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t xml:space="preserve">The major strength of this effort is the integration of classical Ayurvedic wisdom with cutting-edge systems pharmacology and dynamic modeling, permitting a dual-view analysis—failure and restoration—within a common protocol. It is also noteworthy that the ODE simulation of gene regulatory dynamics under Rasayana influence lends temporal information into the rate and sequence of biological </w:t>
      </w:r>
      <w:r w:rsidR="00BA361A" w:rsidRPr="00095D50">
        <w:rPr>
          <w:rFonts w:ascii="Times New Roman" w:hAnsi="Times New Roman" w:cs="Times New Roman"/>
          <w:sz w:val="24"/>
          <w:szCs w:val="24"/>
        </w:rPr>
        <w:t>recovery. The</w:t>
      </w:r>
      <w:r w:rsidRPr="00095D50">
        <w:rPr>
          <w:rFonts w:ascii="Times New Roman" w:hAnsi="Times New Roman" w:cs="Times New Roman"/>
          <w:sz w:val="24"/>
          <w:szCs w:val="24"/>
        </w:rPr>
        <w:t xml:space="preserve"> limitations should be noted </w:t>
      </w:r>
      <w:r w:rsidR="00BA361A" w:rsidRPr="00095D50">
        <w:rPr>
          <w:rFonts w:ascii="Times New Roman" w:hAnsi="Times New Roman" w:cs="Times New Roman"/>
          <w:sz w:val="24"/>
          <w:szCs w:val="24"/>
        </w:rPr>
        <w:t>though. The</w:t>
      </w:r>
      <w:r w:rsidRPr="00095D50">
        <w:rPr>
          <w:rFonts w:ascii="Times New Roman" w:hAnsi="Times New Roman" w:cs="Times New Roman"/>
          <w:sz w:val="24"/>
          <w:szCs w:val="24"/>
        </w:rPr>
        <w:t xml:space="preserve"> research is entirely computational and does not have in vitro or in vivo confirmation.</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Compound–target mappings are text-based and can disregard context-specific interactions (e.g., gut metabolism, bioavailability).</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 xml:space="preserve">Herb–herb interaction effects, synergy thresholds, and </w:t>
      </w:r>
      <w:r w:rsidR="00BA361A" w:rsidRPr="00095D50">
        <w:rPr>
          <w:rFonts w:ascii="Times New Roman" w:hAnsi="Times New Roman" w:cs="Times New Roman"/>
          <w:sz w:val="24"/>
          <w:szCs w:val="24"/>
        </w:rPr>
        <w:t>hermetic</w:t>
      </w:r>
      <w:r w:rsidRPr="00095D50">
        <w:rPr>
          <w:rFonts w:ascii="Times New Roman" w:hAnsi="Times New Roman" w:cs="Times New Roman"/>
          <w:sz w:val="24"/>
          <w:szCs w:val="24"/>
        </w:rPr>
        <w:t xml:space="preserve"> responses are not modeled </w:t>
      </w:r>
      <w:r w:rsidR="00BA361A" w:rsidRPr="00095D50">
        <w:rPr>
          <w:rFonts w:ascii="Times New Roman" w:hAnsi="Times New Roman" w:cs="Times New Roman"/>
          <w:sz w:val="24"/>
          <w:szCs w:val="24"/>
        </w:rPr>
        <w:t>here. These</w:t>
      </w:r>
      <w:r w:rsidRPr="00095D50">
        <w:rPr>
          <w:rFonts w:ascii="Times New Roman" w:hAnsi="Times New Roman" w:cs="Times New Roman"/>
          <w:sz w:val="24"/>
          <w:szCs w:val="24"/>
        </w:rPr>
        <w:t xml:space="preserve"> provisos make clear the demand for multi-disciplinary research pipelines integrating ethnopharmacological knowledge with omics data and experimental pharmacodynamics.</w:t>
      </w:r>
    </w:p>
    <w:p w14:paraId="45201151" w14:textId="77777777" w:rsidR="00011F85" w:rsidRPr="00095D50" w:rsidRDefault="00BA361A" w:rsidP="00011F85">
      <w:pPr>
        <w:jc w:val="both"/>
        <w:rPr>
          <w:rFonts w:ascii="Times New Roman" w:hAnsi="Times New Roman" w:cs="Times New Roman"/>
          <w:b/>
          <w:sz w:val="24"/>
          <w:szCs w:val="24"/>
        </w:rPr>
      </w:pPr>
      <w:r w:rsidRPr="00095D50">
        <w:rPr>
          <w:rFonts w:ascii="Times New Roman" w:hAnsi="Times New Roman" w:cs="Times New Roman"/>
          <w:b/>
          <w:sz w:val="24"/>
          <w:szCs w:val="24"/>
        </w:rPr>
        <w:t xml:space="preserve">10. </w:t>
      </w:r>
      <w:r w:rsidR="00011F85" w:rsidRPr="00095D50">
        <w:rPr>
          <w:rFonts w:ascii="Times New Roman" w:hAnsi="Times New Roman" w:cs="Times New Roman"/>
          <w:b/>
          <w:sz w:val="24"/>
          <w:szCs w:val="24"/>
        </w:rPr>
        <w:t>Conclusion</w:t>
      </w:r>
    </w:p>
    <w:p w14:paraId="7A45277D" w14:textId="77777777" w:rsidR="00011F85" w:rsidRPr="00095D50" w:rsidRDefault="00011F85" w:rsidP="00011F85">
      <w:pPr>
        <w:jc w:val="both"/>
        <w:rPr>
          <w:rFonts w:ascii="Times New Roman" w:hAnsi="Times New Roman" w:cs="Times New Roman"/>
          <w:sz w:val="24"/>
          <w:szCs w:val="24"/>
        </w:rPr>
      </w:pPr>
      <w:r w:rsidRPr="00095D50">
        <w:rPr>
          <w:rFonts w:ascii="Times New Roman" w:hAnsi="Times New Roman" w:cs="Times New Roman"/>
          <w:sz w:val="24"/>
          <w:szCs w:val="24"/>
        </w:rPr>
        <w:lastRenderedPageBreak/>
        <w:t>This research illustrates the power of the Intrinsic Network Pharmacology (INP) platform as a versatile tool for deciphering the multi-layered pathophysiology of biological breakdown and systems-based therapeutic design. With its seven-layer architecture, INP provides a special ability to simulate both collapse pathways like those found in Vitamin D3 and B12 deficiency and recovery routes like those activated by Rasayana preparations like Chyawanprash.</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Our results indicate that nutrient deficiencies do more than simply repress individual metabolic nodes but trigger cascading failures in feedback, redox, immune, and repair networks. More significantly, our computational modeling indicates that multi-targeted, adaptogenic therapeutics are effective at reversing these failures, reprogramming the network for homeostasis and resilience.</w:t>
      </w:r>
      <w:r w:rsidR="00BA361A" w:rsidRPr="00095D50">
        <w:rPr>
          <w:rFonts w:ascii="Times New Roman" w:hAnsi="Times New Roman" w:cs="Times New Roman"/>
          <w:sz w:val="24"/>
          <w:szCs w:val="24"/>
        </w:rPr>
        <w:t xml:space="preserve"> </w:t>
      </w:r>
      <w:r w:rsidRPr="00095D50">
        <w:rPr>
          <w:rFonts w:ascii="Times New Roman" w:hAnsi="Times New Roman" w:cs="Times New Roman"/>
          <w:sz w:val="24"/>
          <w:szCs w:val="24"/>
        </w:rPr>
        <w:t>Although additional validation in biological and clinical contexts is critical, this research provides a foundation for a new generation of systems-level nutraceutical approaches, guided by ancient medicine but regulated by contemporary network pharmacology and dynamic systems biology.</w:t>
      </w:r>
    </w:p>
    <w:p w14:paraId="52E5A262" w14:textId="5639EE71" w:rsidR="0090366A" w:rsidRPr="00095D50" w:rsidRDefault="0090366A" w:rsidP="0090366A">
      <w:r w:rsidRPr="00095D50">
        <w:t>.</w:t>
      </w:r>
    </w:p>
    <w:p w14:paraId="7FFB2862" w14:textId="77777777" w:rsidR="000B5638" w:rsidRPr="000B5638" w:rsidRDefault="000B5638" w:rsidP="000B5638">
      <w:pPr>
        <w:rPr>
          <w:highlight w:val="yellow"/>
        </w:rPr>
      </w:pPr>
      <w:r w:rsidRPr="000B5638">
        <w:rPr>
          <w:highlight w:val="yellow"/>
        </w:rPr>
        <w:t>Disclaimer (Artificial intelligence)</w:t>
      </w:r>
    </w:p>
    <w:p w14:paraId="61492A2A" w14:textId="77777777" w:rsidR="000B5638" w:rsidRPr="000B5638" w:rsidRDefault="000B5638" w:rsidP="000B5638">
      <w:pPr>
        <w:rPr>
          <w:highlight w:val="yellow"/>
        </w:rPr>
      </w:pPr>
      <w:r w:rsidRPr="000B5638">
        <w:rPr>
          <w:highlight w:val="yellow"/>
        </w:rPr>
        <w:t xml:space="preserve">Option 1: </w:t>
      </w:r>
    </w:p>
    <w:p w14:paraId="4EE3831F" w14:textId="77777777" w:rsidR="000B5638" w:rsidRPr="000B5638" w:rsidRDefault="000B5638" w:rsidP="000B5638">
      <w:pPr>
        <w:rPr>
          <w:highlight w:val="yellow"/>
        </w:rPr>
      </w:pPr>
      <w:r w:rsidRPr="000B5638">
        <w:rPr>
          <w:highlight w:val="yellow"/>
        </w:rPr>
        <w:t xml:space="preserve">Author(s) hereby declare that NO generative AI technologies such as Large Language Models (ChatGPT, COPILOT, etc.) and text-to-image generators have been used during the writing or editing of this manuscript. </w:t>
      </w:r>
    </w:p>
    <w:p w14:paraId="092A0B64" w14:textId="77777777" w:rsidR="000B5638" w:rsidRPr="000B5638" w:rsidRDefault="000B5638" w:rsidP="000B5638">
      <w:pPr>
        <w:rPr>
          <w:highlight w:val="yellow"/>
        </w:rPr>
      </w:pPr>
      <w:r w:rsidRPr="000B5638">
        <w:rPr>
          <w:highlight w:val="yellow"/>
        </w:rPr>
        <w:t xml:space="preserve">Option 2: </w:t>
      </w:r>
    </w:p>
    <w:p w14:paraId="2D03A79D" w14:textId="77777777" w:rsidR="000B5638" w:rsidRPr="000B5638" w:rsidRDefault="000B5638" w:rsidP="000B5638">
      <w:pPr>
        <w:rPr>
          <w:highlight w:val="yellow"/>
        </w:rPr>
      </w:pPr>
      <w:r w:rsidRPr="000B5638">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41F2ED" w14:textId="77777777" w:rsidR="000B5638" w:rsidRPr="000B5638" w:rsidRDefault="000B5638" w:rsidP="000B5638">
      <w:pPr>
        <w:rPr>
          <w:highlight w:val="yellow"/>
        </w:rPr>
      </w:pPr>
      <w:r w:rsidRPr="000B5638">
        <w:rPr>
          <w:highlight w:val="yellow"/>
        </w:rPr>
        <w:t>Details of the AI usage are given below:</w:t>
      </w:r>
    </w:p>
    <w:p w14:paraId="7D112D1C" w14:textId="77777777" w:rsidR="000B5638" w:rsidRPr="000B5638" w:rsidRDefault="000B5638" w:rsidP="000B5638">
      <w:pPr>
        <w:rPr>
          <w:highlight w:val="yellow"/>
        </w:rPr>
      </w:pPr>
      <w:r w:rsidRPr="000B5638">
        <w:rPr>
          <w:highlight w:val="yellow"/>
        </w:rPr>
        <w:t>1.</w:t>
      </w:r>
    </w:p>
    <w:p w14:paraId="16FC822A" w14:textId="77777777" w:rsidR="000B5638" w:rsidRPr="000B5638" w:rsidRDefault="000B5638" w:rsidP="000B5638">
      <w:pPr>
        <w:rPr>
          <w:highlight w:val="yellow"/>
        </w:rPr>
      </w:pPr>
      <w:r w:rsidRPr="000B5638">
        <w:rPr>
          <w:highlight w:val="yellow"/>
        </w:rPr>
        <w:t>2.</w:t>
      </w:r>
    </w:p>
    <w:p w14:paraId="701A31D6" w14:textId="77777777" w:rsidR="000B5638" w:rsidRPr="0053103C" w:rsidRDefault="000B5638" w:rsidP="000B5638">
      <w:r w:rsidRPr="000B5638">
        <w:rPr>
          <w:highlight w:val="yellow"/>
        </w:rPr>
        <w:t>3.</w:t>
      </w:r>
    </w:p>
    <w:p w14:paraId="4E93774C" w14:textId="77777777" w:rsidR="0090366A" w:rsidRPr="00095D50" w:rsidRDefault="0090366A" w:rsidP="00011F85">
      <w:pPr>
        <w:jc w:val="both"/>
        <w:rPr>
          <w:rFonts w:ascii="Times New Roman" w:hAnsi="Times New Roman" w:cs="Times New Roman"/>
          <w:sz w:val="24"/>
          <w:szCs w:val="24"/>
        </w:rPr>
      </w:pPr>
    </w:p>
    <w:p w14:paraId="0A547574" w14:textId="77777777" w:rsidR="00BA361A" w:rsidRPr="00095D50" w:rsidRDefault="00191829" w:rsidP="00EC04BD">
      <w:pPr>
        <w:jc w:val="both"/>
        <w:rPr>
          <w:rFonts w:ascii="Times New Roman" w:hAnsi="Times New Roman" w:cs="Times New Roman"/>
          <w:b/>
          <w:sz w:val="24"/>
          <w:szCs w:val="24"/>
        </w:rPr>
      </w:pPr>
      <w:r w:rsidRPr="00095D50">
        <w:rPr>
          <w:rFonts w:ascii="Times New Roman" w:hAnsi="Times New Roman" w:cs="Times New Roman"/>
          <w:b/>
          <w:sz w:val="24"/>
          <w:szCs w:val="24"/>
        </w:rPr>
        <w:t>References:</w:t>
      </w:r>
    </w:p>
    <w:p w14:paraId="652AAA9F" w14:textId="77777777" w:rsidR="00CC7844" w:rsidRDefault="00CC7844" w:rsidP="0056756A">
      <w:pPr>
        <w:pStyle w:val="ListParagraph"/>
        <w:numPr>
          <w:ilvl w:val="0"/>
          <w:numId w:val="16"/>
        </w:numPr>
        <w:jc w:val="both"/>
        <w:rPr>
          <w:rFonts w:ascii="Times New Roman" w:hAnsi="Times New Roman" w:cs="Times New Roman"/>
          <w:sz w:val="24"/>
          <w:szCs w:val="24"/>
        </w:rPr>
      </w:pPr>
      <w:r w:rsidRPr="00CC7844">
        <w:rPr>
          <w:rFonts w:ascii="Times New Roman" w:hAnsi="Times New Roman" w:cs="Times New Roman"/>
          <w:sz w:val="24"/>
          <w:szCs w:val="24"/>
        </w:rPr>
        <w:t xml:space="preserve">Saqi M, Pellet J, </w:t>
      </w:r>
      <w:proofErr w:type="spellStart"/>
      <w:r w:rsidRPr="00CC7844">
        <w:rPr>
          <w:rFonts w:ascii="Times New Roman" w:hAnsi="Times New Roman" w:cs="Times New Roman"/>
          <w:sz w:val="24"/>
          <w:szCs w:val="24"/>
        </w:rPr>
        <w:t>Roznovat</w:t>
      </w:r>
      <w:proofErr w:type="spellEnd"/>
      <w:r w:rsidRPr="00CC7844">
        <w:rPr>
          <w:rFonts w:ascii="Times New Roman" w:hAnsi="Times New Roman" w:cs="Times New Roman"/>
          <w:sz w:val="24"/>
          <w:szCs w:val="24"/>
        </w:rPr>
        <w:t xml:space="preserve"> I, </w:t>
      </w:r>
      <w:proofErr w:type="spellStart"/>
      <w:r w:rsidRPr="00CC7844">
        <w:rPr>
          <w:rFonts w:ascii="Times New Roman" w:hAnsi="Times New Roman" w:cs="Times New Roman"/>
          <w:sz w:val="24"/>
          <w:szCs w:val="24"/>
        </w:rPr>
        <w:t>Mazein</w:t>
      </w:r>
      <w:proofErr w:type="spellEnd"/>
      <w:r w:rsidRPr="00CC7844">
        <w:rPr>
          <w:rFonts w:ascii="Times New Roman" w:hAnsi="Times New Roman" w:cs="Times New Roman"/>
          <w:sz w:val="24"/>
          <w:szCs w:val="24"/>
        </w:rPr>
        <w:t xml:space="preserve"> A, </w:t>
      </w:r>
      <w:proofErr w:type="spellStart"/>
      <w:r w:rsidRPr="00CC7844">
        <w:rPr>
          <w:rFonts w:ascii="Times New Roman" w:hAnsi="Times New Roman" w:cs="Times New Roman"/>
          <w:sz w:val="24"/>
          <w:szCs w:val="24"/>
        </w:rPr>
        <w:t>Ballereau</w:t>
      </w:r>
      <w:proofErr w:type="spellEnd"/>
      <w:r w:rsidRPr="00CC7844">
        <w:rPr>
          <w:rFonts w:ascii="Times New Roman" w:hAnsi="Times New Roman" w:cs="Times New Roman"/>
          <w:sz w:val="24"/>
          <w:szCs w:val="24"/>
        </w:rPr>
        <w:t xml:space="preserve"> S, De </w:t>
      </w:r>
      <w:proofErr w:type="spellStart"/>
      <w:r w:rsidRPr="00CC7844">
        <w:rPr>
          <w:rFonts w:ascii="Times New Roman" w:hAnsi="Times New Roman" w:cs="Times New Roman"/>
          <w:sz w:val="24"/>
          <w:szCs w:val="24"/>
        </w:rPr>
        <w:t>Meulder</w:t>
      </w:r>
      <w:proofErr w:type="spellEnd"/>
      <w:r w:rsidRPr="00CC7844">
        <w:rPr>
          <w:rFonts w:ascii="Times New Roman" w:hAnsi="Times New Roman" w:cs="Times New Roman"/>
          <w:sz w:val="24"/>
          <w:szCs w:val="24"/>
        </w:rPr>
        <w:t xml:space="preserve"> B, </w:t>
      </w:r>
      <w:proofErr w:type="spellStart"/>
      <w:r w:rsidRPr="00CC7844">
        <w:rPr>
          <w:rFonts w:ascii="Times New Roman" w:hAnsi="Times New Roman" w:cs="Times New Roman"/>
          <w:sz w:val="24"/>
          <w:szCs w:val="24"/>
        </w:rPr>
        <w:t>Auffray</w:t>
      </w:r>
      <w:proofErr w:type="spellEnd"/>
      <w:r w:rsidRPr="00CC7844">
        <w:rPr>
          <w:rFonts w:ascii="Times New Roman" w:hAnsi="Times New Roman" w:cs="Times New Roman"/>
          <w:sz w:val="24"/>
          <w:szCs w:val="24"/>
        </w:rPr>
        <w:t xml:space="preserve"> C. Systems Medicine: The Future of Medical Genomics, Healthcare, and Wellness. Methods Mol Biol. 2016</w:t>
      </w:r>
      <w:proofErr w:type="gramStart"/>
      <w:r w:rsidRPr="00CC7844">
        <w:rPr>
          <w:rFonts w:ascii="Times New Roman" w:hAnsi="Times New Roman" w:cs="Times New Roman"/>
          <w:sz w:val="24"/>
          <w:szCs w:val="24"/>
        </w:rPr>
        <w:t>;1386:43</w:t>
      </w:r>
      <w:proofErr w:type="gramEnd"/>
      <w:r w:rsidRPr="00CC7844">
        <w:rPr>
          <w:rFonts w:ascii="Times New Roman" w:hAnsi="Times New Roman" w:cs="Times New Roman"/>
          <w:sz w:val="24"/>
          <w:szCs w:val="24"/>
        </w:rPr>
        <w:t xml:space="preserve">-60. </w:t>
      </w:r>
      <w:proofErr w:type="spellStart"/>
      <w:r w:rsidRPr="00CC7844">
        <w:rPr>
          <w:rFonts w:ascii="Times New Roman" w:hAnsi="Times New Roman" w:cs="Times New Roman"/>
          <w:sz w:val="24"/>
          <w:szCs w:val="24"/>
        </w:rPr>
        <w:t>doi</w:t>
      </w:r>
      <w:proofErr w:type="spellEnd"/>
      <w:r w:rsidRPr="00CC7844">
        <w:rPr>
          <w:rFonts w:ascii="Times New Roman" w:hAnsi="Times New Roman" w:cs="Times New Roman"/>
          <w:sz w:val="24"/>
          <w:szCs w:val="24"/>
        </w:rPr>
        <w:t>: 10.1007/978-1-4939-3283-2_3. PMID: 26677178.</w:t>
      </w:r>
    </w:p>
    <w:p w14:paraId="30E07A8B" w14:textId="77777777" w:rsidR="00191829" w:rsidRPr="00095D50" w:rsidRDefault="00191829"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Paolo Parini, The use of different types of networks, alone and in combination, for drug target identification, British Journal of Pharmacology, 10.1111/bph.70091, (2025).</w:t>
      </w:r>
    </w:p>
    <w:p w14:paraId="2EC9E5BD" w14:textId="77777777" w:rsidR="00191829" w:rsidRPr="00095D50" w:rsidRDefault="00191829"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lastRenderedPageBreak/>
        <w:t>Saiqing</w:t>
      </w:r>
      <w:proofErr w:type="spellEnd"/>
      <w:r w:rsidRPr="00095D50">
        <w:rPr>
          <w:rFonts w:ascii="Times New Roman" w:hAnsi="Times New Roman" w:cs="Times New Roman"/>
          <w:sz w:val="24"/>
          <w:szCs w:val="24"/>
        </w:rPr>
        <w:t xml:space="preserve"> Guan, Breast Cancer Risk Prediction: A Machine Learning Study Using Network Analysis, 2025 IEEE 15th Annual Computing and Communication Workshop and Conference (CCWC), 10.1109/CCWC62904.2025.10903845, (00448-00452), (2025).</w:t>
      </w:r>
    </w:p>
    <w:p w14:paraId="127F42D4" w14:textId="77777777" w:rsidR="00CC7844" w:rsidRDefault="00CC7844" w:rsidP="0056756A">
      <w:pPr>
        <w:pStyle w:val="ListParagraph"/>
        <w:numPr>
          <w:ilvl w:val="0"/>
          <w:numId w:val="16"/>
        </w:numPr>
        <w:jc w:val="both"/>
        <w:rPr>
          <w:rFonts w:ascii="Times New Roman" w:hAnsi="Times New Roman" w:cs="Times New Roman"/>
          <w:sz w:val="24"/>
          <w:szCs w:val="24"/>
        </w:rPr>
      </w:pPr>
      <w:r w:rsidRPr="00CC7844">
        <w:rPr>
          <w:rFonts w:ascii="Times New Roman" w:hAnsi="Times New Roman" w:cs="Times New Roman"/>
          <w:sz w:val="24"/>
          <w:szCs w:val="24"/>
        </w:rPr>
        <w:t xml:space="preserve">Lee LY, Loscalzo J. Network Medicine in Pathobiology. Am J </w:t>
      </w:r>
      <w:proofErr w:type="spellStart"/>
      <w:r w:rsidRPr="00CC7844">
        <w:rPr>
          <w:rFonts w:ascii="Times New Roman" w:hAnsi="Times New Roman" w:cs="Times New Roman"/>
          <w:sz w:val="24"/>
          <w:szCs w:val="24"/>
        </w:rPr>
        <w:t>Pathol</w:t>
      </w:r>
      <w:proofErr w:type="spellEnd"/>
      <w:r w:rsidRPr="00CC7844">
        <w:rPr>
          <w:rFonts w:ascii="Times New Roman" w:hAnsi="Times New Roman" w:cs="Times New Roman"/>
          <w:sz w:val="24"/>
          <w:szCs w:val="24"/>
        </w:rPr>
        <w:t xml:space="preserve">. 2019 Jul;189(7):1311-1326. </w:t>
      </w:r>
      <w:proofErr w:type="spellStart"/>
      <w:r w:rsidRPr="00CC7844">
        <w:rPr>
          <w:rFonts w:ascii="Times New Roman" w:hAnsi="Times New Roman" w:cs="Times New Roman"/>
          <w:sz w:val="24"/>
          <w:szCs w:val="24"/>
        </w:rPr>
        <w:t>doi</w:t>
      </w:r>
      <w:proofErr w:type="spellEnd"/>
      <w:r w:rsidRPr="00CC7844">
        <w:rPr>
          <w:rFonts w:ascii="Times New Roman" w:hAnsi="Times New Roman" w:cs="Times New Roman"/>
          <w:sz w:val="24"/>
          <w:szCs w:val="24"/>
        </w:rPr>
        <w:t xml:space="preserve">: 10.1016/j.ajpath.2019.03.009. </w:t>
      </w:r>
      <w:proofErr w:type="spellStart"/>
      <w:r w:rsidRPr="00CC7844">
        <w:rPr>
          <w:rFonts w:ascii="Times New Roman" w:hAnsi="Times New Roman" w:cs="Times New Roman"/>
          <w:sz w:val="24"/>
          <w:szCs w:val="24"/>
        </w:rPr>
        <w:t>Epub</w:t>
      </w:r>
      <w:proofErr w:type="spellEnd"/>
      <w:r w:rsidRPr="00CC7844">
        <w:rPr>
          <w:rFonts w:ascii="Times New Roman" w:hAnsi="Times New Roman" w:cs="Times New Roman"/>
          <w:sz w:val="24"/>
          <w:szCs w:val="24"/>
        </w:rPr>
        <w:t xml:space="preserve"> 2019 Apr 20. PMID: 31014954; PMCID: PMC6616999.</w:t>
      </w:r>
    </w:p>
    <w:p w14:paraId="37337736" w14:textId="77777777" w:rsidR="00CC7844" w:rsidRDefault="00CC7844" w:rsidP="0056756A">
      <w:pPr>
        <w:pStyle w:val="ListParagraph"/>
        <w:numPr>
          <w:ilvl w:val="0"/>
          <w:numId w:val="16"/>
        </w:numPr>
        <w:jc w:val="both"/>
        <w:rPr>
          <w:rFonts w:ascii="Times New Roman" w:hAnsi="Times New Roman" w:cs="Times New Roman"/>
          <w:sz w:val="24"/>
          <w:szCs w:val="24"/>
        </w:rPr>
      </w:pPr>
      <w:proofErr w:type="spellStart"/>
      <w:r w:rsidRPr="00CC7844">
        <w:rPr>
          <w:rFonts w:ascii="Times New Roman" w:hAnsi="Times New Roman" w:cs="Times New Roman"/>
          <w:sz w:val="24"/>
          <w:szCs w:val="24"/>
        </w:rPr>
        <w:t>Alon</w:t>
      </w:r>
      <w:proofErr w:type="spellEnd"/>
      <w:r w:rsidRPr="00CC7844">
        <w:rPr>
          <w:rFonts w:ascii="Times New Roman" w:hAnsi="Times New Roman" w:cs="Times New Roman"/>
          <w:sz w:val="24"/>
          <w:szCs w:val="24"/>
        </w:rPr>
        <w:t xml:space="preserve"> </w:t>
      </w:r>
      <w:proofErr w:type="spellStart"/>
      <w:r w:rsidRPr="00CC7844">
        <w:rPr>
          <w:rFonts w:ascii="Times New Roman" w:hAnsi="Times New Roman" w:cs="Times New Roman"/>
          <w:sz w:val="24"/>
          <w:szCs w:val="24"/>
        </w:rPr>
        <w:t>Chappleboim</w:t>
      </w:r>
      <w:proofErr w:type="spellEnd"/>
      <w:r w:rsidRPr="00CC7844">
        <w:rPr>
          <w:rFonts w:ascii="Times New Roman" w:hAnsi="Times New Roman" w:cs="Times New Roman"/>
          <w:sz w:val="24"/>
          <w:szCs w:val="24"/>
        </w:rPr>
        <w:t>, Daphna Joseph-Strauss, Omer Gershon, Nir Friedman, Transcription feedback dynamics in the wake of cytoplasmic mRNA degradation shutdown, Nucleic Acids Research, Volume 50, Issue 10, 10 June 2022, Pages 5864–5880, https://doi.org/10.1093/nar/gkac411</w:t>
      </w:r>
    </w:p>
    <w:p w14:paraId="4C71354C"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2B1E65">
        <w:rPr>
          <w:rFonts w:ascii="Times New Roman" w:hAnsi="Times New Roman" w:cs="Times New Roman"/>
          <w:sz w:val="24"/>
          <w:szCs w:val="24"/>
          <w:lang w:val="nl-BE"/>
        </w:rPr>
        <w:t xml:space="preserve">Zhou, X., Menche, J., Barabási, AL. et al. </w:t>
      </w:r>
      <w:r w:rsidRPr="00095D50">
        <w:rPr>
          <w:rFonts w:ascii="Times New Roman" w:hAnsi="Times New Roman" w:cs="Times New Roman"/>
          <w:sz w:val="24"/>
          <w:szCs w:val="24"/>
        </w:rPr>
        <w:t>Human symptoms–disease network. Nat Commun 5, 4212 (2014). https://doi.org/10.1038/ncomms5212</w:t>
      </w:r>
    </w:p>
    <w:p w14:paraId="2E1686EB"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Mahajan, T., Dar, R.D. Internetwork connectivity of molecular networks across species of life. Sci Rep 11, 1168 (2021). https://doi.org/10.1038/s41598-020-80745-9.</w:t>
      </w:r>
    </w:p>
    <w:p w14:paraId="3142A4D6"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2B1E65">
        <w:rPr>
          <w:rFonts w:ascii="Times New Roman" w:hAnsi="Times New Roman" w:cs="Times New Roman"/>
          <w:sz w:val="24"/>
          <w:szCs w:val="24"/>
          <w:lang w:val="nl-BE"/>
        </w:rPr>
        <w:t xml:space="preserve">Li, L., Yang, L., Yang, L. et al. </w:t>
      </w:r>
      <w:r w:rsidRPr="00095D50">
        <w:rPr>
          <w:rFonts w:ascii="Times New Roman" w:hAnsi="Times New Roman" w:cs="Times New Roman"/>
          <w:sz w:val="24"/>
          <w:szCs w:val="24"/>
        </w:rPr>
        <w:t>Network pharmacology: a bright guiding light on the way to explore the personalized precise medication of traditional Chinese medicine. Chin Med 18, 146 (2023). https://doi.org/10.1186/s13020-023-00853-2</w:t>
      </w:r>
    </w:p>
    <w:p w14:paraId="64BA79CF" w14:textId="77777777" w:rsidR="00A61DAC" w:rsidRPr="00095D50" w:rsidRDefault="000D4491" w:rsidP="0056756A">
      <w:pPr>
        <w:pStyle w:val="ListParagraph"/>
        <w:numPr>
          <w:ilvl w:val="0"/>
          <w:numId w:val="16"/>
        </w:numPr>
        <w:jc w:val="both"/>
        <w:rPr>
          <w:rFonts w:ascii="Times New Roman" w:hAnsi="Times New Roman" w:cs="Times New Roman"/>
          <w:sz w:val="24"/>
          <w:szCs w:val="24"/>
        </w:rPr>
      </w:pPr>
      <w:r w:rsidRPr="002B1E65">
        <w:rPr>
          <w:rFonts w:ascii="Times New Roman" w:hAnsi="Times New Roman" w:cs="Times New Roman"/>
          <w:sz w:val="24"/>
          <w:szCs w:val="24"/>
          <w:lang w:val="nl-BE"/>
        </w:rPr>
        <w:t xml:space="preserve">Li, L., Yang, L., Yang, L. et al. </w:t>
      </w:r>
      <w:r w:rsidRPr="000D4491">
        <w:rPr>
          <w:rFonts w:ascii="Times New Roman" w:hAnsi="Times New Roman" w:cs="Times New Roman"/>
          <w:sz w:val="24"/>
          <w:szCs w:val="24"/>
        </w:rPr>
        <w:t>Network pharmacology: a bright guiding light on the way to explore the personalized precise medication of traditional Chinese medicine. Chin Med 18, 146 (2023). https://doi.org/10.1186/s13020-023-00853-2</w:t>
      </w:r>
    </w:p>
    <w:p w14:paraId="60DFF2C2"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Chandran, Uma et al. “Network Pharmacology.” Innovative Approaches in Drug Discovery (2017): 127–164. doi:10.1016/B978-0-12-801814-9.00005-2</w:t>
      </w:r>
    </w:p>
    <w:p w14:paraId="0A70E049"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2B1E65">
        <w:rPr>
          <w:rFonts w:ascii="Times New Roman" w:hAnsi="Times New Roman" w:cs="Times New Roman"/>
          <w:sz w:val="24"/>
          <w:szCs w:val="24"/>
          <w:lang w:val="nl-BE"/>
        </w:rPr>
        <w:t xml:space="preserve">Hu, M., Yan, H., Li, H. et al. </w:t>
      </w:r>
      <w:r w:rsidRPr="00095D50">
        <w:rPr>
          <w:rFonts w:ascii="Times New Roman" w:hAnsi="Times New Roman" w:cs="Times New Roman"/>
          <w:sz w:val="24"/>
          <w:szCs w:val="24"/>
        </w:rPr>
        <w:t>Use of network pharmacology and molecular docking to explore the mechanism of action of curcuma in the treatment of osteosarcoma. Sci Rep 13, 9569 (2023). https://doi.org/10.1038/s41598-023-36687-z</w:t>
      </w:r>
    </w:p>
    <w:p w14:paraId="275901E6"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Saima, Latha S, Sharma R, Kumar A. Role of Network Pharmacology in Prediction of Mechanism of Neuroprotective Compounds. Methods Mol Biol. 2024</w:t>
      </w:r>
      <w:proofErr w:type="gramStart"/>
      <w:r w:rsidRPr="00095D50">
        <w:rPr>
          <w:rFonts w:ascii="Times New Roman" w:hAnsi="Times New Roman" w:cs="Times New Roman"/>
          <w:sz w:val="24"/>
          <w:szCs w:val="24"/>
        </w:rPr>
        <w:t>;2761:159</w:t>
      </w:r>
      <w:proofErr w:type="gramEnd"/>
      <w:r w:rsidRPr="00095D50">
        <w:rPr>
          <w:rFonts w:ascii="Times New Roman" w:hAnsi="Times New Roman" w:cs="Times New Roman"/>
          <w:sz w:val="24"/>
          <w:szCs w:val="24"/>
        </w:rPr>
        <w:t xml:space="preserve">-179.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10.1007/978-1-0716-3662-6_13. PMID: 38427237.</w:t>
      </w:r>
    </w:p>
    <w:p w14:paraId="1CAAA2EF"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Peng Zhang, </w:t>
      </w:r>
      <w:proofErr w:type="spellStart"/>
      <w:r w:rsidRPr="00095D50">
        <w:rPr>
          <w:rFonts w:ascii="Times New Roman" w:hAnsi="Times New Roman" w:cs="Times New Roman"/>
          <w:sz w:val="24"/>
          <w:szCs w:val="24"/>
        </w:rPr>
        <w:t>Dingfan</w:t>
      </w:r>
      <w:proofErr w:type="spellEnd"/>
      <w:r w:rsidRPr="00095D50">
        <w:rPr>
          <w:rFonts w:ascii="Times New Roman" w:hAnsi="Times New Roman" w:cs="Times New Roman"/>
          <w:sz w:val="24"/>
          <w:szCs w:val="24"/>
        </w:rPr>
        <w:t xml:space="preserve"> Zhang, </w:t>
      </w:r>
      <w:proofErr w:type="spellStart"/>
      <w:r w:rsidRPr="00095D50">
        <w:rPr>
          <w:rFonts w:ascii="Times New Roman" w:hAnsi="Times New Roman" w:cs="Times New Roman"/>
          <w:sz w:val="24"/>
          <w:szCs w:val="24"/>
        </w:rPr>
        <w:t>Wuai</w:t>
      </w:r>
      <w:proofErr w:type="spellEnd"/>
      <w:r w:rsidRPr="00095D50">
        <w:rPr>
          <w:rFonts w:ascii="Times New Roman" w:hAnsi="Times New Roman" w:cs="Times New Roman"/>
          <w:sz w:val="24"/>
          <w:szCs w:val="24"/>
        </w:rPr>
        <w:t xml:space="preserve"> Zhou, Lan Wang, Boyang Wang, Tingyu Zhang, Shao Li, Network pharmacology: towards the artificial intelligence-based precision traditional Chinese medicine, Briefings in Bioinformatics, Volume 25, Issue 1, January 2024, bbad518, https://doi.org/10.1093/bib/bbad518</w:t>
      </w:r>
    </w:p>
    <w:p w14:paraId="59395E26"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Shahzadi, Z., Yousaf, Z., Anjum, I. et al. Network pharmacology and molecular docking: combined computational approaches to explore the antihypertensive potential of Fabaceae species. </w:t>
      </w:r>
      <w:proofErr w:type="spellStart"/>
      <w:r w:rsidRPr="00095D50">
        <w:rPr>
          <w:rFonts w:ascii="Times New Roman" w:hAnsi="Times New Roman" w:cs="Times New Roman"/>
          <w:sz w:val="24"/>
          <w:szCs w:val="24"/>
        </w:rPr>
        <w:t>Bioresour</w:t>
      </w:r>
      <w:proofErr w:type="spellEnd"/>
      <w:r w:rsidRPr="00095D50">
        <w:rPr>
          <w:rFonts w:ascii="Times New Roman" w:hAnsi="Times New Roman" w:cs="Times New Roman"/>
          <w:sz w:val="24"/>
          <w:szCs w:val="24"/>
        </w:rPr>
        <w:t>. Bioprocess. 11, 53 (2024). https://doi.org/10.1186/s40643-024-00764-6</w:t>
      </w:r>
    </w:p>
    <w:p w14:paraId="08DDC1E8" w14:textId="77777777" w:rsidR="00191829" w:rsidRPr="00095D50" w:rsidRDefault="00A61DAC"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Harakeh</w:t>
      </w:r>
      <w:proofErr w:type="spellEnd"/>
      <w:r w:rsidRPr="00095D50">
        <w:rPr>
          <w:rFonts w:ascii="Times New Roman" w:hAnsi="Times New Roman" w:cs="Times New Roman"/>
          <w:sz w:val="24"/>
          <w:szCs w:val="24"/>
        </w:rPr>
        <w:t>, Steve, et al. "Integrated Network Pharmacology Approach to Evaluate Bioactive Phytochemicals of Acalypha indica and Their Mechanistic Actions to Suppress Target Genes of Tuberculosis." ACS Omega, vol. 9, no. 2, 2024, pp. 2204–2219. American Chemical Society, https://doi.org/10.1021/acsomega.3c05589.</w:t>
      </w:r>
    </w:p>
    <w:p w14:paraId="3E649C8D"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An, L., and Feng, F. (2015). Network pharmacology-based antioxidant effect study of </w:t>
      </w:r>
      <w:proofErr w:type="spellStart"/>
      <w:r w:rsidRPr="00095D50">
        <w:rPr>
          <w:rFonts w:ascii="Times New Roman" w:hAnsi="Times New Roman" w:cs="Times New Roman"/>
          <w:sz w:val="24"/>
          <w:szCs w:val="24"/>
        </w:rPr>
        <w:t>zhi</w:t>
      </w:r>
      <w:proofErr w:type="spellEnd"/>
      <w:r w:rsidRPr="00095D50">
        <w:rPr>
          <w:rFonts w:ascii="Times New Roman" w:hAnsi="Times New Roman" w:cs="Times New Roman"/>
          <w:sz w:val="24"/>
          <w:szCs w:val="24"/>
        </w:rPr>
        <w:t>-</w:t>
      </w:r>
      <w:proofErr w:type="spellStart"/>
      <w:r w:rsidRPr="00095D50">
        <w:rPr>
          <w:rFonts w:ascii="Times New Roman" w:hAnsi="Times New Roman" w:cs="Times New Roman"/>
          <w:sz w:val="24"/>
          <w:szCs w:val="24"/>
        </w:rPr>
        <w:t>zi</w:t>
      </w:r>
      <w:proofErr w:type="spellEnd"/>
      <w:r w:rsidRPr="00095D50">
        <w:rPr>
          <w:rFonts w:ascii="Times New Roman" w:hAnsi="Times New Roman" w:cs="Times New Roman"/>
          <w:sz w:val="24"/>
          <w:szCs w:val="24"/>
        </w:rPr>
        <w:t>-da-</w:t>
      </w:r>
      <w:proofErr w:type="spellStart"/>
      <w:r w:rsidRPr="00095D50">
        <w:rPr>
          <w:rFonts w:ascii="Times New Roman" w:hAnsi="Times New Roman" w:cs="Times New Roman"/>
          <w:sz w:val="24"/>
          <w:szCs w:val="24"/>
        </w:rPr>
        <w:t>huang</w:t>
      </w:r>
      <w:proofErr w:type="spellEnd"/>
      <w:r w:rsidRPr="00095D50">
        <w:rPr>
          <w:rFonts w:ascii="Times New Roman" w:hAnsi="Times New Roman" w:cs="Times New Roman"/>
          <w:sz w:val="24"/>
          <w:szCs w:val="24"/>
        </w:rPr>
        <w:t xml:space="preserve"> decoction for alcoholic liver disease. Evid. Based. Complement. Alternat. Med. 2015:492470.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10.1155/2015/492470</w:t>
      </w:r>
    </w:p>
    <w:p w14:paraId="34D69AB3"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lastRenderedPageBreak/>
        <w:t xml:space="preserve">Chan, G. H., Law, B. Y., Chu, J. M., Yue, K. K., Jiang, Z. H., Lau, C. W., et al. (2013). Ginseng extracts restore high-glucose induced vascular dysfunctions by altering triglyceride metabolism and downregulation of atherosclerosis-related genes. Evid. Based. Complement. Alternat. Med. 2013:797310.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10.1155/2013/797310</w:t>
      </w:r>
    </w:p>
    <w:p w14:paraId="27F997D3"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Li S, Wang Y, Zhang C. Network pharmacology strategy for predicting the correlation of Systemic Scleroderma with Vitamin D deficiency. </w:t>
      </w:r>
      <w:proofErr w:type="spellStart"/>
      <w:r w:rsidRPr="00095D50">
        <w:rPr>
          <w:rFonts w:ascii="Times New Roman" w:hAnsi="Times New Roman" w:cs="Times New Roman"/>
          <w:sz w:val="24"/>
          <w:szCs w:val="24"/>
        </w:rPr>
        <w:t>Int</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Immunopharmacol</w:t>
      </w:r>
      <w:proofErr w:type="spellEnd"/>
      <w:r w:rsidRPr="00095D50">
        <w:rPr>
          <w:rFonts w:ascii="Times New Roman" w:hAnsi="Times New Roman" w:cs="Times New Roman"/>
          <w:sz w:val="24"/>
          <w:szCs w:val="24"/>
        </w:rPr>
        <w:t>. 2020 Sep</w:t>
      </w:r>
      <w:proofErr w:type="gramStart"/>
      <w:r w:rsidRPr="00095D50">
        <w:rPr>
          <w:rFonts w:ascii="Times New Roman" w:hAnsi="Times New Roman" w:cs="Times New Roman"/>
          <w:sz w:val="24"/>
          <w:szCs w:val="24"/>
        </w:rPr>
        <w:t>;86:106702</w:t>
      </w:r>
      <w:proofErr w:type="gram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xml:space="preserve">: 10.1016/j.intimp.2020.106702. </w:t>
      </w:r>
      <w:proofErr w:type="spellStart"/>
      <w:r w:rsidRPr="00095D50">
        <w:rPr>
          <w:rFonts w:ascii="Times New Roman" w:hAnsi="Times New Roman" w:cs="Times New Roman"/>
          <w:sz w:val="24"/>
          <w:szCs w:val="24"/>
        </w:rPr>
        <w:t>Epub</w:t>
      </w:r>
      <w:proofErr w:type="spellEnd"/>
      <w:r w:rsidRPr="00095D50">
        <w:rPr>
          <w:rFonts w:ascii="Times New Roman" w:hAnsi="Times New Roman" w:cs="Times New Roman"/>
          <w:sz w:val="24"/>
          <w:szCs w:val="24"/>
        </w:rPr>
        <w:t xml:space="preserve"> 2020 Jun 18. PMID: 32563782.</w:t>
      </w:r>
    </w:p>
    <w:p w14:paraId="2D42487A"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Wang, </w:t>
      </w:r>
      <w:proofErr w:type="spellStart"/>
      <w:r w:rsidRPr="00095D50">
        <w:rPr>
          <w:rFonts w:ascii="Times New Roman" w:hAnsi="Times New Roman" w:cs="Times New Roman"/>
          <w:sz w:val="24"/>
          <w:szCs w:val="24"/>
        </w:rPr>
        <w:t>Shanglin</w:t>
      </w:r>
      <w:proofErr w:type="spellEnd"/>
      <w:r w:rsidRPr="00095D50">
        <w:rPr>
          <w:rFonts w:ascii="Times New Roman" w:hAnsi="Times New Roman" w:cs="Times New Roman"/>
          <w:sz w:val="24"/>
          <w:szCs w:val="24"/>
        </w:rPr>
        <w:t xml:space="preserve"> et al. “Network Pharmacology and Bioinformatics Analyses Identify Intersection Genes of Vitamin D3 and COVID-19 as Potential Therapeutic Targets.” Frontiers in pharmacology vol. 13 874637. 28 Apr. 2022, doi:10.3389/fphar.2022.874637</w:t>
      </w:r>
    </w:p>
    <w:p w14:paraId="62E34D74"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2B1E65">
        <w:rPr>
          <w:rFonts w:ascii="Times New Roman" w:hAnsi="Times New Roman" w:cs="Times New Roman"/>
          <w:sz w:val="24"/>
          <w:szCs w:val="24"/>
          <w:lang w:val="nl-BE"/>
        </w:rPr>
        <w:t xml:space="preserve">Dong, Q., Ren, G., Li, Y. et al. </w:t>
      </w:r>
      <w:r w:rsidRPr="00095D50">
        <w:rPr>
          <w:rFonts w:ascii="Times New Roman" w:hAnsi="Times New Roman" w:cs="Times New Roman"/>
          <w:sz w:val="24"/>
          <w:szCs w:val="24"/>
        </w:rPr>
        <w:t>Network pharmacology analysis and experimental validation to explore the mechanism of kaempferol in the treatment of osteoporosis. Sci Rep 14, 7088 (2024). https://doi.org/10.1038/s41598-024-57796-3</w:t>
      </w:r>
    </w:p>
    <w:p w14:paraId="451F52E0"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Noor, Fatima et al. “Network Pharmacology Approach for Medicinal Plants: Review and Assessment.” Pharmaceuticals (Basel, Switzerland) vol. 15,5 572. 4 May. 2022, doi:10.3390/ph15050572</w:t>
      </w:r>
    </w:p>
    <w:p w14:paraId="5DBB3F41"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Dagar, Neha, et al. "Nutraceuticals and Network Pharmacology Approach for Acute Kidney Injury: A Review from the Drug Discovery Aspect." </w:t>
      </w:r>
      <w:proofErr w:type="spellStart"/>
      <w:r w:rsidRPr="00095D50">
        <w:rPr>
          <w:rFonts w:ascii="Times New Roman" w:hAnsi="Times New Roman" w:cs="Times New Roman"/>
          <w:sz w:val="24"/>
          <w:szCs w:val="24"/>
        </w:rPr>
        <w:t>Fitoterapia</w:t>
      </w:r>
      <w:proofErr w:type="spellEnd"/>
      <w:r w:rsidRPr="00095D50">
        <w:rPr>
          <w:rFonts w:ascii="Times New Roman" w:hAnsi="Times New Roman" w:cs="Times New Roman"/>
          <w:sz w:val="24"/>
          <w:szCs w:val="24"/>
        </w:rPr>
        <w:t>, vol. 168, 2023, article no. 105563. Elsevier, https://doi.org/10.1016/j.fitote.2023.105563.</w:t>
      </w:r>
    </w:p>
    <w:p w14:paraId="73767F52"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Fuping</w:t>
      </w:r>
      <w:proofErr w:type="spellEnd"/>
      <w:r w:rsidRPr="00095D50">
        <w:rPr>
          <w:rFonts w:ascii="Times New Roman" w:hAnsi="Times New Roman" w:cs="Times New Roman"/>
          <w:sz w:val="24"/>
          <w:szCs w:val="24"/>
        </w:rPr>
        <w:t xml:space="preserve"> Zhu, </w:t>
      </w:r>
      <w:proofErr w:type="spellStart"/>
      <w:r w:rsidRPr="00095D50">
        <w:rPr>
          <w:rFonts w:ascii="Times New Roman" w:hAnsi="Times New Roman" w:cs="Times New Roman"/>
          <w:sz w:val="24"/>
          <w:szCs w:val="24"/>
        </w:rPr>
        <w:t>Wuping</w:t>
      </w:r>
      <w:proofErr w:type="spellEnd"/>
      <w:r w:rsidRPr="00095D50">
        <w:rPr>
          <w:rFonts w:ascii="Times New Roman" w:hAnsi="Times New Roman" w:cs="Times New Roman"/>
          <w:sz w:val="24"/>
          <w:szCs w:val="24"/>
        </w:rPr>
        <w:t xml:space="preserve"> Li, </w:t>
      </w:r>
      <w:proofErr w:type="spellStart"/>
      <w:r w:rsidRPr="00095D50">
        <w:rPr>
          <w:rFonts w:ascii="Times New Roman" w:hAnsi="Times New Roman" w:cs="Times New Roman"/>
          <w:sz w:val="24"/>
          <w:szCs w:val="24"/>
        </w:rPr>
        <w:t>Linhua</w:t>
      </w:r>
      <w:proofErr w:type="spellEnd"/>
      <w:r w:rsidRPr="00095D50">
        <w:rPr>
          <w:rFonts w:ascii="Times New Roman" w:hAnsi="Times New Roman" w:cs="Times New Roman"/>
          <w:sz w:val="24"/>
          <w:szCs w:val="24"/>
        </w:rPr>
        <w:t xml:space="preserve"> Wang, Bing Dai, </w:t>
      </w:r>
      <w:proofErr w:type="spellStart"/>
      <w:r w:rsidRPr="00095D50">
        <w:rPr>
          <w:rFonts w:ascii="Times New Roman" w:hAnsi="Times New Roman" w:cs="Times New Roman"/>
          <w:sz w:val="24"/>
          <w:szCs w:val="24"/>
        </w:rPr>
        <w:t>Zongyi</w:t>
      </w:r>
      <w:proofErr w:type="spellEnd"/>
      <w:r w:rsidRPr="00095D50">
        <w:rPr>
          <w:rFonts w:ascii="Times New Roman" w:hAnsi="Times New Roman" w:cs="Times New Roman"/>
          <w:sz w:val="24"/>
          <w:szCs w:val="24"/>
        </w:rPr>
        <w:t xml:space="preserve"> Liu, Hang Wu, Ting Deng, Study on the treatment of postmenopausal osteoporosis with quercetin in </w:t>
      </w:r>
      <w:proofErr w:type="spellStart"/>
      <w:r w:rsidRPr="00095D50">
        <w:rPr>
          <w:rFonts w:ascii="Times New Roman" w:hAnsi="Times New Roman" w:cs="Times New Roman"/>
          <w:sz w:val="24"/>
          <w:szCs w:val="24"/>
        </w:rPr>
        <w:t>Liuwei</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Dihuang</w:t>
      </w:r>
      <w:proofErr w:type="spellEnd"/>
      <w:r w:rsidRPr="00095D50">
        <w:rPr>
          <w:rFonts w:ascii="Times New Roman" w:hAnsi="Times New Roman" w:cs="Times New Roman"/>
          <w:sz w:val="24"/>
          <w:szCs w:val="24"/>
        </w:rPr>
        <w:t xml:space="preserve"> Pill based on network pharmacology, Journal of </w:t>
      </w:r>
      <w:proofErr w:type="spellStart"/>
      <w:r w:rsidRPr="00095D50">
        <w:rPr>
          <w:rFonts w:ascii="Times New Roman" w:hAnsi="Times New Roman" w:cs="Times New Roman"/>
          <w:sz w:val="24"/>
          <w:szCs w:val="24"/>
        </w:rPr>
        <w:t>Orthopaedic</w:t>
      </w:r>
      <w:proofErr w:type="spellEnd"/>
      <w:r w:rsidRPr="00095D50">
        <w:rPr>
          <w:rFonts w:ascii="Times New Roman" w:hAnsi="Times New Roman" w:cs="Times New Roman"/>
          <w:sz w:val="24"/>
          <w:szCs w:val="24"/>
        </w:rPr>
        <w:t xml:space="preserve"> Surgery and Research, 10.1186/s13018-022-03470-1, 18, 1, (2023).</w:t>
      </w:r>
    </w:p>
    <w:p w14:paraId="23FF5D69"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Sharma, Rohit et al. “Chyawanprash: A Traditional Indian Bioactive Health Supplement.” Biomolecules vol. 9,5 161. 26 Apr. 2019, doi:10.3390/biom9050161</w:t>
      </w:r>
    </w:p>
    <w:p w14:paraId="16AF38EC"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proofErr w:type="spellStart"/>
      <w:r w:rsidRPr="00095D50">
        <w:rPr>
          <w:rFonts w:ascii="Times New Roman" w:hAnsi="Times New Roman" w:cs="Times New Roman"/>
          <w:sz w:val="24"/>
          <w:szCs w:val="24"/>
        </w:rPr>
        <w:t>Khanal</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Pukar</w:t>
      </w:r>
      <w:proofErr w:type="spellEnd"/>
      <w:r w:rsidRPr="00095D50">
        <w:rPr>
          <w:rFonts w:ascii="Times New Roman" w:hAnsi="Times New Roman" w:cs="Times New Roman"/>
          <w:sz w:val="24"/>
          <w:szCs w:val="24"/>
        </w:rPr>
        <w:t xml:space="preserve"> &amp; </w:t>
      </w:r>
      <w:proofErr w:type="spellStart"/>
      <w:r w:rsidRPr="00095D50">
        <w:rPr>
          <w:rFonts w:ascii="Times New Roman" w:hAnsi="Times New Roman" w:cs="Times New Roman"/>
          <w:sz w:val="24"/>
          <w:szCs w:val="24"/>
        </w:rPr>
        <w:t>Dey</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Yadu</w:t>
      </w:r>
      <w:proofErr w:type="spellEnd"/>
      <w:r w:rsidRPr="00095D50">
        <w:rPr>
          <w:rFonts w:ascii="Times New Roman" w:hAnsi="Times New Roman" w:cs="Times New Roman"/>
          <w:sz w:val="24"/>
          <w:szCs w:val="24"/>
        </w:rPr>
        <w:t xml:space="preserve"> &amp; </w:t>
      </w:r>
      <w:proofErr w:type="spellStart"/>
      <w:r w:rsidRPr="00095D50">
        <w:rPr>
          <w:rFonts w:ascii="Times New Roman" w:hAnsi="Times New Roman" w:cs="Times New Roman"/>
          <w:sz w:val="24"/>
          <w:szCs w:val="24"/>
        </w:rPr>
        <w:t>Wanjari</w:t>
      </w:r>
      <w:proofErr w:type="spellEnd"/>
      <w:r w:rsidRPr="00095D50">
        <w:rPr>
          <w:rFonts w:ascii="Times New Roman" w:hAnsi="Times New Roman" w:cs="Times New Roman"/>
          <w:sz w:val="24"/>
          <w:szCs w:val="24"/>
        </w:rPr>
        <w:t>, Manish. (2020). Network pharmacology of AYUSH recommended immune-boosting medicinal plants against COVID- 19. 10.21203/rs.3.rs-31776/v1.</w:t>
      </w:r>
    </w:p>
    <w:p w14:paraId="5B277CEA" w14:textId="77777777" w:rsidR="00A61DAC" w:rsidRPr="00095D50" w:rsidRDefault="00A61DAC"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Kirti Raina, Ruchika Kumari, Palak Thakur, Rohit Sharma, </w:t>
      </w:r>
      <w:proofErr w:type="spellStart"/>
      <w:r w:rsidRPr="00095D50">
        <w:rPr>
          <w:rFonts w:ascii="Times New Roman" w:hAnsi="Times New Roman" w:cs="Times New Roman"/>
          <w:sz w:val="24"/>
          <w:szCs w:val="24"/>
        </w:rPr>
        <w:t>Randeep</w:t>
      </w:r>
      <w:proofErr w:type="spellEnd"/>
      <w:r w:rsidRPr="00095D50">
        <w:rPr>
          <w:rFonts w:ascii="Times New Roman" w:hAnsi="Times New Roman" w:cs="Times New Roman"/>
          <w:sz w:val="24"/>
          <w:szCs w:val="24"/>
        </w:rPr>
        <w:t xml:space="preserve"> Singh, </w:t>
      </w:r>
      <w:proofErr w:type="spellStart"/>
      <w:r w:rsidRPr="00095D50">
        <w:rPr>
          <w:rFonts w:ascii="Times New Roman" w:hAnsi="Times New Roman" w:cs="Times New Roman"/>
          <w:sz w:val="24"/>
          <w:szCs w:val="24"/>
        </w:rPr>
        <w:t>Abhinay</w:t>
      </w:r>
      <w:proofErr w:type="spellEnd"/>
      <w:r w:rsidRPr="00095D50">
        <w:rPr>
          <w:rFonts w:ascii="Times New Roman" w:hAnsi="Times New Roman" w:cs="Times New Roman"/>
          <w:sz w:val="24"/>
          <w:szCs w:val="24"/>
        </w:rPr>
        <w:t xml:space="preserve"> Thakur, </w:t>
      </w:r>
      <w:proofErr w:type="spellStart"/>
      <w:r w:rsidRPr="00095D50">
        <w:rPr>
          <w:rFonts w:ascii="Times New Roman" w:hAnsi="Times New Roman" w:cs="Times New Roman"/>
          <w:sz w:val="24"/>
          <w:szCs w:val="24"/>
        </w:rPr>
        <w:t>Vikas</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Anand</w:t>
      </w:r>
      <w:proofErr w:type="spellEnd"/>
      <w:r w:rsidRPr="00095D50">
        <w:rPr>
          <w:rFonts w:ascii="Times New Roman" w:hAnsi="Times New Roman" w:cs="Times New Roman"/>
          <w:sz w:val="24"/>
          <w:szCs w:val="24"/>
        </w:rPr>
        <w:t xml:space="preserve">, </w:t>
      </w:r>
      <w:proofErr w:type="spellStart"/>
      <w:r w:rsidRPr="00095D50">
        <w:rPr>
          <w:rFonts w:ascii="Times New Roman" w:hAnsi="Times New Roman" w:cs="Times New Roman"/>
          <w:sz w:val="24"/>
          <w:szCs w:val="24"/>
        </w:rPr>
        <w:t>Rohit</w:t>
      </w:r>
      <w:proofErr w:type="spellEnd"/>
      <w:r w:rsidRPr="00095D50">
        <w:rPr>
          <w:rFonts w:ascii="Times New Roman" w:hAnsi="Times New Roman" w:cs="Times New Roman"/>
          <w:sz w:val="24"/>
          <w:szCs w:val="24"/>
        </w:rPr>
        <w:t xml:space="preserve"> Sharma, </w:t>
      </w:r>
      <w:proofErr w:type="spellStart"/>
      <w:r w:rsidRPr="00095D50">
        <w:rPr>
          <w:rFonts w:ascii="Times New Roman" w:hAnsi="Times New Roman" w:cs="Times New Roman"/>
          <w:sz w:val="24"/>
          <w:szCs w:val="24"/>
        </w:rPr>
        <w:t>Ashun</w:t>
      </w:r>
      <w:proofErr w:type="spellEnd"/>
      <w:r w:rsidRPr="00095D50">
        <w:rPr>
          <w:rFonts w:ascii="Times New Roman" w:hAnsi="Times New Roman" w:cs="Times New Roman"/>
          <w:sz w:val="24"/>
          <w:szCs w:val="24"/>
        </w:rPr>
        <w:t xml:space="preserve"> Chaudhary, Mechanistic role and potential of Ayurvedic herbs as anti-aging therapies, Drug Metabolism and Personalized Therapy, 10.1515/dmpt-2023-0024, 38, 3, (211-226), (2023).</w:t>
      </w:r>
    </w:p>
    <w:p w14:paraId="14F00C47" w14:textId="77777777" w:rsidR="00C45D71" w:rsidRDefault="00C45D71" w:rsidP="0056756A">
      <w:pPr>
        <w:pStyle w:val="ListParagraph"/>
        <w:numPr>
          <w:ilvl w:val="0"/>
          <w:numId w:val="16"/>
        </w:numPr>
        <w:jc w:val="both"/>
        <w:rPr>
          <w:rFonts w:ascii="Times New Roman" w:hAnsi="Times New Roman" w:cs="Times New Roman"/>
          <w:sz w:val="24"/>
          <w:szCs w:val="24"/>
        </w:rPr>
      </w:pPr>
      <w:r w:rsidRPr="00095D50">
        <w:rPr>
          <w:rFonts w:ascii="Times New Roman" w:hAnsi="Times New Roman" w:cs="Times New Roman"/>
          <w:sz w:val="24"/>
          <w:szCs w:val="24"/>
        </w:rPr>
        <w:t xml:space="preserve">Dongre P, Majumdar A. Network pharmacology analysis of Chandraprabha Vati: A new hope for the treatment of Metabolic Syndrome. J Ayurveda </w:t>
      </w:r>
      <w:proofErr w:type="spellStart"/>
      <w:r w:rsidRPr="00095D50">
        <w:rPr>
          <w:rFonts w:ascii="Times New Roman" w:hAnsi="Times New Roman" w:cs="Times New Roman"/>
          <w:sz w:val="24"/>
          <w:szCs w:val="24"/>
        </w:rPr>
        <w:t>Integr</w:t>
      </w:r>
      <w:proofErr w:type="spellEnd"/>
      <w:r w:rsidRPr="00095D50">
        <w:rPr>
          <w:rFonts w:ascii="Times New Roman" w:hAnsi="Times New Roman" w:cs="Times New Roman"/>
          <w:sz w:val="24"/>
          <w:szCs w:val="24"/>
        </w:rPr>
        <w:t xml:space="preserve"> Med. 2024 May-Jun;15(3):100902. </w:t>
      </w:r>
      <w:proofErr w:type="spellStart"/>
      <w:r w:rsidRPr="00095D50">
        <w:rPr>
          <w:rFonts w:ascii="Times New Roman" w:hAnsi="Times New Roman" w:cs="Times New Roman"/>
          <w:sz w:val="24"/>
          <w:szCs w:val="24"/>
        </w:rPr>
        <w:t>doi</w:t>
      </w:r>
      <w:proofErr w:type="spellEnd"/>
      <w:r w:rsidRPr="00095D50">
        <w:rPr>
          <w:rFonts w:ascii="Times New Roman" w:hAnsi="Times New Roman" w:cs="Times New Roman"/>
          <w:sz w:val="24"/>
          <w:szCs w:val="24"/>
        </w:rPr>
        <w:t xml:space="preserve">: 10.1016/j.jaim.2024.100902. </w:t>
      </w:r>
      <w:proofErr w:type="spellStart"/>
      <w:r w:rsidRPr="00095D50">
        <w:rPr>
          <w:rFonts w:ascii="Times New Roman" w:hAnsi="Times New Roman" w:cs="Times New Roman"/>
          <w:sz w:val="24"/>
          <w:szCs w:val="24"/>
        </w:rPr>
        <w:t>Epub</w:t>
      </w:r>
      <w:proofErr w:type="spellEnd"/>
      <w:r w:rsidRPr="00095D50">
        <w:rPr>
          <w:rFonts w:ascii="Times New Roman" w:hAnsi="Times New Roman" w:cs="Times New Roman"/>
          <w:sz w:val="24"/>
          <w:szCs w:val="24"/>
        </w:rPr>
        <w:t xml:space="preserve"> 2024 May 30. PMID: 38821011; PMCID: PMC11177199.</w:t>
      </w:r>
    </w:p>
    <w:p w14:paraId="5813CF84" w14:textId="77777777" w:rsidR="00E41E53" w:rsidRPr="00095D50" w:rsidRDefault="00E41E53" w:rsidP="0056756A">
      <w:pPr>
        <w:pStyle w:val="ListParagraph"/>
        <w:numPr>
          <w:ilvl w:val="0"/>
          <w:numId w:val="16"/>
        </w:numPr>
        <w:jc w:val="both"/>
        <w:rPr>
          <w:rFonts w:ascii="Times New Roman" w:hAnsi="Times New Roman" w:cs="Times New Roman"/>
          <w:sz w:val="24"/>
          <w:szCs w:val="24"/>
        </w:rPr>
      </w:pPr>
      <w:r w:rsidRPr="00E41E53">
        <w:rPr>
          <w:rFonts w:ascii="Times New Roman" w:hAnsi="Times New Roman" w:cs="Times New Roman"/>
          <w:sz w:val="24"/>
          <w:szCs w:val="24"/>
        </w:rPr>
        <w:t>Hemanth kumar Manikyam, Sunil K Joshi. INP-Guided Network Pharmacology Discloses Multi-Target Therapeutic Strategy Against Cytokine and IgE Storms in the SARS-CoV-2 NB.1.8.1 Variant, 04 June 2025, PREPRINT (Version 1) available at Research Square [https://doi.org/10.21203/rs.3.rs-6819274/v1]</w:t>
      </w:r>
    </w:p>
    <w:p w14:paraId="0B0CDEFC" w14:textId="77777777" w:rsidR="0056756A" w:rsidRPr="00095D50" w:rsidRDefault="0056756A" w:rsidP="0056756A">
      <w:pPr>
        <w:jc w:val="both"/>
        <w:rPr>
          <w:rFonts w:ascii="Times New Roman" w:hAnsi="Times New Roman" w:cs="Times New Roman"/>
          <w:sz w:val="24"/>
          <w:szCs w:val="24"/>
        </w:rPr>
      </w:pPr>
    </w:p>
    <w:p w14:paraId="07D32FD5" w14:textId="77777777" w:rsidR="0056756A" w:rsidRPr="00095D50" w:rsidRDefault="0056756A" w:rsidP="0056756A">
      <w:pPr>
        <w:jc w:val="both"/>
        <w:rPr>
          <w:rFonts w:ascii="Times New Roman" w:hAnsi="Times New Roman" w:cs="Times New Roman"/>
          <w:sz w:val="24"/>
          <w:szCs w:val="24"/>
        </w:rPr>
      </w:pPr>
    </w:p>
    <w:p w14:paraId="4BDEC064" w14:textId="77777777" w:rsidR="0056756A" w:rsidRPr="00095D50" w:rsidRDefault="0056756A" w:rsidP="0056756A">
      <w:pPr>
        <w:jc w:val="both"/>
        <w:rPr>
          <w:rFonts w:ascii="Times New Roman" w:hAnsi="Times New Roman" w:cs="Times New Roman"/>
          <w:sz w:val="24"/>
          <w:szCs w:val="24"/>
        </w:rPr>
      </w:pPr>
    </w:p>
    <w:p w14:paraId="3B879724" w14:textId="77777777" w:rsidR="0056756A" w:rsidRPr="00095D50" w:rsidRDefault="0056756A" w:rsidP="0056756A">
      <w:pPr>
        <w:jc w:val="both"/>
        <w:rPr>
          <w:rFonts w:ascii="Times New Roman" w:hAnsi="Times New Roman" w:cs="Times New Roman"/>
          <w:sz w:val="24"/>
          <w:szCs w:val="24"/>
        </w:rPr>
      </w:pPr>
    </w:p>
    <w:p w14:paraId="5BBE1F9C" w14:textId="77777777" w:rsidR="0056756A" w:rsidRPr="00095D50" w:rsidRDefault="0056756A" w:rsidP="0056756A">
      <w:pPr>
        <w:jc w:val="both"/>
        <w:rPr>
          <w:rFonts w:ascii="Times New Roman" w:hAnsi="Times New Roman" w:cs="Times New Roman"/>
          <w:sz w:val="24"/>
          <w:szCs w:val="24"/>
        </w:rPr>
      </w:pPr>
    </w:p>
    <w:p w14:paraId="27CF9437" w14:textId="77777777" w:rsidR="0056756A" w:rsidRPr="00095D50" w:rsidRDefault="0056756A" w:rsidP="0056756A">
      <w:pPr>
        <w:jc w:val="both"/>
        <w:rPr>
          <w:rFonts w:ascii="Times New Roman" w:hAnsi="Times New Roman" w:cs="Times New Roman"/>
          <w:sz w:val="24"/>
          <w:szCs w:val="24"/>
        </w:rPr>
      </w:pPr>
    </w:p>
    <w:p w14:paraId="6175D513" w14:textId="77777777" w:rsidR="0056756A" w:rsidRPr="00095D50" w:rsidRDefault="0056756A" w:rsidP="0056756A">
      <w:pPr>
        <w:jc w:val="both"/>
        <w:rPr>
          <w:rFonts w:ascii="Times New Roman" w:hAnsi="Times New Roman" w:cs="Times New Roman"/>
          <w:sz w:val="24"/>
          <w:szCs w:val="24"/>
        </w:rPr>
      </w:pPr>
    </w:p>
    <w:p w14:paraId="007C249B" w14:textId="77777777" w:rsidR="0056756A" w:rsidRPr="00095D50" w:rsidRDefault="0056756A" w:rsidP="0056756A">
      <w:pPr>
        <w:jc w:val="both"/>
        <w:rPr>
          <w:rFonts w:ascii="Times New Roman" w:hAnsi="Times New Roman" w:cs="Times New Roman"/>
          <w:sz w:val="24"/>
          <w:szCs w:val="24"/>
        </w:rPr>
      </w:pPr>
    </w:p>
    <w:p w14:paraId="3594F499" w14:textId="77777777" w:rsidR="0056756A" w:rsidRPr="00095D50" w:rsidRDefault="0056756A" w:rsidP="0056756A">
      <w:pPr>
        <w:jc w:val="both"/>
        <w:rPr>
          <w:rFonts w:ascii="Times New Roman" w:hAnsi="Times New Roman" w:cs="Times New Roman"/>
          <w:sz w:val="24"/>
          <w:szCs w:val="24"/>
        </w:rPr>
      </w:pPr>
    </w:p>
    <w:p w14:paraId="2E786475" w14:textId="77777777" w:rsidR="0056756A" w:rsidRPr="00095D50" w:rsidRDefault="0056756A" w:rsidP="0056756A">
      <w:pPr>
        <w:jc w:val="both"/>
        <w:rPr>
          <w:rFonts w:ascii="Times New Roman" w:hAnsi="Times New Roman" w:cs="Times New Roman"/>
          <w:sz w:val="24"/>
          <w:szCs w:val="24"/>
        </w:rPr>
      </w:pPr>
    </w:p>
    <w:p w14:paraId="5BB29765" w14:textId="77777777" w:rsidR="0056756A" w:rsidRPr="00095D50" w:rsidRDefault="0056756A" w:rsidP="0056756A">
      <w:pPr>
        <w:jc w:val="both"/>
        <w:rPr>
          <w:rFonts w:ascii="Times New Roman" w:hAnsi="Times New Roman" w:cs="Times New Roman"/>
          <w:sz w:val="24"/>
          <w:szCs w:val="24"/>
        </w:rPr>
      </w:pPr>
    </w:p>
    <w:p w14:paraId="6D66F50D" w14:textId="77777777" w:rsidR="0056756A" w:rsidRPr="00095D50" w:rsidRDefault="0056756A" w:rsidP="0056756A">
      <w:pPr>
        <w:jc w:val="both"/>
        <w:rPr>
          <w:rFonts w:ascii="Times New Roman" w:hAnsi="Times New Roman" w:cs="Times New Roman"/>
          <w:sz w:val="24"/>
          <w:szCs w:val="24"/>
        </w:rPr>
      </w:pPr>
    </w:p>
    <w:p w14:paraId="21D3DB20" w14:textId="77777777" w:rsidR="00A61DAC" w:rsidRPr="00095D50" w:rsidRDefault="00A61DAC" w:rsidP="00191829">
      <w:pPr>
        <w:jc w:val="both"/>
        <w:rPr>
          <w:rFonts w:ascii="Times New Roman" w:hAnsi="Times New Roman" w:cs="Times New Roman"/>
          <w:sz w:val="24"/>
          <w:szCs w:val="24"/>
        </w:rPr>
      </w:pPr>
    </w:p>
    <w:p w14:paraId="578A2793" w14:textId="51FA7353" w:rsidR="00EC04BD" w:rsidRPr="00095D50" w:rsidRDefault="00EC04BD" w:rsidP="00EC04BD">
      <w:pPr>
        <w:jc w:val="both"/>
        <w:rPr>
          <w:rFonts w:ascii="Times New Roman" w:hAnsi="Times New Roman" w:cs="Times New Roman"/>
          <w:sz w:val="24"/>
          <w:szCs w:val="24"/>
        </w:rPr>
      </w:pPr>
      <w:r w:rsidRPr="00095D50">
        <w:rPr>
          <w:rFonts w:ascii="Times New Roman" w:hAnsi="Times New Roman" w:cs="Times New Roman"/>
          <w:b/>
          <w:sz w:val="24"/>
          <w:szCs w:val="24"/>
        </w:rPr>
        <w:t>Ta</w:t>
      </w:r>
      <w:r w:rsidR="00EB651C">
        <w:rPr>
          <w:rFonts w:ascii="Times New Roman" w:hAnsi="Times New Roman" w:cs="Times New Roman"/>
          <w:b/>
          <w:sz w:val="24"/>
          <w:szCs w:val="24"/>
        </w:rPr>
        <w:t>b</w:t>
      </w:r>
      <w:r w:rsidRPr="00095D50">
        <w:rPr>
          <w:rFonts w:ascii="Times New Roman" w:hAnsi="Times New Roman" w:cs="Times New Roman"/>
          <w:b/>
          <w:sz w:val="24"/>
          <w:szCs w:val="24"/>
        </w:rPr>
        <w:t>le 1:</w:t>
      </w:r>
      <w:r w:rsidRPr="00095D50">
        <w:rPr>
          <w:rFonts w:ascii="Times New Roman" w:hAnsi="Times New Roman" w:cs="Times New Roman"/>
          <w:sz w:val="24"/>
          <w:szCs w:val="24"/>
        </w:rPr>
        <w:t xml:space="preserve"> High fit scores of key ingredients of Chyawanprash</w:t>
      </w:r>
    </w:p>
    <w:tbl>
      <w:tblPr>
        <w:tblStyle w:val="TableGrid"/>
        <w:tblW w:w="0" w:type="auto"/>
        <w:tblLook w:val="04A0" w:firstRow="1" w:lastRow="0" w:firstColumn="1" w:lastColumn="0" w:noHBand="0" w:noVBand="1"/>
      </w:tblPr>
      <w:tblGrid>
        <w:gridCol w:w="1576"/>
        <w:gridCol w:w="3270"/>
        <w:gridCol w:w="1616"/>
      </w:tblGrid>
      <w:tr w:rsidR="00EC04BD" w:rsidRPr="00095D50" w14:paraId="31945162" w14:textId="77777777" w:rsidTr="00EC04BD">
        <w:tc>
          <w:tcPr>
            <w:tcW w:w="0" w:type="auto"/>
            <w:hideMark/>
          </w:tcPr>
          <w:p w14:paraId="6A1D2125" w14:textId="77777777" w:rsidR="00EC04BD" w:rsidRPr="00095D50" w:rsidRDefault="00EC04BD" w:rsidP="00EC04BD">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Herb</w:t>
            </w:r>
          </w:p>
        </w:tc>
        <w:tc>
          <w:tcPr>
            <w:tcW w:w="0" w:type="auto"/>
            <w:hideMark/>
          </w:tcPr>
          <w:p w14:paraId="7A8D741C" w14:textId="77777777" w:rsidR="00EC04BD" w:rsidRPr="00095D50" w:rsidRDefault="00EC04BD" w:rsidP="00EC04BD">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Top Targets</w:t>
            </w:r>
          </w:p>
        </w:tc>
        <w:tc>
          <w:tcPr>
            <w:tcW w:w="0" w:type="auto"/>
            <w:hideMark/>
          </w:tcPr>
          <w:p w14:paraId="1FAC570D" w14:textId="77777777" w:rsidR="00EC04BD" w:rsidRPr="00095D50" w:rsidRDefault="00EC04BD" w:rsidP="00EC04BD">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INP Fit Score</w:t>
            </w:r>
          </w:p>
        </w:tc>
      </w:tr>
      <w:tr w:rsidR="00EC04BD" w:rsidRPr="00095D50" w14:paraId="602EC609" w14:textId="77777777" w:rsidTr="00EC04BD">
        <w:tc>
          <w:tcPr>
            <w:tcW w:w="0" w:type="auto"/>
            <w:hideMark/>
          </w:tcPr>
          <w:p w14:paraId="2202F744"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Amla</w:t>
            </w:r>
          </w:p>
        </w:tc>
        <w:tc>
          <w:tcPr>
            <w:tcW w:w="0" w:type="auto"/>
            <w:hideMark/>
          </w:tcPr>
          <w:p w14:paraId="66D4BD4C"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FOXO3, SIRT1, DNMT1</w:t>
            </w:r>
          </w:p>
        </w:tc>
        <w:tc>
          <w:tcPr>
            <w:tcW w:w="0" w:type="auto"/>
            <w:hideMark/>
          </w:tcPr>
          <w:p w14:paraId="0A6F0566"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0.40</w:t>
            </w:r>
          </w:p>
        </w:tc>
      </w:tr>
      <w:tr w:rsidR="00EC04BD" w:rsidRPr="00095D50" w14:paraId="196A91B4" w14:textId="77777777" w:rsidTr="00EC04BD">
        <w:tc>
          <w:tcPr>
            <w:tcW w:w="0" w:type="auto"/>
            <w:hideMark/>
          </w:tcPr>
          <w:p w14:paraId="7D703902"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Ashwagandha</w:t>
            </w:r>
          </w:p>
        </w:tc>
        <w:tc>
          <w:tcPr>
            <w:tcW w:w="0" w:type="auto"/>
            <w:hideMark/>
          </w:tcPr>
          <w:p w14:paraId="5547F796"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VDR, SOCS1, Beclin1, SIRT1</w:t>
            </w:r>
          </w:p>
        </w:tc>
        <w:tc>
          <w:tcPr>
            <w:tcW w:w="0" w:type="auto"/>
            <w:hideMark/>
          </w:tcPr>
          <w:p w14:paraId="44F22B0E"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0.40</w:t>
            </w:r>
          </w:p>
        </w:tc>
      </w:tr>
      <w:tr w:rsidR="00EC04BD" w:rsidRPr="00095D50" w14:paraId="19494615" w14:textId="77777777" w:rsidTr="00EC04BD">
        <w:tc>
          <w:tcPr>
            <w:tcW w:w="0" w:type="auto"/>
            <w:hideMark/>
          </w:tcPr>
          <w:p w14:paraId="28646329"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Guduchi</w:t>
            </w:r>
          </w:p>
        </w:tc>
        <w:tc>
          <w:tcPr>
            <w:tcW w:w="0" w:type="auto"/>
            <w:hideMark/>
          </w:tcPr>
          <w:p w14:paraId="2E3CDB49"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LC3B, FOXO3</w:t>
            </w:r>
          </w:p>
        </w:tc>
        <w:tc>
          <w:tcPr>
            <w:tcW w:w="0" w:type="auto"/>
            <w:hideMark/>
          </w:tcPr>
          <w:p w14:paraId="6FB54C9E" w14:textId="77777777" w:rsidR="00EC04BD" w:rsidRPr="00095D50" w:rsidRDefault="00EC04BD" w:rsidP="00EC04BD">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bl>
    <w:p w14:paraId="2B1250B2" w14:textId="77777777" w:rsidR="00560C2E" w:rsidRPr="00095D50" w:rsidRDefault="00560C2E" w:rsidP="00EC04BD">
      <w:pPr>
        <w:jc w:val="both"/>
        <w:rPr>
          <w:rFonts w:ascii="Times New Roman" w:hAnsi="Times New Roman" w:cs="Times New Roman"/>
          <w:sz w:val="24"/>
          <w:szCs w:val="24"/>
        </w:rPr>
      </w:pPr>
    </w:p>
    <w:p w14:paraId="78AE97EC" w14:textId="77777777" w:rsidR="00560C2E" w:rsidRPr="00095D50" w:rsidRDefault="00560C2E" w:rsidP="00EC04BD">
      <w:pPr>
        <w:jc w:val="both"/>
        <w:rPr>
          <w:rFonts w:ascii="Times New Roman" w:hAnsi="Times New Roman" w:cs="Times New Roman"/>
          <w:sz w:val="24"/>
          <w:szCs w:val="24"/>
        </w:rPr>
      </w:pPr>
      <w:r w:rsidRPr="00095D50">
        <w:rPr>
          <w:rFonts w:ascii="Times New Roman" w:hAnsi="Times New Roman" w:cs="Times New Roman"/>
          <w:b/>
          <w:sz w:val="24"/>
          <w:szCs w:val="24"/>
        </w:rPr>
        <w:t>Table 2:</w:t>
      </w:r>
      <w:r w:rsidRPr="00095D50">
        <w:rPr>
          <w:rFonts w:ascii="Times New Roman" w:hAnsi="Times New Roman" w:cs="Times New Roman"/>
          <w:sz w:val="24"/>
          <w:szCs w:val="24"/>
        </w:rPr>
        <w:t xml:space="preserve"> Comparative Map: Failure vs. Restoration</w:t>
      </w:r>
    </w:p>
    <w:tbl>
      <w:tblPr>
        <w:tblStyle w:val="TableGrid"/>
        <w:tblW w:w="0" w:type="auto"/>
        <w:tblLook w:val="04A0" w:firstRow="1" w:lastRow="0" w:firstColumn="1" w:lastColumn="0" w:noHBand="0" w:noVBand="1"/>
      </w:tblPr>
      <w:tblGrid>
        <w:gridCol w:w="1303"/>
        <w:gridCol w:w="2676"/>
        <w:gridCol w:w="4283"/>
      </w:tblGrid>
      <w:tr w:rsidR="00560C2E" w:rsidRPr="00095D50" w14:paraId="7A417AEA" w14:textId="77777777" w:rsidTr="00560C2E">
        <w:tc>
          <w:tcPr>
            <w:tcW w:w="0" w:type="auto"/>
            <w:hideMark/>
          </w:tcPr>
          <w:p w14:paraId="5D074214" w14:textId="77777777" w:rsidR="00560C2E" w:rsidRPr="00095D50" w:rsidRDefault="00560C2E" w:rsidP="00560C2E">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INP Layer</w:t>
            </w:r>
          </w:p>
        </w:tc>
        <w:tc>
          <w:tcPr>
            <w:tcW w:w="0" w:type="auto"/>
            <w:hideMark/>
          </w:tcPr>
          <w:p w14:paraId="7A7ED127" w14:textId="77777777" w:rsidR="00560C2E" w:rsidRPr="00095D50" w:rsidRDefault="00560C2E" w:rsidP="00560C2E">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Failure State</w:t>
            </w:r>
          </w:p>
        </w:tc>
        <w:tc>
          <w:tcPr>
            <w:tcW w:w="0" w:type="auto"/>
            <w:hideMark/>
          </w:tcPr>
          <w:p w14:paraId="6E2AC7D7" w14:textId="77777777" w:rsidR="00560C2E" w:rsidRPr="00095D50" w:rsidRDefault="00560C2E" w:rsidP="00560C2E">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Restoration via Chyawanprash</w:t>
            </w:r>
          </w:p>
        </w:tc>
      </w:tr>
      <w:tr w:rsidR="00560C2E" w:rsidRPr="00095D50" w14:paraId="5039CC1C" w14:textId="77777777" w:rsidTr="00560C2E">
        <w:tc>
          <w:tcPr>
            <w:tcW w:w="0" w:type="auto"/>
            <w:hideMark/>
          </w:tcPr>
          <w:p w14:paraId="3D154DEE"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L1</w:t>
            </w:r>
          </w:p>
        </w:tc>
        <w:tc>
          <w:tcPr>
            <w:tcW w:w="0" w:type="auto"/>
            <w:hideMark/>
          </w:tcPr>
          <w:p w14:paraId="755B8517"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Low synthesis/absorption</w:t>
            </w:r>
          </w:p>
        </w:tc>
        <w:tc>
          <w:tcPr>
            <w:tcW w:w="0" w:type="auto"/>
            <w:hideMark/>
          </w:tcPr>
          <w:p w14:paraId="530DB732"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Adaptogen buffering</w:t>
            </w:r>
          </w:p>
        </w:tc>
      </w:tr>
      <w:tr w:rsidR="00560C2E" w:rsidRPr="00095D50" w14:paraId="7A419390" w14:textId="77777777" w:rsidTr="00560C2E">
        <w:tc>
          <w:tcPr>
            <w:tcW w:w="0" w:type="auto"/>
            <w:hideMark/>
          </w:tcPr>
          <w:p w14:paraId="54582AEF"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L2</w:t>
            </w:r>
          </w:p>
        </w:tc>
        <w:tc>
          <w:tcPr>
            <w:tcW w:w="0" w:type="auto"/>
            <w:hideMark/>
          </w:tcPr>
          <w:p w14:paraId="5573E7B8"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Feedback loop collapse</w:t>
            </w:r>
          </w:p>
        </w:tc>
        <w:tc>
          <w:tcPr>
            <w:tcW w:w="0" w:type="auto"/>
            <w:hideMark/>
          </w:tcPr>
          <w:p w14:paraId="5A8D4FF7"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SOCS1/VDR/FOXO3 feedback activation</w:t>
            </w:r>
          </w:p>
        </w:tc>
      </w:tr>
      <w:tr w:rsidR="00560C2E" w:rsidRPr="00095D50" w14:paraId="41F48E6F" w14:textId="77777777" w:rsidTr="00560C2E">
        <w:tc>
          <w:tcPr>
            <w:tcW w:w="0" w:type="auto"/>
            <w:hideMark/>
          </w:tcPr>
          <w:p w14:paraId="40C6FD8A"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L3</w:t>
            </w:r>
          </w:p>
        </w:tc>
        <w:tc>
          <w:tcPr>
            <w:tcW w:w="0" w:type="auto"/>
            <w:hideMark/>
          </w:tcPr>
          <w:p w14:paraId="2CF96549"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Redox depletion</w:t>
            </w:r>
          </w:p>
        </w:tc>
        <w:tc>
          <w:tcPr>
            <w:tcW w:w="0" w:type="auto"/>
            <w:hideMark/>
          </w:tcPr>
          <w:p w14:paraId="76AF664D"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Nrf2/GPX/SOD transcriptional activation</w:t>
            </w:r>
          </w:p>
        </w:tc>
      </w:tr>
      <w:tr w:rsidR="00560C2E" w:rsidRPr="00095D50" w14:paraId="5BFD98AB" w14:textId="77777777" w:rsidTr="00560C2E">
        <w:tc>
          <w:tcPr>
            <w:tcW w:w="0" w:type="auto"/>
            <w:hideMark/>
          </w:tcPr>
          <w:p w14:paraId="5E0918E8"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L4</w:t>
            </w:r>
          </w:p>
        </w:tc>
        <w:tc>
          <w:tcPr>
            <w:tcW w:w="0" w:type="auto"/>
            <w:hideMark/>
          </w:tcPr>
          <w:p w14:paraId="1E0D5B4B"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Inflammatory priming</w:t>
            </w:r>
          </w:p>
        </w:tc>
        <w:tc>
          <w:tcPr>
            <w:tcW w:w="0" w:type="auto"/>
            <w:hideMark/>
          </w:tcPr>
          <w:p w14:paraId="01740C04"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IL-10 upregulation, immune modulation</w:t>
            </w:r>
          </w:p>
        </w:tc>
      </w:tr>
      <w:tr w:rsidR="00560C2E" w:rsidRPr="00095D50" w14:paraId="77E1B533" w14:textId="77777777" w:rsidTr="00560C2E">
        <w:tc>
          <w:tcPr>
            <w:tcW w:w="0" w:type="auto"/>
            <w:hideMark/>
          </w:tcPr>
          <w:p w14:paraId="2AD6C033"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L5</w:t>
            </w:r>
          </w:p>
        </w:tc>
        <w:tc>
          <w:tcPr>
            <w:tcW w:w="0" w:type="auto"/>
            <w:hideMark/>
          </w:tcPr>
          <w:p w14:paraId="0B982EEF"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Autophagy inhibition</w:t>
            </w:r>
          </w:p>
        </w:tc>
        <w:tc>
          <w:tcPr>
            <w:tcW w:w="0" w:type="auto"/>
            <w:hideMark/>
          </w:tcPr>
          <w:p w14:paraId="684D4876"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Beclin1/LC3B reactivation</w:t>
            </w:r>
          </w:p>
        </w:tc>
      </w:tr>
      <w:tr w:rsidR="00560C2E" w:rsidRPr="00095D50" w14:paraId="210DB364" w14:textId="77777777" w:rsidTr="00560C2E">
        <w:tc>
          <w:tcPr>
            <w:tcW w:w="0" w:type="auto"/>
            <w:hideMark/>
          </w:tcPr>
          <w:p w14:paraId="28F159AB"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L6</w:t>
            </w:r>
          </w:p>
        </w:tc>
        <w:tc>
          <w:tcPr>
            <w:tcW w:w="0" w:type="auto"/>
            <w:hideMark/>
          </w:tcPr>
          <w:p w14:paraId="4E09BD94"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Weak single-nutrient fit</w:t>
            </w:r>
          </w:p>
        </w:tc>
        <w:tc>
          <w:tcPr>
            <w:tcW w:w="0" w:type="auto"/>
            <w:hideMark/>
          </w:tcPr>
          <w:p w14:paraId="66BAA30A"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High-fit polyherbal synergy</w:t>
            </w:r>
          </w:p>
        </w:tc>
      </w:tr>
      <w:tr w:rsidR="00560C2E" w:rsidRPr="00095D50" w14:paraId="45EFFA6F" w14:textId="77777777" w:rsidTr="00560C2E">
        <w:tc>
          <w:tcPr>
            <w:tcW w:w="0" w:type="auto"/>
            <w:hideMark/>
          </w:tcPr>
          <w:p w14:paraId="25A7C75D"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L7</w:t>
            </w:r>
          </w:p>
        </w:tc>
        <w:tc>
          <w:tcPr>
            <w:tcW w:w="0" w:type="auto"/>
            <w:hideMark/>
          </w:tcPr>
          <w:p w14:paraId="309811EE"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Unstable homeostasis</w:t>
            </w:r>
          </w:p>
        </w:tc>
        <w:tc>
          <w:tcPr>
            <w:tcW w:w="0" w:type="auto"/>
            <w:hideMark/>
          </w:tcPr>
          <w:p w14:paraId="54F49474" w14:textId="77777777" w:rsidR="00560C2E" w:rsidRPr="00095D50" w:rsidRDefault="00560C2E" w:rsidP="00560C2E">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Stabilized system dynamics (ODE-based)</w:t>
            </w:r>
          </w:p>
        </w:tc>
      </w:tr>
    </w:tbl>
    <w:p w14:paraId="22675B6D" w14:textId="77777777" w:rsidR="004D0F15" w:rsidRPr="00095D50" w:rsidRDefault="004D0F15" w:rsidP="004D0F15">
      <w:pPr>
        <w:jc w:val="both"/>
        <w:rPr>
          <w:rFonts w:ascii="Times New Roman" w:hAnsi="Times New Roman" w:cs="Times New Roman"/>
          <w:b/>
          <w:bCs/>
          <w:sz w:val="24"/>
          <w:szCs w:val="24"/>
        </w:rPr>
      </w:pPr>
    </w:p>
    <w:p w14:paraId="722B3C09" w14:textId="77777777" w:rsidR="004D0F15" w:rsidRPr="00095D50" w:rsidRDefault="004D0F15" w:rsidP="004D0F15">
      <w:pPr>
        <w:jc w:val="both"/>
        <w:rPr>
          <w:rFonts w:ascii="Times New Roman" w:hAnsi="Times New Roman" w:cs="Times New Roman"/>
          <w:b/>
          <w:bCs/>
          <w:sz w:val="24"/>
          <w:szCs w:val="24"/>
        </w:rPr>
      </w:pPr>
      <w:r w:rsidRPr="00095D50">
        <w:rPr>
          <w:rFonts w:ascii="Times New Roman" w:hAnsi="Times New Roman" w:cs="Times New Roman"/>
          <w:b/>
          <w:bCs/>
          <w:sz w:val="24"/>
          <w:szCs w:val="24"/>
        </w:rPr>
        <w:lastRenderedPageBreak/>
        <w:t xml:space="preserve">Table 3: </w:t>
      </w:r>
      <w:r w:rsidRPr="00095D50">
        <w:rPr>
          <w:rFonts w:ascii="Times New Roman" w:hAnsi="Times New Roman" w:cs="Times New Roman"/>
          <w:bCs/>
          <w:sz w:val="24"/>
          <w:szCs w:val="24"/>
        </w:rPr>
        <w:t>Natural Compound-INP Target Matching — Fit Score Table</w:t>
      </w:r>
    </w:p>
    <w:tbl>
      <w:tblPr>
        <w:tblStyle w:val="TableGrid"/>
        <w:tblW w:w="0" w:type="auto"/>
        <w:tblLook w:val="04A0" w:firstRow="1" w:lastRow="0" w:firstColumn="1" w:lastColumn="0" w:noHBand="0" w:noVBand="1"/>
      </w:tblPr>
      <w:tblGrid>
        <w:gridCol w:w="1496"/>
        <w:gridCol w:w="2977"/>
        <w:gridCol w:w="1616"/>
      </w:tblGrid>
      <w:tr w:rsidR="004D0F15" w:rsidRPr="00095D50" w14:paraId="4A361FFB" w14:textId="77777777" w:rsidTr="004D0F15">
        <w:tc>
          <w:tcPr>
            <w:tcW w:w="0" w:type="auto"/>
            <w:hideMark/>
          </w:tcPr>
          <w:p w14:paraId="7FAB247F" w14:textId="77777777" w:rsidR="004D0F15" w:rsidRPr="00095D50" w:rsidRDefault="004D0F15" w:rsidP="004D0F15">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Compound</w:t>
            </w:r>
          </w:p>
        </w:tc>
        <w:tc>
          <w:tcPr>
            <w:tcW w:w="0" w:type="auto"/>
            <w:hideMark/>
          </w:tcPr>
          <w:p w14:paraId="63A40675" w14:textId="77777777" w:rsidR="004D0F15" w:rsidRPr="00095D50" w:rsidRDefault="004D0F15" w:rsidP="004D0F15">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Matched INP Targets</w:t>
            </w:r>
          </w:p>
        </w:tc>
        <w:tc>
          <w:tcPr>
            <w:tcW w:w="0" w:type="auto"/>
            <w:hideMark/>
          </w:tcPr>
          <w:p w14:paraId="2698AD1E" w14:textId="77777777" w:rsidR="004D0F15" w:rsidRPr="00095D50" w:rsidRDefault="004D0F15" w:rsidP="004D0F15">
            <w:pPr>
              <w:spacing w:after="160" w:line="259" w:lineRule="auto"/>
              <w:jc w:val="both"/>
              <w:rPr>
                <w:rFonts w:ascii="Times New Roman" w:hAnsi="Times New Roman" w:cs="Times New Roman"/>
                <w:b/>
                <w:bCs/>
                <w:sz w:val="24"/>
                <w:szCs w:val="24"/>
              </w:rPr>
            </w:pPr>
            <w:r w:rsidRPr="00095D50">
              <w:rPr>
                <w:rFonts w:ascii="Times New Roman" w:hAnsi="Times New Roman" w:cs="Times New Roman"/>
                <w:b/>
                <w:bCs/>
                <w:sz w:val="24"/>
                <w:szCs w:val="24"/>
              </w:rPr>
              <w:t>INP Fit Score</w:t>
            </w:r>
          </w:p>
        </w:tc>
      </w:tr>
      <w:tr w:rsidR="004D0F15" w:rsidRPr="00095D50" w14:paraId="2FCE928C" w14:textId="77777777" w:rsidTr="004D0F15">
        <w:tc>
          <w:tcPr>
            <w:tcW w:w="0" w:type="auto"/>
            <w:hideMark/>
          </w:tcPr>
          <w:p w14:paraId="1975AFFC"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Curcumin</w:t>
            </w:r>
          </w:p>
        </w:tc>
        <w:tc>
          <w:tcPr>
            <w:tcW w:w="0" w:type="auto"/>
            <w:hideMark/>
          </w:tcPr>
          <w:p w14:paraId="52ED1B2E"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GPX, SOCS1, Beclin1</w:t>
            </w:r>
          </w:p>
        </w:tc>
        <w:tc>
          <w:tcPr>
            <w:tcW w:w="0" w:type="auto"/>
            <w:hideMark/>
          </w:tcPr>
          <w:p w14:paraId="6D389C3C"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0.40</w:t>
            </w:r>
          </w:p>
        </w:tc>
      </w:tr>
      <w:tr w:rsidR="004D0F15" w:rsidRPr="00095D50" w14:paraId="7A6466AE" w14:textId="77777777" w:rsidTr="004D0F15">
        <w:tc>
          <w:tcPr>
            <w:tcW w:w="0" w:type="auto"/>
            <w:hideMark/>
          </w:tcPr>
          <w:p w14:paraId="22D8DC4E"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Quercetin</w:t>
            </w:r>
          </w:p>
        </w:tc>
        <w:tc>
          <w:tcPr>
            <w:tcW w:w="0" w:type="auto"/>
            <w:hideMark/>
          </w:tcPr>
          <w:p w14:paraId="74884ED6"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GPX, SOCS1, LC3</w:t>
            </w:r>
          </w:p>
        </w:tc>
        <w:tc>
          <w:tcPr>
            <w:tcW w:w="0" w:type="auto"/>
            <w:hideMark/>
          </w:tcPr>
          <w:p w14:paraId="2C4551EB"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b/>
                <w:bCs/>
                <w:sz w:val="24"/>
                <w:szCs w:val="24"/>
              </w:rPr>
              <w:t>0.40</w:t>
            </w:r>
          </w:p>
        </w:tc>
      </w:tr>
      <w:tr w:rsidR="004D0F15" w:rsidRPr="00095D50" w14:paraId="4BA1C8CA" w14:textId="77777777" w:rsidTr="004D0F15">
        <w:tc>
          <w:tcPr>
            <w:tcW w:w="0" w:type="auto"/>
            <w:hideMark/>
          </w:tcPr>
          <w:p w14:paraId="78C417E5"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Resveratrol</w:t>
            </w:r>
          </w:p>
        </w:tc>
        <w:tc>
          <w:tcPr>
            <w:tcW w:w="0" w:type="auto"/>
            <w:hideMark/>
          </w:tcPr>
          <w:p w14:paraId="15D5A19B"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VDR, Beclin1</w:t>
            </w:r>
          </w:p>
        </w:tc>
        <w:tc>
          <w:tcPr>
            <w:tcW w:w="0" w:type="auto"/>
            <w:hideMark/>
          </w:tcPr>
          <w:p w14:paraId="3FA58310"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14:paraId="02F61ADA" w14:textId="77777777" w:rsidTr="004D0F15">
        <w:tc>
          <w:tcPr>
            <w:tcW w:w="0" w:type="auto"/>
            <w:hideMark/>
          </w:tcPr>
          <w:p w14:paraId="18A0CE45"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Berberine</w:t>
            </w:r>
          </w:p>
        </w:tc>
        <w:tc>
          <w:tcPr>
            <w:tcW w:w="0" w:type="auto"/>
            <w:hideMark/>
          </w:tcPr>
          <w:p w14:paraId="6C15DB38"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FGF23, VDR, MTR</w:t>
            </w:r>
          </w:p>
        </w:tc>
        <w:tc>
          <w:tcPr>
            <w:tcW w:w="0" w:type="auto"/>
            <w:hideMark/>
          </w:tcPr>
          <w:p w14:paraId="1D87EF5A"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14:paraId="53EFEA85" w14:textId="77777777" w:rsidTr="004D0F15">
        <w:tc>
          <w:tcPr>
            <w:tcW w:w="0" w:type="auto"/>
            <w:hideMark/>
          </w:tcPr>
          <w:p w14:paraId="3670D7CA"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Sulforaphane</w:t>
            </w:r>
          </w:p>
        </w:tc>
        <w:tc>
          <w:tcPr>
            <w:tcW w:w="0" w:type="auto"/>
            <w:hideMark/>
          </w:tcPr>
          <w:p w14:paraId="22133BE0"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Nrf2, GPX, SOCS1</w:t>
            </w:r>
          </w:p>
        </w:tc>
        <w:tc>
          <w:tcPr>
            <w:tcW w:w="0" w:type="auto"/>
            <w:hideMark/>
          </w:tcPr>
          <w:p w14:paraId="56ECC289"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14:paraId="3109C790" w14:textId="77777777" w:rsidTr="004D0F15">
        <w:tc>
          <w:tcPr>
            <w:tcW w:w="0" w:type="auto"/>
            <w:hideMark/>
          </w:tcPr>
          <w:p w14:paraId="3604C79C"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Spermidine</w:t>
            </w:r>
          </w:p>
        </w:tc>
        <w:tc>
          <w:tcPr>
            <w:tcW w:w="0" w:type="auto"/>
            <w:hideMark/>
          </w:tcPr>
          <w:p w14:paraId="706A7699"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LC3, MTHFR, Beclin1</w:t>
            </w:r>
          </w:p>
        </w:tc>
        <w:tc>
          <w:tcPr>
            <w:tcW w:w="0" w:type="auto"/>
            <w:hideMark/>
          </w:tcPr>
          <w:p w14:paraId="3F54BDFF"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0.30</w:t>
            </w:r>
          </w:p>
        </w:tc>
      </w:tr>
      <w:tr w:rsidR="004D0F15" w:rsidRPr="00095D50" w14:paraId="4D42FAAC" w14:textId="77777777" w:rsidTr="004D0F15">
        <w:tc>
          <w:tcPr>
            <w:tcW w:w="0" w:type="auto"/>
            <w:hideMark/>
          </w:tcPr>
          <w:p w14:paraId="5F39B6AD"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Celastrol</w:t>
            </w:r>
          </w:p>
        </w:tc>
        <w:tc>
          <w:tcPr>
            <w:tcW w:w="0" w:type="auto"/>
            <w:hideMark/>
          </w:tcPr>
          <w:p w14:paraId="4422031C"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SOCS1, Beclin1</w:t>
            </w:r>
          </w:p>
        </w:tc>
        <w:tc>
          <w:tcPr>
            <w:tcW w:w="0" w:type="auto"/>
            <w:hideMark/>
          </w:tcPr>
          <w:p w14:paraId="67DE111A" w14:textId="77777777" w:rsidR="004D0F15" w:rsidRPr="00095D50" w:rsidRDefault="004D0F15" w:rsidP="004D0F15">
            <w:pPr>
              <w:spacing w:after="160" w:line="259" w:lineRule="auto"/>
              <w:jc w:val="both"/>
              <w:rPr>
                <w:rFonts w:ascii="Times New Roman" w:hAnsi="Times New Roman" w:cs="Times New Roman"/>
                <w:sz w:val="24"/>
                <w:szCs w:val="24"/>
              </w:rPr>
            </w:pPr>
            <w:r w:rsidRPr="00095D50">
              <w:rPr>
                <w:rFonts w:ascii="Times New Roman" w:hAnsi="Times New Roman" w:cs="Times New Roman"/>
                <w:sz w:val="24"/>
                <w:szCs w:val="24"/>
              </w:rPr>
              <w:t>0.20</w:t>
            </w:r>
          </w:p>
        </w:tc>
      </w:tr>
    </w:tbl>
    <w:p w14:paraId="1D97655D" w14:textId="77777777" w:rsidR="00560C2E" w:rsidRPr="00095D50" w:rsidRDefault="00560C2E" w:rsidP="00EC04BD">
      <w:pPr>
        <w:jc w:val="both"/>
        <w:rPr>
          <w:rFonts w:ascii="Times New Roman" w:hAnsi="Times New Roman" w:cs="Times New Roman"/>
          <w:sz w:val="24"/>
          <w:szCs w:val="24"/>
        </w:rPr>
      </w:pPr>
    </w:p>
    <w:p w14:paraId="54186232" w14:textId="77777777" w:rsidR="004D0F15" w:rsidRPr="00095D50" w:rsidRDefault="004D0F15" w:rsidP="00EC04BD">
      <w:pPr>
        <w:jc w:val="both"/>
        <w:rPr>
          <w:rFonts w:ascii="Times New Roman" w:hAnsi="Times New Roman" w:cs="Times New Roman"/>
          <w:sz w:val="24"/>
          <w:szCs w:val="24"/>
        </w:rPr>
      </w:pPr>
    </w:p>
    <w:p w14:paraId="467C07F5" w14:textId="77777777" w:rsidR="00EC04BD" w:rsidRPr="00095D50" w:rsidRDefault="00EC04BD" w:rsidP="00EC04BD">
      <w:pPr>
        <w:jc w:val="both"/>
        <w:rPr>
          <w:rFonts w:ascii="Times New Roman" w:hAnsi="Times New Roman" w:cs="Times New Roman"/>
          <w:sz w:val="24"/>
          <w:szCs w:val="24"/>
        </w:rPr>
      </w:pPr>
    </w:p>
    <w:p w14:paraId="1F4A1C25" w14:textId="77777777" w:rsidR="0063768D" w:rsidRPr="00095D50" w:rsidRDefault="0063768D" w:rsidP="00EC04BD">
      <w:pPr>
        <w:jc w:val="both"/>
        <w:rPr>
          <w:rFonts w:ascii="Times New Roman" w:hAnsi="Times New Roman" w:cs="Times New Roman"/>
          <w:sz w:val="24"/>
          <w:szCs w:val="24"/>
        </w:rPr>
      </w:pPr>
      <w:r w:rsidRPr="00095D50">
        <w:rPr>
          <w:rFonts w:ascii="Times New Roman" w:hAnsi="Times New Roman" w:cs="Times New Roman"/>
          <w:noProof/>
          <w:sz w:val="24"/>
          <w:szCs w:val="24"/>
        </w:rPr>
        <w:drawing>
          <wp:inline distT="0" distB="0" distL="0" distR="0" wp14:anchorId="4378837E" wp14:editId="01595923">
            <wp:extent cx="594360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p.jpg"/>
                    <pic:cNvPicPr/>
                  </pic:nvPicPr>
                  <pic:blipFill rotWithShape="1">
                    <a:blip r:embed="rId7" cstate="print">
                      <a:extLst>
                        <a:ext uri="{28A0092B-C50C-407E-A947-70E740481C1C}">
                          <a14:useLocalDpi xmlns:a14="http://schemas.microsoft.com/office/drawing/2010/main" val="0"/>
                        </a:ext>
                      </a:extLst>
                    </a:blip>
                    <a:srcRect t="7123" b="5983"/>
                    <a:stretch/>
                  </pic:blipFill>
                  <pic:spPr bwMode="auto">
                    <a:xfrm>
                      <a:off x="0" y="0"/>
                      <a:ext cx="5943600" cy="2905125"/>
                    </a:xfrm>
                    <a:prstGeom prst="rect">
                      <a:avLst/>
                    </a:prstGeom>
                    <a:ln>
                      <a:noFill/>
                    </a:ln>
                    <a:extLst>
                      <a:ext uri="{53640926-AAD7-44D8-BBD7-CCE9431645EC}">
                        <a14:shadowObscured xmlns:a14="http://schemas.microsoft.com/office/drawing/2010/main"/>
                      </a:ext>
                    </a:extLst>
                  </pic:spPr>
                </pic:pic>
              </a:graphicData>
            </a:graphic>
          </wp:inline>
        </w:drawing>
      </w:r>
    </w:p>
    <w:p w14:paraId="79267E9F" w14:textId="77777777" w:rsidR="00DD6E6A" w:rsidRPr="00095D50" w:rsidRDefault="0063768D" w:rsidP="0063768D">
      <w:pPr>
        <w:rPr>
          <w:rFonts w:ascii="Times New Roman" w:hAnsi="Times New Roman" w:cs="Times New Roman"/>
          <w:sz w:val="24"/>
          <w:szCs w:val="24"/>
        </w:rPr>
      </w:pPr>
      <w:r w:rsidRPr="00095D50">
        <w:rPr>
          <w:rFonts w:ascii="Times New Roman" w:hAnsi="Times New Roman" w:cs="Times New Roman"/>
          <w:b/>
          <w:sz w:val="24"/>
          <w:szCs w:val="24"/>
        </w:rPr>
        <w:t xml:space="preserve">Graph 1: </w:t>
      </w:r>
      <w:r w:rsidR="00BC25BF" w:rsidRPr="00095D50">
        <w:rPr>
          <w:rFonts w:ascii="Times New Roman" w:hAnsi="Times New Roman" w:cs="Times New Roman"/>
          <w:sz w:val="24"/>
          <w:szCs w:val="24"/>
        </w:rPr>
        <w:t>Simulation Output: Chyawanprash’s Epigenetic Network Rewiring</w:t>
      </w:r>
    </w:p>
    <w:p w14:paraId="54D48907" w14:textId="77777777" w:rsidR="008F3265" w:rsidRPr="00095D50" w:rsidRDefault="008F3265" w:rsidP="0063768D">
      <w:pPr>
        <w:rPr>
          <w:rFonts w:ascii="Times New Roman" w:hAnsi="Times New Roman" w:cs="Times New Roman"/>
          <w:sz w:val="24"/>
          <w:szCs w:val="24"/>
        </w:rPr>
      </w:pPr>
    </w:p>
    <w:p w14:paraId="7899C7B4" w14:textId="77777777" w:rsidR="008F3265" w:rsidRPr="00095D50" w:rsidRDefault="008F3265" w:rsidP="0063768D">
      <w:pPr>
        <w:rPr>
          <w:rFonts w:ascii="Times New Roman" w:hAnsi="Times New Roman" w:cs="Times New Roman"/>
          <w:sz w:val="24"/>
          <w:szCs w:val="24"/>
        </w:rPr>
      </w:pPr>
    </w:p>
    <w:p w14:paraId="3E8F2F63" w14:textId="77777777" w:rsidR="008F3265" w:rsidRPr="00095D50" w:rsidRDefault="008F3265" w:rsidP="0063768D">
      <w:pPr>
        <w:rPr>
          <w:rFonts w:ascii="Times New Roman" w:hAnsi="Times New Roman" w:cs="Times New Roman"/>
          <w:sz w:val="24"/>
          <w:szCs w:val="24"/>
        </w:rPr>
      </w:pPr>
    </w:p>
    <w:p w14:paraId="1619D17E" w14:textId="77777777" w:rsidR="008F3265" w:rsidRPr="00095D50" w:rsidRDefault="008F3265" w:rsidP="0063768D">
      <w:pPr>
        <w:rPr>
          <w:rFonts w:ascii="Times New Roman" w:hAnsi="Times New Roman" w:cs="Times New Roman"/>
          <w:sz w:val="24"/>
          <w:szCs w:val="24"/>
        </w:rPr>
      </w:pPr>
    </w:p>
    <w:p w14:paraId="77869128" w14:textId="77777777" w:rsidR="008F3265" w:rsidRPr="00095D50" w:rsidRDefault="008F3265" w:rsidP="0063768D">
      <w:pPr>
        <w:rPr>
          <w:rFonts w:ascii="Times New Roman" w:hAnsi="Times New Roman" w:cs="Times New Roman"/>
          <w:sz w:val="24"/>
          <w:szCs w:val="24"/>
        </w:rPr>
      </w:pPr>
    </w:p>
    <w:p w14:paraId="007BA931" w14:textId="77777777" w:rsidR="008F3265" w:rsidRPr="00095D50" w:rsidRDefault="008F3265" w:rsidP="0063768D">
      <w:pPr>
        <w:rPr>
          <w:rFonts w:ascii="Times New Roman" w:hAnsi="Times New Roman" w:cs="Times New Roman"/>
          <w:sz w:val="24"/>
          <w:szCs w:val="24"/>
        </w:rPr>
      </w:pPr>
    </w:p>
    <w:p w14:paraId="23166171" w14:textId="77777777" w:rsidR="008F3265" w:rsidRPr="00095D50" w:rsidRDefault="008F3265" w:rsidP="0063768D">
      <w:pPr>
        <w:rPr>
          <w:rFonts w:ascii="Times New Roman" w:hAnsi="Times New Roman" w:cs="Times New Roman"/>
          <w:sz w:val="24"/>
          <w:szCs w:val="24"/>
        </w:rPr>
      </w:pPr>
      <w:r w:rsidRPr="00095D50">
        <w:rPr>
          <w:rFonts w:ascii="Times New Roman" w:hAnsi="Times New Roman" w:cs="Times New Roman"/>
          <w:noProof/>
          <w:sz w:val="24"/>
          <w:szCs w:val="24"/>
        </w:rPr>
        <w:drawing>
          <wp:inline distT="0" distB="0" distL="0" distR="0" wp14:anchorId="5BBD3774" wp14:editId="664075F7">
            <wp:extent cx="5008282" cy="7512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9976" cy="7514964"/>
                    </a:xfrm>
                    <a:prstGeom prst="rect">
                      <a:avLst/>
                    </a:prstGeom>
                    <a:noFill/>
                  </pic:spPr>
                </pic:pic>
              </a:graphicData>
            </a:graphic>
          </wp:inline>
        </w:drawing>
      </w:r>
    </w:p>
    <w:p w14:paraId="2CA4FF13" w14:textId="77777777" w:rsidR="008F3265" w:rsidRPr="00095D50" w:rsidRDefault="008F3265" w:rsidP="0063768D">
      <w:pPr>
        <w:rPr>
          <w:rFonts w:ascii="Times New Roman" w:hAnsi="Times New Roman" w:cs="Times New Roman"/>
          <w:sz w:val="24"/>
          <w:szCs w:val="24"/>
        </w:rPr>
      </w:pPr>
      <w:r w:rsidRPr="00095D50">
        <w:rPr>
          <w:rFonts w:ascii="Times New Roman" w:hAnsi="Times New Roman" w:cs="Times New Roman"/>
          <w:b/>
          <w:sz w:val="24"/>
          <w:szCs w:val="24"/>
        </w:rPr>
        <w:t>Image 1:</w:t>
      </w:r>
      <w:r w:rsidRPr="00095D50">
        <w:rPr>
          <w:rFonts w:ascii="Times New Roman" w:hAnsi="Times New Roman" w:cs="Times New Roman"/>
          <w:sz w:val="24"/>
          <w:szCs w:val="24"/>
        </w:rPr>
        <w:t xml:space="preserve"> Intrinsic Network Pharmacology 7 Layer protocol </w:t>
      </w:r>
    </w:p>
    <w:p w14:paraId="50DA44C5" w14:textId="77777777" w:rsidR="004D0F15" w:rsidRPr="00095D50" w:rsidRDefault="004D0F15" w:rsidP="0063768D">
      <w:pPr>
        <w:rPr>
          <w:rFonts w:ascii="Times New Roman" w:hAnsi="Times New Roman" w:cs="Times New Roman"/>
          <w:sz w:val="24"/>
          <w:szCs w:val="24"/>
        </w:rPr>
      </w:pPr>
    </w:p>
    <w:p w14:paraId="608D18FC" w14:textId="77777777" w:rsidR="004D0F15" w:rsidRPr="00095D50" w:rsidRDefault="004D0F15" w:rsidP="0063768D">
      <w:pPr>
        <w:rPr>
          <w:rFonts w:ascii="Times New Roman" w:hAnsi="Times New Roman" w:cs="Times New Roman"/>
          <w:sz w:val="24"/>
          <w:szCs w:val="24"/>
        </w:rPr>
      </w:pPr>
    </w:p>
    <w:p w14:paraId="200474C8" w14:textId="77777777" w:rsidR="004D0F15" w:rsidRPr="00095D50" w:rsidRDefault="00CE140B" w:rsidP="0063768D">
      <w:pPr>
        <w:rPr>
          <w:rFonts w:ascii="Times New Roman" w:hAnsi="Times New Roman" w:cs="Times New Roman"/>
          <w:sz w:val="24"/>
          <w:szCs w:val="24"/>
        </w:rPr>
      </w:pPr>
      <w:r w:rsidRPr="00095D50">
        <w:rPr>
          <w:rFonts w:ascii="Times New Roman" w:hAnsi="Times New Roman" w:cs="Times New Roman"/>
          <w:noProof/>
          <w:sz w:val="24"/>
          <w:szCs w:val="24"/>
        </w:rPr>
        <w:drawing>
          <wp:inline distT="0" distB="0" distL="0" distR="0" wp14:anchorId="37CCCDC6" wp14:editId="46FEE93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pflo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00F272" w14:textId="77777777" w:rsidR="004D0F15" w:rsidRDefault="004D0F15" w:rsidP="0063768D">
      <w:pPr>
        <w:rPr>
          <w:rFonts w:ascii="Times New Roman" w:hAnsi="Times New Roman" w:cs="Times New Roman"/>
          <w:sz w:val="24"/>
          <w:szCs w:val="24"/>
        </w:rPr>
      </w:pPr>
      <w:r w:rsidRPr="00095D50">
        <w:rPr>
          <w:rFonts w:ascii="Times New Roman" w:hAnsi="Times New Roman" w:cs="Times New Roman"/>
          <w:b/>
          <w:sz w:val="24"/>
          <w:szCs w:val="24"/>
        </w:rPr>
        <w:t xml:space="preserve">Image 2:  </w:t>
      </w:r>
      <w:r w:rsidRPr="00095D50">
        <w:rPr>
          <w:rFonts w:ascii="Times New Roman" w:hAnsi="Times New Roman" w:cs="Times New Roman"/>
          <w:sz w:val="24"/>
          <w:szCs w:val="24"/>
        </w:rPr>
        <w:t xml:space="preserve">Intrinsic network for vitamins deficiency and Epigenetic restoration by Chyawanprash </w:t>
      </w:r>
      <w:r w:rsidR="00CE140B" w:rsidRPr="00095D50">
        <w:rPr>
          <w:rFonts w:ascii="Times New Roman" w:hAnsi="Times New Roman" w:cs="Times New Roman"/>
          <w:sz w:val="24"/>
          <w:szCs w:val="24"/>
        </w:rPr>
        <w:t>and other Natural compounds</w:t>
      </w:r>
      <w:r w:rsidR="00CE140B">
        <w:rPr>
          <w:rFonts w:ascii="Times New Roman" w:hAnsi="Times New Roman" w:cs="Times New Roman"/>
          <w:sz w:val="24"/>
          <w:szCs w:val="24"/>
        </w:rPr>
        <w:t xml:space="preserve"> </w:t>
      </w:r>
    </w:p>
    <w:p w14:paraId="4D61FECB" w14:textId="77777777" w:rsidR="004D0F15" w:rsidRPr="004D0F15" w:rsidRDefault="004D0F15" w:rsidP="0063768D">
      <w:pPr>
        <w:rPr>
          <w:rFonts w:ascii="Times New Roman" w:hAnsi="Times New Roman" w:cs="Times New Roman"/>
          <w:sz w:val="24"/>
          <w:szCs w:val="24"/>
        </w:rPr>
      </w:pPr>
    </w:p>
    <w:sectPr w:rsidR="004D0F15" w:rsidRPr="004D0F15" w:rsidSect="0018388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6C295" w14:textId="77777777" w:rsidR="00776C35" w:rsidRDefault="00776C35" w:rsidP="00A97B22">
      <w:pPr>
        <w:spacing w:after="0" w:line="240" w:lineRule="auto"/>
      </w:pPr>
      <w:r>
        <w:separator/>
      </w:r>
    </w:p>
  </w:endnote>
  <w:endnote w:type="continuationSeparator" w:id="0">
    <w:p w14:paraId="13A07E6B" w14:textId="77777777" w:rsidR="00776C35" w:rsidRDefault="00776C35" w:rsidP="00A9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85874" w14:textId="77777777" w:rsidR="00A97B22" w:rsidRDefault="00A97B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BD3B7" w14:textId="77777777" w:rsidR="00A97B22" w:rsidRDefault="00A97B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567AE" w14:textId="77777777" w:rsidR="00A97B22" w:rsidRDefault="00A97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5E6DB" w14:textId="77777777" w:rsidR="00776C35" w:rsidRDefault="00776C35" w:rsidP="00A97B22">
      <w:pPr>
        <w:spacing w:after="0" w:line="240" w:lineRule="auto"/>
      </w:pPr>
      <w:r>
        <w:separator/>
      </w:r>
    </w:p>
  </w:footnote>
  <w:footnote w:type="continuationSeparator" w:id="0">
    <w:p w14:paraId="3C643251" w14:textId="77777777" w:rsidR="00776C35" w:rsidRDefault="00776C35" w:rsidP="00A97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1D5FD" w14:textId="77777777" w:rsidR="00A97B22" w:rsidRDefault="00776C35">
    <w:pPr>
      <w:pStyle w:val="Header"/>
    </w:pPr>
    <w:r>
      <w:rPr>
        <w:noProof/>
      </w:rPr>
      <w:pict w14:anchorId="626D3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120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CA402" w14:textId="77777777" w:rsidR="00A97B22" w:rsidRDefault="00776C35">
    <w:pPr>
      <w:pStyle w:val="Header"/>
    </w:pPr>
    <w:r>
      <w:rPr>
        <w:noProof/>
      </w:rPr>
      <w:pict w14:anchorId="13069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120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C0D09" w14:textId="77777777" w:rsidR="00A97B22" w:rsidRDefault="00776C35">
    <w:pPr>
      <w:pStyle w:val="Header"/>
    </w:pPr>
    <w:r>
      <w:rPr>
        <w:noProof/>
      </w:rPr>
      <w:pict w14:anchorId="7F948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2120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7AD0"/>
    <w:multiLevelType w:val="multilevel"/>
    <w:tmpl w:val="BBD4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53D70"/>
    <w:multiLevelType w:val="multilevel"/>
    <w:tmpl w:val="8754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65AAA"/>
    <w:multiLevelType w:val="multilevel"/>
    <w:tmpl w:val="D5C0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95C21"/>
    <w:multiLevelType w:val="multilevel"/>
    <w:tmpl w:val="522E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99184C"/>
    <w:multiLevelType w:val="hybridMultilevel"/>
    <w:tmpl w:val="C7A0D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90592"/>
    <w:multiLevelType w:val="multilevel"/>
    <w:tmpl w:val="CB9A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18301A"/>
    <w:multiLevelType w:val="multilevel"/>
    <w:tmpl w:val="3552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866199"/>
    <w:multiLevelType w:val="multilevel"/>
    <w:tmpl w:val="CC7C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4233A"/>
    <w:multiLevelType w:val="hybridMultilevel"/>
    <w:tmpl w:val="63DC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A47871"/>
    <w:multiLevelType w:val="multilevel"/>
    <w:tmpl w:val="9E5C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9D0892"/>
    <w:multiLevelType w:val="hybridMultilevel"/>
    <w:tmpl w:val="FF286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0366"/>
    <w:multiLevelType w:val="multilevel"/>
    <w:tmpl w:val="0678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CB3D9A"/>
    <w:multiLevelType w:val="multilevel"/>
    <w:tmpl w:val="FB1E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C21485"/>
    <w:multiLevelType w:val="hybridMultilevel"/>
    <w:tmpl w:val="B240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143E89"/>
    <w:multiLevelType w:val="hybridMultilevel"/>
    <w:tmpl w:val="8B70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C25145"/>
    <w:multiLevelType w:val="hybridMultilevel"/>
    <w:tmpl w:val="387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7"/>
  </w:num>
  <w:num w:numId="6">
    <w:abstractNumId w:val="3"/>
  </w:num>
  <w:num w:numId="7">
    <w:abstractNumId w:val="12"/>
  </w:num>
  <w:num w:numId="8">
    <w:abstractNumId w:val="9"/>
  </w:num>
  <w:num w:numId="9">
    <w:abstractNumId w:val="0"/>
  </w:num>
  <w:num w:numId="10">
    <w:abstractNumId w:val="11"/>
  </w:num>
  <w:num w:numId="11">
    <w:abstractNumId w:val="8"/>
  </w:num>
  <w:num w:numId="12">
    <w:abstractNumId w:val="13"/>
  </w:num>
  <w:num w:numId="13">
    <w:abstractNumId w:val="14"/>
  </w:num>
  <w:num w:numId="14">
    <w:abstractNumId w:val="15"/>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NDE2sTQwNbcwMzYwMjBU0lEKTi0uzszPAykwrgUAiZVPGiwAAAA="/>
  </w:docVars>
  <w:rsids>
    <w:rsidRoot w:val="00EC04BD"/>
    <w:rsid w:val="00011F85"/>
    <w:rsid w:val="00095D50"/>
    <w:rsid w:val="000B5638"/>
    <w:rsid w:val="000D4491"/>
    <w:rsid w:val="00183885"/>
    <w:rsid w:val="00191829"/>
    <w:rsid w:val="002B1E65"/>
    <w:rsid w:val="002B4E9A"/>
    <w:rsid w:val="002F31B1"/>
    <w:rsid w:val="00353F37"/>
    <w:rsid w:val="003D715F"/>
    <w:rsid w:val="00482211"/>
    <w:rsid w:val="004D0F15"/>
    <w:rsid w:val="00547911"/>
    <w:rsid w:val="00560C2E"/>
    <w:rsid w:val="0056756A"/>
    <w:rsid w:val="005833E6"/>
    <w:rsid w:val="00597871"/>
    <w:rsid w:val="005A7C3A"/>
    <w:rsid w:val="005F1BEF"/>
    <w:rsid w:val="00613412"/>
    <w:rsid w:val="00633C11"/>
    <w:rsid w:val="0063768D"/>
    <w:rsid w:val="00682C0A"/>
    <w:rsid w:val="006969AA"/>
    <w:rsid w:val="006A1540"/>
    <w:rsid w:val="007020EE"/>
    <w:rsid w:val="00710950"/>
    <w:rsid w:val="00776C35"/>
    <w:rsid w:val="007A416A"/>
    <w:rsid w:val="007A796D"/>
    <w:rsid w:val="008D54BC"/>
    <w:rsid w:val="008F3265"/>
    <w:rsid w:val="0090366A"/>
    <w:rsid w:val="009110AA"/>
    <w:rsid w:val="00955CE6"/>
    <w:rsid w:val="00A3074C"/>
    <w:rsid w:val="00A61DAC"/>
    <w:rsid w:val="00A733A8"/>
    <w:rsid w:val="00A97B22"/>
    <w:rsid w:val="00A97E5C"/>
    <w:rsid w:val="00AE16EE"/>
    <w:rsid w:val="00BA361A"/>
    <w:rsid w:val="00BA4C25"/>
    <w:rsid w:val="00BC08E3"/>
    <w:rsid w:val="00BC25BF"/>
    <w:rsid w:val="00C45D71"/>
    <w:rsid w:val="00CC33C7"/>
    <w:rsid w:val="00CC7844"/>
    <w:rsid w:val="00CE140B"/>
    <w:rsid w:val="00DA320B"/>
    <w:rsid w:val="00DD6E6A"/>
    <w:rsid w:val="00E41E53"/>
    <w:rsid w:val="00E92F62"/>
    <w:rsid w:val="00EB651C"/>
    <w:rsid w:val="00EC04BD"/>
    <w:rsid w:val="00F105AD"/>
    <w:rsid w:val="00FE1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7C9AFB"/>
  <w15:docId w15:val="{FD9ACF3D-9F9F-4686-ADE0-37B71F65B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9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69AA"/>
    <w:pPr>
      <w:spacing w:after="0" w:line="240" w:lineRule="auto"/>
    </w:pPr>
  </w:style>
  <w:style w:type="table" w:styleId="TableGrid">
    <w:name w:val="Table Grid"/>
    <w:basedOn w:val="TableNormal"/>
    <w:uiPriority w:val="39"/>
    <w:rsid w:val="00EC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3E6"/>
    <w:pPr>
      <w:ind w:left="720"/>
      <w:contextualSpacing/>
    </w:pPr>
  </w:style>
  <w:style w:type="character" w:styleId="Hyperlink">
    <w:name w:val="Hyperlink"/>
    <w:basedOn w:val="DefaultParagraphFont"/>
    <w:uiPriority w:val="99"/>
    <w:unhideWhenUsed/>
    <w:rsid w:val="00597871"/>
    <w:rPr>
      <w:color w:val="0563C1" w:themeColor="hyperlink"/>
      <w:u w:val="single"/>
    </w:rPr>
  </w:style>
  <w:style w:type="character" w:customStyle="1" w:styleId="UnresolvedMention1">
    <w:name w:val="Unresolved Mention1"/>
    <w:basedOn w:val="DefaultParagraphFont"/>
    <w:uiPriority w:val="99"/>
    <w:semiHidden/>
    <w:unhideWhenUsed/>
    <w:rsid w:val="00597871"/>
    <w:rPr>
      <w:color w:val="605E5C"/>
      <w:shd w:val="clear" w:color="auto" w:fill="E1DFDD"/>
    </w:rPr>
  </w:style>
  <w:style w:type="paragraph" w:styleId="Header">
    <w:name w:val="header"/>
    <w:basedOn w:val="Normal"/>
    <w:link w:val="HeaderChar"/>
    <w:uiPriority w:val="99"/>
    <w:unhideWhenUsed/>
    <w:rsid w:val="00A9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B22"/>
  </w:style>
  <w:style w:type="paragraph" w:styleId="Footer">
    <w:name w:val="footer"/>
    <w:basedOn w:val="Normal"/>
    <w:link w:val="FooterChar"/>
    <w:uiPriority w:val="99"/>
    <w:unhideWhenUsed/>
    <w:rsid w:val="00A9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B22"/>
  </w:style>
  <w:style w:type="character" w:styleId="CommentReference">
    <w:name w:val="annotation reference"/>
    <w:basedOn w:val="DefaultParagraphFont"/>
    <w:uiPriority w:val="99"/>
    <w:semiHidden/>
    <w:unhideWhenUsed/>
    <w:rsid w:val="00E92F62"/>
    <w:rPr>
      <w:sz w:val="16"/>
      <w:szCs w:val="16"/>
    </w:rPr>
  </w:style>
  <w:style w:type="paragraph" w:styleId="CommentText">
    <w:name w:val="annotation text"/>
    <w:basedOn w:val="Normal"/>
    <w:link w:val="CommentTextChar"/>
    <w:uiPriority w:val="99"/>
    <w:semiHidden/>
    <w:unhideWhenUsed/>
    <w:rsid w:val="00E92F62"/>
    <w:pPr>
      <w:spacing w:line="240" w:lineRule="auto"/>
    </w:pPr>
    <w:rPr>
      <w:sz w:val="20"/>
      <w:szCs w:val="20"/>
    </w:rPr>
  </w:style>
  <w:style w:type="character" w:customStyle="1" w:styleId="CommentTextChar">
    <w:name w:val="Comment Text Char"/>
    <w:basedOn w:val="DefaultParagraphFont"/>
    <w:link w:val="CommentText"/>
    <w:uiPriority w:val="99"/>
    <w:semiHidden/>
    <w:rsid w:val="00E92F62"/>
    <w:rPr>
      <w:sz w:val="20"/>
      <w:szCs w:val="20"/>
    </w:rPr>
  </w:style>
  <w:style w:type="paragraph" w:styleId="CommentSubject">
    <w:name w:val="annotation subject"/>
    <w:basedOn w:val="CommentText"/>
    <w:next w:val="CommentText"/>
    <w:link w:val="CommentSubjectChar"/>
    <w:uiPriority w:val="99"/>
    <w:semiHidden/>
    <w:unhideWhenUsed/>
    <w:rsid w:val="00E92F62"/>
    <w:rPr>
      <w:b/>
      <w:bCs/>
    </w:rPr>
  </w:style>
  <w:style w:type="character" w:customStyle="1" w:styleId="CommentSubjectChar">
    <w:name w:val="Comment Subject Char"/>
    <w:basedOn w:val="CommentTextChar"/>
    <w:link w:val="CommentSubject"/>
    <w:uiPriority w:val="99"/>
    <w:semiHidden/>
    <w:rsid w:val="00E92F62"/>
    <w:rPr>
      <w:b/>
      <w:bCs/>
      <w:sz w:val="20"/>
      <w:szCs w:val="20"/>
    </w:rPr>
  </w:style>
  <w:style w:type="paragraph" w:styleId="BalloonText">
    <w:name w:val="Balloon Text"/>
    <w:basedOn w:val="Normal"/>
    <w:link w:val="BalloonTextChar"/>
    <w:uiPriority w:val="99"/>
    <w:semiHidden/>
    <w:unhideWhenUsed/>
    <w:rsid w:val="00E92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F62"/>
    <w:rPr>
      <w:rFonts w:ascii="Tahoma" w:hAnsi="Tahoma" w:cs="Tahoma"/>
      <w:sz w:val="16"/>
      <w:szCs w:val="16"/>
    </w:rPr>
  </w:style>
  <w:style w:type="paragraph" w:styleId="Revision">
    <w:name w:val="Revision"/>
    <w:hidden/>
    <w:uiPriority w:val="99"/>
    <w:semiHidden/>
    <w:rsid w:val="002B1E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79741">
      <w:bodyDiv w:val="1"/>
      <w:marLeft w:val="0"/>
      <w:marRight w:val="0"/>
      <w:marTop w:val="0"/>
      <w:marBottom w:val="0"/>
      <w:divBdr>
        <w:top w:val="none" w:sz="0" w:space="0" w:color="auto"/>
        <w:left w:val="none" w:sz="0" w:space="0" w:color="auto"/>
        <w:bottom w:val="none" w:sz="0" w:space="0" w:color="auto"/>
        <w:right w:val="none" w:sz="0" w:space="0" w:color="auto"/>
      </w:divBdr>
      <w:divsChild>
        <w:div w:id="862010143">
          <w:marLeft w:val="0"/>
          <w:marRight w:val="0"/>
          <w:marTop w:val="0"/>
          <w:marBottom w:val="0"/>
          <w:divBdr>
            <w:top w:val="none" w:sz="0" w:space="0" w:color="auto"/>
            <w:left w:val="none" w:sz="0" w:space="0" w:color="auto"/>
            <w:bottom w:val="none" w:sz="0" w:space="0" w:color="auto"/>
            <w:right w:val="none" w:sz="0" w:space="0" w:color="auto"/>
          </w:divBdr>
          <w:divsChild>
            <w:div w:id="1825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1557">
      <w:bodyDiv w:val="1"/>
      <w:marLeft w:val="0"/>
      <w:marRight w:val="0"/>
      <w:marTop w:val="0"/>
      <w:marBottom w:val="0"/>
      <w:divBdr>
        <w:top w:val="none" w:sz="0" w:space="0" w:color="auto"/>
        <w:left w:val="none" w:sz="0" w:space="0" w:color="auto"/>
        <w:bottom w:val="none" w:sz="0" w:space="0" w:color="auto"/>
        <w:right w:val="none" w:sz="0" w:space="0" w:color="auto"/>
      </w:divBdr>
    </w:div>
    <w:div w:id="825173666">
      <w:bodyDiv w:val="1"/>
      <w:marLeft w:val="0"/>
      <w:marRight w:val="0"/>
      <w:marTop w:val="0"/>
      <w:marBottom w:val="0"/>
      <w:divBdr>
        <w:top w:val="none" w:sz="0" w:space="0" w:color="auto"/>
        <w:left w:val="none" w:sz="0" w:space="0" w:color="auto"/>
        <w:bottom w:val="none" w:sz="0" w:space="0" w:color="auto"/>
        <w:right w:val="none" w:sz="0" w:space="0" w:color="auto"/>
      </w:divBdr>
    </w:div>
    <w:div w:id="836337419">
      <w:bodyDiv w:val="1"/>
      <w:marLeft w:val="0"/>
      <w:marRight w:val="0"/>
      <w:marTop w:val="0"/>
      <w:marBottom w:val="0"/>
      <w:divBdr>
        <w:top w:val="none" w:sz="0" w:space="0" w:color="auto"/>
        <w:left w:val="none" w:sz="0" w:space="0" w:color="auto"/>
        <w:bottom w:val="none" w:sz="0" w:space="0" w:color="auto"/>
        <w:right w:val="none" w:sz="0" w:space="0" w:color="auto"/>
      </w:divBdr>
    </w:div>
    <w:div w:id="995261781">
      <w:bodyDiv w:val="1"/>
      <w:marLeft w:val="0"/>
      <w:marRight w:val="0"/>
      <w:marTop w:val="0"/>
      <w:marBottom w:val="0"/>
      <w:divBdr>
        <w:top w:val="none" w:sz="0" w:space="0" w:color="auto"/>
        <w:left w:val="none" w:sz="0" w:space="0" w:color="auto"/>
        <w:bottom w:val="none" w:sz="0" w:space="0" w:color="auto"/>
        <w:right w:val="none" w:sz="0" w:space="0" w:color="auto"/>
      </w:divBdr>
      <w:divsChild>
        <w:div w:id="1864779946">
          <w:marLeft w:val="0"/>
          <w:marRight w:val="0"/>
          <w:marTop w:val="0"/>
          <w:marBottom w:val="0"/>
          <w:divBdr>
            <w:top w:val="none" w:sz="0" w:space="0" w:color="auto"/>
            <w:left w:val="none" w:sz="0" w:space="0" w:color="auto"/>
            <w:bottom w:val="none" w:sz="0" w:space="0" w:color="auto"/>
            <w:right w:val="none" w:sz="0" w:space="0" w:color="auto"/>
          </w:divBdr>
          <w:divsChild>
            <w:div w:id="1776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4672">
      <w:bodyDiv w:val="1"/>
      <w:marLeft w:val="0"/>
      <w:marRight w:val="0"/>
      <w:marTop w:val="0"/>
      <w:marBottom w:val="0"/>
      <w:divBdr>
        <w:top w:val="none" w:sz="0" w:space="0" w:color="auto"/>
        <w:left w:val="none" w:sz="0" w:space="0" w:color="auto"/>
        <w:bottom w:val="none" w:sz="0" w:space="0" w:color="auto"/>
        <w:right w:val="none" w:sz="0" w:space="0" w:color="auto"/>
      </w:divBdr>
    </w:div>
    <w:div w:id="1790777001">
      <w:bodyDiv w:val="1"/>
      <w:marLeft w:val="0"/>
      <w:marRight w:val="0"/>
      <w:marTop w:val="0"/>
      <w:marBottom w:val="0"/>
      <w:divBdr>
        <w:top w:val="none" w:sz="0" w:space="0" w:color="auto"/>
        <w:left w:val="none" w:sz="0" w:space="0" w:color="auto"/>
        <w:bottom w:val="none" w:sz="0" w:space="0" w:color="auto"/>
        <w:right w:val="none" w:sz="0" w:space="0" w:color="auto"/>
      </w:divBdr>
      <w:divsChild>
        <w:div w:id="448008737">
          <w:marLeft w:val="0"/>
          <w:marRight w:val="0"/>
          <w:marTop w:val="0"/>
          <w:marBottom w:val="0"/>
          <w:divBdr>
            <w:top w:val="none" w:sz="0" w:space="0" w:color="auto"/>
            <w:left w:val="none" w:sz="0" w:space="0" w:color="auto"/>
            <w:bottom w:val="none" w:sz="0" w:space="0" w:color="auto"/>
            <w:right w:val="none" w:sz="0" w:space="0" w:color="auto"/>
          </w:divBdr>
        </w:div>
        <w:div w:id="2056272281">
          <w:marLeft w:val="0"/>
          <w:marRight w:val="0"/>
          <w:marTop w:val="0"/>
          <w:marBottom w:val="0"/>
          <w:divBdr>
            <w:top w:val="none" w:sz="0" w:space="0" w:color="auto"/>
            <w:left w:val="none" w:sz="0" w:space="0" w:color="auto"/>
            <w:bottom w:val="none" w:sz="0" w:space="0" w:color="auto"/>
            <w:right w:val="none" w:sz="0" w:space="0" w:color="auto"/>
          </w:divBdr>
        </w:div>
        <w:div w:id="1010640865">
          <w:marLeft w:val="0"/>
          <w:marRight w:val="0"/>
          <w:marTop w:val="0"/>
          <w:marBottom w:val="0"/>
          <w:divBdr>
            <w:top w:val="none" w:sz="0" w:space="0" w:color="auto"/>
            <w:left w:val="none" w:sz="0" w:space="0" w:color="auto"/>
            <w:bottom w:val="none" w:sz="0" w:space="0" w:color="auto"/>
            <w:right w:val="none" w:sz="0" w:space="0" w:color="auto"/>
          </w:divBdr>
        </w:div>
      </w:divsChild>
    </w:div>
    <w:div w:id="2035841753">
      <w:bodyDiv w:val="1"/>
      <w:marLeft w:val="0"/>
      <w:marRight w:val="0"/>
      <w:marTop w:val="0"/>
      <w:marBottom w:val="0"/>
      <w:divBdr>
        <w:top w:val="none" w:sz="0" w:space="0" w:color="auto"/>
        <w:left w:val="none" w:sz="0" w:space="0" w:color="auto"/>
        <w:bottom w:val="none" w:sz="0" w:space="0" w:color="auto"/>
        <w:right w:val="none" w:sz="0" w:space="0" w:color="auto"/>
      </w:divBdr>
      <w:divsChild>
        <w:div w:id="588537389">
          <w:marLeft w:val="0"/>
          <w:marRight w:val="0"/>
          <w:marTop w:val="0"/>
          <w:marBottom w:val="0"/>
          <w:divBdr>
            <w:top w:val="none" w:sz="0" w:space="0" w:color="auto"/>
            <w:left w:val="none" w:sz="0" w:space="0" w:color="auto"/>
            <w:bottom w:val="none" w:sz="0" w:space="0" w:color="auto"/>
            <w:right w:val="none" w:sz="0" w:space="0" w:color="auto"/>
          </w:divBdr>
          <w:divsChild>
            <w:div w:id="12151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17</Pages>
  <Words>5167</Words>
  <Characters>29455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Hemanth</dc:creator>
  <cp:lastModifiedBy>CPU SDI 1080</cp:lastModifiedBy>
  <cp:revision>11</cp:revision>
  <dcterms:created xsi:type="dcterms:W3CDTF">2025-06-07T18:56:00Z</dcterms:created>
  <dcterms:modified xsi:type="dcterms:W3CDTF">2025-06-14T04:42:00Z</dcterms:modified>
</cp:coreProperties>
</file>