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C9A" w:rsidRPr="00741795" w:rsidRDefault="00741795" w:rsidP="00741795">
      <w:pPr>
        <w:pStyle w:val="Ttulo"/>
        <w:spacing w:after="0"/>
        <w:rPr>
          <w:rFonts w:ascii="Arial" w:hAnsi="Arial" w:cs="Arial"/>
          <w:i/>
          <w:u w:val="single"/>
        </w:rPr>
      </w:pPr>
      <w:r w:rsidRPr="00741795">
        <w:rPr>
          <w:rFonts w:ascii="Arial" w:hAnsi="Arial" w:cs="Arial"/>
          <w:i/>
          <w:u w:val="single"/>
        </w:rPr>
        <w:t>Original Research Article</w:t>
      </w:r>
    </w:p>
    <w:p w:rsidR="00741795" w:rsidRDefault="00741795" w:rsidP="00441B6F">
      <w:pPr>
        <w:pStyle w:val="Ttulo"/>
        <w:spacing w:after="0"/>
        <w:jc w:val="both"/>
        <w:rPr>
          <w:rFonts w:ascii="Arial" w:hAnsi="Arial" w:cs="Arial"/>
        </w:rPr>
      </w:pPr>
    </w:p>
    <w:p w:rsidR="00A735B4" w:rsidRPr="00163BC4" w:rsidRDefault="00A735B4" w:rsidP="00A735B4">
      <w:pPr>
        <w:pStyle w:val="Author"/>
        <w:spacing w:line="240" w:lineRule="auto"/>
        <w:rPr>
          <w:rFonts w:ascii="Arial" w:hAnsi="Arial" w:cs="Arial"/>
          <w:bCs/>
          <w:iCs/>
          <w:kern w:val="28"/>
          <w:sz w:val="36"/>
        </w:rPr>
      </w:pPr>
      <w:r w:rsidRPr="00AB5276">
        <w:rPr>
          <w:rFonts w:ascii="Arial" w:hAnsi="Arial" w:cs="Arial"/>
          <w:bCs/>
          <w:iCs/>
          <w:kern w:val="28"/>
          <w:sz w:val="36"/>
        </w:rPr>
        <w:t xml:space="preserve">High and low molecular weight hyaluronic acid affect the expression of surface molecules by monocytes stimulated with </w:t>
      </w:r>
      <w:proofErr w:type="spellStart"/>
      <w:r w:rsidRPr="00AB5276">
        <w:rPr>
          <w:rFonts w:ascii="Arial" w:hAnsi="Arial" w:cs="Arial"/>
          <w:bCs/>
          <w:i/>
          <w:iCs/>
          <w:kern w:val="28"/>
          <w:sz w:val="36"/>
        </w:rPr>
        <w:t>Porphyromonas</w:t>
      </w:r>
      <w:proofErr w:type="spellEnd"/>
      <w:r w:rsidRPr="00AB5276">
        <w:rPr>
          <w:rFonts w:ascii="Arial" w:hAnsi="Arial" w:cs="Arial"/>
          <w:bCs/>
          <w:i/>
          <w:iCs/>
          <w:kern w:val="28"/>
          <w:sz w:val="36"/>
        </w:rPr>
        <w:t xml:space="preserve"> </w:t>
      </w:r>
      <w:proofErr w:type="spellStart"/>
      <w:r w:rsidRPr="00AB5276">
        <w:rPr>
          <w:rFonts w:ascii="Arial" w:hAnsi="Arial" w:cs="Arial"/>
          <w:bCs/>
          <w:i/>
          <w:iCs/>
          <w:kern w:val="28"/>
          <w:sz w:val="36"/>
        </w:rPr>
        <w:t>gingivalis</w:t>
      </w:r>
      <w:proofErr w:type="spellEnd"/>
      <w:r w:rsidRPr="00AB5276">
        <w:rPr>
          <w:rFonts w:ascii="Arial" w:hAnsi="Arial" w:cs="Arial"/>
          <w:bCs/>
          <w:iCs/>
          <w:kern w:val="28"/>
          <w:sz w:val="36"/>
        </w:rPr>
        <w:t xml:space="preserve"> in vitro</w:t>
      </w:r>
      <w:r>
        <w:rPr>
          <w:rFonts w:ascii="Arial" w:hAnsi="Arial" w:cs="Arial"/>
          <w:bCs/>
          <w:iCs/>
          <w:kern w:val="28"/>
          <w:sz w:val="36"/>
        </w:rPr>
        <w:t xml:space="preserve"> </w:t>
      </w:r>
    </w:p>
    <w:p w:rsidR="00B01FCD" w:rsidRPr="00FB3A86" w:rsidRDefault="001465CF" w:rsidP="00441B6F">
      <w:pPr>
        <w:pStyle w:val="Copyright"/>
        <w:spacing w:after="0" w:line="240" w:lineRule="auto"/>
        <w:jc w:val="both"/>
        <w:rPr>
          <w:rFonts w:ascii="Arial" w:hAnsi="Arial" w:cs="Arial"/>
        </w:rPr>
        <w:sectPr w:rsidR="00B01FCD" w:rsidRPr="00FB3A86" w:rsidSect="00AA3007">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1E44FE">
        <w:tc>
          <w:tcPr>
            <w:tcW w:w="9576" w:type="dxa"/>
            <w:shd w:val="clear" w:color="auto" w:fill="F2F2F2"/>
          </w:tcPr>
          <w:p w:rsidR="00A735B4" w:rsidRDefault="00A735B4" w:rsidP="00A735B4">
            <w:pPr>
              <w:pStyle w:val="Body"/>
              <w:spacing w:after="0"/>
              <w:rPr>
                <w:rFonts w:ascii="Arial" w:eastAsia="Calibri" w:hAnsi="Arial" w:cs="Arial"/>
                <w:szCs w:val="22"/>
              </w:rPr>
            </w:pPr>
            <w:r w:rsidRPr="00BA1B01">
              <w:rPr>
                <w:rFonts w:ascii="Arial" w:eastAsia="Calibri" w:hAnsi="Arial" w:cs="Arial"/>
                <w:b/>
                <w:szCs w:val="22"/>
              </w:rPr>
              <w:t>Aims:</w:t>
            </w:r>
            <w:r w:rsidRPr="00402ABA">
              <w:rPr>
                <w:rFonts w:ascii="Arial" w:eastAsia="Calibri" w:hAnsi="Arial" w:cs="Arial"/>
                <w:szCs w:val="22"/>
              </w:rPr>
              <w:t xml:space="preserve"> Hyaluronic acid (HA) has been used as an adjunct in the treatment of periodontal disease. HA molecules of different molecular weights act on different cell types, inducing differentiation, activation, migration, and production of inflammatory mediators. The aim of this study was to evaluate the effect of low (LMWHA) and high (HMWHA) molecular weight HA on the expression of costimulatory molecules and toll-like receptors by monocyte subpopulations stimulated in vitro with </w:t>
            </w:r>
            <w:proofErr w:type="spellStart"/>
            <w:r w:rsidRPr="00415E3E">
              <w:rPr>
                <w:rFonts w:ascii="Arial" w:eastAsia="Calibri" w:hAnsi="Arial" w:cs="Arial"/>
                <w:i/>
                <w:szCs w:val="22"/>
              </w:rPr>
              <w:t>Porphyromonas</w:t>
            </w:r>
            <w:proofErr w:type="spellEnd"/>
            <w:r w:rsidRPr="00415E3E">
              <w:rPr>
                <w:rFonts w:ascii="Arial" w:eastAsia="Calibri" w:hAnsi="Arial" w:cs="Arial"/>
                <w:i/>
                <w:szCs w:val="22"/>
              </w:rPr>
              <w:t xml:space="preserve"> </w:t>
            </w:r>
            <w:proofErr w:type="spellStart"/>
            <w:r w:rsidRPr="00415E3E">
              <w:rPr>
                <w:rFonts w:ascii="Arial" w:eastAsia="Calibri" w:hAnsi="Arial" w:cs="Arial"/>
                <w:i/>
                <w:szCs w:val="22"/>
              </w:rPr>
              <w:t>gingivalis</w:t>
            </w:r>
            <w:proofErr w:type="spellEnd"/>
            <w:r w:rsidRPr="00402ABA">
              <w:rPr>
                <w:rFonts w:ascii="Arial" w:eastAsia="Calibri" w:hAnsi="Arial" w:cs="Arial"/>
                <w:szCs w:val="22"/>
              </w:rPr>
              <w:t xml:space="preserve"> (</w:t>
            </w:r>
            <w:proofErr w:type="spellStart"/>
            <w:r w:rsidRPr="00402ABA">
              <w:rPr>
                <w:rFonts w:ascii="Arial" w:eastAsia="Calibri" w:hAnsi="Arial" w:cs="Arial"/>
                <w:szCs w:val="22"/>
              </w:rPr>
              <w:t>Pg</w:t>
            </w:r>
            <w:proofErr w:type="spellEnd"/>
            <w:r w:rsidRPr="00402ABA">
              <w:rPr>
                <w:rFonts w:ascii="Arial" w:eastAsia="Calibri" w:hAnsi="Arial" w:cs="Arial"/>
                <w:szCs w:val="22"/>
              </w:rPr>
              <w:t xml:space="preserve">). </w:t>
            </w:r>
          </w:p>
          <w:p w:rsidR="00A735B4" w:rsidRDefault="00A735B4" w:rsidP="00A735B4">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Pr>
                <w:rFonts w:ascii="Arial" w:eastAsia="Calibri" w:hAnsi="Arial" w:cs="Arial"/>
                <w:szCs w:val="22"/>
              </w:rPr>
              <w:t>In vitro experimental study.</w:t>
            </w:r>
          </w:p>
          <w:p w:rsidR="00A735B4" w:rsidRPr="00BA1B01" w:rsidRDefault="00A735B4" w:rsidP="00A735B4">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Pr="00394146">
              <w:rPr>
                <w:rFonts w:ascii="Arial" w:eastAsia="Calibri" w:hAnsi="Arial" w:cs="Arial"/>
                <w:szCs w:val="22"/>
              </w:rPr>
              <w:t xml:space="preserve">Laboratory of Biology and Immunology of Infectious and Parasitic Diseases, </w:t>
            </w:r>
            <w:proofErr w:type="spellStart"/>
            <w:r w:rsidRPr="00394146">
              <w:rPr>
                <w:rFonts w:ascii="Arial" w:eastAsia="Calibri" w:hAnsi="Arial" w:cs="Arial"/>
                <w:szCs w:val="22"/>
              </w:rPr>
              <w:t>Instituto</w:t>
            </w:r>
            <w:proofErr w:type="spellEnd"/>
            <w:r w:rsidRPr="00394146">
              <w:rPr>
                <w:rFonts w:ascii="Arial" w:eastAsia="Calibri" w:hAnsi="Arial" w:cs="Arial"/>
                <w:szCs w:val="22"/>
              </w:rPr>
              <w:t xml:space="preserve"> René </w:t>
            </w:r>
            <w:proofErr w:type="spellStart"/>
            <w:r w:rsidRPr="00394146">
              <w:rPr>
                <w:rFonts w:ascii="Arial" w:eastAsia="Calibri" w:hAnsi="Arial" w:cs="Arial"/>
                <w:szCs w:val="22"/>
              </w:rPr>
              <w:t>Rachou</w:t>
            </w:r>
            <w:proofErr w:type="spellEnd"/>
            <w:r w:rsidRPr="00394146">
              <w:rPr>
                <w:rFonts w:ascii="Arial" w:eastAsia="Calibri" w:hAnsi="Arial" w:cs="Arial"/>
                <w:szCs w:val="22"/>
              </w:rPr>
              <w:t xml:space="preserve">, </w:t>
            </w:r>
            <w:proofErr w:type="spellStart"/>
            <w:r w:rsidRPr="00394146">
              <w:rPr>
                <w:rFonts w:ascii="Arial" w:eastAsia="Calibri" w:hAnsi="Arial" w:cs="Arial"/>
                <w:szCs w:val="22"/>
              </w:rPr>
              <w:t>Fiocruz</w:t>
            </w:r>
            <w:proofErr w:type="spellEnd"/>
            <w:r w:rsidRPr="00394146">
              <w:rPr>
                <w:rFonts w:ascii="Arial" w:eastAsia="Calibri" w:hAnsi="Arial" w:cs="Arial"/>
                <w:szCs w:val="22"/>
              </w:rPr>
              <w:t xml:space="preserve"> Minas</w:t>
            </w:r>
            <w:r>
              <w:rPr>
                <w:rFonts w:ascii="Arial" w:eastAsia="Calibri" w:hAnsi="Arial" w:cs="Arial"/>
                <w:szCs w:val="22"/>
              </w:rPr>
              <w:t xml:space="preserve">, </w:t>
            </w:r>
            <w:r w:rsidRPr="00BA1B01">
              <w:rPr>
                <w:rFonts w:ascii="Arial" w:eastAsia="Calibri" w:hAnsi="Arial" w:cs="Arial"/>
                <w:szCs w:val="22"/>
              </w:rPr>
              <w:t xml:space="preserve">between </w:t>
            </w:r>
            <w:r>
              <w:rPr>
                <w:rFonts w:ascii="Arial" w:eastAsia="Calibri" w:hAnsi="Arial" w:cs="Arial"/>
                <w:szCs w:val="22"/>
              </w:rPr>
              <w:t>2018 and 2019</w:t>
            </w:r>
            <w:r w:rsidRPr="00BA1B01">
              <w:rPr>
                <w:rFonts w:ascii="Arial" w:eastAsia="Calibri" w:hAnsi="Arial" w:cs="Arial"/>
                <w:szCs w:val="22"/>
              </w:rPr>
              <w:t>.</w:t>
            </w:r>
          </w:p>
          <w:p w:rsidR="00A735B4" w:rsidRDefault="00A735B4" w:rsidP="00A735B4">
            <w:pPr>
              <w:pStyle w:val="Body"/>
              <w:spacing w:after="0"/>
              <w:rPr>
                <w:rFonts w:ascii="Arial" w:eastAsia="Calibri" w:hAnsi="Arial" w:cs="Arial"/>
                <w:szCs w:val="22"/>
              </w:rPr>
            </w:pPr>
            <w:r w:rsidRPr="00BA1B01">
              <w:rPr>
                <w:rFonts w:ascii="Arial" w:eastAsia="Calibri" w:hAnsi="Arial" w:cs="Arial"/>
                <w:b/>
                <w:bCs/>
                <w:szCs w:val="22"/>
              </w:rPr>
              <w:t>Methodology:</w:t>
            </w:r>
            <w:r w:rsidRPr="00402ABA">
              <w:rPr>
                <w:rFonts w:ascii="Arial" w:eastAsia="Calibri" w:hAnsi="Arial" w:cs="Arial"/>
                <w:szCs w:val="22"/>
              </w:rPr>
              <w:t xml:space="preserve"> Peripheral blood mononuclear cells (PBMCs) from 10 donors were stimulated with </w:t>
            </w:r>
            <w:proofErr w:type="spellStart"/>
            <w:r w:rsidRPr="00402ABA">
              <w:rPr>
                <w:rFonts w:ascii="Arial" w:eastAsia="Calibri" w:hAnsi="Arial" w:cs="Arial"/>
                <w:szCs w:val="22"/>
              </w:rPr>
              <w:t>Pg</w:t>
            </w:r>
            <w:proofErr w:type="spellEnd"/>
            <w:r w:rsidRPr="00402ABA">
              <w:rPr>
                <w:rFonts w:ascii="Arial" w:eastAsia="Calibri" w:hAnsi="Arial" w:cs="Arial"/>
                <w:szCs w:val="22"/>
              </w:rPr>
              <w:t xml:space="preserve"> during 1 hour and then incubated with 0.2% LMWHA or HMWHA for another sixteen hours. Immunostaining and flow cytometry were performed for detection of CD40, CD80, CD86, HLA-DR, TLR2 and TLR4 expression by CD14+ monocytes and subpopulations of classical (CD14+CD16-) and non-classical/intermediate monocytes (CD14+CD16+).</w:t>
            </w:r>
          </w:p>
          <w:p w:rsidR="00A735B4" w:rsidRDefault="00A735B4" w:rsidP="00A735B4">
            <w:pPr>
              <w:pStyle w:val="Body"/>
              <w:spacing w:after="0"/>
              <w:rPr>
                <w:rFonts w:ascii="Arial" w:eastAsia="Calibri" w:hAnsi="Arial" w:cs="Arial"/>
                <w:szCs w:val="22"/>
              </w:rPr>
            </w:pPr>
            <w:r w:rsidRPr="00BA1B01">
              <w:rPr>
                <w:rFonts w:ascii="Arial" w:eastAsia="Calibri" w:hAnsi="Arial" w:cs="Arial"/>
                <w:b/>
                <w:bCs/>
                <w:szCs w:val="22"/>
              </w:rPr>
              <w:t>Results:</w:t>
            </w:r>
            <w:r w:rsidRPr="00402ABA">
              <w:rPr>
                <w:rFonts w:ascii="Arial" w:eastAsia="Calibri" w:hAnsi="Arial" w:cs="Arial"/>
                <w:szCs w:val="22"/>
              </w:rPr>
              <w:t xml:space="preserve"> LMWHA or HMWHA increased TLR2 and reduced TLR4 expression, but did not affect CD40, CD80, CD86 or HLA-DR in total and classical monocytes. Considering </w:t>
            </w:r>
            <w:proofErr w:type="spellStart"/>
            <w:r w:rsidRPr="00402ABA">
              <w:rPr>
                <w:rFonts w:ascii="Arial" w:eastAsia="Calibri" w:hAnsi="Arial" w:cs="Arial"/>
                <w:szCs w:val="22"/>
              </w:rPr>
              <w:t>Pg</w:t>
            </w:r>
            <w:proofErr w:type="spellEnd"/>
            <w:r w:rsidRPr="00402ABA">
              <w:rPr>
                <w:rFonts w:ascii="Arial" w:eastAsia="Calibri" w:hAnsi="Arial" w:cs="Arial"/>
                <w:szCs w:val="22"/>
              </w:rPr>
              <w:t>-stimulated cells, HMWHA increased the expression of CD40, HLA-DR and TLR2 in non-classical/intermediate monocytes.</w:t>
            </w:r>
          </w:p>
          <w:p w:rsidR="00505F06" w:rsidRPr="00BA1B01" w:rsidRDefault="00A735B4" w:rsidP="00A735B4">
            <w:pPr>
              <w:pStyle w:val="Body"/>
              <w:spacing w:after="0"/>
              <w:rPr>
                <w:rFonts w:ascii="Arial" w:eastAsia="Calibri" w:hAnsi="Arial" w:cs="Arial"/>
                <w:szCs w:val="22"/>
              </w:rPr>
            </w:pPr>
            <w:r w:rsidRPr="00BA1B01">
              <w:rPr>
                <w:rFonts w:ascii="Arial" w:eastAsia="Calibri" w:hAnsi="Arial" w:cs="Arial"/>
                <w:b/>
                <w:bCs/>
                <w:szCs w:val="22"/>
              </w:rPr>
              <w:t>Conclusion:</w:t>
            </w:r>
            <w:r w:rsidRPr="00402ABA">
              <w:rPr>
                <w:rFonts w:ascii="Arial" w:eastAsia="Calibri" w:hAnsi="Arial" w:cs="Arial"/>
                <w:szCs w:val="22"/>
              </w:rPr>
              <w:t xml:space="preserve"> </w:t>
            </w:r>
            <w:r>
              <w:rPr>
                <w:rFonts w:ascii="Arial" w:eastAsia="Calibri" w:hAnsi="Arial" w:cs="Arial"/>
                <w:szCs w:val="22"/>
              </w:rPr>
              <w:t>T</w:t>
            </w:r>
            <w:r w:rsidRPr="00402ABA">
              <w:rPr>
                <w:rFonts w:ascii="Arial" w:eastAsia="Calibri" w:hAnsi="Arial" w:cs="Arial"/>
                <w:szCs w:val="22"/>
              </w:rPr>
              <w:t>he effect of HA used topically in the periodontal tissues seems to directly involve modulation of surface molecules responsible for cell signaling and control of periodontal immunoinflammatory processes</w:t>
            </w:r>
            <w:r>
              <w:rPr>
                <w:rFonts w:ascii="Arial" w:eastAsia="Calibri" w:hAnsi="Arial" w:cs="Arial"/>
                <w:szCs w:val="22"/>
              </w:rPr>
              <w:t>.</w:t>
            </w:r>
          </w:p>
        </w:tc>
      </w:tr>
    </w:tbl>
    <w:p w:rsidR="00636EB2" w:rsidRDefault="00636EB2" w:rsidP="00441B6F">
      <w:pPr>
        <w:pStyle w:val="Body"/>
        <w:spacing w:after="0"/>
        <w:rPr>
          <w:rFonts w:ascii="Arial" w:hAnsi="Arial" w:cs="Arial"/>
          <w:i/>
        </w:rPr>
      </w:pPr>
    </w:p>
    <w:p w:rsidR="00A24E7E" w:rsidRDefault="00A735B4" w:rsidP="00441B6F">
      <w:pPr>
        <w:pStyle w:val="Body"/>
        <w:spacing w:after="0"/>
        <w:rPr>
          <w:rFonts w:ascii="Arial" w:hAnsi="Arial" w:cs="Arial"/>
          <w:i/>
        </w:rPr>
      </w:pPr>
      <w:r>
        <w:rPr>
          <w:rFonts w:ascii="Arial" w:hAnsi="Arial" w:cs="Arial"/>
          <w:i/>
        </w:rPr>
        <w:t xml:space="preserve">Keywords: </w:t>
      </w:r>
      <w:r w:rsidRPr="00394146">
        <w:rPr>
          <w:rFonts w:ascii="Arial" w:hAnsi="Arial" w:cs="Arial"/>
          <w:i/>
        </w:rPr>
        <w:t xml:space="preserve">Hyaluronic Acid; Monocytes; </w:t>
      </w:r>
      <w:proofErr w:type="spellStart"/>
      <w:r w:rsidRPr="00394146">
        <w:rPr>
          <w:rFonts w:ascii="Arial" w:hAnsi="Arial" w:cs="Arial"/>
          <w:i/>
        </w:rPr>
        <w:t>Porphyromonas</w:t>
      </w:r>
      <w:proofErr w:type="spellEnd"/>
      <w:r w:rsidRPr="00394146">
        <w:rPr>
          <w:rFonts w:ascii="Arial" w:hAnsi="Arial" w:cs="Arial"/>
          <w:i/>
        </w:rPr>
        <w:t xml:space="preserve"> </w:t>
      </w:r>
      <w:proofErr w:type="spellStart"/>
      <w:r>
        <w:rPr>
          <w:rFonts w:ascii="Arial" w:hAnsi="Arial" w:cs="Arial"/>
          <w:i/>
        </w:rPr>
        <w:t>gingivalis</w:t>
      </w:r>
      <w:proofErr w:type="spellEnd"/>
      <w:r>
        <w:rPr>
          <w:rFonts w:ascii="Arial" w:hAnsi="Arial" w:cs="Arial"/>
          <w:i/>
        </w:rPr>
        <w:t>; Toll-Like Receptors</w:t>
      </w:r>
      <w:r w:rsidR="00F35BF7">
        <w:rPr>
          <w:rFonts w:ascii="Arial" w:hAnsi="Arial" w:cs="Arial"/>
          <w:i/>
        </w:rPr>
        <w:t xml:space="preserve">; </w:t>
      </w:r>
      <w:r w:rsidR="00F35BF7" w:rsidRPr="00F35BF7">
        <w:rPr>
          <w:rFonts w:ascii="Arial" w:hAnsi="Arial" w:cs="Arial"/>
          <w:i/>
          <w:color w:val="FF0000"/>
        </w:rPr>
        <w:t>B7 Antigens; CD40 Antigens; HLA-DR Antigens</w:t>
      </w:r>
      <w:r w:rsidR="00F35BF7">
        <w:rPr>
          <w:rFonts w:ascii="Arial" w:hAnsi="Arial" w:cs="Arial"/>
          <w:i/>
        </w:rPr>
        <w:t>.</w:t>
      </w:r>
    </w:p>
    <w:p w:rsidR="00790ADA" w:rsidRDefault="00790ADA"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A735B4" w:rsidRDefault="00A735B4" w:rsidP="00A735B4">
      <w:pPr>
        <w:pStyle w:val="Body"/>
        <w:spacing w:after="0"/>
        <w:rPr>
          <w:rFonts w:ascii="Arial" w:hAnsi="Arial" w:cs="Arial"/>
        </w:rPr>
      </w:pPr>
      <w:r w:rsidRPr="006D521E">
        <w:rPr>
          <w:rFonts w:ascii="Arial" w:hAnsi="Arial" w:cs="Arial"/>
        </w:rPr>
        <w:t xml:space="preserve">Periodontitis is an inflammation of the supporting tissues of the teeth with progressive attachment loss and bone destruction </w:t>
      </w:r>
      <w:r w:rsidR="00EF20CA">
        <w:rPr>
          <w:rFonts w:ascii="Arial" w:hAnsi="Arial" w:cs="Arial"/>
        </w:rPr>
        <w:t>[1]</w:t>
      </w:r>
      <w:r w:rsidRPr="006D521E">
        <w:rPr>
          <w:rFonts w:ascii="Arial" w:hAnsi="Arial" w:cs="Arial"/>
        </w:rPr>
        <w:t xml:space="preserve">. The inflammation is initiated by complex and diverse microbial biofilms, which form on the teeth, and challenged the host defense system releasing substances such as lipopolysaccharides (LPS), antigens and other virulence factors </w:t>
      </w:r>
      <w:r w:rsidR="0068712E">
        <w:rPr>
          <w:rFonts w:ascii="Arial" w:hAnsi="Arial" w:cs="Arial"/>
        </w:rPr>
        <w:t>[1]</w:t>
      </w:r>
      <w:r w:rsidRPr="006D521E">
        <w:rPr>
          <w:rFonts w:ascii="Arial" w:hAnsi="Arial" w:cs="Arial"/>
        </w:rPr>
        <w:t xml:space="preserve">. </w:t>
      </w:r>
      <w:proofErr w:type="spellStart"/>
      <w:r w:rsidRPr="006D521E">
        <w:rPr>
          <w:rFonts w:ascii="Arial" w:hAnsi="Arial" w:cs="Arial"/>
          <w:i/>
        </w:rPr>
        <w:t>Porphyromonas</w:t>
      </w:r>
      <w:proofErr w:type="spellEnd"/>
      <w:r w:rsidRPr="006D521E">
        <w:rPr>
          <w:rFonts w:ascii="Arial" w:hAnsi="Arial" w:cs="Arial"/>
          <w:i/>
        </w:rPr>
        <w:t xml:space="preserve"> </w:t>
      </w:r>
      <w:proofErr w:type="spellStart"/>
      <w:r w:rsidRPr="006D521E">
        <w:rPr>
          <w:rFonts w:ascii="Arial" w:hAnsi="Arial" w:cs="Arial"/>
          <w:i/>
        </w:rPr>
        <w:t>gingivalis</w:t>
      </w:r>
      <w:proofErr w:type="spellEnd"/>
      <w:r w:rsidRPr="006D521E">
        <w:rPr>
          <w:rFonts w:ascii="Arial" w:hAnsi="Arial" w:cs="Arial"/>
        </w:rPr>
        <w:t xml:space="preserve"> is a Gram-negative bacterium highly pathogenic that has LPS as a major virulence factor and is closely associated with periodontitis </w:t>
      </w:r>
      <w:r w:rsidR="0068712E">
        <w:rPr>
          <w:rFonts w:ascii="Arial" w:hAnsi="Arial" w:cs="Arial"/>
        </w:rPr>
        <w:t>[2]</w:t>
      </w:r>
      <w:r>
        <w:rPr>
          <w:rFonts w:ascii="Arial" w:hAnsi="Arial" w:cs="Arial"/>
        </w:rPr>
        <w:t>.</w:t>
      </w:r>
    </w:p>
    <w:p w:rsidR="00A735B4" w:rsidRPr="006D521E" w:rsidRDefault="00A735B4" w:rsidP="00A735B4">
      <w:pPr>
        <w:pStyle w:val="Body"/>
        <w:spacing w:after="0"/>
        <w:rPr>
          <w:rFonts w:ascii="Arial" w:hAnsi="Arial" w:cs="Arial"/>
        </w:rPr>
      </w:pPr>
      <w:r w:rsidRPr="006D521E">
        <w:rPr>
          <w:rFonts w:ascii="Arial" w:hAnsi="Arial" w:cs="Arial"/>
        </w:rPr>
        <w:t xml:space="preserve">Hyaluronic acid (HA) is a glycosaminoglycan present in extracellular matrix which plays a crucial role in the post-inflammation tissue repair, facilitating the migration and cell differentiation through cell signaling and interaction with growth factors present in the </w:t>
      </w:r>
      <w:proofErr w:type="spellStart"/>
      <w:r w:rsidRPr="006D521E">
        <w:rPr>
          <w:rFonts w:ascii="Arial" w:hAnsi="Arial" w:cs="Arial"/>
        </w:rPr>
        <w:t>interstitium</w:t>
      </w:r>
      <w:proofErr w:type="spellEnd"/>
      <w:r w:rsidRPr="006D521E">
        <w:rPr>
          <w:rFonts w:ascii="Arial" w:hAnsi="Arial" w:cs="Arial"/>
        </w:rPr>
        <w:t xml:space="preserve"> </w:t>
      </w:r>
      <w:r w:rsidR="0068712E">
        <w:rPr>
          <w:rFonts w:ascii="Arial" w:hAnsi="Arial" w:cs="Arial"/>
        </w:rPr>
        <w:t>[3]</w:t>
      </w:r>
      <w:r w:rsidRPr="004E3953">
        <w:rPr>
          <w:rFonts w:ascii="Arial" w:hAnsi="Arial" w:cs="Arial"/>
        </w:rPr>
        <w:t xml:space="preserve">. </w:t>
      </w:r>
      <w:r w:rsidRPr="006D521E">
        <w:rPr>
          <w:rFonts w:ascii="Arial" w:hAnsi="Arial" w:cs="Arial"/>
        </w:rPr>
        <w:t xml:space="preserve">Studies reveal that most of HA’s properties are size-dependent </w:t>
      </w:r>
      <w:r w:rsidR="0068712E">
        <w:rPr>
          <w:rFonts w:ascii="Arial" w:hAnsi="Arial" w:cs="Arial"/>
        </w:rPr>
        <w:t>[3]</w:t>
      </w:r>
      <w:r w:rsidRPr="004E3953">
        <w:rPr>
          <w:rFonts w:ascii="Arial" w:hAnsi="Arial" w:cs="Arial"/>
        </w:rPr>
        <w:t xml:space="preserve">. </w:t>
      </w:r>
      <w:r w:rsidRPr="006D521E">
        <w:rPr>
          <w:rFonts w:ascii="Arial" w:hAnsi="Arial" w:cs="Arial"/>
        </w:rPr>
        <w:t xml:space="preserve">High molecular weight HA (HMWHA,&gt;103 </w:t>
      </w:r>
      <w:proofErr w:type="spellStart"/>
      <w:r w:rsidRPr="006D521E">
        <w:rPr>
          <w:rFonts w:ascii="Arial" w:hAnsi="Arial" w:cs="Arial"/>
        </w:rPr>
        <w:t>kDa</w:t>
      </w:r>
      <w:proofErr w:type="spellEnd"/>
      <w:r w:rsidRPr="006D521E">
        <w:rPr>
          <w:rFonts w:ascii="Arial" w:hAnsi="Arial" w:cs="Arial"/>
        </w:rPr>
        <w:t xml:space="preserve">) exerts anti-inflammatory, immunosuppressive and </w:t>
      </w:r>
      <w:r w:rsidRPr="006D521E">
        <w:rPr>
          <w:rFonts w:ascii="Arial" w:hAnsi="Arial" w:cs="Arial"/>
        </w:rPr>
        <w:lastRenderedPageBreak/>
        <w:t xml:space="preserve">wound healing effects, while low molecular weight HA (LMWHA) shows pro-inflammatory properties </w:t>
      </w:r>
      <w:r w:rsidR="0068712E">
        <w:rPr>
          <w:rFonts w:ascii="Arial" w:hAnsi="Arial" w:cs="Arial"/>
        </w:rPr>
        <w:t>[4]</w:t>
      </w:r>
      <w:r w:rsidRPr="004E3953">
        <w:rPr>
          <w:rFonts w:ascii="Arial" w:hAnsi="Arial" w:cs="Arial"/>
        </w:rPr>
        <w:t>.</w:t>
      </w:r>
    </w:p>
    <w:p w:rsidR="00A735B4" w:rsidRPr="006D521E" w:rsidRDefault="00A735B4" w:rsidP="00A735B4">
      <w:pPr>
        <w:pStyle w:val="Body"/>
        <w:spacing w:after="0"/>
        <w:rPr>
          <w:rFonts w:ascii="Arial" w:hAnsi="Arial" w:cs="Arial"/>
        </w:rPr>
      </w:pPr>
      <w:r w:rsidRPr="006D521E">
        <w:rPr>
          <w:rFonts w:ascii="Arial" w:hAnsi="Arial" w:cs="Arial"/>
        </w:rPr>
        <w:t>Studies have shown that topical application of HA gel reduced the inflammation and edema in patients with gingivitis</w:t>
      </w:r>
      <w:r w:rsidRPr="004E3953">
        <w:t xml:space="preserve"> </w:t>
      </w:r>
      <w:r w:rsidR="0068712E">
        <w:t>[5]</w:t>
      </w:r>
      <w:r w:rsidRPr="006D521E">
        <w:rPr>
          <w:rFonts w:ascii="Arial" w:hAnsi="Arial" w:cs="Arial"/>
        </w:rPr>
        <w:t xml:space="preserve"> and reduced inflammation, plaque index, bleeding and probing depth in treating periodontal disease </w:t>
      </w:r>
      <w:r w:rsidR="0068712E">
        <w:rPr>
          <w:rFonts w:ascii="Arial" w:hAnsi="Arial" w:cs="Arial"/>
        </w:rPr>
        <w:t>[6]</w:t>
      </w:r>
      <w:r w:rsidRPr="006D521E">
        <w:rPr>
          <w:rFonts w:ascii="Arial" w:hAnsi="Arial" w:cs="Arial"/>
        </w:rPr>
        <w:t xml:space="preserve">. </w:t>
      </w:r>
    </w:p>
    <w:p w:rsidR="00A735B4" w:rsidRPr="006D521E" w:rsidRDefault="00226760" w:rsidP="00A735B4">
      <w:pPr>
        <w:pStyle w:val="Body"/>
        <w:spacing w:after="0"/>
        <w:rPr>
          <w:rFonts w:ascii="Arial" w:hAnsi="Arial" w:cs="Arial"/>
        </w:rPr>
      </w:pPr>
      <w:r>
        <w:rPr>
          <w:rFonts w:ascii="Arial" w:hAnsi="Arial" w:cs="Arial"/>
        </w:rPr>
        <w:t>T</w:t>
      </w:r>
      <w:r w:rsidR="00A735B4" w:rsidRPr="006D521E">
        <w:rPr>
          <w:rFonts w:ascii="Arial" w:hAnsi="Arial" w:cs="Arial"/>
        </w:rPr>
        <w:t xml:space="preserve">he </w:t>
      </w:r>
      <w:proofErr w:type="spellStart"/>
      <w:r w:rsidR="00A735B4" w:rsidRPr="006D521E">
        <w:rPr>
          <w:rFonts w:ascii="Arial" w:hAnsi="Arial" w:cs="Arial"/>
        </w:rPr>
        <w:t>subgingival</w:t>
      </w:r>
      <w:proofErr w:type="spellEnd"/>
      <w:r w:rsidR="00A735B4" w:rsidRPr="006D521E">
        <w:rPr>
          <w:rFonts w:ascii="Arial" w:hAnsi="Arial" w:cs="Arial"/>
        </w:rPr>
        <w:t xml:space="preserve"> administration of HA gel as adjuvant to surface root debridement has significant anti-inflammatory effects with a potential role for the treatment of chronic periodontitis through its significant positive impact on clinical periodontal parameters, pro-inflammatory cytokines, and biochemical marker improvement as compared to </w:t>
      </w:r>
      <w:proofErr w:type="spellStart"/>
      <w:r w:rsidR="00A735B4" w:rsidRPr="006D521E">
        <w:rPr>
          <w:rFonts w:ascii="Arial" w:hAnsi="Arial" w:cs="Arial"/>
        </w:rPr>
        <w:t>chlorhexidine</w:t>
      </w:r>
      <w:proofErr w:type="spellEnd"/>
      <w:r w:rsidR="00A735B4" w:rsidRPr="006D521E">
        <w:rPr>
          <w:rFonts w:ascii="Arial" w:hAnsi="Arial" w:cs="Arial"/>
        </w:rPr>
        <w:t xml:space="preserve"> </w:t>
      </w:r>
      <w:r w:rsidR="0068712E">
        <w:rPr>
          <w:rFonts w:ascii="Arial" w:hAnsi="Arial" w:cs="Arial"/>
        </w:rPr>
        <w:t>[7]</w:t>
      </w:r>
      <w:r w:rsidR="00A735B4" w:rsidRPr="0063685A">
        <w:rPr>
          <w:rFonts w:ascii="Arial" w:hAnsi="Arial" w:cs="Arial"/>
        </w:rPr>
        <w:t xml:space="preserve">. </w:t>
      </w:r>
      <w:r w:rsidRPr="00226760">
        <w:rPr>
          <w:rFonts w:ascii="Arial" w:hAnsi="Arial" w:cs="Arial"/>
          <w:color w:val="FF0000"/>
        </w:rPr>
        <w:t>Furthermore, HA gel stimulates the reconstruction of the interdental papilla in the gingival aesthetic zone</w:t>
      </w:r>
      <w:r>
        <w:rPr>
          <w:rFonts w:ascii="Arial" w:hAnsi="Arial" w:cs="Arial"/>
          <w:color w:val="FF0000"/>
        </w:rPr>
        <w:t xml:space="preserve"> </w:t>
      </w:r>
      <w:r w:rsidR="0068712E">
        <w:rPr>
          <w:rFonts w:ascii="Arial" w:hAnsi="Arial" w:cs="Arial"/>
          <w:color w:val="FF0000"/>
        </w:rPr>
        <w:t>[8]</w:t>
      </w:r>
      <w:r w:rsidRPr="00226760">
        <w:rPr>
          <w:rFonts w:ascii="Arial" w:hAnsi="Arial" w:cs="Arial"/>
          <w:color w:val="FF0000"/>
        </w:rPr>
        <w:t>.</w:t>
      </w:r>
      <w:r>
        <w:rPr>
          <w:rFonts w:ascii="Arial" w:hAnsi="Arial" w:cs="Arial"/>
        </w:rPr>
        <w:t xml:space="preserve"> </w:t>
      </w:r>
      <w:r w:rsidR="00A735B4" w:rsidRPr="006D521E">
        <w:rPr>
          <w:rFonts w:ascii="Arial" w:hAnsi="Arial" w:cs="Arial"/>
        </w:rPr>
        <w:t xml:space="preserve">Recent systematic review and meta-analysis has shown that the topical application of HA may lead to additional clinical benefits when used as an adjunctive to non-surgical and surgical periodontal therapy </w:t>
      </w:r>
      <w:r w:rsidR="0068712E">
        <w:rPr>
          <w:rFonts w:ascii="Arial" w:hAnsi="Arial" w:cs="Arial"/>
        </w:rPr>
        <w:t>[9]</w:t>
      </w:r>
      <w:r w:rsidR="00A735B4">
        <w:rPr>
          <w:rFonts w:ascii="Arial" w:hAnsi="Arial" w:cs="Arial"/>
        </w:rPr>
        <w:t>.</w:t>
      </w:r>
      <w:r w:rsidR="00A735B4" w:rsidRPr="006D521E">
        <w:rPr>
          <w:rFonts w:ascii="Arial" w:hAnsi="Arial" w:cs="Arial"/>
        </w:rPr>
        <w:t xml:space="preserve"> </w:t>
      </w:r>
    </w:p>
    <w:p w:rsidR="00790ADA" w:rsidRDefault="00A735B4" w:rsidP="00A735B4">
      <w:pPr>
        <w:pStyle w:val="Body"/>
        <w:spacing w:after="0"/>
        <w:rPr>
          <w:rFonts w:ascii="Arial" w:hAnsi="Arial" w:cs="Arial"/>
          <w:i/>
        </w:rPr>
      </w:pPr>
      <w:r w:rsidRPr="006D521E">
        <w:rPr>
          <w:rFonts w:ascii="Arial" w:hAnsi="Arial" w:cs="Arial"/>
        </w:rPr>
        <w:t xml:space="preserve">However, there are no studies evaluating possible effects of HA in the modulation of immunocompetent cells stimulated by periodontopathogens. Considering also that different molecular weights HA act differently in cellular functions, the aim of this study was evaluate the HA effect of high and low molecular weight in the expression of surface molecules involved in the control of inflammatory responses by human monocyte subpopulations stimulated with </w:t>
      </w:r>
      <w:r w:rsidRPr="006D521E">
        <w:rPr>
          <w:rFonts w:ascii="Arial" w:hAnsi="Arial" w:cs="Arial"/>
          <w:i/>
        </w:rPr>
        <w:t xml:space="preserve">P. </w:t>
      </w:r>
      <w:proofErr w:type="spellStart"/>
      <w:r w:rsidRPr="006D521E">
        <w:rPr>
          <w:rFonts w:ascii="Arial" w:hAnsi="Arial" w:cs="Arial"/>
          <w:i/>
        </w:rPr>
        <w:t>gingivalis</w:t>
      </w:r>
      <w:proofErr w:type="spellEnd"/>
      <w:r>
        <w:rPr>
          <w:rFonts w:ascii="Arial" w:hAnsi="Arial" w:cs="Arial"/>
          <w:i/>
        </w:rPr>
        <w:t>.</w:t>
      </w:r>
    </w:p>
    <w:p w:rsidR="00A735B4" w:rsidRPr="00FB3A86" w:rsidRDefault="00A735B4" w:rsidP="00A735B4">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rsidR="00790ADA" w:rsidRPr="00FB3A86" w:rsidRDefault="00790ADA" w:rsidP="00441B6F">
      <w:pPr>
        <w:pStyle w:val="AbstHead"/>
        <w:spacing w:after="0"/>
        <w:jc w:val="both"/>
        <w:rPr>
          <w:rFonts w:ascii="Arial" w:hAnsi="Arial" w:cs="Arial"/>
        </w:rPr>
      </w:pPr>
    </w:p>
    <w:p w:rsidR="00A735B4" w:rsidRDefault="00A735B4" w:rsidP="00A735B4">
      <w:pPr>
        <w:pStyle w:val="Body"/>
        <w:spacing w:after="0"/>
        <w:rPr>
          <w:rFonts w:ascii="Arial" w:hAnsi="Arial" w:cs="Arial"/>
          <w:b/>
          <w:sz w:val="22"/>
        </w:rPr>
      </w:pPr>
      <w:r w:rsidRPr="00C30A0F">
        <w:rPr>
          <w:rFonts w:ascii="Arial" w:hAnsi="Arial" w:cs="Arial"/>
          <w:b/>
          <w:caps/>
          <w:sz w:val="22"/>
        </w:rPr>
        <w:t xml:space="preserve">2.1 </w:t>
      </w:r>
      <w:r w:rsidRPr="006D521E">
        <w:rPr>
          <w:rFonts w:ascii="Arial" w:hAnsi="Arial" w:cs="Arial"/>
          <w:b/>
          <w:sz w:val="22"/>
        </w:rPr>
        <w:t>Blood samples</w:t>
      </w:r>
    </w:p>
    <w:p w:rsidR="00A735B4" w:rsidRDefault="00A735B4" w:rsidP="00A735B4">
      <w:pPr>
        <w:pStyle w:val="Body"/>
        <w:spacing w:after="0"/>
        <w:rPr>
          <w:rFonts w:ascii="Arial" w:hAnsi="Arial" w:cs="Arial"/>
        </w:rPr>
      </w:pPr>
    </w:p>
    <w:p w:rsidR="00A735B4" w:rsidRDefault="00A735B4" w:rsidP="00A735B4">
      <w:pPr>
        <w:pStyle w:val="Body"/>
        <w:spacing w:after="0"/>
        <w:rPr>
          <w:rFonts w:ascii="Arial" w:hAnsi="Arial" w:cs="Arial"/>
        </w:rPr>
      </w:pPr>
      <w:r w:rsidRPr="006D521E">
        <w:rPr>
          <w:rFonts w:ascii="Arial" w:hAnsi="Arial" w:cs="Arial"/>
        </w:rPr>
        <w:t xml:space="preserve">Ten healthy individuals aged from 30 to 60 years (mean 37.9 years), non-smokers, were included in the present study. Exclusion criteria were individuals with systemic infectious disease; immunosuppression; alcoholism; autoimmune disease; chronic inflammatory diseases or who have been taking antibiotic, chemotherapeutic, antineoplastic, immunosuppressive or anti-inflammatory drugs in the last 30 days. </w:t>
      </w:r>
    </w:p>
    <w:p w:rsidR="00A735B4" w:rsidRDefault="00A735B4" w:rsidP="00A735B4">
      <w:pPr>
        <w:pStyle w:val="Body"/>
        <w:spacing w:after="0"/>
        <w:rPr>
          <w:rFonts w:ascii="Arial" w:hAnsi="Arial" w:cs="Arial"/>
        </w:rPr>
      </w:pPr>
      <w:r w:rsidRPr="006D521E">
        <w:rPr>
          <w:rFonts w:ascii="Arial" w:hAnsi="Arial" w:cs="Arial"/>
        </w:rPr>
        <w:t xml:space="preserve">Approximately 20 mL of blood was collected from each donor in heparinized tubes (Becton Dickinson Vacutainer®, Franklin Lakes, NJ, USA). The blood was diluted in phosphate-saline buffer (PBS) in a 1:1 ratio and then carefully overlaid in 10 ml of </w:t>
      </w:r>
      <w:proofErr w:type="spellStart"/>
      <w:r w:rsidRPr="006D521E">
        <w:rPr>
          <w:rFonts w:ascii="Arial" w:hAnsi="Arial" w:cs="Arial"/>
        </w:rPr>
        <w:t>Ficoll-Paque</w:t>
      </w:r>
      <w:proofErr w:type="spellEnd"/>
      <w:r w:rsidRPr="006D521E">
        <w:rPr>
          <w:rFonts w:ascii="Arial" w:hAnsi="Arial" w:cs="Arial"/>
        </w:rPr>
        <w:t xml:space="preserve"> (GE Healthcare, Uppsala, Sweden). After centrifugation at 20°C, at 200 x g, for 40 minutes, peripheral blood mononuclear cells (PBMCs) were collected, washed in PBS and resuspended in complete Roswell Park Memorial Institute (RPMI 1640) (Sigma Aldrich, St. Louis, MO, USA) medium supplemented with 10% fetal bovine serum (FBS) (</w:t>
      </w:r>
      <w:proofErr w:type="spellStart"/>
      <w:r w:rsidRPr="006D521E">
        <w:rPr>
          <w:rFonts w:ascii="Arial" w:hAnsi="Arial" w:cs="Arial"/>
        </w:rPr>
        <w:t>Gibco</w:t>
      </w:r>
      <w:proofErr w:type="spellEnd"/>
      <w:r w:rsidRPr="006D521E">
        <w:rPr>
          <w:rFonts w:ascii="Arial" w:hAnsi="Arial" w:cs="Arial"/>
        </w:rPr>
        <w:t xml:space="preserve">, </w:t>
      </w:r>
      <w:proofErr w:type="spellStart"/>
      <w:r w:rsidRPr="006D521E">
        <w:rPr>
          <w:rFonts w:ascii="Arial" w:hAnsi="Arial" w:cs="Arial"/>
        </w:rPr>
        <w:t>ThermoFischer</w:t>
      </w:r>
      <w:proofErr w:type="spellEnd"/>
      <w:r w:rsidRPr="006D521E">
        <w:rPr>
          <w:rFonts w:ascii="Arial" w:hAnsi="Arial" w:cs="Arial"/>
        </w:rPr>
        <w:t xml:space="preserve">, Waltham, MA, USA). Trypan blue (0.4%) was added to the cells in a ratio of 1:1 for counting in the Countess™ Automated Cell Counter (Invitrogen, </w:t>
      </w:r>
      <w:proofErr w:type="spellStart"/>
      <w:r w:rsidRPr="006D521E">
        <w:rPr>
          <w:rFonts w:ascii="Arial" w:hAnsi="Arial" w:cs="Arial"/>
        </w:rPr>
        <w:t>ThermoFischer</w:t>
      </w:r>
      <w:proofErr w:type="spellEnd"/>
      <w:r w:rsidRPr="006D521E">
        <w:rPr>
          <w:rFonts w:ascii="Arial" w:hAnsi="Arial" w:cs="Arial"/>
        </w:rPr>
        <w:t>, Waltham, MA, USA) apparatus. PBMCs were then plated at a cell density of 3x10</w:t>
      </w:r>
      <w:r w:rsidRPr="006D521E">
        <w:rPr>
          <w:rFonts w:ascii="Arial" w:hAnsi="Arial" w:cs="Arial"/>
          <w:vertAlign w:val="superscript"/>
        </w:rPr>
        <w:t>5</w:t>
      </w:r>
      <w:r w:rsidRPr="006D521E">
        <w:rPr>
          <w:rFonts w:ascii="Arial" w:hAnsi="Arial" w:cs="Arial"/>
        </w:rPr>
        <w:t xml:space="preserve"> cells/well in 96-well U-bottom microplates.</w:t>
      </w:r>
    </w:p>
    <w:p w:rsidR="00A735B4" w:rsidRDefault="00A735B4" w:rsidP="00A735B4">
      <w:pPr>
        <w:pStyle w:val="Body"/>
        <w:spacing w:after="0"/>
        <w:rPr>
          <w:rFonts w:ascii="Arial" w:hAnsi="Arial" w:cs="Arial"/>
        </w:rPr>
      </w:pPr>
    </w:p>
    <w:p w:rsidR="00A735B4" w:rsidRDefault="00A735B4" w:rsidP="00A735B4">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352B3C">
        <w:rPr>
          <w:rFonts w:ascii="Arial" w:hAnsi="Arial" w:cs="Arial"/>
          <w:b/>
          <w:sz w:val="22"/>
        </w:rPr>
        <w:t>Preparation of bacteria</w:t>
      </w:r>
    </w:p>
    <w:p w:rsidR="00A735B4" w:rsidRDefault="00A735B4" w:rsidP="00A735B4">
      <w:pPr>
        <w:pStyle w:val="Body"/>
        <w:spacing w:after="0"/>
        <w:rPr>
          <w:rFonts w:ascii="Arial" w:hAnsi="Arial" w:cs="Arial"/>
          <w:b/>
          <w:sz w:val="22"/>
        </w:rPr>
      </w:pPr>
    </w:p>
    <w:p w:rsidR="00A735B4" w:rsidRDefault="00A735B4" w:rsidP="00A735B4">
      <w:pPr>
        <w:pStyle w:val="Body"/>
        <w:spacing w:after="0"/>
        <w:rPr>
          <w:rFonts w:ascii="Arial" w:hAnsi="Arial" w:cs="Arial"/>
        </w:rPr>
      </w:pPr>
      <w:proofErr w:type="spellStart"/>
      <w:r w:rsidRPr="006D521E">
        <w:rPr>
          <w:rFonts w:ascii="Arial" w:hAnsi="Arial" w:cs="Arial"/>
          <w:i/>
        </w:rPr>
        <w:t>Porphyromonas</w:t>
      </w:r>
      <w:proofErr w:type="spellEnd"/>
      <w:r w:rsidRPr="006D521E">
        <w:rPr>
          <w:rFonts w:ascii="Arial" w:hAnsi="Arial" w:cs="Arial"/>
          <w:i/>
        </w:rPr>
        <w:t xml:space="preserve"> </w:t>
      </w:r>
      <w:proofErr w:type="spellStart"/>
      <w:r w:rsidRPr="006D521E">
        <w:rPr>
          <w:rFonts w:ascii="Arial" w:hAnsi="Arial" w:cs="Arial"/>
          <w:i/>
        </w:rPr>
        <w:t>gingivalis</w:t>
      </w:r>
      <w:proofErr w:type="spellEnd"/>
      <w:r w:rsidRPr="006D521E">
        <w:rPr>
          <w:rFonts w:ascii="Arial" w:hAnsi="Arial" w:cs="Arial"/>
        </w:rPr>
        <w:t xml:space="preserve"> (</w:t>
      </w:r>
      <w:proofErr w:type="spellStart"/>
      <w:r w:rsidRPr="006D521E">
        <w:rPr>
          <w:rFonts w:ascii="Arial" w:hAnsi="Arial" w:cs="Arial"/>
        </w:rPr>
        <w:t>Pg</w:t>
      </w:r>
      <w:proofErr w:type="spellEnd"/>
      <w:r w:rsidRPr="006D521E">
        <w:rPr>
          <w:rFonts w:ascii="Arial" w:hAnsi="Arial" w:cs="Arial"/>
        </w:rPr>
        <w:t xml:space="preserve">) ATCC® 33277™ (Manassas, VA, USA) was cultivated on Brain Heart Infusion Agar (BHI - </w:t>
      </w:r>
      <w:proofErr w:type="spellStart"/>
      <w:r w:rsidRPr="006D521E">
        <w:rPr>
          <w:rFonts w:ascii="Arial" w:hAnsi="Arial" w:cs="Arial"/>
        </w:rPr>
        <w:t>Difco</w:t>
      </w:r>
      <w:proofErr w:type="spellEnd"/>
      <w:r w:rsidRPr="006D521E">
        <w:rPr>
          <w:rFonts w:ascii="Arial" w:hAnsi="Arial" w:cs="Arial"/>
        </w:rPr>
        <w:t>, Sparks, MD, USA), supplemented with 0.5% yeast extract (</w:t>
      </w:r>
      <w:proofErr w:type="spellStart"/>
      <w:r w:rsidRPr="006D521E">
        <w:rPr>
          <w:rFonts w:ascii="Arial" w:hAnsi="Arial" w:cs="Arial"/>
        </w:rPr>
        <w:t>Difco</w:t>
      </w:r>
      <w:proofErr w:type="spellEnd"/>
      <w:r w:rsidRPr="006D521E">
        <w:rPr>
          <w:rFonts w:ascii="Arial" w:hAnsi="Arial" w:cs="Arial"/>
        </w:rPr>
        <w:t xml:space="preserve">), 0.1% </w:t>
      </w:r>
      <w:proofErr w:type="spellStart"/>
      <w:r w:rsidRPr="006D521E">
        <w:rPr>
          <w:rFonts w:ascii="Arial" w:hAnsi="Arial" w:cs="Arial"/>
        </w:rPr>
        <w:t>hemin</w:t>
      </w:r>
      <w:proofErr w:type="spellEnd"/>
      <w:r w:rsidRPr="006D521E">
        <w:rPr>
          <w:rFonts w:ascii="Arial" w:hAnsi="Arial" w:cs="Arial"/>
        </w:rPr>
        <w:t xml:space="preserve"> (porcine) (</w:t>
      </w:r>
      <w:proofErr w:type="spellStart"/>
      <w:r w:rsidRPr="006D521E">
        <w:rPr>
          <w:rFonts w:ascii="Arial" w:hAnsi="Arial" w:cs="Arial"/>
        </w:rPr>
        <w:t>Inlab</w:t>
      </w:r>
      <w:proofErr w:type="spellEnd"/>
      <w:r w:rsidRPr="006D521E">
        <w:rPr>
          <w:rFonts w:ascii="Arial" w:hAnsi="Arial" w:cs="Arial"/>
        </w:rPr>
        <w:t xml:space="preserve">, </w:t>
      </w:r>
      <w:proofErr w:type="spellStart"/>
      <w:r w:rsidRPr="006D521E">
        <w:rPr>
          <w:rFonts w:ascii="Arial" w:hAnsi="Arial" w:cs="Arial"/>
        </w:rPr>
        <w:t>Diadema</w:t>
      </w:r>
      <w:proofErr w:type="spellEnd"/>
      <w:r w:rsidRPr="006D521E">
        <w:rPr>
          <w:rFonts w:ascii="Arial" w:hAnsi="Arial" w:cs="Arial"/>
        </w:rPr>
        <w:t xml:space="preserve">, SP, Brazil) and 0.1% menadione (Sigma-Aldrich, St. Louis, MO, USA), and enriched with 5% blood (BHIA-S/E), pH 7.2. </w:t>
      </w:r>
      <w:proofErr w:type="spellStart"/>
      <w:r w:rsidRPr="006D521E">
        <w:rPr>
          <w:rFonts w:ascii="Arial" w:hAnsi="Arial" w:cs="Arial"/>
        </w:rPr>
        <w:t>Pg</w:t>
      </w:r>
      <w:proofErr w:type="spellEnd"/>
      <w:r w:rsidRPr="006D521E">
        <w:rPr>
          <w:rFonts w:ascii="Arial" w:hAnsi="Arial" w:cs="Arial"/>
        </w:rPr>
        <w:t xml:space="preserve"> was incubated in an anaerobic chamber (Thermo Scientific, Waltham, MA, USA) with 85% N</w:t>
      </w:r>
      <w:r w:rsidRPr="006D521E">
        <w:rPr>
          <w:rFonts w:ascii="Arial" w:hAnsi="Arial" w:cs="Arial"/>
          <w:vertAlign w:val="subscript"/>
        </w:rPr>
        <w:t>2</w:t>
      </w:r>
      <w:r w:rsidRPr="006D521E">
        <w:rPr>
          <w:rFonts w:ascii="Arial" w:hAnsi="Arial" w:cs="Arial"/>
        </w:rPr>
        <w:t>, 5% CO</w:t>
      </w:r>
      <w:r w:rsidRPr="006D521E">
        <w:rPr>
          <w:rFonts w:ascii="Arial" w:hAnsi="Arial" w:cs="Arial"/>
          <w:vertAlign w:val="subscript"/>
        </w:rPr>
        <w:t>2</w:t>
      </w:r>
      <w:r w:rsidRPr="006D521E">
        <w:rPr>
          <w:rFonts w:ascii="Arial" w:hAnsi="Arial" w:cs="Arial"/>
        </w:rPr>
        <w:t xml:space="preserve"> and 10% H</w:t>
      </w:r>
      <w:r w:rsidRPr="006D521E">
        <w:rPr>
          <w:rFonts w:ascii="Arial" w:hAnsi="Arial" w:cs="Arial"/>
          <w:vertAlign w:val="subscript"/>
        </w:rPr>
        <w:t>2</w:t>
      </w:r>
      <w:r w:rsidRPr="006D521E">
        <w:rPr>
          <w:rFonts w:ascii="Arial" w:hAnsi="Arial" w:cs="Arial"/>
        </w:rPr>
        <w:t>, at 37°C, for 72 h. The colonies were transferred to tubes containing saline, homogenized and quantified in a spectrophotometer (</w:t>
      </w:r>
      <w:proofErr w:type="spellStart"/>
      <w:r w:rsidRPr="006D521E">
        <w:rPr>
          <w:rFonts w:ascii="Arial" w:hAnsi="Arial" w:cs="Arial"/>
        </w:rPr>
        <w:t>Ultrospec</w:t>
      </w:r>
      <w:proofErr w:type="spellEnd"/>
      <w:r w:rsidRPr="006D521E">
        <w:rPr>
          <w:rFonts w:ascii="Arial" w:hAnsi="Arial" w:cs="Arial"/>
        </w:rPr>
        <w:t xml:space="preserve"> 10 Cell Density Meter, </w:t>
      </w:r>
      <w:proofErr w:type="spellStart"/>
      <w:r w:rsidRPr="006D521E">
        <w:rPr>
          <w:rFonts w:ascii="Arial" w:hAnsi="Arial" w:cs="Arial"/>
        </w:rPr>
        <w:t>Biochrom</w:t>
      </w:r>
      <w:proofErr w:type="spellEnd"/>
      <w:r w:rsidRPr="006D521E">
        <w:rPr>
          <w:rFonts w:ascii="Arial" w:hAnsi="Arial" w:cs="Arial"/>
        </w:rPr>
        <w:t>, Cambridge, UK) at the optical density (OD) of 1, at 600nm. The bacterial suspension was washed with PBS, heated for 30 minutes at 100°C for inactivation and kept at -80°C for use in the experiments.</w:t>
      </w:r>
    </w:p>
    <w:p w:rsidR="00A735B4" w:rsidRPr="006D521E" w:rsidRDefault="00A735B4" w:rsidP="00A735B4">
      <w:pPr>
        <w:pStyle w:val="Body"/>
        <w:spacing w:after="0"/>
        <w:rPr>
          <w:rFonts w:ascii="Arial" w:hAnsi="Arial" w:cs="Arial"/>
        </w:rPr>
      </w:pPr>
    </w:p>
    <w:p w:rsidR="00A735B4" w:rsidRDefault="00A735B4" w:rsidP="00A735B4">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sidRPr="00352B3C">
        <w:rPr>
          <w:rFonts w:ascii="Arial" w:hAnsi="Arial" w:cs="Arial"/>
          <w:b/>
          <w:sz w:val="22"/>
        </w:rPr>
        <w:t>Hyaluronic acid</w:t>
      </w:r>
    </w:p>
    <w:p w:rsidR="00A735B4" w:rsidRDefault="00A735B4" w:rsidP="00A735B4">
      <w:pPr>
        <w:pStyle w:val="Body"/>
        <w:spacing w:after="0"/>
        <w:rPr>
          <w:rFonts w:ascii="Arial" w:hAnsi="Arial" w:cs="Arial"/>
          <w:b/>
          <w:sz w:val="22"/>
        </w:rPr>
      </w:pPr>
    </w:p>
    <w:p w:rsidR="00A735B4" w:rsidRDefault="00A735B4" w:rsidP="00A735B4">
      <w:pPr>
        <w:pStyle w:val="Body"/>
        <w:spacing w:after="0"/>
        <w:rPr>
          <w:rFonts w:ascii="Arial" w:hAnsi="Arial" w:cs="Arial"/>
        </w:rPr>
      </w:pPr>
      <w:r w:rsidRPr="00352B3C">
        <w:rPr>
          <w:rFonts w:ascii="Arial" w:hAnsi="Arial" w:cs="Arial"/>
        </w:rPr>
        <w:t xml:space="preserve">Low molecular weight (LMWHA) (33 </w:t>
      </w:r>
      <w:proofErr w:type="spellStart"/>
      <w:r w:rsidRPr="00352B3C">
        <w:rPr>
          <w:rFonts w:ascii="Arial" w:hAnsi="Arial" w:cs="Arial"/>
        </w:rPr>
        <w:t>kDa</w:t>
      </w:r>
      <w:proofErr w:type="spellEnd"/>
      <w:r w:rsidRPr="00352B3C">
        <w:rPr>
          <w:rFonts w:ascii="Arial" w:hAnsi="Arial" w:cs="Arial"/>
        </w:rPr>
        <w:t>) (GLR001, lot # 1467153, R &amp; D Systems) and high molecular weight (HMWHA) (1.46 x 106 Da) (GLR002, lot # 1490155, R &amp; D Systems) hyaluronic acid, both with endotoxin level of &lt;0</w:t>
      </w:r>
      <w:r w:rsidR="00573153">
        <w:rPr>
          <w:rFonts w:ascii="Arial" w:hAnsi="Arial" w:cs="Arial"/>
        </w:rPr>
        <w:t>.</w:t>
      </w:r>
      <w:r w:rsidRPr="00352B3C">
        <w:rPr>
          <w:rFonts w:ascii="Arial" w:hAnsi="Arial" w:cs="Arial"/>
        </w:rPr>
        <w:t>01EU/ml, were used in this study. HA diluted solutions were prepared in complete RPMI medium supplemented with 10% fetal bovine serum (FBS) immediately before use.</w:t>
      </w:r>
    </w:p>
    <w:p w:rsidR="00A735B4" w:rsidRPr="00352B3C" w:rsidRDefault="00A735B4" w:rsidP="00A735B4">
      <w:pPr>
        <w:pStyle w:val="Body"/>
        <w:spacing w:after="0"/>
        <w:rPr>
          <w:rFonts w:ascii="Arial" w:hAnsi="Arial" w:cs="Arial"/>
        </w:rPr>
      </w:pPr>
    </w:p>
    <w:p w:rsidR="00A735B4" w:rsidRDefault="00A735B4" w:rsidP="00A735B4">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sidRPr="00352B3C">
        <w:rPr>
          <w:rFonts w:ascii="Arial" w:hAnsi="Arial" w:cs="Arial"/>
          <w:b/>
          <w:sz w:val="22"/>
        </w:rPr>
        <w:t>LMWHA and HMWHA cytotoxicity in PBMCs</w:t>
      </w:r>
    </w:p>
    <w:p w:rsidR="00A735B4" w:rsidRDefault="00A735B4" w:rsidP="00A735B4">
      <w:pPr>
        <w:pStyle w:val="Body"/>
        <w:spacing w:after="0"/>
        <w:rPr>
          <w:rFonts w:ascii="Arial" w:hAnsi="Arial" w:cs="Arial"/>
          <w:b/>
          <w:sz w:val="22"/>
        </w:rPr>
      </w:pPr>
    </w:p>
    <w:p w:rsidR="00A735B4" w:rsidRDefault="00A735B4" w:rsidP="00A735B4">
      <w:pPr>
        <w:pStyle w:val="Body"/>
        <w:spacing w:after="0"/>
        <w:rPr>
          <w:rFonts w:ascii="Arial" w:hAnsi="Arial" w:cs="Arial"/>
          <w:color w:val="FF0000"/>
        </w:rPr>
      </w:pPr>
      <w:r w:rsidRPr="00794D24">
        <w:rPr>
          <w:rFonts w:ascii="Arial" w:hAnsi="Arial" w:cs="Arial"/>
        </w:rPr>
        <w:t>To evaluate HA effects on cell viability, PBMCs were incubated with LMWHA or HMWHA at the final concentrations of 0.025, 0.05, 0.1 or 0.2%, at 37</w:t>
      </w:r>
      <w:r w:rsidRPr="00794D24">
        <w:rPr>
          <w:rFonts w:ascii="Arial" w:hAnsi="Arial" w:cs="Arial"/>
          <w:vertAlign w:val="superscript"/>
        </w:rPr>
        <w:t>o</w:t>
      </w:r>
      <w:r w:rsidRPr="00794D24">
        <w:rPr>
          <w:rFonts w:ascii="Arial" w:hAnsi="Arial" w:cs="Arial"/>
        </w:rPr>
        <w:t>C, 5% CO</w:t>
      </w:r>
      <w:r w:rsidRPr="00794D24">
        <w:rPr>
          <w:rFonts w:ascii="Arial" w:hAnsi="Arial" w:cs="Arial"/>
          <w:vertAlign w:val="subscript"/>
        </w:rPr>
        <w:t>2</w:t>
      </w:r>
      <w:r w:rsidRPr="00794D24">
        <w:rPr>
          <w:rFonts w:ascii="Arial" w:hAnsi="Arial" w:cs="Arial"/>
        </w:rPr>
        <w:t>, for 16 hours. Cells were then subjected to a colorimetric functional assay with methyl tetrazole (MTT) for assessing mitochondrial activity. Methyl tetrazole formazan (MTT, 5mg/mL) (Sigma-Aldrich, St. Louis, MO, USA) was added to final concentration of 20% (v/v) in RPMI, and the cells were incubated for an additional 3 hours at 37°C, in a humidified atmosphere containing 5% CO</w:t>
      </w:r>
      <w:r w:rsidRPr="00794D24">
        <w:rPr>
          <w:rFonts w:ascii="Arial" w:hAnsi="Arial" w:cs="Arial"/>
          <w:vertAlign w:val="subscript"/>
        </w:rPr>
        <w:t>2</w:t>
      </w:r>
      <w:r w:rsidRPr="00794D24">
        <w:rPr>
          <w:rFonts w:ascii="Arial" w:hAnsi="Arial" w:cs="Arial"/>
        </w:rPr>
        <w:t xml:space="preserve">. The formazan precipitates were dissolved by adding 100 </w:t>
      </w:r>
      <w:proofErr w:type="spellStart"/>
      <w:r w:rsidRPr="00794D24">
        <w:rPr>
          <w:rFonts w:ascii="Arial" w:hAnsi="Arial" w:cs="Arial" w:hint="eastAsia"/>
        </w:rPr>
        <w:t>μ</w:t>
      </w:r>
      <w:r w:rsidRPr="00794D24">
        <w:rPr>
          <w:rFonts w:ascii="Arial" w:hAnsi="Arial" w:cs="Arial"/>
        </w:rPr>
        <w:t>L</w:t>
      </w:r>
      <w:proofErr w:type="spellEnd"/>
      <w:r w:rsidRPr="00794D24">
        <w:rPr>
          <w:rFonts w:ascii="Arial" w:hAnsi="Arial" w:cs="Arial"/>
        </w:rPr>
        <w:t xml:space="preserve"> of 10% (w/v) sodium dodecyl sulfate (SDS) solution (Sigma-Aldrich, St. Louis, MO, USA) overnight, and after homogenization, optical density was read at 570 nm in a </w:t>
      </w:r>
      <w:proofErr w:type="spellStart"/>
      <w:r w:rsidRPr="00794D24">
        <w:rPr>
          <w:rFonts w:ascii="Arial" w:hAnsi="Arial" w:cs="Arial"/>
        </w:rPr>
        <w:t>microplate</w:t>
      </w:r>
      <w:proofErr w:type="spellEnd"/>
      <w:r w:rsidRPr="00794D24">
        <w:rPr>
          <w:rFonts w:ascii="Arial" w:hAnsi="Arial" w:cs="Arial"/>
        </w:rPr>
        <w:t xml:space="preserve"> reader (</w:t>
      </w:r>
      <w:proofErr w:type="spellStart"/>
      <w:r w:rsidRPr="00794D24">
        <w:rPr>
          <w:rFonts w:ascii="Arial" w:hAnsi="Arial" w:cs="Arial"/>
        </w:rPr>
        <w:t>Versamax</w:t>
      </w:r>
      <w:proofErr w:type="spellEnd"/>
      <w:r w:rsidRPr="00794D24">
        <w:rPr>
          <w:rFonts w:ascii="Arial" w:hAnsi="Arial" w:cs="Arial"/>
        </w:rPr>
        <w:t>, Molecular Devices, Sunnyvale, CA, USA). The experiments were performed with 5 donor cells in triplicate. Positive control groups were composed of cells in complete RPMI only. Cells heated at 100°C for 15 minutes served as negative control. Data were expressed as percentage of viable cells relative to control</w:t>
      </w:r>
      <w:r w:rsidR="00487F44">
        <w:rPr>
          <w:rFonts w:ascii="Arial" w:hAnsi="Arial" w:cs="Arial"/>
        </w:rPr>
        <w:t>.</w:t>
      </w:r>
    </w:p>
    <w:p w:rsidR="00A735B4" w:rsidRPr="00352B3C" w:rsidRDefault="00A735B4" w:rsidP="00A735B4">
      <w:pPr>
        <w:pStyle w:val="Body"/>
        <w:spacing w:after="0"/>
        <w:rPr>
          <w:rFonts w:ascii="Arial" w:hAnsi="Arial" w:cs="Arial"/>
        </w:rPr>
      </w:pPr>
    </w:p>
    <w:p w:rsidR="00A735B4" w:rsidRDefault="00A735B4" w:rsidP="00A735B4">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5</w:t>
      </w:r>
      <w:r w:rsidRPr="00C30A0F">
        <w:rPr>
          <w:rFonts w:ascii="Arial" w:hAnsi="Arial" w:cs="Arial"/>
          <w:b/>
          <w:caps/>
          <w:sz w:val="22"/>
        </w:rPr>
        <w:t xml:space="preserve"> </w:t>
      </w:r>
      <w:r w:rsidRPr="00794D24">
        <w:rPr>
          <w:rFonts w:ascii="Arial" w:hAnsi="Arial" w:cs="Arial"/>
          <w:b/>
          <w:sz w:val="22"/>
        </w:rPr>
        <w:t xml:space="preserve">Stimulation of PBMCs with HA and </w:t>
      </w:r>
      <w:r w:rsidRPr="005414A7">
        <w:rPr>
          <w:rFonts w:ascii="Arial" w:hAnsi="Arial" w:cs="Arial"/>
          <w:b/>
          <w:i/>
          <w:sz w:val="22"/>
        </w:rPr>
        <w:t xml:space="preserve">P. </w:t>
      </w:r>
      <w:proofErr w:type="spellStart"/>
      <w:r w:rsidRPr="005414A7">
        <w:rPr>
          <w:rFonts w:ascii="Arial" w:hAnsi="Arial" w:cs="Arial"/>
          <w:b/>
          <w:i/>
          <w:sz w:val="22"/>
        </w:rPr>
        <w:t>gingivalis</w:t>
      </w:r>
      <w:proofErr w:type="spellEnd"/>
    </w:p>
    <w:p w:rsidR="00A735B4" w:rsidRDefault="00A735B4" w:rsidP="00A735B4">
      <w:pPr>
        <w:pStyle w:val="Body"/>
        <w:spacing w:after="0"/>
        <w:rPr>
          <w:rFonts w:ascii="Arial" w:hAnsi="Arial" w:cs="Arial"/>
          <w:b/>
          <w:sz w:val="22"/>
        </w:rPr>
      </w:pPr>
    </w:p>
    <w:p w:rsidR="00A735B4" w:rsidRPr="00794D24" w:rsidRDefault="00487F44" w:rsidP="00A735B4">
      <w:pPr>
        <w:pStyle w:val="Body"/>
        <w:spacing w:after="0"/>
        <w:rPr>
          <w:rFonts w:ascii="Arial" w:hAnsi="Arial" w:cs="Arial"/>
        </w:rPr>
      </w:pPr>
      <w:r w:rsidRPr="00487F44">
        <w:rPr>
          <w:rFonts w:ascii="Arial" w:hAnsi="Arial" w:cs="Arial"/>
          <w:color w:val="FF0000"/>
        </w:rPr>
        <w:t>Based on the MTT assay that showed no significant changes in the cell viability of PBMC stimulated with different concentrations of HA (Fig. 1)</w:t>
      </w:r>
      <w:r w:rsidR="00A735B4" w:rsidRPr="00794D24">
        <w:rPr>
          <w:rFonts w:ascii="Arial" w:hAnsi="Arial" w:cs="Arial"/>
        </w:rPr>
        <w:t xml:space="preserve"> and on the HA concentration used in clinical studies for periodontitis </w:t>
      </w:r>
      <w:r w:rsidR="0068712E">
        <w:rPr>
          <w:rFonts w:ascii="Arial" w:hAnsi="Arial" w:cs="Arial"/>
        </w:rPr>
        <w:t>[10]</w:t>
      </w:r>
      <w:r w:rsidR="00A735B4" w:rsidRPr="00794D24">
        <w:rPr>
          <w:rFonts w:ascii="Arial" w:hAnsi="Arial" w:cs="Arial"/>
        </w:rPr>
        <w:t xml:space="preserve">, the final concentration of 0.2% was defined for further evaluation of the effect of LMWHA and HMWHA on the expression of surface molecules by human monocytes. </w:t>
      </w:r>
    </w:p>
    <w:p w:rsidR="00A735B4" w:rsidRPr="00794D24" w:rsidRDefault="00A735B4" w:rsidP="00A735B4">
      <w:pPr>
        <w:pStyle w:val="Body"/>
        <w:spacing w:after="0"/>
        <w:rPr>
          <w:rFonts w:ascii="Arial" w:hAnsi="Arial" w:cs="Arial"/>
        </w:rPr>
      </w:pPr>
      <w:r w:rsidRPr="00794D24">
        <w:rPr>
          <w:rFonts w:ascii="Arial" w:hAnsi="Arial" w:cs="Arial"/>
        </w:rPr>
        <w:t>PBMCs at 2x10</w:t>
      </w:r>
      <w:r w:rsidRPr="00794D24">
        <w:rPr>
          <w:rFonts w:ascii="Arial" w:hAnsi="Arial" w:cs="Arial"/>
          <w:vertAlign w:val="superscript"/>
        </w:rPr>
        <w:t>5</w:t>
      </w:r>
      <w:r w:rsidRPr="00794D24">
        <w:rPr>
          <w:rFonts w:ascii="Arial" w:hAnsi="Arial" w:cs="Arial"/>
        </w:rPr>
        <w:t xml:space="preserve"> cells per well in 96-well U-bottom microplates were incubated with </w:t>
      </w:r>
      <w:proofErr w:type="spellStart"/>
      <w:r w:rsidRPr="00794D24">
        <w:rPr>
          <w:rFonts w:ascii="Arial" w:hAnsi="Arial" w:cs="Arial"/>
        </w:rPr>
        <w:t>Pg</w:t>
      </w:r>
      <w:proofErr w:type="spellEnd"/>
      <w:r w:rsidRPr="00794D24">
        <w:rPr>
          <w:rFonts w:ascii="Arial" w:hAnsi="Arial" w:cs="Arial"/>
        </w:rPr>
        <w:t xml:space="preserve"> at the multiplicity of infection (MOI) of 0.1 colony forming units (CFU): 1 PBMC at 37</w:t>
      </w:r>
      <w:r w:rsidRPr="00794D24">
        <w:rPr>
          <w:rFonts w:ascii="Arial" w:hAnsi="Arial" w:cs="Arial"/>
          <w:vertAlign w:val="superscript"/>
        </w:rPr>
        <w:t>o</w:t>
      </w:r>
      <w:r w:rsidRPr="00794D24">
        <w:rPr>
          <w:rFonts w:ascii="Arial" w:hAnsi="Arial" w:cs="Arial"/>
        </w:rPr>
        <w:t>C, 5% CO</w:t>
      </w:r>
      <w:r w:rsidRPr="00794D24">
        <w:rPr>
          <w:rFonts w:ascii="Arial" w:hAnsi="Arial" w:cs="Arial"/>
          <w:vertAlign w:val="subscript"/>
        </w:rPr>
        <w:t>2</w:t>
      </w:r>
      <w:r w:rsidRPr="00794D24">
        <w:rPr>
          <w:rFonts w:ascii="Arial" w:hAnsi="Arial" w:cs="Arial"/>
        </w:rPr>
        <w:t>, for 1 hour. Then, LMWHA or HMWHA at the final concentration of 0.2% were added and the cells incubated for a further 16 hours at 37</w:t>
      </w:r>
      <w:r w:rsidRPr="00794D24">
        <w:rPr>
          <w:rFonts w:ascii="Arial" w:hAnsi="Arial" w:cs="Arial"/>
          <w:vertAlign w:val="superscript"/>
        </w:rPr>
        <w:t>o</w:t>
      </w:r>
      <w:r w:rsidRPr="00794D24">
        <w:rPr>
          <w:rFonts w:ascii="Arial" w:hAnsi="Arial" w:cs="Arial"/>
        </w:rPr>
        <w:t>C, 5% CO</w:t>
      </w:r>
      <w:r w:rsidRPr="00794D24">
        <w:rPr>
          <w:rFonts w:ascii="Arial" w:hAnsi="Arial" w:cs="Arial"/>
          <w:vertAlign w:val="subscript"/>
        </w:rPr>
        <w:t>2</w:t>
      </w:r>
      <w:r w:rsidRPr="00794D24">
        <w:rPr>
          <w:rFonts w:ascii="Arial" w:hAnsi="Arial" w:cs="Arial"/>
        </w:rPr>
        <w:t>.</w:t>
      </w:r>
    </w:p>
    <w:p w:rsidR="00A735B4" w:rsidRDefault="00A735B4" w:rsidP="00A735B4">
      <w:pPr>
        <w:pStyle w:val="Body"/>
        <w:spacing w:after="0"/>
        <w:rPr>
          <w:rFonts w:ascii="Arial" w:hAnsi="Arial" w:cs="Arial"/>
        </w:rPr>
      </w:pPr>
      <w:r w:rsidRPr="00794D24">
        <w:rPr>
          <w:rFonts w:ascii="Arial" w:hAnsi="Arial" w:cs="Arial"/>
        </w:rPr>
        <w:t xml:space="preserve">The following experimental groups were obtained: Control (RPMI medium), LMWHA (0.2% low molecular weight hyaluronic acid), HMWHA (0.2% high molecular weight hyaluronic acid), </w:t>
      </w:r>
      <w:proofErr w:type="spellStart"/>
      <w:r w:rsidRPr="00794D24">
        <w:rPr>
          <w:rFonts w:ascii="Arial" w:hAnsi="Arial" w:cs="Arial"/>
        </w:rPr>
        <w:t>Pg</w:t>
      </w:r>
      <w:proofErr w:type="spellEnd"/>
      <w:r w:rsidRPr="00794D24">
        <w:rPr>
          <w:rFonts w:ascii="Arial" w:hAnsi="Arial" w:cs="Arial"/>
        </w:rPr>
        <w:t xml:space="preserve"> (</w:t>
      </w:r>
      <w:r w:rsidRPr="00794D24">
        <w:rPr>
          <w:rFonts w:ascii="Arial" w:hAnsi="Arial" w:cs="Arial"/>
          <w:i/>
        </w:rPr>
        <w:t xml:space="preserve">P. </w:t>
      </w:r>
      <w:proofErr w:type="spellStart"/>
      <w:r w:rsidRPr="00794D24">
        <w:rPr>
          <w:rFonts w:ascii="Arial" w:hAnsi="Arial" w:cs="Arial"/>
          <w:i/>
        </w:rPr>
        <w:t>gingivalis</w:t>
      </w:r>
      <w:proofErr w:type="spellEnd"/>
      <w:r w:rsidRPr="00794D24">
        <w:rPr>
          <w:rFonts w:ascii="Arial" w:hAnsi="Arial" w:cs="Arial"/>
        </w:rPr>
        <w:t xml:space="preserve">), </w:t>
      </w:r>
      <w:proofErr w:type="spellStart"/>
      <w:r w:rsidRPr="00794D24">
        <w:rPr>
          <w:rFonts w:ascii="Arial" w:hAnsi="Arial" w:cs="Arial"/>
        </w:rPr>
        <w:t>Pg</w:t>
      </w:r>
      <w:proofErr w:type="spellEnd"/>
      <w:r w:rsidRPr="00794D24">
        <w:rPr>
          <w:rFonts w:ascii="Arial" w:hAnsi="Arial" w:cs="Arial"/>
        </w:rPr>
        <w:t xml:space="preserve">-LMWHA and </w:t>
      </w:r>
      <w:proofErr w:type="spellStart"/>
      <w:r w:rsidRPr="00794D24">
        <w:rPr>
          <w:rFonts w:ascii="Arial" w:hAnsi="Arial" w:cs="Arial"/>
        </w:rPr>
        <w:t>Pg</w:t>
      </w:r>
      <w:proofErr w:type="spellEnd"/>
      <w:r w:rsidRPr="00794D24">
        <w:rPr>
          <w:rFonts w:ascii="Arial" w:hAnsi="Arial" w:cs="Arial"/>
        </w:rPr>
        <w:t>-HMWHA.</w:t>
      </w:r>
    </w:p>
    <w:p w:rsidR="00A735B4" w:rsidRPr="00794D24" w:rsidRDefault="00A735B4" w:rsidP="00A735B4">
      <w:pPr>
        <w:pStyle w:val="Body"/>
        <w:spacing w:after="0"/>
        <w:rPr>
          <w:rFonts w:ascii="Arial" w:hAnsi="Arial" w:cs="Arial"/>
        </w:rPr>
      </w:pPr>
    </w:p>
    <w:p w:rsidR="00A735B4" w:rsidRDefault="00A735B4" w:rsidP="00A735B4">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6</w:t>
      </w:r>
      <w:r w:rsidRPr="00C30A0F">
        <w:rPr>
          <w:rFonts w:ascii="Arial" w:hAnsi="Arial" w:cs="Arial"/>
          <w:b/>
          <w:caps/>
          <w:sz w:val="22"/>
        </w:rPr>
        <w:t xml:space="preserve"> </w:t>
      </w:r>
      <w:r w:rsidRPr="00794D24">
        <w:rPr>
          <w:rFonts w:ascii="Arial" w:hAnsi="Arial" w:cs="Arial"/>
          <w:b/>
          <w:sz w:val="22"/>
        </w:rPr>
        <w:t>Immunofluorescence staining and flow cytometry</w:t>
      </w:r>
    </w:p>
    <w:p w:rsidR="00A735B4" w:rsidRDefault="00A735B4" w:rsidP="00A735B4">
      <w:pPr>
        <w:pStyle w:val="Body"/>
        <w:spacing w:after="0"/>
        <w:rPr>
          <w:rFonts w:ascii="Arial" w:hAnsi="Arial" w:cs="Arial"/>
          <w:b/>
          <w:sz w:val="22"/>
        </w:rPr>
      </w:pPr>
    </w:p>
    <w:p w:rsidR="00A735B4" w:rsidRPr="00794D24" w:rsidRDefault="00A735B4" w:rsidP="00A735B4">
      <w:pPr>
        <w:pStyle w:val="Body"/>
        <w:spacing w:after="0"/>
        <w:rPr>
          <w:rFonts w:ascii="Arial" w:hAnsi="Arial" w:cs="Arial"/>
        </w:rPr>
      </w:pPr>
      <w:r w:rsidRPr="00794D24">
        <w:rPr>
          <w:rFonts w:ascii="Arial" w:hAnsi="Arial" w:cs="Arial"/>
        </w:rPr>
        <w:t xml:space="preserve">The protocol for immunostaining was performed based on </w:t>
      </w:r>
      <w:r w:rsidR="0068712E">
        <w:rPr>
          <w:rFonts w:ascii="Arial" w:hAnsi="Arial" w:cs="Arial"/>
        </w:rPr>
        <w:t>[11]</w:t>
      </w:r>
      <w:r>
        <w:rPr>
          <w:rFonts w:ascii="Arial" w:hAnsi="Arial" w:cs="Arial"/>
        </w:rPr>
        <w:t>,</w:t>
      </w:r>
      <w:r w:rsidRPr="00794D24">
        <w:rPr>
          <w:rFonts w:ascii="Arial" w:hAnsi="Arial" w:cs="Arial"/>
        </w:rPr>
        <w:t xml:space="preserve"> with some modifications. After staining with Live/Dead (Thermo Fisher Scientific, Waltham, MA, USA), cells were incubated with anti-CD14 (ef450 Clone 61D3, </w:t>
      </w:r>
      <w:proofErr w:type="spellStart"/>
      <w:r w:rsidRPr="00794D24">
        <w:rPr>
          <w:rFonts w:ascii="Arial" w:hAnsi="Arial" w:cs="Arial"/>
        </w:rPr>
        <w:t>eBioscience</w:t>
      </w:r>
      <w:proofErr w:type="spellEnd"/>
      <w:r w:rsidRPr="00794D24">
        <w:rPr>
          <w:rFonts w:ascii="Arial" w:hAnsi="Arial" w:cs="Arial"/>
        </w:rPr>
        <w:t xml:space="preserve">), CD16 (APCCy7, Clone 3G8, </w:t>
      </w:r>
      <w:proofErr w:type="spellStart"/>
      <w:r w:rsidRPr="00794D24">
        <w:rPr>
          <w:rFonts w:ascii="Arial" w:hAnsi="Arial" w:cs="Arial"/>
        </w:rPr>
        <w:t>BioLegend</w:t>
      </w:r>
      <w:proofErr w:type="spellEnd"/>
      <w:r w:rsidRPr="00794D24">
        <w:rPr>
          <w:rFonts w:ascii="Arial" w:hAnsi="Arial" w:cs="Arial"/>
        </w:rPr>
        <w:t xml:space="preserve">), CD40 (FITC, clone 5C3, </w:t>
      </w:r>
      <w:proofErr w:type="spellStart"/>
      <w:r w:rsidRPr="00794D24">
        <w:rPr>
          <w:rFonts w:ascii="Arial" w:hAnsi="Arial" w:cs="Arial"/>
        </w:rPr>
        <w:t>BioLegend</w:t>
      </w:r>
      <w:proofErr w:type="spellEnd"/>
      <w:r w:rsidRPr="00794D24">
        <w:rPr>
          <w:rFonts w:ascii="Arial" w:hAnsi="Arial" w:cs="Arial"/>
        </w:rPr>
        <w:t xml:space="preserve">), CD80 (FITC, clone 2D10, </w:t>
      </w:r>
      <w:proofErr w:type="spellStart"/>
      <w:r w:rsidRPr="00794D24">
        <w:rPr>
          <w:rFonts w:ascii="Arial" w:hAnsi="Arial" w:cs="Arial"/>
        </w:rPr>
        <w:t>BioLegend</w:t>
      </w:r>
      <w:proofErr w:type="spellEnd"/>
      <w:r w:rsidRPr="00794D24">
        <w:rPr>
          <w:rFonts w:ascii="Arial" w:hAnsi="Arial" w:cs="Arial"/>
        </w:rPr>
        <w:t xml:space="preserve">), CD86 (PE, clone IT2.2, </w:t>
      </w:r>
      <w:proofErr w:type="spellStart"/>
      <w:r w:rsidRPr="00794D24">
        <w:rPr>
          <w:rFonts w:ascii="Arial" w:hAnsi="Arial" w:cs="Arial"/>
        </w:rPr>
        <w:t>eBioscience</w:t>
      </w:r>
      <w:proofErr w:type="spellEnd"/>
      <w:r w:rsidRPr="00794D24">
        <w:rPr>
          <w:rFonts w:ascii="Arial" w:hAnsi="Arial" w:cs="Arial"/>
        </w:rPr>
        <w:t xml:space="preserve">), HLA-DR (PeCy5.5 Clone Tu36, BD), TLR2 (PE, clone TL2.1, </w:t>
      </w:r>
      <w:proofErr w:type="spellStart"/>
      <w:r w:rsidRPr="00794D24">
        <w:rPr>
          <w:rFonts w:ascii="Arial" w:hAnsi="Arial" w:cs="Arial"/>
        </w:rPr>
        <w:t>eBioscience</w:t>
      </w:r>
      <w:proofErr w:type="spellEnd"/>
      <w:r w:rsidRPr="00794D24">
        <w:rPr>
          <w:rFonts w:ascii="Arial" w:hAnsi="Arial" w:cs="Arial"/>
        </w:rPr>
        <w:t xml:space="preserve">), and TLR4 (APC, clone HTA125, </w:t>
      </w:r>
      <w:proofErr w:type="spellStart"/>
      <w:r w:rsidRPr="00794D24">
        <w:rPr>
          <w:rFonts w:ascii="Arial" w:hAnsi="Arial" w:cs="Arial"/>
        </w:rPr>
        <w:t>BioLegend</w:t>
      </w:r>
      <w:proofErr w:type="spellEnd"/>
      <w:r w:rsidRPr="00794D24">
        <w:rPr>
          <w:rFonts w:ascii="Arial" w:hAnsi="Arial" w:cs="Arial"/>
        </w:rPr>
        <w:t xml:space="preserve">) antibodies diluted in 0.015 M PBS, pH 7.4, containing 2% fetal bovine serum (FBS) (Gibco, Life Technologies Corporation, Carlsbad, CA, USA), for 30 minutes, at room temperature. Cells were then washed with PBS, fixed with 2% formaldehyde in PBS, for 10 minutes, at room temperature, and analyzed by flow </w:t>
      </w:r>
      <w:proofErr w:type="spellStart"/>
      <w:r w:rsidRPr="00794D24">
        <w:rPr>
          <w:rFonts w:ascii="Arial" w:hAnsi="Arial" w:cs="Arial"/>
        </w:rPr>
        <w:t>cytometry</w:t>
      </w:r>
      <w:proofErr w:type="spellEnd"/>
      <w:r w:rsidRPr="00794D24">
        <w:rPr>
          <w:rFonts w:ascii="Arial" w:hAnsi="Arial" w:cs="Arial"/>
        </w:rPr>
        <w:t xml:space="preserve"> (</w:t>
      </w:r>
      <w:proofErr w:type="spellStart"/>
      <w:r w:rsidRPr="00794D24">
        <w:rPr>
          <w:rFonts w:ascii="Arial" w:hAnsi="Arial" w:cs="Arial"/>
        </w:rPr>
        <w:t>LSRFortessa</w:t>
      </w:r>
      <w:proofErr w:type="spellEnd"/>
      <w:r w:rsidRPr="00794D24">
        <w:rPr>
          <w:rFonts w:ascii="Arial" w:hAnsi="Arial" w:cs="Arial"/>
        </w:rPr>
        <w:t xml:space="preserve">™, Becton Dickinson, New Jersey, USA), with acquisition of 70,000 events per tube. </w:t>
      </w:r>
    </w:p>
    <w:p w:rsidR="00A735B4" w:rsidRDefault="00A735B4" w:rsidP="00A735B4">
      <w:pPr>
        <w:pStyle w:val="Body"/>
        <w:spacing w:after="0"/>
        <w:rPr>
          <w:rFonts w:ascii="Arial" w:hAnsi="Arial" w:cs="Arial"/>
        </w:rPr>
      </w:pPr>
      <w:r w:rsidRPr="00794D24">
        <w:rPr>
          <w:rFonts w:ascii="Arial" w:hAnsi="Arial" w:cs="Arial"/>
        </w:rPr>
        <w:lastRenderedPageBreak/>
        <w:t xml:space="preserve">Cytometric analyzes were performed using the </w:t>
      </w:r>
      <w:proofErr w:type="spellStart"/>
      <w:r w:rsidRPr="00794D24">
        <w:rPr>
          <w:rFonts w:ascii="Arial" w:hAnsi="Arial" w:cs="Arial"/>
        </w:rPr>
        <w:t>FlowJo</w:t>
      </w:r>
      <w:proofErr w:type="spellEnd"/>
      <w:r w:rsidRPr="00794D24">
        <w:rPr>
          <w:rFonts w:ascii="Arial" w:hAnsi="Arial" w:cs="Arial"/>
        </w:rPr>
        <w:t xml:space="preserve"> X software (Tree Star Inc., USA). Based on the location of cells in the granularity versus CD14 plot, total monocyte (CD14+) populations were selected. Considering these gated cells, subpopulations of classical (CD14+CD16-) and non-classical/intermediate (CD14+CD16+) monocytes were selected </w:t>
      </w:r>
      <w:r>
        <w:rPr>
          <w:rFonts w:ascii="Arial" w:hAnsi="Arial" w:cs="Arial"/>
        </w:rPr>
        <w:t>(</w:t>
      </w:r>
      <w:proofErr w:type="spellStart"/>
      <w:r>
        <w:rPr>
          <w:rFonts w:ascii="Arial" w:hAnsi="Arial" w:cs="Arial"/>
        </w:rPr>
        <w:t>Chimen</w:t>
      </w:r>
      <w:proofErr w:type="spellEnd"/>
      <w:r>
        <w:rPr>
          <w:rFonts w:ascii="Arial" w:hAnsi="Arial" w:cs="Arial"/>
        </w:rPr>
        <w:t xml:space="preserve"> et al., 2017).</w:t>
      </w:r>
      <w:r w:rsidRPr="00794D24">
        <w:rPr>
          <w:rFonts w:ascii="Arial" w:hAnsi="Arial" w:cs="Arial"/>
        </w:rPr>
        <w:t xml:space="preserve"> The percentages of monocytes from each phenotypically identified subpopulation were determined. The percentages of cells expressing CD40, CD80, CD86, HLA-DR, TLR2 and TLR4 and the median fluorescence intensity (MFI) of these molecules were also quantified within the total monocyte (CD14+) population and within each subpopulation of selected monocytes.</w:t>
      </w:r>
    </w:p>
    <w:p w:rsidR="00A735B4" w:rsidRPr="00794D24" w:rsidRDefault="00A735B4" w:rsidP="00A735B4">
      <w:pPr>
        <w:pStyle w:val="Body"/>
        <w:spacing w:after="0"/>
        <w:rPr>
          <w:rFonts w:ascii="Arial" w:hAnsi="Arial" w:cs="Arial"/>
        </w:rPr>
      </w:pPr>
    </w:p>
    <w:p w:rsidR="00A735B4" w:rsidRDefault="00A735B4" w:rsidP="00A735B4">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7</w:t>
      </w:r>
      <w:r w:rsidRPr="00C30A0F">
        <w:rPr>
          <w:rFonts w:ascii="Arial" w:hAnsi="Arial" w:cs="Arial"/>
          <w:b/>
          <w:caps/>
          <w:sz w:val="22"/>
        </w:rPr>
        <w:t xml:space="preserve"> </w:t>
      </w:r>
      <w:r w:rsidRPr="00794D24">
        <w:rPr>
          <w:rFonts w:ascii="Arial" w:hAnsi="Arial" w:cs="Arial"/>
          <w:b/>
          <w:sz w:val="22"/>
        </w:rPr>
        <w:t>Statistical analysis</w:t>
      </w:r>
    </w:p>
    <w:p w:rsidR="00A735B4" w:rsidRDefault="00A735B4" w:rsidP="00A735B4">
      <w:pPr>
        <w:pStyle w:val="Body"/>
        <w:spacing w:after="0"/>
        <w:rPr>
          <w:rFonts w:ascii="Arial" w:hAnsi="Arial" w:cs="Arial"/>
          <w:b/>
          <w:sz w:val="22"/>
        </w:rPr>
      </w:pPr>
    </w:p>
    <w:p w:rsidR="00AA74E0" w:rsidRDefault="00A735B4" w:rsidP="00A735B4">
      <w:pPr>
        <w:pStyle w:val="Body"/>
        <w:spacing w:after="0"/>
        <w:rPr>
          <w:rFonts w:ascii="Arial" w:hAnsi="Arial" w:cs="Arial"/>
        </w:rPr>
      </w:pPr>
      <w:r w:rsidRPr="00794D24">
        <w:rPr>
          <w:rFonts w:ascii="Arial" w:hAnsi="Arial" w:cs="Arial"/>
        </w:rPr>
        <w:t>The Kolmogorov-Smirnov normality test was used to verify the distribution of the data. In order to verify differences between treatments in cell viability, in the frequencies of surface molecules expressing cells and in the MFI of these molecules, the ANOVA one-way test with repetition followed by the Tukey "post hoc" test or the Friedman test followed by the Dunn’s "post hoc" test were used for comparison between pairs, at a significance level of 5%. Analysis was performed using the GraphPad Prism 5.01 software (GraphPad Software, San Diego, California, USA</w:t>
      </w:r>
      <w:r>
        <w:rPr>
          <w:rFonts w:ascii="Arial" w:hAnsi="Arial" w:cs="Arial"/>
        </w:rPr>
        <w:t>).</w:t>
      </w:r>
      <w:r w:rsidR="007F7B32">
        <w:rPr>
          <w:rFonts w:ascii="Arial" w:hAnsi="Arial" w:cs="Arial"/>
          <w:b/>
        </w:rPr>
        <w:t xml:space="preserve"> </w:t>
      </w:r>
      <w:r w:rsidR="00AA74E0" w:rsidRPr="00FB3A86">
        <w:rPr>
          <w:rFonts w:ascii="Arial" w:hAnsi="Arial" w:cs="Arial"/>
        </w:rPr>
        <w:t xml:space="preserve">  </w:t>
      </w: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A735B4">
        <w:rPr>
          <w:rFonts w:ascii="Arial" w:hAnsi="Arial" w:cs="Arial"/>
        </w:rPr>
        <w:t>results</w:t>
      </w:r>
    </w:p>
    <w:p w:rsidR="00790ADA" w:rsidRPr="00FB3A86" w:rsidRDefault="00790ADA" w:rsidP="00441B6F">
      <w:pPr>
        <w:pStyle w:val="Head1"/>
        <w:spacing w:after="0"/>
        <w:jc w:val="both"/>
        <w:rPr>
          <w:rFonts w:ascii="Arial" w:hAnsi="Arial" w:cs="Arial"/>
        </w:rPr>
      </w:pPr>
    </w:p>
    <w:p w:rsidR="00A735B4" w:rsidRDefault="00A735B4" w:rsidP="00A735B4">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 xml:space="preserve">.1 </w:t>
      </w:r>
      <w:r w:rsidRPr="005A40DE">
        <w:rPr>
          <w:rFonts w:ascii="Arial" w:hAnsi="Arial" w:cs="Arial"/>
          <w:b/>
          <w:sz w:val="22"/>
        </w:rPr>
        <w:t>LMWHA and HMWHA cytotoxicity in PBMCs</w:t>
      </w:r>
    </w:p>
    <w:p w:rsidR="00A735B4" w:rsidRDefault="00A735B4" w:rsidP="00A735B4">
      <w:pPr>
        <w:pStyle w:val="Body"/>
        <w:spacing w:after="0"/>
        <w:rPr>
          <w:rFonts w:ascii="Arial" w:hAnsi="Arial" w:cs="Arial"/>
          <w:b/>
          <w:sz w:val="22"/>
        </w:rPr>
      </w:pPr>
    </w:p>
    <w:p w:rsidR="00A735B4" w:rsidRDefault="00A735B4" w:rsidP="00A735B4">
      <w:pPr>
        <w:pStyle w:val="Body"/>
        <w:spacing w:after="0"/>
        <w:rPr>
          <w:rFonts w:ascii="Arial" w:hAnsi="Arial" w:cs="Arial"/>
        </w:rPr>
      </w:pPr>
      <w:r w:rsidRPr="005A40DE">
        <w:rPr>
          <w:rFonts w:ascii="Arial" w:hAnsi="Arial" w:cs="Arial"/>
        </w:rPr>
        <w:t xml:space="preserve">Analysis of PBMC viability by MTT showed that incubation with LMWHA or HMWHA in concentrations ranging from 0.025% to 0.2% did not cause any significant </w:t>
      </w:r>
      <w:r w:rsidRPr="0050514C">
        <w:rPr>
          <w:rFonts w:ascii="Arial" w:hAnsi="Arial" w:cs="Arial"/>
        </w:rPr>
        <w:t>changes (Fig. 1).</w:t>
      </w:r>
    </w:p>
    <w:p w:rsidR="00A735B4" w:rsidRDefault="00A735B4" w:rsidP="00A735B4">
      <w:pPr>
        <w:pStyle w:val="Body"/>
        <w:spacing w:after="0"/>
        <w:rPr>
          <w:rFonts w:ascii="Arial" w:hAnsi="Arial" w:cs="Arial"/>
        </w:rPr>
      </w:pPr>
    </w:p>
    <w:p w:rsidR="00A735B4" w:rsidRDefault="00A735B4" w:rsidP="00A735B4">
      <w:pPr>
        <w:pStyle w:val="Body"/>
        <w:spacing w:after="0"/>
        <w:jc w:val="center"/>
        <w:rPr>
          <w:rFonts w:ascii="Arial" w:hAnsi="Arial" w:cs="Arial"/>
          <w:highlight w:val="cyan"/>
        </w:rPr>
      </w:pPr>
      <w:r>
        <w:rPr>
          <w:rFonts w:ascii="Arial" w:hAnsi="Arial" w:cs="Arial"/>
          <w:noProof/>
          <w:lang w:val="pt-BR" w:eastAsia="pt-BR"/>
        </w:rPr>
        <w:drawing>
          <wp:inline distT="0" distB="0" distL="0" distR="0" wp14:anchorId="348ADD0D" wp14:editId="4E4F0CA5">
            <wp:extent cx="3822192" cy="292912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22192" cy="2929128"/>
                    </a:xfrm>
                    <a:prstGeom prst="rect">
                      <a:avLst/>
                    </a:prstGeom>
                  </pic:spPr>
                </pic:pic>
              </a:graphicData>
            </a:graphic>
          </wp:inline>
        </w:drawing>
      </w:r>
    </w:p>
    <w:p w:rsidR="00A735B4" w:rsidRDefault="00A735B4" w:rsidP="00A735B4">
      <w:pPr>
        <w:pStyle w:val="Body"/>
        <w:spacing w:after="0"/>
        <w:rPr>
          <w:rFonts w:ascii="Arial" w:hAnsi="Arial" w:cs="Arial"/>
          <w:highlight w:val="cyan"/>
        </w:rPr>
      </w:pPr>
    </w:p>
    <w:p w:rsidR="00A735B4" w:rsidRDefault="00A735B4" w:rsidP="00A735B4">
      <w:pPr>
        <w:autoSpaceDE w:val="0"/>
        <w:autoSpaceDN w:val="0"/>
        <w:adjustRightInd w:val="0"/>
        <w:jc w:val="both"/>
        <w:rPr>
          <w:rFonts w:ascii="Arial" w:hAnsi="Arial" w:cs="Arial"/>
          <w:bCs/>
          <w:sz w:val="18"/>
          <w:szCs w:val="22"/>
        </w:rPr>
      </w:pPr>
      <w:r w:rsidRPr="007957B3">
        <w:rPr>
          <w:rFonts w:ascii="Arial" w:hAnsi="Arial" w:cs="Arial"/>
          <w:b/>
          <w:bCs/>
          <w:szCs w:val="22"/>
        </w:rPr>
        <w:t>Figure 1.</w:t>
      </w:r>
      <w:r w:rsidRPr="007957B3">
        <w:t xml:space="preserve"> </w:t>
      </w:r>
      <w:r w:rsidRPr="007957B3">
        <w:rPr>
          <w:rFonts w:ascii="Arial" w:hAnsi="Arial" w:cs="Arial"/>
          <w:b/>
          <w:bCs/>
          <w:szCs w:val="22"/>
        </w:rPr>
        <w:t>Viability of PBMCs assessed by the MTT method after 16 hours of incubation with different concentrations (%) of LMWHA or HMWHA.</w:t>
      </w:r>
      <w:r w:rsidRPr="007957B3">
        <w:rPr>
          <w:rFonts w:ascii="Arial" w:hAnsi="Arial" w:cs="Arial"/>
          <w:bCs/>
          <w:szCs w:val="22"/>
        </w:rPr>
        <w:t xml:space="preserve"> Results are expressed as mean percentage of mitochondrial activity in relation to the control group. </w:t>
      </w:r>
    </w:p>
    <w:p w:rsidR="00A735B4" w:rsidRPr="007957B3" w:rsidRDefault="00A735B4" w:rsidP="00A735B4">
      <w:pPr>
        <w:autoSpaceDE w:val="0"/>
        <w:autoSpaceDN w:val="0"/>
        <w:adjustRightInd w:val="0"/>
        <w:ind w:left="426"/>
        <w:jc w:val="both"/>
        <w:rPr>
          <w:rFonts w:ascii="Arial" w:hAnsi="Arial" w:cs="Arial"/>
          <w:bCs/>
          <w:i/>
          <w:sz w:val="18"/>
          <w:szCs w:val="22"/>
          <w:highlight w:val="yellow"/>
        </w:rPr>
      </w:pPr>
      <w:r w:rsidRPr="007957B3">
        <w:rPr>
          <w:rFonts w:ascii="Arial" w:hAnsi="Arial" w:cs="Arial"/>
          <w:bCs/>
          <w:i/>
          <w:sz w:val="18"/>
          <w:szCs w:val="22"/>
        </w:rPr>
        <w:lastRenderedPageBreak/>
        <w:t xml:space="preserve">Data from 5 donors are shown. Experiments were performed in triplicate. Error bars indicate standard error of the mean (SEM). LMWHA (low molecular weight hyaluronic acid); HMWHA (high molecular weight hyaluronic acid); </w:t>
      </w:r>
      <w:proofErr w:type="spellStart"/>
      <w:r w:rsidRPr="007957B3">
        <w:rPr>
          <w:rFonts w:ascii="Arial" w:hAnsi="Arial" w:cs="Arial"/>
          <w:bCs/>
          <w:i/>
          <w:sz w:val="18"/>
          <w:szCs w:val="22"/>
        </w:rPr>
        <w:t>Pg</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Porphyromonas</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gingivalis</w:t>
      </w:r>
      <w:proofErr w:type="spellEnd"/>
      <w:r w:rsidRPr="007957B3">
        <w:rPr>
          <w:rFonts w:ascii="Arial" w:hAnsi="Arial" w:cs="Arial"/>
          <w:bCs/>
          <w:i/>
          <w:sz w:val="18"/>
          <w:szCs w:val="22"/>
        </w:rPr>
        <w:t>).</w:t>
      </w:r>
    </w:p>
    <w:p w:rsidR="00A735B4" w:rsidRPr="007957B3" w:rsidRDefault="00A735B4" w:rsidP="00A735B4">
      <w:pPr>
        <w:pStyle w:val="Body"/>
        <w:spacing w:after="0"/>
        <w:rPr>
          <w:rFonts w:ascii="Arial" w:hAnsi="Arial" w:cs="Arial"/>
        </w:rPr>
      </w:pPr>
    </w:p>
    <w:p w:rsidR="00A735B4" w:rsidRPr="007957B3" w:rsidRDefault="00A735B4" w:rsidP="00A735B4">
      <w:pPr>
        <w:pStyle w:val="Body"/>
        <w:spacing w:after="0"/>
        <w:rPr>
          <w:rFonts w:ascii="Arial" w:hAnsi="Arial" w:cs="Arial"/>
        </w:rPr>
      </w:pPr>
    </w:p>
    <w:p w:rsidR="00A735B4" w:rsidRDefault="00A735B4" w:rsidP="00A735B4">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Pr="005A40DE">
        <w:rPr>
          <w:rFonts w:ascii="Arial" w:hAnsi="Arial" w:cs="Arial"/>
          <w:b/>
          <w:sz w:val="22"/>
        </w:rPr>
        <w:t xml:space="preserve">Effect of HA and </w:t>
      </w:r>
      <w:proofErr w:type="spellStart"/>
      <w:r w:rsidRPr="005A40DE">
        <w:rPr>
          <w:rFonts w:ascii="Arial" w:hAnsi="Arial" w:cs="Arial"/>
          <w:b/>
          <w:sz w:val="22"/>
        </w:rPr>
        <w:t>Pg</w:t>
      </w:r>
      <w:proofErr w:type="spellEnd"/>
      <w:r w:rsidRPr="005A40DE">
        <w:rPr>
          <w:rFonts w:ascii="Arial" w:hAnsi="Arial" w:cs="Arial"/>
          <w:b/>
          <w:sz w:val="22"/>
        </w:rPr>
        <w:t xml:space="preserve"> in the frequencies of monocyte subpopulations</w:t>
      </w:r>
    </w:p>
    <w:p w:rsidR="00A735B4" w:rsidRDefault="00A735B4" w:rsidP="00A735B4">
      <w:pPr>
        <w:pStyle w:val="Body"/>
        <w:spacing w:after="0"/>
        <w:rPr>
          <w:rFonts w:ascii="Arial" w:hAnsi="Arial" w:cs="Arial"/>
          <w:b/>
          <w:sz w:val="22"/>
        </w:rPr>
      </w:pPr>
    </w:p>
    <w:p w:rsidR="00A735B4" w:rsidRDefault="00A735B4" w:rsidP="00A735B4">
      <w:pPr>
        <w:pStyle w:val="Body"/>
        <w:spacing w:after="0"/>
        <w:rPr>
          <w:rFonts w:ascii="Arial" w:hAnsi="Arial" w:cs="Arial"/>
        </w:rPr>
      </w:pPr>
      <w:r w:rsidRPr="005A40DE">
        <w:rPr>
          <w:rFonts w:ascii="Arial" w:hAnsi="Arial" w:cs="Arial"/>
        </w:rPr>
        <w:t xml:space="preserve">Flow cytometry analysis showed that exposure to LMWHA or HMWHA and bacteria did not significantly affect the frequencies of classical or non-classical/intermediate monocytes in the total CD14+ </w:t>
      </w:r>
      <w:r w:rsidRPr="0050514C">
        <w:rPr>
          <w:rFonts w:ascii="Arial" w:hAnsi="Arial" w:cs="Arial"/>
        </w:rPr>
        <w:t>cells (Fig. 2).</w:t>
      </w:r>
    </w:p>
    <w:p w:rsidR="00A735B4" w:rsidRDefault="00A735B4" w:rsidP="00A735B4">
      <w:pPr>
        <w:pStyle w:val="Body"/>
        <w:spacing w:after="0"/>
        <w:rPr>
          <w:rFonts w:ascii="Arial" w:hAnsi="Arial" w:cs="Arial"/>
        </w:rPr>
      </w:pPr>
    </w:p>
    <w:p w:rsidR="00A735B4" w:rsidRDefault="00A735B4" w:rsidP="00A735B4">
      <w:pPr>
        <w:pStyle w:val="Body"/>
        <w:spacing w:after="0"/>
        <w:jc w:val="center"/>
        <w:rPr>
          <w:rFonts w:ascii="Arial" w:hAnsi="Arial" w:cs="Arial"/>
          <w:highlight w:val="cyan"/>
        </w:rPr>
      </w:pPr>
      <w:r>
        <w:rPr>
          <w:rFonts w:ascii="Arial" w:hAnsi="Arial" w:cs="Arial"/>
          <w:noProof/>
          <w:lang w:val="pt-BR" w:eastAsia="pt-BR"/>
        </w:rPr>
        <w:drawing>
          <wp:inline distT="0" distB="0" distL="0" distR="0" wp14:anchorId="49A4F660" wp14:editId="588C91F2">
            <wp:extent cx="5202515" cy="21717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tif"/>
                    <pic:cNvPicPr/>
                  </pic:nvPicPr>
                  <pic:blipFill rotWithShape="1">
                    <a:blip r:embed="rId16" cstate="print">
                      <a:extLst>
                        <a:ext uri="{28A0092B-C50C-407E-A947-70E740481C1C}">
                          <a14:useLocalDpi xmlns:a14="http://schemas.microsoft.com/office/drawing/2010/main" val="0"/>
                        </a:ext>
                      </a:extLst>
                    </a:blip>
                    <a:srcRect b="2979"/>
                    <a:stretch/>
                  </pic:blipFill>
                  <pic:spPr bwMode="auto">
                    <a:xfrm>
                      <a:off x="0" y="0"/>
                      <a:ext cx="5212800" cy="2175993"/>
                    </a:xfrm>
                    <a:prstGeom prst="rect">
                      <a:avLst/>
                    </a:prstGeom>
                    <a:ln>
                      <a:noFill/>
                    </a:ln>
                    <a:extLst>
                      <a:ext uri="{53640926-AAD7-44D8-BBD7-CCE9431645EC}">
                        <a14:shadowObscured xmlns:a14="http://schemas.microsoft.com/office/drawing/2010/main"/>
                      </a:ext>
                    </a:extLst>
                  </pic:spPr>
                </pic:pic>
              </a:graphicData>
            </a:graphic>
          </wp:inline>
        </w:drawing>
      </w:r>
    </w:p>
    <w:p w:rsidR="00C220C1" w:rsidRDefault="004B0735" w:rsidP="00C220C1">
      <w:pPr>
        <w:pStyle w:val="Body"/>
        <w:spacing w:after="0"/>
        <w:jc w:val="center"/>
        <w:rPr>
          <w:rFonts w:ascii="Arial" w:hAnsi="Arial" w:cs="Arial"/>
          <w:b/>
          <w:bCs/>
          <w:szCs w:val="22"/>
        </w:rPr>
      </w:pPr>
      <w:r>
        <w:rPr>
          <w:rFonts w:ascii="Arial" w:hAnsi="Arial" w:cs="Arial"/>
          <w:b/>
          <w:bCs/>
          <w:noProof/>
          <w:szCs w:val="22"/>
          <w:lang w:val="pt-BR" w:eastAsia="pt-BR"/>
        </w:rPr>
        <w:drawing>
          <wp:inline distT="0" distB="0" distL="0" distR="0">
            <wp:extent cx="5181600" cy="237172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 C a.tif"/>
                    <pic:cNvPicPr/>
                  </pic:nvPicPr>
                  <pic:blipFill>
                    <a:blip r:embed="rId17">
                      <a:extLst>
                        <a:ext uri="{28A0092B-C50C-407E-A947-70E740481C1C}">
                          <a14:useLocalDpi xmlns:a14="http://schemas.microsoft.com/office/drawing/2010/main" val="0"/>
                        </a:ext>
                      </a:extLst>
                    </a:blip>
                    <a:stretch>
                      <a:fillRect/>
                    </a:stretch>
                  </pic:blipFill>
                  <pic:spPr>
                    <a:xfrm>
                      <a:off x="0" y="0"/>
                      <a:ext cx="5181600" cy="2371725"/>
                    </a:xfrm>
                    <a:prstGeom prst="rect">
                      <a:avLst/>
                    </a:prstGeom>
                  </pic:spPr>
                </pic:pic>
              </a:graphicData>
            </a:graphic>
          </wp:inline>
        </w:drawing>
      </w:r>
    </w:p>
    <w:p w:rsidR="00C220C1" w:rsidRDefault="00C220C1" w:rsidP="00C220C1">
      <w:pPr>
        <w:pStyle w:val="Body"/>
        <w:spacing w:after="0"/>
        <w:jc w:val="center"/>
        <w:rPr>
          <w:rFonts w:ascii="Arial" w:hAnsi="Arial" w:cs="Arial"/>
          <w:b/>
          <w:bCs/>
          <w:szCs w:val="22"/>
        </w:rPr>
      </w:pPr>
    </w:p>
    <w:p w:rsidR="00A735B4" w:rsidRDefault="00A735B4" w:rsidP="00A735B4">
      <w:pPr>
        <w:pStyle w:val="Body"/>
        <w:spacing w:after="0"/>
        <w:rPr>
          <w:rFonts w:ascii="Arial" w:hAnsi="Arial" w:cs="Arial"/>
          <w:bCs/>
          <w:sz w:val="18"/>
          <w:szCs w:val="22"/>
        </w:rPr>
      </w:pPr>
      <w:proofErr w:type="gramStart"/>
      <w:r w:rsidRPr="007957B3">
        <w:rPr>
          <w:rFonts w:ascii="Arial" w:hAnsi="Arial" w:cs="Arial"/>
          <w:b/>
          <w:bCs/>
          <w:szCs w:val="22"/>
        </w:rPr>
        <w:t xml:space="preserve">Figure </w:t>
      </w:r>
      <w:r>
        <w:rPr>
          <w:rFonts w:ascii="Arial" w:hAnsi="Arial" w:cs="Arial"/>
          <w:b/>
          <w:bCs/>
          <w:szCs w:val="22"/>
        </w:rPr>
        <w:t>2</w:t>
      </w:r>
      <w:r w:rsidRPr="007957B3">
        <w:rPr>
          <w:rFonts w:ascii="Arial" w:hAnsi="Arial" w:cs="Arial"/>
          <w:b/>
          <w:bCs/>
          <w:szCs w:val="22"/>
        </w:rPr>
        <w:t>.</w:t>
      </w:r>
      <w:proofErr w:type="gramEnd"/>
      <w:r w:rsidRPr="007957B3">
        <w:rPr>
          <w:rFonts w:ascii="Arial" w:hAnsi="Arial" w:cs="Arial"/>
          <w:bCs/>
          <w:szCs w:val="22"/>
        </w:rPr>
        <w:t xml:space="preserve"> </w:t>
      </w:r>
      <w:r w:rsidRPr="007957B3">
        <w:rPr>
          <w:rFonts w:ascii="Arial" w:hAnsi="Arial" w:cs="Arial"/>
          <w:b/>
          <w:bCs/>
          <w:sz w:val="18"/>
          <w:szCs w:val="22"/>
        </w:rPr>
        <w:t xml:space="preserve">The effect of LMWHA or HMWHA and </w:t>
      </w:r>
      <w:r w:rsidRPr="006F1EAE">
        <w:rPr>
          <w:rFonts w:ascii="Arial" w:hAnsi="Arial" w:cs="Arial"/>
          <w:b/>
          <w:bCs/>
          <w:i/>
          <w:sz w:val="18"/>
          <w:szCs w:val="22"/>
        </w:rPr>
        <w:t xml:space="preserve">P. </w:t>
      </w:r>
      <w:proofErr w:type="spellStart"/>
      <w:r w:rsidRPr="006F1EAE">
        <w:rPr>
          <w:rFonts w:ascii="Arial" w:hAnsi="Arial" w:cs="Arial"/>
          <w:b/>
          <w:bCs/>
          <w:i/>
          <w:sz w:val="18"/>
          <w:szCs w:val="22"/>
        </w:rPr>
        <w:t>gingivalis</w:t>
      </w:r>
      <w:proofErr w:type="spellEnd"/>
      <w:r w:rsidR="006F1EAE">
        <w:rPr>
          <w:rFonts w:ascii="Arial" w:hAnsi="Arial" w:cs="Arial"/>
          <w:b/>
          <w:bCs/>
          <w:sz w:val="18"/>
          <w:szCs w:val="22"/>
        </w:rPr>
        <w:t xml:space="preserve"> </w:t>
      </w:r>
      <w:r w:rsidRPr="007957B3">
        <w:rPr>
          <w:rFonts w:ascii="Arial" w:hAnsi="Arial" w:cs="Arial"/>
          <w:b/>
          <w:bCs/>
          <w:sz w:val="18"/>
          <w:szCs w:val="22"/>
        </w:rPr>
        <w:t>stimulation on the frequencies of classical monocytes (CD14+CD16-) (A) and non-classical/intermediate monocytes (CD14+CD16+) (B).</w:t>
      </w:r>
      <w:r w:rsidRPr="007957B3">
        <w:rPr>
          <w:rFonts w:ascii="Arial" w:hAnsi="Arial" w:cs="Arial"/>
          <w:bCs/>
          <w:sz w:val="18"/>
          <w:szCs w:val="22"/>
        </w:rPr>
        <w:t xml:space="preserve"> </w:t>
      </w:r>
      <w:r w:rsidRPr="007957B3">
        <w:rPr>
          <w:rFonts w:ascii="Arial" w:hAnsi="Arial" w:cs="Arial"/>
          <w:bCs/>
          <w:szCs w:val="22"/>
        </w:rPr>
        <w:t xml:space="preserve">PBMCs were stimulated or not with </w:t>
      </w:r>
      <w:proofErr w:type="spellStart"/>
      <w:r w:rsidRPr="007957B3">
        <w:rPr>
          <w:rFonts w:ascii="Arial" w:hAnsi="Arial" w:cs="Arial"/>
          <w:bCs/>
          <w:szCs w:val="22"/>
        </w:rPr>
        <w:t>Pg</w:t>
      </w:r>
      <w:proofErr w:type="spellEnd"/>
      <w:r w:rsidRPr="007957B3">
        <w:rPr>
          <w:rFonts w:ascii="Arial" w:hAnsi="Arial" w:cs="Arial"/>
          <w:bCs/>
          <w:szCs w:val="22"/>
        </w:rPr>
        <w:t xml:space="preserve"> and incubated with 0.2% LMWHA or HMWHA. Total incubation time 17 hours. </w:t>
      </w:r>
      <w:r w:rsidR="009A3B3E" w:rsidRPr="009A3B3E">
        <w:rPr>
          <w:rFonts w:ascii="Arial" w:hAnsi="Arial" w:cs="Arial"/>
          <w:bCs/>
          <w:color w:val="FF0000"/>
          <w:szCs w:val="22"/>
        </w:rPr>
        <w:t>Dot plot graphs representing the percentage of total monocytes and monocytes from each phenotypically identified subpopulation (C).</w:t>
      </w:r>
    </w:p>
    <w:p w:rsidR="00A735B4" w:rsidRDefault="00A735B4" w:rsidP="00A735B4">
      <w:pPr>
        <w:pStyle w:val="Body"/>
        <w:spacing w:after="0"/>
        <w:ind w:left="426"/>
        <w:rPr>
          <w:rFonts w:ascii="Arial" w:hAnsi="Arial" w:cs="Arial"/>
          <w:bCs/>
          <w:i/>
          <w:sz w:val="18"/>
          <w:szCs w:val="22"/>
        </w:rPr>
      </w:pPr>
      <w:r w:rsidRPr="007957B3">
        <w:rPr>
          <w:rFonts w:ascii="Arial" w:hAnsi="Arial" w:cs="Arial"/>
          <w:bCs/>
          <w:i/>
          <w:sz w:val="18"/>
          <w:szCs w:val="22"/>
        </w:rPr>
        <w:t>Error bars indicate standard error of the mean (SEM). Data from 10 donors are shown</w:t>
      </w:r>
      <w:r>
        <w:rPr>
          <w:rFonts w:ascii="Arial" w:hAnsi="Arial" w:cs="Arial"/>
          <w:bCs/>
          <w:i/>
          <w:sz w:val="18"/>
          <w:szCs w:val="22"/>
        </w:rPr>
        <w:t>.</w:t>
      </w:r>
    </w:p>
    <w:p w:rsidR="00A735B4" w:rsidRPr="007957B3" w:rsidRDefault="00A735B4" w:rsidP="00A735B4">
      <w:pPr>
        <w:pStyle w:val="Body"/>
        <w:spacing w:after="0"/>
        <w:ind w:left="426"/>
        <w:rPr>
          <w:rFonts w:ascii="Arial" w:hAnsi="Arial" w:cs="Arial"/>
          <w:i/>
          <w:highlight w:val="cyan"/>
        </w:rPr>
      </w:pPr>
      <w:r w:rsidRPr="007957B3">
        <w:rPr>
          <w:rFonts w:ascii="Arial" w:hAnsi="Arial" w:cs="Arial"/>
          <w:bCs/>
          <w:i/>
          <w:sz w:val="18"/>
          <w:szCs w:val="22"/>
        </w:rPr>
        <w:t xml:space="preserve">LMWHA (low molecular weight hyaluronic acid); HMWHA (high molecular weight hyaluronic acid); </w:t>
      </w:r>
      <w:proofErr w:type="spellStart"/>
      <w:r w:rsidRPr="007957B3">
        <w:rPr>
          <w:rFonts w:ascii="Arial" w:hAnsi="Arial" w:cs="Arial"/>
          <w:bCs/>
          <w:i/>
          <w:sz w:val="18"/>
          <w:szCs w:val="22"/>
        </w:rPr>
        <w:t>Pg</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Porphyromonas</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gingivalis</w:t>
      </w:r>
      <w:proofErr w:type="spellEnd"/>
      <w:r>
        <w:rPr>
          <w:rFonts w:ascii="Arial" w:hAnsi="Arial" w:cs="Arial"/>
          <w:bCs/>
          <w:i/>
          <w:sz w:val="18"/>
          <w:szCs w:val="22"/>
        </w:rPr>
        <w:t>).</w:t>
      </w:r>
    </w:p>
    <w:p w:rsidR="00A735B4" w:rsidRPr="007957B3" w:rsidRDefault="00A735B4" w:rsidP="00A735B4">
      <w:pPr>
        <w:pStyle w:val="Body"/>
        <w:spacing w:after="0"/>
        <w:rPr>
          <w:rFonts w:ascii="Arial" w:hAnsi="Arial" w:cs="Arial"/>
        </w:rPr>
      </w:pPr>
    </w:p>
    <w:p w:rsidR="004B0735" w:rsidRDefault="004B0735" w:rsidP="00A735B4">
      <w:pPr>
        <w:pStyle w:val="Body"/>
        <w:spacing w:after="0"/>
        <w:rPr>
          <w:rFonts w:ascii="Arial" w:hAnsi="Arial" w:cs="Arial"/>
          <w:b/>
          <w:caps/>
          <w:sz w:val="22"/>
        </w:rPr>
      </w:pPr>
    </w:p>
    <w:p w:rsidR="00A735B4" w:rsidRDefault="00A735B4" w:rsidP="00A735B4">
      <w:pPr>
        <w:pStyle w:val="Body"/>
        <w:spacing w:after="0"/>
        <w:rPr>
          <w:rFonts w:ascii="Arial" w:hAnsi="Arial" w:cs="Arial"/>
          <w:b/>
          <w:sz w:val="22"/>
        </w:rPr>
      </w:pPr>
      <w:r>
        <w:rPr>
          <w:rFonts w:ascii="Arial" w:hAnsi="Arial" w:cs="Arial"/>
          <w:b/>
          <w:caps/>
          <w:sz w:val="22"/>
        </w:rPr>
        <w:lastRenderedPageBreak/>
        <w:t>3</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sidRPr="0050514C">
        <w:rPr>
          <w:rFonts w:ascii="Arial" w:hAnsi="Arial" w:cs="Arial"/>
          <w:b/>
          <w:sz w:val="22"/>
        </w:rPr>
        <w:t>Effect of LMWHA and HMWHA on the expression of co-stimulatory molecules and toll-like receptors by monocytes</w:t>
      </w:r>
    </w:p>
    <w:p w:rsidR="00A735B4" w:rsidRDefault="00A735B4" w:rsidP="00A735B4">
      <w:pPr>
        <w:pStyle w:val="Body"/>
        <w:spacing w:after="0"/>
        <w:rPr>
          <w:rFonts w:ascii="Arial" w:hAnsi="Arial" w:cs="Arial"/>
          <w:b/>
          <w:sz w:val="22"/>
        </w:rPr>
      </w:pPr>
    </w:p>
    <w:p w:rsidR="00A735B4" w:rsidRPr="0050514C" w:rsidRDefault="00A735B4" w:rsidP="00A735B4">
      <w:pPr>
        <w:pStyle w:val="Body"/>
        <w:spacing w:after="0"/>
        <w:rPr>
          <w:rFonts w:ascii="Arial" w:hAnsi="Arial" w:cs="Arial"/>
        </w:rPr>
      </w:pPr>
      <w:r w:rsidRPr="0050514C">
        <w:rPr>
          <w:rFonts w:ascii="Arial" w:hAnsi="Arial" w:cs="Arial"/>
        </w:rPr>
        <w:t xml:space="preserve">Cytometric analyses showed that incubation of PBMC with LMWHA or HMWHA did not significantly alter the frequencies of cells expressing CD40, CD80 and HLA-DR, or the MFI of these molecules in the total monocytes (CD14+) (Fig. 3), classical (Fig. </w:t>
      </w:r>
      <w:r>
        <w:rPr>
          <w:rFonts w:ascii="Arial" w:hAnsi="Arial" w:cs="Arial"/>
        </w:rPr>
        <w:t>4</w:t>
      </w:r>
      <w:r w:rsidRPr="0050514C">
        <w:rPr>
          <w:rFonts w:ascii="Arial" w:hAnsi="Arial" w:cs="Arial"/>
        </w:rPr>
        <w:t xml:space="preserve">) or non-classical/intermediate (Fig. </w:t>
      </w:r>
      <w:r>
        <w:rPr>
          <w:rFonts w:ascii="Arial" w:hAnsi="Arial" w:cs="Arial"/>
        </w:rPr>
        <w:t>5</w:t>
      </w:r>
      <w:r w:rsidRPr="0050514C">
        <w:rPr>
          <w:rFonts w:ascii="Arial" w:hAnsi="Arial" w:cs="Arial"/>
        </w:rPr>
        <w:t xml:space="preserve">) monocyte subpopulations. Similar results were observed for CD86 (data not shown). However, the frequency of CD80+ cells was significantly higher in the HMWHA group when compared to the LMWHA group only in non-classical/intermediate monocytes (Fig. </w:t>
      </w:r>
      <w:r>
        <w:rPr>
          <w:rFonts w:ascii="Arial" w:hAnsi="Arial" w:cs="Arial"/>
        </w:rPr>
        <w:t>5</w:t>
      </w:r>
      <w:r w:rsidRPr="0050514C">
        <w:rPr>
          <w:rFonts w:ascii="Arial" w:hAnsi="Arial" w:cs="Arial"/>
        </w:rPr>
        <w:t xml:space="preserve">C). Additionally, the frequencies of HLA-DR+ cells were significantly higher in the HMWHA group when compared to the LMWHA group in classical (Fig. </w:t>
      </w:r>
      <w:r>
        <w:rPr>
          <w:rFonts w:ascii="Arial" w:hAnsi="Arial" w:cs="Arial"/>
        </w:rPr>
        <w:t>4</w:t>
      </w:r>
      <w:r w:rsidRPr="0050514C">
        <w:rPr>
          <w:rFonts w:ascii="Arial" w:hAnsi="Arial" w:cs="Arial"/>
        </w:rPr>
        <w:t xml:space="preserve">E) and non-classical/intermediate (Fig. </w:t>
      </w:r>
      <w:r>
        <w:rPr>
          <w:rFonts w:ascii="Arial" w:hAnsi="Arial" w:cs="Arial"/>
        </w:rPr>
        <w:t>5</w:t>
      </w:r>
      <w:r w:rsidRPr="0050514C">
        <w:rPr>
          <w:rFonts w:ascii="Arial" w:hAnsi="Arial" w:cs="Arial"/>
        </w:rPr>
        <w:t>E) monocytes.</w:t>
      </w:r>
    </w:p>
    <w:p w:rsidR="00A735B4" w:rsidRDefault="00A735B4" w:rsidP="00A735B4">
      <w:pPr>
        <w:pStyle w:val="Body"/>
        <w:spacing w:after="0"/>
        <w:rPr>
          <w:rFonts w:ascii="Arial" w:hAnsi="Arial" w:cs="Arial"/>
        </w:rPr>
      </w:pPr>
    </w:p>
    <w:p w:rsidR="00A735B4" w:rsidRDefault="00A735B4" w:rsidP="00A735B4">
      <w:pPr>
        <w:pStyle w:val="Body"/>
        <w:spacing w:after="0"/>
        <w:rPr>
          <w:rFonts w:ascii="Arial" w:hAnsi="Arial" w:cs="Arial"/>
        </w:rPr>
      </w:pPr>
    </w:p>
    <w:p w:rsidR="00A735B4" w:rsidRDefault="00A735B4" w:rsidP="00A735B4">
      <w:pPr>
        <w:pStyle w:val="Body"/>
        <w:spacing w:after="0"/>
        <w:jc w:val="center"/>
        <w:rPr>
          <w:rFonts w:ascii="Arial" w:hAnsi="Arial" w:cs="Arial"/>
          <w:highlight w:val="cyan"/>
          <w:lang w:val="pt-BR"/>
        </w:rPr>
      </w:pPr>
      <w:r>
        <w:rPr>
          <w:rFonts w:ascii="Arial" w:hAnsi="Arial" w:cs="Arial"/>
          <w:noProof/>
          <w:lang w:val="pt-BR" w:eastAsia="pt-BR"/>
        </w:rPr>
        <w:lastRenderedPageBreak/>
        <w:drawing>
          <wp:inline distT="0" distB="0" distL="0" distR="0" wp14:anchorId="2143486A" wp14:editId="2D3DCB66">
            <wp:extent cx="5148000" cy="59976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48000" cy="5997600"/>
                    </a:xfrm>
                    <a:prstGeom prst="rect">
                      <a:avLst/>
                    </a:prstGeom>
                  </pic:spPr>
                </pic:pic>
              </a:graphicData>
            </a:graphic>
          </wp:inline>
        </w:drawing>
      </w:r>
    </w:p>
    <w:p w:rsidR="00A735B4" w:rsidRDefault="00A735B4" w:rsidP="00A735B4">
      <w:pPr>
        <w:pStyle w:val="Body"/>
        <w:spacing w:after="0"/>
        <w:rPr>
          <w:rFonts w:ascii="Arial" w:hAnsi="Arial" w:cs="Arial"/>
          <w:bCs/>
          <w:szCs w:val="22"/>
        </w:rPr>
      </w:pPr>
      <w:r w:rsidRPr="007957B3">
        <w:rPr>
          <w:rFonts w:ascii="Arial" w:hAnsi="Arial" w:cs="Arial"/>
          <w:b/>
          <w:bCs/>
          <w:szCs w:val="22"/>
        </w:rPr>
        <w:t xml:space="preserve">Figure </w:t>
      </w:r>
      <w:r>
        <w:rPr>
          <w:rFonts w:ascii="Arial" w:hAnsi="Arial" w:cs="Arial"/>
          <w:b/>
          <w:bCs/>
          <w:szCs w:val="22"/>
        </w:rPr>
        <w:t>3</w:t>
      </w:r>
      <w:r w:rsidRPr="007957B3">
        <w:rPr>
          <w:rFonts w:ascii="Arial" w:hAnsi="Arial" w:cs="Arial"/>
          <w:b/>
          <w:bCs/>
          <w:szCs w:val="22"/>
        </w:rPr>
        <w:t>.</w:t>
      </w:r>
      <w:r w:rsidRPr="007957B3">
        <w:rPr>
          <w:rFonts w:ascii="Arial" w:hAnsi="Arial" w:cs="Arial"/>
          <w:bCs/>
          <w:szCs w:val="22"/>
        </w:rPr>
        <w:t xml:space="preserve"> </w:t>
      </w:r>
      <w:r w:rsidRPr="009C394D">
        <w:rPr>
          <w:rFonts w:ascii="Arial" w:hAnsi="Arial" w:cs="Arial"/>
          <w:b/>
          <w:bCs/>
          <w:szCs w:val="22"/>
        </w:rPr>
        <w:t xml:space="preserve">The effect of LMWHA or HMWHA and </w:t>
      </w:r>
      <w:r w:rsidRPr="009C394D">
        <w:rPr>
          <w:rFonts w:ascii="Arial" w:hAnsi="Arial" w:cs="Arial"/>
          <w:b/>
          <w:bCs/>
          <w:i/>
          <w:szCs w:val="22"/>
        </w:rPr>
        <w:t xml:space="preserve">P. </w:t>
      </w:r>
      <w:proofErr w:type="spellStart"/>
      <w:r w:rsidRPr="009C394D">
        <w:rPr>
          <w:rFonts w:ascii="Arial" w:hAnsi="Arial" w:cs="Arial"/>
          <w:b/>
          <w:bCs/>
          <w:i/>
          <w:szCs w:val="22"/>
        </w:rPr>
        <w:t>gingivalis</w:t>
      </w:r>
      <w:proofErr w:type="spellEnd"/>
      <w:r w:rsidRPr="009C394D">
        <w:rPr>
          <w:rFonts w:ascii="Arial" w:hAnsi="Arial" w:cs="Arial"/>
          <w:b/>
          <w:bCs/>
          <w:szCs w:val="22"/>
        </w:rPr>
        <w:t xml:space="preserve"> stimulation on the frequencies of positive cells and median fluorescence intensity (MFI) of co-stimulatory molecules in CD14+ monocytes.</w:t>
      </w:r>
      <w:r w:rsidRPr="007957B3">
        <w:rPr>
          <w:rFonts w:ascii="Arial" w:hAnsi="Arial" w:cs="Arial"/>
          <w:bCs/>
          <w:szCs w:val="22"/>
        </w:rPr>
        <w:t xml:space="preserve"> PBMCs were stimulated or not with </w:t>
      </w:r>
      <w:proofErr w:type="spellStart"/>
      <w:r w:rsidRPr="007957B3">
        <w:rPr>
          <w:rFonts w:ascii="Arial" w:hAnsi="Arial" w:cs="Arial"/>
          <w:bCs/>
          <w:szCs w:val="22"/>
        </w:rPr>
        <w:t>Pg</w:t>
      </w:r>
      <w:proofErr w:type="spellEnd"/>
      <w:r w:rsidRPr="007957B3">
        <w:rPr>
          <w:rFonts w:ascii="Arial" w:hAnsi="Arial" w:cs="Arial"/>
          <w:bCs/>
          <w:szCs w:val="22"/>
        </w:rPr>
        <w:t xml:space="preserve"> and incubated with 0.2% LMWHA or HMWHA. Total incubation time 17 hours. </w:t>
      </w:r>
    </w:p>
    <w:p w:rsidR="00A735B4" w:rsidRDefault="00A735B4" w:rsidP="00A735B4">
      <w:pPr>
        <w:pStyle w:val="Body"/>
        <w:spacing w:after="0"/>
        <w:ind w:left="426"/>
        <w:rPr>
          <w:rFonts w:ascii="Arial" w:hAnsi="Arial" w:cs="Arial"/>
          <w:bCs/>
          <w:i/>
          <w:sz w:val="18"/>
          <w:szCs w:val="22"/>
        </w:rPr>
      </w:pPr>
      <w:r w:rsidRPr="009C394D">
        <w:rPr>
          <w:rFonts w:ascii="Arial" w:hAnsi="Arial" w:cs="Arial"/>
          <w:bCs/>
          <w:i/>
          <w:sz w:val="18"/>
          <w:szCs w:val="22"/>
        </w:rPr>
        <w:t>Error bars indicate standard error of the mean (SEM). Data from 10 donors are shown.</w:t>
      </w:r>
    </w:p>
    <w:p w:rsidR="00A735B4" w:rsidRPr="009C394D" w:rsidRDefault="00A735B4" w:rsidP="00A735B4">
      <w:pPr>
        <w:pStyle w:val="Body"/>
        <w:spacing w:after="0"/>
        <w:ind w:left="426"/>
        <w:rPr>
          <w:rFonts w:ascii="Arial" w:hAnsi="Arial" w:cs="Arial"/>
          <w:bCs/>
          <w:i/>
          <w:sz w:val="18"/>
          <w:szCs w:val="22"/>
        </w:rPr>
      </w:pPr>
      <w:r w:rsidRPr="007957B3">
        <w:rPr>
          <w:rFonts w:ascii="Arial" w:hAnsi="Arial" w:cs="Arial"/>
          <w:bCs/>
          <w:i/>
          <w:sz w:val="18"/>
          <w:szCs w:val="22"/>
        </w:rPr>
        <w:t xml:space="preserve">LMWHA (low molecular weight hyaluronic acid); HMWHA (high molecular weight hyaluronic acid); </w:t>
      </w:r>
      <w:proofErr w:type="spellStart"/>
      <w:r w:rsidRPr="007957B3">
        <w:rPr>
          <w:rFonts w:ascii="Arial" w:hAnsi="Arial" w:cs="Arial"/>
          <w:bCs/>
          <w:i/>
          <w:sz w:val="18"/>
          <w:szCs w:val="22"/>
        </w:rPr>
        <w:t>Pg</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Porphyromonas</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gingivalis</w:t>
      </w:r>
      <w:proofErr w:type="spellEnd"/>
      <w:r>
        <w:rPr>
          <w:rFonts w:ascii="Arial" w:hAnsi="Arial" w:cs="Arial"/>
          <w:bCs/>
          <w:i/>
          <w:sz w:val="18"/>
          <w:szCs w:val="22"/>
        </w:rPr>
        <w:t>).</w:t>
      </w:r>
    </w:p>
    <w:p w:rsidR="00A735B4" w:rsidRPr="009C394D" w:rsidRDefault="00A735B4" w:rsidP="00A735B4">
      <w:pPr>
        <w:pStyle w:val="Body"/>
        <w:spacing w:after="0"/>
        <w:ind w:left="426"/>
        <w:rPr>
          <w:rFonts w:ascii="Arial" w:hAnsi="Arial" w:cs="Arial"/>
          <w:bCs/>
          <w:i/>
          <w:sz w:val="18"/>
          <w:szCs w:val="22"/>
        </w:rPr>
      </w:pPr>
      <w:r w:rsidRPr="009C394D">
        <w:rPr>
          <w:rFonts w:ascii="Arial" w:hAnsi="Arial" w:cs="Arial"/>
          <w:bCs/>
          <w:i/>
          <w:sz w:val="18"/>
          <w:szCs w:val="22"/>
        </w:rPr>
        <w:t>* represents a significant difference (</w:t>
      </w:r>
      <w:r w:rsidRPr="00E5700B">
        <w:rPr>
          <w:rFonts w:ascii="Arial" w:hAnsi="Arial" w:cs="Arial"/>
          <w:bCs/>
          <w:i/>
          <w:sz w:val="18"/>
          <w:szCs w:val="22"/>
        </w:rPr>
        <w:t>P</w:t>
      </w:r>
      <w:r>
        <w:rPr>
          <w:rFonts w:ascii="Arial" w:hAnsi="Arial" w:cs="Arial"/>
          <w:bCs/>
          <w:i/>
          <w:sz w:val="18"/>
          <w:szCs w:val="22"/>
        </w:rPr>
        <w:t xml:space="preserve"> </w:t>
      </w:r>
      <w:r w:rsidRPr="00E5700B">
        <w:rPr>
          <w:rFonts w:ascii="Arial" w:hAnsi="Arial" w:cs="Arial"/>
          <w:bCs/>
          <w:i/>
          <w:sz w:val="18"/>
          <w:szCs w:val="22"/>
        </w:rPr>
        <w:t>&lt;</w:t>
      </w:r>
      <w:r>
        <w:rPr>
          <w:rFonts w:ascii="Arial" w:hAnsi="Arial" w:cs="Arial"/>
          <w:bCs/>
          <w:i/>
          <w:sz w:val="18"/>
          <w:szCs w:val="22"/>
        </w:rPr>
        <w:t xml:space="preserve"> </w:t>
      </w:r>
      <w:r w:rsidRPr="00E5700B">
        <w:rPr>
          <w:rFonts w:ascii="Arial" w:hAnsi="Arial" w:cs="Arial"/>
          <w:bCs/>
          <w:i/>
          <w:sz w:val="18"/>
          <w:szCs w:val="22"/>
        </w:rPr>
        <w:t>.05</w:t>
      </w:r>
      <w:r w:rsidRPr="009C394D">
        <w:rPr>
          <w:rFonts w:ascii="Arial" w:hAnsi="Arial" w:cs="Arial"/>
          <w:bCs/>
          <w:i/>
          <w:sz w:val="18"/>
          <w:szCs w:val="22"/>
        </w:rPr>
        <w:t>) in relation to the control group and connecting lines under # represent significant differences (</w:t>
      </w:r>
      <w:r w:rsidRPr="00E5700B">
        <w:rPr>
          <w:rFonts w:ascii="Arial" w:hAnsi="Arial" w:cs="Arial"/>
          <w:bCs/>
          <w:i/>
          <w:sz w:val="18"/>
          <w:szCs w:val="22"/>
        </w:rPr>
        <w:t>P</w:t>
      </w:r>
      <w:r>
        <w:rPr>
          <w:rFonts w:ascii="Arial" w:hAnsi="Arial" w:cs="Arial"/>
          <w:bCs/>
          <w:i/>
          <w:sz w:val="18"/>
          <w:szCs w:val="22"/>
        </w:rPr>
        <w:t xml:space="preserve"> </w:t>
      </w:r>
      <w:r w:rsidRPr="00E5700B">
        <w:rPr>
          <w:rFonts w:ascii="Arial" w:hAnsi="Arial" w:cs="Arial"/>
          <w:bCs/>
          <w:i/>
          <w:sz w:val="18"/>
          <w:szCs w:val="22"/>
        </w:rPr>
        <w:t>&lt;</w:t>
      </w:r>
      <w:r>
        <w:rPr>
          <w:rFonts w:ascii="Arial" w:hAnsi="Arial" w:cs="Arial"/>
          <w:bCs/>
          <w:i/>
          <w:sz w:val="18"/>
          <w:szCs w:val="22"/>
        </w:rPr>
        <w:t xml:space="preserve"> </w:t>
      </w:r>
      <w:r w:rsidRPr="00E5700B">
        <w:rPr>
          <w:rFonts w:ascii="Arial" w:hAnsi="Arial" w:cs="Arial"/>
          <w:bCs/>
          <w:i/>
          <w:sz w:val="18"/>
          <w:szCs w:val="22"/>
        </w:rPr>
        <w:t>.05</w:t>
      </w:r>
      <w:r w:rsidRPr="009C394D">
        <w:rPr>
          <w:rFonts w:ascii="Arial" w:hAnsi="Arial" w:cs="Arial"/>
          <w:bCs/>
          <w:i/>
          <w:sz w:val="18"/>
          <w:szCs w:val="22"/>
        </w:rPr>
        <w:t>) between the experimental groups (one-way ANOVA with repeated measures).</w:t>
      </w:r>
    </w:p>
    <w:p w:rsidR="00A735B4" w:rsidRDefault="00A735B4" w:rsidP="00A735B4">
      <w:pPr>
        <w:pStyle w:val="Body"/>
        <w:spacing w:after="0"/>
        <w:rPr>
          <w:rFonts w:ascii="Arial" w:hAnsi="Arial" w:cs="Arial"/>
          <w:bCs/>
          <w:szCs w:val="22"/>
        </w:rPr>
      </w:pPr>
    </w:p>
    <w:p w:rsidR="00A735B4" w:rsidRDefault="00A735B4" w:rsidP="00A735B4">
      <w:pPr>
        <w:pStyle w:val="Body"/>
        <w:spacing w:after="0"/>
        <w:jc w:val="center"/>
        <w:rPr>
          <w:rFonts w:ascii="Arial" w:hAnsi="Arial" w:cs="Arial"/>
          <w:highlight w:val="cyan"/>
          <w:lang w:val="pt-BR"/>
        </w:rPr>
      </w:pPr>
      <w:r>
        <w:rPr>
          <w:rFonts w:ascii="Arial" w:hAnsi="Arial" w:cs="Arial"/>
          <w:noProof/>
          <w:lang w:val="pt-BR" w:eastAsia="pt-BR"/>
        </w:rPr>
        <w:lastRenderedPageBreak/>
        <w:drawing>
          <wp:inline distT="0" distB="0" distL="0" distR="0" wp14:anchorId="36B0DE13" wp14:editId="3A444676">
            <wp:extent cx="5270400" cy="5997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5.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70400" cy="5997600"/>
                    </a:xfrm>
                    <a:prstGeom prst="rect">
                      <a:avLst/>
                    </a:prstGeom>
                  </pic:spPr>
                </pic:pic>
              </a:graphicData>
            </a:graphic>
          </wp:inline>
        </w:drawing>
      </w:r>
    </w:p>
    <w:p w:rsidR="00A735B4" w:rsidRDefault="00A735B4" w:rsidP="00A735B4">
      <w:pPr>
        <w:pStyle w:val="Body"/>
        <w:spacing w:after="0"/>
        <w:jc w:val="center"/>
        <w:rPr>
          <w:rFonts w:ascii="Arial" w:hAnsi="Arial" w:cs="Arial"/>
          <w:highlight w:val="cyan"/>
          <w:lang w:val="pt-BR"/>
        </w:rPr>
      </w:pPr>
    </w:p>
    <w:p w:rsidR="00A735B4" w:rsidRDefault="00A735B4" w:rsidP="00A735B4">
      <w:pPr>
        <w:pStyle w:val="Body"/>
        <w:spacing w:after="0"/>
        <w:rPr>
          <w:rFonts w:ascii="Arial" w:hAnsi="Arial" w:cs="Arial"/>
          <w:bCs/>
          <w:szCs w:val="22"/>
        </w:rPr>
      </w:pPr>
      <w:r w:rsidRPr="007957B3">
        <w:rPr>
          <w:rFonts w:ascii="Arial" w:hAnsi="Arial" w:cs="Arial"/>
          <w:b/>
          <w:bCs/>
          <w:szCs w:val="22"/>
        </w:rPr>
        <w:t xml:space="preserve">Figure </w:t>
      </w:r>
      <w:r>
        <w:rPr>
          <w:rFonts w:ascii="Arial" w:hAnsi="Arial" w:cs="Arial"/>
          <w:b/>
          <w:bCs/>
          <w:szCs w:val="22"/>
        </w:rPr>
        <w:t>4</w:t>
      </w:r>
      <w:r w:rsidRPr="007957B3">
        <w:rPr>
          <w:rFonts w:ascii="Arial" w:hAnsi="Arial" w:cs="Arial"/>
          <w:b/>
          <w:bCs/>
          <w:szCs w:val="22"/>
        </w:rPr>
        <w:t>.</w:t>
      </w:r>
      <w:r w:rsidRPr="007957B3">
        <w:rPr>
          <w:rFonts w:ascii="Arial" w:hAnsi="Arial" w:cs="Arial"/>
          <w:bCs/>
          <w:szCs w:val="22"/>
        </w:rPr>
        <w:t xml:space="preserve"> </w:t>
      </w:r>
      <w:r w:rsidRPr="009C394D">
        <w:rPr>
          <w:rFonts w:ascii="Arial" w:hAnsi="Arial" w:cs="Arial"/>
          <w:b/>
          <w:bCs/>
          <w:szCs w:val="22"/>
        </w:rPr>
        <w:t xml:space="preserve">The effect of LMWHA or HMWHA and </w:t>
      </w:r>
      <w:r w:rsidRPr="009C394D">
        <w:rPr>
          <w:rFonts w:ascii="Arial" w:hAnsi="Arial" w:cs="Arial"/>
          <w:b/>
          <w:bCs/>
          <w:i/>
          <w:szCs w:val="22"/>
        </w:rPr>
        <w:t xml:space="preserve">P. </w:t>
      </w:r>
      <w:proofErr w:type="spellStart"/>
      <w:r w:rsidRPr="009C394D">
        <w:rPr>
          <w:rFonts w:ascii="Arial" w:hAnsi="Arial" w:cs="Arial"/>
          <w:b/>
          <w:bCs/>
          <w:i/>
          <w:szCs w:val="22"/>
        </w:rPr>
        <w:t>gingivalis</w:t>
      </w:r>
      <w:proofErr w:type="spellEnd"/>
      <w:r>
        <w:rPr>
          <w:rFonts w:ascii="Arial" w:hAnsi="Arial" w:cs="Arial"/>
          <w:b/>
          <w:bCs/>
          <w:szCs w:val="22"/>
        </w:rPr>
        <w:t xml:space="preserve"> </w:t>
      </w:r>
      <w:r w:rsidRPr="009C394D">
        <w:rPr>
          <w:rFonts w:ascii="Arial" w:hAnsi="Arial" w:cs="Arial"/>
          <w:b/>
          <w:bCs/>
          <w:szCs w:val="22"/>
        </w:rPr>
        <w:t>stimulation on the frequencies of positive cells and median fluorescence intensity (MFI) of co-stimulatory molecules in the classical monocytes (CD14+CD16-).</w:t>
      </w:r>
      <w:r w:rsidRPr="009C394D">
        <w:rPr>
          <w:rFonts w:ascii="Arial" w:hAnsi="Arial" w:cs="Arial"/>
          <w:bCs/>
          <w:szCs w:val="22"/>
        </w:rPr>
        <w:t xml:space="preserve"> PBMCs were stimulated or not with </w:t>
      </w:r>
      <w:proofErr w:type="spellStart"/>
      <w:r w:rsidRPr="009C394D">
        <w:rPr>
          <w:rFonts w:ascii="Arial" w:hAnsi="Arial" w:cs="Arial"/>
          <w:bCs/>
          <w:szCs w:val="22"/>
        </w:rPr>
        <w:t>Pg</w:t>
      </w:r>
      <w:proofErr w:type="spellEnd"/>
      <w:r w:rsidRPr="009C394D">
        <w:rPr>
          <w:rFonts w:ascii="Arial" w:hAnsi="Arial" w:cs="Arial"/>
          <w:bCs/>
          <w:szCs w:val="22"/>
        </w:rPr>
        <w:t xml:space="preserve"> and incubated with 0.2% LMWHA or HMWHA. Total incubation time 17 hours. </w:t>
      </w:r>
    </w:p>
    <w:p w:rsidR="00A735B4" w:rsidRDefault="00A735B4" w:rsidP="00A735B4">
      <w:pPr>
        <w:pStyle w:val="Body"/>
        <w:spacing w:after="0"/>
        <w:ind w:left="426"/>
        <w:rPr>
          <w:rFonts w:ascii="Arial" w:hAnsi="Arial" w:cs="Arial"/>
          <w:bCs/>
          <w:i/>
          <w:sz w:val="18"/>
          <w:szCs w:val="22"/>
        </w:rPr>
      </w:pPr>
      <w:r w:rsidRPr="009C394D">
        <w:rPr>
          <w:rFonts w:ascii="Arial" w:hAnsi="Arial" w:cs="Arial"/>
          <w:bCs/>
          <w:i/>
          <w:sz w:val="18"/>
          <w:szCs w:val="22"/>
        </w:rPr>
        <w:t>Error bars indicate standard error of the mean (SEM). Data from 10 donors are shown</w:t>
      </w:r>
      <w:r>
        <w:rPr>
          <w:rFonts w:ascii="Arial" w:hAnsi="Arial" w:cs="Arial"/>
          <w:bCs/>
          <w:i/>
          <w:sz w:val="18"/>
          <w:szCs w:val="22"/>
        </w:rPr>
        <w:t>.</w:t>
      </w:r>
    </w:p>
    <w:p w:rsidR="00A735B4" w:rsidRPr="009C394D" w:rsidRDefault="00A735B4" w:rsidP="00A735B4">
      <w:pPr>
        <w:pStyle w:val="Body"/>
        <w:spacing w:after="0"/>
        <w:ind w:left="426"/>
        <w:rPr>
          <w:rFonts w:ascii="Arial" w:hAnsi="Arial" w:cs="Arial"/>
          <w:bCs/>
          <w:i/>
          <w:sz w:val="18"/>
          <w:szCs w:val="22"/>
        </w:rPr>
      </w:pPr>
      <w:r w:rsidRPr="007957B3">
        <w:rPr>
          <w:rFonts w:ascii="Arial" w:hAnsi="Arial" w:cs="Arial"/>
          <w:bCs/>
          <w:i/>
          <w:sz w:val="18"/>
          <w:szCs w:val="22"/>
        </w:rPr>
        <w:t xml:space="preserve">LMWHA (low molecular weight hyaluronic acid); HMWHA (high molecular weight hyaluronic acid); </w:t>
      </w:r>
      <w:proofErr w:type="spellStart"/>
      <w:r w:rsidRPr="007957B3">
        <w:rPr>
          <w:rFonts w:ascii="Arial" w:hAnsi="Arial" w:cs="Arial"/>
          <w:bCs/>
          <w:i/>
          <w:sz w:val="18"/>
          <w:szCs w:val="22"/>
        </w:rPr>
        <w:t>Pg</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Porphyromonas</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gingivalis</w:t>
      </w:r>
      <w:proofErr w:type="spellEnd"/>
      <w:r>
        <w:rPr>
          <w:rFonts w:ascii="Arial" w:hAnsi="Arial" w:cs="Arial"/>
          <w:bCs/>
          <w:i/>
          <w:sz w:val="18"/>
          <w:szCs w:val="22"/>
        </w:rPr>
        <w:t>)</w:t>
      </w:r>
      <w:r w:rsidRPr="009C394D">
        <w:rPr>
          <w:rFonts w:ascii="Arial" w:hAnsi="Arial" w:cs="Arial"/>
          <w:bCs/>
          <w:i/>
          <w:sz w:val="18"/>
          <w:szCs w:val="22"/>
        </w:rPr>
        <w:t>.</w:t>
      </w:r>
    </w:p>
    <w:p w:rsidR="00A735B4" w:rsidRPr="009C394D" w:rsidRDefault="00A735B4" w:rsidP="00A735B4">
      <w:pPr>
        <w:pStyle w:val="Body"/>
        <w:spacing w:after="0"/>
        <w:ind w:left="426"/>
        <w:rPr>
          <w:rFonts w:ascii="Arial" w:hAnsi="Arial" w:cs="Arial"/>
          <w:bCs/>
          <w:i/>
          <w:sz w:val="18"/>
          <w:szCs w:val="22"/>
        </w:rPr>
      </w:pPr>
      <w:r w:rsidRPr="009C394D">
        <w:rPr>
          <w:rFonts w:ascii="Arial" w:hAnsi="Arial" w:cs="Arial"/>
          <w:bCs/>
          <w:i/>
          <w:sz w:val="18"/>
          <w:szCs w:val="22"/>
        </w:rPr>
        <w:t>* represents a significant difference (</w:t>
      </w:r>
      <w:r w:rsidRPr="00E5700B">
        <w:rPr>
          <w:rFonts w:ascii="Arial" w:hAnsi="Arial" w:cs="Arial"/>
          <w:bCs/>
          <w:i/>
          <w:sz w:val="18"/>
          <w:szCs w:val="22"/>
        </w:rPr>
        <w:t>P</w:t>
      </w:r>
      <w:r>
        <w:rPr>
          <w:rFonts w:ascii="Arial" w:hAnsi="Arial" w:cs="Arial"/>
          <w:bCs/>
          <w:i/>
          <w:sz w:val="18"/>
          <w:szCs w:val="22"/>
        </w:rPr>
        <w:t xml:space="preserve"> </w:t>
      </w:r>
      <w:r w:rsidRPr="00E5700B">
        <w:rPr>
          <w:rFonts w:ascii="Arial" w:hAnsi="Arial" w:cs="Arial"/>
          <w:bCs/>
          <w:i/>
          <w:sz w:val="18"/>
          <w:szCs w:val="22"/>
        </w:rPr>
        <w:t>&lt;</w:t>
      </w:r>
      <w:r>
        <w:rPr>
          <w:rFonts w:ascii="Arial" w:hAnsi="Arial" w:cs="Arial"/>
          <w:bCs/>
          <w:i/>
          <w:sz w:val="18"/>
          <w:szCs w:val="22"/>
        </w:rPr>
        <w:t xml:space="preserve"> </w:t>
      </w:r>
      <w:r w:rsidRPr="00E5700B">
        <w:rPr>
          <w:rFonts w:ascii="Arial" w:hAnsi="Arial" w:cs="Arial"/>
          <w:bCs/>
          <w:i/>
          <w:sz w:val="18"/>
          <w:szCs w:val="22"/>
        </w:rPr>
        <w:t>.05</w:t>
      </w:r>
      <w:r w:rsidRPr="009C394D">
        <w:rPr>
          <w:rFonts w:ascii="Arial" w:hAnsi="Arial" w:cs="Arial"/>
          <w:bCs/>
          <w:i/>
          <w:sz w:val="18"/>
          <w:szCs w:val="22"/>
        </w:rPr>
        <w:t>) in relation to the control group and connecting lines under # represent significant differences (</w:t>
      </w:r>
      <w:r w:rsidRPr="00E5700B">
        <w:rPr>
          <w:rFonts w:ascii="Arial" w:hAnsi="Arial" w:cs="Arial"/>
          <w:bCs/>
          <w:i/>
          <w:sz w:val="18"/>
          <w:szCs w:val="22"/>
        </w:rPr>
        <w:t>P</w:t>
      </w:r>
      <w:r>
        <w:rPr>
          <w:rFonts w:ascii="Arial" w:hAnsi="Arial" w:cs="Arial"/>
          <w:bCs/>
          <w:i/>
          <w:sz w:val="18"/>
          <w:szCs w:val="22"/>
        </w:rPr>
        <w:t xml:space="preserve"> </w:t>
      </w:r>
      <w:r w:rsidRPr="00E5700B">
        <w:rPr>
          <w:rFonts w:ascii="Arial" w:hAnsi="Arial" w:cs="Arial"/>
          <w:bCs/>
          <w:i/>
          <w:sz w:val="18"/>
          <w:szCs w:val="22"/>
        </w:rPr>
        <w:t>&lt;</w:t>
      </w:r>
      <w:r>
        <w:rPr>
          <w:rFonts w:ascii="Arial" w:hAnsi="Arial" w:cs="Arial"/>
          <w:bCs/>
          <w:i/>
          <w:sz w:val="18"/>
          <w:szCs w:val="22"/>
        </w:rPr>
        <w:t xml:space="preserve"> </w:t>
      </w:r>
      <w:r w:rsidRPr="00E5700B">
        <w:rPr>
          <w:rFonts w:ascii="Arial" w:hAnsi="Arial" w:cs="Arial"/>
          <w:bCs/>
          <w:i/>
          <w:sz w:val="18"/>
          <w:szCs w:val="22"/>
        </w:rPr>
        <w:t>.05</w:t>
      </w:r>
      <w:r w:rsidRPr="009C394D">
        <w:rPr>
          <w:rFonts w:ascii="Arial" w:hAnsi="Arial" w:cs="Arial"/>
          <w:bCs/>
          <w:i/>
          <w:sz w:val="18"/>
          <w:szCs w:val="22"/>
        </w:rPr>
        <w:t>) between the experimental groups (one-way ANOVA with repeated measures).</w:t>
      </w:r>
    </w:p>
    <w:p w:rsidR="00A735B4" w:rsidRDefault="00A735B4" w:rsidP="00A735B4">
      <w:pPr>
        <w:pStyle w:val="Body"/>
        <w:spacing w:after="0"/>
        <w:rPr>
          <w:rFonts w:ascii="Arial" w:hAnsi="Arial" w:cs="Arial"/>
          <w:bCs/>
          <w:szCs w:val="22"/>
        </w:rPr>
      </w:pPr>
    </w:p>
    <w:p w:rsidR="00A735B4" w:rsidRDefault="00A735B4" w:rsidP="00A735B4">
      <w:pPr>
        <w:pStyle w:val="Body"/>
        <w:spacing w:after="0"/>
        <w:rPr>
          <w:rFonts w:ascii="Arial" w:hAnsi="Arial" w:cs="Arial"/>
          <w:bCs/>
          <w:szCs w:val="22"/>
        </w:rPr>
      </w:pPr>
    </w:p>
    <w:p w:rsidR="00A735B4" w:rsidRDefault="00A735B4" w:rsidP="00A735B4">
      <w:pPr>
        <w:pStyle w:val="Body"/>
        <w:spacing w:after="0"/>
        <w:jc w:val="center"/>
        <w:rPr>
          <w:rFonts w:ascii="Arial" w:hAnsi="Arial" w:cs="Arial"/>
          <w:highlight w:val="cyan"/>
        </w:rPr>
      </w:pPr>
      <w:r>
        <w:rPr>
          <w:rFonts w:ascii="Arial" w:hAnsi="Arial" w:cs="Arial"/>
          <w:noProof/>
          <w:lang w:val="pt-BR" w:eastAsia="pt-BR"/>
        </w:rPr>
        <w:drawing>
          <wp:inline distT="0" distB="0" distL="0" distR="0" wp14:anchorId="684FE240" wp14:editId="5BA792BB">
            <wp:extent cx="5277600" cy="59976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7.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77600" cy="5997600"/>
                    </a:xfrm>
                    <a:prstGeom prst="rect">
                      <a:avLst/>
                    </a:prstGeom>
                  </pic:spPr>
                </pic:pic>
              </a:graphicData>
            </a:graphic>
          </wp:inline>
        </w:drawing>
      </w:r>
    </w:p>
    <w:p w:rsidR="00A735B4" w:rsidRDefault="00A735B4" w:rsidP="00A735B4">
      <w:pPr>
        <w:pStyle w:val="Body"/>
        <w:spacing w:after="0"/>
        <w:rPr>
          <w:rFonts w:ascii="Arial" w:hAnsi="Arial" w:cs="Arial"/>
          <w:highlight w:val="cyan"/>
        </w:rPr>
      </w:pPr>
    </w:p>
    <w:p w:rsidR="00A735B4" w:rsidRPr="009C394D" w:rsidRDefault="00A735B4" w:rsidP="00A735B4">
      <w:pPr>
        <w:pStyle w:val="Body"/>
        <w:spacing w:after="0"/>
        <w:rPr>
          <w:rFonts w:ascii="Arial" w:hAnsi="Arial" w:cs="Arial"/>
          <w:highlight w:val="cyan"/>
        </w:rPr>
      </w:pPr>
    </w:p>
    <w:p w:rsidR="00A735B4" w:rsidRDefault="00A735B4" w:rsidP="00A735B4">
      <w:pPr>
        <w:pStyle w:val="Body"/>
        <w:spacing w:after="0"/>
        <w:rPr>
          <w:rFonts w:ascii="Arial" w:hAnsi="Arial" w:cs="Arial"/>
          <w:bCs/>
          <w:szCs w:val="22"/>
        </w:rPr>
      </w:pPr>
      <w:r w:rsidRPr="007957B3">
        <w:rPr>
          <w:rFonts w:ascii="Arial" w:hAnsi="Arial" w:cs="Arial"/>
          <w:b/>
          <w:bCs/>
          <w:szCs w:val="22"/>
        </w:rPr>
        <w:t xml:space="preserve">Figure </w:t>
      </w:r>
      <w:r>
        <w:rPr>
          <w:rFonts w:ascii="Arial" w:hAnsi="Arial" w:cs="Arial"/>
          <w:b/>
          <w:bCs/>
          <w:szCs w:val="22"/>
        </w:rPr>
        <w:t>5</w:t>
      </w:r>
      <w:r w:rsidRPr="007957B3">
        <w:rPr>
          <w:rFonts w:ascii="Arial" w:hAnsi="Arial" w:cs="Arial"/>
          <w:b/>
          <w:bCs/>
          <w:szCs w:val="22"/>
        </w:rPr>
        <w:t>.</w:t>
      </w:r>
      <w:r w:rsidRPr="007957B3">
        <w:rPr>
          <w:rFonts w:ascii="Arial" w:hAnsi="Arial" w:cs="Arial"/>
          <w:bCs/>
          <w:szCs w:val="22"/>
        </w:rPr>
        <w:t xml:space="preserve"> </w:t>
      </w:r>
      <w:r w:rsidRPr="006D49BD">
        <w:rPr>
          <w:rFonts w:ascii="Arial" w:hAnsi="Arial" w:cs="Arial"/>
          <w:b/>
          <w:bCs/>
          <w:szCs w:val="22"/>
        </w:rPr>
        <w:t xml:space="preserve">The effect of LMWHA or HMWHA and </w:t>
      </w:r>
      <w:r w:rsidRPr="006D49BD">
        <w:rPr>
          <w:rFonts w:ascii="Arial" w:hAnsi="Arial" w:cs="Arial"/>
          <w:b/>
          <w:bCs/>
          <w:i/>
          <w:szCs w:val="22"/>
        </w:rPr>
        <w:t xml:space="preserve">P. </w:t>
      </w:r>
      <w:proofErr w:type="spellStart"/>
      <w:r w:rsidRPr="006D49BD">
        <w:rPr>
          <w:rFonts w:ascii="Arial" w:hAnsi="Arial" w:cs="Arial"/>
          <w:b/>
          <w:bCs/>
          <w:i/>
          <w:szCs w:val="22"/>
        </w:rPr>
        <w:t>gingivalis</w:t>
      </w:r>
      <w:proofErr w:type="spellEnd"/>
      <w:r w:rsidRPr="006D49BD">
        <w:rPr>
          <w:rFonts w:ascii="Arial" w:hAnsi="Arial" w:cs="Arial"/>
          <w:b/>
          <w:bCs/>
          <w:szCs w:val="22"/>
        </w:rPr>
        <w:t xml:space="preserve"> stimulation on the frequencies of positive cells and median fluorescence intensity (MFI) of co-stimulatory molecules in the non-classical/intermediate monocytes (CD14+CD16+).</w:t>
      </w:r>
      <w:r w:rsidRPr="006D49BD">
        <w:rPr>
          <w:rFonts w:ascii="Arial" w:hAnsi="Arial" w:cs="Arial"/>
          <w:bCs/>
          <w:szCs w:val="22"/>
        </w:rPr>
        <w:t xml:space="preserve"> PBMCs were stimulated or not with </w:t>
      </w:r>
      <w:proofErr w:type="spellStart"/>
      <w:r w:rsidRPr="006D49BD">
        <w:rPr>
          <w:rFonts w:ascii="Arial" w:hAnsi="Arial" w:cs="Arial"/>
          <w:bCs/>
          <w:szCs w:val="22"/>
        </w:rPr>
        <w:t>Pg</w:t>
      </w:r>
      <w:proofErr w:type="spellEnd"/>
      <w:r w:rsidRPr="006D49BD">
        <w:rPr>
          <w:rFonts w:ascii="Arial" w:hAnsi="Arial" w:cs="Arial"/>
          <w:bCs/>
          <w:szCs w:val="22"/>
        </w:rPr>
        <w:t xml:space="preserve"> and incubated with 0.2% LMWHA or HMWHA. Total incubation time 17 hours. </w:t>
      </w:r>
    </w:p>
    <w:p w:rsidR="00A735B4" w:rsidRDefault="00A735B4" w:rsidP="00A735B4">
      <w:pPr>
        <w:pStyle w:val="Body"/>
        <w:spacing w:after="0"/>
        <w:ind w:left="426"/>
        <w:rPr>
          <w:rFonts w:ascii="Arial" w:hAnsi="Arial" w:cs="Arial"/>
          <w:bCs/>
          <w:i/>
          <w:sz w:val="18"/>
          <w:szCs w:val="22"/>
        </w:rPr>
      </w:pPr>
      <w:r w:rsidRPr="006D49BD">
        <w:rPr>
          <w:rFonts w:ascii="Arial" w:hAnsi="Arial" w:cs="Arial"/>
          <w:bCs/>
          <w:i/>
          <w:sz w:val="18"/>
          <w:szCs w:val="22"/>
        </w:rPr>
        <w:t>Error bars indicate standard error of the mean (SEM). Data from 10 donors are shown</w:t>
      </w:r>
      <w:r>
        <w:rPr>
          <w:rFonts w:ascii="Arial" w:hAnsi="Arial" w:cs="Arial"/>
          <w:bCs/>
          <w:i/>
          <w:sz w:val="18"/>
          <w:szCs w:val="22"/>
        </w:rPr>
        <w:t>.</w:t>
      </w:r>
    </w:p>
    <w:p w:rsidR="00A735B4" w:rsidRPr="006D49BD" w:rsidRDefault="00A735B4" w:rsidP="00A735B4">
      <w:pPr>
        <w:pStyle w:val="Body"/>
        <w:spacing w:after="0"/>
        <w:ind w:left="426"/>
        <w:rPr>
          <w:rFonts w:ascii="Arial" w:hAnsi="Arial" w:cs="Arial"/>
          <w:bCs/>
          <w:i/>
          <w:sz w:val="18"/>
          <w:szCs w:val="22"/>
        </w:rPr>
      </w:pPr>
      <w:r w:rsidRPr="007957B3">
        <w:rPr>
          <w:rFonts w:ascii="Arial" w:hAnsi="Arial" w:cs="Arial"/>
          <w:bCs/>
          <w:i/>
          <w:sz w:val="18"/>
          <w:szCs w:val="22"/>
        </w:rPr>
        <w:t xml:space="preserve">LMWHA (low molecular weight hyaluronic acid); HMWHA (high molecular weight hyaluronic acid); </w:t>
      </w:r>
      <w:proofErr w:type="spellStart"/>
      <w:r w:rsidRPr="007957B3">
        <w:rPr>
          <w:rFonts w:ascii="Arial" w:hAnsi="Arial" w:cs="Arial"/>
          <w:bCs/>
          <w:i/>
          <w:sz w:val="18"/>
          <w:szCs w:val="22"/>
        </w:rPr>
        <w:t>Pg</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Porphyromonas</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gingivalis</w:t>
      </w:r>
      <w:proofErr w:type="spellEnd"/>
      <w:r>
        <w:rPr>
          <w:rFonts w:ascii="Arial" w:hAnsi="Arial" w:cs="Arial"/>
          <w:bCs/>
          <w:i/>
          <w:sz w:val="18"/>
          <w:szCs w:val="22"/>
        </w:rPr>
        <w:t>)</w:t>
      </w:r>
      <w:r w:rsidRPr="006D49BD">
        <w:rPr>
          <w:rFonts w:ascii="Arial" w:hAnsi="Arial" w:cs="Arial"/>
          <w:bCs/>
          <w:i/>
          <w:sz w:val="18"/>
          <w:szCs w:val="22"/>
        </w:rPr>
        <w:t>.</w:t>
      </w:r>
    </w:p>
    <w:p w:rsidR="00A735B4" w:rsidRPr="006D49BD" w:rsidRDefault="00A735B4" w:rsidP="00A735B4">
      <w:pPr>
        <w:pStyle w:val="Body"/>
        <w:spacing w:after="0"/>
        <w:ind w:left="426"/>
        <w:rPr>
          <w:rFonts w:ascii="Arial" w:hAnsi="Arial" w:cs="Arial"/>
          <w:bCs/>
          <w:i/>
          <w:sz w:val="18"/>
          <w:szCs w:val="22"/>
        </w:rPr>
      </w:pPr>
      <w:r w:rsidRPr="006D49BD">
        <w:rPr>
          <w:rFonts w:ascii="Arial" w:hAnsi="Arial" w:cs="Arial"/>
          <w:bCs/>
          <w:i/>
          <w:sz w:val="18"/>
          <w:szCs w:val="22"/>
        </w:rPr>
        <w:lastRenderedPageBreak/>
        <w:t>* represents a significant difference (</w:t>
      </w:r>
      <w:r w:rsidRPr="00E5700B">
        <w:rPr>
          <w:rFonts w:ascii="Arial" w:hAnsi="Arial" w:cs="Arial"/>
          <w:bCs/>
          <w:i/>
          <w:sz w:val="18"/>
          <w:szCs w:val="22"/>
        </w:rPr>
        <w:t>P</w:t>
      </w:r>
      <w:r>
        <w:rPr>
          <w:rFonts w:ascii="Arial" w:hAnsi="Arial" w:cs="Arial"/>
          <w:bCs/>
          <w:i/>
          <w:sz w:val="18"/>
          <w:szCs w:val="22"/>
        </w:rPr>
        <w:t xml:space="preserve"> </w:t>
      </w:r>
      <w:r w:rsidRPr="00E5700B">
        <w:rPr>
          <w:rFonts w:ascii="Arial" w:hAnsi="Arial" w:cs="Arial"/>
          <w:bCs/>
          <w:i/>
          <w:sz w:val="18"/>
          <w:szCs w:val="22"/>
        </w:rPr>
        <w:t>&lt;</w:t>
      </w:r>
      <w:r>
        <w:rPr>
          <w:rFonts w:ascii="Arial" w:hAnsi="Arial" w:cs="Arial"/>
          <w:bCs/>
          <w:i/>
          <w:sz w:val="18"/>
          <w:szCs w:val="22"/>
        </w:rPr>
        <w:t xml:space="preserve"> </w:t>
      </w:r>
      <w:r w:rsidRPr="00E5700B">
        <w:rPr>
          <w:rFonts w:ascii="Arial" w:hAnsi="Arial" w:cs="Arial"/>
          <w:bCs/>
          <w:i/>
          <w:sz w:val="18"/>
          <w:szCs w:val="22"/>
        </w:rPr>
        <w:t>.05</w:t>
      </w:r>
      <w:r w:rsidRPr="006D49BD">
        <w:rPr>
          <w:rFonts w:ascii="Arial" w:hAnsi="Arial" w:cs="Arial"/>
          <w:bCs/>
          <w:i/>
          <w:sz w:val="18"/>
          <w:szCs w:val="22"/>
        </w:rPr>
        <w:t>) in relation to the control group and connecting lines under # represent significant differences (</w:t>
      </w:r>
      <w:r w:rsidRPr="00E5700B">
        <w:rPr>
          <w:rFonts w:ascii="Arial" w:hAnsi="Arial" w:cs="Arial"/>
          <w:bCs/>
          <w:i/>
          <w:sz w:val="18"/>
          <w:szCs w:val="22"/>
        </w:rPr>
        <w:t>P</w:t>
      </w:r>
      <w:r>
        <w:rPr>
          <w:rFonts w:ascii="Arial" w:hAnsi="Arial" w:cs="Arial"/>
          <w:bCs/>
          <w:i/>
          <w:sz w:val="18"/>
          <w:szCs w:val="22"/>
        </w:rPr>
        <w:t xml:space="preserve"> </w:t>
      </w:r>
      <w:r w:rsidRPr="00E5700B">
        <w:rPr>
          <w:rFonts w:ascii="Arial" w:hAnsi="Arial" w:cs="Arial"/>
          <w:bCs/>
          <w:i/>
          <w:sz w:val="18"/>
          <w:szCs w:val="22"/>
        </w:rPr>
        <w:t>&lt;</w:t>
      </w:r>
      <w:r>
        <w:rPr>
          <w:rFonts w:ascii="Arial" w:hAnsi="Arial" w:cs="Arial"/>
          <w:bCs/>
          <w:i/>
          <w:sz w:val="18"/>
          <w:szCs w:val="22"/>
        </w:rPr>
        <w:t xml:space="preserve"> </w:t>
      </w:r>
      <w:r w:rsidRPr="00E5700B">
        <w:rPr>
          <w:rFonts w:ascii="Arial" w:hAnsi="Arial" w:cs="Arial"/>
          <w:bCs/>
          <w:i/>
          <w:sz w:val="18"/>
          <w:szCs w:val="22"/>
        </w:rPr>
        <w:t>.05</w:t>
      </w:r>
      <w:r w:rsidRPr="006D49BD">
        <w:rPr>
          <w:rFonts w:ascii="Arial" w:hAnsi="Arial" w:cs="Arial"/>
          <w:bCs/>
          <w:i/>
          <w:sz w:val="18"/>
          <w:szCs w:val="22"/>
        </w:rPr>
        <w:t>) between the experimental groups (one-way ANOVA with repeated measures).</w:t>
      </w:r>
    </w:p>
    <w:p w:rsidR="00A735B4" w:rsidRDefault="00A735B4" w:rsidP="00A735B4">
      <w:pPr>
        <w:pStyle w:val="Body"/>
        <w:spacing w:after="0"/>
        <w:rPr>
          <w:rFonts w:ascii="Arial" w:hAnsi="Arial" w:cs="Arial"/>
          <w:bCs/>
          <w:szCs w:val="22"/>
        </w:rPr>
      </w:pPr>
    </w:p>
    <w:p w:rsidR="00A735B4" w:rsidRDefault="00A735B4" w:rsidP="00A735B4">
      <w:pPr>
        <w:pStyle w:val="Body"/>
        <w:spacing w:after="0"/>
        <w:rPr>
          <w:rFonts w:ascii="Arial" w:hAnsi="Arial" w:cs="Arial"/>
          <w:bCs/>
          <w:szCs w:val="22"/>
        </w:rPr>
      </w:pPr>
    </w:p>
    <w:p w:rsidR="00A735B4" w:rsidRDefault="00A735B4" w:rsidP="00A735B4">
      <w:pPr>
        <w:pStyle w:val="Body"/>
        <w:spacing w:after="0"/>
        <w:rPr>
          <w:rFonts w:ascii="Arial" w:hAnsi="Arial" w:cs="Arial"/>
        </w:rPr>
      </w:pPr>
      <w:r w:rsidRPr="0050514C">
        <w:rPr>
          <w:rFonts w:ascii="Arial" w:hAnsi="Arial" w:cs="Arial"/>
        </w:rPr>
        <w:t>Analysis of TLR expression showed that LMWHA or HMWHA significantly increased the frequencies of TLR2+ cells and the MFI of TLR2 in the C</w:t>
      </w:r>
      <w:r>
        <w:rPr>
          <w:rFonts w:ascii="Arial" w:hAnsi="Arial" w:cs="Arial"/>
        </w:rPr>
        <w:t>D14+ monocyte population (Fig. 6</w:t>
      </w:r>
      <w:r w:rsidRPr="0050514C">
        <w:rPr>
          <w:rFonts w:ascii="Arial" w:hAnsi="Arial" w:cs="Arial"/>
        </w:rPr>
        <w:t xml:space="preserve">A and B), when compared to control. LMWHA and HMWHA also increased the </w:t>
      </w:r>
      <w:r>
        <w:rPr>
          <w:rFonts w:ascii="Arial" w:hAnsi="Arial" w:cs="Arial"/>
        </w:rPr>
        <w:t>MFI of TLR2 in classical (Fig. 7</w:t>
      </w:r>
      <w:r w:rsidRPr="0050514C">
        <w:rPr>
          <w:rFonts w:ascii="Arial" w:hAnsi="Arial" w:cs="Arial"/>
        </w:rPr>
        <w:t xml:space="preserve">B) and non-classical/intermediate (Fig. 8B) monocytes when compared to control. Conversely, incubation with LMWHA or HMWHA significantly reduced the frequencies of TLR4+ cells and </w:t>
      </w:r>
      <w:r>
        <w:rPr>
          <w:rFonts w:ascii="Arial" w:hAnsi="Arial" w:cs="Arial"/>
        </w:rPr>
        <w:t>the MFI of TLR4 in CD14+ (Fig. 6</w:t>
      </w:r>
      <w:r w:rsidRPr="0050514C">
        <w:rPr>
          <w:rFonts w:ascii="Arial" w:hAnsi="Arial" w:cs="Arial"/>
        </w:rPr>
        <w:t>C</w:t>
      </w:r>
      <w:r>
        <w:rPr>
          <w:rFonts w:ascii="Arial" w:hAnsi="Arial" w:cs="Arial"/>
        </w:rPr>
        <w:t xml:space="preserve"> and D) and classical (Fig. 7</w:t>
      </w:r>
      <w:r w:rsidRPr="0050514C">
        <w:rPr>
          <w:rFonts w:ascii="Arial" w:hAnsi="Arial" w:cs="Arial"/>
        </w:rPr>
        <w:t>C and D) monocytes, when compared to control.</w:t>
      </w:r>
    </w:p>
    <w:p w:rsidR="00A735B4" w:rsidRDefault="00A735B4" w:rsidP="00A735B4">
      <w:pPr>
        <w:pStyle w:val="Body"/>
        <w:spacing w:after="0"/>
        <w:rPr>
          <w:rFonts w:ascii="Arial" w:hAnsi="Arial" w:cs="Arial"/>
          <w:bCs/>
          <w:szCs w:val="22"/>
        </w:rPr>
      </w:pPr>
    </w:p>
    <w:p w:rsidR="00A735B4" w:rsidRPr="009C394D" w:rsidRDefault="00A735B4" w:rsidP="00A735B4">
      <w:pPr>
        <w:pStyle w:val="Body"/>
        <w:spacing w:after="0"/>
        <w:rPr>
          <w:rFonts w:ascii="Arial" w:hAnsi="Arial" w:cs="Arial"/>
          <w:highlight w:val="cyan"/>
        </w:rPr>
      </w:pPr>
    </w:p>
    <w:p w:rsidR="00A735B4" w:rsidRDefault="00A735B4" w:rsidP="00A735B4">
      <w:pPr>
        <w:pStyle w:val="Body"/>
        <w:spacing w:after="0"/>
        <w:rPr>
          <w:rFonts w:ascii="Arial" w:hAnsi="Arial" w:cs="Arial"/>
          <w:highlight w:val="cyan"/>
        </w:rPr>
      </w:pPr>
    </w:p>
    <w:p w:rsidR="00A735B4" w:rsidRDefault="00A735B4" w:rsidP="00A735B4">
      <w:pPr>
        <w:pStyle w:val="Body"/>
        <w:spacing w:after="0"/>
        <w:jc w:val="center"/>
        <w:rPr>
          <w:rFonts w:ascii="Arial" w:hAnsi="Arial" w:cs="Arial"/>
          <w:highlight w:val="cyan"/>
        </w:rPr>
      </w:pPr>
      <w:r>
        <w:rPr>
          <w:rFonts w:ascii="Arial" w:hAnsi="Arial" w:cs="Arial"/>
          <w:noProof/>
          <w:lang w:val="pt-BR" w:eastAsia="pt-BR"/>
        </w:rPr>
        <w:drawing>
          <wp:inline distT="0" distB="0" distL="0" distR="0" wp14:anchorId="46B4F5D6" wp14:editId="2747EDC8">
            <wp:extent cx="5097600" cy="41832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t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97600" cy="4183200"/>
                    </a:xfrm>
                    <a:prstGeom prst="rect">
                      <a:avLst/>
                    </a:prstGeom>
                  </pic:spPr>
                </pic:pic>
              </a:graphicData>
            </a:graphic>
          </wp:inline>
        </w:drawing>
      </w:r>
    </w:p>
    <w:p w:rsidR="00A735B4" w:rsidRDefault="00A735B4" w:rsidP="00A735B4">
      <w:pPr>
        <w:pStyle w:val="Body"/>
        <w:spacing w:after="0"/>
        <w:rPr>
          <w:rFonts w:ascii="Arial" w:hAnsi="Arial" w:cs="Arial"/>
          <w:bCs/>
          <w:szCs w:val="22"/>
        </w:rPr>
      </w:pPr>
      <w:r w:rsidRPr="007957B3">
        <w:rPr>
          <w:rFonts w:ascii="Arial" w:hAnsi="Arial" w:cs="Arial"/>
          <w:b/>
          <w:bCs/>
          <w:szCs w:val="22"/>
        </w:rPr>
        <w:t xml:space="preserve">Figure </w:t>
      </w:r>
      <w:r>
        <w:rPr>
          <w:rFonts w:ascii="Arial" w:hAnsi="Arial" w:cs="Arial"/>
          <w:b/>
          <w:bCs/>
          <w:szCs w:val="22"/>
        </w:rPr>
        <w:t>6</w:t>
      </w:r>
      <w:r w:rsidRPr="007957B3">
        <w:rPr>
          <w:rFonts w:ascii="Arial" w:hAnsi="Arial" w:cs="Arial"/>
          <w:b/>
          <w:bCs/>
          <w:szCs w:val="22"/>
        </w:rPr>
        <w:t>.</w:t>
      </w:r>
      <w:r w:rsidRPr="007957B3">
        <w:rPr>
          <w:rFonts w:ascii="Arial" w:hAnsi="Arial" w:cs="Arial"/>
          <w:bCs/>
          <w:szCs w:val="22"/>
        </w:rPr>
        <w:t xml:space="preserve"> </w:t>
      </w:r>
      <w:r w:rsidRPr="006D49BD">
        <w:rPr>
          <w:rFonts w:ascii="Arial" w:hAnsi="Arial" w:cs="Arial"/>
          <w:b/>
          <w:bCs/>
          <w:szCs w:val="22"/>
        </w:rPr>
        <w:t xml:space="preserve">The effect of LMWHA or HMWHA and </w:t>
      </w:r>
      <w:r w:rsidRPr="00C85DEC">
        <w:rPr>
          <w:rFonts w:ascii="Arial" w:hAnsi="Arial" w:cs="Arial"/>
          <w:b/>
          <w:bCs/>
          <w:i/>
          <w:szCs w:val="22"/>
        </w:rPr>
        <w:t xml:space="preserve">P. </w:t>
      </w:r>
      <w:proofErr w:type="spellStart"/>
      <w:r w:rsidRPr="00C85DEC">
        <w:rPr>
          <w:rFonts w:ascii="Arial" w:hAnsi="Arial" w:cs="Arial"/>
          <w:b/>
          <w:bCs/>
          <w:i/>
          <w:szCs w:val="22"/>
        </w:rPr>
        <w:t>gingivalis</w:t>
      </w:r>
      <w:proofErr w:type="spellEnd"/>
      <w:r w:rsidRPr="006D49BD">
        <w:rPr>
          <w:rFonts w:ascii="Arial" w:hAnsi="Arial" w:cs="Arial"/>
          <w:b/>
          <w:bCs/>
          <w:szCs w:val="22"/>
        </w:rPr>
        <w:t xml:space="preserve"> stimulation on the frequencies of positive cells and median fluorescence intensity (MFI) of toll-like receptors in CD14+ monocytes.</w:t>
      </w:r>
      <w:r w:rsidRPr="006D49BD">
        <w:rPr>
          <w:rFonts w:ascii="Arial" w:hAnsi="Arial" w:cs="Arial"/>
          <w:bCs/>
          <w:szCs w:val="22"/>
        </w:rPr>
        <w:t xml:space="preserve"> PBMCs were stimulated or not with </w:t>
      </w:r>
      <w:proofErr w:type="spellStart"/>
      <w:r w:rsidRPr="006D49BD">
        <w:rPr>
          <w:rFonts w:ascii="Arial" w:hAnsi="Arial" w:cs="Arial"/>
          <w:bCs/>
          <w:szCs w:val="22"/>
        </w:rPr>
        <w:t>Pg</w:t>
      </w:r>
      <w:proofErr w:type="spellEnd"/>
      <w:r w:rsidRPr="006D49BD">
        <w:rPr>
          <w:rFonts w:ascii="Arial" w:hAnsi="Arial" w:cs="Arial"/>
          <w:bCs/>
          <w:szCs w:val="22"/>
        </w:rPr>
        <w:t xml:space="preserve"> and incubated with 0.2% LMWHA or HMWHA. Total incubation time 17 hours. </w:t>
      </w:r>
    </w:p>
    <w:p w:rsidR="00A735B4" w:rsidRDefault="00A735B4" w:rsidP="00A735B4">
      <w:pPr>
        <w:pStyle w:val="Body"/>
        <w:spacing w:after="0"/>
        <w:ind w:left="426"/>
        <w:rPr>
          <w:rFonts w:ascii="Arial" w:hAnsi="Arial" w:cs="Arial"/>
          <w:bCs/>
          <w:i/>
          <w:sz w:val="18"/>
          <w:szCs w:val="22"/>
        </w:rPr>
      </w:pPr>
      <w:r w:rsidRPr="006D49BD">
        <w:rPr>
          <w:rFonts w:ascii="Arial" w:hAnsi="Arial" w:cs="Arial"/>
          <w:bCs/>
          <w:i/>
          <w:sz w:val="18"/>
          <w:szCs w:val="22"/>
        </w:rPr>
        <w:t>Error bars indicate standard error of the mean (SEM). Data from 10 donors are shown</w:t>
      </w:r>
      <w:r>
        <w:rPr>
          <w:rFonts w:ascii="Arial" w:hAnsi="Arial" w:cs="Arial"/>
          <w:bCs/>
          <w:i/>
          <w:sz w:val="18"/>
          <w:szCs w:val="22"/>
        </w:rPr>
        <w:t>.</w:t>
      </w:r>
    </w:p>
    <w:p w:rsidR="00A735B4" w:rsidRPr="006D49BD" w:rsidRDefault="00A735B4" w:rsidP="00A735B4">
      <w:pPr>
        <w:pStyle w:val="Body"/>
        <w:spacing w:after="0"/>
        <w:ind w:left="426"/>
        <w:rPr>
          <w:rFonts w:ascii="Arial" w:hAnsi="Arial" w:cs="Arial"/>
          <w:bCs/>
          <w:i/>
          <w:sz w:val="18"/>
          <w:szCs w:val="22"/>
        </w:rPr>
      </w:pPr>
      <w:r w:rsidRPr="007957B3">
        <w:rPr>
          <w:rFonts w:ascii="Arial" w:hAnsi="Arial" w:cs="Arial"/>
          <w:bCs/>
          <w:i/>
          <w:sz w:val="18"/>
          <w:szCs w:val="22"/>
        </w:rPr>
        <w:t xml:space="preserve">LMWHA (low molecular weight hyaluronic acid); HMWHA (high molecular weight hyaluronic acid); </w:t>
      </w:r>
      <w:proofErr w:type="spellStart"/>
      <w:r w:rsidRPr="007957B3">
        <w:rPr>
          <w:rFonts w:ascii="Arial" w:hAnsi="Arial" w:cs="Arial"/>
          <w:bCs/>
          <w:i/>
          <w:sz w:val="18"/>
          <w:szCs w:val="22"/>
        </w:rPr>
        <w:t>Pg</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Porphyromonas</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gingivalis</w:t>
      </w:r>
      <w:proofErr w:type="spellEnd"/>
      <w:r>
        <w:rPr>
          <w:rFonts w:ascii="Arial" w:hAnsi="Arial" w:cs="Arial"/>
          <w:bCs/>
          <w:i/>
          <w:sz w:val="18"/>
          <w:szCs w:val="22"/>
        </w:rPr>
        <w:t>)</w:t>
      </w:r>
      <w:r w:rsidRPr="006D49BD">
        <w:rPr>
          <w:rFonts w:ascii="Arial" w:hAnsi="Arial" w:cs="Arial"/>
          <w:bCs/>
          <w:i/>
          <w:sz w:val="18"/>
          <w:szCs w:val="22"/>
        </w:rPr>
        <w:t>.</w:t>
      </w:r>
    </w:p>
    <w:p w:rsidR="00A735B4" w:rsidRPr="006D49BD" w:rsidRDefault="00A735B4" w:rsidP="00A735B4">
      <w:pPr>
        <w:pStyle w:val="Body"/>
        <w:spacing w:after="0"/>
        <w:ind w:left="426"/>
        <w:rPr>
          <w:rFonts w:ascii="Arial" w:hAnsi="Arial" w:cs="Arial"/>
          <w:bCs/>
          <w:i/>
          <w:sz w:val="18"/>
          <w:szCs w:val="22"/>
        </w:rPr>
      </w:pPr>
      <w:r w:rsidRPr="006D49BD">
        <w:rPr>
          <w:rFonts w:ascii="Arial" w:hAnsi="Arial" w:cs="Arial"/>
          <w:bCs/>
          <w:i/>
          <w:sz w:val="18"/>
          <w:szCs w:val="22"/>
        </w:rPr>
        <w:t>* represents a significant difference (</w:t>
      </w:r>
      <w:r w:rsidRPr="00E5700B">
        <w:rPr>
          <w:rFonts w:ascii="Arial" w:hAnsi="Arial" w:cs="Arial"/>
          <w:bCs/>
          <w:i/>
          <w:sz w:val="18"/>
          <w:szCs w:val="22"/>
        </w:rPr>
        <w:t>P</w:t>
      </w:r>
      <w:r>
        <w:rPr>
          <w:rFonts w:ascii="Arial" w:hAnsi="Arial" w:cs="Arial"/>
          <w:bCs/>
          <w:i/>
          <w:sz w:val="18"/>
          <w:szCs w:val="22"/>
        </w:rPr>
        <w:t xml:space="preserve"> </w:t>
      </w:r>
      <w:r w:rsidRPr="00E5700B">
        <w:rPr>
          <w:rFonts w:ascii="Arial" w:hAnsi="Arial" w:cs="Arial"/>
          <w:bCs/>
          <w:i/>
          <w:sz w:val="18"/>
          <w:szCs w:val="22"/>
        </w:rPr>
        <w:t>&lt;</w:t>
      </w:r>
      <w:r>
        <w:rPr>
          <w:rFonts w:ascii="Arial" w:hAnsi="Arial" w:cs="Arial"/>
          <w:bCs/>
          <w:i/>
          <w:sz w:val="18"/>
          <w:szCs w:val="22"/>
        </w:rPr>
        <w:t xml:space="preserve"> </w:t>
      </w:r>
      <w:r w:rsidRPr="00E5700B">
        <w:rPr>
          <w:rFonts w:ascii="Arial" w:hAnsi="Arial" w:cs="Arial"/>
          <w:bCs/>
          <w:i/>
          <w:sz w:val="18"/>
          <w:szCs w:val="22"/>
        </w:rPr>
        <w:t>.05</w:t>
      </w:r>
      <w:r w:rsidRPr="006D49BD">
        <w:rPr>
          <w:rFonts w:ascii="Arial" w:hAnsi="Arial" w:cs="Arial"/>
          <w:bCs/>
          <w:i/>
          <w:sz w:val="18"/>
          <w:szCs w:val="22"/>
        </w:rPr>
        <w:t>) in relation to the control group and connecting lines under # represent significant differences (</w:t>
      </w:r>
      <w:r w:rsidRPr="00E5700B">
        <w:rPr>
          <w:rFonts w:ascii="Arial" w:hAnsi="Arial" w:cs="Arial"/>
          <w:bCs/>
          <w:i/>
          <w:sz w:val="18"/>
          <w:szCs w:val="22"/>
        </w:rPr>
        <w:t>P</w:t>
      </w:r>
      <w:r>
        <w:rPr>
          <w:rFonts w:ascii="Arial" w:hAnsi="Arial" w:cs="Arial"/>
          <w:bCs/>
          <w:i/>
          <w:sz w:val="18"/>
          <w:szCs w:val="22"/>
        </w:rPr>
        <w:t xml:space="preserve"> </w:t>
      </w:r>
      <w:r w:rsidRPr="00E5700B">
        <w:rPr>
          <w:rFonts w:ascii="Arial" w:hAnsi="Arial" w:cs="Arial"/>
          <w:bCs/>
          <w:i/>
          <w:sz w:val="18"/>
          <w:szCs w:val="22"/>
        </w:rPr>
        <w:t>&lt;</w:t>
      </w:r>
      <w:r>
        <w:rPr>
          <w:rFonts w:ascii="Arial" w:hAnsi="Arial" w:cs="Arial"/>
          <w:bCs/>
          <w:i/>
          <w:sz w:val="18"/>
          <w:szCs w:val="22"/>
        </w:rPr>
        <w:t xml:space="preserve"> </w:t>
      </w:r>
      <w:r w:rsidRPr="00E5700B">
        <w:rPr>
          <w:rFonts w:ascii="Arial" w:hAnsi="Arial" w:cs="Arial"/>
          <w:bCs/>
          <w:i/>
          <w:sz w:val="18"/>
          <w:szCs w:val="22"/>
        </w:rPr>
        <w:t>.05</w:t>
      </w:r>
      <w:r w:rsidRPr="006D49BD">
        <w:rPr>
          <w:rFonts w:ascii="Arial" w:hAnsi="Arial" w:cs="Arial"/>
          <w:bCs/>
          <w:i/>
          <w:sz w:val="18"/>
          <w:szCs w:val="22"/>
        </w:rPr>
        <w:t>) between the experimental groups (one-way ANOVA with repeated measures).</w:t>
      </w:r>
    </w:p>
    <w:p w:rsidR="00A735B4" w:rsidRDefault="00A735B4" w:rsidP="00A735B4">
      <w:pPr>
        <w:pStyle w:val="Body"/>
        <w:spacing w:after="0"/>
        <w:rPr>
          <w:rFonts w:ascii="Arial" w:hAnsi="Arial" w:cs="Arial"/>
          <w:bCs/>
          <w:szCs w:val="22"/>
        </w:rPr>
      </w:pPr>
    </w:p>
    <w:p w:rsidR="00A735B4" w:rsidRDefault="00A735B4" w:rsidP="00A735B4">
      <w:pPr>
        <w:pStyle w:val="Body"/>
        <w:spacing w:after="0"/>
        <w:rPr>
          <w:rFonts w:ascii="Arial" w:hAnsi="Arial" w:cs="Arial"/>
          <w:bCs/>
          <w:szCs w:val="22"/>
        </w:rPr>
      </w:pPr>
    </w:p>
    <w:p w:rsidR="00A735B4" w:rsidRPr="009C394D" w:rsidRDefault="00A735B4" w:rsidP="00A735B4">
      <w:pPr>
        <w:pStyle w:val="Body"/>
        <w:spacing w:after="0"/>
        <w:jc w:val="center"/>
        <w:rPr>
          <w:rFonts w:ascii="Arial" w:hAnsi="Arial" w:cs="Arial"/>
          <w:highlight w:val="cyan"/>
        </w:rPr>
      </w:pPr>
      <w:r>
        <w:rPr>
          <w:rFonts w:ascii="Arial" w:hAnsi="Arial" w:cs="Arial"/>
          <w:noProof/>
          <w:lang w:val="pt-BR" w:eastAsia="pt-BR"/>
        </w:rPr>
        <w:drawing>
          <wp:inline distT="0" distB="0" distL="0" distR="0" wp14:anchorId="0D79DFBC" wp14:editId="1788ED1E">
            <wp:extent cx="5598000" cy="41796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6.t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598000" cy="4179600"/>
                    </a:xfrm>
                    <a:prstGeom prst="rect">
                      <a:avLst/>
                    </a:prstGeom>
                  </pic:spPr>
                </pic:pic>
              </a:graphicData>
            </a:graphic>
          </wp:inline>
        </w:drawing>
      </w:r>
    </w:p>
    <w:p w:rsidR="00A735B4" w:rsidRDefault="00A735B4" w:rsidP="00A735B4">
      <w:pPr>
        <w:pStyle w:val="Body"/>
        <w:spacing w:after="0"/>
        <w:rPr>
          <w:rFonts w:ascii="Arial" w:hAnsi="Arial" w:cs="Arial"/>
          <w:highlight w:val="cyan"/>
        </w:rPr>
      </w:pPr>
    </w:p>
    <w:p w:rsidR="00A735B4" w:rsidRDefault="00A735B4" w:rsidP="00A735B4">
      <w:pPr>
        <w:pStyle w:val="Body"/>
        <w:spacing w:after="0"/>
        <w:rPr>
          <w:rFonts w:ascii="Arial" w:hAnsi="Arial" w:cs="Arial"/>
          <w:bCs/>
          <w:szCs w:val="22"/>
        </w:rPr>
      </w:pPr>
      <w:r w:rsidRPr="007957B3">
        <w:rPr>
          <w:rFonts w:ascii="Arial" w:hAnsi="Arial" w:cs="Arial"/>
          <w:b/>
          <w:bCs/>
          <w:szCs w:val="22"/>
        </w:rPr>
        <w:t xml:space="preserve">Figure </w:t>
      </w:r>
      <w:r>
        <w:rPr>
          <w:rFonts w:ascii="Arial" w:hAnsi="Arial" w:cs="Arial"/>
          <w:b/>
          <w:bCs/>
          <w:szCs w:val="22"/>
        </w:rPr>
        <w:t>7</w:t>
      </w:r>
      <w:r w:rsidRPr="007957B3">
        <w:rPr>
          <w:rFonts w:ascii="Arial" w:hAnsi="Arial" w:cs="Arial"/>
          <w:b/>
          <w:bCs/>
          <w:szCs w:val="22"/>
        </w:rPr>
        <w:t>.</w:t>
      </w:r>
      <w:r w:rsidRPr="007957B3">
        <w:rPr>
          <w:rFonts w:ascii="Arial" w:hAnsi="Arial" w:cs="Arial"/>
          <w:bCs/>
          <w:szCs w:val="22"/>
        </w:rPr>
        <w:t xml:space="preserve"> </w:t>
      </w:r>
      <w:r w:rsidRPr="006D49BD">
        <w:rPr>
          <w:rFonts w:ascii="Arial" w:hAnsi="Arial" w:cs="Arial"/>
          <w:b/>
          <w:bCs/>
          <w:szCs w:val="22"/>
        </w:rPr>
        <w:t xml:space="preserve">The effect of LMWHA or HMWHA and </w:t>
      </w:r>
      <w:r w:rsidRPr="006D49BD">
        <w:rPr>
          <w:rFonts w:ascii="Arial" w:hAnsi="Arial" w:cs="Arial"/>
          <w:b/>
          <w:bCs/>
          <w:i/>
          <w:szCs w:val="22"/>
        </w:rPr>
        <w:t xml:space="preserve">P. </w:t>
      </w:r>
      <w:proofErr w:type="spellStart"/>
      <w:r w:rsidRPr="006D49BD">
        <w:rPr>
          <w:rFonts w:ascii="Arial" w:hAnsi="Arial" w:cs="Arial"/>
          <w:b/>
          <w:bCs/>
          <w:i/>
          <w:szCs w:val="22"/>
        </w:rPr>
        <w:t>gingivalis</w:t>
      </w:r>
      <w:proofErr w:type="spellEnd"/>
      <w:r>
        <w:rPr>
          <w:rFonts w:ascii="Arial" w:hAnsi="Arial" w:cs="Arial"/>
          <w:b/>
          <w:bCs/>
          <w:szCs w:val="22"/>
        </w:rPr>
        <w:t xml:space="preserve"> </w:t>
      </w:r>
      <w:r w:rsidRPr="006D49BD">
        <w:rPr>
          <w:rFonts w:ascii="Arial" w:hAnsi="Arial" w:cs="Arial"/>
          <w:b/>
          <w:bCs/>
          <w:szCs w:val="22"/>
        </w:rPr>
        <w:t>stimulation on the frequencies of positive cells and median fluorescence intensity (MFI) of toll-like receptors in the classical monocytes (CD14+CD16-).</w:t>
      </w:r>
      <w:r w:rsidRPr="006D49BD">
        <w:rPr>
          <w:rFonts w:ascii="Arial" w:hAnsi="Arial" w:cs="Arial"/>
          <w:bCs/>
          <w:szCs w:val="22"/>
        </w:rPr>
        <w:t xml:space="preserve"> PBMCs were stimulated or not with </w:t>
      </w:r>
      <w:proofErr w:type="spellStart"/>
      <w:r w:rsidRPr="006D49BD">
        <w:rPr>
          <w:rFonts w:ascii="Arial" w:hAnsi="Arial" w:cs="Arial"/>
          <w:bCs/>
          <w:szCs w:val="22"/>
        </w:rPr>
        <w:t>Pg</w:t>
      </w:r>
      <w:proofErr w:type="spellEnd"/>
      <w:r w:rsidRPr="006D49BD">
        <w:rPr>
          <w:rFonts w:ascii="Arial" w:hAnsi="Arial" w:cs="Arial"/>
          <w:bCs/>
          <w:szCs w:val="22"/>
        </w:rPr>
        <w:t xml:space="preserve"> and incubated with 0.2% LMWHA or HMWHA. Total incubation time 17 hours. </w:t>
      </w:r>
    </w:p>
    <w:p w:rsidR="00A735B4" w:rsidRDefault="00A735B4" w:rsidP="00A735B4">
      <w:pPr>
        <w:pStyle w:val="Body"/>
        <w:spacing w:after="0"/>
        <w:ind w:left="426"/>
        <w:rPr>
          <w:rFonts w:ascii="Arial" w:hAnsi="Arial" w:cs="Arial"/>
          <w:bCs/>
          <w:i/>
          <w:sz w:val="18"/>
          <w:szCs w:val="22"/>
        </w:rPr>
      </w:pPr>
      <w:r w:rsidRPr="006D49BD">
        <w:rPr>
          <w:rFonts w:ascii="Arial" w:hAnsi="Arial" w:cs="Arial"/>
          <w:bCs/>
          <w:i/>
          <w:sz w:val="18"/>
          <w:szCs w:val="22"/>
        </w:rPr>
        <w:t>Error bars indicate standard error of the mean (SEM). Data from 10 donors are shown</w:t>
      </w:r>
      <w:r>
        <w:rPr>
          <w:rFonts w:ascii="Arial" w:hAnsi="Arial" w:cs="Arial"/>
          <w:bCs/>
          <w:i/>
          <w:sz w:val="18"/>
          <w:szCs w:val="22"/>
        </w:rPr>
        <w:t>.</w:t>
      </w:r>
    </w:p>
    <w:p w:rsidR="00A735B4" w:rsidRPr="006D49BD" w:rsidRDefault="00A735B4" w:rsidP="00A735B4">
      <w:pPr>
        <w:pStyle w:val="Body"/>
        <w:spacing w:after="0"/>
        <w:ind w:left="426"/>
        <w:rPr>
          <w:rFonts w:ascii="Arial" w:hAnsi="Arial" w:cs="Arial"/>
          <w:bCs/>
          <w:i/>
          <w:sz w:val="18"/>
          <w:szCs w:val="22"/>
        </w:rPr>
      </w:pPr>
      <w:r w:rsidRPr="007957B3">
        <w:rPr>
          <w:rFonts w:ascii="Arial" w:hAnsi="Arial" w:cs="Arial"/>
          <w:bCs/>
          <w:i/>
          <w:sz w:val="18"/>
          <w:szCs w:val="22"/>
        </w:rPr>
        <w:t xml:space="preserve">LMWHA (low molecular weight hyaluronic acid); HMWHA (high molecular weight hyaluronic acid); </w:t>
      </w:r>
      <w:proofErr w:type="spellStart"/>
      <w:r w:rsidRPr="007957B3">
        <w:rPr>
          <w:rFonts w:ascii="Arial" w:hAnsi="Arial" w:cs="Arial"/>
          <w:bCs/>
          <w:i/>
          <w:sz w:val="18"/>
          <w:szCs w:val="22"/>
        </w:rPr>
        <w:t>Pg</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Porphyromonas</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gingivalis</w:t>
      </w:r>
      <w:proofErr w:type="spellEnd"/>
      <w:r>
        <w:rPr>
          <w:rFonts w:ascii="Arial" w:hAnsi="Arial" w:cs="Arial"/>
          <w:bCs/>
          <w:i/>
          <w:sz w:val="18"/>
          <w:szCs w:val="22"/>
        </w:rPr>
        <w:t>)</w:t>
      </w:r>
      <w:r w:rsidRPr="006D49BD">
        <w:rPr>
          <w:rFonts w:ascii="Arial" w:hAnsi="Arial" w:cs="Arial"/>
          <w:bCs/>
          <w:i/>
          <w:sz w:val="18"/>
          <w:szCs w:val="22"/>
        </w:rPr>
        <w:t>.</w:t>
      </w:r>
    </w:p>
    <w:p w:rsidR="00A735B4" w:rsidRPr="006D49BD" w:rsidRDefault="00A735B4" w:rsidP="00A735B4">
      <w:pPr>
        <w:pStyle w:val="Body"/>
        <w:spacing w:after="0"/>
        <w:ind w:left="426"/>
        <w:rPr>
          <w:rFonts w:ascii="Arial" w:hAnsi="Arial" w:cs="Arial"/>
          <w:bCs/>
          <w:i/>
          <w:sz w:val="18"/>
          <w:szCs w:val="22"/>
        </w:rPr>
      </w:pPr>
      <w:r w:rsidRPr="006D49BD">
        <w:rPr>
          <w:rFonts w:ascii="Arial" w:hAnsi="Arial" w:cs="Arial"/>
          <w:bCs/>
          <w:i/>
          <w:sz w:val="18"/>
          <w:szCs w:val="22"/>
        </w:rPr>
        <w:t>* represents a significant difference (</w:t>
      </w:r>
      <w:r w:rsidRPr="00E5700B">
        <w:rPr>
          <w:rFonts w:ascii="Arial" w:hAnsi="Arial" w:cs="Arial"/>
          <w:bCs/>
          <w:i/>
          <w:sz w:val="18"/>
          <w:szCs w:val="22"/>
        </w:rPr>
        <w:t>P</w:t>
      </w:r>
      <w:r>
        <w:rPr>
          <w:rFonts w:ascii="Arial" w:hAnsi="Arial" w:cs="Arial"/>
          <w:bCs/>
          <w:i/>
          <w:sz w:val="18"/>
          <w:szCs w:val="22"/>
        </w:rPr>
        <w:t xml:space="preserve"> </w:t>
      </w:r>
      <w:r w:rsidRPr="00E5700B">
        <w:rPr>
          <w:rFonts w:ascii="Arial" w:hAnsi="Arial" w:cs="Arial"/>
          <w:bCs/>
          <w:i/>
          <w:sz w:val="18"/>
          <w:szCs w:val="22"/>
        </w:rPr>
        <w:t>&lt;</w:t>
      </w:r>
      <w:r>
        <w:rPr>
          <w:rFonts w:ascii="Arial" w:hAnsi="Arial" w:cs="Arial"/>
          <w:bCs/>
          <w:i/>
          <w:sz w:val="18"/>
          <w:szCs w:val="22"/>
        </w:rPr>
        <w:t xml:space="preserve"> </w:t>
      </w:r>
      <w:r w:rsidRPr="00E5700B">
        <w:rPr>
          <w:rFonts w:ascii="Arial" w:hAnsi="Arial" w:cs="Arial"/>
          <w:bCs/>
          <w:i/>
          <w:sz w:val="18"/>
          <w:szCs w:val="22"/>
        </w:rPr>
        <w:t>.05</w:t>
      </w:r>
      <w:r w:rsidRPr="006D49BD">
        <w:rPr>
          <w:rFonts w:ascii="Arial" w:hAnsi="Arial" w:cs="Arial"/>
          <w:bCs/>
          <w:i/>
          <w:sz w:val="18"/>
          <w:szCs w:val="22"/>
        </w:rPr>
        <w:t>) in relation to the control group and connecting lines under # represent significant differences (</w:t>
      </w:r>
      <w:r w:rsidRPr="00E5700B">
        <w:rPr>
          <w:rFonts w:ascii="Arial" w:hAnsi="Arial" w:cs="Arial"/>
          <w:bCs/>
          <w:i/>
          <w:sz w:val="18"/>
          <w:szCs w:val="22"/>
        </w:rPr>
        <w:t>P</w:t>
      </w:r>
      <w:r>
        <w:rPr>
          <w:rFonts w:ascii="Arial" w:hAnsi="Arial" w:cs="Arial"/>
          <w:bCs/>
          <w:i/>
          <w:sz w:val="18"/>
          <w:szCs w:val="22"/>
        </w:rPr>
        <w:t xml:space="preserve"> </w:t>
      </w:r>
      <w:r w:rsidRPr="00E5700B">
        <w:rPr>
          <w:rFonts w:ascii="Arial" w:hAnsi="Arial" w:cs="Arial"/>
          <w:bCs/>
          <w:i/>
          <w:sz w:val="18"/>
          <w:szCs w:val="22"/>
        </w:rPr>
        <w:t>&lt;</w:t>
      </w:r>
      <w:r>
        <w:rPr>
          <w:rFonts w:ascii="Arial" w:hAnsi="Arial" w:cs="Arial"/>
          <w:bCs/>
          <w:i/>
          <w:sz w:val="18"/>
          <w:szCs w:val="22"/>
        </w:rPr>
        <w:t xml:space="preserve"> </w:t>
      </w:r>
      <w:r w:rsidRPr="00E5700B">
        <w:rPr>
          <w:rFonts w:ascii="Arial" w:hAnsi="Arial" w:cs="Arial"/>
          <w:bCs/>
          <w:i/>
          <w:sz w:val="18"/>
          <w:szCs w:val="22"/>
        </w:rPr>
        <w:t>.05</w:t>
      </w:r>
      <w:r w:rsidRPr="006D49BD">
        <w:rPr>
          <w:rFonts w:ascii="Arial" w:hAnsi="Arial" w:cs="Arial"/>
          <w:bCs/>
          <w:i/>
          <w:sz w:val="18"/>
          <w:szCs w:val="22"/>
        </w:rPr>
        <w:t>) between the experimental groups (one-way ANOVA with repeated measures).</w:t>
      </w:r>
    </w:p>
    <w:p w:rsidR="00A735B4" w:rsidRDefault="00A735B4" w:rsidP="00A735B4">
      <w:pPr>
        <w:pStyle w:val="Body"/>
        <w:spacing w:after="0"/>
        <w:rPr>
          <w:rFonts w:ascii="Arial" w:hAnsi="Arial" w:cs="Arial"/>
          <w:bCs/>
          <w:szCs w:val="22"/>
        </w:rPr>
      </w:pPr>
    </w:p>
    <w:p w:rsidR="00A735B4" w:rsidRDefault="00A735B4" w:rsidP="00A735B4">
      <w:pPr>
        <w:pStyle w:val="Body"/>
        <w:spacing w:after="0"/>
        <w:rPr>
          <w:rFonts w:ascii="Arial" w:hAnsi="Arial" w:cs="Arial"/>
          <w:highlight w:val="cyan"/>
        </w:rPr>
      </w:pPr>
    </w:p>
    <w:p w:rsidR="00A735B4" w:rsidRDefault="00A735B4" w:rsidP="00A735B4">
      <w:pPr>
        <w:pStyle w:val="Body"/>
        <w:spacing w:after="0"/>
        <w:rPr>
          <w:rFonts w:ascii="Arial" w:hAnsi="Arial" w:cs="Arial"/>
          <w:highlight w:val="cyan"/>
        </w:rPr>
      </w:pPr>
    </w:p>
    <w:p w:rsidR="00A735B4" w:rsidRDefault="00A735B4" w:rsidP="00A735B4">
      <w:pPr>
        <w:pStyle w:val="Body"/>
        <w:spacing w:after="0"/>
        <w:jc w:val="center"/>
        <w:rPr>
          <w:rFonts w:ascii="Arial" w:hAnsi="Arial" w:cs="Arial"/>
          <w:highlight w:val="cyan"/>
        </w:rPr>
      </w:pPr>
      <w:r>
        <w:rPr>
          <w:rFonts w:ascii="Arial" w:hAnsi="Arial" w:cs="Arial"/>
          <w:noProof/>
          <w:lang w:val="pt-BR" w:eastAsia="pt-BR"/>
        </w:rPr>
        <w:lastRenderedPageBreak/>
        <w:drawing>
          <wp:inline distT="0" distB="0" distL="0" distR="0" wp14:anchorId="7AFD45C0" wp14:editId="6169DD3F">
            <wp:extent cx="5702400" cy="42012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8.ti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02400" cy="4201200"/>
                    </a:xfrm>
                    <a:prstGeom prst="rect">
                      <a:avLst/>
                    </a:prstGeom>
                  </pic:spPr>
                </pic:pic>
              </a:graphicData>
            </a:graphic>
          </wp:inline>
        </w:drawing>
      </w:r>
    </w:p>
    <w:p w:rsidR="00A735B4" w:rsidRDefault="00A735B4" w:rsidP="00A735B4">
      <w:pPr>
        <w:pStyle w:val="Body"/>
        <w:spacing w:after="0"/>
        <w:rPr>
          <w:rFonts w:ascii="Arial" w:hAnsi="Arial" w:cs="Arial"/>
          <w:highlight w:val="cyan"/>
        </w:rPr>
      </w:pPr>
    </w:p>
    <w:p w:rsidR="00A735B4" w:rsidRDefault="00A735B4" w:rsidP="00A735B4">
      <w:pPr>
        <w:pStyle w:val="Body"/>
        <w:spacing w:after="0"/>
        <w:rPr>
          <w:rFonts w:ascii="Arial" w:hAnsi="Arial" w:cs="Arial"/>
          <w:bCs/>
          <w:szCs w:val="22"/>
        </w:rPr>
      </w:pPr>
      <w:r w:rsidRPr="007957B3">
        <w:rPr>
          <w:rFonts w:ascii="Arial" w:hAnsi="Arial" w:cs="Arial"/>
          <w:b/>
          <w:bCs/>
          <w:szCs w:val="22"/>
        </w:rPr>
        <w:t xml:space="preserve">Figure </w:t>
      </w:r>
      <w:r>
        <w:rPr>
          <w:rFonts w:ascii="Arial" w:hAnsi="Arial" w:cs="Arial"/>
          <w:b/>
          <w:bCs/>
          <w:szCs w:val="22"/>
        </w:rPr>
        <w:t>8.</w:t>
      </w:r>
      <w:r w:rsidRPr="007957B3">
        <w:rPr>
          <w:rFonts w:ascii="Arial" w:hAnsi="Arial" w:cs="Arial"/>
          <w:bCs/>
          <w:szCs w:val="22"/>
        </w:rPr>
        <w:t xml:space="preserve"> </w:t>
      </w:r>
      <w:r w:rsidRPr="006D49BD">
        <w:rPr>
          <w:rFonts w:ascii="Arial" w:hAnsi="Arial" w:cs="Arial"/>
          <w:b/>
          <w:bCs/>
          <w:szCs w:val="22"/>
        </w:rPr>
        <w:t xml:space="preserve">The effect of LMWHA or HMWHA and </w:t>
      </w:r>
      <w:r w:rsidRPr="006D49BD">
        <w:rPr>
          <w:rFonts w:ascii="Arial" w:hAnsi="Arial" w:cs="Arial"/>
          <w:b/>
          <w:bCs/>
          <w:i/>
          <w:szCs w:val="22"/>
        </w:rPr>
        <w:t xml:space="preserve">P. </w:t>
      </w:r>
      <w:proofErr w:type="spellStart"/>
      <w:r w:rsidRPr="006D49BD">
        <w:rPr>
          <w:rFonts w:ascii="Arial" w:hAnsi="Arial" w:cs="Arial"/>
          <w:b/>
          <w:bCs/>
          <w:i/>
          <w:szCs w:val="22"/>
        </w:rPr>
        <w:t>gingivalis</w:t>
      </w:r>
      <w:proofErr w:type="spellEnd"/>
      <w:r>
        <w:rPr>
          <w:rFonts w:ascii="Arial" w:hAnsi="Arial" w:cs="Arial"/>
          <w:b/>
          <w:bCs/>
          <w:szCs w:val="22"/>
        </w:rPr>
        <w:t xml:space="preserve"> </w:t>
      </w:r>
      <w:r w:rsidRPr="006D49BD">
        <w:rPr>
          <w:rFonts w:ascii="Arial" w:hAnsi="Arial" w:cs="Arial"/>
          <w:b/>
          <w:bCs/>
          <w:szCs w:val="22"/>
        </w:rPr>
        <w:t>stimulation on the frequencies of positive cells and median fluorescence intensity (MFI) of toll-like receptors in the non-classical/intermediate monocytes (CD14+CD16+).</w:t>
      </w:r>
      <w:r w:rsidRPr="006D49BD">
        <w:rPr>
          <w:rFonts w:ascii="Arial" w:hAnsi="Arial" w:cs="Arial"/>
          <w:bCs/>
          <w:szCs w:val="22"/>
        </w:rPr>
        <w:t xml:space="preserve"> PBMCs were stimulated or not with </w:t>
      </w:r>
      <w:proofErr w:type="spellStart"/>
      <w:r w:rsidRPr="006D49BD">
        <w:rPr>
          <w:rFonts w:ascii="Arial" w:hAnsi="Arial" w:cs="Arial"/>
          <w:bCs/>
          <w:szCs w:val="22"/>
        </w:rPr>
        <w:t>Pg</w:t>
      </w:r>
      <w:proofErr w:type="spellEnd"/>
      <w:r w:rsidRPr="006D49BD">
        <w:rPr>
          <w:rFonts w:ascii="Arial" w:hAnsi="Arial" w:cs="Arial"/>
          <w:bCs/>
          <w:szCs w:val="22"/>
        </w:rPr>
        <w:t xml:space="preserve"> and incubated with 0.2% LMWHA or HMWHA. Total incubation time 17 hours. </w:t>
      </w:r>
    </w:p>
    <w:p w:rsidR="00A735B4" w:rsidRDefault="00A735B4" w:rsidP="00A735B4">
      <w:pPr>
        <w:pStyle w:val="Body"/>
        <w:spacing w:after="0"/>
        <w:ind w:left="426"/>
        <w:rPr>
          <w:rFonts w:ascii="Arial" w:hAnsi="Arial" w:cs="Arial"/>
          <w:bCs/>
          <w:i/>
          <w:sz w:val="18"/>
          <w:szCs w:val="22"/>
        </w:rPr>
      </w:pPr>
      <w:r w:rsidRPr="00E5700B">
        <w:rPr>
          <w:rFonts w:ascii="Arial" w:hAnsi="Arial" w:cs="Arial"/>
          <w:bCs/>
          <w:i/>
          <w:sz w:val="18"/>
          <w:szCs w:val="22"/>
        </w:rPr>
        <w:t>Error bars indicate standard error of the mean (SEM). Data from 10 donors are shown</w:t>
      </w:r>
      <w:r>
        <w:rPr>
          <w:rFonts w:ascii="Arial" w:hAnsi="Arial" w:cs="Arial"/>
          <w:bCs/>
          <w:i/>
          <w:sz w:val="18"/>
          <w:szCs w:val="22"/>
        </w:rPr>
        <w:t>.</w:t>
      </w:r>
    </w:p>
    <w:p w:rsidR="00A735B4" w:rsidRPr="00E5700B" w:rsidRDefault="00A735B4" w:rsidP="00A735B4">
      <w:pPr>
        <w:pStyle w:val="Body"/>
        <w:spacing w:after="0"/>
        <w:ind w:left="426"/>
        <w:rPr>
          <w:rFonts w:ascii="Arial" w:hAnsi="Arial" w:cs="Arial"/>
          <w:bCs/>
          <w:i/>
          <w:sz w:val="18"/>
          <w:szCs w:val="22"/>
        </w:rPr>
      </w:pPr>
      <w:r w:rsidRPr="007957B3">
        <w:rPr>
          <w:rFonts w:ascii="Arial" w:hAnsi="Arial" w:cs="Arial"/>
          <w:bCs/>
          <w:i/>
          <w:sz w:val="18"/>
          <w:szCs w:val="22"/>
        </w:rPr>
        <w:t xml:space="preserve">LMWHA (low molecular weight hyaluronic acid); HMWHA (high molecular weight hyaluronic acid); </w:t>
      </w:r>
      <w:proofErr w:type="spellStart"/>
      <w:r w:rsidRPr="007957B3">
        <w:rPr>
          <w:rFonts w:ascii="Arial" w:hAnsi="Arial" w:cs="Arial"/>
          <w:bCs/>
          <w:i/>
          <w:sz w:val="18"/>
          <w:szCs w:val="22"/>
        </w:rPr>
        <w:t>Pg</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Porphyromonas</w:t>
      </w:r>
      <w:proofErr w:type="spellEnd"/>
      <w:r w:rsidRPr="007957B3">
        <w:rPr>
          <w:rFonts w:ascii="Arial" w:hAnsi="Arial" w:cs="Arial"/>
          <w:bCs/>
          <w:i/>
          <w:sz w:val="18"/>
          <w:szCs w:val="22"/>
        </w:rPr>
        <w:t xml:space="preserve"> </w:t>
      </w:r>
      <w:proofErr w:type="spellStart"/>
      <w:r w:rsidRPr="007957B3">
        <w:rPr>
          <w:rFonts w:ascii="Arial" w:hAnsi="Arial" w:cs="Arial"/>
          <w:bCs/>
          <w:i/>
          <w:sz w:val="18"/>
          <w:szCs w:val="22"/>
        </w:rPr>
        <w:t>gingivalis</w:t>
      </w:r>
      <w:proofErr w:type="spellEnd"/>
      <w:r>
        <w:rPr>
          <w:rFonts w:ascii="Arial" w:hAnsi="Arial" w:cs="Arial"/>
          <w:bCs/>
          <w:i/>
          <w:sz w:val="18"/>
          <w:szCs w:val="22"/>
        </w:rPr>
        <w:t>)</w:t>
      </w:r>
      <w:r w:rsidRPr="00E5700B">
        <w:rPr>
          <w:rFonts w:ascii="Arial" w:hAnsi="Arial" w:cs="Arial"/>
          <w:bCs/>
          <w:i/>
          <w:sz w:val="18"/>
          <w:szCs w:val="22"/>
        </w:rPr>
        <w:t>.</w:t>
      </w:r>
    </w:p>
    <w:p w:rsidR="00A735B4" w:rsidRPr="00E5700B" w:rsidRDefault="00A735B4" w:rsidP="00A735B4">
      <w:pPr>
        <w:pStyle w:val="Body"/>
        <w:spacing w:after="0"/>
        <w:ind w:left="426"/>
        <w:rPr>
          <w:rFonts w:ascii="Arial" w:hAnsi="Arial" w:cs="Arial"/>
          <w:bCs/>
          <w:i/>
          <w:sz w:val="18"/>
          <w:szCs w:val="22"/>
        </w:rPr>
      </w:pPr>
      <w:r w:rsidRPr="00E5700B">
        <w:rPr>
          <w:rFonts w:ascii="Arial" w:hAnsi="Arial" w:cs="Arial"/>
          <w:bCs/>
          <w:i/>
          <w:sz w:val="18"/>
          <w:szCs w:val="22"/>
        </w:rPr>
        <w:t>* represents a significant difference (P</w:t>
      </w:r>
      <w:r>
        <w:rPr>
          <w:rFonts w:ascii="Arial" w:hAnsi="Arial" w:cs="Arial"/>
          <w:bCs/>
          <w:i/>
          <w:sz w:val="18"/>
          <w:szCs w:val="22"/>
        </w:rPr>
        <w:t xml:space="preserve"> </w:t>
      </w:r>
      <w:r w:rsidRPr="00E5700B">
        <w:rPr>
          <w:rFonts w:ascii="Arial" w:hAnsi="Arial" w:cs="Arial"/>
          <w:bCs/>
          <w:i/>
          <w:sz w:val="18"/>
          <w:szCs w:val="22"/>
        </w:rPr>
        <w:t>&lt;</w:t>
      </w:r>
      <w:r>
        <w:rPr>
          <w:rFonts w:ascii="Arial" w:hAnsi="Arial" w:cs="Arial"/>
          <w:bCs/>
          <w:i/>
          <w:sz w:val="18"/>
          <w:szCs w:val="22"/>
        </w:rPr>
        <w:t xml:space="preserve"> </w:t>
      </w:r>
      <w:r w:rsidRPr="00E5700B">
        <w:rPr>
          <w:rFonts w:ascii="Arial" w:hAnsi="Arial" w:cs="Arial"/>
          <w:bCs/>
          <w:i/>
          <w:sz w:val="18"/>
          <w:szCs w:val="22"/>
        </w:rPr>
        <w:t>.05) in relation to the control group and connecting lines under # represent significant differences (P</w:t>
      </w:r>
      <w:r>
        <w:rPr>
          <w:rFonts w:ascii="Arial" w:hAnsi="Arial" w:cs="Arial"/>
          <w:bCs/>
          <w:i/>
          <w:sz w:val="18"/>
          <w:szCs w:val="22"/>
        </w:rPr>
        <w:t xml:space="preserve"> </w:t>
      </w:r>
      <w:r w:rsidRPr="00E5700B">
        <w:rPr>
          <w:rFonts w:ascii="Arial" w:hAnsi="Arial" w:cs="Arial"/>
          <w:bCs/>
          <w:i/>
          <w:sz w:val="18"/>
          <w:szCs w:val="22"/>
        </w:rPr>
        <w:t>&lt;</w:t>
      </w:r>
      <w:r>
        <w:rPr>
          <w:rFonts w:ascii="Arial" w:hAnsi="Arial" w:cs="Arial"/>
          <w:bCs/>
          <w:i/>
          <w:sz w:val="18"/>
          <w:szCs w:val="22"/>
        </w:rPr>
        <w:t xml:space="preserve"> </w:t>
      </w:r>
      <w:r w:rsidRPr="00E5700B">
        <w:rPr>
          <w:rFonts w:ascii="Arial" w:hAnsi="Arial" w:cs="Arial"/>
          <w:bCs/>
          <w:i/>
          <w:sz w:val="18"/>
          <w:szCs w:val="22"/>
        </w:rPr>
        <w:t>.05) between the experimental groups (one-way ANOVA with repeated measures).</w:t>
      </w:r>
    </w:p>
    <w:p w:rsidR="00A735B4" w:rsidRDefault="00A735B4" w:rsidP="00A735B4">
      <w:pPr>
        <w:pStyle w:val="Body"/>
        <w:spacing w:after="0"/>
        <w:rPr>
          <w:rFonts w:ascii="Arial" w:hAnsi="Arial" w:cs="Arial"/>
          <w:bCs/>
          <w:szCs w:val="22"/>
        </w:rPr>
      </w:pPr>
    </w:p>
    <w:p w:rsidR="00A735B4" w:rsidRPr="0042748E" w:rsidRDefault="00A735B4" w:rsidP="00A735B4">
      <w:pPr>
        <w:pStyle w:val="Body"/>
        <w:spacing w:after="0"/>
        <w:rPr>
          <w:rFonts w:ascii="Arial" w:hAnsi="Arial" w:cs="Arial"/>
        </w:rPr>
      </w:pPr>
    </w:p>
    <w:p w:rsidR="00A735B4" w:rsidRPr="0042748E" w:rsidRDefault="00A735B4" w:rsidP="00A735B4">
      <w:pPr>
        <w:pStyle w:val="Body"/>
        <w:spacing w:after="0"/>
        <w:rPr>
          <w:rFonts w:ascii="Arial" w:hAnsi="Arial" w:cs="Arial"/>
        </w:rPr>
      </w:pPr>
    </w:p>
    <w:p w:rsidR="00A735B4" w:rsidRDefault="00A735B4" w:rsidP="00A735B4">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4</w:t>
      </w:r>
      <w:r w:rsidRPr="00C30A0F">
        <w:rPr>
          <w:rFonts w:ascii="Arial" w:hAnsi="Arial" w:cs="Arial"/>
          <w:b/>
          <w:caps/>
          <w:sz w:val="22"/>
        </w:rPr>
        <w:t xml:space="preserve"> </w:t>
      </w:r>
      <w:r w:rsidRPr="0050514C">
        <w:rPr>
          <w:rFonts w:ascii="Arial" w:hAnsi="Arial" w:cs="Arial"/>
          <w:b/>
          <w:sz w:val="22"/>
        </w:rPr>
        <w:t xml:space="preserve">Effect of LMWHA and HMWHA on the expression of co-stimulatory molecules and toll-like receptors by monocytes after stimulation with </w:t>
      </w:r>
      <w:proofErr w:type="spellStart"/>
      <w:r w:rsidRPr="0050514C">
        <w:rPr>
          <w:rFonts w:ascii="Arial" w:hAnsi="Arial" w:cs="Arial"/>
          <w:b/>
          <w:sz w:val="22"/>
        </w:rPr>
        <w:t>Pg</w:t>
      </w:r>
      <w:proofErr w:type="spellEnd"/>
    </w:p>
    <w:p w:rsidR="00A735B4" w:rsidRDefault="00A735B4" w:rsidP="00A735B4">
      <w:pPr>
        <w:pStyle w:val="Body"/>
        <w:spacing w:after="0"/>
        <w:rPr>
          <w:rFonts w:ascii="Arial" w:hAnsi="Arial" w:cs="Arial"/>
          <w:b/>
          <w:sz w:val="22"/>
        </w:rPr>
      </w:pPr>
    </w:p>
    <w:p w:rsidR="00A735B4" w:rsidRPr="0050514C" w:rsidRDefault="00A735B4" w:rsidP="00A735B4">
      <w:pPr>
        <w:pStyle w:val="Body"/>
        <w:spacing w:after="0"/>
        <w:rPr>
          <w:rFonts w:ascii="Arial" w:hAnsi="Arial" w:cs="Arial"/>
        </w:rPr>
      </w:pPr>
      <w:r w:rsidRPr="0050514C">
        <w:rPr>
          <w:rFonts w:ascii="Arial" w:hAnsi="Arial" w:cs="Arial"/>
        </w:rPr>
        <w:t xml:space="preserve">Stimulation of PBMCs with </w:t>
      </w:r>
      <w:proofErr w:type="spellStart"/>
      <w:r w:rsidRPr="0050514C">
        <w:rPr>
          <w:rFonts w:ascii="Arial" w:hAnsi="Arial" w:cs="Arial"/>
        </w:rPr>
        <w:t>Pg</w:t>
      </w:r>
      <w:proofErr w:type="spellEnd"/>
      <w:r w:rsidRPr="0050514C">
        <w:rPr>
          <w:rFonts w:ascii="Arial" w:hAnsi="Arial" w:cs="Arial"/>
        </w:rPr>
        <w:t xml:space="preserve"> significantly increased the frequencies of positive cells and the MFI of CD40, CD80 and HLA-DR in total (Fig. 3), classical (Fig. </w:t>
      </w:r>
      <w:r>
        <w:rPr>
          <w:rFonts w:ascii="Arial" w:hAnsi="Arial" w:cs="Arial"/>
        </w:rPr>
        <w:t>4</w:t>
      </w:r>
      <w:r w:rsidRPr="0050514C">
        <w:rPr>
          <w:rFonts w:ascii="Arial" w:hAnsi="Arial" w:cs="Arial"/>
        </w:rPr>
        <w:t xml:space="preserve">) and non-classical/intermediate (Fig. </w:t>
      </w:r>
      <w:r>
        <w:rPr>
          <w:rFonts w:ascii="Arial" w:hAnsi="Arial" w:cs="Arial"/>
        </w:rPr>
        <w:t>5</w:t>
      </w:r>
      <w:r w:rsidRPr="0050514C">
        <w:rPr>
          <w:rFonts w:ascii="Arial" w:hAnsi="Arial" w:cs="Arial"/>
        </w:rPr>
        <w:t xml:space="preserve">) monocytes, when compared to control. Conversely, stimulation with </w:t>
      </w:r>
      <w:proofErr w:type="spellStart"/>
      <w:r w:rsidRPr="0050514C">
        <w:rPr>
          <w:rFonts w:ascii="Arial" w:hAnsi="Arial" w:cs="Arial"/>
        </w:rPr>
        <w:t>Pg</w:t>
      </w:r>
      <w:proofErr w:type="spellEnd"/>
      <w:r w:rsidRPr="0050514C">
        <w:rPr>
          <w:rFonts w:ascii="Arial" w:hAnsi="Arial" w:cs="Arial"/>
        </w:rPr>
        <w:t xml:space="preserve"> significantly reduced the MFI of CD86 (data not shown). Moreover, stimulation with </w:t>
      </w:r>
      <w:proofErr w:type="spellStart"/>
      <w:r w:rsidRPr="0050514C">
        <w:rPr>
          <w:rFonts w:ascii="Arial" w:hAnsi="Arial" w:cs="Arial"/>
        </w:rPr>
        <w:t>Pg</w:t>
      </w:r>
      <w:proofErr w:type="spellEnd"/>
      <w:r w:rsidRPr="0050514C">
        <w:rPr>
          <w:rFonts w:ascii="Arial" w:hAnsi="Arial" w:cs="Arial"/>
        </w:rPr>
        <w:t xml:space="preserve"> also significantly reduced the frequencies of TLR4+ cells and the MFI of TLR2 and TLR4 in total (Fig. </w:t>
      </w:r>
      <w:r>
        <w:rPr>
          <w:rFonts w:ascii="Arial" w:hAnsi="Arial" w:cs="Arial"/>
        </w:rPr>
        <w:t>6</w:t>
      </w:r>
      <w:r w:rsidRPr="0050514C">
        <w:rPr>
          <w:rFonts w:ascii="Arial" w:hAnsi="Arial" w:cs="Arial"/>
        </w:rPr>
        <w:t xml:space="preserve">), classical (Fig. </w:t>
      </w:r>
      <w:r>
        <w:rPr>
          <w:rFonts w:ascii="Arial" w:hAnsi="Arial" w:cs="Arial"/>
        </w:rPr>
        <w:t>7</w:t>
      </w:r>
      <w:r w:rsidRPr="0050514C">
        <w:rPr>
          <w:rFonts w:ascii="Arial" w:hAnsi="Arial" w:cs="Arial"/>
        </w:rPr>
        <w:t xml:space="preserve">) and non-classical/intermediate (Fig. 8) monocytes, when compared to control. </w:t>
      </w:r>
    </w:p>
    <w:p w:rsidR="00A735B4" w:rsidRPr="0050514C" w:rsidRDefault="00A735B4" w:rsidP="00A735B4">
      <w:pPr>
        <w:pStyle w:val="Body"/>
        <w:spacing w:after="0"/>
        <w:rPr>
          <w:rFonts w:ascii="Arial" w:hAnsi="Arial" w:cs="Arial"/>
        </w:rPr>
      </w:pPr>
      <w:r w:rsidRPr="0050514C">
        <w:rPr>
          <w:rFonts w:ascii="Arial" w:hAnsi="Arial" w:cs="Arial"/>
        </w:rPr>
        <w:lastRenderedPageBreak/>
        <w:t xml:space="preserve">Considering cells stimulated with </w:t>
      </w:r>
      <w:proofErr w:type="spellStart"/>
      <w:r w:rsidRPr="0050514C">
        <w:rPr>
          <w:rFonts w:ascii="Arial" w:hAnsi="Arial" w:cs="Arial"/>
        </w:rPr>
        <w:t>Pg</w:t>
      </w:r>
      <w:proofErr w:type="spellEnd"/>
      <w:r w:rsidRPr="0050514C">
        <w:rPr>
          <w:rFonts w:ascii="Arial" w:hAnsi="Arial" w:cs="Arial"/>
        </w:rPr>
        <w:t xml:space="preserve">, the addition of LMWHA or HMWHA did not significantly affect the frequencies of positive cells or the MFI of CD40, CD80 or HLA-DR in the CD14+ (Fig. 3) or classical (Fig. </w:t>
      </w:r>
      <w:r>
        <w:rPr>
          <w:rFonts w:ascii="Arial" w:hAnsi="Arial" w:cs="Arial"/>
        </w:rPr>
        <w:t>4</w:t>
      </w:r>
      <w:r w:rsidRPr="0050514C">
        <w:rPr>
          <w:rFonts w:ascii="Arial" w:hAnsi="Arial" w:cs="Arial"/>
        </w:rPr>
        <w:t xml:space="preserve">) monocytes. Similar results were observed for CD86 (data not shown). However, the addition of HMWHA to </w:t>
      </w:r>
      <w:proofErr w:type="spellStart"/>
      <w:r w:rsidRPr="0050514C">
        <w:rPr>
          <w:rFonts w:ascii="Arial" w:hAnsi="Arial" w:cs="Arial"/>
        </w:rPr>
        <w:t>Pg</w:t>
      </w:r>
      <w:proofErr w:type="spellEnd"/>
      <w:r w:rsidRPr="0050514C">
        <w:rPr>
          <w:rFonts w:ascii="Arial" w:hAnsi="Arial" w:cs="Arial"/>
        </w:rPr>
        <w:t xml:space="preserve">-stimulated cells significantly increased the frequency of HLA-DR+ cells (Fig. </w:t>
      </w:r>
      <w:r>
        <w:rPr>
          <w:rFonts w:ascii="Arial" w:hAnsi="Arial" w:cs="Arial"/>
        </w:rPr>
        <w:t>5</w:t>
      </w:r>
      <w:r w:rsidRPr="0050514C">
        <w:rPr>
          <w:rFonts w:ascii="Arial" w:hAnsi="Arial" w:cs="Arial"/>
        </w:rPr>
        <w:t xml:space="preserve">E) and the MFI of CD40 (Fig. </w:t>
      </w:r>
      <w:r>
        <w:rPr>
          <w:rFonts w:ascii="Arial" w:hAnsi="Arial" w:cs="Arial"/>
        </w:rPr>
        <w:t>5</w:t>
      </w:r>
      <w:r w:rsidRPr="0050514C">
        <w:rPr>
          <w:rFonts w:ascii="Arial" w:hAnsi="Arial" w:cs="Arial"/>
        </w:rPr>
        <w:t xml:space="preserve">B) and HLA-DR (Fig. </w:t>
      </w:r>
      <w:r>
        <w:rPr>
          <w:rFonts w:ascii="Arial" w:hAnsi="Arial" w:cs="Arial"/>
        </w:rPr>
        <w:t>5</w:t>
      </w:r>
      <w:r w:rsidRPr="0050514C">
        <w:rPr>
          <w:rFonts w:ascii="Arial" w:hAnsi="Arial" w:cs="Arial"/>
        </w:rPr>
        <w:t xml:space="preserve">F) in non-classical/intermediate monocytes. Furthermore, comparing HA of different molecular weight, the </w:t>
      </w:r>
      <w:proofErr w:type="spellStart"/>
      <w:r w:rsidRPr="0050514C">
        <w:rPr>
          <w:rFonts w:ascii="Arial" w:hAnsi="Arial" w:cs="Arial"/>
        </w:rPr>
        <w:t>Pg</w:t>
      </w:r>
      <w:proofErr w:type="spellEnd"/>
      <w:r w:rsidRPr="0050514C">
        <w:rPr>
          <w:rFonts w:ascii="Arial" w:hAnsi="Arial" w:cs="Arial"/>
        </w:rPr>
        <w:t xml:space="preserve">-HMWHA group showed higher frequency of HLA-DR+ cells (Fig. </w:t>
      </w:r>
      <w:r>
        <w:rPr>
          <w:rFonts w:ascii="Arial" w:hAnsi="Arial" w:cs="Arial"/>
        </w:rPr>
        <w:t>5</w:t>
      </w:r>
      <w:r w:rsidRPr="0050514C">
        <w:rPr>
          <w:rFonts w:ascii="Arial" w:hAnsi="Arial" w:cs="Arial"/>
        </w:rPr>
        <w:t xml:space="preserve">E) and MFI of CD40 (Fig. </w:t>
      </w:r>
      <w:r>
        <w:rPr>
          <w:rFonts w:ascii="Arial" w:hAnsi="Arial" w:cs="Arial"/>
        </w:rPr>
        <w:t>5</w:t>
      </w:r>
      <w:r w:rsidRPr="0050514C">
        <w:rPr>
          <w:rFonts w:ascii="Arial" w:hAnsi="Arial" w:cs="Arial"/>
        </w:rPr>
        <w:t xml:space="preserve">B) and HLA-DR (Fig. </w:t>
      </w:r>
      <w:r>
        <w:rPr>
          <w:rFonts w:ascii="Arial" w:hAnsi="Arial" w:cs="Arial"/>
        </w:rPr>
        <w:t>5</w:t>
      </w:r>
      <w:r w:rsidRPr="0050514C">
        <w:rPr>
          <w:rFonts w:ascii="Arial" w:hAnsi="Arial" w:cs="Arial"/>
        </w:rPr>
        <w:t xml:space="preserve">F) than </w:t>
      </w:r>
      <w:proofErr w:type="spellStart"/>
      <w:r w:rsidRPr="0050514C">
        <w:rPr>
          <w:rFonts w:ascii="Arial" w:hAnsi="Arial" w:cs="Arial"/>
        </w:rPr>
        <w:t>Pg</w:t>
      </w:r>
      <w:proofErr w:type="spellEnd"/>
      <w:r w:rsidRPr="0050514C">
        <w:rPr>
          <w:rFonts w:ascii="Arial" w:hAnsi="Arial" w:cs="Arial"/>
        </w:rPr>
        <w:t>-LMWHA group in non-classical/intermediate monocytes.</w:t>
      </w:r>
    </w:p>
    <w:p w:rsidR="00E053D0" w:rsidRDefault="00A735B4" w:rsidP="00A735B4">
      <w:pPr>
        <w:pStyle w:val="Body"/>
        <w:spacing w:after="0"/>
        <w:rPr>
          <w:rFonts w:ascii="Arial" w:hAnsi="Arial" w:cs="Arial"/>
        </w:rPr>
      </w:pPr>
      <w:r w:rsidRPr="0050514C">
        <w:rPr>
          <w:rFonts w:ascii="Arial" w:hAnsi="Arial" w:cs="Arial"/>
        </w:rPr>
        <w:t xml:space="preserve">Analysis of TLR expression in </w:t>
      </w:r>
      <w:proofErr w:type="spellStart"/>
      <w:r w:rsidRPr="0050514C">
        <w:rPr>
          <w:rFonts w:ascii="Arial" w:hAnsi="Arial" w:cs="Arial"/>
        </w:rPr>
        <w:t>Pg</w:t>
      </w:r>
      <w:proofErr w:type="spellEnd"/>
      <w:r w:rsidRPr="0050514C">
        <w:rPr>
          <w:rFonts w:ascii="Arial" w:hAnsi="Arial" w:cs="Arial"/>
        </w:rPr>
        <w:t xml:space="preserve">-stimulated cells showed that addition of LMWHA or HMWHA significantly increased the frequency of TLR2+ cells and the MFI of TLR2 in CD14+ (Fig. </w:t>
      </w:r>
      <w:r>
        <w:rPr>
          <w:rFonts w:ascii="Arial" w:hAnsi="Arial" w:cs="Arial"/>
        </w:rPr>
        <w:t>6</w:t>
      </w:r>
      <w:r w:rsidRPr="0050514C">
        <w:rPr>
          <w:rFonts w:ascii="Arial" w:hAnsi="Arial" w:cs="Arial"/>
        </w:rPr>
        <w:t xml:space="preserve">A and B) and classical (Fig. </w:t>
      </w:r>
      <w:r>
        <w:rPr>
          <w:rFonts w:ascii="Arial" w:hAnsi="Arial" w:cs="Arial"/>
        </w:rPr>
        <w:t>7</w:t>
      </w:r>
      <w:r w:rsidRPr="0050514C">
        <w:rPr>
          <w:rFonts w:ascii="Arial" w:hAnsi="Arial" w:cs="Arial"/>
        </w:rPr>
        <w:t xml:space="preserve">A and B) monocytes. However, in the non-classical/intermediate monocyte subpopulation stimulated with </w:t>
      </w:r>
      <w:proofErr w:type="spellStart"/>
      <w:r w:rsidRPr="0050514C">
        <w:rPr>
          <w:rFonts w:ascii="Arial" w:hAnsi="Arial" w:cs="Arial"/>
        </w:rPr>
        <w:t>Pg</w:t>
      </w:r>
      <w:proofErr w:type="spellEnd"/>
      <w:r w:rsidRPr="0050514C">
        <w:rPr>
          <w:rFonts w:ascii="Arial" w:hAnsi="Arial" w:cs="Arial"/>
        </w:rPr>
        <w:t xml:space="preserve">, only HMWHA significantly increased the MFI of TLR2 (Fig. 8B). Also considering </w:t>
      </w:r>
      <w:proofErr w:type="spellStart"/>
      <w:r w:rsidRPr="0050514C">
        <w:rPr>
          <w:rFonts w:ascii="Arial" w:hAnsi="Arial" w:cs="Arial"/>
        </w:rPr>
        <w:t>Pg</w:t>
      </w:r>
      <w:proofErr w:type="spellEnd"/>
      <w:r w:rsidRPr="0050514C">
        <w:rPr>
          <w:rFonts w:ascii="Arial" w:hAnsi="Arial" w:cs="Arial"/>
        </w:rPr>
        <w:t xml:space="preserve">-stimulated cells, the addition of LMWHA or HMWHA did not significantly affect the expression of TLR4 in CD14+ (Fig. </w:t>
      </w:r>
      <w:r>
        <w:rPr>
          <w:rFonts w:ascii="Arial" w:hAnsi="Arial" w:cs="Arial"/>
        </w:rPr>
        <w:t>6</w:t>
      </w:r>
      <w:r w:rsidRPr="0050514C">
        <w:rPr>
          <w:rFonts w:ascii="Arial" w:hAnsi="Arial" w:cs="Arial"/>
        </w:rPr>
        <w:t xml:space="preserve">), classical (Fig. </w:t>
      </w:r>
      <w:r>
        <w:rPr>
          <w:rFonts w:ascii="Arial" w:hAnsi="Arial" w:cs="Arial"/>
        </w:rPr>
        <w:t>7</w:t>
      </w:r>
      <w:r w:rsidRPr="0050514C">
        <w:rPr>
          <w:rFonts w:ascii="Arial" w:hAnsi="Arial" w:cs="Arial"/>
        </w:rPr>
        <w:t>) or non-classical/intermediate (Fig. 8) monocytes</w:t>
      </w:r>
      <w:r>
        <w:rPr>
          <w:rFonts w:ascii="Arial" w:hAnsi="Arial" w:cs="Arial"/>
        </w:rPr>
        <w:t>.</w:t>
      </w:r>
    </w:p>
    <w:p w:rsidR="00790ADA" w:rsidRDefault="00790ADA" w:rsidP="00441B6F">
      <w:pPr>
        <w:pStyle w:val="Body"/>
        <w:spacing w:after="0"/>
        <w:rPr>
          <w:rFonts w:ascii="Arial" w:hAnsi="Arial" w:cs="Arial"/>
        </w:rPr>
      </w:pPr>
    </w:p>
    <w:p w:rsidR="0075176F" w:rsidRDefault="0075176F" w:rsidP="0075176F">
      <w:pPr>
        <w:pStyle w:val="Head1"/>
        <w:spacing w:after="0"/>
        <w:jc w:val="both"/>
        <w:rPr>
          <w:rFonts w:ascii="Arial" w:hAnsi="Arial" w:cs="Arial"/>
        </w:rPr>
      </w:pPr>
      <w:r>
        <w:rPr>
          <w:rFonts w:ascii="Arial" w:hAnsi="Arial" w:cs="Arial"/>
        </w:rPr>
        <w:t>4. discussion</w:t>
      </w:r>
    </w:p>
    <w:p w:rsidR="0075176F" w:rsidRDefault="0075176F" w:rsidP="00441B6F">
      <w:pPr>
        <w:pStyle w:val="Body"/>
        <w:spacing w:after="0"/>
        <w:rPr>
          <w:rFonts w:ascii="Arial" w:hAnsi="Arial" w:cs="Arial"/>
        </w:rPr>
      </w:pPr>
    </w:p>
    <w:p w:rsidR="0075176F" w:rsidRPr="00927E1D" w:rsidRDefault="0075176F" w:rsidP="0075176F">
      <w:pPr>
        <w:pStyle w:val="Body"/>
        <w:spacing w:after="0"/>
        <w:rPr>
          <w:rFonts w:ascii="Arial" w:hAnsi="Arial" w:cs="Arial"/>
        </w:rPr>
      </w:pPr>
      <w:r w:rsidRPr="00927E1D">
        <w:rPr>
          <w:rFonts w:ascii="Arial" w:hAnsi="Arial" w:cs="Arial"/>
        </w:rPr>
        <w:t xml:space="preserve">Several studies have shown satisfactory clinical effects of HA use as an adjunct in the treatment of gingivitis and periodontitis, reducing tissue inflammation and provided a significant improvement in periodontal parameters </w:t>
      </w:r>
      <w:r w:rsidR="0068712E">
        <w:rPr>
          <w:rFonts w:ascii="Arial" w:hAnsi="Arial" w:cs="Arial"/>
        </w:rPr>
        <w:t>[5, 6, 7, 9, 13, 14]</w:t>
      </w:r>
      <w:r>
        <w:rPr>
          <w:rFonts w:ascii="Arial" w:hAnsi="Arial" w:cs="Arial"/>
        </w:rPr>
        <w:t>.</w:t>
      </w:r>
      <w:r w:rsidRPr="00927E1D">
        <w:rPr>
          <w:rFonts w:ascii="Arial" w:hAnsi="Arial" w:cs="Arial"/>
        </w:rPr>
        <w:t xml:space="preserve"> However, the molecular and cellular mechanisms by which HA acts in inflamed periodontal tissues have not yet been described. In the present study, the cytometric analysis showed that LMWHA or HMWHA were able to increase TLR2 expression in classical monocytes, with or without </w:t>
      </w:r>
      <w:proofErr w:type="spellStart"/>
      <w:r w:rsidRPr="00927E1D">
        <w:rPr>
          <w:rFonts w:ascii="Arial" w:hAnsi="Arial" w:cs="Arial"/>
        </w:rPr>
        <w:t>Pg</w:t>
      </w:r>
      <w:proofErr w:type="spellEnd"/>
      <w:r w:rsidRPr="00927E1D">
        <w:rPr>
          <w:rFonts w:ascii="Arial" w:hAnsi="Arial" w:cs="Arial"/>
        </w:rPr>
        <w:t xml:space="preserve"> stimulation, and reduce TLR4 expression in this monocyte subpopulation, without </w:t>
      </w:r>
      <w:proofErr w:type="spellStart"/>
      <w:r w:rsidRPr="00927E1D">
        <w:rPr>
          <w:rFonts w:ascii="Arial" w:hAnsi="Arial" w:cs="Arial"/>
        </w:rPr>
        <w:t>Pg</w:t>
      </w:r>
      <w:proofErr w:type="spellEnd"/>
      <w:r w:rsidRPr="00927E1D">
        <w:rPr>
          <w:rFonts w:ascii="Arial" w:hAnsi="Arial" w:cs="Arial"/>
        </w:rPr>
        <w:t xml:space="preserve"> stimulation. </w:t>
      </w:r>
    </w:p>
    <w:p w:rsidR="0075176F" w:rsidRPr="00927E1D" w:rsidRDefault="0075176F" w:rsidP="0075176F">
      <w:pPr>
        <w:pStyle w:val="Body"/>
        <w:spacing w:after="0"/>
        <w:rPr>
          <w:rFonts w:ascii="Arial" w:hAnsi="Arial" w:cs="Arial"/>
        </w:rPr>
      </w:pPr>
      <w:r w:rsidRPr="00927E1D">
        <w:rPr>
          <w:rFonts w:ascii="Arial" w:hAnsi="Arial" w:cs="Arial"/>
        </w:rPr>
        <w:t xml:space="preserve">TLRs are involved in the activation of innate and adaptive immune responses and also play roles in tumor progression and inflammation </w:t>
      </w:r>
      <w:r w:rsidR="00BF3CAF">
        <w:rPr>
          <w:rFonts w:ascii="Arial" w:hAnsi="Arial" w:cs="Arial"/>
        </w:rPr>
        <w:t>[15]</w:t>
      </w:r>
      <w:r w:rsidRPr="00A23946">
        <w:rPr>
          <w:rFonts w:ascii="Arial" w:hAnsi="Arial" w:cs="Arial"/>
        </w:rPr>
        <w:t xml:space="preserve">. </w:t>
      </w:r>
      <w:r w:rsidRPr="00927E1D">
        <w:rPr>
          <w:rFonts w:ascii="Arial" w:hAnsi="Arial" w:cs="Arial"/>
        </w:rPr>
        <w:t xml:space="preserve">The smaller fragments of HA can bind to the TLR2 and TLR4 receptors of monocytes, dendritic cells and lymphocytes, thus provoking a pro-inflammatory response </w:t>
      </w:r>
      <w:r w:rsidR="00BF3CAF">
        <w:rPr>
          <w:rFonts w:ascii="Arial" w:hAnsi="Arial" w:cs="Arial"/>
        </w:rPr>
        <w:t>[16]</w:t>
      </w:r>
      <w:r w:rsidRPr="00A23946">
        <w:rPr>
          <w:rFonts w:ascii="Arial" w:hAnsi="Arial" w:cs="Arial"/>
        </w:rPr>
        <w:t xml:space="preserve">. </w:t>
      </w:r>
      <w:r w:rsidRPr="00927E1D">
        <w:rPr>
          <w:rFonts w:ascii="Arial" w:hAnsi="Arial" w:cs="Arial"/>
        </w:rPr>
        <w:t xml:space="preserve">Although the direct physical interaction between HA-TLR was not experimentally demonstrated, it is likely that the polyanionic nature of HA mimics the ligands of TLR2 and TLR4, such as lipopolysaccharide </w:t>
      </w:r>
      <w:r w:rsidR="00BF3CAF">
        <w:rPr>
          <w:rFonts w:ascii="Arial" w:hAnsi="Arial" w:cs="Arial"/>
        </w:rPr>
        <w:t>[16]</w:t>
      </w:r>
      <w:r w:rsidRPr="000E2A31">
        <w:rPr>
          <w:rFonts w:ascii="Arial" w:hAnsi="Arial" w:cs="Arial"/>
        </w:rPr>
        <w:t xml:space="preserve">. </w:t>
      </w:r>
      <w:r w:rsidRPr="00927E1D">
        <w:rPr>
          <w:rFonts w:ascii="Arial" w:hAnsi="Arial" w:cs="Arial"/>
        </w:rPr>
        <w:t xml:space="preserve"> However, the mechanisms by which HA binding affects TLR expression are not known.</w:t>
      </w:r>
    </w:p>
    <w:p w:rsidR="0075176F" w:rsidRPr="00927E1D" w:rsidRDefault="0075176F" w:rsidP="0075176F">
      <w:pPr>
        <w:pStyle w:val="Body"/>
        <w:spacing w:after="0"/>
        <w:rPr>
          <w:rFonts w:ascii="Arial" w:hAnsi="Arial" w:cs="Arial"/>
        </w:rPr>
      </w:pPr>
      <w:r w:rsidRPr="00927E1D">
        <w:rPr>
          <w:rFonts w:ascii="Arial" w:hAnsi="Arial" w:cs="Arial"/>
        </w:rPr>
        <w:t>We also evaluated the effects of HA on different subpopulations of monocytes and observed that besides the addition of HMWHA or LMWHA did not significantly affect the frequency of subpopulations, HMWHA and LMWHA have different effects on subpopulations of classical and non-classical/intermediate monocytes.</w:t>
      </w:r>
    </w:p>
    <w:p w:rsidR="0075176F" w:rsidRPr="00927E1D" w:rsidRDefault="0075176F" w:rsidP="0075176F">
      <w:pPr>
        <w:pStyle w:val="Body"/>
        <w:spacing w:after="0"/>
        <w:rPr>
          <w:rFonts w:ascii="Arial" w:hAnsi="Arial" w:cs="Arial"/>
        </w:rPr>
      </w:pPr>
      <w:r w:rsidRPr="00927E1D">
        <w:rPr>
          <w:rFonts w:ascii="Arial" w:hAnsi="Arial" w:cs="Arial"/>
        </w:rPr>
        <w:t xml:space="preserve">Monocytes are important circulating cells in immunoinflammatory response, being recruited for bacterial infection sites and participating in combat processes to microorganisms and tissue repair induction </w:t>
      </w:r>
      <w:r w:rsidR="00BF3CAF">
        <w:rPr>
          <w:rFonts w:ascii="Arial" w:hAnsi="Arial" w:cs="Arial"/>
        </w:rPr>
        <w:t>[17]</w:t>
      </w:r>
      <w:r w:rsidRPr="000E2A31">
        <w:rPr>
          <w:rFonts w:ascii="Arial" w:hAnsi="Arial" w:cs="Arial"/>
        </w:rPr>
        <w:t xml:space="preserve">. </w:t>
      </w:r>
      <w:r w:rsidRPr="00927E1D">
        <w:rPr>
          <w:rFonts w:ascii="Arial" w:hAnsi="Arial" w:cs="Arial"/>
        </w:rPr>
        <w:t xml:space="preserve">There are different subpopulations of monocytes according to the expression of CD14 and CD16 surface markers: classical monocytes (CD14+CD16-), non-classical (CD14lowCD16+) and intermediate (CD14highCD16+) </w:t>
      </w:r>
      <w:r w:rsidR="00BF3CAF">
        <w:rPr>
          <w:rFonts w:ascii="Arial" w:hAnsi="Arial" w:cs="Arial"/>
        </w:rPr>
        <w:t>[18]</w:t>
      </w:r>
      <w:r w:rsidRPr="000E2A31">
        <w:rPr>
          <w:rFonts w:ascii="Arial" w:hAnsi="Arial" w:cs="Arial"/>
        </w:rPr>
        <w:t xml:space="preserve">. </w:t>
      </w:r>
      <w:r w:rsidRPr="00927E1D">
        <w:rPr>
          <w:rFonts w:ascii="Arial" w:hAnsi="Arial" w:cs="Arial"/>
        </w:rPr>
        <w:t xml:space="preserve">The classical monocytes are present in larger amounts in human peripheral blood, accounting for about 80 to 95% of total monocytes </w:t>
      </w:r>
      <w:r w:rsidR="00BF3CAF">
        <w:rPr>
          <w:rFonts w:ascii="Arial" w:hAnsi="Arial" w:cs="Arial"/>
        </w:rPr>
        <w:t>[18]</w:t>
      </w:r>
      <w:r w:rsidRPr="00A61869">
        <w:rPr>
          <w:rFonts w:ascii="Arial" w:hAnsi="Arial" w:cs="Arial"/>
        </w:rPr>
        <w:t xml:space="preserve">. </w:t>
      </w:r>
      <w:r w:rsidRPr="00927E1D">
        <w:rPr>
          <w:rFonts w:ascii="Arial" w:hAnsi="Arial" w:cs="Arial"/>
        </w:rPr>
        <w:t xml:space="preserve">Here, we have compared classical to non-classical/intermediate monocytes grouped together. This is because the low numbers of isolated intermediate and non-classical monocytes could not allow appropriate functional testing of these subsets individually. </w:t>
      </w:r>
    </w:p>
    <w:p w:rsidR="0075176F" w:rsidRPr="00927E1D" w:rsidRDefault="0075176F" w:rsidP="0075176F">
      <w:pPr>
        <w:pStyle w:val="Body"/>
        <w:spacing w:after="0"/>
        <w:rPr>
          <w:rFonts w:ascii="Arial" w:hAnsi="Arial" w:cs="Arial"/>
        </w:rPr>
      </w:pPr>
      <w:r w:rsidRPr="00927E1D">
        <w:rPr>
          <w:rFonts w:ascii="Arial" w:hAnsi="Arial" w:cs="Arial"/>
        </w:rPr>
        <w:t xml:space="preserve">The common role of monocytes in the periodontium is defense against the invasion of pathogens and the maintenance of local homeostasis and tissue integrity. These processes involve cell signaling receptors by microbial products, co-stimulatory molecules and cytokines, which stimulate and modulate the cellular responses to microbial infection </w:t>
      </w:r>
      <w:r w:rsidR="00BF3CAF">
        <w:rPr>
          <w:rFonts w:ascii="Arial" w:hAnsi="Arial" w:cs="Arial"/>
        </w:rPr>
        <w:t>[17]</w:t>
      </w:r>
      <w:r w:rsidRPr="00C30404">
        <w:rPr>
          <w:rFonts w:ascii="Arial" w:hAnsi="Arial" w:cs="Arial"/>
        </w:rPr>
        <w:t xml:space="preserve">. </w:t>
      </w:r>
      <w:r w:rsidRPr="00927E1D">
        <w:rPr>
          <w:rFonts w:ascii="Arial" w:hAnsi="Arial" w:cs="Arial"/>
        </w:rPr>
        <w:t xml:space="preserve">Toll-like receptors (TLRs) are critical components in the innate immune response based on </w:t>
      </w:r>
      <w:r w:rsidRPr="00927E1D">
        <w:rPr>
          <w:rFonts w:ascii="Arial" w:hAnsi="Arial" w:cs="Arial"/>
        </w:rPr>
        <w:lastRenderedPageBreak/>
        <w:t xml:space="preserve">their ability to recognize pathogen associated molecular patterns (PAMPs). The activation of signaling pathways by TLRs represents one of the body's earliest signals that it has been invaded by a foreign microorganism </w:t>
      </w:r>
      <w:r w:rsidR="00BF3CAF">
        <w:rPr>
          <w:rFonts w:ascii="Arial" w:hAnsi="Arial" w:cs="Arial"/>
        </w:rPr>
        <w:t>[19]</w:t>
      </w:r>
      <w:r w:rsidRPr="00C30404">
        <w:rPr>
          <w:rFonts w:ascii="Arial" w:hAnsi="Arial" w:cs="Arial"/>
        </w:rPr>
        <w:t xml:space="preserve">. </w:t>
      </w:r>
      <w:r w:rsidRPr="00927E1D">
        <w:rPr>
          <w:rFonts w:ascii="Arial" w:hAnsi="Arial" w:cs="Arial"/>
        </w:rPr>
        <w:t xml:space="preserve">In periodontal disease TLR2 and TLR4 are implicated in the response to </w:t>
      </w:r>
      <w:r w:rsidRPr="00927E1D">
        <w:rPr>
          <w:rFonts w:ascii="Arial" w:hAnsi="Arial" w:cs="Arial"/>
          <w:i/>
        </w:rPr>
        <w:t xml:space="preserve">P. </w:t>
      </w:r>
      <w:proofErr w:type="spellStart"/>
      <w:r w:rsidRPr="00927E1D">
        <w:rPr>
          <w:rFonts w:ascii="Arial" w:hAnsi="Arial" w:cs="Arial"/>
          <w:i/>
        </w:rPr>
        <w:t>gingivalis</w:t>
      </w:r>
      <w:proofErr w:type="spellEnd"/>
      <w:r w:rsidRPr="00927E1D">
        <w:rPr>
          <w:rFonts w:ascii="Arial" w:hAnsi="Arial" w:cs="Arial"/>
        </w:rPr>
        <w:t xml:space="preserve">, although the contribution of each of these receptors during infection in vivo is uncertain </w:t>
      </w:r>
      <w:r w:rsidR="00424D47">
        <w:rPr>
          <w:rFonts w:ascii="Arial" w:hAnsi="Arial" w:cs="Arial"/>
        </w:rPr>
        <w:t xml:space="preserve">[20, 21, </w:t>
      </w:r>
      <w:proofErr w:type="gramStart"/>
      <w:r w:rsidR="00424D47">
        <w:rPr>
          <w:rFonts w:ascii="Arial" w:hAnsi="Arial" w:cs="Arial"/>
        </w:rPr>
        <w:t>22</w:t>
      </w:r>
      <w:proofErr w:type="gramEnd"/>
      <w:r w:rsidR="00424D47">
        <w:rPr>
          <w:rFonts w:ascii="Arial" w:hAnsi="Arial" w:cs="Arial"/>
        </w:rPr>
        <w:t>]</w:t>
      </w:r>
      <w:r w:rsidRPr="00927E1D">
        <w:rPr>
          <w:rFonts w:ascii="Arial" w:hAnsi="Arial" w:cs="Arial"/>
        </w:rPr>
        <w:t xml:space="preserve">. Here we observed that </w:t>
      </w:r>
      <w:proofErr w:type="spellStart"/>
      <w:r w:rsidRPr="00927E1D">
        <w:rPr>
          <w:rFonts w:ascii="Arial" w:hAnsi="Arial" w:cs="Arial"/>
        </w:rPr>
        <w:t>Pg</w:t>
      </w:r>
      <w:proofErr w:type="spellEnd"/>
      <w:r w:rsidRPr="00927E1D">
        <w:rPr>
          <w:rFonts w:ascii="Arial" w:hAnsi="Arial" w:cs="Arial"/>
        </w:rPr>
        <w:t xml:space="preserve"> was able to decrease the TLR2 signaling, in line with previous studies that demonstrated inhibition of TLR mediated immune responses by microbial pathogens, often either blocking TLR signals or by downregulating TLR expression levels </w:t>
      </w:r>
      <w:r w:rsidR="00424D47">
        <w:rPr>
          <w:rFonts w:ascii="Arial" w:hAnsi="Arial" w:cs="Arial"/>
        </w:rPr>
        <w:t>[23]</w:t>
      </w:r>
      <w:r w:rsidRPr="00927E1D">
        <w:rPr>
          <w:rFonts w:ascii="Arial" w:hAnsi="Arial" w:cs="Arial"/>
        </w:rPr>
        <w:t xml:space="preserve">. Previous studies also demonstrated that Gram-negative LPS or the whole bacteria can work with infiltrating leukocytes and available cytokines in the microenvironment to block the differentiation of tissue-borne inflammatory monocytes into active Dendritic Cells locally, thereby lowering or inhibiting the development of subsequent adaptive immune responses in vivo </w:t>
      </w:r>
      <w:r w:rsidR="00424D47">
        <w:rPr>
          <w:rFonts w:ascii="Arial" w:hAnsi="Arial" w:cs="Arial"/>
        </w:rPr>
        <w:t>[24]</w:t>
      </w:r>
      <w:r w:rsidRPr="00C30404">
        <w:rPr>
          <w:rFonts w:ascii="Arial" w:hAnsi="Arial" w:cs="Arial"/>
        </w:rPr>
        <w:t xml:space="preserve">. </w:t>
      </w:r>
      <w:r w:rsidRPr="00927E1D">
        <w:rPr>
          <w:rFonts w:ascii="Arial" w:hAnsi="Arial" w:cs="Arial"/>
        </w:rPr>
        <w:t xml:space="preserve">This finding suggests that bacteria-mediated signals, via TLRs, can act as negative regulators of the host's innate and adaptive immunity. Oral pathogens such as </w:t>
      </w:r>
      <w:r w:rsidRPr="00927E1D">
        <w:rPr>
          <w:rFonts w:ascii="Arial" w:hAnsi="Arial" w:cs="Arial"/>
          <w:i/>
        </w:rPr>
        <w:t xml:space="preserve">P. </w:t>
      </w:r>
      <w:proofErr w:type="spellStart"/>
      <w:r w:rsidRPr="00927E1D">
        <w:rPr>
          <w:rFonts w:ascii="Arial" w:hAnsi="Arial" w:cs="Arial"/>
          <w:i/>
        </w:rPr>
        <w:t>gingivalis</w:t>
      </w:r>
      <w:proofErr w:type="spellEnd"/>
      <w:r w:rsidRPr="00927E1D">
        <w:rPr>
          <w:rFonts w:ascii="Arial" w:hAnsi="Arial" w:cs="Arial"/>
        </w:rPr>
        <w:t xml:space="preserve"> have coevolved with the host and, therefore, may possess similar TLR-dependent evasion mechanisms </w:t>
      </w:r>
      <w:r w:rsidR="00424D47">
        <w:rPr>
          <w:rFonts w:ascii="Arial" w:hAnsi="Arial" w:cs="Arial"/>
        </w:rPr>
        <w:t>[19]</w:t>
      </w:r>
      <w:r w:rsidRPr="00262730">
        <w:rPr>
          <w:rFonts w:ascii="Arial" w:hAnsi="Arial" w:cs="Arial"/>
        </w:rPr>
        <w:t xml:space="preserve">. </w:t>
      </w:r>
      <w:r w:rsidRPr="00927E1D">
        <w:rPr>
          <w:rFonts w:ascii="Arial" w:hAnsi="Arial" w:cs="Arial"/>
        </w:rPr>
        <w:t xml:space="preserve">However, the mechanisms by which </w:t>
      </w:r>
      <w:r w:rsidRPr="00927E1D">
        <w:rPr>
          <w:rFonts w:ascii="Arial" w:hAnsi="Arial" w:cs="Arial"/>
          <w:i/>
        </w:rPr>
        <w:t xml:space="preserve">P. </w:t>
      </w:r>
      <w:proofErr w:type="spellStart"/>
      <w:r w:rsidRPr="00927E1D">
        <w:rPr>
          <w:rFonts w:ascii="Arial" w:hAnsi="Arial" w:cs="Arial"/>
          <w:i/>
        </w:rPr>
        <w:t>gingivalis</w:t>
      </w:r>
      <w:proofErr w:type="spellEnd"/>
      <w:r w:rsidRPr="00927E1D">
        <w:rPr>
          <w:rFonts w:ascii="Arial" w:hAnsi="Arial" w:cs="Arial"/>
        </w:rPr>
        <w:t xml:space="preserve"> overcome regulatory barriers are not completely understood. </w:t>
      </w:r>
    </w:p>
    <w:p w:rsidR="0075176F" w:rsidRPr="00927E1D" w:rsidRDefault="0075176F" w:rsidP="0075176F">
      <w:pPr>
        <w:pStyle w:val="Body"/>
        <w:spacing w:after="0"/>
        <w:rPr>
          <w:rFonts w:ascii="Arial" w:hAnsi="Arial" w:cs="Arial"/>
        </w:rPr>
      </w:pPr>
      <w:r w:rsidRPr="00927E1D">
        <w:rPr>
          <w:rFonts w:ascii="Arial" w:hAnsi="Arial" w:cs="Arial"/>
        </w:rPr>
        <w:t xml:space="preserve">Our results demonstrated that this downregulation of TLR2 signal by </w:t>
      </w:r>
      <w:proofErr w:type="spellStart"/>
      <w:r w:rsidRPr="00927E1D">
        <w:rPr>
          <w:rFonts w:ascii="Arial" w:hAnsi="Arial" w:cs="Arial"/>
        </w:rPr>
        <w:t>Pg</w:t>
      </w:r>
      <w:proofErr w:type="spellEnd"/>
      <w:r w:rsidRPr="00927E1D">
        <w:rPr>
          <w:rFonts w:ascii="Arial" w:hAnsi="Arial" w:cs="Arial"/>
        </w:rPr>
        <w:t xml:space="preserve"> was partially restored with the addition of LMWHA and HMWHA in classical monocytes, while in non-classical/intermediate monocytes only the HMWHA was able to induce an increase in the TLR2 expression. The stimulation of this receptor expression by LMWHA and HMWHA in monocytes might contribute to more efficient fighting microbial colonization in periodontal tissues.</w:t>
      </w:r>
    </w:p>
    <w:p w:rsidR="0075176F" w:rsidRPr="00927E1D" w:rsidRDefault="0075176F" w:rsidP="0075176F">
      <w:pPr>
        <w:pStyle w:val="Body"/>
        <w:spacing w:after="0"/>
        <w:rPr>
          <w:rFonts w:ascii="Arial" w:hAnsi="Arial" w:cs="Arial"/>
        </w:rPr>
      </w:pPr>
      <w:r w:rsidRPr="00927E1D">
        <w:rPr>
          <w:rFonts w:ascii="Arial" w:hAnsi="Arial" w:cs="Arial"/>
        </w:rPr>
        <w:t xml:space="preserve">In addition, here we demonstrated that the subset of non-classical/intermediate monocytes shown to be more sensitive to the action of HA in the expression of antigen-presenting and co-stimulatory molecules. The HMWHA-treated group showed higher frequencies of non-classical/intermediate monocytes expressing CD40 and HLA-DR than the LMWHA-treated group. These molecules are directly involved in the activation of cellular acquired immune response. HLA-DR is an isotype of the class II major histocompatibility complex (MHC-II) whose increased expression is indicative of activation of professional antigen presenting cells (APCs) </w:t>
      </w:r>
      <w:r w:rsidR="00424D47">
        <w:rPr>
          <w:rFonts w:ascii="Arial" w:hAnsi="Arial" w:cs="Arial"/>
        </w:rPr>
        <w:t>[19]</w:t>
      </w:r>
      <w:r w:rsidRPr="00262730">
        <w:rPr>
          <w:rFonts w:ascii="Arial" w:hAnsi="Arial" w:cs="Arial"/>
        </w:rPr>
        <w:t xml:space="preserve">. </w:t>
      </w:r>
      <w:r w:rsidRPr="00927E1D">
        <w:rPr>
          <w:rFonts w:ascii="Arial" w:hAnsi="Arial" w:cs="Arial"/>
        </w:rPr>
        <w:t xml:space="preserve">The interaction between MHC-II-antigen to T cell receptor (TCR) is required for lymphocyte sensitization </w:t>
      </w:r>
      <w:r w:rsidR="00424D47">
        <w:rPr>
          <w:rFonts w:ascii="Arial" w:hAnsi="Arial" w:cs="Arial"/>
        </w:rPr>
        <w:t>[25]</w:t>
      </w:r>
      <w:r w:rsidRPr="00927E1D">
        <w:rPr>
          <w:rFonts w:ascii="Arial" w:hAnsi="Arial" w:cs="Arial"/>
        </w:rPr>
        <w:t xml:space="preserve">. In addition, CD40 activation is necessary for the immune system to decide between an efficient immune response or tolerance and dysfunction in CD40/CD40L function is reported in autoimmune diseases </w:t>
      </w:r>
      <w:r w:rsidR="00424D47">
        <w:rPr>
          <w:rFonts w:ascii="Arial" w:hAnsi="Arial" w:cs="Arial"/>
        </w:rPr>
        <w:t>[26]</w:t>
      </w:r>
      <w:r>
        <w:rPr>
          <w:rFonts w:ascii="Arial" w:hAnsi="Arial" w:cs="Arial"/>
        </w:rPr>
        <w:t>.</w:t>
      </w:r>
      <w:r w:rsidRPr="00927E1D">
        <w:rPr>
          <w:rFonts w:ascii="Arial" w:hAnsi="Arial" w:cs="Arial"/>
        </w:rPr>
        <w:t xml:space="preserve"> Some studies show the clinical importance of CD16+ non-classical/intermediate monocytes, which are more activated in inflammatory and infectious processes </w:t>
      </w:r>
      <w:r w:rsidR="00424D47">
        <w:rPr>
          <w:rFonts w:ascii="Arial" w:hAnsi="Arial" w:cs="Arial"/>
        </w:rPr>
        <w:t>[27]</w:t>
      </w:r>
      <w:r>
        <w:rPr>
          <w:rFonts w:ascii="Arial" w:hAnsi="Arial" w:cs="Arial"/>
        </w:rPr>
        <w:t>.</w:t>
      </w:r>
      <w:r w:rsidRPr="00927E1D">
        <w:rPr>
          <w:rFonts w:ascii="Arial" w:hAnsi="Arial" w:cs="Arial"/>
        </w:rPr>
        <w:t xml:space="preserve"> Although these comprise a minor subpopulation of monocytes, the non-classical/intermediate are possibly more easily recruited into inflammatory sites by increased expression of chemokine receptors </w:t>
      </w:r>
      <w:r w:rsidR="00424D47">
        <w:rPr>
          <w:rFonts w:ascii="Arial" w:hAnsi="Arial" w:cs="Arial"/>
        </w:rPr>
        <w:t>[28]</w:t>
      </w:r>
      <w:r w:rsidRPr="00927E1D">
        <w:rPr>
          <w:rFonts w:ascii="Arial" w:hAnsi="Arial" w:cs="Arial"/>
        </w:rPr>
        <w:t xml:space="preserve">, contributing to the formation of the inflammatory infiltrate. </w:t>
      </w:r>
    </w:p>
    <w:p w:rsidR="00473367" w:rsidRDefault="0075176F" w:rsidP="0075176F">
      <w:pPr>
        <w:pStyle w:val="Body"/>
        <w:spacing w:after="0"/>
      </w:pPr>
      <w:r w:rsidRPr="00927E1D">
        <w:rPr>
          <w:rFonts w:ascii="Arial" w:hAnsi="Arial" w:cs="Arial"/>
        </w:rPr>
        <w:t xml:space="preserve">All these data suggest that subpopulations of monocytes are differently susceptible to HA of different molecular weights, and probably these molecules interact with receptors on the cell surface, generating signals for the stimulation of the expression of TLR2, CD40 and HLA-DR. Although the literature shows immunosuppressive and anti-inflammatory effects of high molecular weight HA </w:t>
      </w:r>
      <w:r w:rsidR="00424D47">
        <w:rPr>
          <w:rFonts w:ascii="Arial" w:hAnsi="Arial" w:cs="Arial"/>
        </w:rPr>
        <w:t>[21, 29]</w:t>
      </w:r>
      <w:bookmarkStart w:id="0" w:name="_GoBack"/>
      <w:bookmarkEnd w:id="0"/>
      <w:r w:rsidRPr="00927E1D">
        <w:rPr>
          <w:rFonts w:ascii="Arial" w:hAnsi="Arial" w:cs="Arial"/>
        </w:rPr>
        <w:t>, in the present study, this molecule was able to modulates the expression of receptors involved in the activation of T lymphocytes and monocytes. Thus, it is possible that high molecular weight HA plays immunoinflammatory mechanisms, which can contribute to the microbicidal activity of macrophages and monocytes in the periodontal tissues</w:t>
      </w:r>
      <w:r>
        <w:rPr>
          <w:rFonts w:ascii="Arial" w:hAnsi="Arial" w:cs="Arial"/>
        </w:rPr>
        <w:t>.</w:t>
      </w:r>
      <w:r w:rsidR="00473367" w:rsidRPr="00473367">
        <w:t xml:space="preserve"> </w:t>
      </w:r>
    </w:p>
    <w:p w:rsidR="0075176F" w:rsidRPr="00473367" w:rsidRDefault="00473367" w:rsidP="0075176F">
      <w:pPr>
        <w:pStyle w:val="Body"/>
        <w:spacing w:after="0"/>
        <w:rPr>
          <w:rFonts w:ascii="Arial" w:hAnsi="Arial" w:cs="Arial"/>
          <w:color w:val="FF0000"/>
        </w:rPr>
      </w:pPr>
      <w:r w:rsidRPr="00473367">
        <w:rPr>
          <w:rFonts w:ascii="Arial" w:hAnsi="Arial" w:cs="Arial"/>
          <w:color w:val="FF0000"/>
        </w:rPr>
        <w:t xml:space="preserve">This study has limitations inherent to its in vitro design, which does not fully replicate the complexity of periodontal tissues and their immune interactions. The functional consequences of the observed changes in receptor expression were not assessed, and direct binding of HA to specific receptors such as TLR2 remains to be demonstrated. Future research should explore these mechanisms in ex vivo or in vivo models, including the </w:t>
      </w:r>
      <w:r w:rsidRPr="00473367">
        <w:rPr>
          <w:rFonts w:ascii="Arial" w:hAnsi="Arial" w:cs="Arial"/>
          <w:color w:val="FF0000"/>
        </w:rPr>
        <w:lastRenderedPageBreak/>
        <w:t xml:space="preserve">functional activity of monocyte subsets and their interaction with other immune and resident cells. Understanding these pathways may enhance the therapeutic potential of HA as an </w:t>
      </w:r>
      <w:proofErr w:type="spellStart"/>
      <w:r w:rsidRPr="00473367">
        <w:rPr>
          <w:rFonts w:ascii="Arial" w:hAnsi="Arial" w:cs="Arial"/>
          <w:color w:val="FF0000"/>
        </w:rPr>
        <w:t>immunomodulatory</w:t>
      </w:r>
      <w:proofErr w:type="spellEnd"/>
      <w:r w:rsidRPr="00473367">
        <w:rPr>
          <w:rFonts w:ascii="Arial" w:hAnsi="Arial" w:cs="Arial"/>
          <w:color w:val="FF0000"/>
        </w:rPr>
        <w:t xml:space="preserve"> agent in periodontal disease.</w:t>
      </w:r>
    </w:p>
    <w:p w:rsidR="0075176F" w:rsidRPr="00FB3A86" w:rsidRDefault="0075176F" w:rsidP="00441B6F">
      <w:pPr>
        <w:pStyle w:val="Body"/>
        <w:spacing w:after="0"/>
        <w:rPr>
          <w:rFonts w:ascii="Arial" w:hAnsi="Arial" w:cs="Arial"/>
        </w:rPr>
      </w:pPr>
    </w:p>
    <w:p w:rsidR="00B01FCD" w:rsidRDefault="0075176F"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790ADA" w:rsidRDefault="0075176F" w:rsidP="00441B6F">
      <w:pPr>
        <w:pStyle w:val="Body"/>
        <w:spacing w:after="0"/>
        <w:rPr>
          <w:rFonts w:ascii="Arial" w:hAnsi="Arial" w:cs="Arial"/>
        </w:rPr>
      </w:pPr>
      <w:r>
        <w:rPr>
          <w:rFonts w:ascii="Arial" w:hAnsi="Arial" w:cs="Arial"/>
        </w:rPr>
        <w:t>The</w:t>
      </w:r>
      <w:r w:rsidRPr="00927E1D">
        <w:rPr>
          <w:rFonts w:ascii="Arial" w:hAnsi="Arial" w:cs="Arial"/>
        </w:rPr>
        <w:t xml:space="preserve"> data from this study suggest a role of HA, mainly of high molecular weight, to stimulate monocytes activated by </w:t>
      </w:r>
      <w:r w:rsidRPr="00C422AD">
        <w:rPr>
          <w:rFonts w:ascii="Arial" w:hAnsi="Arial" w:cs="Arial"/>
          <w:i/>
        </w:rPr>
        <w:t xml:space="preserve">P. </w:t>
      </w:r>
      <w:proofErr w:type="spellStart"/>
      <w:r w:rsidRPr="00C422AD">
        <w:rPr>
          <w:rFonts w:ascii="Arial" w:hAnsi="Arial" w:cs="Arial"/>
          <w:i/>
        </w:rPr>
        <w:t>gingivalis</w:t>
      </w:r>
      <w:proofErr w:type="spellEnd"/>
      <w:r w:rsidRPr="00927E1D">
        <w:rPr>
          <w:rFonts w:ascii="Arial" w:hAnsi="Arial" w:cs="Arial"/>
        </w:rPr>
        <w:t xml:space="preserve">. Thus, the mechanism of HA as an adjunct in the treatment of periodontal disease, appears to directly involve modulation of surface molecules responsible for cell signaling and control of periodontal immunoinflammatory processes. The increased expression of TLR2, primarily induced by high molecular weight HA could keep the cells more responsive to </w:t>
      </w:r>
      <w:r w:rsidRPr="00927E1D">
        <w:rPr>
          <w:rFonts w:ascii="Arial" w:hAnsi="Arial" w:cs="Arial"/>
          <w:i/>
        </w:rPr>
        <w:t xml:space="preserve">P. </w:t>
      </w:r>
      <w:proofErr w:type="spellStart"/>
      <w:r w:rsidRPr="00927E1D">
        <w:rPr>
          <w:rFonts w:ascii="Arial" w:hAnsi="Arial" w:cs="Arial"/>
          <w:i/>
        </w:rPr>
        <w:t>gingivalis</w:t>
      </w:r>
      <w:proofErr w:type="spellEnd"/>
      <w:r w:rsidRPr="00927E1D">
        <w:rPr>
          <w:rFonts w:ascii="Arial" w:hAnsi="Arial" w:cs="Arial"/>
        </w:rPr>
        <w:t>. Studies by functional and cytokine production and other inflammatory mediators by monocytes exposed to HA are essen</w:t>
      </w:r>
      <w:r>
        <w:rPr>
          <w:rFonts w:ascii="Arial" w:hAnsi="Arial" w:cs="Arial"/>
        </w:rPr>
        <w:t>tial to confirm this hypothesis.</w:t>
      </w:r>
      <w:r w:rsidR="00473367" w:rsidRPr="00473367">
        <w:t xml:space="preserve"> </w:t>
      </w:r>
      <w:r w:rsidR="00473367" w:rsidRPr="00473367">
        <w:rPr>
          <w:rFonts w:ascii="Arial" w:hAnsi="Arial" w:cs="Arial"/>
          <w:color w:val="FF0000"/>
        </w:rPr>
        <w:t>These findings provide additional support for the use of high molecular weight hyaluronic acid as a therapeutic adjunct in periodontal treatment. By modulating monocyte responsiveness and enhancing key surface receptors involved in pathogen recognition and immune activation, HA may contribute to improved resolution of inflammation and better clinical outcomes in patients with periodontal disease.</w:t>
      </w:r>
    </w:p>
    <w:p w:rsidR="0075176F" w:rsidRPr="00FB3A86" w:rsidRDefault="0075176F" w:rsidP="00441B6F">
      <w:pPr>
        <w:pStyle w:val="Body"/>
        <w:spacing w:after="0"/>
        <w:rPr>
          <w:rFonts w:ascii="Arial" w:hAnsi="Arial" w:cs="Arial"/>
        </w:rPr>
      </w:pPr>
    </w:p>
    <w:p w:rsidR="0075176F" w:rsidRDefault="0075176F" w:rsidP="0075176F">
      <w:pPr>
        <w:pStyle w:val="ReferHead"/>
        <w:spacing w:after="0"/>
        <w:jc w:val="both"/>
        <w:rPr>
          <w:rFonts w:ascii="Arial" w:hAnsi="Arial" w:cs="Arial"/>
          <w:b w:val="0"/>
          <w:caps w:val="0"/>
          <w:sz w:val="20"/>
        </w:rPr>
      </w:pPr>
    </w:p>
    <w:p w:rsidR="0075176F" w:rsidRDefault="0075176F" w:rsidP="0075176F">
      <w:pPr>
        <w:pStyle w:val="ReferHead"/>
        <w:spacing w:after="0"/>
        <w:jc w:val="both"/>
        <w:rPr>
          <w:rFonts w:ascii="Arial" w:hAnsi="Arial" w:cs="Arial"/>
          <w:bCs/>
        </w:rPr>
      </w:pPr>
      <w:r>
        <w:rPr>
          <w:rFonts w:ascii="Arial" w:hAnsi="Arial" w:cs="Arial"/>
          <w:bCs/>
        </w:rPr>
        <w:t>Ethical approval</w:t>
      </w:r>
    </w:p>
    <w:p w:rsidR="0075176F" w:rsidRPr="002B685A" w:rsidRDefault="0075176F" w:rsidP="0075176F">
      <w:pPr>
        <w:pStyle w:val="ReferHead"/>
        <w:spacing w:after="0"/>
        <w:jc w:val="both"/>
        <w:rPr>
          <w:rFonts w:ascii="Arial" w:hAnsi="Arial" w:cs="Arial"/>
          <w:bCs/>
        </w:rPr>
      </w:pPr>
    </w:p>
    <w:p w:rsidR="0075176F" w:rsidRDefault="0075176F" w:rsidP="0075176F">
      <w:pPr>
        <w:pStyle w:val="ReferHead"/>
        <w:spacing w:after="0"/>
        <w:jc w:val="both"/>
        <w:rPr>
          <w:rFonts w:ascii="Arial" w:hAnsi="Arial" w:cs="Arial"/>
          <w:b w:val="0"/>
          <w:caps w:val="0"/>
          <w:sz w:val="20"/>
        </w:rPr>
      </w:pPr>
      <w:r w:rsidRPr="007D694C">
        <w:rPr>
          <w:rFonts w:ascii="Arial" w:hAnsi="Arial" w:cs="Arial"/>
          <w:b w:val="0"/>
          <w:caps w:val="0"/>
          <w:sz w:val="20"/>
        </w:rPr>
        <w:t xml:space="preserve">This study was conducted in accordance with all the provisions of the local human </w:t>
      </w:r>
      <w:proofErr w:type="gramStart"/>
      <w:r w:rsidRPr="007D694C">
        <w:rPr>
          <w:rFonts w:ascii="Arial" w:hAnsi="Arial" w:cs="Arial"/>
          <w:b w:val="0"/>
          <w:caps w:val="0"/>
          <w:sz w:val="20"/>
        </w:rPr>
        <w:t>subjects</w:t>
      </w:r>
      <w:proofErr w:type="gramEnd"/>
      <w:r w:rsidRPr="007D694C">
        <w:rPr>
          <w:rFonts w:ascii="Arial" w:hAnsi="Arial" w:cs="Arial"/>
          <w:b w:val="0"/>
          <w:caps w:val="0"/>
          <w:sz w:val="20"/>
        </w:rPr>
        <w:t xml:space="preserve"> oversight committee guidelines and policies of Pontifical Catholic University of Minas Gerais. This study protocol was reviewed and approved by the Research Ethics Committee of the Pontifical Catholic University of Minas Gerais, approval num</w:t>
      </w:r>
      <w:r>
        <w:rPr>
          <w:rFonts w:ascii="Arial" w:hAnsi="Arial" w:cs="Arial"/>
          <w:b w:val="0"/>
          <w:caps w:val="0"/>
          <w:sz w:val="20"/>
        </w:rPr>
        <w:t>ber CAAE: 54227916.0.0000.5137.</w:t>
      </w:r>
    </w:p>
    <w:p w:rsidR="007E1A66" w:rsidRDefault="007E1A66" w:rsidP="0075176F">
      <w:pPr>
        <w:pStyle w:val="ReferHead"/>
        <w:spacing w:after="0"/>
        <w:jc w:val="both"/>
        <w:rPr>
          <w:rFonts w:ascii="Arial" w:hAnsi="Arial" w:cs="Arial"/>
          <w:b w:val="0"/>
          <w:caps w:val="0"/>
          <w:sz w:val="20"/>
        </w:rPr>
      </w:pPr>
    </w:p>
    <w:p w:rsidR="007E1A66" w:rsidRPr="00DB1A06" w:rsidRDefault="00DB1A06" w:rsidP="00DB1A06">
      <w:pPr>
        <w:jc w:val="both"/>
        <w:rPr>
          <w:rFonts w:ascii="Arial" w:eastAsia="Calibri" w:hAnsi="Arial" w:cs="Arial"/>
          <w:b/>
          <w:kern w:val="2"/>
          <w:sz w:val="22"/>
        </w:rPr>
      </w:pPr>
      <w:bookmarkStart w:id="1" w:name="_Hlk197682619"/>
      <w:bookmarkStart w:id="2" w:name="_Hlk180402183"/>
      <w:bookmarkStart w:id="3" w:name="_Hlk183680988"/>
      <w:r w:rsidRPr="00DB1A06">
        <w:rPr>
          <w:rFonts w:ascii="Arial" w:eastAsia="Calibri" w:hAnsi="Arial" w:cs="Arial"/>
          <w:b/>
          <w:kern w:val="2"/>
          <w:sz w:val="22"/>
        </w:rPr>
        <w:t>DISCLAIMER (ARTIFICIAL INTELLIGENCE)</w:t>
      </w:r>
    </w:p>
    <w:p w:rsidR="00DB1A06" w:rsidRPr="00DB1A06" w:rsidRDefault="00DB1A06" w:rsidP="00DB1A06">
      <w:pPr>
        <w:jc w:val="both"/>
        <w:rPr>
          <w:rFonts w:ascii="Arial" w:eastAsia="Calibri" w:hAnsi="Arial" w:cs="Arial"/>
          <w:b/>
          <w:kern w:val="2"/>
        </w:rPr>
      </w:pPr>
    </w:p>
    <w:p w:rsidR="007E1A66" w:rsidRPr="00DB1A06" w:rsidRDefault="007E1A66" w:rsidP="00DB1A06">
      <w:pPr>
        <w:jc w:val="both"/>
        <w:rPr>
          <w:rFonts w:ascii="Arial" w:eastAsia="Calibri" w:hAnsi="Arial" w:cs="Arial"/>
          <w:kern w:val="2"/>
        </w:rPr>
      </w:pPr>
      <w:r w:rsidRPr="00DB1A06">
        <w:rPr>
          <w:rFonts w:ascii="Arial" w:eastAsia="Calibri" w:hAnsi="Arial" w:cs="Arial"/>
          <w:kern w:val="2"/>
        </w:rPr>
        <w:t>Author(s) hereby declare that NO generative AI technologies such as Large Language Models (</w:t>
      </w:r>
      <w:proofErr w:type="spellStart"/>
      <w:r w:rsidRPr="00DB1A06">
        <w:rPr>
          <w:rFonts w:ascii="Arial" w:eastAsia="Calibri" w:hAnsi="Arial" w:cs="Arial"/>
          <w:kern w:val="2"/>
        </w:rPr>
        <w:t>ChatGPT</w:t>
      </w:r>
      <w:proofErr w:type="spellEnd"/>
      <w:r w:rsidRPr="00DB1A06">
        <w:rPr>
          <w:rFonts w:ascii="Arial" w:eastAsia="Calibri" w:hAnsi="Arial" w:cs="Arial"/>
          <w:kern w:val="2"/>
        </w:rPr>
        <w:t xml:space="preserve">, COPILOT, etc.) and text-to-image generators have been used during the writing or editing of this manuscript. </w:t>
      </w:r>
      <w:bookmarkEnd w:id="1"/>
      <w:bookmarkEnd w:id="2"/>
      <w:bookmarkEnd w:id="3"/>
    </w:p>
    <w:p w:rsidR="0075176F" w:rsidRDefault="0075176F" w:rsidP="0075176F">
      <w:pPr>
        <w:pStyle w:val="ReferHead"/>
        <w:spacing w:after="0"/>
        <w:jc w:val="both"/>
        <w:rPr>
          <w:rFonts w:ascii="Arial" w:hAnsi="Arial" w:cs="Arial"/>
          <w:b w:val="0"/>
          <w:caps w:val="0"/>
          <w:sz w:val="20"/>
        </w:rPr>
      </w:pPr>
    </w:p>
    <w:p w:rsidR="0075176F" w:rsidRDefault="0075176F" w:rsidP="0075176F">
      <w:pPr>
        <w:pStyle w:val="ReferHead"/>
        <w:spacing w:after="0"/>
        <w:jc w:val="both"/>
        <w:rPr>
          <w:rFonts w:ascii="Arial" w:hAnsi="Arial" w:cs="Arial"/>
        </w:rPr>
      </w:pPr>
      <w:r w:rsidRPr="00FB3A86">
        <w:rPr>
          <w:rFonts w:ascii="Arial" w:hAnsi="Arial" w:cs="Arial"/>
        </w:rPr>
        <w:t>References</w:t>
      </w:r>
    </w:p>
    <w:p w:rsidR="0075176F" w:rsidRDefault="0075176F" w:rsidP="00441B6F">
      <w:pPr>
        <w:pStyle w:val="Body"/>
        <w:spacing w:after="0"/>
      </w:pPr>
    </w:p>
    <w:p w:rsidR="00EF20CA" w:rsidRPr="00A96FE7" w:rsidRDefault="00EF20CA" w:rsidP="0075176F">
      <w:pPr>
        <w:widowControl w:val="0"/>
        <w:spacing w:line="360" w:lineRule="auto"/>
        <w:ind w:left="480" w:hanging="480"/>
        <w:jc w:val="both"/>
        <w:rPr>
          <w:rFonts w:ascii="Arial" w:eastAsia="Arial" w:hAnsi="Arial" w:cs="Arial"/>
        </w:rPr>
      </w:pPr>
      <w:r w:rsidRPr="00EF20CA">
        <w:rPr>
          <w:rFonts w:ascii="Arial" w:hAnsi="Arial"/>
          <w:lang w:val="pt-BR"/>
        </w:rPr>
        <w:t xml:space="preserve">1. </w:t>
      </w:r>
      <w:proofErr w:type="spellStart"/>
      <w:r w:rsidRPr="00EF20CA">
        <w:rPr>
          <w:rFonts w:ascii="Arial" w:hAnsi="Arial"/>
          <w:lang w:val="pt-BR"/>
        </w:rPr>
        <w:t>Cekici</w:t>
      </w:r>
      <w:proofErr w:type="spellEnd"/>
      <w:r w:rsidRPr="00EF20CA">
        <w:rPr>
          <w:rFonts w:ascii="Arial" w:hAnsi="Arial"/>
          <w:lang w:val="pt-BR"/>
        </w:rPr>
        <w:t xml:space="preserve"> A, </w:t>
      </w:r>
      <w:proofErr w:type="spellStart"/>
      <w:r w:rsidRPr="00EF20CA">
        <w:rPr>
          <w:rFonts w:ascii="Arial" w:hAnsi="Arial"/>
          <w:lang w:val="pt-BR"/>
        </w:rPr>
        <w:t>Kantarci</w:t>
      </w:r>
      <w:proofErr w:type="spellEnd"/>
      <w:r w:rsidRPr="00EF20CA">
        <w:rPr>
          <w:rFonts w:ascii="Arial" w:hAnsi="Arial"/>
          <w:lang w:val="pt-BR"/>
        </w:rPr>
        <w:t xml:space="preserve"> A, </w:t>
      </w:r>
      <w:proofErr w:type="spellStart"/>
      <w:r w:rsidRPr="00EF20CA">
        <w:rPr>
          <w:rFonts w:ascii="Arial" w:hAnsi="Arial"/>
          <w:lang w:val="pt-BR"/>
        </w:rPr>
        <w:t>Hasturk</w:t>
      </w:r>
      <w:proofErr w:type="spellEnd"/>
      <w:r w:rsidRPr="00EF20CA">
        <w:rPr>
          <w:rFonts w:ascii="Arial" w:hAnsi="Arial"/>
          <w:lang w:val="pt-BR"/>
        </w:rPr>
        <w:t xml:space="preserve"> H, Van </w:t>
      </w:r>
      <w:proofErr w:type="spellStart"/>
      <w:r w:rsidRPr="00EF20CA">
        <w:rPr>
          <w:rFonts w:ascii="Arial" w:hAnsi="Arial"/>
          <w:lang w:val="pt-BR"/>
        </w:rPr>
        <w:t>Dyke</w:t>
      </w:r>
      <w:proofErr w:type="spellEnd"/>
      <w:r w:rsidRPr="00EF20CA">
        <w:rPr>
          <w:rFonts w:ascii="Arial" w:hAnsi="Arial"/>
          <w:lang w:val="pt-BR"/>
        </w:rPr>
        <w:t xml:space="preserve"> TE. </w:t>
      </w:r>
      <w:proofErr w:type="gramStart"/>
      <w:r w:rsidRPr="00A96FE7">
        <w:rPr>
          <w:rFonts w:ascii="Arial" w:hAnsi="Arial"/>
        </w:rPr>
        <w:t>Inflammatory and immune pathways in the pathogenesis of periodontal disease.</w:t>
      </w:r>
      <w:proofErr w:type="gramEnd"/>
      <w:r w:rsidRPr="00A96FE7">
        <w:rPr>
          <w:rFonts w:ascii="Arial" w:hAnsi="Arial"/>
        </w:rPr>
        <w:t xml:space="preserve"> </w:t>
      </w:r>
      <w:proofErr w:type="gramStart"/>
      <w:r w:rsidRPr="00A96FE7">
        <w:rPr>
          <w:rFonts w:ascii="Arial" w:hAnsi="Arial"/>
          <w:iCs/>
        </w:rPr>
        <w:t>Periodontology 2000</w:t>
      </w:r>
      <w:r>
        <w:rPr>
          <w:rFonts w:ascii="Arial" w:hAnsi="Arial"/>
          <w:iCs/>
        </w:rPr>
        <w:t>.</w:t>
      </w:r>
      <w:proofErr w:type="gramEnd"/>
      <w:r>
        <w:rPr>
          <w:rFonts w:ascii="Arial" w:hAnsi="Arial"/>
          <w:iCs/>
        </w:rPr>
        <w:t xml:space="preserve"> 2014</w:t>
      </w:r>
      <w:proofErr w:type="gramStart"/>
      <w:r>
        <w:rPr>
          <w:rFonts w:ascii="Arial" w:hAnsi="Arial"/>
          <w:iCs/>
        </w:rPr>
        <w:t>;</w:t>
      </w:r>
      <w:r w:rsidRPr="00A96FE7">
        <w:rPr>
          <w:rFonts w:ascii="Arial" w:hAnsi="Arial"/>
          <w:iCs/>
        </w:rPr>
        <w:t>64</w:t>
      </w:r>
      <w:proofErr w:type="gramEnd"/>
      <w:r w:rsidRPr="00A96FE7">
        <w:rPr>
          <w:rFonts w:ascii="Arial" w:hAnsi="Arial"/>
        </w:rPr>
        <w:t>(1)</w:t>
      </w:r>
      <w:r>
        <w:rPr>
          <w:rFonts w:ascii="Arial" w:hAnsi="Arial"/>
        </w:rPr>
        <w:t>:</w:t>
      </w:r>
      <w:r w:rsidRPr="00A96FE7">
        <w:rPr>
          <w:rFonts w:ascii="Arial" w:hAnsi="Arial"/>
        </w:rPr>
        <w:t>57–80. https://doi.org/10.1111/prd.12002</w:t>
      </w:r>
    </w:p>
    <w:p w:rsidR="00EF20CA" w:rsidRPr="00EF20CA" w:rsidRDefault="00EF20CA" w:rsidP="00EF20CA">
      <w:pPr>
        <w:widowControl w:val="0"/>
        <w:spacing w:line="360" w:lineRule="auto"/>
        <w:ind w:left="480" w:hanging="480"/>
        <w:jc w:val="both"/>
        <w:rPr>
          <w:rFonts w:ascii="Arial" w:eastAsia="Arial" w:hAnsi="Arial" w:cs="Arial"/>
          <w:lang w:val="pt-BR"/>
        </w:rPr>
      </w:pPr>
      <w:r>
        <w:rPr>
          <w:rFonts w:ascii="Arial" w:hAnsi="Arial"/>
        </w:rPr>
        <w:t xml:space="preserve">2. </w:t>
      </w:r>
      <w:proofErr w:type="spellStart"/>
      <w:r w:rsidRPr="009D53BB">
        <w:rPr>
          <w:rFonts w:ascii="Arial" w:hAnsi="Arial"/>
        </w:rPr>
        <w:t>Mysak</w:t>
      </w:r>
      <w:proofErr w:type="spellEnd"/>
      <w:r w:rsidRPr="009D53BB">
        <w:rPr>
          <w:rFonts w:ascii="Arial" w:hAnsi="Arial"/>
        </w:rPr>
        <w:t xml:space="preserve"> J, </w:t>
      </w:r>
      <w:proofErr w:type="spellStart"/>
      <w:r w:rsidRPr="009D53BB">
        <w:rPr>
          <w:rFonts w:ascii="Arial" w:hAnsi="Arial"/>
        </w:rPr>
        <w:t>Podzimek</w:t>
      </w:r>
      <w:proofErr w:type="spellEnd"/>
      <w:r w:rsidRPr="009D53BB">
        <w:rPr>
          <w:rFonts w:ascii="Arial" w:hAnsi="Arial"/>
        </w:rPr>
        <w:t xml:space="preserve"> S, </w:t>
      </w:r>
      <w:proofErr w:type="spellStart"/>
      <w:r w:rsidRPr="009D53BB">
        <w:rPr>
          <w:rFonts w:ascii="Arial" w:hAnsi="Arial"/>
        </w:rPr>
        <w:t>Sommerova</w:t>
      </w:r>
      <w:proofErr w:type="spellEnd"/>
      <w:r w:rsidRPr="009D53BB">
        <w:rPr>
          <w:rFonts w:ascii="Arial" w:hAnsi="Arial"/>
        </w:rPr>
        <w:t xml:space="preserve"> P, </w:t>
      </w:r>
      <w:proofErr w:type="spellStart"/>
      <w:r w:rsidRPr="009D53BB">
        <w:rPr>
          <w:rFonts w:ascii="Arial" w:hAnsi="Arial"/>
        </w:rPr>
        <w:t>Lyuya-Mi</w:t>
      </w:r>
      <w:proofErr w:type="spellEnd"/>
      <w:r w:rsidRPr="009D53BB">
        <w:rPr>
          <w:rFonts w:ascii="Arial" w:hAnsi="Arial"/>
        </w:rPr>
        <w:t xml:space="preserve"> Y, </w:t>
      </w:r>
      <w:proofErr w:type="spellStart"/>
      <w:r w:rsidRPr="009D53BB">
        <w:rPr>
          <w:rFonts w:ascii="Arial" w:hAnsi="Arial"/>
        </w:rPr>
        <w:t>Bartova</w:t>
      </w:r>
      <w:proofErr w:type="spellEnd"/>
      <w:r w:rsidRPr="009D53BB">
        <w:rPr>
          <w:rFonts w:ascii="Arial" w:hAnsi="Arial"/>
        </w:rPr>
        <w:t xml:space="preserve"> J, </w:t>
      </w:r>
      <w:proofErr w:type="spellStart"/>
      <w:r w:rsidRPr="009D53BB">
        <w:rPr>
          <w:rFonts w:ascii="Arial" w:hAnsi="Arial"/>
        </w:rPr>
        <w:t>Janatova</w:t>
      </w:r>
      <w:proofErr w:type="spellEnd"/>
      <w:r w:rsidRPr="009D53BB">
        <w:rPr>
          <w:rFonts w:ascii="Arial" w:hAnsi="Arial"/>
        </w:rPr>
        <w:t xml:space="preserve"> T, et al.</w:t>
      </w:r>
      <w:r w:rsidRPr="00A96FE7">
        <w:rPr>
          <w:rFonts w:ascii="Arial" w:hAnsi="Arial"/>
        </w:rPr>
        <w:t xml:space="preserve"> </w:t>
      </w:r>
      <w:proofErr w:type="spellStart"/>
      <w:r w:rsidRPr="00A96FE7">
        <w:rPr>
          <w:rFonts w:ascii="Arial" w:hAnsi="Arial"/>
        </w:rPr>
        <w:t>Porphyromonas</w:t>
      </w:r>
      <w:proofErr w:type="spellEnd"/>
      <w:r w:rsidRPr="00A96FE7">
        <w:rPr>
          <w:rFonts w:ascii="Arial" w:hAnsi="Arial"/>
        </w:rPr>
        <w:t xml:space="preserve"> </w:t>
      </w:r>
      <w:proofErr w:type="spellStart"/>
      <w:r w:rsidRPr="00A96FE7">
        <w:rPr>
          <w:rFonts w:ascii="Arial" w:hAnsi="Arial"/>
        </w:rPr>
        <w:t>gingivalis</w:t>
      </w:r>
      <w:proofErr w:type="spellEnd"/>
      <w:r w:rsidRPr="00A96FE7">
        <w:rPr>
          <w:rFonts w:ascii="Arial" w:hAnsi="Arial"/>
        </w:rPr>
        <w:t xml:space="preserve">: major </w:t>
      </w:r>
      <w:proofErr w:type="spellStart"/>
      <w:r w:rsidRPr="00A96FE7">
        <w:rPr>
          <w:rFonts w:ascii="Arial" w:hAnsi="Arial"/>
        </w:rPr>
        <w:t>periodontopathic</w:t>
      </w:r>
      <w:proofErr w:type="spellEnd"/>
      <w:r w:rsidRPr="00A96FE7">
        <w:rPr>
          <w:rFonts w:ascii="Arial" w:hAnsi="Arial"/>
        </w:rPr>
        <w:t xml:space="preserve"> pathogen overview. </w:t>
      </w:r>
      <w:proofErr w:type="gramStart"/>
      <w:r w:rsidRPr="00A96FE7">
        <w:rPr>
          <w:rFonts w:ascii="Arial" w:hAnsi="Arial"/>
          <w:iCs/>
        </w:rPr>
        <w:t>Journal of Immunology Research</w:t>
      </w:r>
      <w:r>
        <w:rPr>
          <w:rFonts w:ascii="Arial" w:hAnsi="Arial"/>
          <w:iCs/>
        </w:rPr>
        <w:t>.</w:t>
      </w:r>
      <w:proofErr w:type="gramEnd"/>
      <w:r>
        <w:rPr>
          <w:rFonts w:ascii="Arial" w:hAnsi="Arial"/>
          <w:iCs/>
        </w:rPr>
        <w:t xml:space="preserve"> </w:t>
      </w:r>
      <w:proofErr w:type="gramStart"/>
      <w:r w:rsidRPr="00EF20CA">
        <w:rPr>
          <w:rFonts w:ascii="Arial" w:hAnsi="Arial"/>
          <w:iCs/>
          <w:lang w:val="pt-BR"/>
        </w:rPr>
        <w:t>2014;</w:t>
      </w:r>
      <w:proofErr w:type="gramEnd"/>
      <w:r w:rsidRPr="00EF20CA">
        <w:rPr>
          <w:rFonts w:ascii="Arial" w:hAnsi="Arial"/>
          <w:iCs/>
          <w:lang w:val="pt-BR"/>
        </w:rPr>
        <w:t>2014:</w:t>
      </w:r>
      <w:r w:rsidRPr="00EF20CA">
        <w:rPr>
          <w:rFonts w:ascii="Arial" w:hAnsi="Arial"/>
          <w:lang w:val="pt-BR"/>
        </w:rPr>
        <w:t xml:space="preserve">476068. </w:t>
      </w:r>
      <w:proofErr w:type="gramStart"/>
      <w:r w:rsidRPr="00EF20CA">
        <w:rPr>
          <w:rFonts w:ascii="Arial" w:hAnsi="Arial"/>
          <w:lang w:val="pt-BR"/>
        </w:rPr>
        <w:t>https</w:t>
      </w:r>
      <w:proofErr w:type="gramEnd"/>
      <w:r w:rsidRPr="00EF20CA">
        <w:rPr>
          <w:rFonts w:ascii="Arial" w:hAnsi="Arial"/>
          <w:lang w:val="pt-BR"/>
        </w:rPr>
        <w:t>://doi.org/10.1155/2014/476068</w:t>
      </w:r>
    </w:p>
    <w:p w:rsidR="00EF20CA" w:rsidRPr="00A96FE7" w:rsidRDefault="00EF20CA" w:rsidP="00EF20CA">
      <w:pPr>
        <w:widowControl w:val="0"/>
        <w:spacing w:line="360" w:lineRule="auto"/>
        <w:ind w:left="480" w:hanging="480"/>
        <w:jc w:val="both"/>
        <w:rPr>
          <w:rFonts w:ascii="Arial" w:eastAsia="Arial" w:hAnsi="Arial" w:cs="Arial"/>
        </w:rPr>
      </w:pPr>
      <w:r w:rsidRPr="00EF20CA">
        <w:rPr>
          <w:rFonts w:ascii="Arial" w:hAnsi="Arial"/>
          <w:lang w:val="pt-BR"/>
        </w:rPr>
        <w:t xml:space="preserve">3. </w:t>
      </w:r>
      <w:proofErr w:type="spellStart"/>
      <w:r w:rsidRPr="00EF20CA">
        <w:rPr>
          <w:rFonts w:ascii="Arial" w:hAnsi="Arial"/>
          <w:lang w:val="pt-BR"/>
        </w:rPr>
        <w:t>Yamawaki</w:t>
      </w:r>
      <w:proofErr w:type="spellEnd"/>
      <w:r w:rsidRPr="00EF20CA">
        <w:rPr>
          <w:rFonts w:ascii="Arial" w:hAnsi="Arial"/>
          <w:lang w:val="pt-BR"/>
        </w:rPr>
        <w:t xml:space="preserve"> H, </w:t>
      </w:r>
      <w:proofErr w:type="spellStart"/>
      <w:r w:rsidRPr="00EF20CA">
        <w:rPr>
          <w:rFonts w:ascii="Arial" w:hAnsi="Arial"/>
          <w:lang w:val="pt-BR"/>
        </w:rPr>
        <w:t>Hirohata</w:t>
      </w:r>
      <w:proofErr w:type="spellEnd"/>
      <w:r w:rsidRPr="00EF20CA">
        <w:rPr>
          <w:rFonts w:ascii="Arial" w:hAnsi="Arial"/>
          <w:lang w:val="pt-BR"/>
        </w:rPr>
        <w:t xml:space="preserve"> S, Miyoshi T, Takahashi K, </w:t>
      </w:r>
      <w:proofErr w:type="spellStart"/>
      <w:r w:rsidRPr="00EF20CA">
        <w:rPr>
          <w:rFonts w:ascii="Arial" w:hAnsi="Arial"/>
          <w:lang w:val="pt-BR"/>
        </w:rPr>
        <w:t>Ogawa</w:t>
      </w:r>
      <w:proofErr w:type="spellEnd"/>
      <w:r w:rsidRPr="00EF20CA">
        <w:rPr>
          <w:rFonts w:ascii="Arial" w:hAnsi="Arial"/>
          <w:lang w:val="pt-BR"/>
        </w:rPr>
        <w:t xml:space="preserve"> H, </w:t>
      </w:r>
      <w:proofErr w:type="spellStart"/>
      <w:r w:rsidRPr="00EF20CA">
        <w:rPr>
          <w:rFonts w:ascii="Arial" w:hAnsi="Arial"/>
          <w:lang w:val="pt-BR"/>
        </w:rPr>
        <w:t>Shinohata</w:t>
      </w:r>
      <w:proofErr w:type="spellEnd"/>
      <w:r w:rsidRPr="00EF20CA">
        <w:rPr>
          <w:rFonts w:ascii="Arial" w:hAnsi="Arial"/>
          <w:lang w:val="pt-BR"/>
        </w:rPr>
        <w:t xml:space="preserve"> R, </w:t>
      </w:r>
      <w:proofErr w:type="gramStart"/>
      <w:r w:rsidRPr="00EF20CA">
        <w:rPr>
          <w:rFonts w:ascii="Arial" w:hAnsi="Arial"/>
          <w:lang w:val="pt-BR"/>
        </w:rPr>
        <w:t>et</w:t>
      </w:r>
      <w:proofErr w:type="gramEnd"/>
      <w:r w:rsidRPr="00EF20CA">
        <w:rPr>
          <w:rFonts w:ascii="Arial" w:hAnsi="Arial"/>
          <w:lang w:val="pt-BR"/>
        </w:rPr>
        <w:t xml:space="preserve"> al. </w:t>
      </w:r>
      <w:proofErr w:type="spellStart"/>
      <w:r w:rsidRPr="00A96FE7">
        <w:rPr>
          <w:rFonts w:ascii="Arial" w:hAnsi="Arial"/>
        </w:rPr>
        <w:t>Hyaluronan</w:t>
      </w:r>
      <w:proofErr w:type="spellEnd"/>
      <w:r w:rsidRPr="00A96FE7">
        <w:rPr>
          <w:rFonts w:ascii="Arial" w:hAnsi="Arial"/>
        </w:rPr>
        <w:t xml:space="preserve"> receptors involved in cytokine induction in monocytes. </w:t>
      </w:r>
      <w:proofErr w:type="spellStart"/>
      <w:proofErr w:type="gramStart"/>
      <w:r w:rsidRPr="00A96FE7">
        <w:rPr>
          <w:rFonts w:ascii="Arial" w:hAnsi="Arial"/>
          <w:iCs/>
        </w:rPr>
        <w:t>Glycobiology</w:t>
      </w:r>
      <w:proofErr w:type="spellEnd"/>
      <w:r>
        <w:rPr>
          <w:rFonts w:ascii="Arial" w:hAnsi="Arial"/>
          <w:iCs/>
        </w:rPr>
        <w:t>.</w:t>
      </w:r>
      <w:proofErr w:type="gramEnd"/>
      <w:r>
        <w:rPr>
          <w:rFonts w:ascii="Arial" w:hAnsi="Arial"/>
          <w:iCs/>
        </w:rPr>
        <w:t xml:space="preserve"> 2009</w:t>
      </w:r>
      <w:proofErr w:type="gramStart"/>
      <w:r>
        <w:rPr>
          <w:rFonts w:ascii="Arial" w:hAnsi="Arial"/>
          <w:iCs/>
        </w:rPr>
        <w:t>;</w:t>
      </w:r>
      <w:r w:rsidRPr="00A96FE7">
        <w:rPr>
          <w:rFonts w:ascii="Arial" w:hAnsi="Arial"/>
          <w:iCs/>
        </w:rPr>
        <w:t>19</w:t>
      </w:r>
      <w:proofErr w:type="gramEnd"/>
      <w:r w:rsidRPr="00A96FE7">
        <w:rPr>
          <w:rFonts w:ascii="Arial" w:hAnsi="Arial"/>
        </w:rPr>
        <w:t>(1)</w:t>
      </w:r>
      <w:r>
        <w:rPr>
          <w:rFonts w:ascii="Arial" w:hAnsi="Arial"/>
        </w:rPr>
        <w:t>:</w:t>
      </w:r>
      <w:r w:rsidRPr="00A96FE7">
        <w:rPr>
          <w:rFonts w:ascii="Arial" w:hAnsi="Arial"/>
        </w:rPr>
        <w:t>83–92. https://doi.org/10.1093/glycob/cwn109</w:t>
      </w:r>
    </w:p>
    <w:p w:rsidR="00EF20CA" w:rsidRPr="00A96FE7" w:rsidRDefault="00EF20CA" w:rsidP="00EF20CA">
      <w:pPr>
        <w:widowControl w:val="0"/>
        <w:spacing w:line="360" w:lineRule="auto"/>
        <w:ind w:left="480" w:hanging="480"/>
        <w:jc w:val="both"/>
        <w:rPr>
          <w:rFonts w:ascii="Arial" w:eastAsia="Arial" w:hAnsi="Arial" w:cs="Arial"/>
        </w:rPr>
      </w:pPr>
      <w:r>
        <w:rPr>
          <w:rFonts w:ascii="Arial" w:hAnsi="Arial"/>
        </w:rPr>
        <w:t xml:space="preserve">4. </w:t>
      </w:r>
      <w:r w:rsidRPr="00A96FE7">
        <w:rPr>
          <w:rFonts w:ascii="Arial" w:hAnsi="Arial"/>
        </w:rPr>
        <w:t xml:space="preserve">Chen M, Li L, Wang Z, Li P, </w:t>
      </w:r>
      <w:proofErr w:type="spellStart"/>
      <w:r w:rsidRPr="00A96FE7">
        <w:rPr>
          <w:rFonts w:ascii="Arial" w:hAnsi="Arial"/>
        </w:rPr>
        <w:t>Feng</w:t>
      </w:r>
      <w:proofErr w:type="spellEnd"/>
      <w:r w:rsidRPr="00A96FE7">
        <w:rPr>
          <w:rFonts w:ascii="Arial" w:hAnsi="Arial"/>
        </w:rPr>
        <w:t xml:space="preserve"> F, </w:t>
      </w:r>
      <w:proofErr w:type="spellStart"/>
      <w:r w:rsidRPr="00A96FE7">
        <w:rPr>
          <w:rFonts w:ascii="Arial" w:hAnsi="Arial"/>
        </w:rPr>
        <w:t>Zheng</w:t>
      </w:r>
      <w:proofErr w:type="spellEnd"/>
      <w:r w:rsidRPr="00A96FE7">
        <w:rPr>
          <w:rFonts w:ascii="Arial" w:hAnsi="Arial"/>
        </w:rPr>
        <w:t xml:space="preserve"> X. High molecular weight hyaluronic acid regulates P. </w:t>
      </w:r>
      <w:proofErr w:type="spellStart"/>
      <w:r w:rsidRPr="00A96FE7">
        <w:rPr>
          <w:rFonts w:ascii="Arial" w:hAnsi="Arial"/>
        </w:rPr>
        <w:t>gingivalis</w:t>
      </w:r>
      <w:proofErr w:type="spellEnd"/>
      <w:r w:rsidRPr="00A96FE7">
        <w:rPr>
          <w:rFonts w:ascii="Arial" w:hAnsi="Arial"/>
        </w:rPr>
        <w:t xml:space="preserve">–induced inflammation and migration in human gingival </w:t>
      </w:r>
      <w:r w:rsidRPr="00A96FE7">
        <w:rPr>
          <w:rFonts w:ascii="Arial" w:hAnsi="Arial"/>
        </w:rPr>
        <w:lastRenderedPageBreak/>
        <w:t>fibroblasts via MAPK and NF-</w:t>
      </w:r>
      <w:proofErr w:type="spellStart"/>
      <w:r w:rsidRPr="00A96FE7">
        <w:rPr>
          <w:rFonts w:ascii="Arial" w:hAnsi="Arial"/>
        </w:rPr>
        <w:t>κB</w:t>
      </w:r>
      <w:proofErr w:type="spellEnd"/>
      <w:r w:rsidRPr="00A96FE7">
        <w:rPr>
          <w:rFonts w:ascii="Arial" w:hAnsi="Arial"/>
        </w:rPr>
        <w:t xml:space="preserve"> signaling pathway. </w:t>
      </w:r>
      <w:proofErr w:type="gramStart"/>
      <w:r w:rsidRPr="00A96FE7">
        <w:rPr>
          <w:rFonts w:ascii="Arial" w:hAnsi="Arial"/>
          <w:iCs/>
        </w:rPr>
        <w:t>Archives of Oral Biology</w:t>
      </w:r>
      <w:r>
        <w:rPr>
          <w:rFonts w:ascii="Arial" w:hAnsi="Arial"/>
          <w:iCs/>
        </w:rPr>
        <w:t>.</w:t>
      </w:r>
      <w:proofErr w:type="gramEnd"/>
      <w:r>
        <w:rPr>
          <w:rFonts w:ascii="Arial" w:hAnsi="Arial"/>
          <w:iCs/>
        </w:rPr>
        <w:t xml:space="preserve"> 2019</w:t>
      </w:r>
      <w:proofErr w:type="gramStart"/>
      <w:r>
        <w:rPr>
          <w:rFonts w:ascii="Arial" w:hAnsi="Arial"/>
          <w:iCs/>
        </w:rPr>
        <w:t>;</w:t>
      </w:r>
      <w:r w:rsidRPr="00A96FE7">
        <w:rPr>
          <w:rFonts w:ascii="Arial" w:hAnsi="Arial"/>
          <w:iCs/>
        </w:rPr>
        <w:t>98</w:t>
      </w:r>
      <w:proofErr w:type="gramEnd"/>
      <w:r w:rsidRPr="00A96FE7">
        <w:rPr>
          <w:rFonts w:ascii="Arial" w:hAnsi="Arial"/>
        </w:rPr>
        <w:t>(July 2018)</w:t>
      </w:r>
      <w:r>
        <w:rPr>
          <w:rFonts w:ascii="Arial" w:hAnsi="Arial"/>
        </w:rPr>
        <w:t>:</w:t>
      </w:r>
      <w:r w:rsidRPr="00A96FE7">
        <w:rPr>
          <w:rFonts w:ascii="Arial" w:hAnsi="Arial"/>
        </w:rPr>
        <w:t>75–80. https://doi.org/10.1016/j.archoralbio.2018.10.027</w:t>
      </w:r>
    </w:p>
    <w:p w:rsidR="00EF20CA" w:rsidRPr="00A96FE7" w:rsidRDefault="00EF20CA" w:rsidP="00EF20CA">
      <w:pPr>
        <w:widowControl w:val="0"/>
        <w:spacing w:line="360" w:lineRule="auto"/>
        <w:ind w:left="480" w:hanging="480"/>
        <w:jc w:val="both"/>
        <w:rPr>
          <w:rFonts w:ascii="Arial" w:eastAsia="Arial" w:hAnsi="Arial" w:cs="Arial"/>
        </w:rPr>
      </w:pPr>
      <w:r>
        <w:rPr>
          <w:rFonts w:ascii="Arial" w:hAnsi="Arial"/>
        </w:rPr>
        <w:t xml:space="preserve">5. </w:t>
      </w:r>
      <w:proofErr w:type="spellStart"/>
      <w:r w:rsidRPr="00A96FE7">
        <w:rPr>
          <w:rFonts w:ascii="Arial" w:hAnsi="Arial"/>
        </w:rPr>
        <w:t>Jentsch</w:t>
      </w:r>
      <w:proofErr w:type="spellEnd"/>
      <w:r w:rsidRPr="00A96FE7">
        <w:rPr>
          <w:rFonts w:ascii="Arial" w:hAnsi="Arial"/>
        </w:rPr>
        <w:t xml:space="preserve"> H, </w:t>
      </w:r>
      <w:proofErr w:type="spellStart"/>
      <w:r w:rsidRPr="00A96FE7">
        <w:rPr>
          <w:rFonts w:ascii="Arial" w:hAnsi="Arial"/>
        </w:rPr>
        <w:t>Pomowski</w:t>
      </w:r>
      <w:proofErr w:type="spellEnd"/>
      <w:r w:rsidRPr="00A96FE7">
        <w:rPr>
          <w:rFonts w:ascii="Arial" w:hAnsi="Arial"/>
        </w:rPr>
        <w:t xml:space="preserve"> R, </w:t>
      </w:r>
      <w:proofErr w:type="spellStart"/>
      <w:r w:rsidRPr="00A96FE7">
        <w:rPr>
          <w:rFonts w:ascii="Arial" w:hAnsi="Arial"/>
        </w:rPr>
        <w:t>Kundt</w:t>
      </w:r>
      <w:proofErr w:type="spellEnd"/>
      <w:r>
        <w:rPr>
          <w:rFonts w:ascii="Arial" w:hAnsi="Arial"/>
        </w:rPr>
        <w:t xml:space="preserve"> </w:t>
      </w:r>
      <w:r w:rsidRPr="00A96FE7">
        <w:rPr>
          <w:rFonts w:ascii="Arial" w:hAnsi="Arial"/>
        </w:rPr>
        <w:t xml:space="preserve">G, </w:t>
      </w:r>
      <w:proofErr w:type="spellStart"/>
      <w:r w:rsidRPr="00A96FE7">
        <w:rPr>
          <w:rFonts w:ascii="Arial" w:hAnsi="Arial"/>
        </w:rPr>
        <w:t>Göcke</w:t>
      </w:r>
      <w:proofErr w:type="spellEnd"/>
      <w:r w:rsidRPr="00A96FE7">
        <w:rPr>
          <w:rFonts w:ascii="Arial" w:hAnsi="Arial"/>
        </w:rPr>
        <w:t xml:space="preserve"> R. Treatment of gingivitis with </w:t>
      </w:r>
      <w:proofErr w:type="spellStart"/>
      <w:r w:rsidRPr="00A96FE7">
        <w:rPr>
          <w:rFonts w:ascii="Arial" w:hAnsi="Arial"/>
        </w:rPr>
        <w:t>hyaluronan</w:t>
      </w:r>
      <w:proofErr w:type="spellEnd"/>
      <w:r w:rsidRPr="00A96FE7">
        <w:rPr>
          <w:rFonts w:ascii="Arial" w:hAnsi="Arial"/>
        </w:rPr>
        <w:t xml:space="preserve">. </w:t>
      </w:r>
      <w:proofErr w:type="gramStart"/>
      <w:r w:rsidRPr="00A96FE7">
        <w:rPr>
          <w:rFonts w:ascii="Arial" w:hAnsi="Arial"/>
          <w:iCs/>
        </w:rPr>
        <w:t>Journal of Clinical Periodontology</w:t>
      </w:r>
      <w:r>
        <w:rPr>
          <w:rFonts w:ascii="Arial" w:hAnsi="Arial"/>
          <w:iCs/>
        </w:rPr>
        <w:t>.</w:t>
      </w:r>
      <w:proofErr w:type="gramEnd"/>
      <w:r>
        <w:rPr>
          <w:rFonts w:ascii="Arial" w:hAnsi="Arial"/>
          <w:iCs/>
        </w:rPr>
        <w:t xml:space="preserve"> 2003</w:t>
      </w:r>
      <w:proofErr w:type="gramStart"/>
      <w:r>
        <w:rPr>
          <w:rFonts w:ascii="Arial" w:hAnsi="Arial"/>
          <w:iCs/>
        </w:rPr>
        <w:t>;</w:t>
      </w:r>
      <w:r w:rsidRPr="00A96FE7">
        <w:rPr>
          <w:rFonts w:ascii="Arial" w:hAnsi="Arial"/>
          <w:iCs/>
        </w:rPr>
        <w:t>30</w:t>
      </w:r>
      <w:proofErr w:type="gramEnd"/>
      <w:r w:rsidRPr="00A96FE7">
        <w:rPr>
          <w:rFonts w:ascii="Arial" w:hAnsi="Arial"/>
        </w:rPr>
        <w:t>(2)</w:t>
      </w:r>
      <w:r>
        <w:rPr>
          <w:rFonts w:ascii="Arial" w:hAnsi="Arial"/>
        </w:rPr>
        <w:t>:</w:t>
      </w:r>
      <w:r w:rsidRPr="00A96FE7">
        <w:rPr>
          <w:rFonts w:ascii="Arial" w:hAnsi="Arial"/>
        </w:rPr>
        <w:t>159–164. https://doi.org/10.1034/j.1600-051x.2003.300203.x</w:t>
      </w:r>
    </w:p>
    <w:p w:rsidR="00EF20CA" w:rsidRPr="00EF20CA" w:rsidRDefault="00EF20CA" w:rsidP="00EF20CA">
      <w:pPr>
        <w:widowControl w:val="0"/>
        <w:spacing w:line="360" w:lineRule="auto"/>
        <w:ind w:left="480" w:hanging="480"/>
        <w:jc w:val="both"/>
        <w:rPr>
          <w:rFonts w:ascii="Arial" w:eastAsia="Arial" w:hAnsi="Arial" w:cs="Arial"/>
        </w:rPr>
      </w:pPr>
      <w:r>
        <w:rPr>
          <w:rFonts w:ascii="Arial" w:hAnsi="Arial"/>
        </w:rPr>
        <w:t xml:space="preserve">6. </w:t>
      </w:r>
      <w:proofErr w:type="spellStart"/>
      <w:r w:rsidRPr="009D53BB">
        <w:rPr>
          <w:rFonts w:ascii="Arial" w:hAnsi="Arial"/>
        </w:rPr>
        <w:t>Fawzy</w:t>
      </w:r>
      <w:proofErr w:type="spellEnd"/>
      <w:r w:rsidRPr="009D53BB">
        <w:rPr>
          <w:rFonts w:ascii="Arial" w:hAnsi="Arial"/>
        </w:rPr>
        <w:t xml:space="preserve"> El-</w:t>
      </w:r>
      <w:proofErr w:type="spellStart"/>
      <w:r w:rsidRPr="009D53BB">
        <w:rPr>
          <w:rFonts w:ascii="Arial" w:hAnsi="Arial"/>
        </w:rPr>
        <w:t>Sayed</w:t>
      </w:r>
      <w:proofErr w:type="spellEnd"/>
      <w:r w:rsidRPr="009D53BB">
        <w:rPr>
          <w:rFonts w:ascii="Arial" w:hAnsi="Arial"/>
        </w:rPr>
        <w:t xml:space="preserve"> KM, </w:t>
      </w:r>
      <w:proofErr w:type="spellStart"/>
      <w:r w:rsidRPr="009D53BB">
        <w:rPr>
          <w:rFonts w:ascii="Arial" w:hAnsi="Arial"/>
        </w:rPr>
        <w:t>Dahaba</w:t>
      </w:r>
      <w:proofErr w:type="spellEnd"/>
      <w:r w:rsidRPr="009D53BB">
        <w:rPr>
          <w:rFonts w:ascii="Arial" w:hAnsi="Arial"/>
        </w:rPr>
        <w:t xml:space="preserve"> MA, </w:t>
      </w:r>
      <w:proofErr w:type="spellStart"/>
      <w:r w:rsidRPr="009D53BB">
        <w:rPr>
          <w:rFonts w:ascii="Arial" w:hAnsi="Arial"/>
        </w:rPr>
        <w:t>Aboul-Ela</w:t>
      </w:r>
      <w:proofErr w:type="spellEnd"/>
      <w:r w:rsidRPr="009D53BB">
        <w:rPr>
          <w:rFonts w:ascii="Arial" w:hAnsi="Arial"/>
        </w:rPr>
        <w:t xml:space="preserve"> S, </w:t>
      </w:r>
      <w:proofErr w:type="spellStart"/>
      <w:r w:rsidRPr="009D53BB">
        <w:rPr>
          <w:rFonts w:ascii="Arial" w:hAnsi="Arial"/>
        </w:rPr>
        <w:t>Darhous</w:t>
      </w:r>
      <w:proofErr w:type="spellEnd"/>
      <w:r w:rsidRPr="009D53BB">
        <w:rPr>
          <w:rFonts w:ascii="Arial" w:hAnsi="Arial"/>
        </w:rPr>
        <w:t xml:space="preserve"> MS. </w:t>
      </w:r>
      <w:r w:rsidRPr="00A96FE7">
        <w:rPr>
          <w:rFonts w:ascii="Arial" w:hAnsi="Arial"/>
        </w:rPr>
        <w:t xml:space="preserve">Local application of </w:t>
      </w:r>
      <w:proofErr w:type="spellStart"/>
      <w:r w:rsidRPr="00A96FE7">
        <w:rPr>
          <w:rFonts w:ascii="Arial" w:hAnsi="Arial"/>
        </w:rPr>
        <w:t>hyaluronan</w:t>
      </w:r>
      <w:proofErr w:type="spellEnd"/>
      <w:r w:rsidRPr="00A96FE7">
        <w:rPr>
          <w:rFonts w:ascii="Arial" w:hAnsi="Arial"/>
        </w:rPr>
        <w:t xml:space="preserve"> gel in conjunction with periodontal surgery: A randomized controlled trial. </w:t>
      </w:r>
      <w:proofErr w:type="gramStart"/>
      <w:r w:rsidRPr="00EF20CA">
        <w:rPr>
          <w:rFonts w:ascii="Arial" w:hAnsi="Arial"/>
          <w:iCs/>
        </w:rPr>
        <w:t>Clinical Oral Investigations.</w:t>
      </w:r>
      <w:proofErr w:type="gramEnd"/>
      <w:r w:rsidRPr="00EF20CA">
        <w:rPr>
          <w:rFonts w:ascii="Arial" w:hAnsi="Arial"/>
          <w:iCs/>
        </w:rPr>
        <w:t xml:space="preserve"> 2012</w:t>
      </w:r>
      <w:proofErr w:type="gramStart"/>
      <w:r w:rsidRPr="00EF20CA">
        <w:rPr>
          <w:rFonts w:ascii="Arial" w:hAnsi="Arial"/>
          <w:iCs/>
        </w:rPr>
        <w:t>;16</w:t>
      </w:r>
      <w:proofErr w:type="gramEnd"/>
      <w:r w:rsidRPr="00EF20CA">
        <w:rPr>
          <w:rFonts w:ascii="Arial" w:hAnsi="Arial"/>
        </w:rPr>
        <w:t>(4):1229–36. https://doi.org/10.1007/s00784-011-0630-z</w:t>
      </w:r>
    </w:p>
    <w:p w:rsidR="00EF20CA" w:rsidRPr="00A96FE7" w:rsidRDefault="00EF20CA" w:rsidP="00EF20CA">
      <w:pPr>
        <w:widowControl w:val="0"/>
        <w:spacing w:line="360" w:lineRule="auto"/>
        <w:ind w:left="480" w:hanging="480"/>
        <w:jc w:val="both"/>
        <w:rPr>
          <w:rFonts w:ascii="Arial" w:eastAsia="Arial" w:hAnsi="Arial" w:cs="Arial"/>
        </w:rPr>
      </w:pPr>
      <w:r w:rsidRPr="00EF20CA">
        <w:rPr>
          <w:rFonts w:ascii="Arial" w:eastAsia="Arial" w:hAnsi="Arial" w:cs="Arial"/>
        </w:rPr>
        <w:t xml:space="preserve">7. Mohammad CA, </w:t>
      </w:r>
      <w:proofErr w:type="spellStart"/>
      <w:r w:rsidRPr="00EF20CA">
        <w:rPr>
          <w:rFonts w:ascii="Arial" w:eastAsia="Arial" w:hAnsi="Arial" w:cs="Arial"/>
        </w:rPr>
        <w:t>Mirza</w:t>
      </w:r>
      <w:proofErr w:type="spellEnd"/>
      <w:r w:rsidRPr="00EF20CA">
        <w:rPr>
          <w:rFonts w:ascii="Arial" w:eastAsia="Arial" w:hAnsi="Arial" w:cs="Arial"/>
        </w:rPr>
        <w:t xml:space="preserve"> BA, </w:t>
      </w:r>
      <w:proofErr w:type="spellStart"/>
      <w:r w:rsidRPr="00EF20CA">
        <w:rPr>
          <w:rFonts w:ascii="Arial" w:eastAsia="Arial" w:hAnsi="Arial" w:cs="Arial"/>
        </w:rPr>
        <w:t>Mahmood</w:t>
      </w:r>
      <w:proofErr w:type="spellEnd"/>
      <w:r w:rsidRPr="00EF20CA">
        <w:rPr>
          <w:rFonts w:ascii="Arial" w:eastAsia="Arial" w:hAnsi="Arial" w:cs="Arial"/>
        </w:rPr>
        <w:t xml:space="preserve"> ZS, </w:t>
      </w:r>
      <w:proofErr w:type="spellStart"/>
      <w:r w:rsidRPr="00EF20CA">
        <w:rPr>
          <w:rFonts w:ascii="Arial" w:eastAsia="Arial" w:hAnsi="Arial" w:cs="Arial"/>
        </w:rPr>
        <w:t>Zardawi</w:t>
      </w:r>
      <w:proofErr w:type="spellEnd"/>
      <w:r w:rsidRPr="00EF20CA">
        <w:rPr>
          <w:rFonts w:ascii="Arial" w:eastAsia="Arial" w:hAnsi="Arial" w:cs="Arial"/>
        </w:rPr>
        <w:t xml:space="preserve"> FM. </w:t>
      </w:r>
      <w:proofErr w:type="gramStart"/>
      <w:r w:rsidRPr="00A96FE7">
        <w:rPr>
          <w:rFonts w:ascii="Arial" w:eastAsia="Arial" w:hAnsi="Arial" w:cs="Arial"/>
        </w:rPr>
        <w:t>The effect of hyaluronic acid gel on periodontal parameters, pro-inflammatory cytokines and biochemical markers in periodontitis patients.</w:t>
      </w:r>
      <w:proofErr w:type="gramEnd"/>
      <w:r w:rsidRPr="00A96FE7">
        <w:rPr>
          <w:rFonts w:ascii="Arial" w:eastAsia="Arial" w:hAnsi="Arial" w:cs="Arial"/>
        </w:rPr>
        <w:t xml:space="preserve"> </w:t>
      </w:r>
      <w:proofErr w:type="gramStart"/>
      <w:r w:rsidRPr="00A96FE7">
        <w:rPr>
          <w:rFonts w:ascii="Arial" w:eastAsia="Arial" w:hAnsi="Arial" w:cs="Arial"/>
        </w:rPr>
        <w:t>Gels</w:t>
      </w:r>
      <w:r>
        <w:rPr>
          <w:rFonts w:ascii="Arial" w:eastAsia="Arial" w:hAnsi="Arial" w:cs="Arial"/>
        </w:rPr>
        <w:t>.</w:t>
      </w:r>
      <w:proofErr w:type="gramEnd"/>
      <w:r>
        <w:rPr>
          <w:rFonts w:ascii="Arial" w:eastAsia="Arial" w:hAnsi="Arial" w:cs="Arial"/>
        </w:rPr>
        <w:t xml:space="preserve"> 2023</w:t>
      </w:r>
      <w:proofErr w:type="gramStart"/>
      <w:r>
        <w:rPr>
          <w:rFonts w:ascii="Arial" w:eastAsia="Arial" w:hAnsi="Arial" w:cs="Arial"/>
        </w:rPr>
        <w:t>;</w:t>
      </w:r>
      <w:r w:rsidRPr="00A96FE7">
        <w:rPr>
          <w:rFonts w:ascii="Arial" w:eastAsia="Arial" w:hAnsi="Arial" w:cs="Arial"/>
        </w:rPr>
        <w:t>9</w:t>
      </w:r>
      <w:proofErr w:type="gramEnd"/>
      <w:r w:rsidRPr="00A96FE7">
        <w:rPr>
          <w:rFonts w:ascii="Arial" w:eastAsia="Arial" w:hAnsi="Arial" w:cs="Arial"/>
        </w:rPr>
        <w:t>(4)</w:t>
      </w:r>
      <w:r>
        <w:rPr>
          <w:rFonts w:ascii="Arial" w:eastAsia="Arial" w:hAnsi="Arial" w:cs="Arial"/>
        </w:rPr>
        <w:t>:</w:t>
      </w:r>
      <w:r w:rsidRPr="00A96FE7">
        <w:rPr>
          <w:rFonts w:ascii="Arial" w:eastAsia="Arial" w:hAnsi="Arial" w:cs="Arial"/>
        </w:rPr>
        <w:t xml:space="preserve">325. </w:t>
      </w:r>
      <w:proofErr w:type="spellStart"/>
      <w:proofErr w:type="gramStart"/>
      <w:r w:rsidRPr="00A96FE7">
        <w:rPr>
          <w:rFonts w:ascii="Arial" w:eastAsia="Arial" w:hAnsi="Arial" w:cs="Arial"/>
        </w:rPr>
        <w:t>doi</w:t>
      </w:r>
      <w:proofErr w:type="spellEnd"/>
      <w:proofErr w:type="gramEnd"/>
      <w:r w:rsidRPr="00A96FE7">
        <w:rPr>
          <w:rFonts w:ascii="Arial" w:eastAsia="Arial" w:hAnsi="Arial" w:cs="Arial"/>
        </w:rPr>
        <w:t>: 10.3390/gels9040325.</w:t>
      </w:r>
    </w:p>
    <w:p w:rsidR="00EF20CA" w:rsidRPr="00EF20CA" w:rsidRDefault="00EF20CA" w:rsidP="00EF20CA">
      <w:pPr>
        <w:widowControl w:val="0"/>
        <w:spacing w:line="360" w:lineRule="auto"/>
        <w:ind w:left="480" w:hanging="480"/>
        <w:jc w:val="both"/>
        <w:rPr>
          <w:rFonts w:ascii="Arial" w:hAnsi="Arial"/>
        </w:rPr>
      </w:pPr>
      <w:r w:rsidRPr="00EF20CA">
        <w:rPr>
          <w:rFonts w:ascii="Arial" w:hAnsi="Arial"/>
        </w:rPr>
        <w:t xml:space="preserve">8. </w:t>
      </w:r>
      <w:proofErr w:type="spellStart"/>
      <w:r w:rsidRPr="00EF20CA">
        <w:rPr>
          <w:rFonts w:ascii="Arial" w:hAnsi="Arial"/>
        </w:rPr>
        <w:t>Kapoor</w:t>
      </w:r>
      <w:proofErr w:type="spellEnd"/>
      <w:r w:rsidRPr="00EF20CA">
        <w:rPr>
          <w:rFonts w:ascii="Arial" w:hAnsi="Arial"/>
        </w:rPr>
        <w:t xml:space="preserve"> S, </w:t>
      </w:r>
      <w:proofErr w:type="spellStart"/>
      <w:r w:rsidRPr="00EF20CA">
        <w:rPr>
          <w:rFonts w:ascii="Arial" w:hAnsi="Arial"/>
        </w:rPr>
        <w:t>Bhardwaj</w:t>
      </w:r>
      <w:proofErr w:type="spellEnd"/>
      <w:r w:rsidRPr="00EF20CA">
        <w:rPr>
          <w:rFonts w:ascii="Arial" w:hAnsi="Arial"/>
        </w:rPr>
        <w:t xml:space="preserve"> A. Reconstruction of Interdental Papilla in Esthetic Zone using Hyaluronic Acid Gel: A Clinical Prospective Study. </w:t>
      </w:r>
      <w:proofErr w:type="gramStart"/>
      <w:r w:rsidRPr="00EF20CA">
        <w:rPr>
          <w:rFonts w:ascii="Arial" w:hAnsi="Arial"/>
        </w:rPr>
        <w:t>Journal of Pharmaceutical Research International.</w:t>
      </w:r>
      <w:proofErr w:type="gramEnd"/>
      <w:r w:rsidRPr="00EF20CA">
        <w:rPr>
          <w:rFonts w:ascii="Arial" w:hAnsi="Arial"/>
        </w:rPr>
        <w:t xml:space="preserve"> 2022</w:t>
      </w:r>
      <w:proofErr w:type="gramStart"/>
      <w:r w:rsidRPr="00EF20CA">
        <w:rPr>
          <w:rFonts w:ascii="Arial" w:hAnsi="Arial"/>
        </w:rPr>
        <w:t>;34</w:t>
      </w:r>
      <w:proofErr w:type="gramEnd"/>
      <w:r w:rsidRPr="00EF20CA">
        <w:rPr>
          <w:rFonts w:ascii="Arial" w:hAnsi="Arial"/>
        </w:rPr>
        <w:t>(10B):43–58. https://doi.org/10.9734/jpri/2022/v34i10B35525</w:t>
      </w:r>
    </w:p>
    <w:p w:rsidR="00EF20CA" w:rsidRPr="00EF20CA" w:rsidRDefault="00EF20CA" w:rsidP="00EF20CA">
      <w:pPr>
        <w:widowControl w:val="0"/>
        <w:spacing w:line="360" w:lineRule="auto"/>
        <w:ind w:left="480" w:hanging="480"/>
        <w:jc w:val="both"/>
        <w:rPr>
          <w:rFonts w:ascii="Arial" w:eastAsia="Arial" w:hAnsi="Arial" w:cs="Arial"/>
          <w:lang w:val="pt-BR"/>
        </w:rPr>
      </w:pPr>
      <w:r>
        <w:rPr>
          <w:rFonts w:ascii="Arial" w:eastAsia="Arial" w:hAnsi="Arial" w:cs="Arial"/>
        </w:rPr>
        <w:t xml:space="preserve">9. </w:t>
      </w:r>
      <w:proofErr w:type="spellStart"/>
      <w:r w:rsidRPr="009D53BB">
        <w:rPr>
          <w:rFonts w:ascii="Arial" w:eastAsia="Arial" w:hAnsi="Arial" w:cs="Arial"/>
        </w:rPr>
        <w:t>Eliezer</w:t>
      </w:r>
      <w:proofErr w:type="spellEnd"/>
      <w:r w:rsidRPr="009D53BB">
        <w:rPr>
          <w:rFonts w:ascii="Arial" w:eastAsia="Arial" w:hAnsi="Arial" w:cs="Arial"/>
        </w:rPr>
        <w:t xml:space="preserve"> M, </w:t>
      </w:r>
      <w:proofErr w:type="spellStart"/>
      <w:r w:rsidRPr="009D53BB">
        <w:rPr>
          <w:rFonts w:ascii="Arial" w:eastAsia="Arial" w:hAnsi="Arial" w:cs="Arial"/>
        </w:rPr>
        <w:t>Imber</w:t>
      </w:r>
      <w:proofErr w:type="spellEnd"/>
      <w:r w:rsidRPr="009D53BB">
        <w:rPr>
          <w:rFonts w:ascii="Arial" w:eastAsia="Arial" w:hAnsi="Arial" w:cs="Arial"/>
        </w:rPr>
        <w:t xml:space="preserve"> JC, </w:t>
      </w:r>
      <w:proofErr w:type="spellStart"/>
      <w:r w:rsidRPr="009D53BB">
        <w:rPr>
          <w:rFonts w:ascii="Arial" w:eastAsia="Arial" w:hAnsi="Arial" w:cs="Arial"/>
        </w:rPr>
        <w:t>Sculean</w:t>
      </w:r>
      <w:proofErr w:type="spellEnd"/>
      <w:r w:rsidRPr="009D53BB">
        <w:rPr>
          <w:rFonts w:ascii="Arial" w:eastAsia="Arial" w:hAnsi="Arial" w:cs="Arial"/>
        </w:rPr>
        <w:t xml:space="preserve"> A, </w:t>
      </w:r>
      <w:proofErr w:type="spellStart"/>
      <w:r w:rsidRPr="009D53BB">
        <w:rPr>
          <w:rFonts w:ascii="Arial" w:eastAsia="Arial" w:hAnsi="Arial" w:cs="Arial"/>
        </w:rPr>
        <w:t>Pandis</w:t>
      </w:r>
      <w:proofErr w:type="spellEnd"/>
      <w:r w:rsidRPr="009D53BB">
        <w:rPr>
          <w:rFonts w:ascii="Arial" w:eastAsia="Arial" w:hAnsi="Arial" w:cs="Arial"/>
        </w:rPr>
        <w:t xml:space="preserve"> N,</w:t>
      </w:r>
      <w:r w:rsidRPr="009D53BB">
        <w:rPr>
          <w:rFonts w:ascii="Arial" w:hAnsi="Arial"/>
        </w:rPr>
        <w:t xml:space="preserve"> </w:t>
      </w:r>
      <w:proofErr w:type="spellStart"/>
      <w:r w:rsidRPr="009D53BB">
        <w:rPr>
          <w:rFonts w:ascii="Arial" w:eastAsia="Arial" w:hAnsi="Arial" w:cs="Arial"/>
        </w:rPr>
        <w:t>Teich</w:t>
      </w:r>
      <w:proofErr w:type="spellEnd"/>
      <w:r w:rsidRPr="009D53BB">
        <w:rPr>
          <w:rFonts w:ascii="Arial" w:eastAsia="Arial" w:hAnsi="Arial" w:cs="Arial"/>
        </w:rPr>
        <w:t xml:space="preserve"> S. </w:t>
      </w:r>
      <w:r w:rsidRPr="00A96FE7">
        <w:rPr>
          <w:rFonts w:ascii="Arial" w:eastAsia="Arial" w:hAnsi="Arial" w:cs="Arial"/>
        </w:rPr>
        <w:t xml:space="preserve">Hyaluronic acid as adjunctive to non-surgical and surgical periodontal therapy: a systematic review and meta-analysis. </w:t>
      </w:r>
      <w:proofErr w:type="spellStart"/>
      <w:r w:rsidRPr="00EF20CA">
        <w:rPr>
          <w:rFonts w:ascii="Arial" w:eastAsia="Arial" w:hAnsi="Arial" w:cs="Arial"/>
          <w:lang w:val="pt-BR"/>
        </w:rPr>
        <w:t>Clin</w:t>
      </w:r>
      <w:proofErr w:type="spellEnd"/>
      <w:r w:rsidRPr="00EF20CA">
        <w:rPr>
          <w:rFonts w:ascii="Arial" w:eastAsia="Arial" w:hAnsi="Arial" w:cs="Arial"/>
          <w:lang w:val="pt-BR"/>
        </w:rPr>
        <w:t xml:space="preserve"> Oral Investig. </w:t>
      </w:r>
      <w:proofErr w:type="gramStart"/>
      <w:r w:rsidRPr="00EF20CA">
        <w:rPr>
          <w:rFonts w:ascii="Arial" w:eastAsia="Arial" w:hAnsi="Arial" w:cs="Arial"/>
          <w:lang w:val="pt-BR"/>
        </w:rPr>
        <w:t>2019;</w:t>
      </w:r>
      <w:proofErr w:type="gramEnd"/>
      <w:r w:rsidRPr="00EF20CA">
        <w:rPr>
          <w:rFonts w:ascii="Arial" w:eastAsia="Arial" w:hAnsi="Arial" w:cs="Arial"/>
          <w:lang w:val="pt-BR"/>
        </w:rPr>
        <w:t xml:space="preserve">23(8):3423–35. </w:t>
      </w:r>
      <w:proofErr w:type="spellStart"/>
      <w:proofErr w:type="gramStart"/>
      <w:r w:rsidRPr="00EF20CA">
        <w:rPr>
          <w:rFonts w:ascii="Arial" w:eastAsia="Arial" w:hAnsi="Arial" w:cs="Arial"/>
          <w:lang w:val="pt-BR"/>
        </w:rPr>
        <w:t>doi</w:t>
      </w:r>
      <w:proofErr w:type="spellEnd"/>
      <w:proofErr w:type="gramEnd"/>
      <w:r w:rsidRPr="00EF20CA">
        <w:rPr>
          <w:rFonts w:ascii="Arial" w:eastAsia="Arial" w:hAnsi="Arial" w:cs="Arial"/>
          <w:lang w:val="pt-BR"/>
        </w:rPr>
        <w:t>: 10.1007/s00784-019-03012-w.</w:t>
      </w:r>
    </w:p>
    <w:p w:rsidR="00EF20CA" w:rsidRPr="00E057DC" w:rsidRDefault="00EF20CA" w:rsidP="0075176F">
      <w:pPr>
        <w:widowControl w:val="0"/>
        <w:spacing w:line="360" w:lineRule="auto"/>
        <w:ind w:left="480" w:hanging="480"/>
        <w:jc w:val="both"/>
        <w:rPr>
          <w:rFonts w:ascii="Arial" w:eastAsia="Arial" w:hAnsi="Arial" w:cs="Arial"/>
        </w:rPr>
      </w:pPr>
      <w:r w:rsidRPr="00EF20CA">
        <w:rPr>
          <w:rFonts w:ascii="Arial" w:hAnsi="Arial"/>
          <w:lang w:val="pt-BR"/>
        </w:rPr>
        <w:t xml:space="preserve">10. Casale M, </w:t>
      </w:r>
      <w:proofErr w:type="spellStart"/>
      <w:r w:rsidRPr="00EF20CA">
        <w:rPr>
          <w:rFonts w:ascii="Arial" w:hAnsi="Arial"/>
          <w:lang w:val="pt-BR"/>
        </w:rPr>
        <w:t>Moffa</w:t>
      </w:r>
      <w:proofErr w:type="spellEnd"/>
      <w:r w:rsidRPr="00EF20CA">
        <w:rPr>
          <w:rFonts w:ascii="Arial" w:hAnsi="Arial"/>
          <w:lang w:val="pt-BR"/>
        </w:rPr>
        <w:t xml:space="preserve"> A, Vella P, Sabatino L, </w:t>
      </w:r>
      <w:proofErr w:type="spellStart"/>
      <w:r w:rsidRPr="00EF20CA">
        <w:rPr>
          <w:rFonts w:ascii="Arial" w:hAnsi="Arial"/>
          <w:lang w:val="pt-BR"/>
        </w:rPr>
        <w:t>Capuano</w:t>
      </w:r>
      <w:proofErr w:type="spellEnd"/>
      <w:r w:rsidRPr="00EF20CA">
        <w:rPr>
          <w:rFonts w:ascii="Arial" w:hAnsi="Arial"/>
          <w:lang w:val="pt-BR"/>
        </w:rPr>
        <w:t xml:space="preserve"> F, </w:t>
      </w:r>
      <w:proofErr w:type="spellStart"/>
      <w:r w:rsidRPr="00EF20CA">
        <w:rPr>
          <w:rFonts w:ascii="Arial" w:hAnsi="Arial"/>
          <w:lang w:val="pt-BR"/>
        </w:rPr>
        <w:t>Salvinelli</w:t>
      </w:r>
      <w:proofErr w:type="spellEnd"/>
      <w:r w:rsidRPr="00EF20CA">
        <w:rPr>
          <w:rFonts w:ascii="Arial" w:hAnsi="Arial"/>
          <w:lang w:val="pt-BR"/>
        </w:rPr>
        <w:t xml:space="preserve"> B, </w:t>
      </w:r>
      <w:proofErr w:type="gramStart"/>
      <w:r w:rsidRPr="00EF20CA">
        <w:rPr>
          <w:rFonts w:ascii="Arial" w:hAnsi="Arial"/>
          <w:lang w:val="pt-BR"/>
        </w:rPr>
        <w:t>et</w:t>
      </w:r>
      <w:proofErr w:type="gramEnd"/>
      <w:r w:rsidRPr="00EF20CA">
        <w:rPr>
          <w:rFonts w:ascii="Arial" w:hAnsi="Arial"/>
          <w:lang w:val="pt-BR"/>
        </w:rPr>
        <w:t xml:space="preserve"> al. </w:t>
      </w:r>
      <w:r w:rsidRPr="00E057DC">
        <w:rPr>
          <w:rFonts w:ascii="Arial" w:hAnsi="Arial"/>
        </w:rPr>
        <w:t>Hyaluronic acid: Perspectives in dentistry</w:t>
      </w:r>
      <w:r w:rsidRPr="00A96FE7">
        <w:rPr>
          <w:rFonts w:ascii="Arial" w:hAnsi="Arial"/>
        </w:rPr>
        <w:t xml:space="preserve">. </w:t>
      </w:r>
      <w:proofErr w:type="gramStart"/>
      <w:r w:rsidRPr="00A96FE7">
        <w:rPr>
          <w:rFonts w:ascii="Arial" w:hAnsi="Arial"/>
        </w:rPr>
        <w:t>A systematic review.</w:t>
      </w:r>
      <w:proofErr w:type="gramEnd"/>
      <w:r w:rsidRPr="00A96FE7">
        <w:rPr>
          <w:rFonts w:ascii="Arial" w:hAnsi="Arial"/>
        </w:rPr>
        <w:t xml:space="preserve"> </w:t>
      </w:r>
      <w:proofErr w:type="gramStart"/>
      <w:r w:rsidRPr="00A96FE7">
        <w:rPr>
          <w:rFonts w:ascii="Arial" w:hAnsi="Arial"/>
          <w:iCs/>
        </w:rPr>
        <w:t>International Journal of Immunopathology and Pharmacology</w:t>
      </w:r>
      <w:r>
        <w:rPr>
          <w:rFonts w:ascii="Arial" w:hAnsi="Arial"/>
          <w:iCs/>
        </w:rPr>
        <w:t>.</w:t>
      </w:r>
      <w:proofErr w:type="gramEnd"/>
      <w:r>
        <w:rPr>
          <w:rFonts w:ascii="Arial" w:hAnsi="Arial"/>
          <w:iCs/>
        </w:rPr>
        <w:t xml:space="preserve"> 2016</w:t>
      </w:r>
      <w:proofErr w:type="gramStart"/>
      <w:r>
        <w:rPr>
          <w:rFonts w:ascii="Arial" w:hAnsi="Arial"/>
          <w:iCs/>
        </w:rPr>
        <w:t>;</w:t>
      </w:r>
      <w:r w:rsidRPr="00A96FE7">
        <w:rPr>
          <w:rFonts w:ascii="Arial" w:hAnsi="Arial"/>
          <w:iCs/>
        </w:rPr>
        <w:t>29</w:t>
      </w:r>
      <w:proofErr w:type="gramEnd"/>
      <w:r w:rsidRPr="00A96FE7">
        <w:rPr>
          <w:rFonts w:ascii="Arial" w:hAnsi="Arial"/>
        </w:rPr>
        <w:t>(4)</w:t>
      </w:r>
      <w:r>
        <w:rPr>
          <w:rFonts w:ascii="Arial" w:hAnsi="Arial"/>
        </w:rPr>
        <w:t>:572–</w:t>
      </w:r>
      <w:r w:rsidRPr="00E057DC">
        <w:rPr>
          <w:rFonts w:ascii="Arial" w:hAnsi="Arial"/>
        </w:rPr>
        <w:t>82. https://doi.org/10.1177/0394632016652906</w:t>
      </w:r>
    </w:p>
    <w:p w:rsidR="00EF20CA" w:rsidRPr="00A96FE7" w:rsidRDefault="00EF20CA" w:rsidP="0075176F">
      <w:pPr>
        <w:widowControl w:val="0"/>
        <w:spacing w:line="360" w:lineRule="auto"/>
        <w:ind w:left="480" w:hanging="480"/>
        <w:jc w:val="both"/>
        <w:rPr>
          <w:rFonts w:ascii="Arial" w:eastAsia="Arial" w:hAnsi="Arial" w:cs="Arial"/>
        </w:rPr>
      </w:pPr>
      <w:r>
        <w:rPr>
          <w:rFonts w:ascii="Arial" w:hAnsi="Arial"/>
          <w:lang w:val="pt-BR"/>
        </w:rPr>
        <w:t xml:space="preserve">11. </w:t>
      </w:r>
      <w:r w:rsidRPr="00A96FE7">
        <w:rPr>
          <w:rFonts w:ascii="Arial" w:hAnsi="Arial"/>
          <w:lang w:val="pt-BR"/>
        </w:rPr>
        <w:t xml:space="preserve">Costa PAC, Figueiredo MM, Diniz SQ, Peixoto APMM, </w:t>
      </w:r>
      <w:proofErr w:type="spellStart"/>
      <w:r w:rsidRPr="00A96FE7">
        <w:rPr>
          <w:rFonts w:ascii="Arial" w:hAnsi="Arial"/>
          <w:lang w:val="pt-BR"/>
        </w:rPr>
        <w:t>Maloy</w:t>
      </w:r>
      <w:proofErr w:type="spellEnd"/>
      <w:r w:rsidRPr="00A96FE7">
        <w:rPr>
          <w:rFonts w:ascii="Arial" w:hAnsi="Arial"/>
          <w:lang w:val="pt-BR"/>
        </w:rPr>
        <w:t xml:space="preserve"> KJ, Teixeira-Carvalho A., et al. </w:t>
      </w:r>
      <w:r w:rsidRPr="00A96FE7">
        <w:rPr>
          <w:rFonts w:ascii="Arial" w:hAnsi="Arial"/>
        </w:rPr>
        <w:t xml:space="preserve">Plasmodium vivax Infection Impairs Regulatory T-Cell Suppressive Function During Acute Malaria. </w:t>
      </w:r>
      <w:proofErr w:type="gramStart"/>
      <w:r w:rsidRPr="00A96FE7">
        <w:rPr>
          <w:rFonts w:ascii="Arial" w:hAnsi="Arial"/>
          <w:iCs/>
        </w:rPr>
        <w:t>The Journal of Infectious Diseases</w:t>
      </w:r>
      <w:r>
        <w:rPr>
          <w:rFonts w:ascii="Arial" w:hAnsi="Arial"/>
          <w:iCs/>
        </w:rPr>
        <w:t>.</w:t>
      </w:r>
      <w:proofErr w:type="gramEnd"/>
      <w:r>
        <w:rPr>
          <w:rFonts w:ascii="Arial" w:hAnsi="Arial"/>
          <w:iCs/>
        </w:rPr>
        <w:t xml:space="preserve"> 2018</w:t>
      </w:r>
      <w:proofErr w:type="gramStart"/>
      <w:r>
        <w:rPr>
          <w:rFonts w:ascii="Arial" w:hAnsi="Arial"/>
          <w:iCs/>
        </w:rPr>
        <w:t>;2</w:t>
      </w:r>
      <w:r w:rsidRPr="00A96FE7">
        <w:rPr>
          <w:rFonts w:ascii="Arial" w:hAnsi="Arial"/>
          <w:iCs/>
        </w:rPr>
        <w:t>18</w:t>
      </w:r>
      <w:proofErr w:type="gramEnd"/>
      <w:r w:rsidRPr="00A96FE7">
        <w:rPr>
          <w:rFonts w:ascii="Arial" w:hAnsi="Arial"/>
        </w:rPr>
        <w:t>(8)</w:t>
      </w:r>
      <w:r>
        <w:rPr>
          <w:rFonts w:ascii="Arial" w:hAnsi="Arial"/>
        </w:rPr>
        <w:t>:</w:t>
      </w:r>
      <w:r w:rsidRPr="00A96FE7">
        <w:rPr>
          <w:rFonts w:ascii="Arial" w:hAnsi="Arial"/>
        </w:rPr>
        <w:t>1314–23. https://doi.org/10.1093/infdis/jiy296</w:t>
      </w:r>
    </w:p>
    <w:p w:rsidR="00EF20CA" w:rsidRPr="00A96FE7" w:rsidRDefault="00EF20CA" w:rsidP="0075176F">
      <w:pPr>
        <w:widowControl w:val="0"/>
        <w:spacing w:line="360" w:lineRule="auto"/>
        <w:ind w:left="480" w:hanging="480"/>
        <w:jc w:val="both"/>
        <w:rPr>
          <w:rFonts w:ascii="Arial" w:eastAsia="Arial" w:hAnsi="Arial" w:cs="Arial"/>
          <w:lang w:val="pt-BR"/>
        </w:rPr>
      </w:pPr>
      <w:r>
        <w:rPr>
          <w:rFonts w:ascii="Arial" w:hAnsi="Arial"/>
        </w:rPr>
        <w:t xml:space="preserve">12. </w:t>
      </w:r>
      <w:proofErr w:type="spellStart"/>
      <w:r w:rsidRPr="00A96FE7">
        <w:rPr>
          <w:rFonts w:ascii="Arial" w:hAnsi="Arial"/>
        </w:rPr>
        <w:t>Chimen</w:t>
      </w:r>
      <w:proofErr w:type="spellEnd"/>
      <w:r w:rsidRPr="00A96FE7">
        <w:rPr>
          <w:rFonts w:ascii="Arial" w:hAnsi="Arial"/>
        </w:rPr>
        <w:t xml:space="preserve"> M, Yates CM, </w:t>
      </w:r>
      <w:proofErr w:type="spellStart"/>
      <w:r w:rsidRPr="00A96FE7">
        <w:rPr>
          <w:rFonts w:ascii="Arial" w:hAnsi="Arial"/>
        </w:rPr>
        <w:t>McGettrick</w:t>
      </w:r>
      <w:proofErr w:type="spellEnd"/>
      <w:r w:rsidRPr="00A96FE7">
        <w:rPr>
          <w:rFonts w:ascii="Arial" w:hAnsi="Arial"/>
        </w:rPr>
        <w:t xml:space="preserve"> HM, Ward LSC, Harrison MJ, </w:t>
      </w:r>
      <w:proofErr w:type="spellStart"/>
      <w:r w:rsidRPr="00A96FE7">
        <w:rPr>
          <w:rFonts w:ascii="Arial" w:hAnsi="Arial"/>
        </w:rPr>
        <w:t>Apta</w:t>
      </w:r>
      <w:proofErr w:type="spellEnd"/>
      <w:r w:rsidRPr="00A96FE7">
        <w:rPr>
          <w:rFonts w:ascii="Arial" w:hAnsi="Arial"/>
        </w:rPr>
        <w:t xml:space="preserve"> B, et al. Monocyte Subsets Coregulate Inflammatory Responses by Integrated Signaling through TNF and IL-6 at the Endothelial Cell Interface. </w:t>
      </w:r>
      <w:r w:rsidRPr="00A96FE7">
        <w:rPr>
          <w:rFonts w:ascii="Arial" w:hAnsi="Arial"/>
          <w:iCs/>
          <w:lang w:val="pt-BR"/>
        </w:rPr>
        <w:t xml:space="preserve">The </w:t>
      </w:r>
      <w:proofErr w:type="spellStart"/>
      <w:r w:rsidRPr="00A96FE7">
        <w:rPr>
          <w:rFonts w:ascii="Arial" w:hAnsi="Arial"/>
          <w:iCs/>
          <w:lang w:val="pt-BR"/>
        </w:rPr>
        <w:t>Journal</w:t>
      </w:r>
      <w:proofErr w:type="spellEnd"/>
      <w:r w:rsidRPr="00A96FE7">
        <w:rPr>
          <w:rFonts w:ascii="Arial" w:hAnsi="Arial"/>
          <w:iCs/>
          <w:lang w:val="pt-BR"/>
        </w:rPr>
        <w:t xml:space="preserve"> </w:t>
      </w:r>
      <w:proofErr w:type="spellStart"/>
      <w:r w:rsidRPr="00A96FE7">
        <w:rPr>
          <w:rFonts w:ascii="Arial" w:hAnsi="Arial"/>
          <w:iCs/>
          <w:lang w:val="pt-BR"/>
        </w:rPr>
        <w:t>of</w:t>
      </w:r>
      <w:proofErr w:type="spellEnd"/>
      <w:r w:rsidRPr="00A96FE7">
        <w:rPr>
          <w:rFonts w:ascii="Arial" w:hAnsi="Arial"/>
          <w:iCs/>
          <w:lang w:val="pt-BR"/>
        </w:rPr>
        <w:t xml:space="preserve"> </w:t>
      </w:r>
      <w:proofErr w:type="spellStart"/>
      <w:r w:rsidRPr="00A96FE7">
        <w:rPr>
          <w:rFonts w:ascii="Arial" w:hAnsi="Arial"/>
          <w:iCs/>
          <w:lang w:val="pt-BR"/>
        </w:rPr>
        <w:t>Immunology</w:t>
      </w:r>
      <w:proofErr w:type="spellEnd"/>
      <w:r>
        <w:rPr>
          <w:rFonts w:ascii="Arial" w:hAnsi="Arial"/>
          <w:iCs/>
          <w:lang w:val="pt-BR"/>
        </w:rPr>
        <w:t xml:space="preserve">. </w:t>
      </w:r>
      <w:proofErr w:type="gramStart"/>
      <w:r>
        <w:rPr>
          <w:rFonts w:ascii="Arial" w:hAnsi="Arial"/>
          <w:iCs/>
          <w:lang w:val="pt-BR"/>
        </w:rPr>
        <w:t>2017;</w:t>
      </w:r>
      <w:proofErr w:type="gramEnd"/>
      <w:r w:rsidRPr="00A96FE7">
        <w:rPr>
          <w:rFonts w:ascii="Arial" w:hAnsi="Arial"/>
          <w:iCs/>
          <w:lang w:val="pt-BR"/>
        </w:rPr>
        <w:t>198</w:t>
      </w:r>
      <w:r w:rsidRPr="00A96FE7">
        <w:rPr>
          <w:rFonts w:ascii="Arial" w:hAnsi="Arial"/>
          <w:lang w:val="pt-BR"/>
        </w:rPr>
        <w:t>(7)</w:t>
      </w:r>
      <w:r>
        <w:rPr>
          <w:rFonts w:ascii="Arial" w:hAnsi="Arial"/>
          <w:lang w:val="pt-BR"/>
        </w:rPr>
        <w:t>:2834–</w:t>
      </w:r>
      <w:r w:rsidRPr="00A96FE7">
        <w:rPr>
          <w:rFonts w:ascii="Arial" w:hAnsi="Arial"/>
          <w:lang w:val="pt-BR"/>
        </w:rPr>
        <w:t xml:space="preserve">43. </w:t>
      </w:r>
      <w:proofErr w:type="gramStart"/>
      <w:r w:rsidRPr="00A96FE7">
        <w:rPr>
          <w:rFonts w:ascii="Arial" w:hAnsi="Arial"/>
          <w:lang w:val="pt-BR"/>
        </w:rPr>
        <w:t>https</w:t>
      </w:r>
      <w:proofErr w:type="gramEnd"/>
      <w:r w:rsidRPr="00A96FE7">
        <w:rPr>
          <w:rFonts w:ascii="Arial" w:hAnsi="Arial"/>
          <w:lang w:val="pt-BR"/>
        </w:rPr>
        <w:t>://doi.org/10.4049/jimmunol.1601281</w:t>
      </w:r>
    </w:p>
    <w:p w:rsidR="00EF20CA" w:rsidRPr="00A96FE7" w:rsidRDefault="00EF20CA" w:rsidP="0075176F">
      <w:pPr>
        <w:widowControl w:val="0"/>
        <w:spacing w:line="360" w:lineRule="auto"/>
        <w:ind w:left="480" w:hanging="480"/>
        <w:jc w:val="both"/>
        <w:rPr>
          <w:rFonts w:ascii="Arial" w:eastAsia="Arial" w:hAnsi="Arial" w:cs="Arial"/>
        </w:rPr>
      </w:pPr>
      <w:r>
        <w:rPr>
          <w:rFonts w:ascii="Arial" w:eastAsia="Arial" w:hAnsi="Arial" w:cs="Arial"/>
        </w:rPr>
        <w:t xml:space="preserve">13. </w:t>
      </w:r>
      <w:proofErr w:type="spellStart"/>
      <w:r w:rsidRPr="009D53BB">
        <w:rPr>
          <w:rFonts w:ascii="Arial" w:eastAsia="Arial" w:hAnsi="Arial" w:cs="Arial"/>
        </w:rPr>
        <w:t>Polepalle</w:t>
      </w:r>
      <w:proofErr w:type="spellEnd"/>
      <w:r w:rsidRPr="009D53BB">
        <w:rPr>
          <w:rFonts w:ascii="Arial" w:eastAsia="Arial" w:hAnsi="Arial" w:cs="Arial"/>
        </w:rPr>
        <w:t xml:space="preserve"> T, </w:t>
      </w:r>
      <w:proofErr w:type="spellStart"/>
      <w:r w:rsidRPr="009D53BB">
        <w:rPr>
          <w:rFonts w:ascii="Arial" w:eastAsia="Arial" w:hAnsi="Arial" w:cs="Arial"/>
        </w:rPr>
        <w:t>Srinivas</w:t>
      </w:r>
      <w:proofErr w:type="spellEnd"/>
      <w:r w:rsidRPr="009D53BB">
        <w:rPr>
          <w:rFonts w:ascii="Arial" w:eastAsia="Arial" w:hAnsi="Arial" w:cs="Arial"/>
        </w:rPr>
        <w:t xml:space="preserve"> M, </w:t>
      </w:r>
      <w:proofErr w:type="spellStart"/>
      <w:r w:rsidRPr="009D53BB">
        <w:rPr>
          <w:rFonts w:ascii="Arial" w:eastAsia="Arial" w:hAnsi="Arial" w:cs="Arial"/>
        </w:rPr>
        <w:t>Swamy</w:t>
      </w:r>
      <w:proofErr w:type="spellEnd"/>
      <w:r w:rsidRPr="009D53BB">
        <w:rPr>
          <w:rFonts w:ascii="Arial" w:eastAsia="Arial" w:hAnsi="Arial" w:cs="Arial"/>
        </w:rPr>
        <w:t xml:space="preserve"> N, </w:t>
      </w:r>
      <w:proofErr w:type="spellStart"/>
      <w:r w:rsidRPr="009D53BB">
        <w:rPr>
          <w:rFonts w:ascii="Arial" w:eastAsia="Arial" w:hAnsi="Arial" w:cs="Arial"/>
        </w:rPr>
        <w:t>Aluru</w:t>
      </w:r>
      <w:proofErr w:type="spellEnd"/>
      <w:r w:rsidRPr="009D53BB">
        <w:rPr>
          <w:rFonts w:ascii="Arial" w:eastAsia="Arial" w:hAnsi="Arial" w:cs="Arial"/>
        </w:rPr>
        <w:t xml:space="preserve"> S, </w:t>
      </w:r>
      <w:proofErr w:type="spellStart"/>
      <w:r w:rsidRPr="009D53BB">
        <w:rPr>
          <w:rFonts w:ascii="Arial" w:eastAsia="Arial" w:hAnsi="Arial" w:cs="Arial"/>
        </w:rPr>
        <w:t>Chakrapani</w:t>
      </w:r>
      <w:proofErr w:type="spellEnd"/>
      <w:r w:rsidRPr="009D53BB">
        <w:rPr>
          <w:rFonts w:ascii="Arial" w:eastAsia="Arial" w:hAnsi="Arial" w:cs="Arial"/>
        </w:rPr>
        <w:t xml:space="preserve"> S, </w:t>
      </w:r>
      <w:proofErr w:type="spellStart"/>
      <w:r w:rsidRPr="009D53BB">
        <w:rPr>
          <w:rFonts w:ascii="Arial" w:eastAsia="Arial" w:hAnsi="Arial" w:cs="Arial"/>
        </w:rPr>
        <w:t>Chowdary</w:t>
      </w:r>
      <w:proofErr w:type="spellEnd"/>
      <w:r w:rsidRPr="009D53BB">
        <w:rPr>
          <w:rFonts w:ascii="Arial" w:eastAsia="Arial" w:hAnsi="Arial" w:cs="Arial"/>
        </w:rPr>
        <w:t xml:space="preserve"> B. </w:t>
      </w:r>
      <w:r w:rsidRPr="00A96FE7">
        <w:rPr>
          <w:rFonts w:ascii="Arial" w:eastAsia="Arial" w:hAnsi="Arial" w:cs="Arial"/>
        </w:rPr>
        <w:t xml:space="preserve">A. Local delivery of hyaluronan 0.8% as an adjunct to scaling and root </w:t>
      </w:r>
      <w:proofErr w:type="spellStart"/>
      <w:r w:rsidRPr="00A96FE7">
        <w:rPr>
          <w:rFonts w:ascii="Arial" w:eastAsia="Arial" w:hAnsi="Arial" w:cs="Arial"/>
        </w:rPr>
        <w:t>planing</w:t>
      </w:r>
      <w:proofErr w:type="spellEnd"/>
      <w:r w:rsidRPr="00A96FE7">
        <w:rPr>
          <w:rFonts w:ascii="Arial" w:eastAsia="Arial" w:hAnsi="Arial" w:cs="Arial"/>
        </w:rPr>
        <w:t xml:space="preserve"> in the treatment of chronic periodontitis: A clinical and microbiological study. </w:t>
      </w:r>
      <w:proofErr w:type="gramStart"/>
      <w:r w:rsidRPr="00A96FE7">
        <w:rPr>
          <w:rFonts w:ascii="Arial" w:eastAsia="Arial" w:hAnsi="Arial" w:cs="Arial"/>
        </w:rPr>
        <w:t xml:space="preserve">J Indian </w:t>
      </w:r>
      <w:proofErr w:type="spellStart"/>
      <w:r w:rsidRPr="00A96FE7">
        <w:rPr>
          <w:rFonts w:ascii="Arial" w:eastAsia="Arial" w:hAnsi="Arial" w:cs="Arial"/>
        </w:rPr>
        <w:t>Soc</w:t>
      </w:r>
      <w:proofErr w:type="spellEnd"/>
      <w:r w:rsidRPr="00A96FE7">
        <w:rPr>
          <w:rFonts w:ascii="Arial" w:eastAsia="Arial" w:hAnsi="Arial" w:cs="Arial"/>
        </w:rPr>
        <w:t xml:space="preserve"> </w:t>
      </w:r>
      <w:proofErr w:type="spellStart"/>
      <w:r w:rsidRPr="00A96FE7">
        <w:rPr>
          <w:rFonts w:ascii="Arial" w:eastAsia="Arial" w:hAnsi="Arial" w:cs="Arial"/>
        </w:rPr>
        <w:t>Periodontol</w:t>
      </w:r>
      <w:proofErr w:type="spellEnd"/>
      <w:r>
        <w:rPr>
          <w:rFonts w:ascii="Arial" w:eastAsia="Arial" w:hAnsi="Arial" w:cs="Arial"/>
        </w:rPr>
        <w:t>.</w:t>
      </w:r>
      <w:proofErr w:type="gramEnd"/>
      <w:r>
        <w:rPr>
          <w:rFonts w:ascii="Arial" w:eastAsia="Arial" w:hAnsi="Arial" w:cs="Arial"/>
        </w:rPr>
        <w:t xml:space="preserve"> 2015</w:t>
      </w:r>
      <w:proofErr w:type="gramStart"/>
      <w:r>
        <w:rPr>
          <w:rFonts w:ascii="Arial" w:eastAsia="Arial" w:hAnsi="Arial" w:cs="Arial"/>
        </w:rPr>
        <w:t>;</w:t>
      </w:r>
      <w:r w:rsidRPr="00A96FE7">
        <w:rPr>
          <w:rFonts w:ascii="Arial" w:eastAsia="Arial" w:hAnsi="Arial" w:cs="Arial"/>
        </w:rPr>
        <w:t>19</w:t>
      </w:r>
      <w:proofErr w:type="gramEnd"/>
      <w:r w:rsidRPr="00A96FE7">
        <w:rPr>
          <w:rFonts w:ascii="Arial" w:eastAsia="Arial" w:hAnsi="Arial" w:cs="Arial"/>
        </w:rPr>
        <w:t>(1)</w:t>
      </w:r>
      <w:r>
        <w:rPr>
          <w:rFonts w:ascii="Arial" w:eastAsia="Arial" w:hAnsi="Arial" w:cs="Arial"/>
        </w:rPr>
        <w:t>:</w:t>
      </w:r>
      <w:r w:rsidRPr="00A96FE7">
        <w:rPr>
          <w:rFonts w:ascii="Arial" w:eastAsia="Arial" w:hAnsi="Arial" w:cs="Arial"/>
        </w:rPr>
        <w:t xml:space="preserve">30-6. </w:t>
      </w:r>
      <w:proofErr w:type="spellStart"/>
      <w:proofErr w:type="gramStart"/>
      <w:r w:rsidRPr="00A96FE7">
        <w:rPr>
          <w:rFonts w:ascii="Arial" w:eastAsia="Arial" w:hAnsi="Arial" w:cs="Arial"/>
        </w:rPr>
        <w:t>doi</w:t>
      </w:r>
      <w:proofErr w:type="spellEnd"/>
      <w:proofErr w:type="gramEnd"/>
      <w:r w:rsidRPr="00A96FE7">
        <w:rPr>
          <w:rFonts w:ascii="Arial" w:eastAsia="Arial" w:hAnsi="Arial" w:cs="Arial"/>
        </w:rPr>
        <w:t>: 10.4103/0972-124X.145807.</w:t>
      </w:r>
    </w:p>
    <w:p w:rsidR="00EF20CA" w:rsidRPr="00A96FE7" w:rsidRDefault="00EF20CA" w:rsidP="0075176F">
      <w:pPr>
        <w:widowControl w:val="0"/>
        <w:spacing w:line="360" w:lineRule="auto"/>
        <w:ind w:left="480" w:hanging="480"/>
        <w:jc w:val="both"/>
        <w:rPr>
          <w:rFonts w:ascii="Arial" w:eastAsia="Arial" w:hAnsi="Arial" w:cs="Arial"/>
        </w:rPr>
      </w:pPr>
      <w:r>
        <w:rPr>
          <w:rFonts w:ascii="Arial" w:eastAsia="Arial" w:hAnsi="Arial" w:cs="Arial"/>
        </w:rPr>
        <w:t xml:space="preserve">14. </w:t>
      </w:r>
      <w:r w:rsidRPr="005216DE">
        <w:rPr>
          <w:rFonts w:ascii="Arial" w:eastAsia="Arial" w:hAnsi="Arial" w:cs="Arial"/>
        </w:rPr>
        <w:t xml:space="preserve">Shah SA, </w:t>
      </w:r>
      <w:proofErr w:type="spellStart"/>
      <w:r w:rsidRPr="005216DE">
        <w:rPr>
          <w:rFonts w:ascii="Arial" w:eastAsia="Arial" w:hAnsi="Arial" w:cs="Arial"/>
        </w:rPr>
        <w:t>Vijayakar</w:t>
      </w:r>
      <w:proofErr w:type="spellEnd"/>
      <w:r w:rsidRPr="005216DE">
        <w:rPr>
          <w:rFonts w:ascii="Arial" w:eastAsia="Arial" w:hAnsi="Arial" w:cs="Arial"/>
        </w:rPr>
        <w:t xml:space="preserve"> HN, Rodrigues SV, Mehta CJ, </w:t>
      </w:r>
      <w:proofErr w:type="spellStart"/>
      <w:r w:rsidRPr="005216DE">
        <w:rPr>
          <w:rFonts w:ascii="Arial" w:eastAsia="Arial" w:hAnsi="Arial" w:cs="Arial"/>
        </w:rPr>
        <w:t>Mitra</w:t>
      </w:r>
      <w:proofErr w:type="spellEnd"/>
      <w:r w:rsidRPr="005216DE">
        <w:rPr>
          <w:rFonts w:ascii="Arial" w:eastAsia="Arial" w:hAnsi="Arial" w:cs="Arial"/>
        </w:rPr>
        <w:t xml:space="preserve"> DK, Shah RA. </w:t>
      </w:r>
      <w:r w:rsidRPr="00A96FE7">
        <w:rPr>
          <w:rFonts w:ascii="Arial" w:eastAsia="Arial" w:hAnsi="Arial" w:cs="Arial"/>
        </w:rPr>
        <w:t xml:space="preserve">To compare the effect of the local delivery of hyaluronan as an adjunct to scaling and root </w:t>
      </w:r>
      <w:proofErr w:type="spellStart"/>
      <w:r w:rsidRPr="00A96FE7">
        <w:rPr>
          <w:rFonts w:ascii="Arial" w:eastAsia="Arial" w:hAnsi="Arial" w:cs="Arial"/>
        </w:rPr>
        <w:t>planing</w:t>
      </w:r>
      <w:proofErr w:type="spellEnd"/>
      <w:r w:rsidRPr="00A96FE7">
        <w:rPr>
          <w:rFonts w:ascii="Arial" w:eastAsia="Arial" w:hAnsi="Arial" w:cs="Arial"/>
        </w:rPr>
        <w:t xml:space="preserve"> </w:t>
      </w:r>
      <w:r w:rsidRPr="00A96FE7">
        <w:rPr>
          <w:rFonts w:ascii="Arial" w:eastAsia="Arial" w:hAnsi="Arial" w:cs="Arial"/>
        </w:rPr>
        <w:lastRenderedPageBreak/>
        <w:t xml:space="preserve">versus scaling and root </w:t>
      </w:r>
      <w:proofErr w:type="spellStart"/>
      <w:r w:rsidRPr="00A96FE7">
        <w:rPr>
          <w:rFonts w:ascii="Arial" w:eastAsia="Arial" w:hAnsi="Arial" w:cs="Arial"/>
        </w:rPr>
        <w:t>planing</w:t>
      </w:r>
      <w:proofErr w:type="spellEnd"/>
      <w:r w:rsidRPr="00A96FE7">
        <w:rPr>
          <w:rFonts w:ascii="Arial" w:eastAsia="Arial" w:hAnsi="Arial" w:cs="Arial"/>
        </w:rPr>
        <w:t xml:space="preserve"> alone in the treatment of chronic periodontitis. </w:t>
      </w:r>
      <w:proofErr w:type="gramStart"/>
      <w:r w:rsidRPr="00A96FE7">
        <w:rPr>
          <w:rFonts w:ascii="Arial" w:eastAsia="Arial" w:hAnsi="Arial" w:cs="Arial"/>
        </w:rPr>
        <w:t xml:space="preserve">J Indian </w:t>
      </w:r>
      <w:proofErr w:type="spellStart"/>
      <w:r w:rsidRPr="00A96FE7">
        <w:rPr>
          <w:rFonts w:ascii="Arial" w:eastAsia="Arial" w:hAnsi="Arial" w:cs="Arial"/>
        </w:rPr>
        <w:t>Soc</w:t>
      </w:r>
      <w:proofErr w:type="spellEnd"/>
      <w:r w:rsidRPr="00A96FE7">
        <w:rPr>
          <w:rFonts w:ascii="Arial" w:eastAsia="Arial" w:hAnsi="Arial" w:cs="Arial"/>
        </w:rPr>
        <w:t xml:space="preserve"> </w:t>
      </w:r>
      <w:proofErr w:type="spellStart"/>
      <w:r w:rsidRPr="00A96FE7">
        <w:rPr>
          <w:rFonts w:ascii="Arial" w:eastAsia="Arial" w:hAnsi="Arial" w:cs="Arial"/>
        </w:rPr>
        <w:t>Periodontol</w:t>
      </w:r>
      <w:proofErr w:type="spellEnd"/>
      <w:r>
        <w:rPr>
          <w:rFonts w:ascii="Arial" w:eastAsia="Arial" w:hAnsi="Arial" w:cs="Arial"/>
        </w:rPr>
        <w:t>.</w:t>
      </w:r>
      <w:proofErr w:type="gramEnd"/>
      <w:r>
        <w:rPr>
          <w:rFonts w:ascii="Arial" w:eastAsia="Arial" w:hAnsi="Arial" w:cs="Arial"/>
        </w:rPr>
        <w:t xml:space="preserve"> 2016</w:t>
      </w:r>
      <w:proofErr w:type="gramStart"/>
      <w:r>
        <w:rPr>
          <w:rFonts w:ascii="Arial" w:eastAsia="Arial" w:hAnsi="Arial" w:cs="Arial"/>
        </w:rPr>
        <w:t>;</w:t>
      </w:r>
      <w:r w:rsidRPr="00A96FE7">
        <w:rPr>
          <w:rFonts w:ascii="Arial" w:eastAsia="Arial" w:hAnsi="Arial" w:cs="Arial"/>
        </w:rPr>
        <w:t>6</w:t>
      </w:r>
      <w:proofErr w:type="gramEnd"/>
      <w:r w:rsidRPr="00A96FE7">
        <w:rPr>
          <w:rFonts w:ascii="Arial" w:eastAsia="Arial" w:hAnsi="Arial" w:cs="Arial"/>
        </w:rPr>
        <w:t>;20(5)</w:t>
      </w:r>
      <w:r>
        <w:rPr>
          <w:rFonts w:ascii="Arial" w:eastAsia="Arial" w:hAnsi="Arial" w:cs="Arial"/>
        </w:rPr>
        <w:t>:</w:t>
      </w:r>
      <w:r w:rsidRPr="00A96FE7">
        <w:rPr>
          <w:rFonts w:ascii="Arial" w:eastAsia="Arial" w:hAnsi="Arial" w:cs="Arial"/>
        </w:rPr>
        <w:t xml:space="preserve">549–56. </w:t>
      </w:r>
      <w:proofErr w:type="spellStart"/>
      <w:proofErr w:type="gramStart"/>
      <w:r w:rsidRPr="00A96FE7">
        <w:rPr>
          <w:rFonts w:ascii="Arial" w:eastAsia="Arial" w:hAnsi="Arial" w:cs="Arial"/>
        </w:rPr>
        <w:t>doi</w:t>
      </w:r>
      <w:proofErr w:type="spellEnd"/>
      <w:proofErr w:type="gramEnd"/>
      <w:r w:rsidRPr="00A96FE7">
        <w:rPr>
          <w:rFonts w:ascii="Arial" w:eastAsia="Arial" w:hAnsi="Arial" w:cs="Arial"/>
        </w:rPr>
        <w:t>: 10.4103/0972-124X.201695.</w:t>
      </w:r>
    </w:p>
    <w:p w:rsidR="00EF20CA" w:rsidRPr="00A96FE7" w:rsidRDefault="00EF20CA" w:rsidP="0075176F">
      <w:pPr>
        <w:widowControl w:val="0"/>
        <w:spacing w:line="360" w:lineRule="auto"/>
        <w:ind w:left="480" w:hanging="480"/>
        <w:jc w:val="both"/>
        <w:rPr>
          <w:rFonts w:ascii="Arial" w:eastAsia="Arial" w:hAnsi="Arial" w:cs="Arial"/>
        </w:rPr>
      </w:pPr>
      <w:r>
        <w:rPr>
          <w:rFonts w:ascii="Arial" w:eastAsia="Arial" w:hAnsi="Arial" w:cs="Arial"/>
          <w:lang w:val="pt-BR"/>
        </w:rPr>
        <w:t xml:space="preserve">15. </w:t>
      </w:r>
      <w:proofErr w:type="spellStart"/>
      <w:r w:rsidRPr="009D53BB">
        <w:rPr>
          <w:rFonts w:ascii="Arial" w:eastAsia="Arial" w:hAnsi="Arial" w:cs="Arial"/>
          <w:lang w:val="pt-BR"/>
        </w:rPr>
        <w:t>Gallo</w:t>
      </w:r>
      <w:proofErr w:type="spellEnd"/>
      <w:r w:rsidRPr="009D53BB">
        <w:rPr>
          <w:rFonts w:ascii="Arial" w:eastAsia="Arial" w:hAnsi="Arial" w:cs="Arial"/>
          <w:lang w:val="pt-BR"/>
        </w:rPr>
        <w:t xml:space="preserve"> N, Nasser H, Salvatore L, Natali ML, Campa L, </w:t>
      </w:r>
      <w:proofErr w:type="spellStart"/>
      <w:r w:rsidRPr="009D53BB">
        <w:rPr>
          <w:rFonts w:ascii="Arial" w:eastAsia="Arial" w:hAnsi="Arial" w:cs="Arial"/>
          <w:lang w:val="pt-BR"/>
        </w:rPr>
        <w:t>Mahmoud</w:t>
      </w:r>
      <w:proofErr w:type="spellEnd"/>
      <w:r w:rsidRPr="009D53BB">
        <w:rPr>
          <w:rFonts w:ascii="Arial" w:eastAsia="Arial" w:hAnsi="Arial" w:cs="Arial"/>
          <w:lang w:val="pt-BR"/>
        </w:rPr>
        <w:t xml:space="preserve"> M, </w:t>
      </w:r>
      <w:proofErr w:type="gramStart"/>
      <w:r w:rsidRPr="009D53BB">
        <w:rPr>
          <w:rFonts w:ascii="Arial" w:eastAsia="Arial" w:hAnsi="Arial" w:cs="Arial"/>
          <w:lang w:val="pt-BR"/>
        </w:rPr>
        <w:t>et</w:t>
      </w:r>
      <w:proofErr w:type="gramEnd"/>
      <w:r w:rsidRPr="009D53BB">
        <w:rPr>
          <w:rFonts w:ascii="Arial" w:eastAsia="Arial" w:hAnsi="Arial" w:cs="Arial"/>
          <w:lang w:val="pt-BR"/>
        </w:rPr>
        <w:t xml:space="preserve"> al. </w:t>
      </w:r>
      <w:r w:rsidRPr="00A96FE7">
        <w:rPr>
          <w:rFonts w:ascii="Arial" w:eastAsia="Arial" w:hAnsi="Arial" w:cs="Arial"/>
        </w:rPr>
        <w:t xml:space="preserve">Hyaluronic acid for advanced therapies: Promises and challenges. </w:t>
      </w:r>
      <w:proofErr w:type="spellStart"/>
      <w:r w:rsidRPr="00A96FE7">
        <w:rPr>
          <w:rFonts w:ascii="Arial" w:eastAsia="Arial" w:hAnsi="Arial" w:cs="Arial"/>
        </w:rPr>
        <w:t>Eur</w:t>
      </w:r>
      <w:proofErr w:type="spellEnd"/>
      <w:r w:rsidRPr="00A96FE7">
        <w:rPr>
          <w:rFonts w:ascii="Arial" w:eastAsia="Arial" w:hAnsi="Arial" w:cs="Arial"/>
        </w:rPr>
        <w:t xml:space="preserve"> </w:t>
      </w:r>
      <w:proofErr w:type="spellStart"/>
      <w:r w:rsidRPr="00A96FE7">
        <w:rPr>
          <w:rFonts w:ascii="Arial" w:eastAsia="Arial" w:hAnsi="Arial" w:cs="Arial"/>
        </w:rPr>
        <w:t>Polym</w:t>
      </w:r>
      <w:proofErr w:type="spellEnd"/>
      <w:r w:rsidRPr="00A96FE7">
        <w:rPr>
          <w:rFonts w:ascii="Arial" w:eastAsia="Arial" w:hAnsi="Arial" w:cs="Arial"/>
        </w:rPr>
        <w:t xml:space="preserve"> J</w:t>
      </w:r>
      <w:r>
        <w:rPr>
          <w:rFonts w:ascii="Arial" w:eastAsia="Arial" w:hAnsi="Arial" w:cs="Arial"/>
        </w:rPr>
        <w:t>. 2019</w:t>
      </w:r>
      <w:proofErr w:type="gramStart"/>
      <w:r>
        <w:rPr>
          <w:rFonts w:ascii="Arial" w:eastAsia="Arial" w:hAnsi="Arial" w:cs="Arial"/>
        </w:rPr>
        <w:t>;</w:t>
      </w:r>
      <w:r w:rsidRPr="00A96FE7">
        <w:rPr>
          <w:rFonts w:ascii="Arial" w:eastAsia="Arial" w:hAnsi="Arial" w:cs="Arial"/>
        </w:rPr>
        <w:t>117</w:t>
      </w:r>
      <w:r>
        <w:rPr>
          <w:rFonts w:ascii="Arial" w:eastAsia="Arial" w:hAnsi="Arial" w:cs="Arial"/>
        </w:rPr>
        <w:t>:</w:t>
      </w:r>
      <w:r w:rsidRPr="00A96FE7">
        <w:rPr>
          <w:rFonts w:ascii="Arial" w:eastAsia="Arial" w:hAnsi="Arial" w:cs="Arial"/>
        </w:rPr>
        <w:t>134</w:t>
      </w:r>
      <w:proofErr w:type="gramEnd"/>
      <w:r w:rsidRPr="00A96FE7">
        <w:rPr>
          <w:rFonts w:ascii="Arial" w:eastAsia="Arial" w:hAnsi="Arial" w:cs="Arial"/>
        </w:rPr>
        <w:t>–47. doi:10.1016/j.eurpolymj.2019.05.007.</w:t>
      </w:r>
    </w:p>
    <w:p w:rsidR="00EF20CA" w:rsidRPr="00A96FE7" w:rsidRDefault="00EF20CA" w:rsidP="0075176F">
      <w:pPr>
        <w:widowControl w:val="0"/>
        <w:spacing w:line="360" w:lineRule="auto"/>
        <w:ind w:left="480" w:hanging="480"/>
        <w:jc w:val="both"/>
        <w:rPr>
          <w:rFonts w:ascii="Arial" w:eastAsia="Arial" w:hAnsi="Arial" w:cs="Arial"/>
          <w:lang w:val="pt-BR"/>
        </w:rPr>
      </w:pPr>
      <w:r>
        <w:rPr>
          <w:rFonts w:ascii="Arial" w:eastAsia="Arial" w:hAnsi="Arial" w:cs="Arial"/>
        </w:rPr>
        <w:t xml:space="preserve">16. </w:t>
      </w:r>
      <w:proofErr w:type="spellStart"/>
      <w:r w:rsidRPr="00A96FE7">
        <w:rPr>
          <w:rFonts w:ascii="Arial" w:eastAsia="Arial" w:hAnsi="Arial" w:cs="Arial"/>
        </w:rPr>
        <w:t>Fakhari</w:t>
      </w:r>
      <w:proofErr w:type="spellEnd"/>
      <w:r w:rsidRPr="00A96FE7">
        <w:rPr>
          <w:rFonts w:ascii="Arial" w:eastAsia="Arial" w:hAnsi="Arial" w:cs="Arial"/>
        </w:rPr>
        <w:t xml:space="preserve"> A, </w:t>
      </w:r>
      <w:proofErr w:type="spellStart"/>
      <w:r w:rsidRPr="00A96FE7">
        <w:rPr>
          <w:rFonts w:ascii="Arial" w:eastAsia="Arial" w:hAnsi="Arial" w:cs="Arial"/>
        </w:rPr>
        <w:t>Berkland</w:t>
      </w:r>
      <w:proofErr w:type="spellEnd"/>
      <w:r w:rsidRPr="00A96FE7">
        <w:rPr>
          <w:rFonts w:ascii="Arial" w:eastAsia="Arial" w:hAnsi="Arial" w:cs="Arial"/>
        </w:rPr>
        <w:t xml:space="preserve"> C. Applications and emerging trends of hyaluronic acid in tissue engineering, as </w:t>
      </w:r>
      <w:proofErr w:type="gramStart"/>
      <w:r w:rsidRPr="00A96FE7">
        <w:rPr>
          <w:rFonts w:ascii="Arial" w:eastAsia="Arial" w:hAnsi="Arial" w:cs="Arial"/>
        </w:rPr>
        <w:t>a dermal</w:t>
      </w:r>
      <w:proofErr w:type="gramEnd"/>
      <w:r w:rsidRPr="00A96FE7">
        <w:rPr>
          <w:rFonts w:ascii="Arial" w:eastAsia="Arial" w:hAnsi="Arial" w:cs="Arial"/>
        </w:rPr>
        <w:t xml:space="preserve"> filler and in osteoarthritis treatment. </w:t>
      </w:r>
      <w:r w:rsidRPr="00A96FE7">
        <w:rPr>
          <w:rFonts w:ascii="Arial" w:eastAsia="Arial" w:hAnsi="Arial" w:cs="Arial"/>
          <w:lang w:val="pt-BR"/>
        </w:rPr>
        <w:t xml:space="preserve">Acta </w:t>
      </w:r>
      <w:proofErr w:type="spellStart"/>
      <w:r w:rsidRPr="00A96FE7">
        <w:rPr>
          <w:rFonts w:ascii="Arial" w:eastAsia="Arial" w:hAnsi="Arial" w:cs="Arial"/>
          <w:lang w:val="pt-BR"/>
        </w:rPr>
        <w:t>Biomaterialia</w:t>
      </w:r>
      <w:proofErr w:type="spellEnd"/>
      <w:r>
        <w:rPr>
          <w:rFonts w:ascii="Arial" w:eastAsia="Arial" w:hAnsi="Arial" w:cs="Arial"/>
          <w:lang w:val="pt-BR"/>
        </w:rPr>
        <w:t xml:space="preserve">. </w:t>
      </w:r>
      <w:proofErr w:type="gramStart"/>
      <w:r>
        <w:rPr>
          <w:rFonts w:ascii="Arial" w:eastAsia="Arial" w:hAnsi="Arial" w:cs="Arial"/>
          <w:lang w:val="pt-BR"/>
        </w:rPr>
        <w:t>2013;</w:t>
      </w:r>
      <w:proofErr w:type="gramEnd"/>
      <w:r w:rsidRPr="00A96FE7">
        <w:rPr>
          <w:rFonts w:ascii="Arial" w:eastAsia="Arial" w:hAnsi="Arial" w:cs="Arial"/>
          <w:lang w:val="pt-BR"/>
        </w:rPr>
        <w:t>9(7)</w:t>
      </w:r>
      <w:r>
        <w:rPr>
          <w:rFonts w:ascii="Arial" w:eastAsia="Arial" w:hAnsi="Arial" w:cs="Arial"/>
          <w:lang w:val="pt-BR"/>
        </w:rPr>
        <w:t>:</w:t>
      </w:r>
      <w:r w:rsidRPr="00A96FE7">
        <w:rPr>
          <w:rFonts w:ascii="Arial" w:eastAsia="Arial" w:hAnsi="Arial" w:cs="Arial"/>
          <w:lang w:val="pt-BR"/>
        </w:rPr>
        <w:t xml:space="preserve">7081-7092. </w:t>
      </w:r>
      <w:proofErr w:type="gramStart"/>
      <w:r w:rsidRPr="00A96FE7">
        <w:rPr>
          <w:rFonts w:ascii="Arial" w:eastAsia="Arial" w:hAnsi="Arial" w:cs="Arial"/>
          <w:lang w:val="pt-BR"/>
        </w:rPr>
        <w:t>doi</w:t>
      </w:r>
      <w:proofErr w:type="gramEnd"/>
      <w:r w:rsidRPr="00A96FE7">
        <w:rPr>
          <w:rFonts w:ascii="Arial" w:eastAsia="Arial" w:hAnsi="Arial" w:cs="Arial"/>
          <w:lang w:val="pt-BR"/>
        </w:rPr>
        <w:t>: 10.1016/j.actbio.2013.03.005.</w:t>
      </w:r>
    </w:p>
    <w:p w:rsidR="00EF20CA" w:rsidRPr="00A96FE7" w:rsidRDefault="00EF20CA" w:rsidP="0075176F">
      <w:pPr>
        <w:widowControl w:val="0"/>
        <w:spacing w:line="360" w:lineRule="auto"/>
        <w:ind w:left="480" w:hanging="480"/>
        <w:jc w:val="both"/>
        <w:rPr>
          <w:rFonts w:ascii="Arial" w:eastAsia="Arial" w:hAnsi="Arial" w:cs="Arial"/>
        </w:rPr>
      </w:pPr>
      <w:r>
        <w:rPr>
          <w:rFonts w:ascii="Arial" w:hAnsi="Arial"/>
        </w:rPr>
        <w:t xml:space="preserve">17. </w:t>
      </w:r>
      <w:proofErr w:type="spellStart"/>
      <w:r w:rsidRPr="00A96FE7">
        <w:rPr>
          <w:rFonts w:ascii="Arial" w:hAnsi="Arial"/>
        </w:rPr>
        <w:t>Geissmann</w:t>
      </w:r>
      <w:proofErr w:type="spellEnd"/>
      <w:r w:rsidRPr="00A96FE7">
        <w:rPr>
          <w:rFonts w:ascii="Arial" w:hAnsi="Arial"/>
        </w:rPr>
        <w:t xml:space="preserve"> F, Jung S, Littman DR. Blood monocytes consist of two principal subsets with distinct migratory properties. </w:t>
      </w:r>
      <w:proofErr w:type="gramStart"/>
      <w:r w:rsidRPr="00A96FE7">
        <w:rPr>
          <w:rFonts w:ascii="Arial" w:hAnsi="Arial"/>
          <w:iCs/>
        </w:rPr>
        <w:t>Immunity</w:t>
      </w:r>
      <w:r>
        <w:rPr>
          <w:rFonts w:ascii="Arial" w:hAnsi="Arial"/>
          <w:iCs/>
        </w:rPr>
        <w:t>.</w:t>
      </w:r>
      <w:proofErr w:type="gramEnd"/>
      <w:r>
        <w:rPr>
          <w:rFonts w:ascii="Arial" w:hAnsi="Arial"/>
          <w:iCs/>
        </w:rPr>
        <w:t xml:space="preserve"> 2003</w:t>
      </w:r>
      <w:proofErr w:type="gramStart"/>
      <w:r>
        <w:rPr>
          <w:rFonts w:ascii="Arial" w:hAnsi="Arial"/>
          <w:iCs/>
        </w:rPr>
        <w:t>;</w:t>
      </w:r>
      <w:r w:rsidRPr="00A96FE7">
        <w:rPr>
          <w:rFonts w:ascii="Arial" w:hAnsi="Arial"/>
          <w:iCs/>
        </w:rPr>
        <w:t>19</w:t>
      </w:r>
      <w:proofErr w:type="gramEnd"/>
      <w:r w:rsidRPr="00A96FE7">
        <w:rPr>
          <w:rFonts w:ascii="Arial" w:hAnsi="Arial"/>
        </w:rPr>
        <w:t>(1)</w:t>
      </w:r>
      <w:r>
        <w:rPr>
          <w:rFonts w:ascii="Arial" w:hAnsi="Arial"/>
        </w:rPr>
        <w:t>:</w:t>
      </w:r>
      <w:r w:rsidRPr="00A96FE7">
        <w:rPr>
          <w:rFonts w:ascii="Arial" w:hAnsi="Arial"/>
        </w:rPr>
        <w:t>71–82. https://doi.org/10.1016/S1074-</w:t>
      </w:r>
      <w:proofErr w:type="gramStart"/>
      <w:r w:rsidRPr="00A96FE7">
        <w:rPr>
          <w:rFonts w:ascii="Arial" w:hAnsi="Arial"/>
        </w:rPr>
        <w:t>7613(</w:t>
      </w:r>
      <w:proofErr w:type="gramEnd"/>
      <w:r w:rsidRPr="00A96FE7">
        <w:rPr>
          <w:rFonts w:ascii="Arial" w:hAnsi="Arial"/>
        </w:rPr>
        <w:t>03)00174-2</w:t>
      </w:r>
    </w:p>
    <w:p w:rsidR="00EF20CA" w:rsidRDefault="00EF20CA" w:rsidP="0075176F">
      <w:pPr>
        <w:widowControl w:val="0"/>
        <w:spacing w:line="360" w:lineRule="auto"/>
        <w:ind w:left="480" w:hanging="480"/>
        <w:jc w:val="both"/>
        <w:rPr>
          <w:rFonts w:ascii="Arial" w:hAnsi="Arial"/>
        </w:rPr>
      </w:pPr>
      <w:r>
        <w:rPr>
          <w:rFonts w:ascii="Arial" w:hAnsi="Arial"/>
        </w:rPr>
        <w:t xml:space="preserve">18. </w:t>
      </w:r>
      <w:r w:rsidRPr="00A96FE7">
        <w:rPr>
          <w:rFonts w:ascii="Arial" w:hAnsi="Arial"/>
        </w:rPr>
        <w:t>Ziegler-</w:t>
      </w:r>
      <w:proofErr w:type="spellStart"/>
      <w:r w:rsidRPr="00A96FE7">
        <w:rPr>
          <w:rFonts w:ascii="Arial" w:hAnsi="Arial"/>
        </w:rPr>
        <w:t>Heitbrock</w:t>
      </w:r>
      <w:proofErr w:type="spellEnd"/>
      <w:r w:rsidRPr="00A96FE7">
        <w:rPr>
          <w:rFonts w:ascii="Arial" w:hAnsi="Arial"/>
        </w:rPr>
        <w:t xml:space="preserve"> L. Monocyte subsets in man and other species. </w:t>
      </w:r>
      <w:proofErr w:type="gramStart"/>
      <w:r w:rsidRPr="00A96FE7">
        <w:rPr>
          <w:rFonts w:ascii="Arial" w:hAnsi="Arial"/>
          <w:iCs/>
        </w:rPr>
        <w:t>Cellular Immunology</w:t>
      </w:r>
      <w:r>
        <w:rPr>
          <w:rFonts w:ascii="Arial" w:hAnsi="Arial"/>
          <w:iCs/>
        </w:rPr>
        <w:t>.</w:t>
      </w:r>
      <w:proofErr w:type="gramEnd"/>
      <w:r>
        <w:rPr>
          <w:rFonts w:ascii="Arial" w:hAnsi="Arial"/>
          <w:iCs/>
        </w:rPr>
        <w:t xml:space="preserve"> 2014</w:t>
      </w:r>
      <w:proofErr w:type="gramStart"/>
      <w:r>
        <w:rPr>
          <w:rFonts w:ascii="Arial" w:hAnsi="Arial"/>
          <w:iCs/>
        </w:rPr>
        <w:t>;</w:t>
      </w:r>
      <w:r w:rsidRPr="00A96FE7">
        <w:rPr>
          <w:rFonts w:ascii="Arial" w:hAnsi="Arial"/>
          <w:iCs/>
        </w:rPr>
        <w:t>289</w:t>
      </w:r>
      <w:proofErr w:type="gramEnd"/>
      <w:r w:rsidRPr="00A96FE7">
        <w:rPr>
          <w:rFonts w:ascii="Arial" w:hAnsi="Arial"/>
        </w:rPr>
        <w:t>(1–2)</w:t>
      </w:r>
      <w:r>
        <w:rPr>
          <w:rFonts w:ascii="Arial" w:hAnsi="Arial"/>
        </w:rPr>
        <w:t>:135–</w:t>
      </w:r>
      <w:r w:rsidRPr="00A96FE7">
        <w:rPr>
          <w:rFonts w:ascii="Arial" w:hAnsi="Arial"/>
        </w:rPr>
        <w:t>39. https://doi.org/10.1016/j.cellimm.2014.03.019</w:t>
      </w:r>
    </w:p>
    <w:p w:rsidR="00EF20CA" w:rsidRPr="00A96FE7" w:rsidRDefault="00EF20CA" w:rsidP="0075176F">
      <w:pPr>
        <w:widowControl w:val="0"/>
        <w:spacing w:line="360" w:lineRule="auto"/>
        <w:ind w:left="480" w:hanging="480"/>
        <w:jc w:val="both"/>
        <w:rPr>
          <w:rFonts w:ascii="Arial" w:eastAsia="Arial" w:hAnsi="Arial" w:cs="Arial"/>
        </w:rPr>
      </w:pPr>
      <w:r>
        <w:rPr>
          <w:rFonts w:ascii="Arial" w:hAnsi="Arial"/>
        </w:rPr>
        <w:t xml:space="preserve">19. </w:t>
      </w:r>
      <w:proofErr w:type="spellStart"/>
      <w:r w:rsidRPr="00A96FE7">
        <w:rPr>
          <w:rFonts w:ascii="Arial" w:hAnsi="Arial"/>
        </w:rPr>
        <w:t>Teng</w:t>
      </w:r>
      <w:proofErr w:type="spellEnd"/>
      <w:r w:rsidRPr="00A96FE7">
        <w:rPr>
          <w:rFonts w:ascii="Arial" w:hAnsi="Arial"/>
        </w:rPr>
        <w:t xml:space="preserve"> YA. Protective and Destructive Immunity in the Periodontium</w:t>
      </w:r>
      <w:r w:rsidRPr="00A96FE7">
        <w:rPr>
          <w:rFonts w:ascii="Arial" w:hAnsi="Arial"/>
          <w:rtl/>
          <w:lang w:val="ar-SA"/>
        </w:rPr>
        <w:t> </w:t>
      </w:r>
      <w:r w:rsidRPr="00A96FE7">
        <w:rPr>
          <w:rFonts w:ascii="Arial" w:hAnsi="Arial"/>
        </w:rPr>
        <w:t xml:space="preserve">: Part 1 — Innate and Humoral Immunity and the Periodontium. </w:t>
      </w:r>
      <w:proofErr w:type="gramStart"/>
      <w:r w:rsidRPr="00A96FE7">
        <w:rPr>
          <w:rFonts w:ascii="Arial" w:hAnsi="Arial"/>
          <w:iCs/>
        </w:rPr>
        <w:t>Critical Reviews in Oral Biology and Medicine</w:t>
      </w:r>
      <w:r>
        <w:rPr>
          <w:rFonts w:ascii="Arial" w:hAnsi="Arial"/>
          <w:iCs/>
        </w:rPr>
        <w:t>.</w:t>
      </w:r>
      <w:proofErr w:type="gramEnd"/>
      <w:r>
        <w:rPr>
          <w:rFonts w:ascii="Arial" w:hAnsi="Arial"/>
          <w:iCs/>
        </w:rPr>
        <w:t xml:space="preserve"> 2006</w:t>
      </w:r>
      <w:proofErr w:type="gramStart"/>
      <w:r>
        <w:rPr>
          <w:rFonts w:ascii="Arial" w:hAnsi="Arial"/>
          <w:iCs/>
        </w:rPr>
        <w:t>;</w:t>
      </w:r>
      <w:r w:rsidRPr="00A96FE7">
        <w:rPr>
          <w:rFonts w:ascii="Arial" w:hAnsi="Arial"/>
          <w:iCs/>
        </w:rPr>
        <w:t>85</w:t>
      </w:r>
      <w:proofErr w:type="gramEnd"/>
      <w:r w:rsidRPr="00A96FE7">
        <w:rPr>
          <w:rFonts w:ascii="Arial" w:hAnsi="Arial"/>
        </w:rPr>
        <w:t>(3)</w:t>
      </w:r>
      <w:r>
        <w:rPr>
          <w:rFonts w:ascii="Arial" w:hAnsi="Arial"/>
        </w:rPr>
        <w:t>:</w:t>
      </w:r>
      <w:r w:rsidRPr="00A96FE7">
        <w:rPr>
          <w:rFonts w:ascii="Arial" w:hAnsi="Arial"/>
        </w:rPr>
        <w:t>198–208.</w:t>
      </w:r>
    </w:p>
    <w:p w:rsidR="00EF20CA" w:rsidRPr="00E057DC" w:rsidRDefault="00EF20CA" w:rsidP="0075176F">
      <w:pPr>
        <w:widowControl w:val="0"/>
        <w:spacing w:line="360" w:lineRule="auto"/>
        <w:ind w:left="480" w:hanging="480"/>
        <w:jc w:val="both"/>
        <w:rPr>
          <w:rFonts w:ascii="Arial" w:eastAsia="Arial" w:hAnsi="Arial" w:cs="Arial"/>
        </w:rPr>
      </w:pPr>
      <w:r>
        <w:rPr>
          <w:rFonts w:ascii="Arial" w:hAnsi="Arial"/>
        </w:rPr>
        <w:t xml:space="preserve">20. </w:t>
      </w:r>
      <w:r w:rsidRPr="00E057DC">
        <w:rPr>
          <w:rFonts w:ascii="Arial" w:hAnsi="Arial"/>
        </w:rPr>
        <w:t xml:space="preserve">Burns E, </w:t>
      </w:r>
      <w:proofErr w:type="spellStart"/>
      <w:r w:rsidRPr="00E057DC">
        <w:rPr>
          <w:rFonts w:ascii="Arial" w:hAnsi="Arial"/>
        </w:rPr>
        <w:t>Bachrach</w:t>
      </w:r>
      <w:proofErr w:type="spellEnd"/>
      <w:r w:rsidRPr="00E057DC">
        <w:rPr>
          <w:rFonts w:ascii="Arial" w:hAnsi="Arial"/>
        </w:rPr>
        <w:t xml:space="preserve"> G, </w:t>
      </w:r>
      <w:proofErr w:type="spellStart"/>
      <w:r w:rsidRPr="00E057DC">
        <w:rPr>
          <w:rFonts w:ascii="Arial" w:hAnsi="Arial"/>
        </w:rPr>
        <w:t>Shapira</w:t>
      </w:r>
      <w:proofErr w:type="spellEnd"/>
      <w:r w:rsidRPr="00E057DC">
        <w:rPr>
          <w:rFonts w:ascii="Arial" w:hAnsi="Arial"/>
        </w:rPr>
        <w:t xml:space="preserve"> L, </w:t>
      </w:r>
      <w:proofErr w:type="gramStart"/>
      <w:r w:rsidRPr="00E057DC">
        <w:rPr>
          <w:rFonts w:ascii="Arial" w:hAnsi="Arial"/>
        </w:rPr>
        <w:t>Nussbaum</w:t>
      </w:r>
      <w:proofErr w:type="gramEnd"/>
      <w:r w:rsidRPr="00E057DC">
        <w:rPr>
          <w:rFonts w:ascii="Arial" w:hAnsi="Arial"/>
        </w:rPr>
        <w:t xml:space="preserve"> G. Cutting Edge: TLR2 Is Required for the Innate Response to </w:t>
      </w:r>
      <w:proofErr w:type="spellStart"/>
      <w:r w:rsidRPr="00E057DC">
        <w:rPr>
          <w:rFonts w:ascii="Arial" w:hAnsi="Arial"/>
        </w:rPr>
        <w:t>Porphyromonas</w:t>
      </w:r>
      <w:proofErr w:type="spellEnd"/>
      <w:r w:rsidRPr="00E057DC">
        <w:rPr>
          <w:rFonts w:ascii="Arial" w:hAnsi="Arial"/>
        </w:rPr>
        <w:t xml:space="preserve"> </w:t>
      </w:r>
      <w:proofErr w:type="spellStart"/>
      <w:r w:rsidRPr="00E057DC">
        <w:rPr>
          <w:rFonts w:ascii="Arial" w:hAnsi="Arial"/>
        </w:rPr>
        <w:t>gingivalis</w:t>
      </w:r>
      <w:proofErr w:type="spellEnd"/>
      <w:r w:rsidRPr="00E057DC">
        <w:rPr>
          <w:rFonts w:ascii="Arial" w:hAnsi="Arial"/>
          <w:rtl/>
          <w:lang w:val="ar-SA"/>
        </w:rPr>
        <w:t> </w:t>
      </w:r>
      <w:r w:rsidRPr="00E057DC">
        <w:rPr>
          <w:rFonts w:ascii="Arial" w:hAnsi="Arial"/>
        </w:rPr>
        <w:t xml:space="preserve">: Activation Leads to Bacterial Persistence and TLR2 Deficiency Attenuates Induced Alveolar Bone </w:t>
      </w:r>
      <w:r w:rsidRPr="00A96FE7">
        <w:rPr>
          <w:rFonts w:ascii="Arial" w:hAnsi="Arial"/>
        </w:rPr>
        <w:t xml:space="preserve">Resorption. </w:t>
      </w:r>
      <w:proofErr w:type="gramStart"/>
      <w:r w:rsidRPr="00A96FE7">
        <w:rPr>
          <w:rFonts w:ascii="Arial" w:hAnsi="Arial"/>
          <w:iCs/>
        </w:rPr>
        <w:t>The Journal of Immunology.</w:t>
      </w:r>
      <w:proofErr w:type="gramEnd"/>
      <w:r>
        <w:rPr>
          <w:rFonts w:ascii="Arial" w:hAnsi="Arial"/>
          <w:i/>
          <w:iCs/>
        </w:rPr>
        <w:t xml:space="preserve"> </w:t>
      </w:r>
      <w:r w:rsidRPr="00A96FE7">
        <w:rPr>
          <w:rFonts w:ascii="Arial" w:hAnsi="Arial"/>
          <w:iCs/>
        </w:rPr>
        <w:t>2006</w:t>
      </w:r>
      <w:proofErr w:type="gramStart"/>
      <w:r w:rsidRPr="00A96FE7">
        <w:rPr>
          <w:rFonts w:ascii="Arial" w:hAnsi="Arial"/>
          <w:iCs/>
        </w:rPr>
        <w:t>;177</w:t>
      </w:r>
      <w:proofErr w:type="gramEnd"/>
      <w:r>
        <w:rPr>
          <w:rFonts w:ascii="Arial" w:hAnsi="Arial"/>
        </w:rPr>
        <w:t>(12):</w:t>
      </w:r>
      <w:r w:rsidRPr="00E057DC">
        <w:rPr>
          <w:rFonts w:ascii="Arial" w:hAnsi="Arial"/>
        </w:rPr>
        <w:t>8296–8300. https://doi.org/10.4049/jimmunol.177.12.8296</w:t>
      </w:r>
    </w:p>
    <w:p w:rsidR="00EF20CA" w:rsidRPr="00A96FE7" w:rsidRDefault="00EF20CA" w:rsidP="0075176F">
      <w:pPr>
        <w:widowControl w:val="0"/>
        <w:spacing w:line="360" w:lineRule="auto"/>
        <w:ind w:left="480" w:hanging="480"/>
        <w:jc w:val="both"/>
        <w:rPr>
          <w:rFonts w:ascii="Arial" w:eastAsia="Arial" w:hAnsi="Arial" w:cs="Arial"/>
        </w:rPr>
      </w:pPr>
      <w:r>
        <w:rPr>
          <w:rFonts w:ascii="Arial" w:hAnsi="Arial"/>
        </w:rPr>
        <w:t xml:space="preserve">21. </w:t>
      </w:r>
      <w:r w:rsidRPr="00A96FE7">
        <w:rPr>
          <w:rFonts w:ascii="Arial" w:hAnsi="Arial"/>
        </w:rPr>
        <w:t>Wang PL</w:t>
      </w:r>
      <w:r>
        <w:rPr>
          <w:rFonts w:ascii="Arial" w:hAnsi="Arial"/>
        </w:rPr>
        <w:t>,</w:t>
      </w:r>
      <w:r w:rsidRPr="00A96FE7">
        <w:rPr>
          <w:rFonts w:ascii="Arial" w:hAnsi="Arial"/>
        </w:rPr>
        <w:t xml:space="preserve"> Ohura K. </w:t>
      </w:r>
      <w:proofErr w:type="spellStart"/>
      <w:r w:rsidRPr="00A96FE7">
        <w:rPr>
          <w:rFonts w:ascii="Arial" w:hAnsi="Arial"/>
        </w:rPr>
        <w:t>Porphyromonas</w:t>
      </w:r>
      <w:proofErr w:type="spellEnd"/>
      <w:r w:rsidRPr="00A96FE7">
        <w:rPr>
          <w:rFonts w:ascii="Arial" w:hAnsi="Arial"/>
        </w:rPr>
        <w:t xml:space="preserve"> </w:t>
      </w:r>
      <w:proofErr w:type="spellStart"/>
      <w:r w:rsidRPr="00A96FE7">
        <w:rPr>
          <w:rFonts w:ascii="Arial" w:hAnsi="Arial"/>
        </w:rPr>
        <w:t>gingivalis</w:t>
      </w:r>
      <w:proofErr w:type="spellEnd"/>
      <w:r w:rsidRPr="00A96FE7">
        <w:rPr>
          <w:rFonts w:ascii="Arial" w:hAnsi="Arial"/>
        </w:rPr>
        <w:t xml:space="preserve"> lipopolysaccharide signaling in gingival fibroblasts - CD14 and toll-like receptors. </w:t>
      </w:r>
      <w:proofErr w:type="gramStart"/>
      <w:r w:rsidRPr="00A96FE7">
        <w:rPr>
          <w:rFonts w:ascii="Arial" w:hAnsi="Arial"/>
          <w:iCs/>
        </w:rPr>
        <w:t>Critical Reviews in Oral Biology and Medicine</w:t>
      </w:r>
      <w:r>
        <w:rPr>
          <w:rFonts w:ascii="Arial" w:hAnsi="Arial"/>
          <w:iCs/>
        </w:rPr>
        <w:t>.</w:t>
      </w:r>
      <w:proofErr w:type="gramEnd"/>
      <w:r>
        <w:rPr>
          <w:rFonts w:ascii="Arial" w:hAnsi="Arial"/>
          <w:iCs/>
        </w:rPr>
        <w:t xml:space="preserve"> 2002</w:t>
      </w:r>
      <w:proofErr w:type="gramStart"/>
      <w:r>
        <w:rPr>
          <w:rFonts w:ascii="Arial" w:hAnsi="Arial"/>
          <w:iCs/>
        </w:rPr>
        <w:t>;</w:t>
      </w:r>
      <w:r w:rsidRPr="00A96FE7">
        <w:rPr>
          <w:rFonts w:ascii="Arial" w:hAnsi="Arial" w:cs="Arial"/>
        </w:rPr>
        <w:t>13</w:t>
      </w:r>
      <w:proofErr w:type="gramEnd"/>
      <w:r w:rsidRPr="00A96FE7">
        <w:rPr>
          <w:rFonts w:ascii="Arial" w:hAnsi="Arial" w:cs="Arial"/>
        </w:rPr>
        <w:t>(2)</w:t>
      </w:r>
      <w:r>
        <w:rPr>
          <w:rFonts w:ascii="Arial" w:hAnsi="Arial" w:cs="Arial"/>
        </w:rPr>
        <w:t>:</w:t>
      </w:r>
      <w:r w:rsidRPr="00A96FE7">
        <w:rPr>
          <w:rFonts w:ascii="Arial" w:hAnsi="Arial" w:cs="Arial"/>
        </w:rPr>
        <w:t>132–42.</w:t>
      </w:r>
      <w:r w:rsidRPr="00A96FE7">
        <w:rPr>
          <w:rFonts w:ascii="Arial" w:hAnsi="Arial"/>
        </w:rPr>
        <w:t xml:space="preserve"> https://doi.org/10.1177/154411130201300204</w:t>
      </w:r>
    </w:p>
    <w:p w:rsidR="00EF20CA" w:rsidRPr="00A96FE7" w:rsidRDefault="00EF20CA" w:rsidP="0075176F">
      <w:pPr>
        <w:widowControl w:val="0"/>
        <w:spacing w:line="360" w:lineRule="auto"/>
        <w:ind w:left="480" w:hanging="480"/>
        <w:jc w:val="both"/>
        <w:rPr>
          <w:rFonts w:ascii="Arial" w:eastAsia="Arial" w:hAnsi="Arial" w:cs="Arial"/>
        </w:rPr>
      </w:pPr>
      <w:r>
        <w:rPr>
          <w:rFonts w:ascii="Arial" w:hAnsi="Arial"/>
        </w:rPr>
        <w:t xml:space="preserve">22. </w:t>
      </w:r>
      <w:proofErr w:type="spellStart"/>
      <w:r w:rsidRPr="00A96FE7">
        <w:rPr>
          <w:rFonts w:ascii="Arial" w:hAnsi="Arial"/>
        </w:rPr>
        <w:t>Zenobia</w:t>
      </w:r>
      <w:proofErr w:type="spellEnd"/>
      <w:r w:rsidRPr="00A96FE7">
        <w:rPr>
          <w:rFonts w:ascii="Arial" w:hAnsi="Arial"/>
        </w:rPr>
        <w:t xml:space="preserve"> C, </w:t>
      </w:r>
      <w:proofErr w:type="spellStart"/>
      <w:r w:rsidRPr="00A96FE7">
        <w:rPr>
          <w:rFonts w:ascii="Arial" w:hAnsi="Arial"/>
        </w:rPr>
        <w:t>Hajishengallis</w:t>
      </w:r>
      <w:proofErr w:type="spellEnd"/>
      <w:r w:rsidRPr="00A96FE7">
        <w:rPr>
          <w:rFonts w:ascii="Arial" w:hAnsi="Arial"/>
        </w:rPr>
        <w:t xml:space="preserve"> G. </w:t>
      </w:r>
      <w:proofErr w:type="spellStart"/>
      <w:r w:rsidRPr="00A96FE7">
        <w:rPr>
          <w:rFonts w:ascii="Arial" w:hAnsi="Arial"/>
        </w:rPr>
        <w:t>Porphyromonas</w:t>
      </w:r>
      <w:proofErr w:type="spellEnd"/>
      <w:r w:rsidRPr="00A96FE7">
        <w:rPr>
          <w:rFonts w:ascii="Arial" w:hAnsi="Arial"/>
        </w:rPr>
        <w:t xml:space="preserve"> </w:t>
      </w:r>
      <w:proofErr w:type="spellStart"/>
      <w:r w:rsidRPr="00A96FE7">
        <w:rPr>
          <w:rFonts w:ascii="Arial" w:hAnsi="Arial"/>
        </w:rPr>
        <w:t>gingivalis</w:t>
      </w:r>
      <w:proofErr w:type="spellEnd"/>
      <w:r w:rsidRPr="00A96FE7">
        <w:rPr>
          <w:rFonts w:ascii="Arial" w:hAnsi="Arial"/>
        </w:rPr>
        <w:t xml:space="preserve"> virulence factors involved in subversion of leukocytes and microbial dysbiosis. </w:t>
      </w:r>
      <w:proofErr w:type="gramStart"/>
      <w:r w:rsidRPr="00A96FE7">
        <w:rPr>
          <w:rFonts w:ascii="Arial" w:hAnsi="Arial"/>
          <w:iCs/>
        </w:rPr>
        <w:t>Virulence</w:t>
      </w:r>
      <w:r>
        <w:rPr>
          <w:rFonts w:ascii="Arial" w:hAnsi="Arial"/>
          <w:iCs/>
        </w:rPr>
        <w:t>.</w:t>
      </w:r>
      <w:proofErr w:type="gramEnd"/>
      <w:r>
        <w:rPr>
          <w:rFonts w:ascii="Arial" w:hAnsi="Arial"/>
          <w:iCs/>
        </w:rPr>
        <w:t xml:space="preserve"> 2015</w:t>
      </w:r>
      <w:proofErr w:type="gramStart"/>
      <w:r>
        <w:rPr>
          <w:rFonts w:ascii="Arial" w:hAnsi="Arial"/>
          <w:iCs/>
        </w:rPr>
        <w:t>;</w:t>
      </w:r>
      <w:r w:rsidRPr="00A96FE7">
        <w:rPr>
          <w:rFonts w:ascii="Arial" w:hAnsi="Arial"/>
          <w:iCs/>
        </w:rPr>
        <w:t>6</w:t>
      </w:r>
      <w:proofErr w:type="gramEnd"/>
      <w:r w:rsidRPr="00A96FE7">
        <w:rPr>
          <w:rFonts w:ascii="Arial" w:hAnsi="Arial"/>
        </w:rPr>
        <w:t>(3)</w:t>
      </w:r>
      <w:r>
        <w:rPr>
          <w:rFonts w:ascii="Arial" w:hAnsi="Arial"/>
        </w:rPr>
        <w:t>:236–</w:t>
      </w:r>
      <w:r w:rsidRPr="00A96FE7">
        <w:rPr>
          <w:rFonts w:ascii="Arial" w:hAnsi="Arial"/>
        </w:rPr>
        <w:t>43. https://doi.org/10.1080/21505594.2014.999567</w:t>
      </w:r>
    </w:p>
    <w:p w:rsidR="00EF20CA" w:rsidRPr="00A96FE7" w:rsidRDefault="00EF20CA" w:rsidP="0075176F">
      <w:pPr>
        <w:widowControl w:val="0"/>
        <w:spacing w:line="360" w:lineRule="auto"/>
        <w:ind w:left="480" w:hanging="480"/>
        <w:jc w:val="both"/>
        <w:rPr>
          <w:rFonts w:ascii="Arial" w:eastAsia="Arial" w:hAnsi="Arial" w:cs="Arial"/>
        </w:rPr>
      </w:pPr>
      <w:r>
        <w:rPr>
          <w:rFonts w:ascii="Arial" w:hAnsi="Arial"/>
        </w:rPr>
        <w:t xml:space="preserve">23. </w:t>
      </w:r>
      <w:proofErr w:type="spellStart"/>
      <w:r w:rsidRPr="00A96FE7">
        <w:rPr>
          <w:rFonts w:ascii="Arial" w:hAnsi="Arial"/>
        </w:rPr>
        <w:t>Netea</w:t>
      </w:r>
      <w:proofErr w:type="spellEnd"/>
      <w:r w:rsidRPr="00A96FE7">
        <w:rPr>
          <w:rFonts w:ascii="Arial" w:hAnsi="Arial"/>
        </w:rPr>
        <w:t xml:space="preserve"> MG, Van der </w:t>
      </w:r>
      <w:proofErr w:type="spellStart"/>
      <w:r w:rsidRPr="00A96FE7">
        <w:rPr>
          <w:rFonts w:ascii="Arial" w:hAnsi="Arial"/>
        </w:rPr>
        <w:t>Graaf</w:t>
      </w:r>
      <w:proofErr w:type="spellEnd"/>
      <w:r w:rsidRPr="00A96FE7">
        <w:rPr>
          <w:rFonts w:ascii="Arial" w:hAnsi="Arial"/>
        </w:rPr>
        <w:t xml:space="preserve"> C, Van der Meer JWM, Kullberg BJ. Toll-like receptors and the host defense against microbial pathogens: bringing specificity to the innate-immune system. </w:t>
      </w:r>
      <w:proofErr w:type="gramStart"/>
      <w:r w:rsidRPr="00A96FE7">
        <w:rPr>
          <w:rFonts w:ascii="Arial" w:hAnsi="Arial"/>
          <w:iCs/>
        </w:rPr>
        <w:t>Journal of Leukocyte Biology</w:t>
      </w:r>
      <w:r>
        <w:rPr>
          <w:rFonts w:ascii="Arial" w:hAnsi="Arial"/>
          <w:iCs/>
        </w:rPr>
        <w:t>.</w:t>
      </w:r>
      <w:proofErr w:type="gramEnd"/>
      <w:r>
        <w:rPr>
          <w:rFonts w:ascii="Arial" w:hAnsi="Arial"/>
          <w:iCs/>
        </w:rPr>
        <w:t xml:space="preserve"> 2004</w:t>
      </w:r>
      <w:proofErr w:type="gramStart"/>
      <w:r>
        <w:rPr>
          <w:rFonts w:ascii="Arial" w:hAnsi="Arial"/>
          <w:iCs/>
        </w:rPr>
        <w:t>;7</w:t>
      </w:r>
      <w:r w:rsidRPr="00A96FE7">
        <w:rPr>
          <w:rFonts w:ascii="Arial" w:hAnsi="Arial"/>
          <w:iCs/>
        </w:rPr>
        <w:t>5</w:t>
      </w:r>
      <w:proofErr w:type="gramEnd"/>
      <w:r w:rsidRPr="00A96FE7">
        <w:rPr>
          <w:rFonts w:ascii="Arial" w:hAnsi="Arial"/>
        </w:rPr>
        <w:t>(5)</w:t>
      </w:r>
      <w:r>
        <w:rPr>
          <w:rFonts w:ascii="Arial" w:hAnsi="Arial"/>
        </w:rPr>
        <w:t>:</w:t>
      </w:r>
      <w:r w:rsidRPr="00A96FE7">
        <w:rPr>
          <w:rFonts w:ascii="Arial" w:hAnsi="Arial"/>
        </w:rPr>
        <w:t xml:space="preserve">749–55. https://doi.org/10.1189/jlb.1103543. </w:t>
      </w:r>
    </w:p>
    <w:p w:rsidR="00EF20CA" w:rsidRPr="00A96FE7" w:rsidRDefault="00EF20CA" w:rsidP="0075176F">
      <w:pPr>
        <w:widowControl w:val="0"/>
        <w:spacing w:line="360" w:lineRule="auto"/>
        <w:ind w:left="480" w:hanging="480"/>
        <w:jc w:val="both"/>
        <w:rPr>
          <w:rFonts w:ascii="Arial" w:eastAsia="Arial" w:hAnsi="Arial" w:cs="Arial"/>
        </w:rPr>
      </w:pPr>
      <w:r>
        <w:rPr>
          <w:rFonts w:ascii="Arial" w:hAnsi="Arial"/>
        </w:rPr>
        <w:t xml:space="preserve">24. </w:t>
      </w:r>
      <w:proofErr w:type="spellStart"/>
      <w:r w:rsidRPr="00A96FE7">
        <w:rPr>
          <w:rFonts w:ascii="Arial" w:hAnsi="Arial"/>
        </w:rPr>
        <w:t>Rotta</w:t>
      </w:r>
      <w:proofErr w:type="spellEnd"/>
      <w:r w:rsidRPr="00A96FE7">
        <w:rPr>
          <w:rFonts w:ascii="Arial" w:hAnsi="Arial"/>
        </w:rPr>
        <w:t xml:space="preserve"> G, Edwards EW, </w:t>
      </w:r>
      <w:proofErr w:type="spellStart"/>
      <w:r w:rsidRPr="00A96FE7">
        <w:rPr>
          <w:rFonts w:ascii="Arial" w:hAnsi="Arial"/>
        </w:rPr>
        <w:t>Sangaletti</w:t>
      </w:r>
      <w:proofErr w:type="spellEnd"/>
      <w:r w:rsidRPr="00A96FE7">
        <w:rPr>
          <w:rFonts w:ascii="Arial" w:hAnsi="Arial"/>
        </w:rPr>
        <w:t xml:space="preserve"> S, Bennett C, </w:t>
      </w:r>
      <w:proofErr w:type="spellStart"/>
      <w:r w:rsidRPr="00A96FE7">
        <w:rPr>
          <w:rFonts w:ascii="Arial" w:hAnsi="Arial"/>
        </w:rPr>
        <w:t>Ronzoni</w:t>
      </w:r>
      <w:proofErr w:type="spellEnd"/>
      <w:r w:rsidRPr="00A96FE7">
        <w:rPr>
          <w:rFonts w:ascii="Arial" w:hAnsi="Arial"/>
        </w:rPr>
        <w:t xml:space="preserve"> S, Colombo MP, et al.</w:t>
      </w:r>
      <w:r>
        <w:rPr>
          <w:rFonts w:ascii="Arial" w:hAnsi="Arial"/>
        </w:rPr>
        <w:t xml:space="preserve"> </w:t>
      </w:r>
      <w:r w:rsidRPr="00A96FE7">
        <w:rPr>
          <w:rFonts w:ascii="Arial" w:hAnsi="Arial"/>
        </w:rPr>
        <w:t xml:space="preserve">Lipopolysaccharide or Whole Bacteria Block the Conversion of Inflammatory Monocytes into Dendritic Cells In Vivo. </w:t>
      </w:r>
      <w:proofErr w:type="gramStart"/>
      <w:r w:rsidRPr="00A96FE7">
        <w:rPr>
          <w:rFonts w:ascii="Arial" w:hAnsi="Arial"/>
          <w:iCs/>
        </w:rPr>
        <w:t>Journal of Experimental Medicine</w:t>
      </w:r>
      <w:r>
        <w:rPr>
          <w:rFonts w:ascii="Arial" w:hAnsi="Arial"/>
          <w:iCs/>
        </w:rPr>
        <w:t>.</w:t>
      </w:r>
      <w:proofErr w:type="gramEnd"/>
      <w:r>
        <w:rPr>
          <w:rFonts w:ascii="Arial" w:hAnsi="Arial"/>
          <w:iCs/>
        </w:rPr>
        <w:t xml:space="preserve"> 2003</w:t>
      </w:r>
      <w:proofErr w:type="gramStart"/>
      <w:r>
        <w:rPr>
          <w:rFonts w:ascii="Arial" w:hAnsi="Arial"/>
          <w:iCs/>
        </w:rPr>
        <w:t>;</w:t>
      </w:r>
      <w:r w:rsidRPr="00A96FE7">
        <w:rPr>
          <w:rFonts w:ascii="Arial" w:hAnsi="Arial"/>
          <w:iCs/>
        </w:rPr>
        <w:t>198</w:t>
      </w:r>
      <w:proofErr w:type="gramEnd"/>
      <w:r w:rsidRPr="00A96FE7">
        <w:rPr>
          <w:rFonts w:ascii="Arial" w:hAnsi="Arial"/>
        </w:rPr>
        <w:t>(8)</w:t>
      </w:r>
      <w:r>
        <w:rPr>
          <w:rFonts w:ascii="Arial" w:hAnsi="Arial"/>
        </w:rPr>
        <w:t>: 1253–</w:t>
      </w:r>
      <w:r w:rsidRPr="00A96FE7">
        <w:rPr>
          <w:rFonts w:ascii="Arial" w:hAnsi="Arial"/>
        </w:rPr>
        <w:t>63. https://doi.org/10.1084/jem.20030335</w:t>
      </w:r>
    </w:p>
    <w:p w:rsidR="00EF20CA" w:rsidRPr="00A96FE7" w:rsidRDefault="00EF20CA" w:rsidP="0075176F">
      <w:pPr>
        <w:widowControl w:val="0"/>
        <w:spacing w:line="360" w:lineRule="auto"/>
        <w:ind w:left="480" w:hanging="480"/>
        <w:jc w:val="both"/>
        <w:rPr>
          <w:rFonts w:ascii="Arial" w:eastAsia="Arial" w:hAnsi="Arial" w:cs="Arial"/>
        </w:rPr>
      </w:pPr>
      <w:r>
        <w:rPr>
          <w:rFonts w:ascii="Arial" w:hAnsi="Arial"/>
        </w:rPr>
        <w:t xml:space="preserve">25. </w:t>
      </w:r>
      <w:proofErr w:type="spellStart"/>
      <w:r w:rsidRPr="00A96FE7">
        <w:rPr>
          <w:rFonts w:ascii="Arial" w:hAnsi="Arial"/>
        </w:rPr>
        <w:t>Konermann</w:t>
      </w:r>
      <w:proofErr w:type="spellEnd"/>
      <w:r w:rsidRPr="00A96FE7">
        <w:rPr>
          <w:rFonts w:ascii="Arial" w:hAnsi="Arial"/>
        </w:rPr>
        <w:t xml:space="preserve"> A, </w:t>
      </w:r>
      <w:proofErr w:type="spellStart"/>
      <w:r w:rsidRPr="00A96FE7">
        <w:rPr>
          <w:rFonts w:ascii="Arial" w:hAnsi="Arial"/>
        </w:rPr>
        <w:t>Deschner</w:t>
      </w:r>
      <w:proofErr w:type="spellEnd"/>
      <w:r w:rsidRPr="00A96FE7">
        <w:rPr>
          <w:rFonts w:ascii="Arial" w:hAnsi="Arial"/>
        </w:rPr>
        <w:t xml:space="preserve"> J, </w:t>
      </w:r>
      <w:proofErr w:type="spellStart"/>
      <w:r w:rsidRPr="00A96FE7">
        <w:rPr>
          <w:rFonts w:ascii="Arial" w:hAnsi="Arial"/>
        </w:rPr>
        <w:t>Allam</w:t>
      </w:r>
      <w:proofErr w:type="spellEnd"/>
      <w:r w:rsidRPr="00A96FE7">
        <w:rPr>
          <w:rFonts w:ascii="Arial" w:hAnsi="Arial"/>
        </w:rPr>
        <w:t xml:space="preserve"> JP, Novak N, Winter J, </w:t>
      </w:r>
      <w:proofErr w:type="spellStart"/>
      <w:r w:rsidRPr="00A96FE7">
        <w:rPr>
          <w:rFonts w:ascii="Arial" w:hAnsi="Arial"/>
        </w:rPr>
        <w:t>Baader</w:t>
      </w:r>
      <w:proofErr w:type="spellEnd"/>
      <w:r w:rsidRPr="00A96FE7">
        <w:rPr>
          <w:rFonts w:ascii="Arial" w:hAnsi="Arial"/>
        </w:rPr>
        <w:t xml:space="preserve"> SL, et al. Antigen-</w:t>
      </w:r>
      <w:r w:rsidRPr="00A96FE7">
        <w:rPr>
          <w:rFonts w:ascii="Arial" w:hAnsi="Arial"/>
        </w:rPr>
        <w:lastRenderedPageBreak/>
        <w:t xml:space="preserve">presenting cell marker expression and phagocytotic activity in periodontal ligament cells. </w:t>
      </w:r>
      <w:proofErr w:type="gramStart"/>
      <w:r w:rsidRPr="00A96FE7">
        <w:rPr>
          <w:rFonts w:ascii="Arial" w:hAnsi="Arial"/>
          <w:iCs/>
        </w:rPr>
        <w:t>Journal of Oral Pathology &amp; Medicine</w:t>
      </w:r>
      <w:r>
        <w:rPr>
          <w:rFonts w:ascii="Arial" w:hAnsi="Arial"/>
          <w:iCs/>
        </w:rPr>
        <w:t>.</w:t>
      </w:r>
      <w:proofErr w:type="gramEnd"/>
      <w:r>
        <w:rPr>
          <w:rFonts w:ascii="Arial" w:hAnsi="Arial"/>
          <w:iCs/>
        </w:rPr>
        <w:t xml:space="preserve"> 2012</w:t>
      </w:r>
      <w:proofErr w:type="gramStart"/>
      <w:r>
        <w:rPr>
          <w:rFonts w:ascii="Arial" w:hAnsi="Arial"/>
          <w:iCs/>
        </w:rPr>
        <w:t>;</w:t>
      </w:r>
      <w:r w:rsidRPr="00A96FE7">
        <w:rPr>
          <w:rFonts w:ascii="Arial" w:hAnsi="Arial"/>
          <w:iCs/>
        </w:rPr>
        <w:t>41</w:t>
      </w:r>
      <w:proofErr w:type="gramEnd"/>
      <w:r w:rsidRPr="00A96FE7">
        <w:rPr>
          <w:rFonts w:ascii="Arial" w:hAnsi="Arial"/>
        </w:rPr>
        <w:t>(4)</w:t>
      </w:r>
      <w:r>
        <w:rPr>
          <w:rFonts w:ascii="Arial" w:hAnsi="Arial"/>
        </w:rPr>
        <w:t>:</w:t>
      </w:r>
      <w:r w:rsidRPr="00A96FE7">
        <w:rPr>
          <w:rFonts w:ascii="Arial" w:hAnsi="Arial"/>
        </w:rPr>
        <w:t>340–47. https://doi.org/10.1111/j.1600-0714.2011.01086.x</w:t>
      </w:r>
    </w:p>
    <w:p w:rsidR="00EF20CA" w:rsidRPr="00A96FE7" w:rsidRDefault="00EF20CA" w:rsidP="0075176F">
      <w:pPr>
        <w:widowControl w:val="0"/>
        <w:spacing w:line="360" w:lineRule="auto"/>
        <w:ind w:left="480" w:hanging="480"/>
        <w:jc w:val="both"/>
        <w:rPr>
          <w:rFonts w:ascii="Arial" w:eastAsia="Arial" w:hAnsi="Arial" w:cs="Arial"/>
        </w:rPr>
      </w:pPr>
      <w:r>
        <w:rPr>
          <w:rFonts w:ascii="Arial" w:hAnsi="Arial"/>
        </w:rPr>
        <w:t xml:space="preserve">26. </w:t>
      </w:r>
      <w:r w:rsidRPr="00A96FE7">
        <w:rPr>
          <w:rFonts w:ascii="Arial" w:hAnsi="Arial"/>
        </w:rPr>
        <w:t xml:space="preserve">Van </w:t>
      </w:r>
      <w:proofErr w:type="spellStart"/>
      <w:r w:rsidRPr="00A96FE7">
        <w:rPr>
          <w:rFonts w:ascii="Arial" w:hAnsi="Arial"/>
        </w:rPr>
        <w:t>Kooten</w:t>
      </w:r>
      <w:proofErr w:type="spellEnd"/>
      <w:r w:rsidRPr="00A96FE7">
        <w:rPr>
          <w:rFonts w:ascii="Arial" w:hAnsi="Arial"/>
        </w:rPr>
        <w:t xml:space="preserve"> G, </w:t>
      </w:r>
      <w:proofErr w:type="spellStart"/>
      <w:r w:rsidRPr="00A96FE7">
        <w:rPr>
          <w:rFonts w:ascii="Arial" w:hAnsi="Arial"/>
        </w:rPr>
        <w:t>Banchereau</w:t>
      </w:r>
      <w:proofErr w:type="spellEnd"/>
      <w:r w:rsidRPr="00A96FE7">
        <w:rPr>
          <w:rFonts w:ascii="Arial" w:hAnsi="Arial"/>
        </w:rPr>
        <w:t xml:space="preserve"> J. CD40-CD40 ligand. </w:t>
      </w:r>
      <w:proofErr w:type="gramStart"/>
      <w:r w:rsidRPr="00A96FE7">
        <w:rPr>
          <w:rFonts w:ascii="Arial" w:hAnsi="Arial"/>
          <w:iCs/>
        </w:rPr>
        <w:t>Journal of Leukocyte Biology</w:t>
      </w:r>
      <w:r>
        <w:rPr>
          <w:rFonts w:ascii="Arial" w:hAnsi="Arial"/>
          <w:iCs/>
        </w:rPr>
        <w:t>.</w:t>
      </w:r>
      <w:proofErr w:type="gramEnd"/>
      <w:r>
        <w:rPr>
          <w:rFonts w:ascii="Arial" w:hAnsi="Arial"/>
          <w:iCs/>
        </w:rPr>
        <w:t xml:space="preserve"> 2000</w:t>
      </w:r>
      <w:proofErr w:type="gramStart"/>
      <w:r>
        <w:rPr>
          <w:rFonts w:ascii="Arial" w:hAnsi="Arial"/>
          <w:iCs/>
        </w:rPr>
        <w:t>;</w:t>
      </w:r>
      <w:r w:rsidRPr="00A96FE7">
        <w:rPr>
          <w:rFonts w:ascii="Arial" w:hAnsi="Arial"/>
        </w:rPr>
        <w:t>67</w:t>
      </w:r>
      <w:proofErr w:type="gramEnd"/>
      <w:r w:rsidRPr="00A96FE7">
        <w:rPr>
          <w:rFonts w:ascii="Arial" w:hAnsi="Arial"/>
        </w:rPr>
        <w:t>(1)</w:t>
      </w:r>
      <w:r>
        <w:rPr>
          <w:rFonts w:ascii="Arial" w:hAnsi="Arial"/>
        </w:rPr>
        <w:t>:</w:t>
      </w:r>
      <w:r w:rsidRPr="00A96FE7">
        <w:rPr>
          <w:rFonts w:ascii="Arial" w:hAnsi="Arial"/>
        </w:rPr>
        <w:t xml:space="preserve"> 2-17. https://doi.org/10.1002/jlb.67.1.2</w:t>
      </w:r>
    </w:p>
    <w:p w:rsidR="00EF20CA" w:rsidRPr="00A96FE7" w:rsidRDefault="00EF20CA" w:rsidP="0075176F">
      <w:pPr>
        <w:widowControl w:val="0"/>
        <w:spacing w:line="360" w:lineRule="auto"/>
        <w:ind w:left="480" w:hanging="480"/>
        <w:jc w:val="both"/>
        <w:rPr>
          <w:rFonts w:ascii="Arial" w:eastAsia="Arial" w:hAnsi="Arial" w:cs="Arial"/>
        </w:rPr>
      </w:pPr>
      <w:r>
        <w:rPr>
          <w:rFonts w:ascii="Arial" w:hAnsi="Arial"/>
        </w:rPr>
        <w:t xml:space="preserve">27. </w:t>
      </w:r>
      <w:proofErr w:type="spellStart"/>
      <w:r w:rsidRPr="00A96FE7">
        <w:rPr>
          <w:rFonts w:ascii="Arial" w:hAnsi="Arial"/>
        </w:rPr>
        <w:t>Tallone</w:t>
      </w:r>
      <w:proofErr w:type="spellEnd"/>
      <w:r w:rsidRPr="00A96FE7">
        <w:rPr>
          <w:rFonts w:ascii="Arial" w:hAnsi="Arial"/>
        </w:rPr>
        <w:t xml:space="preserve"> T, </w:t>
      </w:r>
      <w:proofErr w:type="spellStart"/>
      <w:r w:rsidRPr="00A96FE7">
        <w:rPr>
          <w:rFonts w:ascii="Arial" w:hAnsi="Arial"/>
        </w:rPr>
        <w:t>Turconi</w:t>
      </w:r>
      <w:proofErr w:type="spellEnd"/>
      <w:r w:rsidRPr="00A96FE7">
        <w:rPr>
          <w:rFonts w:ascii="Arial" w:hAnsi="Arial"/>
        </w:rPr>
        <w:t xml:space="preserve"> G, </w:t>
      </w:r>
      <w:proofErr w:type="spellStart"/>
      <w:r w:rsidRPr="00A96FE7">
        <w:rPr>
          <w:rFonts w:ascii="Arial" w:hAnsi="Arial"/>
        </w:rPr>
        <w:t>Soldati</w:t>
      </w:r>
      <w:proofErr w:type="spellEnd"/>
      <w:r w:rsidRPr="00A96FE7">
        <w:rPr>
          <w:rFonts w:ascii="Arial" w:hAnsi="Arial"/>
        </w:rPr>
        <w:t xml:space="preserve"> G, </w:t>
      </w:r>
      <w:proofErr w:type="spellStart"/>
      <w:r w:rsidRPr="00A96FE7">
        <w:rPr>
          <w:rFonts w:ascii="Arial" w:hAnsi="Arial"/>
        </w:rPr>
        <w:t>Pedrazzini</w:t>
      </w:r>
      <w:proofErr w:type="spellEnd"/>
      <w:r w:rsidRPr="00A96FE7">
        <w:rPr>
          <w:rFonts w:ascii="Arial" w:hAnsi="Arial"/>
        </w:rPr>
        <w:t xml:space="preserve"> G, </w:t>
      </w:r>
      <w:proofErr w:type="spellStart"/>
      <w:r w:rsidRPr="00A96FE7">
        <w:rPr>
          <w:rFonts w:ascii="Arial" w:hAnsi="Arial"/>
        </w:rPr>
        <w:t>Moccetti</w:t>
      </w:r>
      <w:proofErr w:type="spellEnd"/>
      <w:r w:rsidRPr="00A96FE7">
        <w:rPr>
          <w:rFonts w:ascii="Arial" w:hAnsi="Arial"/>
        </w:rPr>
        <w:t xml:space="preserve"> T, </w:t>
      </w:r>
      <w:proofErr w:type="spellStart"/>
      <w:r w:rsidRPr="00A96FE7">
        <w:rPr>
          <w:rFonts w:ascii="Arial" w:hAnsi="Arial"/>
        </w:rPr>
        <w:t>Vassalli</w:t>
      </w:r>
      <w:proofErr w:type="spellEnd"/>
      <w:r w:rsidRPr="00A96FE7">
        <w:rPr>
          <w:rFonts w:ascii="Arial" w:hAnsi="Arial"/>
        </w:rPr>
        <w:t xml:space="preserve"> G</w:t>
      </w:r>
      <w:r>
        <w:rPr>
          <w:rFonts w:ascii="Arial" w:hAnsi="Arial"/>
        </w:rPr>
        <w:t>.</w:t>
      </w:r>
      <w:r w:rsidRPr="00A96FE7">
        <w:rPr>
          <w:rFonts w:ascii="Arial" w:hAnsi="Arial"/>
        </w:rPr>
        <w:t xml:space="preserve"> Heterogeneity of human monocytes: An optimized four-color flow cytometry protocol for analysis of monocyte subsets. </w:t>
      </w:r>
      <w:proofErr w:type="gramStart"/>
      <w:r w:rsidRPr="00A96FE7">
        <w:rPr>
          <w:rFonts w:ascii="Arial" w:hAnsi="Arial"/>
          <w:iCs/>
        </w:rPr>
        <w:t>Journal of Cardiovascular Translational Research</w:t>
      </w:r>
      <w:r>
        <w:rPr>
          <w:rFonts w:ascii="Arial" w:hAnsi="Arial"/>
          <w:iCs/>
        </w:rPr>
        <w:t>.</w:t>
      </w:r>
      <w:proofErr w:type="gramEnd"/>
      <w:r>
        <w:rPr>
          <w:rFonts w:ascii="Arial" w:hAnsi="Arial"/>
          <w:iCs/>
        </w:rPr>
        <w:t xml:space="preserve"> 2011</w:t>
      </w:r>
      <w:proofErr w:type="gramStart"/>
      <w:r>
        <w:rPr>
          <w:rFonts w:ascii="Arial" w:hAnsi="Arial"/>
          <w:iCs/>
        </w:rPr>
        <w:t>;</w:t>
      </w:r>
      <w:r w:rsidRPr="00A96FE7">
        <w:rPr>
          <w:rFonts w:ascii="Arial" w:hAnsi="Arial"/>
          <w:iCs/>
        </w:rPr>
        <w:t>4</w:t>
      </w:r>
      <w:proofErr w:type="gramEnd"/>
      <w:r w:rsidRPr="00A96FE7">
        <w:rPr>
          <w:rFonts w:ascii="Arial" w:hAnsi="Arial"/>
        </w:rPr>
        <w:t>(2)</w:t>
      </w:r>
      <w:r>
        <w:rPr>
          <w:rFonts w:ascii="Arial" w:hAnsi="Arial"/>
        </w:rPr>
        <w:t>:211–</w:t>
      </w:r>
      <w:r w:rsidRPr="00A96FE7">
        <w:rPr>
          <w:rFonts w:ascii="Arial" w:hAnsi="Arial"/>
        </w:rPr>
        <w:t>19. https://doi.org/10.1007/s12265-011-9256-4</w:t>
      </w:r>
    </w:p>
    <w:p w:rsidR="00EF20CA" w:rsidRDefault="00EF20CA" w:rsidP="0075176F">
      <w:pPr>
        <w:widowControl w:val="0"/>
        <w:spacing w:line="360" w:lineRule="auto"/>
        <w:ind w:left="480" w:hanging="480"/>
        <w:jc w:val="both"/>
        <w:rPr>
          <w:rFonts w:ascii="Arial" w:hAnsi="Arial"/>
        </w:rPr>
      </w:pPr>
      <w:r>
        <w:rPr>
          <w:rFonts w:ascii="Arial" w:hAnsi="Arial"/>
        </w:rPr>
        <w:t xml:space="preserve">28. </w:t>
      </w:r>
      <w:r w:rsidRPr="00A96FE7">
        <w:rPr>
          <w:rFonts w:ascii="Arial" w:hAnsi="Arial"/>
        </w:rPr>
        <w:t xml:space="preserve">Zimmermann HW, </w:t>
      </w:r>
      <w:proofErr w:type="spellStart"/>
      <w:r w:rsidRPr="00A96FE7">
        <w:rPr>
          <w:rFonts w:ascii="Arial" w:hAnsi="Arial"/>
        </w:rPr>
        <w:t>Seidler</w:t>
      </w:r>
      <w:proofErr w:type="spellEnd"/>
      <w:r w:rsidRPr="00A96FE7">
        <w:rPr>
          <w:rFonts w:ascii="Arial" w:hAnsi="Arial"/>
        </w:rPr>
        <w:t xml:space="preserve"> S, </w:t>
      </w:r>
      <w:proofErr w:type="spellStart"/>
      <w:r w:rsidRPr="00A96FE7">
        <w:rPr>
          <w:rFonts w:ascii="Arial" w:hAnsi="Arial"/>
        </w:rPr>
        <w:t>Gassler</w:t>
      </w:r>
      <w:proofErr w:type="spellEnd"/>
      <w:r w:rsidRPr="00A96FE7">
        <w:rPr>
          <w:rFonts w:ascii="Arial" w:hAnsi="Arial"/>
        </w:rPr>
        <w:t xml:space="preserve"> N, </w:t>
      </w:r>
      <w:proofErr w:type="spellStart"/>
      <w:r w:rsidRPr="00A96FE7">
        <w:rPr>
          <w:rFonts w:ascii="Arial" w:hAnsi="Arial"/>
        </w:rPr>
        <w:t>Nattermann</w:t>
      </w:r>
      <w:proofErr w:type="spellEnd"/>
      <w:r w:rsidRPr="00A96FE7">
        <w:rPr>
          <w:rFonts w:ascii="Arial" w:hAnsi="Arial"/>
        </w:rPr>
        <w:t xml:space="preserve"> J, </w:t>
      </w:r>
      <w:proofErr w:type="spellStart"/>
      <w:r w:rsidRPr="00A96FE7">
        <w:rPr>
          <w:rFonts w:ascii="Arial" w:hAnsi="Arial"/>
        </w:rPr>
        <w:t>Luedde</w:t>
      </w:r>
      <w:proofErr w:type="spellEnd"/>
      <w:r w:rsidRPr="00A96FE7">
        <w:rPr>
          <w:rFonts w:ascii="Arial" w:hAnsi="Arial"/>
        </w:rPr>
        <w:t xml:space="preserve"> T, </w:t>
      </w:r>
      <w:proofErr w:type="spellStart"/>
      <w:r w:rsidRPr="00A96FE7">
        <w:rPr>
          <w:rFonts w:ascii="Arial" w:hAnsi="Arial"/>
        </w:rPr>
        <w:t>Trautwein</w:t>
      </w:r>
      <w:proofErr w:type="spellEnd"/>
      <w:r w:rsidRPr="00A96FE7">
        <w:rPr>
          <w:rFonts w:ascii="Arial" w:hAnsi="Arial"/>
        </w:rPr>
        <w:t xml:space="preserve"> C, </w:t>
      </w:r>
      <w:proofErr w:type="spellStart"/>
      <w:r w:rsidRPr="00A96FE7">
        <w:rPr>
          <w:rFonts w:ascii="Arial" w:hAnsi="Arial"/>
        </w:rPr>
        <w:t>Tacke</w:t>
      </w:r>
      <w:proofErr w:type="spellEnd"/>
      <w:r w:rsidRPr="00A96FE7">
        <w:rPr>
          <w:rFonts w:ascii="Arial" w:hAnsi="Arial"/>
        </w:rPr>
        <w:t xml:space="preserve"> F.  Interleukin-8 is activated in patients with chronic liver diseases and associated with hepatic macrophage accumulation in human liver fibrosis. </w:t>
      </w:r>
      <w:proofErr w:type="spellStart"/>
      <w:proofErr w:type="gramStart"/>
      <w:r w:rsidRPr="004F344F">
        <w:rPr>
          <w:rFonts w:ascii="Arial" w:hAnsi="Arial"/>
          <w:iCs/>
        </w:rPr>
        <w:t>PloS</w:t>
      </w:r>
      <w:proofErr w:type="spellEnd"/>
      <w:r w:rsidRPr="004F344F">
        <w:rPr>
          <w:rFonts w:ascii="Arial" w:hAnsi="Arial"/>
          <w:iCs/>
        </w:rPr>
        <w:t xml:space="preserve"> One</w:t>
      </w:r>
      <w:r>
        <w:rPr>
          <w:rFonts w:ascii="Arial" w:hAnsi="Arial"/>
          <w:iCs/>
        </w:rPr>
        <w:t>.</w:t>
      </w:r>
      <w:proofErr w:type="gramEnd"/>
      <w:r>
        <w:rPr>
          <w:rFonts w:ascii="Arial" w:hAnsi="Arial"/>
          <w:iCs/>
        </w:rPr>
        <w:t xml:space="preserve"> 2011</w:t>
      </w:r>
      <w:proofErr w:type="gramStart"/>
      <w:r>
        <w:rPr>
          <w:rFonts w:ascii="Arial" w:hAnsi="Arial"/>
          <w:iCs/>
        </w:rPr>
        <w:t>;</w:t>
      </w:r>
      <w:r w:rsidRPr="004F344F">
        <w:rPr>
          <w:rFonts w:ascii="Arial" w:hAnsi="Arial"/>
          <w:iCs/>
        </w:rPr>
        <w:t>6</w:t>
      </w:r>
      <w:proofErr w:type="gramEnd"/>
      <w:r w:rsidRPr="004F344F">
        <w:rPr>
          <w:rFonts w:ascii="Arial" w:hAnsi="Arial"/>
        </w:rPr>
        <w:t>(6)</w:t>
      </w:r>
      <w:r>
        <w:rPr>
          <w:rFonts w:ascii="Arial" w:hAnsi="Arial"/>
        </w:rPr>
        <w:t>:</w:t>
      </w:r>
      <w:r w:rsidRPr="004F344F">
        <w:rPr>
          <w:rFonts w:ascii="Arial" w:hAnsi="Arial"/>
        </w:rPr>
        <w:t>e21381. https://doi.org/10.1371/journal.pone.0021381</w:t>
      </w:r>
    </w:p>
    <w:p w:rsidR="00EF20CA" w:rsidRPr="009D53BB" w:rsidRDefault="00EF20CA" w:rsidP="0075176F">
      <w:pPr>
        <w:widowControl w:val="0"/>
        <w:spacing w:line="360" w:lineRule="auto"/>
        <w:ind w:left="480" w:hanging="480"/>
        <w:jc w:val="both"/>
        <w:rPr>
          <w:rFonts w:ascii="Arial" w:eastAsia="Arial" w:hAnsi="Arial" w:cs="Arial"/>
          <w:lang w:val="pt-BR"/>
        </w:rPr>
      </w:pPr>
      <w:r>
        <w:rPr>
          <w:rFonts w:ascii="Arial" w:hAnsi="Arial"/>
        </w:rPr>
        <w:t xml:space="preserve">29. </w:t>
      </w:r>
      <w:r w:rsidRPr="00A96FE7">
        <w:rPr>
          <w:rFonts w:ascii="Arial" w:hAnsi="Arial"/>
        </w:rPr>
        <w:t xml:space="preserve">Dicker KT, </w:t>
      </w:r>
      <w:proofErr w:type="spellStart"/>
      <w:r w:rsidRPr="00A96FE7">
        <w:rPr>
          <w:rFonts w:ascii="Arial" w:hAnsi="Arial"/>
        </w:rPr>
        <w:t>Gurski</w:t>
      </w:r>
      <w:proofErr w:type="spellEnd"/>
      <w:r w:rsidRPr="00A96FE7">
        <w:rPr>
          <w:rFonts w:ascii="Arial" w:hAnsi="Arial"/>
        </w:rPr>
        <w:t xml:space="preserve"> LA, </w:t>
      </w:r>
      <w:proofErr w:type="spellStart"/>
      <w:r w:rsidRPr="00A96FE7">
        <w:rPr>
          <w:rFonts w:ascii="Arial" w:hAnsi="Arial"/>
        </w:rPr>
        <w:t>Pradhan</w:t>
      </w:r>
      <w:proofErr w:type="spellEnd"/>
      <w:r w:rsidRPr="00A96FE7">
        <w:rPr>
          <w:rFonts w:ascii="Arial" w:hAnsi="Arial"/>
        </w:rPr>
        <w:t xml:space="preserve">-Bhatt S, Witt RL, </w:t>
      </w:r>
      <w:proofErr w:type="spellStart"/>
      <w:r w:rsidRPr="00A96FE7">
        <w:rPr>
          <w:rFonts w:ascii="Arial" w:hAnsi="Arial"/>
        </w:rPr>
        <w:t>Farach</w:t>
      </w:r>
      <w:proofErr w:type="spellEnd"/>
      <w:r w:rsidRPr="00A96FE7">
        <w:rPr>
          <w:rFonts w:ascii="Arial" w:hAnsi="Arial"/>
        </w:rPr>
        <w:t xml:space="preserve">-Carson MC, </w:t>
      </w:r>
      <w:proofErr w:type="spellStart"/>
      <w:r w:rsidRPr="00A96FE7">
        <w:rPr>
          <w:rFonts w:ascii="Arial" w:hAnsi="Arial"/>
        </w:rPr>
        <w:t>Jia</w:t>
      </w:r>
      <w:proofErr w:type="spellEnd"/>
      <w:r w:rsidRPr="00A96FE7">
        <w:rPr>
          <w:rFonts w:ascii="Arial" w:hAnsi="Arial"/>
        </w:rPr>
        <w:t xml:space="preserve"> X. </w:t>
      </w:r>
      <w:proofErr w:type="spellStart"/>
      <w:r w:rsidRPr="00A96FE7">
        <w:rPr>
          <w:rFonts w:ascii="Arial" w:hAnsi="Arial"/>
        </w:rPr>
        <w:t>Hyaluronan</w:t>
      </w:r>
      <w:proofErr w:type="spellEnd"/>
      <w:r w:rsidRPr="00A96FE7">
        <w:rPr>
          <w:rFonts w:ascii="Arial" w:hAnsi="Arial"/>
        </w:rPr>
        <w:t xml:space="preserve">: A simple polysaccharide with diverse biological functions. </w:t>
      </w:r>
      <w:r w:rsidRPr="009D53BB">
        <w:rPr>
          <w:rFonts w:ascii="Arial" w:hAnsi="Arial"/>
          <w:iCs/>
          <w:lang w:val="pt-BR"/>
        </w:rPr>
        <w:t xml:space="preserve">Acta </w:t>
      </w:r>
      <w:proofErr w:type="spellStart"/>
      <w:r w:rsidRPr="009D53BB">
        <w:rPr>
          <w:rFonts w:ascii="Arial" w:hAnsi="Arial"/>
          <w:iCs/>
          <w:lang w:val="pt-BR"/>
        </w:rPr>
        <w:t>Biomaterialia</w:t>
      </w:r>
      <w:proofErr w:type="spellEnd"/>
      <w:r w:rsidRPr="009D53BB">
        <w:rPr>
          <w:rFonts w:ascii="Arial" w:hAnsi="Arial"/>
          <w:iCs/>
          <w:lang w:val="pt-BR"/>
        </w:rPr>
        <w:t xml:space="preserve">. </w:t>
      </w:r>
      <w:proofErr w:type="gramStart"/>
      <w:r w:rsidRPr="009D53BB">
        <w:rPr>
          <w:rFonts w:ascii="Arial" w:hAnsi="Arial"/>
          <w:iCs/>
          <w:lang w:val="pt-BR"/>
        </w:rPr>
        <w:t>2014;</w:t>
      </w:r>
      <w:proofErr w:type="gramEnd"/>
      <w:r w:rsidRPr="009D53BB">
        <w:rPr>
          <w:rFonts w:ascii="Arial" w:hAnsi="Arial"/>
          <w:lang w:val="pt-BR"/>
        </w:rPr>
        <w:t xml:space="preserve">10(4): 1558-70. </w:t>
      </w:r>
      <w:proofErr w:type="gramStart"/>
      <w:r w:rsidRPr="009D53BB">
        <w:rPr>
          <w:rFonts w:ascii="Arial" w:hAnsi="Arial"/>
          <w:lang w:val="pt-BR"/>
        </w:rPr>
        <w:t>https</w:t>
      </w:r>
      <w:proofErr w:type="gramEnd"/>
      <w:r w:rsidRPr="009D53BB">
        <w:rPr>
          <w:rFonts w:ascii="Arial" w:hAnsi="Arial"/>
          <w:lang w:val="pt-BR"/>
        </w:rPr>
        <w:t>://doi.org/10.1016/j.actbio.2013.12.019</w:t>
      </w:r>
    </w:p>
    <w:p w:rsidR="00C92483" w:rsidRPr="00A96FE7" w:rsidRDefault="00C92483" w:rsidP="0075176F">
      <w:pPr>
        <w:widowControl w:val="0"/>
        <w:spacing w:line="360" w:lineRule="auto"/>
        <w:ind w:left="480" w:hanging="480"/>
        <w:jc w:val="both"/>
        <w:rPr>
          <w:rFonts w:ascii="Arial" w:eastAsia="Arial" w:hAnsi="Arial" w:cs="Arial"/>
        </w:rPr>
      </w:pPr>
    </w:p>
    <w:p w:rsidR="004D4277" w:rsidRPr="00A96FE7" w:rsidRDefault="004D4277" w:rsidP="00441B6F">
      <w:pPr>
        <w:pStyle w:val="Appendix"/>
        <w:spacing w:after="0"/>
        <w:jc w:val="both"/>
        <w:rPr>
          <w:rFonts w:ascii="Arial" w:hAnsi="Arial" w:cs="Arial"/>
          <w:b w:val="0"/>
        </w:rPr>
        <w:sectPr w:rsidR="004D4277" w:rsidRPr="00A96FE7" w:rsidSect="00AA3007">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p>
    <w:p w:rsidR="00B01FCD" w:rsidRPr="00A96FE7" w:rsidRDefault="00B01FCD" w:rsidP="00441B6F">
      <w:pPr>
        <w:pStyle w:val="Appendix"/>
        <w:spacing w:after="0"/>
        <w:jc w:val="both"/>
        <w:rPr>
          <w:rFonts w:ascii="Arial" w:hAnsi="Arial" w:cs="Arial"/>
          <w:b w:val="0"/>
        </w:rPr>
      </w:pPr>
    </w:p>
    <w:sectPr w:rsidR="00B01FCD" w:rsidRPr="00A96FE7" w:rsidSect="00AA300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5CF" w:rsidRDefault="001465CF" w:rsidP="00C37E61">
      <w:r>
        <w:separator/>
      </w:r>
    </w:p>
  </w:endnote>
  <w:endnote w:type="continuationSeparator" w:id="0">
    <w:p w:rsidR="001465CF" w:rsidRDefault="001465C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D41" w:rsidRDefault="00721D4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D41" w:rsidRDefault="00721D4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48A" w:rsidRDefault="009E048A">
    <w:pPr>
      <w:pStyle w:val="Rodap"/>
      <w:rPr>
        <w:rFonts w:ascii="Arial" w:hAnsi="Arial" w:cs="Arial"/>
        <w:sz w:val="16"/>
      </w:rPr>
    </w:pPr>
  </w:p>
  <w:p w:rsidR="009E048A" w:rsidRDefault="009E048A" w:rsidP="009E048A">
    <w:pPr>
      <w:pStyle w:val="Rodap"/>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rsidR="009E048A" w:rsidRDefault="009E048A">
    <w:pPr>
      <w:pStyle w:val="Rodap"/>
      <w:rPr>
        <w:rFonts w:ascii="Arial" w:hAnsi="Arial" w:cs="Arial"/>
        <w:sz w:val="16"/>
      </w:rPr>
    </w:pPr>
  </w:p>
  <w:p w:rsidR="00754C9A" w:rsidRPr="009E048A" w:rsidRDefault="00754C9A">
    <w:pPr>
      <w:pStyle w:val="Rodap"/>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E61" w:rsidRPr="00C37E61" w:rsidRDefault="00C37E61" w:rsidP="00C37E6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5CF" w:rsidRDefault="001465CF" w:rsidP="00C37E61">
      <w:r>
        <w:separator/>
      </w:r>
    </w:p>
  </w:footnote>
  <w:footnote w:type="continuationSeparator" w:id="0">
    <w:p w:rsidR="001465CF" w:rsidRDefault="001465CF"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D41" w:rsidRDefault="001465CF">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3176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D41" w:rsidRDefault="001465CF">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3176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529" w:rsidRPr="00296529" w:rsidRDefault="001465CF"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3176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Cabealho"/>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D41" w:rsidRDefault="001465CF">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3176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D41" w:rsidRDefault="001465CF">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3176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D41" w:rsidRDefault="001465CF">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3176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33C9F"/>
    <w:rsid w:val="0004579C"/>
    <w:rsid w:val="000A47FA"/>
    <w:rsid w:val="000A65D3"/>
    <w:rsid w:val="000B1E33"/>
    <w:rsid w:val="000D689F"/>
    <w:rsid w:val="000E7B7B"/>
    <w:rsid w:val="000E7D62"/>
    <w:rsid w:val="000F643B"/>
    <w:rsid w:val="00103357"/>
    <w:rsid w:val="00123C9F"/>
    <w:rsid w:val="00126190"/>
    <w:rsid w:val="00130F17"/>
    <w:rsid w:val="001320BF"/>
    <w:rsid w:val="001349C8"/>
    <w:rsid w:val="00142FC4"/>
    <w:rsid w:val="001465CF"/>
    <w:rsid w:val="00163BC4"/>
    <w:rsid w:val="00191062"/>
    <w:rsid w:val="00192B72"/>
    <w:rsid w:val="001A29D8"/>
    <w:rsid w:val="001A5CAA"/>
    <w:rsid w:val="001B0427"/>
    <w:rsid w:val="001B4938"/>
    <w:rsid w:val="001D3A51"/>
    <w:rsid w:val="001E10D2"/>
    <w:rsid w:val="001E25B4"/>
    <w:rsid w:val="001E44FE"/>
    <w:rsid w:val="00200595"/>
    <w:rsid w:val="00204835"/>
    <w:rsid w:val="00226760"/>
    <w:rsid w:val="00231920"/>
    <w:rsid w:val="0023195C"/>
    <w:rsid w:val="0024282C"/>
    <w:rsid w:val="002460DC"/>
    <w:rsid w:val="00250985"/>
    <w:rsid w:val="002556F6"/>
    <w:rsid w:val="002567CE"/>
    <w:rsid w:val="00283105"/>
    <w:rsid w:val="00284C4C"/>
    <w:rsid w:val="00287E68"/>
    <w:rsid w:val="00296529"/>
    <w:rsid w:val="002B27FB"/>
    <w:rsid w:val="002B685A"/>
    <w:rsid w:val="002C57D2"/>
    <w:rsid w:val="002E0D56"/>
    <w:rsid w:val="002F7540"/>
    <w:rsid w:val="00315186"/>
    <w:rsid w:val="0033343E"/>
    <w:rsid w:val="003512C2"/>
    <w:rsid w:val="00355A95"/>
    <w:rsid w:val="00371FB6"/>
    <w:rsid w:val="003763C1"/>
    <w:rsid w:val="00376BBE"/>
    <w:rsid w:val="0039224F"/>
    <w:rsid w:val="003A43A4"/>
    <w:rsid w:val="003A7E18"/>
    <w:rsid w:val="003C4C86"/>
    <w:rsid w:val="003C6258"/>
    <w:rsid w:val="003E2904"/>
    <w:rsid w:val="00401927"/>
    <w:rsid w:val="0041027F"/>
    <w:rsid w:val="00410BED"/>
    <w:rsid w:val="00412475"/>
    <w:rsid w:val="00415578"/>
    <w:rsid w:val="00423789"/>
    <w:rsid w:val="00424D47"/>
    <w:rsid w:val="00440F43"/>
    <w:rsid w:val="00441B6F"/>
    <w:rsid w:val="00446221"/>
    <w:rsid w:val="00450E62"/>
    <w:rsid w:val="004539DB"/>
    <w:rsid w:val="00471A80"/>
    <w:rsid w:val="00473367"/>
    <w:rsid w:val="00487F44"/>
    <w:rsid w:val="004B0735"/>
    <w:rsid w:val="004B21C8"/>
    <w:rsid w:val="004C4D17"/>
    <w:rsid w:val="004D305E"/>
    <w:rsid w:val="004D4277"/>
    <w:rsid w:val="004F344F"/>
    <w:rsid w:val="00502516"/>
    <w:rsid w:val="00505F06"/>
    <w:rsid w:val="00506828"/>
    <w:rsid w:val="005216DE"/>
    <w:rsid w:val="0053056E"/>
    <w:rsid w:val="005414A7"/>
    <w:rsid w:val="00554FDA"/>
    <w:rsid w:val="00573153"/>
    <w:rsid w:val="005A6045"/>
    <w:rsid w:val="005C395E"/>
    <w:rsid w:val="005C784C"/>
    <w:rsid w:val="005D17F6"/>
    <w:rsid w:val="005E5539"/>
    <w:rsid w:val="005E7285"/>
    <w:rsid w:val="00602BF5"/>
    <w:rsid w:val="00617FDD"/>
    <w:rsid w:val="00633614"/>
    <w:rsid w:val="00633F68"/>
    <w:rsid w:val="00636EB2"/>
    <w:rsid w:val="006375B8"/>
    <w:rsid w:val="00644719"/>
    <w:rsid w:val="0066510A"/>
    <w:rsid w:val="00673F9F"/>
    <w:rsid w:val="00686953"/>
    <w:rsid w:val="0068712E"/>
    <w:rsid w:val="00687DEA"/>
    <w:rsid w:val="00687E67"/>
    <w:rsid w:val="006967F7"/>
    <w:rsid w:val="006A250C"/>
    <w:rsid w:val="006B21D3"/>
    <w:rsid w:val="006B57D0"/>
    <w:rsid w:val="006D30FF"/>
    <w:rsid w:val="006D6940"/>
    <w:rsid w:val="006F11EC"/>
    <w:rsid w:val="006F1EAE"/>
    <w:rsid w:val="0070082C"/>
    <w:rsid w:val="00721D41"/>
    <w:rsid w:val="007369E6"/>
    <w:rsid w:val="00741795"/>
    <w:rsid w:val="00746E59"/>
    <w:rsid w:val="0075176F"/>
    <w:rsid w:val="00754C9A"/>
    <w:rsid w:val="0075599A"/>
    <w:rsid w:val="00761D52"/>
    <w:rsid w:val="0077749E"/>
    <w:rsid w:val="00790ADA"/>
    <w:rsid w:val="007D2288"/>
    <w:rsid w:val="007E088F"/>
    <w:rsid w:val="007E1A66"/>
    <w:rsid w:val="007F7B32"/>
    <w:rsid w:val="00804BC2"/>
    <w:rsid w:val="0081431A"/>
    <w:rsid w:val="0083216F"/>
    <w:rsid w:val="00860000"/>
    <w:rsid w:val="00863BD3"/>
    <w:rsid w:val="008641ED"/>
    <w:rsid w:val="00866D66"/>
    <w:rsid w:val="008671C6"/>
    <w:rsid w:val="00875803"/>
    <w:rsid w:val="008B459E"/>
    <w:rsid w:val="008E13AE"/>
    <w:rsid w:val="008E1506"/>
    <w:rsid w:val="008E1FF2"/>
    <w:rsid w:val="008E710C"/>
    <w:rsid w:val="008F69D6"/>
    <w:rsid w:val="00902823"/>
    <w:rsid w:val="00910047"/>
    <w:rsid w:val="00915CA6"/>
    <w:rsid w:val="00927834"/>
    <w:rsid w:val="009500A6"/>
    <w:rsid w:val="00957C18"/>
    <w:rsid w:val="009659BA"/>
    <w:rsid w:val="00983040"/>
    <w:rsid w:val="009A3B3E"/>
    <w:rsid w:val="009B3FB9"/>
    <w:rsid w:val="009C2465"/>
    <w:rsid w:val="009D35A0"/>
    <w:rsid w:val="009D53BB"/>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35B4"/>
    <w:rsid w:val="00A94063"/>
    <w:rsid w:val="00A96FE7"/>
    <w:rsid w:val="00A970FC"/>
    <w:rsid w:val="00AA3007"/>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5AA"/>
    <w:rsid w:val="00BF1F80"/>
    <w:rsid w:val="00BF3CAF"/>
    <w:rsid w:val="00C166EF"/>
    <w:rsid w:val="00C17EB0"/>
    <w:rsid w:val="00C220C1"/>
    <w:rsid w:val="00C27F5F"/>
    <w:rsid w:val="00C30A0F"/>
    <w:rsid w:val="00C37E61"/>
    <w:rsid w:val="00C70F1B"/>
    <w:rsid w:val="00C71A47"/>
    <w:rsid w:val="00C7464C"/>
    <w:rsid w:val="00C85588"/>
    <w:rsid w:val="00C92483"/>
    <w:rsid w:val="00CD6755"/>
    <w:rsid w:val="00CD6856"/>
    <w:rsid w:val="00CE0089"/>
    <w:rsid w:val="00CE793C"/>
    <w:rsid w:val="00CF193C"/>
    <w:rsid w:val="00D173F1"/>
    <w:rsid w:val="00D74CB0"/>
    <w:rsid w:val="00D8295D"/>
    <w:rsid w:val="00D8315B"/>
    <w:rsid w:val="00DB1A06"/>
    <w:rsid w:val="00DC2A65"/>
    <w:rsid w:val="00DD0399"/>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20CA"/>
    <w:rsid w:val="00EF581D"/>
    <w:rsid w:val="00EF7FD8"/>
    <w:rsid w:val="00F06F59"/>
    <w:rsid w:val="00F17988"/>
    <w:rsid w:val="00F25EBD"/>
    <w:rsid w:val="00F35BF7"/>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Ttulo1">
    <w:name w:val="heading 1"/>
    <w:basedOn w:val="Normal"/>
    <w:next w:val="Normal"/>
    <w:qFormat/>
    <w:rsid w:val="0042378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tulo">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Rodap">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Cabealho">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Assinatur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ontepargpadro"/>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Fontepargpadro"/>
    <w:rsid w:val="00030174"/>
    <w:rPr>
      <w:color w:val="FF0080"/>
      <w:u w:val="single"/>
    </w:rPr>
  </w:style>
  <w:style w:type="character" w:styleId="HiperlinkVisitado">
    <w:name w:val="FollowedHyperlink"/>
    <w:basedOn w:val="Fontepargpadro"/>
    <w:rsid w:val="00FB3A86"/>
    <w:rPr>
      <w:color w:val="800080"/>
      <w:u w:val="single"/>
    </w:rPr>
  </w:style>
  <w:style w:type="table" w:styleId="Tabelacomgrade">
    <w:name w:val="Table Grid"/>
    <w:basedOn w:val="Tabela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2">
    <w:name w:val="Body Text 2"/>
    <w:basedOn w:val="Normal"/>
    <w:link w:val="Corpodetexto2Char"/>
    <w:rsid w:val="00EF7FD8"/>
    <w:pPr>
      <w:spacing w:after="120" w:line="480" w:lineRule="auto"/>
    </w:pPr>
  </w:style>
  <w:style w:type="character" w:customStyle="1" w:styleId="Corpodetexto2Char">
    <w:name w:val="Corpo de texto 2 Char"/>
    <w:basedOn w:val="Fontepargpadro"/>
    <w:link w:val="Corpodetexto2"/>
    <w:rsid w:val="00EF7FD8"/>
    <w:rPr>
      <w:rFonts w:ascii="Helvetica" w:hAnsi="Helvetica"/>
    </w:rPr>
  </w:style>
  <w:style w:type="character" w:styleId="Refdecomentrio">
    <w:name w:val="annotation reference"/>
    <w:basedOn w:val="Fontepargpadro"/>
    <w:uiPriority w:val="99"/>
    <w:unhideWhenUsed/>
    <w:rsid w:val="00746E59"/>
    <w:rPr>
      <w:sz w:val="16"/>
      <w:szCs w:val="16"/>
    </w:rPr>
  </w:style>
  <w:style w:type="paragraph" w:styleId="Textodecomentrio">
    <w:name w:val="annotation text"/>
    <w:basedOn w:val="Normal"/>
    <w:link w:val="TextodecomentrioChar"/>
    <w:uiPriority w:val="99"/>
    <w:unhideWhenUsed/>
    <w:rsid w:val="00746E59"/>
    <w:rPr>
      <w:rFonts w:ascii="Times New Roman" w:hAnsi="Times New Roman"/>
      <w:lang w:val="nb-NO" w:eastAsia="nb-NO"/>
    </w:rPr>
  </w:style>
  <w:style w:type="character" w:customStyle="1" w:styleId="TextodecomentrioChar">
    <w:name w:val="Texto de comentário Char"/>
    <w:basedOn w:val="Fontepargpadro"/>
    <w:link w:val="Textodecomentrio"/>
    <w:uiPriority w:val="99"/>
    <w:rsid w:val="00746E59"/>
    <w:rPr>
      <w:lang w:val="nb-NO" w:eastAsia="nb-NO"/>
    </w:rPr>
  </w:style>
  <w:style w:type="paragraph" w:styleId="Textodebalo">
    <w:name w:val="Balloon Text"/>
    <w:basedOn w:val="Normal"/>
    <w:link w:val="TextodebaloChar"/>
    <w:rsid w:val="00746E59"/>
    <w:rPr>
      <w:rFonts w:ascii="Tahoma" w:hAnsi="Tahoma" w:cs="Tahoma"/>
      <w:sz w:val="16"/>
      <w:szCs w:val="16"/>
    </w:rPr>
  </w:style>
  <w:style w:type="character" w:customStyle="1" w:styleId="TextodebaloChar">
    <w:name w:val="Texto de balão Char"/>
    <w:basedOn w:val="Fontepargpadro"/>
    <w:link w:val="Textodebalo"/>
    <w:rsid w:val="00746E59"/>
    <w:rPr>
      <w:rFonts w:ascii="Tahoma" w:hAnsi="Tahoma" w:cs="Tahoma"/>
      <w:sz w:val="16"/>
      <w:szCs w:val="16"/>
    </w:rPr>
  </w:style>
  <w:style w:type="paragraph" w:styleId="Corpodetexto3">
    <w:name w:val="Body Text 3"/>
    <w:basedOn w:val="Normal"/>
    <w:link w:val="Corpodetexto3Char"/>
    <w:rsid w:val="00231920"/>
    <w:pPr>
      <w:spacing w:after="120"/>
    </w:pPr>
    <w:rPr>
      <w:sz w:val="16"/>
      <w:szCs w:val="16"/>
    </w:rPr>
  </w:style>
  <w:style w:type="character" w:customStyle="1" w:styleId="Corpodetexto3Char">
    <w:name w:val="Corpo de texto 3 Char"/>
    <w:basedOn w:val="Fontepargpadro"/>
    <w:link w:val="Corpodetexto3"/>
    <w:rsid w:val="00231920"/>
    <w:rPr>
      <w:rFonts w:ascii="Helvetica" w:hAnsi="Helvetica"/>
      <w:sz w:val="16"/>
      <w:szCs w:val="16"/>
    </w:rPr>
  </w:style>
  <w:style w:type="character" w:styleId="Nmerodelinha">
    <w:name w:val="line number"/>
    <w:basedOn w:val="Fontepargpadro"/>
    <w:rsid w:val="00412475"/>
  </w:style>
  <w:style w:type="character" w:styleId="nfase">
    <w:name w:val="Emphasis"/>
    <w:basedOn w:val="Fontepargpadro"/>
    <w:uiPriority w:val="20"/>
    <w:qFormat/>
    <w:rsid w:val="0024282C"/>
    <w:rPr>
      <w:i/>
      <w:iCs/>
    </w:rPr>
  </w:style>
  <w:style w:type="character" w:customStyle="1" w:styleId="UnresolvedMention1">
    <w:name w:val="Unresolved Mention1"/>
    <w:basedOn w:val="Fontepargpadro"/>
    <w:uiPriority w:val="99"/>
    <w:semiHidden/>
    <w:unhideWhenUsed/>
    <w:rsid w:val="00287E68"/>
    <w:rPr>
      <w:color w:val="605E5C"/>
      <w:shd w:val="clear" w:color="auto" w:fill="E1DFDD"/>
    </w:rPr>
  </w:style>
  <w:style w:type="character" w:customStyle="1" w:styleId="UnresolvedMention">
    <w:name w:val="Unresolved Mention"/>
    <w:basedOn w:val="Fontepargpadro"/>
    <w:uiPriority w:val="99"/>
    <w:semiHidden/>
    <w:unhideWhenUsed/>
    <w:rsid w:val="005A604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5172369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292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tif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tif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tif"/><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tiff"/><Relationship Id="rId20" Type="http://schemas.openxmlformats.org/officeDocument/2006/relationships/image" Target="media/image6.tif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1.tif"/><Relationship Id="rId23" Type="http://schemas.openxmlformats.org/officeDocument/2006/relationships/image" Target="media/image9.tif"/><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tif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tiff"/><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7993E-6533-4A7F-B85D-215C7674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103</TotalTime>
  <Pages>18</Pages>
  <Words>5851</Words>
  <Characters>31601</Characters>
  <Application>Microsoft Office Word</Application>
  <DocSecurity>0</DocSecurity>
  <Lines>263</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37378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Paulo Alencar</cp:lastModifiedBy>
  <cp:revision>12</cp:revision>
  <cp:lastPrinted>1999-07-06T11:00:00Z</cp:lastPrinted>
  <dcterms:created xsi:type="dcterms:W3CDTF">2025-06-07T15:22:00Z</dcterms:created>
  <dcterms:modified xsi:type="dcterms:W3CDTF">2025-06-08T16:13:00Z</dcterms:modified>
</cp:coreProperties>
</file>