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22489" w14:textId="4F493425" w:rsidR="00E22FD8" w:rsidRPr="00E22FD8" w:rsidRDefault="00E22FD8" w:rsidP="00C34A68">
      <w:pPr>
        <w:pStyle w:val="Author"/>
        <w:spacing w:line="240" w:lineRule="auto"/>
        <w:jc w:val="center"/>
        <w:rPr>
          <w:rFonts w:ascii="Arial" w:hAnsi="Arial" w:cs="Arial"/>
          <w:color w:val="FF0000"/>
          <w:sz w:val="36"/>
          <w:szCs w:val="36"/>
        </w:rPr>
      </w:pPr>
      <w:r w:rsidRPr="00E22FD8">
        <w:rPr>
          <w:rFonts w:ascii="Arial" w:hAnsi="Arial" w:cs="Arial"/>
          <w:bCs/>
          <w:color w:val="FF0000"/>
          <w:sz w:val="36"/>
          <w:szCs w:val="36"/>
        </w:rPr>
        <w:t>Refractory Trigeminal Neuralgia to Medical Treatment Resolved by Microvascular Decompression</w:t>
      </w:r>
      <w:r w:rsidR="008B2BAB">
        <w:rPr>
          <w:rFonts w:ascii="Arial" w:hAnsi="Arial" w:cs="Arial"/>
          <w:bCs/>
          <w:color w:val="FF0000"/>
          <w:sz w:val="36"/>
          <w:szCs w:val="36"/>
        </w:rPr>
        <w:t>: A</w:t>
      </w:r>
      <w:r w:rsidRPr="00E22FD8">
        <w:rPr>
          <w:rFonts w:ascii="Arial" w:hAnsi="Arial" w:cs="Arial"/>
          <w:bCs/>
          <w:color w:val="FF0000"/>
          <w:sz w:val="36"/>
          <w:szCs w:val="36"/>
        </w:rPr>
        <w:t xml:space="preserve"> Case Report</w:t>
      </w:r>
    </w:p>
    <w:p w14:paraId="4F4B7ABE" w14:textId="77777777" w:rsidR="00816353" w:rsidRPr="00C34A68" w:rsidRDefault="00816353" w:rsidP="00C34A68">
      <w:pPr>
        <w:pStyle w:val="Author"/>
        <w:spacing w:line="240" w:lineRule="auto"/>
        <w:jc w:val="center"/>
        <w:rPr>
          <w:rFonts w:ascii="Arial" w:hAnsi="Arial" w:cs="Arial"/>
          <w:sz w:val="36"/>
          <w:szCs w:val="36"/>
        </w:rPr>
      </w:pPr>
    </w:p>
    <w:p w14:paraId="20950282" w14:textId="1BD447DD" w:rsidR="00F36198" w:rsidRPr="005C1B18" w:rsidRDefault="00F36198" w:rsidP="00F36198">
      <w:pPr>
        <w:pStyle w:val="Affiliation"/>
        <w:rPr>
          <w:rFonts w:ascii="Arial" w:hAnsi="Arial" w:cs="Arial"/>
          <w:i/>
          <w:lang w:val="en-US"/>
        </w:rPr>
      </w:pPr>
      <w:r w:rsidRPr="005C1B18">
        <w:rPr>
          <w:rFonts w:ascii="Arial" w:hAnsi="Arial" w:cs="Arial"/>
          <w:i/>
          <w:lang w:val="en-US"/>
        </w:rPr>
        <w:t xml:space="preserve"> </w:t>
      </w:r>
    </w:p>
    <w:p w14:paraId="5398250F" w14:textId="474A4F1D" w:rsidR="00B01FCD" w:rsidRPr="003762AF" w:rsidRDefault="00B01FCD" w:rsidP="00441B6F">
      <w:pPr>
        <w:pStyle w:val="AbstHead"/>
        <w:spacing w:after="0"/>
        <w:jc w:val="both"/>
        <w:rPr>
          <w:rFonts w:ascii="Arial" w:hAnsi="Arial" w:cs="Arial"/>
          <w:lang w:val="pt-BR"/>
        </w:rPr>
      </w:pPr>
      <w:r w:rsidRPr="003762AF">
        <w:rPr>
          <w:rFonts w:ascii="Arial" w:hAnsi="Arial" w:cs="Arial"/>
          <w:lang w:val="pt-BR"/>
        </w:rPr>
        <w:t xml:space="preserve">ABSTRACT </w:t>
      </w:r>
    </w:p>
    <w:p w14:paraId="0ED28413" w14:textId="77777777" w:rsidR="00790ADA" w:rsidRPr="003762AF" w:rsidRDefault="00790ADA" w:rsidP="00441B6F">
      <w:pPr>
        <w:pStyle w:val="AbstHead"/>
        <w:spacing w:after="0"/>
        <w:jc w:val="both"/>
        <w:rPr>
          <w:rFonts w:ascii="Arial" w:hAnsi="Arial" w:cs="Arial"/>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4B343B5" w14:textId="77777777" w:rsidTr="001E44FE">
        <w:tc>
          <w:tcPr>
            <w:tcW w:w="9576" w:type="dxa"/>
            <w:shd w:val="clear" w:color="auto" w:fill="F2F2F2"/>
          </w:tcPr>
          <w:p w14:paraId="6612A791" w14:textId="55A6484C" w:rsidR="00505F06" w:rsidRPr="00896DDF" w:rsidRDefault="00A80C15" w:rsidP="00896DDF">
            <w:pPr>
              <w:spacing w:before="100" w:beforeAutospacing="1" w:after="100" w:afterAutospacing="1"/>
              <w:jc w:val="both"/>
              <w:rPr>
                <w:rFonts w:ascii="Arial" w:hAnsi="Arial" w:cs="Arial"/>
                <w:color w:val="FF0000"/>
                <w:lang w:eastAsia="pt-BR"/>
              </w:rPr>
            </w:pPr>
            <w:r>
              <w:rPr>
                <w:rStyle w:val="Strong"/>
              </w:rPr>
              <w:t>Objective:</w:t>
            </w:r>
            <w:r>
              <w:t xml:space="preserve"> </w:t>
            </w:r>
            <w:r w:rsidR="00B3514D">
              <w:rPr>
                <w:color w:val="FF0000"/>
              </w:rPr>
              <w:t>The purpose of the present study is to r</w:t>
            </w:r>
            <w:r>
              <w:t>eport a case of trigeminal neuralgia (TN)</w:t>
            </w:r>
            <w:r w:rsidR="00A603C5">
              <w:t xml:space="preserve"> </w:t>
            </w:r>
            <w:r w:rsidR="00896DDF">
              <w:t>refractory to medication</w:t>
            </w:r>
            <w:r w:rsidR="00896DDF" w:rsidRPr="00A603C5">
              <w:rPr>
                <w:color w:val="FF0000"/>
              </w:rPr>
              <w:t xml:space="preserve"> </w:t>
            </w:r>
            <w:r w:rsidR="00A603C5" w:rsidRPr="00A603C5">
              <w:rPr>
                <w:color w:val="FF0000"/>
              </w:rPr>
              <w:t xml:space="preserve">due to </w:t>
            </w:r>
            <w:r w:rsidR="00B96769" w:rsidRPr="00B96769">
              <w:rPr>
                <w:rFonts w:ascii="Arial" w:hAnsi="Arial" w:cs="Arial"/>
                <w:color w:val="FF0000"/>
                <w:lang w:eastAsia="pt-BR"/>
              </w:rPr>
              <w:t xml:space="preserve">a rare double compression of the trigeminal nerve by the superior cerebellar artery and the transverse pontine </w:t>
            </w:r>
            <w:r w:rsidR="00B96769" w:rsidRPr="00B44532">
              <w:rPr>
                <w:rFonts w:ascii="Arial" w:hAnsi="Arial" w:cs="Arial"/>
                <w:color w:val="FF0000"/>
                <w:lang w:eastAsia="pt-BR"/>
              </w:rPr>
              <w:t>vein</w:t>
            </w:r>
            <w:r w:rsidR="00896DDF">
              <w:t>, resolved with microvascular decompression (MVD).</w:t>
            </w:r>
            <w:r>
              <w:br/>
            </w:r>
            <w:r>
              <w:rPr>
                <w:rStyle w:val="Strong"/>
              </w:rPr>
              <w:t>Case:</w:t>
            </w:r>
            <w:r>
              <w:t xml:space="preserve"> A 64-year-old woman with right-side TN (V2–V3) had severe</w:t>
            </w:r>
            <w:r w:rsidR="008A397F">
              <w:t xml:space="preserve"> </w:t>
            </w:r>
            <w:r w:rsidR="008A397F" w:rsidRPr="00A86376">
              <w:rPr>
                <w:color w:val="FF0000"/>
              </w:rPr>
              <w:t>facial</w:t>
            </w:r>
            <w:r w:rsidR="008A397F">
              <w:t xml:space="preserve"> </w:t>
            </w:r>
            <w:r>
              <w:t xml:space="preserve">pain </w:t>
            </w:r>
            <w:r w:rsidR="00A86376" w:rsidRPr="00A86376">
              <w:rPr>
                <w:color w:val="FF0000"/>
              </w:rPr>
              <w:t>tri</w:t>
            </w:r>
            <w:r w:rsidR="00795A83">
              <w:rPr>
                <w:color w:val="FF0000"/>
              </w:rPr>
              <w:t>g</w:t>
            </w:r>
            <w:r w:rsidR="00A86376" w:rsidRPr="00A86376">
              <w:rPr>
                <w:color w:val="FF0000"/>
              </w:rPr>
              <w:t xml:space="preserve">gered by </w:t>
            </w:r>
            <w:r w:rsidR="00A86376" w:rsidRPr="00A86376">
              <w:rPr>
                <w:rFonts w:ascii="Arial" w:hAnsi="Arial" w:cs="Arial"/>
                <w:color w:val="FF0000"/>
                <w:lang w:eastAsia="pt-BR"/>
              </w:rPr>
              <w:t xml:space="preserve">chewing and brushing </w:t>
            </w:r>
            <w:r w:rsidR="00050E38">
              <w:rPr>
                <w:rFonts w:ascii="Arial" w:hAnsi="Arial" w:cs="Arial"/>
                <w:color w:val="FF0000"/>
                <w:lang w:eastAsia="pt-BR"/>
              </w:rPr>
              <w:t>the</w:t>
            </w:r>
            <w:r w:rsidR="00A86376" w:rsidRPr="00A86376">
              <w:rPr>
                <w:rFonts w:ascii="Arial" w:hAnsi="Arial" w:cs="Arial"/>
                <w:color w:val="FF0000"/>
                <w:lang w:eastAsia="pt-BR"/>
              </w:rPr>
              <w:t xml:space="preserve"> teeth</w:t>
            </w:r>
            <w:r w:rsidR="00A86376" w:rsidRPr="00A86376">
              <w:rPr>
                <w:color w:val="FF0000"/>
              </w:rPr>
              <w:t xml:space="preserve"> </w:t>
            </w:r>
            <w:r>
              <w:t xml:space="preserve">unresponsive to carbamazepine, lamotrigine, and clonazepam. </w:t>
            </w:r>
            <w:r w:rsidR="00795A83" w:rsidRPr="006F5F3A">
              <w:rPr>
                <w:color w:val="FF0000"/>
              </w:rPr>
              <w:t xml:space="preserve">High-resolution MRI </w:t>
            </w:r>
            <w:r w:rsidR="006F5F3A" w:rsidRPr="006F5F3A">
              <w:rPr>
                <w:color w:val="FF0000"/>
              </w:rPr>
              <w:t>showed the double neurovascular compression (superior cerebellar artery and transverse pontine vein)</w:t>
            </w:r>
            <w:r w:rsidR="00050E38">
              <w:rPr>
                <w:color w:val="FF0000"/>
              </w:rPr>
              <w:t>.</w:t>
            </w:r>
            <w:r w:rsidR="006F5F3A">
              <w:t xml:space="preserve"> </w:t>
            </w:r>
            <w:r>
              <w:t xml:space="preserve">MVD </w:t>
            </w:r>
            <w:r w:rsidR="00A12B16" w:rsidRPr="00A12B16">
              <w:rPr>
                <w:color w:val="FF0000"/>
              </w:rPr>
              <w:t xml:space="preserve">was </w:t>
            </w:r>
            <w:r w:rsidR="00A12B16">
              <w:rPr>
                <w:color w:val="FF0000"/>
              </w:rPr>
              <w:t>performed</w:t>
            </w:r>
            <w:r w:rsidR="00A12B16" w:rsidRPr="00A12B16">
              <w:t xml:space="preserve"> </w:t>
            </w:r>
            <w:r>
              <w:t xml:space="preserve">via </w:t>
            </w:r>
            <w:proofErr w:type="spellStart"/>
            <w:r>
              <w:t>retrosigmoid</w:t>
            </w:r>
            <w:proofErr w:type="spellEnd"/>
            <w:r>
              <w:t xml:space="preserve"> approach </w:t>
            </w:r>
            <w:r w:rsidR="00E54641" w:rsidRPr="00E54641">
              <w:rPr>
                <w:color w:val="FF0000"/>
              </w:rPr>
              <w:t xml:space="preserve">allowing the visualization of </w:t>
            </w:r>
            <w:r w:rsidR="00E54641">
              <w:t>the</w:t>
            </w:r>
            <w:r>
              <w:t xml:space="preserve"> double neurovascular compression</w:t>
            </w:r>
            <w:r w:rsidR="00816630">
              <w:t xml:space="preserve">, </w:t>
            </w:r>
            <w:r w:rsidR="00816630" w:rsidRPr="00816630">
              <w:rPr>
                <w:color w:val="FF0000"/>
              </w:rPr>
              <w:t>which were b</w:t>
            </w:r>
            <w:r>
              <w:t>oth compressions grade 2. An autologous muscle graft (AMG) was used instead of Teflon.</w:t>
            </w:r>
            <w:r w:rsidR="00377CCF">
              <w:t xml:space="preserve"> </w:t>
            </w:r>
            <w:r>
              <w:br/>
            </w:r>
            <w:r>
              <w:rPr>
                <w:rStyle w:val="Strong"/>
              </w:rPr>
              <w:t>Discussion:</w:t>
            </w:r>
            <w:r>
              <w:t xml:space="preserve"> Venous compression is underdiagnosed and may coexist with arterial. AMG reduces inflammatory risks</w:t>
            </w:r>
            <w:r w:rsidR="009536AF">
              <w:t xml:space="preserve"> </w:t>
            </w:r>
            <w:r w:rsidR="009536AF" w:rsidRPr="009536AF">
              <w:rPr>
                <w:color w:val="FF0000"/>
              </w:rPr>
              <w:t>and reduce</w:t>
            </w:r>
            <w:r w:rsidR="00B1757C">
              <w:rPr>
                <w:color w:val="FF0000"/>
              </w:rPr>
              <w:t>s</w:t>
            </w:r>
            <w:r w:rsidR="009536AF" w:rsidRPr="009536AF">
              <w:rPr>
                <w:rFonts w:ascii="Arial" w:hAnsi="Arial" w:cs="Arial"/>
                <w:color w:val="FF0000"/>
                <w:lang w:eastAsia="pt-BR"/>
              </w:rPr>
              <w:t xml:space="preserve"> the risk of Teflon stiffness, which could cause additional </w:t>
            </w:r>
            <w:r w:rsidR="009536AF" w:rsidRPr="00CC5EAB">
              <w:rPr>
                <w:rFonts w:ascii="Arial" w:hAnsi="Arial" w:cs="Arial"/>
                <w:color w:val="FF0000"/>
                <w:lang w:eastAsia="pt-BR"/>
              </w:rPr>
              <w:t>compression</w:t>
            </w:r>
            <w:r>
              <w:t>.</w:t>
            </w:r>
            <w:r>
              <w:br/>
            </w:r>
            <w:r>
              <w:rPr>
                <w:rStyle w:val="Strong"/>
              </w:rPr>
              <w:t>Conclusion:</w:t>
            </w:r>
            <w:r>
              <w:t xml:space="preserve"> </w:t>
            </w:r>
            <w:r w:rsidR="00CC5EAB" w:rsidRPr="000A36E9">
              <w:rPr>
                <w:color w:val="FF0000"/>
              </w:rPr>
              <w:t>T</w:t>
            </w:r>
            <w:r w:rsidR="00CC5EAB" w:rsidRPr="000A36E9">
              <w:rPr>
                <w:rFonts w:ascii="Arial" w:hAnsi="Arial" w:cs="Arial"/>
                <w:color w:val="FF0000"/>
                <w:lang w:eastAsia="pt-BR"/>
              </w:rPr>
              <w:t>he patient remained pain-free and medication-</w:t>
            </w:r>
            <w:proofErr w:type="spellStart"/>
            <w:r w:rsidR="00CC5EAB" w:rsidRPr="000A36E9">
              <w:rPr>
                <w:rFonts w:ascii="Arial" w:hAnsi="Arial" w:cs="Arial"/>
                <w:color w:val="FF0000"/>
                <w:lang w:eastAsia="pt-BR"/>
              </w:rPr>
              <w:t>free</w:t>
            </w:r>
            <w:proofErr w:type="gramStart"/>
            <w:r w:rsidR="00B1757C">
              <w:rPr>
                <w:rFonts w:ascii="Arial" w:hAnsi="Arial" w:cs="Arial"/>
                <w:color w:val="FF0000"/>
                <w:lang w:eastAsia="pt-BR"/>
              </w:rPr>
              <w:t>.</w:t>
            </w:r>
            <w:r w:rsidR="00CC5EAB">
              <w:t>.</w:t>
            </w:r>
            <w:proofErr w:type="gramEnd"/>
            <w:r w:rsidR="00960DD6">
              <w:t>High</w:t>
            </w:r>
            <w:proofErr w:type="spellEnd"/>
            <w:r w:rsidR="00960DD6">
              <w:t xml:space="preserve">-resolution MRI was essential for diagnosis and surgical planning. </w:t>
            </w:r>
            <w:r>
              <w:t xml:space="preserve">MVD with AMG was safe and effective, providing immediate and lasting symptom relief. </w:t>
            </w:r>
          </w:p>
        </w:tc>
      </w:tr>
    </w:tbl>
    <w:p w14:paraId="1C397563" w14:textId="77777777" w:rsidR="00636EB2" w:rsidRDefault="00636EB2" w:rsidP="00441B6F">
      <w:pPr>
        <w:pStyle w:val="Body"/>
        <w:spacing w:after="0"/>
        <w:rPr>
          <w:rFonts w:ascii="Arial" w:hAnsi="Arial" w:cs="Arial"/>
          <w:i/>
        </w:rPr>
      </w:pPr>
    </w:p>
    <w:p w14:paraId="6BBCDB6D" w14:textId="365E0611" w:rsidR="00505F06" w:rsidRDefault="00A24E7E" w:rsidP="00BD54E7">
      <w:pPr>
        <w:pStyle w:val="Body"/>
        <w:spacing w:after="0"/>
        <w:rPr>
          <w:rFonts w:ascii="Arial" w:hAnsi="Arial" w:cs="Arial"/>
          <w:i/>
          <w:iCs/>
          <w:lang w:val="pt-BR"/>
        </w:rPr>
      </w:pPr>
      <w:r w:rsidRPr="0019204C">
        <w:rPr>
          <w:rFonts w:ascii="Arial" w:hAnsi="Arial" w:cs="Arial"/>
          <w:i/>
          <w:lang w:val="pt-BR"/>
        </w:rPr>
        <w:t xml:space="preserve">Keywords: </w:t>
      </w:r>
      <w:r w:rsidR="00BD54E7" w:rsidRPr="0019204C">
        <w:rPr>
          <w:rFonts w:ascii="Arial" w:hAnsi="Arial" w:cs="Arial"/>
          <w:i/>
          <w:iCs/>
          <w:lang w:val="pt-BR"/>
        </w:rPr>
        <w:t>Trigeminal Neuralgia, Microvascular Decompression, Neurovascular Compression e Autologous Muscle Graft</w:t>
      </w:r>
    </w:p>
    <w:p w14:paraId="71B7E455" w14:textId="77777777" w:rsidR="00350042" w:rsidRPr="0019204C" w:rsidRDefault="00350042" w:rsidP="00BD54E7">
      <w:pPr>
        <w:pStyle w:val="Body"/>
        <w:spacing w:after="0"/>
        <w:rPr>
          <w:rFonts w:ascii="Arial" w:hAnsi="Arial" w:cs="Arial"/>
          <w:i/>
          <w:lang w:val="pt-BR"/>
        </w:rPr>
      </w:pPr>
    </w:p>
    <w:p w14:paraId="473ACC99" w14:textId="4776E526" w:rsidR="007F7B32" w:rsidRDefault="00902823" w:rsidP="00441B6F">
      <w:pPr>
        <w:pStyle w:val="AbstHead"/>
        <w:spacing w:after="0"/>
        <w:jc w:val="both"/>
        <w:rPr>
          <w:rFonts w:ascii="Arial" w:hAnsi="Arial" w:cs="Arial"/>
        </w:rPr>
      </w:pPr>
      <w:r>
        <w:rPr>
          <w:rFonts w:ascii="Arial" w:hAnsi="Arial" w:cs="Arial"/>
        </w:rPr>
        <w:t>1. INTRODUCTION</w:t>
      </w:r>
    </w:p>
    <w:p w14:paraId="7E38E0AE" w14:textId="77777777" w:rsidR="00350042" w:rsidRDefault="00350042" w:rsidP="00441B6F">
      <w:pPr>
        <w:pStyle w:val="AbstHead"/>
        <w:spacing w:after="0"/>
        <w:jc w:val="both"/>
        <w:rPr>
          <w:rFonts w:ascii="Arial" w:hAnsi="Arial" w:cs="Arial"/>
        </w:rPr>
      </w:pPr>
    </w:p>
    <w:p w14:paraId="5FB7ADFF" w14:textId="093C094E" w:rsidR="00A80C15" w:rsidRPr="00706B56" w:rsidRDefault="00A80C15" w:rsidP="00391CAE">
      <w:pPr>
        <w:spacing w:before="100" w:beforeAutospacing="1" w:after="100" w:afterAutospacing="1"/>
        <w:jc w:val="both"/>
        <w:rPr>
          <w:rFonts w:ascii="Arial" w:hAnsi="Arial" w:cs="Arial"/>
          <w:lang w:eastAsia="pt-BR"/>
        </w:rPr>
      </w:pPr>
      <w:r>
        <w:t>Trigeminal Neuralgia (TN) is a neurological disorder causing intense, brief facial pain triggered by mild stimuli like chewing or brushing. The pain is paroxysmal, electric shock-like, and lasts seconds to two minutes (IHS, 2018; Bendtsen et al., 2020). Prevalence ranges from 4 to 13 per 100,000 people, with higher incidence in women (Villegas Díaz et al., 2024; Kumar et al., 2013). Secondary TN, linked to conditions like multiple sclerosis or tumors, may present bilaterally (</w:t>
      </w:r>
      <w:proofErr w:type="spellStart"/>
      <w:r>
        <w:t>Houshi</w:t>
      </w:r>
      <w:proofErr w:type="spellEnd"/>
      <w:r>
        <w:t xml:space="preserve"> et al., 2022). Chronic TN impacts sleep, mood, and relationships, highlighting the need for multidisciplinary management (Bendtsen et al., 2019; Villegas Díaz et al., 202</w:t>
      </w:r>
      <w:r w:rsidR="009F102B">
        <w:t>4</w:t>
      </w:r>
      <w:r>
        <w:t>).</w:t>
      </w:r>
    </w:p>
    <w:p w14:paraId="4C3C9EDF" w14:textId="1FC70F7A" w:rsidR="00391CAE" w:rsidRPr="00706B56" w:rsidRDefault="00391CAE" w:rsidP="00391CAE">
      <w:pPr>
        <w:spacing w:before="100" w:beforeAutospacing="1" w:after="100" w:afterAutospacing="1"/>
        <w:jc w:val="both"/>
        <w:rPr>
          <w:rFonts w:ascii="Arial" w:hAnsi="Arial" w:cs="Arial"/>
          <w:lang w:eastAsia="pt-BR"/>
        </w:rPr>
      </w:pPr>
      <w:r w:rsidRPr="00706B56">
        <w:rPr>
          <w:rFonts w:ascii="Arial" w:hAnsi="Arial" w:cs="Arial"/>
          <w:lang w:eastAsia="pt-BR"/>
        </w:rPr>
        <w:t>The primary cause of classic TN is neurovascular compression, often caused by compression of the superior cerebellar artery, leading to demyelination of the nerve root and neuronal hyperexcitability (Benoliel et al., 2019). The International Headache Society (IHS) classifies TN as idiopathic, classic, or secondary, based on clinical and imaging findings (Benoliel et al., 2019; Bendtsen et al., 2019).</w:t>
      </w:r>
    </w:p>
    <w:p w14:paraId="4CA7BAA9" w14:textId="2AA52840" w:rsidR="00391CAE" w:rsidRPr="00706B56" w:rsidRDefault="00391CAE" w:rsidP="00391CAE">
      <w:pPr>
        <w:spacing w:before="100" w:beforeAutospacing="1" w:after="100" w:afterAutospacing="1"/>
        <w:jc w:val="both"/>
        <w:rPr>
          <w:rFonts w:ascii="Arial" w:hAnsi="Arial" w:cs="Arial"/>
          <w:lang w:eastAsia="pt-BR"/>
        </w:rPr>
      </w:pPr>
      <w:r w:rsidRPr="00706B56">
        <w:rPr>
          <w:rFonts w:ascii="Arial" w:hAnsi="Arial" w:cs="Arial"/>
          <w:lang w:eastAsia="pt-BR"/>
        </w:rPr>
        <w:t xml:space="preserve">Initial treatment is pharmacological, with carbamazepine, oxcarbazepine, gabapentin, and lamotrigine. However, refractory patients become candidates for surgery (Villegas Díaz et al., 2023). Microvascular decompression (MVD) is the surgical technique of choice, with an initial </w:t>
      </w:r>
      <w:r w:rsidRPr="00706B56">
        <w:rPr>
          <w:rFonts w:ascii="Arial" w:hAnsi="Arial" w:cs="Arial"/>
          <w:lang w:eastAsia="pt-BR"/>
        </w:rPr>
        <w:lastRenderedPageBreak/>
        <w:t>success rate of up to 92.7%, a mortality rate of 0.7%, and an annual recurrence rate of 2% (Gusmão et al., 2003).</w:t>
      </w:r>
    </w:p>
    <w:p w14:paraId="59B0C394" w14:textId="1D05E071" w:rsidR="00391CAE" w:rsidRPr="00706B56" w:rsidRDefault="00391CAE" w:rsidP="00391CAE">
      <w:pPr>
        <w:spacing w:before="100" w:beforeAutospacing="1" w:after="100" w:afterAutospacing="1"/>
        <w:jc w:val="both"/>
        <w:rPr>
          <w:rFonts w:ascii="Arial" w:hAnsi="Arial" w:cs="Arial"/>
          <w:lang w:eastAsia="pt-BR"/>
        </w:rPr>
      </w:pPr>
      <w:r w:rsidRPr="00706B56">
        <w:rPr>
          <w:rFonts w:ascii="Arial" w:hAnsi="Arial" w:cs="Arial"/>
          <w:lang w:eastAsia="pt-BR"/>
        </w:rPr>
        <w:t>This case highlighted a rare double compression of the trigeminal nerve by the superior cerebellar artery and the transverse pontine vein. Autologous muscle grafting was chosen for interposition, resulting in complete remission of the pain. This report emphasizes the importance of recognizing anatomical variants and less conventional surgical approaches.</w:t>
      </w:r>
    </w:p>
    <w:p w14:paraId="69CC7E60" w14:textId="7C91B3ED" w:rsidR="007F7B32" w:rsidRDefault="00902823" w:rsidP="00441B6F">
      <w:pPr>
        <w:pStyle w:val="AbstHead"/>
        <w:spacing w:after="0"/>
        <w:jc w:val="both"/>
        <w:rPr>
          <w:rFonts w:ascii="Arial" w:hAnsi="Arial" w:cs="Arial"/>
        </w:rPr>
      </w:pPr>
      <w:r>
        <w:rPr>
          <w:rFonts w:ascii="Arial" w:hAnsi="Arial" w:cs="Arial"/>
        </w:rPr>
        <w:t>2. case report</w:t>
      </w:r>
    </w:p>
    <w:p w14:paraId="3C037976" w14:textId="77777777" w:rsidR="00447453" w:rsidRDefault="00447453" w:rsidP="00441B6F">
      <w:pPr>
        <w:pStyle w:val="AbstHead"/>
        <w:spacing w:after="0"/>
        <w:jc w:val="both"/>
        <w:rPr>
          <w:rFonts w:ascii="Arial" w:hAnsi="Arial" w:cs="Arial"/>
        </w:rPr>
      </w:pPr>
    </w:p>
    <w:p w14:paraId="7208AB3C" w14:textId="77777777" w:rsidR="00447453" w:rsidRDefault="00447453" w:rsidP="00441B6F">
      <w:pPr>
        <w:pStyle w:val="AbstHead"/>
        <w:spacing w:after="0"/>
        <w:jc w:val="both"/>
        <w:rPr>
          <w:rFonts w:ascii="Arial" w:hAnsi="Arial" w:cs="Arial"/>
        </w:rPr>
      </w:pPr>
    </w:p>
    <w:p w14:paraId="7563AC97" w14:textId="3015BE76" w:rsidR="00447453" w:rsidRPr="00447453" w:rsidRDefault="00447453" w:rsidP="00447453">
      <w:pPr>
        <w:pStyle w:val="AbstHead"/>
        <w:jc w:val="both"/>
        <w:rPr>
          <w:rFonts w:ascii="Arial" w:hAnsi="Arial" w:cs="Arial"/>
          <w:b w:val="0"/>
          <w:caps w:val="0"/>
          <w:color w:val="FF0000"/>
          <w:sz w:val="20"/>
          <w:lang w:eastAsia="pt-BR"/>
        </w:rPr>
      </w:pPr>
      <w:r w:rsidRPr="00447453">
        <w:rPr>
          <w:rFonts w:ascii="Arial" w:hAnsi="Arial" w:cs="Arial"/>
          <w:b w:val="0"/>
          <w:caps w:val="0"/>
          <w:sz w:val="20"/>
          <w:lang w:eastAsia="pt-BR"/>
        </w:rPr>
        <w:t>A 64-year-old female patient, normotensive, was diagnosed with trigeminal neuralgia (TN) affecting the maxillary (V2) and mandibular (V3) branches on the right. She reported recurrent, intense, paroxysmal, and lancinating pain, triggered by chewing and brushing her teeth</w:t>
      </w:r>
      <w:r w:rsidR="005C1B18">
        <w:rPr>
          <w:rFonts w:ascii="Arial" w:hAnsi="Arial" w:cs="Arial"/>
          <w:b w:val="0"/>
          <w:caps w:val="0"/>
          <w:sz w:val="20"/>
          <w:lang w:eastAsia="pt-BR"/>
        </w:rPr>
        <w:t xml:space="preserve">. </w:t>
      </w:r>
      <w:r w:rsidR="005C1B18">
        <w:rPr>
          <w:rFonts w:ascii="Arial" w:hAnsi="Arial" w:cs="Arial"/>
          <w:b w:val="0"/>
          <w:caps w:val="0"/>
          <w:color w:val="FF0000"/>
          <w:sz w:val="20"/>
          <w:lang w:eastAsia="pt-BR"/>
        </w:rPr>
        <w:t>The pa</w:t>
      </w:r>
      <w:r w:rsidR="00A72154">
        <w:rPr>
          <w:rFonts w:ascii="Arial" w:hAnsi="Arial" w:cs="Arial"/>
          <w:b w:val="0"/>
          <w:caps w:val="0"/>
          <w:color w:val="FF0000"/>
          <w:sz w:val="20"/>
          <w:lang w:eastAsia="pt-BR"/>
        </w:rPr>
        <w:t>t</w:t>
      </w:r>
      <w:r w:rsidR="005C1B18">
        <w:rPr>
          <w:rFonts w:ascii="Arial" w:hAnsi="Arial" w:cs="Arial"/>
          <w:b w:val="0"/>
          <w:caps w:val="0"/>
          <w:color w:val="FF0000"/>
          <w:sz w:val="20"/>
          <w:lang w:eastAsia="pt-BR"/>
        </w:rPr>
        <w:t>ient</w:t>
      </w:r>
      <w:r w:rsidRPr="00447453">
        <w:rPr>
          <w:rFonts w:ascii="Arial" w:hAnsi="Arial" w:cs="Arial"/>
          <w:b w:val="0"/>
          <w:caps w:val="0"/>
          <w:color w:val="FF0000"/>
          <w:sz w:val="20"/>
          <w:lang w:eastAsia="pt-BR"/>
        </w:rPr>
        <w:t xml:space="preserve"> had no other comorbidities besides TN</w:t>
      </w:r>
      <w:r w:rsidR="00A72154">
        <w:rPr>
          <w:rFonts w:ascii="Arial" w:hAnsi="Arial" w:cs="Arial"/>
          <w:b w:val="0"/>
          <w:caps w:val="0"/>
          <w:color w:val="FF0000"/>
          <w:sz w:val="20"/>
          <w:lang w:eastAsia="pt-BR"/>
        </w:rPr>
        <w:t xml:space="preserve"> and n</w:t>
      </w:r>
      <w:r w:rsidRPr="00447453">
        <w:rPr>
          <w:rFonts w:ascii="Arial" w:hAnsi="Arial" w:cs="Arial"/>
          <w:b w:val="0"/>
          <w:caps w:val="0"/>
          <w:color w:val="FF0000"/>
          <w:sz w:val="20"/>
          <w:lang w:eastAsia="pt-BR"/>
        </w:rPr>
        <w:t>othing noteworthy was found in the analysis of her clinical and family history. Neurological, clinical, and physical examinations showed no abnormalities, except for TN.</w:t>
      </w:r>
    </w:p>
    <w:p w14:paraId="51EEAA9E" w14:textId="7EB87018" w:rsidR="00447453" w:rsidRDefault="00665804" w:rsidP="00447453">
      <w:pPr>
        <w:pStyle w:val="AbstHead"/>
        <w:jc w:val="both"/>
        <w:rPr>
          <w:rFonts w:ascii="Arial" w:hAnsi="Arial" w:cs="Arial"/>
          <w:b w:val="0"/>
          <w:caps w:val="0"/>
          <w:color w:val="FF0000"/>
          <w:sz w:val="20"/>
          <w:lang w:eastAsia="pt-BR"/>
        </w:rPr>
      </w:pPr>
      <w:r w:rsidRPr="00665804">
        <w:rPr>
          <w:rFonts w:ascii="Arial" w:hAnsi="Arial" w:cs="Arial"/>
          <w:b w:val="0"/>
          <w:caps w:val="0"/>
          <w:sz w:val="20"/>
          <w:lang w:eastAsia="pt-BR"/>
        </w:rPr>
        <w:t>Initial</w:t>
      </w:r>
      <w:r w:rsidR="00447453" w:rsidRPr="00665804">
        <w:rPr>
          <w:rFonts w:ascii="Arial" w:hAnsi="Arial" w:cs="Arial"/>
          <w:b w:val="0"/>
          <w:caps w:val="0"/>
          <w:sz w:val="20"/>
          <w:lang w:eastAsia="pt-BR"/>
        </w:rPr>
        <w:t xml:space="preserve"> pharmacological </w:t>
      </w:r>
      <w:r w:rsidR="00447453" w:rsidRPr="00447453">
        <w:rPr>
          <w:rFonts w:ascii="Arial" w:hAnsi="Arial" w:cs="Arial"/>
          <w:b w:val="0"/>
          <w:caps w:val="0"/>
          <w:sz w:val="20"/>
          <w:lang w:eastAsia="pt-BR"/>
        </w:rPr>
        <w:t xml:space="preserve">treatment with carbamazepine (800 mg/day), clonazepam (2 mg/day), and lamotrigine (100 mg/day) did not control the pain. </w:t>
      </w:r>
      <w:r w:rsidR="00447453" w:rsidRPr="00447453">
        <w:rPr>
          <w:rFonts w:ascii="Arial" w:hAnsi="Arial" w:cs="Arial"/>
          <w:b w:val="0"/>
          <w:caps w:val="0"/>
          <w:color w:val="FF0000"/>
          <w:sz w:val="20"/>
          <w:lang w:eastAsia="pt-BR"/>
        </w:rPr>
        <w:t xml:space="preserve">Due to the patient's refractoriness to medication at </w:t>
      </w:r>
      <w:r w:rsidR="00634E2E">
        <w:rPr>
          <w:rFonts w:ascii="Arial" w:hAnsi="Arial" w:cs="Arial"/>
          <w:b w:val="0"/>
          <w:caps w:val="0"/>
          <w:color w:val="FF0000"/>
          <w:sz w:val="20"/>
          <w:lang w:eastAsia="pt-BR"/>
        </w:rPr>
        <w:t>high</w:t>
      </w:r>
      <w:r w:rsidR="00447453" w:rsidRPr="00447453">
        <w:rPr>
          <w:rFonts w:ascii="Arial" w:hAnsi="Arial" w:cs="Arial"/>
          <w:b w:val="0"/>
          <w:caps w:val="0"/>
          <w:color w:val="FF0000"/>
          <w:sz w:val="20"/>
          <w:lang w:eastAsia="pt-BR"/>
        </w:rPr>
        <w:t xml:space="preserve"> doses for 6 months</w:t>
      </w:r>
      <w:r w:rsidR="001804D5">
        <w:rPr>
          <w:rFonts w:ascii="Arial" w:hAnsi="Arial" w:cs="Arial"/>
          <w:b w:val="0"/>
          <w:caps w:val="0"/>
          <w:color w:val="FF0000"/>
          <w:sz w:val="20"/>
          <w:lang w:eastAsia="pt-BR"/>
        </w:rPr>
        <w:t xml:space="preserve"> and due to important side </w:t>
      </w:r>
      <w:r w:rsidR="00B34E2A">
        <w:rPr>
          <w:rFonts w:ascii="Arial" w:hAnsi="Arial" w:cs="Arial"/>
          <w:b w:val="0"/>
          <w:caps w:val="0"/>
          <w:color w:val="FF0000"/>
          <w:sz w:val="20"/>
          <w:lang w:eastAsia="pt-BR"/>
        </w:rPr>
        <w:t>effects such</w:t>
      </w:r>
      <w:r w:rsidR="001804D5">
        <w:rPr>
          <w:rFonts w:ascii="Arial" w:hAnsi="Arial" w:cs="Arial"/>
          <w:b w:val="0"/>
          <w:caps w:val="0"/>
          <w:color w:val="FF0000"/>
          <w:sz w:val="20"/>
          <w:lang w:eastAsia="pt-BR"/>
        </w:rPr>
        <w:t xml:space="preserve"> </w:t>
      </w:r>
      <w:r w:rsidR="007F3051">
        <w:rPr>
          <w:rFonts w:ascii="Arial" w:hAnsi="Arial" w:cs="Arial"/>
          <w:b w:val="0"/>
          <w:caps w:val="0"/>
          <w:color w:val="FF0000"/>
          <w:sz w:val="20"/>
          <w:lang w:eastAsia="pt-BR"/>
        </w:rPr>
        <w:t xml:space="preserve">as dizziness and </w:t>
      </w:r>
      <w:r w:rsidR="00B223C8" w:rsidRPr="00B223C8">
        <w:rPr>
          <w:rFonts w:ascii="Arial" w:hAnsi="Arial" w:cs="Arial"/>
          <w:b w:val="0"/>
          <w:caps w:val="0"/>
          <w:color w:val="FF0000"/>
          <w:sz w:val="20"/>
          <w:lang w:eastAsia="pt-BR"/>
        </w:rPr>
        <w:t>drowsiness</w:t>
      </w:r>
      <w:r w:rsidR="00447453" w:rsidRPr="00447453">
        <w:rPr>
          <w:rFonts w:ascii="Arial" w:hAnsi="Arial" w:cs="Arial"/>
          <w:b w:val="0"/>
          <w:caps w:val="0"/>
          <w:color w:val="FF0000"/>
          <w:sz w:val="20"/>
          <w:lang w:eastAsia="pt-BR"/>
        </w:rPr>
        <w:t>, microvascular decompression (MVD) surgery was chosen.</w:t>
      </w:r>
    </w:p>
    <w:p w14:paraId="66640C22" w14:textId="2F855F68" w:rsidR="00C21E32" w:rsidRPr="00447453" w:rsidRDefault="00C21E32" w:rsidP="00C21E32">
      <w:pPr>
        <w:pStyle w:val="AbstHead"/>
        <w:jc w:val="both"/>
        <w:rPr>
          <w:rFonts w:ascii="Arial" w:hAnsi="Arial" w:cs="Arial"/>
          <w:b w:val="0"/>
          <w:caps w:val="0"/>
          <w:color w:val="FF0000"/>
          <w:sz w:val="20"/>
          <w:lang w:eastAsia="pt-BR"/>
        </w:rPr>
      </w:pPr>
      <w:r w:rsidRPr="00447453">
        <w:rPr>
          <w:rFonts w:ascii="Arial" w:hAnsi="Arial" w:cs="Arial"/>
          <w:b w:val="0"/>
          <w:caps w:val="0"/>
          <w:color w:val="FF0000"/>
          <w:sz w:val="20"/>
          <w:lang w:eastAsia="pt-BR"/>
        </w:rPr>
        <w:t xml:space="preserve">Preoperative </w:t>
      </w:r>
      <w:r>
        <w:rPr>
          <w:rFonts w:ascii="Arial" w:hAnsi="Arial" w:cs="Arial"/>
          <w:b w:val="0"/>
          <w:caps w:val="0"/>
          <w:color w:val="FF0000"/>
          <w:sz w:val="20"/>
          <w:lang w:eastAsia="pt-BR"/>
        </w:rPr>
        <w:t>exams</w:t>
      </w:r>
      <w:r w:rsidRPr="00447453">
        <w:rPr>
          <w:rFonts w:ascii="Arial" w:hAnsi="Arial" w:cs="Arial"/>
          <w:b w:val="0"/>
          <w:caps w:val="0"/>
          <w:color w:val="FF0000"/>
          <w:sz w:val="20"/>
          <w:lang w:eastAsia="pt-BR"/>
        </w:rPr>
        <w:t>, such as electrocardiogram, chest X-ray, complete blood count, and urea and creatinine levels, were performed without significant changes</w:t>
      </w:r>
      <w:r>
        <w:rPr>
          <w:rFonts w:ascii="Arial" w:hAnsi="Arial" w:cs="Arial"/>
          <w:b w:val="0"/>
          <w:caps w:val="0"/>
          <w:color w:val="FF0000"/>
          <w:sz w:val="20"/>
          <w:lang w:eastAsia="pt-BR"/>
        </w:rPr>
        <w:t xml:space="preserve">. </w:t>
      </w:r>
      <w:r w:rsidR="00BB27BC">
        <w:rPr>
          <w:rFonts w:ascii="Arial" w:hAnsi="Arial" w:cs="Arial"/>
          <w:b w:val="0"/>
          <w:caps w:val="0"/>
          <w:color w:val="FF0000"/>
          <w:sz w:val="20"/>
          <w:lang w:eastAsia="pt-BR"/>
        </w:rPr>
        <w:t>Also</w:t>
      </w:r>
      <w:r w:rsidR="008D4E8B">
        <w:rPr>
          <w:rFonts w:ascii="Arial" w:hAnsi="Arial" w:cs="Arial"/>
          <w:b w:val="0"/>
          <w:caps w:val="0"/>
          <w:color w:val="FF0000"/>
          <w:sz w:val="20"/>
          <w:lang w:eastAsia="pt-BR"/>
        </w:rPr>
        <w:t>,</w:t>
      </w:r>
      <w:r w:rsidRPr="00447453">
        <w:rPr>
          <w:rFonts w:ascii="Arial" w:hAnsi="Arial" w:cs="Arial"/>
          <w:b w:val="0"/>
          <w:caps w:val="0"/>
          <w:color w:val="FF0000"/>
          <w:sz w:val="20"/>
          <w:lang w:eastAsia="pt-BR"/>
        </w:rPr>
        <w:t xml:space="preserve"> high-resolution magnetic resonance imaging (MRI)</w:t>
      </w:r>
      <w:r>
        <w:rPr>
          <w:rFonts w:ascii="Arial" w:hAnsi="Arial" w:cs="Arial"/>
          <w:b w:val="0"/>
          <w:caps w:val="0"/>
          <w:color w:val="FF0000"/>
          <w:sz w:val="20"/>
          <w:lang w:eastAsia="pt-BR"/>
        </w:rPr>
        <w:t xml:space="preserve"> was performed</w:t>
      </w:r>
      <w:r w:rsidRPr="00447453">
        <w:rPr>
          <w:rFonts w:ascii="Arial" w:hAnsi="Arial" w:cs="Arial"/>
          <w:b w:val="0"/>
          <w:caps w:val="0"/>
          <w:color w:val="FF0000"/>
          <w:sz w:val="20"/>
          <w:lang w:eastAsia="pt-BR"/>
        </w:rPr>
        <w:t xml:space="preserve"> which demonstrated </w:t>
      </w:r>
      <w:r w:rsidR="0024031D">
        <w:rPr>
          <w:rFonts w:ascii="Arial" w:hAnsi="Arial" w:cs="Arial"/>
          <w:b w:val="0"/>
          <w:caps w:val="0"/>
          <w:color w:val="FF0000"/>
          <w:sz w:val="20"/>
          <w:lang w:eastAsia="pt-BR"/>
        </w:rPr>
        <w:t>double</w:t>
      </w:r>
      <w:r>
        <w:rPr>
          <w:rFonts w:ascii="Arial" w:hAnsi="Arial" w:cs="Arial"/>
          <w:b w:val="0"/>
          <w:caps w:val="0"/>
          <w:color w:val="FF0000"/>
          <w:sz w:val="20"/>
          <w:lang w:eastAsia="pt-BR"/>
        </w:rPr>
        <w:t xml:space="preserve"> </w:t>
      </w:r>
      <w:r w:rsidRPr="00447453">
        <w:rPr>
          <w:rFonts w:ascii="Arial" w:hAnsi="Arial" w:cs="Arial"/>
          <w:b w:val="0"/>
          <w:caps w:val="0"/>
          <w:color w:val="FF0000"/>
          <w:sz w:val="20"/>
          <w:lang w:eastAsia="pt-BR"/>
        </w:rPr>
        <w:t>neurovascular compression.</w:t>
      </w:r>
    </w:p>
    <w:p w14:paraId="4C1453A7" w14:textId="77777777" w:rsidR="00447453" w:rsidRPr="00447453" w:rsidRDefault="00447453" w:rsidP="00447453">
      <w:pPr>
        <w:pStyle w:val="AbstHead"/>
        <w:jc w:val="both"/>
        <w:rPr>
          <w:rFonts w:ascii="Arial" w:hAnsi="Arial" w:cs="Arial"/>
          <w:b w:val="0"/>
          <w:caps w:val="0"/>
          <w:sz w:val="20"/>
          <w:lang w:eastAsia="pt-BR"/>
        </w:rPr>
      </w:pPr>
      <w:r w:rsidRPr="00447453">
        <w:rPr>
          <w:rFonts w:ascii="Arial" w:hAnsi="Arial" w:cs="Arial"/>
          <w:b w:val="0"/>
          <w:caps w:val="0"/>
          <w:sz w:val="20"/>
          <w:lang w:eastAsia="pt-BR"/>
        </w:rPr>
        <w:t xml:space="preserve">The surgery was performed under general anesthesia, via the </w:t>
      </w:r>
      <w:proofErr w:type="spellStart"/>
      <w:r w:rsidRPr="00447453">
        <w:rPr>
          <w:rFonts w:ascii="Arial" w:hAnsi="Arial" w:cs="Arial"/>
          <w:b w:val="0"/>
          <w:caps w:val="0"/>
          <w:sz w:val="20"/>
          <w:lang w:eastAsia="pt-BR"/>
        </w:rPr>
        <w:t>retrosigmoid</w:t>
      </w:r>
      <w:proofErr w:type="spellEnd"/>
      <w:r w:rsidRPr="00447453">
        <w:rPr>
          <w:rFonts w:ascii="Arial" w:hAnsi="Arial" w:cs="Arial"/>
          <w:b w:val="0"/>
          <w:caps w:val="0"/>
          <w:sz w:val="20"/>
          <w:lang w:eastAsia="pt-BR"/>
        </w:rPr>
        <w:t xml:space="preserve"> route, with the patient in the left lateral decubitus position. After shaving and disinfecting the </w:t>
      </w:r>
      <w:proofErr w:type="spellStart"/>
      <w:r w:rsidRPr="00447453">
        <w:rPr>
          <w:rFonts w:ascii="Arial" w:hAnsi="Arial" w:cs="Arial"/>
          <w:b w:val="0"/>
          <w:caps w:val="0"/>
          <w:sz w:val="20"/>
          <w:lang w:eastAsia="pt-BR"/>
        </w:rPr>
        <w:t>retroauricular</w:t>
      </w:r>
      <w:proofErr w:type="spellEnd"/>
      <w:r w:rsidRPr="00447453">
        <w:rPr>
          <w:rFonts w:ascii="Arial" w:hAnsi="Arial" w:cs="Arial"/>
          <w:b w:val="0"/>
          <w:caps w:val="0"/>
          <w:sz w:val="20"/>
          <w:lang w:eastAsia="pt-BR"/>
        </w:rPr>
        <w:t xml:space="preserve"> region, an "S" incision was made to access the subcutaneous, muscular, and periosteal layers. A craniotomy was performed and the dura mater was opened to better expose the trigeminal nerve.</w:t>
      </w:r>
    </w:p>
    <w:p w14:paraId="113CEB73" w14:textId="77777777" w:rsidR="00447453" w:rsidRDefault="00447453" w:rsidP="00447453">
      <w:pPr>
        <w:spacing w:before="100" w:beforeAutospacing="1" w:after="100" w:afterAutospacing="1"/>
        <w:jc w:val="both"/>
        <w:rPr>
          <w:rFonts w:ascii="Arial" w:hAnsi="Arial" w:cs="Arial"/>
          <w:lang w:eastAsia="pt-BR"/>
        </w:rPr>
      </w:pPr>
      <w:r w:rsidRPr="00447453">
        <w:rPr>
          <w:rFonts w:ascii="Arial" w:hAnsi="Arial" w:cs="Arial"/>
          <w:lang w:eastAsia="pt-BR"/>
        </w:rPr>
        <w:t xml:space="preserve">Two vascular compressions were identified: the superior cerebellar artery compressing the nerve in the superomedial portion and the transverse pontine vein, a rare compression, in the superolateral portion (Fig. 1). Both compressions were classified as grade 2 (Bendtsen et al., 2020). Careful dissection was performed to avoid damage to the fragile transverse pontine vein. Autologous muscle grafting was performed to separate the trigeminal nerve from the compressed vessels (Fig. 2). This method was preferred over Teflon because of the risk of Teflon stiffness, which could cause additional compression. After decompression, hemostasis was ensured and the dura was closed with </w:t>
      </w:r>
      <w:proofErr w:type="spellStart"/>
      <w:r w:rsidRPr="00447453">
        <w:rPr>
          <w:rFonts w:ascii="Arial" w:hAnsi="Arial" w:cs="Arial"/>
          <w:lang w:eastAsia="pt-BR"/>
        </w:rPr>
        <w:t>epicranial</w:t>
      </w:r>
      <w:proofErr w:type="spellEnd"/>
      <w:r w:rsidRPr="00447453">
        <w:rPr>
          <w:rFonts w:ascii="Arial" w:hAnsi="Arial" w:cs="Arial"/>
          <w:lang w:eastAsia="pt-BR"/>
        </w:rPr>
        <w:t xml:space="preserve"> flaps and biological glue. Suturing was performed in anatomical planes without the need for drainage, and a compressive dressing was applied. Postoperatively, the patient remained pain-free and medication-free. The pain, previously triggered by chewing and toothbrushing, ceased completely and the patient made a successful recovery.</w:t>
      </w:r>
    </w:p>
    <w:p w14:paraId="535CBF8E" w14:textId="60BB6C77" w:rsidR="00C67686" w:rsidRDefault="006935A4" w:rsidP="00447453">
      <w:pPr>
        <w:spacing w:before="100" w:beforeAutospacing="1" w:after="100" w:afterAutospacing="1"/>
        <w:jc w:val="both"/>
        <w:rPr>
          <w:rFonts w:ascii="Arial" w:hAnsi="Arial" w:cs="Arial"/>
          <w:lang w:val="pt-BR" w:eastAsia="pt-BR"/>
        </w:rPr>
      </w:pPr>
      <w:r>
        <w:rPr>
          <w:rFonts w:ascii="Arial" w:hAnsi="Arial" w:cs="Arial"/>
          <w:noProof/>
          <w:lang w:val="en-US"/>
        </w:rPr>
        <w:lastRenderedPageBreak/>
        <w:drawing>
          <wp:anchor distT="0" distB="0" distL="114300" distR="114300" simplePos="0" relativeHeight="251658240" behindDoc="1" locked="0" layoutInCell="1" allowOverlap="1" wp14:anchorId="77834BF4" wp14:editId="3A73F888">
            <wp:simplePos x="0" y="0"/>
            <wp:positionH relativeFrom="column">
              <wp:posOffset>2145492</wp:posOffset>
            </wp:positionH>
            <wp:positionV relativeFrom="paragraph">
              <wp:posOffset>1905</wp:posOffset>
            </wp:positionV>
            <wp:extent cx="2024380" cy="3599815"/>
            <wp:effectExtent l="0" t="0" r="0" b="0"/>
            <wp:wrapTight wrapText="bothSides">
              <wp:wrapPolygon edited="0">
                <wp:start x="0" y="0"/>
                <wp:lineTo x="0" y="21490"/>
                <wp:lineTo x="21343" y="21490"/>
                <wp:lineTo x="21343"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3599815"/>
                    </a:xfrm>
                    <a:prstGeom prst="rect">
                      <a:avLst/>
                    </a:prstGeom>
                    <a:noFill/>
                  </pic:spPr>
                </pic:pic>
              </a:graphicData>
            </a:graphic>
          </wp:anchor>
        </w:drawing>
      </w:r>
      <w:r w:rsidR="00C67686">
        <w:rPr>
          <w:rFonts w:ascii="Arial" w:hAnsi="Arial" w:cs="Arial"/>
          <w:noProof/>
          <w:lang w:val="en-US"/>
        </w:rPr>
        <w:drawing>
          <wp:inline distT="0" distB="0" distL="0" distR="0" wp14:anchorId="0C8B1F54" wp14:editId="21AD9EAB">
            <wp:extent cx="2025000" cy="36000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5000" cy="3600000"/>
                    </a:xfrm>
                    <a:prstGeom prst="rect">
                      <a:avLst/>
                    </a:prstGeom>
                    <a:noFill/>
                  </pic:spPr>
                </pic:pic>
              </a:graphicData>
            </a:graphic>
          </wp:inline>
        </w:drawing>
      </w:r>
    </w:p>
    <w:p w14:paraId="24742E1C" w14:textId="199F64DB" w:rsidR="004A6582" w:rsidRPr="00CB7269" w:rsidRDefault="004A6582" w:rsidP="004A6582">
      <w:pPr>
        <w:spacing w:before="100" w:beforeAutospacing="1" w:after="100" w:afterAutospacing="1"/>
        <w:jc w:val="both"/>
        <w:rPr>
          <w:rFonts w:ascii="Arial" w:hAnsi="Arial" w:cs="Arial"/>
          <w:b/>
          <w:bCs/>
          <w:lang w:eastAsia="pt-BR"/>
        </w:rPr>
      </w:pPr>
      <w:r w:rsidRPr="00CB7269">
        <w:rPr>
          <w:rFonts w:ascii="Arial" w:hAnsi="Arial" w:cs="Arial"/>
          <w:b/>
          <w:bCs/>
          <w:lang w:eastAsia="pt-BR"/>
        </w:rPr>
        <w:t xml:space="preserve">Fig. 1: </w:t>
      </w:r>
      <w:r w:rsidR="000474D4" w:rsidRPr="005B3C05">
        <w:t xml:space="preserve">Magnetic resonance imaging. </w:t>
      </w:r>
      <w:r w:rsidRPr="005B3C05">
        <w:rPr>
          <w:rFonts w:ascii="Arial" w:hAnsi="Arial" w:cs="Arial"/>
        </w:rPr>
        <w:t xml:space="preserve">Yellow arrow: trigeminal nerve; Red arrow: superior cerebellar artery; </w:t>
      </w:r>
      <w:r w:rsidRPr="00CB7269">
        <w:rPr>
          <w:rFonts w:ascii="Arial" w:hAnsi="Arial" w:cs="Arial"/>
          <w:lang w:eastAsia="pt-BR"/>
        </w:rPr>
        <w:t>Blue arrow: transverse pontine vein</w:t>
      </w:r>
    </w:p>
    <w:p w14:paraId="7FA84F15" w14:textId="77777777" w:rsidR="005F55A0" w:rsidRPr="00CB7269" w:rsidRDefault="005F55A0" w:rsidP="004A6582">
      <w:pPr>
        <w:spacing w:before="100" w:beforeAutospacing="1" w:after="100" w:afterAutospacing="1"/>
        <w:jc w:val="both"/>
        <w:rPr>
          <w:rFonts w:ascii="Arial" w:hAnsi="Arial" w:cs="Arial"/>
          <w:b/>
          <w:bCs/>
          <w:lang w:eastAsia="pt-BR"/>
        </w:rPr>
      </w:pPr>
    </w:p>
    <w:p w14:paraId="2D553347" w14:textId="2A1F6F30" w:rsidR="00B75885" w:rsidRDefault="005B3C05" w:rsidP="00441B6F">
      <w:pPr>
        <w:pStyle w:val="Body"/>
        <w:spacing w:after="0"/>
        <w:rPr>
          <w:rFonts w:ascii="Arial" w:hAnsi="Arial" w:cs="Arial"/>
        </w:rPr>
      </w:pPr>
      <w:bookmarkStart w:id="0" w:name="_GoBack"/>
      <w:bookmarkEnd w:id="0"/>
      <w:r>
        <w:rPr>
          <w:noProof/>
          <w:lang w:val="en-US"/>
        </w:rPr>
        <w:lastRenderedPageBreak/>
        <w:drawing>
          <wp:anchor distT="0" distB="0" distL="114300" distR="114300" simplePos="0" relativeHeight="251659264" behindDoc="0" locked="0" layoutInCell="1" allowOverlap="1" wp14:anchorId="12F9501E" wp14:editId="5842F333">
            <wp:simplePos x="0" y="0"/>
            <wp:positionH relativeFrom="column">
              <wp:posOffset>-786765</wp:posOffset>
            </wp:positionH>
            <wp:positionV relativeFrom="paragraph">
              <wp:posOffset>737870</wp:posOffset>
            </wp:positionV>
            <wp:extent cx="3599815" cy="2099310"/>
            <wp:effectExtent l="0" t="742950" r="0" b="7391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r="3588"/>
                    <a:stretch/>
                  </pic:blipFill>
                  <pic:spPr bwMode="auto">
                    <a:xfrm rot="5400000">
                      <a:off x="0" y="0"/>
                      <a:ext cx="3599815" cy="2099310"/>
                    </a:xfrm>
                    <a:prstGeom prst="rect">
                      <a:avLst/>
                    </a:prstGeom>
                    <a:ln>
                      <a:noFill/>
                    </a:ln>
                    <a:extLst>
                      <a:ext uri="{53640926-AAD7-44D8-BBD7-CCE9431645EC}">
                        <a14:shadowObscured xmlns:a14="http://schemas.microsoft.com/office/drawing/2010/main"/>
                      </a:ext>
                    </a:extLst>
                  </pic:spPr>
                </pic:pic>
              </a:graphicData>
            </a:graphic>
          </wp:anchor>
        </w:drawing>
      </w:r>
    </w:p>
    <w:p w14:paraId="5875F019" w14:textId="017CA599" w:rsidR="00B75885" w:rsidRPr="00B75885" w:rsidRDefault="00B75885" w:rsidP="00441B6F">
      <w:pPr>
        <w:pStyle w:val="Body"/>
        <w:spacing w:after="0"/>
        <w:rPr>
          <w:rFonts w:ascii="Arial" w:hAnsi="Arial" w:cs="Arial"/>
          <w:b/>
          <w:bCs/>
        </w:rPr>
      </w:pPr>
      <w:r>
        <w:rPr>
          <w:rFonts w:ascii="Arial" w:hAnsi="Arial" w:cs="Arial"/>
          <w:b/>
          <w:bCs/>
        </w:rPr>
        <w:t xml:space="preserve">Fig. 2: </w:t>
      </w:r>
      <w:proofErr w:type="spellStart"/>
      <w:r w:rsidR="00BF2F0D" w:rsidRPr="007B4B49">
        <w:rPr>
          <w:rFonts w:ascii="Arial" w:hAnsi="Arial" w:cs="Arial"/>
        </w:rPr>
        <w:t>Transsurgical</w:t>
      </w:r>
      <w:proofErr w:type="spellEnd"/>
      <w:r w:rsidR="00BF2F0D" w:rsidRPr="007B4B49">
        <w:rPr>
          <w:rFonts w:ascii="Arial" w:hAnsi="Arial" w:cs="Arial"/>
        </w:rPr>
        <w:t xml:space="preserve"> image.</w:t>
      </w:r>
      <w:r w:rsidR="00BF2F0D">
        <w:rPr>
          <w:rFonts w:ascii="Arial" w:hAnsi="Arial" w:cs="Arial"/>
          <w:b/>
          <w:bCs/>
        </w:rPr>
        <w:t xml:space="preserve"> </w:t>
      </w:r>
      <w:r w:rsidR="005B3C05" w:rsidRPr="005B3C05">
        <w:rPr>
          <w:rFonts w:ascii="Arial" w:hAnsi="Arial" w:cs="Arial"/>
        </w:rPr>
        <w:t xml:space="preserve">Yellow arrow: trigeminal nerve; Red arrow: superior cerebellar artery; Black arrow: </w:t>
      </w:r>
      <w:r w:rsidR="005B3C05" w:rsidRPr="00706B56">
        <w:rPr>
          <w:rFonts w:ascii="Arial" w:hAnsi="Arial" w:cs="Arial"/>
          <w:lang w:eastAsia="pt-BR"/>
        </w:rPr>
        <w:t>Autologous muscle grafting separating the trigeminal nerve from the compressed vessels.</w:t>
      </w:r>
    </w:p>
    <w:p w14:paraId="4F738C07" w14:textId="56D9E078" w:rsidR="00B75885" w:rsidRPr="00FB3A86" w:rsidRDefault="00B75885" w:rsidP="00441B6F">
      <w:pPr>
        <w:pStyle w:val="Body"/>
        <w:spacing w:after="0"/>
        <w:rPr>
          <w:rFonts w:ascii="Arial" w:hAnsi="Arial" w:cs="Arial"/>
        </w:rPr>
      </w:pPr>
    </w:p>
    <w:p w14:paraId="4CB24505" w14:textId="4BE33976" w:rsidR="00902823" w:rsidRDefault="00000F8F" w:rsidP="00441B6F">
      <w:pPr>
        <w:pStyle w:val="Head1"/>
        <w:spacing w:after="0"/>
        <w:jc w:val="both"/>
        <w:rPr>
          <w:rFonts w:ascii="Arial" w:hAnsi="Arial" w:cs="Arial"/>
        </w:rPr>
      </w:pPr>
      <w:r>
        <w:rPr>
          <w:rFonts w:ascii="Arial" w:hAnsi="Arial" w:cs="Arial"/>
        </w:rPr>
        <w:t>3. discussion</w:t>
      </w:r>
    </w:p>
    <w:p w14:paraId="4F0D41D0" w14:textId="774EA61E" w:rsidR="00447453" w:rsidRDefault="00D44F58" w:rsidP="00BD54E7">
      <w:pPr>
        <w:spacing w:before="100" w:beforeAutospacing="1" w:after="100" w:afterAutospacing="1"/>
        <w:jc w:val="both"/>
        <w:rPr>
          <w:rFonts w:ascii="Arial" w:hAnsi="Arial" w:cs="Arial"/>
          <w:lang w:eastAsia="pt-BR"/>
        </w:rPr>
      </w:pPr>
      <w:r>
        <w:rPr>
          <w:rFonts w:ascii="Arial" w:hAnsi="Arial" w:cs="Arial"/>
          <w:lang w:eastAsia="pt-BR"/>
        </w:rPr>
        <w:t xml:space="preserve">The present clinical case of trigeminal neuralgia shows a rare double compression of the trigeminal nerve by the superior cerebellar artery and the transverse pontine vein. Based on MRI images, microvascular decompression (MVD) was chosen using autologous muscle grafting (AMG) for interposition, resulting in complete remission of the pain. </w:t>
      </w:r>
      <w:r w:rsidR="0061691F" w:rsidRPr="00447453">
        <w:rPr>
          <w:rFonts w:ascii="Arial" w:hAnsi="Arial" w:cs="Arial"/>
          <w:color w:val="FF0000"/>
          <w:lang w:eastAsia="pt-BR"/>
        </w:rPr>
        <w:t>Neurovascular compression by the superior cerebellar artery characterizes the main cause of classic TN. However, venous compression, less recognized and rarely diagnosed, may also be involved in neurovascular compression.</w:t>
      </w:r>
      <w:r>
        <w:rPr>
          <w:rFonts w:ascii="Arial" w:hAnsi="Arial" w:cs="Arial"/>
          <w:lang w:eastAsia="pt-BR"/>
        </w:rPr>
        <w:t xml:space="preserve"> </w:t>
      </w:r>
      <w:r w:rsidR="00447453" w:rsidRPr="00447453">
        <w:rPr>
          <w:rFonts w:ascii="Arial" w:hAnsi="Arial" w:cs="Arial"/>
          <w:lang w:eastAsia="pt-BR"/>
        </w:rPr>
        <w:t>In a study of 5,271 patients undergoing MVD, 600 cases presented isolated venous compression, representing 11.4% (Yamaki, 2021).</w:t>
      </w:r>
    </w:p>
    <w:p w14:paraId="22A592A2" w14:textId="2A2E58B1" w:rsidR="00BD54E7" w:rsidRPr="00706B56" w:rsidRDefault="00BD54E7" w:rsidP="00BD54E7">
      <w:pPr>
        <w:spacing w:before="100" w:beforeAutospacing="1" w:after="100" w:afterAutospacing="1"/>
        <w:jc w:val="both"/>
        <w:rPr>
          <w:rFonts w:ascii="Arial" w:hAnsi="Arial" w:cs="Arial"/>
          <w:lang w:eastAsia="pt-BR"/>
        </w:rPr>
      </w:pPr>
      <w:r w:rsidRPr="00706B56">
        <w:rPr>
          <w:rFonts w:ascii="Arial" w:hAnsi="Arial" w:cs="Arial"/>
          <w:lang w:eastAsia="pt-BR"/>
        </w:rPr>
        <w:t xml:space="preserve">Although less frequent, venous compression can be also treated with MVD, resulting in pain relief rates up to 82.3%, but with a higher chance of recurrence compared to arterial </w:t>
      </w:r>
      <w:r w:rsidRPr="00706B56">
        <w:rPr>
          <w:rFonts w:ascii="Arial" w:hAnsi="Arial" w:cs="Arial"/>
          <w:lang w:eastAsia="pt-BR"/>
        </w:rPr>
        <w:lastRenderedPageBreak/>
        <w:t>compression (</w:t>
      </w:r>
      <w:proofErr w:type="spellStart"/>
      <w:r w:rsidRPr="00706B56">
        <w:rPr>
          <w:rFonts w:ascii="Arial" w:hAnsi="Arial" w:cs="Arial"/>
          <w:lang w:eastAsia="pt-BR"/>
        </w:rPr>
        <w:t>Alzeeralhouseini</w:t>
      </w:r>
      <w:proofErr w:type="spellEnd"/>
      <w:r w:rsidRPr="00706B56">
        <w:rPr>
          <w:rFonts w:ascii="Arial" w:hAnsi="Arial" w:cs="Arial"/>
          <w:lang w:eastAsia="pt-BR"/>
        </w:rPr>
        <w:t xml:space="preserve"> et al., 2022). This highlights the importance of detailed intraoperative evaluation, especially when preoperative imaging does not clearly reveal the compressive vessel. In this case, AMG was chosen during MVD. Studies show that using AMG provides complete pain relief in up to 93.2% of cases, with immediate relief in 91.3%, results comparable to synthetic materials like Teflon (Bezerra et al., 2023).</w:t>
      </w:r>
    </w:p>
    <w:p w14:paraId="44F702E7" w14:textId="77777777" w:rsidR="00BD54E7" w:rsidRPr="00706B56" w:rsidRDefault="00BD54E7" w:rsidP="00BD54E7">
      <w:pPr>
        <w:spacing w:before="100" w:beforeAutospacing="1" w:after="100" w:afterAutospacing="1"/>
        <w:jc w:val="both"/>
        <w:rPr>
          <w:rFonts w:ascii="Arial" w:hAnsi="Arial" w:cs="Arial"/>
          <w:lang w:eastAsia="pt-BR"/>
        </w:rPr>
      </w:pPr>
      <w:r w:rsidRPr="00706B56">
        <w:rPr>
          <w:rFonts w:ascii="Arial" w:hAnsi="Arial" w:cs="Arial"/>
          <w:lang w:eastAsia="pt-BR"/>
        </w:rPr>
        <w:t>Although effective, Teflon is associated with a higher risk of complications, such as granulomas and chemical meningitis (Jagannath et al., 2012), while AMG, being autologous, offers a lower risk of inflammatory and infectious complications (Jagannath et al., 2012). Recurrence rates for AMG are 6.2% at 6 months, 10.5% at 12 months, and 10.3% at 36 months (Bezerra et al., 2023), suggesting good long-term efficacy.</w:t>
      </w:r>
    </w:p>
    <w:p w14:paraId="7360BBD5" w14:textId="73B2F14A" w:rsidR="00673311" w:rsidRDefault="00673311" w:rsidP="00BD54E7">
      <w:pPr>
        <w:spacing w:before="100" w:beforeAutospacing="1" w:after="100" w:afterAutospacing="1"/>
        <w:jc w:val="both"/>
        <w:rPr>
          <w:rFonts w:ascii="Arial" w:hAnsi="Arial" w:cs="Arial"/>
          <w:lang w:eastAsia="pt-BR"/>
        </w:rPr>
      </w:pPr>
      <w:r w:rsidRPr="00673311">
        <w:rPr>
          <w:rFonts w:ascii="Arial" w:hAnsi="Arial" w:cs="Arial"/>
          <w:lang w:eastAsia="pt-BR"/>
        </w:rPr>
        <w:t>High-resolution MRI is effective in identifying trigeminal nerve atrophy, a sign of neurovascular compression.</w:t>
      </w:r>
      <w:r w:rsidR="00B97145">
        <w:rPr>
          <w:rFonts w:ascii="Arial" w:hAnsi="Arial" w:cs="Arial"/>
          <w:lang w:eastAsia="pt-BR"/>
        </w:rPr>
        <w:t xml:space="preserve"> </w:t>
      </w:r>
      <w:r w:rsidRPr="00673311">
        <w:rPr>
          <w:rFonts w:ascii="Arial" w:hAnsi="Arial" w:cs="Arial"/>
          <w:lang w:eastAsia="pt-BR"/>
        </w:rPr>
        <w:t>In a study of 60 patients, trigeminal nerve volume reduction correlated with the severity of intraoperative vascular compression and favorable clinical outcomes (Cheng et al., 2023). A 2024 meta-analysis reinforced the usefulness of MRI in identifying relevant neurovascular compressions, especially in the nerve root entry zone (Zhao et al., 2024).</w:t>
      </w:r>
    </w:p>
    <w:p w14:paraId="096B1AE8" w14:textId="00D3677D" w:rsidR="00BD54E7" w:rsidRPr="00706B56" w:rsidRDefault="00BD54E7" w:rsidP="00BD54E7">
      <w:pPr>
        <w:spacing w:before="100" w:beforeAutospacing="1" w:after="100" w:afterAutospacing="1"/>
        <w:jc w:val="both"/>
        <w:rPr>
          <w:rFonts w:ascii="Arial" w:hAnsi="Arial" w:cs="Arial"/>
          <w:lang w:eastAsia="pt-BR"/>
        </w:rPr>
      </w:pPr>
      <w:r w:rsidRPr="00706B56">
        <w:rPr>
          <w:rFonts w:ascii="Arial" w:hAnsi="Arial" w:cs="Arial"/>
          <w:lang w:eastAsia="pt-BR"/>
        </w:rPr>
        <w:t>According to the European Academy of Neurology, the initial treatment for TN should be pharmacological, using carbamazepine, oxcarbazepine, gabapentin, and lamotrigine. However, many patients do not achieve satisfactory relief and become candidates for MVD (Bendtsen et al., 2019</w:t>
      </w:r>
      <w:r w:rsidR="004F3966">
        <w:rPr>
          <w:rFonts w:ascii="Arial" w:hAnsi="Arial" w:cs="Arial"/>
          <w:lang w:eastAsia="pt-BR"/>
        </w:rPr>
        <w:t>)</w:t>
      </w:r>
      <w:r w:rsidRPr="00706B56">
        <w:rPr>
          <w:rFonts w:ascii="Arial" w:hAnsi="Arial" w:cs="Arial"/>
          <w:lang w:eastAsia="pt-BR"/>
        </w:rPr>
        <w:t>. Prolonged use of carbamazepine and oxcarbazepine can lead to significant side effects, such as hyponatremia, sedation, and severe skin reactions, particularly in elderly patients (</w:t>
      </w:r>
      <w:proofErr w:type="spellStart"/>
      <w:r w:rsidRPr="00706B56">
        <w:rPr>
          <w:rFonts w:ascii="Arial" w:hAnsi="Arial" w:cs="Arial"/>
          <w:lang w:eastAsia="pt-BR"/>
        </w:rPr>
        <w:t>Gambeta</w:t>
      </w:r>
      <w:proofErr w:type="spellEnd"/>
      <w:r w:rsidRPr="00706B56">
        <w:rPr>
          <w:rFonts w:ascii="Arial" w:hAnsi="Arial" w:cs="Arial"/>
          <w:lang w:eastAsia="pt-BR"/>
        </w:rPr>
        <w:t xml:space="preserve"> et al., 2023).</w:t>
      </w:r>
    </w:p>
    <w:p w14:paraId="6CF3FD63" w14:textId="77777777" w:rsidR="00BD54E7" w:rsidRPr="00706B56" w:rsidRDefault="00BD54E7" w:rsidP="00BD54E7">
      <w:pPr>
        <w:spacing w:before="100" w:beforeAutospacing="1" w:after="100" w:afterAutospacing="1"/>
        <w:jc w:val="both"/>
        <w:rPr>
          <w:rFonts w:ascii="Arial" w:hAnsi="Arial" w:cs="Arial"/>
          <w:lang w:eastAsia="pt-BR"/>
        </w:rPr>
      </w:pPr>
      <w:r w:rsidRPr="00706B56">
        <w:rPr>
          <w:rFonts w:ascii="Arial" w:hAnsi="Arial" w:cs="Arial"/>
          <w:lang w:eastAsia="pt-BR"/>
        </w:rPr>
        <w:t>Clinical observations suggest a female predominance in TN cases with venous compression, possibly due to hormonal factors affecting the sensitivity of trigeminal nerve fibers. Chronic pain also significantly impacts patients' quality of life, often leading to the development of depression and anxiety, highlighting the importance of emotional support in their treatment (</w:t>
      </w:r>
      <w:proofErr w:type="spellStart"/>
      <w:r w:rsidRPr="00706B56">
        <w:rPr>
          <w:rFonts w:ascii="Arial" w:hAnsi="Arial" w:cs="Arial"/>
          <w:lang w:eastAsia="pt-BR"/>
        </w:rPr>
        <w:t>Alzeeralhouseini</w:t>
      </w:r>
      <w:proofErr w:type="spellEnd"/>
      <w:r w:rsidRPr="00706B56">
        <w:rPr>
          <w:rFonts w:ascii="Arial" w:hAnsi="Arial" w:cs="Arial"/>
          <w:lang w:eastAsia="pt-BR"/>
        </w:rPr>
        <w:t xml:space="preserve"> et al., 2022).</w:t>
      </w:r>
    </w:p>
    <w:p w14:paraId="6B020543" w14:textId="77777777" w:rsidR="00B01FCD" w:rsidRDefault="00000F8F" w:rsidP="00441B6F">
      <w:pPr>
        <w:pStyle w:val="ConcHead"/>
        <w:spacing w:after="0"/>
        <w:jc w:val="both"/>
        <w:rPr>
          <w:rFonts w:ascii="Arial" w:hAnsi="Arial" w:cs="Arial"/>
        </w:rPr>
      </w:pPr>
      <w:r>
        <w:rPr>
          <w:rFonts w:ascii="Arial" w:hAnsi="Arial" w:cs="Arial"/>
        </w:rPr>
        <w:t>4. Conclusion</w:t>
      </w:r>
    </w:p>
    <w:p w14:paraId="4790DE9D" w14:textId="77777777" w:rsidR="00790ADA" w:rsidRPr="00FB3A86" w:rsidRDefault="00790ADA" w:rsidP="00441B6F">
      <w:pPr>
        <w:pStyle w:val="ConcHead"/>
        <w:spacing w:after="0"/>
        <w:jc w:val="both"/>
        <w:rPr>
          <w:rFonts w:ascii="Arial" w:hAnsi="Arial" w:cs="Arial"/>
        </w:rPr>
      </w:pPr>
    </w:p>
    <w:p w14:paraId="25A28188" w14:textId="3EA0C9E4" w:rsidR="00790ADA" w:rsidRDefault="00BD54E7" w:rsidP="00441B6F">
      <w:pPr>
        <w:pStyle w:val="Body"/>
        <w:spacing w:after="0"/>
      </w:pPr>
      <w:r>
        <w:t>Microvascular decompression (MVD) with muscle interposition proved to be an effective approach for treating trigeminal neuralgia that did not respond to medication. The removal of vascular adhesions and the protection of the trigeminal nerve with muscle tissue led to lasting pain relief, avoiding the risks of complications associated with synthetic materials. While postoperative follow-up is crucial to monitor possible muscle atrophy, the patient had a successful recovery, remaining pain-free and without the need for medication, significantly improving her quality of life. The technique was effective in decompressing all affected areas, providing a long-term and safe solution for refractory cases.</w:t>
      </w:r>
    </w:p>
    <w:p w14:paraId="396DF789" w14:textId="4ABE1617" w:rsidR="006848CC" w:rsidRDefault="006848CC" w:rsidP="00441B6F">
      <w:pPr>
        <w:pStyle w:val="Body"/>
        <w:spacing w:after="0"/>
      </w:pPr>
    </w:p>
    <w:p w14:paraId="56475018" w14:textId="77777777" w:rsidR="006848CC" w:rsidRDefault="006848CC" w:rsidP="006848CC">
      <w:pPr>
        <w:pStyle w:val="Body"/>
      </w:pPr>
      <w:r>
        <w:t xml:space="preserve">Consent </w:t>
      </w:r>
    </w:p>
    <w:p w14:paraId="79624998" w14:textId="7E101136" w:rsidR="006848CC" w:rsidRDefault="006848CC" w:rsidP="006848CC">
      <w:pPr>
        <w:pStyle w:val="Body"/>
        <w:spacing w:after="0"/>
      </w:pPr>
      <w:r>
        <w:t xml:space="preserve">As per international standards or university standards, patient(s) written consent </w:t>
      </w:r>
      <w:proofErr w:type="gramStart"/>
      <w:r>
        <w:t>has been collected and preserved by the author(s)</w:t>
      </w:r>
      <w:proofErr w:type="gramEnd"/>
      <w:r>
        <w:t>.</w:t>
      </w:r>
    </w:p>
    <w:p w14:paraId="497142DF" w14:textId="77777777" w:rsidR="006848CC" w:rsidRDefault="006848CC" w:rsidP="006848CC">
      <w:pPr>
        <w:pStyle w:val="Body"/>
        <w:spacing w:after="0"/>
      </w:pPr>
    </w:p>
    <w:p w14:paraId="671D4BF3" w14:textId="77777777" w:rsidR="004B7607" w:rsidRPr="009C5487" w:rsidRDefault="004B7607" w:rsidP="004B7607">
      <w:pPr>
        <w:rPr>
          <w:rFonts w:ascii="Calibri" w:eastAsia="Calibri" w:hAnsi="Calibri"/>
          <w:kern w:val="2"/>
          <w:highlight w:val="yellow"/>
        </w:rPr>
      </w:pPr>
      <w:bookmarkStart w:id="1" w:name="_Hlk197682619"/>
      <w:bookmarkStart w:id="2" w:name="_Hlk180402183"/>
      <w:bookmarkStart w:id="3" w:name="_Hlk183680988"/>
      <w:r w:rsidRPr="009C5487">
        <w:rPr>
          <w:rFonts w:ascii="Calibri" w:eastAsia="Calibri" w:hAnsi="Calibri"/>
          <w:kern w:val="2"/>
          <w:highlight w:val="yellow"/>
        </w:rPr>
        <w:t>Disclaimer (Artificial intelligence)</w:t>
      </w:r>
    </w:p>
    <w:p w14:paraId="69F78523" w14:textId="77777777" w:rsidR="004B7607" w:rsidRPr="009C5487" w:rsidRDefault="004B7607" w:rsidP="004B7607">
      <w:pPr>
        <w:rPr>
          <w:rFonts w:ascii="Calibri" w:eastAsia="Calibri" w:hAnsi="Calibri"/>
          <w:kern w:val="2"/>
          <w:highlight w:val="yellow"/>
        </w:rPr>
      </w:pPr>
      <w:r w:rsidRPr="009C5487">
        <w:rPr>
          <w:rFonts w:ascii="Calibri" w:eastAsia="Calibri" w:hAnsi="Calibri"/>
          <w:kern w:val="2"/>
          <w:highlight w:val="yellow"/>
        </w:rPr>
        <w:t xml:space="preserve">Option 1: </w:t>
      </w:r>
    </w:p>
    <w:p w14:paraId="57BB8414" w14:textId="77777777" w:rsidR="004B7607" w:rsidRPr="009C5487" w:rsidRDefault="004B7607" w:rsidP="004B7607">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4FC6D07A" w14:textId="77777777" w:rsidR="004B7607" w:rsidRPr="009C5487" w:rsidRDefault="004B7607" w:rsidP="004B7607">
      <w:pPr>
        <w:rPr>
          <w:rFonts w:ascii="Calibri" w:eastAsia="Calibri" w:hAnsi="Calibri"/>
          <w:kern w:val="2"/>
          <w:highlight w:val="yellow"/>
        </w:rPr>
      </w:pPr>
      <w:r w:rsidRPr="009C5487">
        <w:rPr>
          <w:rFonts w:ascii="Calibri" w:eastAsia="Calibri" w:hAnsi="Calibri"/>
          <w:kern w:val="2"/>
          <w:highlight w:val="yellow"/>
        </w:rPr>
        <w:lastRenderedPageBreak/>
        <w:t xml:space="preserve">Option 2: </w:t>
      </w:r>
    </w:p>
    <w:p w14:paraId="1938B0AA" w14:textId="77777777" w:rsidR="004B7607" w:rsidRPr="009C5487" w:rsidRDefault="004B7607" w:rsidP="004B7607">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DE2327" w14:textId="77777777" w:rsidR="004B7607" w:rsidRPr="009C5487" w:rsidRDefault="004B7607" w:rsidP="004B7607">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1AF76E41" w14:textId="77777777" w:rsidR="004B7607" w:rsidRPr="009C5487" w:rsidRDefault="004B7607" w:rsidP="004B7607">
      <w:pPr>
        <w:rPr>
          <w:rFonts w:ascii="Calibri" w:eastAsia="Calibri" w:hAnsi="Calibri"/>
          <w:kern w:val="2"/>
          <w:highlight w:val="yellow"/>
        </w:rPr>
      </w:pPr>
      <w:r w:rsidRPr="009C5487">
        <w:rPr>
          <w:rFonts w:ascii="Calibri" w:eastAsia="Calibri" w:hAnsi="Calibri"/>
          <w:kern w:val="2"/>
          <w:highlight w:val="yellow"/>
        </w:rPr>
        <w:t>1.</w:t>
      </w:r>
    </w:p>
    <w:p w14:paraId="214D7A59" w14:textId="77777777" w:rsidR="004B7607" w:rsidRPr="009C5487" w:rsidRDefault="004B7607" w:rsidP="004B7607">
      <w:pPr>
        <w:rPr>
          <w:rFonts w:ascii="Calibri" w:eastAsia="Calibri" w:hAnsi="Calibri"/>
          <w:kern w:val="2"/>
          <w:highlight w:val="yellow"/>
        </w:rPr>
      </w:pPr>
      <w:r w:rsidRPr="009C5487">
        <w:rPr>
          <w:rFonts w:ascii="Calibri" w:eastAsia="Calibri" w:hAnsi="Calibri"/>
          <w:kern w:val="2"/>
          <w:highlight w:val="yellow"/>
        </w:rPr>
        <w:t>2.</w:t>
      </w:r>
    </w:p>
    <w:p w14:paraId="345B6DCB" w14:textId="77777777" w:rsidR="004B7607" w:rsidRPr="009C5487" w:rsidRDefault="004B7607" w:rsidP="004B7607">
      <w:pPr>
        <w:rPr>
          <w:rFonts w:ascii="Calibri" w:eastAsia="Calibri" w:hAnsi="Calibri"/>
          <w:kern w:val="2"/>
        </w:rPr>
      </w:pPr>
      <w:bookmarkStart w:id="4" w:name="_Hlk197682629"/>
      <w:bookmarkEnd w:id="1"/>
      <w:r w:rsidRPr="009C5487">
        <w:rPr>
          <w:rFonts w:ascii="Calibri" w:eastAsia="Calibri" w:hAnsi="Calibri"/>
          <w:kern w:val="2"/>
          <w:highlight w:val="yellow"/>
        </w:rPr>
        <w:t>3.</w:t>
      </w:r>
    </w:p>
    <w:bookmarkEnd w:id="2"/>
    <w:bookmarkEnd w:id="3"/>
    <w:bookmarkEnd w:id="4"/>
    <w:p w14:paraId="0B235FC2" w14:textId="77777777" w:rsidR="004B7607" w:rsidRDefault="004B7607" w:rsidP="00441B6F">
      <w:pPr>
        <w:pStyle w:val="Body"/>
        <w:spacing w:after="0"/>
      </w:pPr>
    </w:p>
    <w:p w14:paraId="64E32F27" w14:textId="77777777" w:rsidR="00315186" w:rsidRPr="00315186" w:rsidRDefault="00315186" w:rsidP="00441B6F"/>
    <w:p w14:paraId="56BE0926" w14:textId="398B27A5" w:rsidR="003F6D7B" w:rsidRPr="00623091" w:rsidRDefault="00B01FCD" w:rsidP="00623091">
      <w:pPr>
        <w:spacing w:before="100" w:beforeAutospacing="1" w:after="100" w:afterAutospacing="1"/>
        <w:jc w:val="both"/>
        <w:rPr>
          <w:rFonts w:ascii="Arial" w:hAnsi="Arial" w:cs="Arial"/>
          <w:b/>
          <w:caps/>
          <w:sz w:val="22"/>
        </w:rPr>
      </w:pPr>
      <w:r w:rsidRPr="00623091">
        <w:rPr>
          <w:rFonts w:ascii="Arial" w:hAnsi="Arial" w:cs="Arial"/>
          <w:b/>
          <w:caps/>
          <w:sz w:val="22"/>
        </w:rPr>
        <w:t>References</w:t>
      </w:r>
    </w:p>
    <w:p w14:paraId="45E14BFF" w14:textId="77777777" w:rsidR="00FC2917" w:rsidRPr="00623091" w:rsidRDefault="00FC2917" w:rsidP="00623091">
      <w:pPr>
        <w:spacing w:before="100" w:beforeAutospacing="1" w:after="100" w:afterAutospacing="1"/>
        <w:ind w:left="1701"/>
        <w:jc w:val="both"/>
        <w:rPr>
          <w:rFonts w:ascii="Arial" w:hAnsi="Arial" w:cs="Arial"/>
          <w:lang w:eastAsia="pt-BR"/>
        </w:rPr>
        <w:sectPr w:rsidR="00FC2917" w:rsidRPr="00623091" w:rsidSect="00FC291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2016" w:bottom="2016" w:left="2016" w:header="720" w:footer="1123" w:gutter="0"/>
          <w:cols w:space="720"/>
          <w:docGrid w:linePitch="272"/>
        </w:sectPr>
      </w:pPr>
    </w:p>
    <w:p w14:paraId="4D4A0CD7"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r w:rsidRPr="00623091">
        <w:rPr>
          <w:rFonts w:ascii="Arial" w:hAnsi="Arial" w:cs="Arial"/>
          <w:lang w:eastAsia="pt-BR"/>
        </w:rPr>
        <w:t xml:space="preserve">Bendtsen L, </w:t>
      </w:r>
      <w:proofErr w:type="spellStart"/>
      <w:r w:rsidRPr="00623091">
        <w:rPr>
          <w:rFonts w:ascii="Arial" w:hAnsi="Arial" w:cs="Arial"/>
          <w:lang w:eastAsia="pt-BR"/>
        </w:rPr>
        <w:t>Zakrzewska</w:t>
      </w:r>
      <w:proofErr w:type="spellEnd"/>
      <w:r w:rsidRPr="00623091">
        <w:rPr>
          <w:rFonts w:ascii="Arial" w:hAnsi="Arial" w:cs="Arial"/>
          <w:lang w:eastAsia="pt-BR"/>
        </w:rPr>
        <w:t xml:space="preserve"> JM, </w:t>
      </w:r>
      <w:proofErr w:type="spellStart"/>
      <w:r w:rsidRPr="00623091">
        <w:rPr>
          <w:rFonts w:ascii="Arial" w:hAnsi="Arial" w:cs="Arial"/>
          <w:lang w:eastAsia="pt-BR"/>
        </w:rPr>
        <w:t>Heinskou</w:t>
      </w:r>
      <w:proofErr w:type="spellEnd"/>
      <w:r w:rsidRPr="00623091">
        <w:rPr>
          <w:rFonts w:ascii="Arial" w:hAnsi="Arial" w:cs="Arial"/>
          <w:lang w:eastAsia="pt-BR"/>
        </w:rPr>
        <w:t xml:space="preserve"> TB, </w:t>
      </w:r>
      <w:proofErr w:type="spellStart"/>
      <w:r w:rsidRPr="00623091">
        <w:rPr>
          <w:rFonts w:ascii="Arial" w:hAnsi="Arial" w:cs="Arial"/>
          <w:lang w:eastAsia="pt-BR"/>
        </w:rPr>
        <w:t>Hodaie</w:t>
      </w:r>
      <w:proofErr w:type="spellEnd"/>
      <w:r w:rsidRPr="00623091">
        <w:rPr>
          <w:rFonts w:ascii="Arial" w:hAnsi="Arial" w:cs="Arial"/>
          <w:lang w:eastAsia="pt-BR"/>
        </w:rPr>
        <w:t xml:space="preserve"> M, Leal PRL, </w:t>
      </w:r>
      <w:proofErr w:type="spellStart"/>
      <w:r w:rsidRPr="00623091">
        <w:rPr>
          <w:rFonts w:ascii="Arial" w:hAnsi="Arial" w:cs="Arial"/>
          <w:lang w:eastAsia="pt-BR"/>
        </w:rPr>
        <w:t>Nurmikko</w:t>
      </w:r>
      <w:proofErr w:type="spellEnd"/>
      <w:r w:rsidRPr="00623091">
        <w:rPr>
          <w:rFonts w:ascii="Arial" w:hAnsi="Arial" w:cs="Arial"/>
          <w:lang w:eastAsia="pt-BR"/>
        </w:rPr>
        <w:t xml:space="preserve"> T, </w:t>
      </w:r>
      <w:proofErr w:type="spellStart"/>
      <w:r w:rsidRPr="00623091">
        <w:rPr>
          <w:rFonts w:ascii="Arial" w:hAnsi="Arial" w:cs="Arial"/>
          <w:lang w:eastAsia="pt-BR"/>
        </w:rPr>
        <w:t>Obermann</w:t>
      </w:r>
      <w:proofErr w:type="spellEnd"/>
      <w:r w:rsidRPr="00623091">
        <w:rPr>
          <w:rFonts w:ascii="Arial" w:hAnsi="Arial" w:cs="Arial"/>
          <w:lang w:eastAsia="pt-BR"/>
        </w:rPr>
        <w:t xml:space="preserve"> M, </w:t>
      </w:r>
      <w:proofErr w:type="spellStart"/>
      <w:r w:rsidRPr="00623091">
        <w:rPr>
          <w:rFonts w:ascii="Arial" w:hAnsi="Arial" w:cs="Arial"/>
          <w:lang w:eastAsia="pt-BR"/>
        </w:rPr>
        <w:t>Cruccu</w:t>
      </w:r>
      <w:proofErr w:type="spellEnd"/>
      <w:r w:rsidRPr="00623091">
        <w:rPr>
          <w:rFonts w:ascii="Arial" w:hAnsi="Arial" w:cs="Arial"/>
          <w:lang w:eastAsia="pt-BR"/>
        </w:rPr>
        <w:t xml:space="preserve"> G, </w:t>
      </w:r>
      <w:proofErr w:type="spellStart"/>
      <w:r w:rsidRPr="00623091">
        <w:rPr>
          <w:rFonts w:ascii="Arial" w:hAnsi="Arial" w:cs="Arial"/>
          <w:lang w:eastAsia="pt-BR"/>
        </w:rPr>
        <w:t>Maarbjerg</w:t>
      </w:r>
      <w:proofErr w:type="spellEnd"/>
      <w:r w:rsidRPr="00623091">
        <w:rPr>
          <w:rFonts w:ascii="Arial" w:hAnsi="Arial" w:cs="Arial"/>
          <w:lang w:eastAsia="pt-BR"/>
        </w:rPr>
        <w:t xml:space="preserve"> S. Advances in diagnosis, classification, pathophysiology, and management of trigeminal neuralgia. Lancet Neurol. 2020</w:t>
      </w:r>
      <w:proofErr w:type="gramStart"/>
      <w:r w:rsidRPr="00623091">
        <w:rPr>
          <w:rFonts w:ascii="Arial" w:hAnsi="Arial" w:cs="Arial"/>
          <w:lang w:eastAsia="pt-BR"/>
        </w:rPr>
        <w:t>;19:784</w:t>
      </w:r>
      <w:proofErr w:type="gramEnd"/>
      <w:r w:rsidRPr="00623091">
        <w:rPr>
          <w:rFonts w:ascii="Arial" w:hAnsi="Arial" w:cs="Arial"/>
          <w:lang w:eastAsia="pt-BR"/>
        </w:rPr>
        <w:t>–96.</w:t>
      </w:r>
    </w:p>
    <w:p w14:paraId="2CDB74B1"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r w:rsidRPr="00623091">
        <w:rPr>
          <w:rFonts w:ascii="Arial" w:hAnsi="Arial" w:cs="Arial"/>
          <w:lang w:eastAsia="pt-BR"/>
        </w:rPr>
        <w:t>International Headache Society. Headache classification committee of the international headache society (IHS). The international classification of headache disorders, 3rd edition. Cephalalgia. 2018</w:t>
      </w:r>
      <w:proofErr w:type="gramStart"/>
      <w:r w:rsidRPr="00623091">
        <w:rPr>
          <w:rFonts w:ascii="Arial" w:hAnsi="Arial" w:cs="Arial"/>
          <w:lang w:eastAsia="pt-BR"/>
        </w:rPr>
        <w:t>;38:1</w:t>
      </w:r>
      <w:proofErr w:type="gramEnd"/>
      <w:r w:rsidRPr="00623091">
        <w:rPr>
          <w:rFonts w:ascii="Arial" w:hAnsi="Arial" w:cs="Arial"/>
          <w:lang w:eastAsia="pt-BR"/>
        </w:rPr>
        <w:t>–211.</w:t>
      </w:r>
    </w:p>
    <w:p w14:paraId="7A1862F1"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r w:rsidRPr="00623091">
        <w:rPr>
          <w:rFonts w:ascii="Arial" w:hAnsi="Arial" w:cs="Arial"/>
          <w:lang w:eastAsia="pt-BR"/>
        </w:rPr>
        <w:t>Villegas Díaz D, Guerrero Alvarado G, López Medina A, Gómez Clavel JF, García Muñoz A. Trigeminal neuralgia: therapeutic strategies to restore quality of life. J Clin Neurosci. 2023</w:t>
      </w:r>
      <w:proofErr w:type="gramStart"/>
      <w:r w:rsidRPr="00623091">
        <w:rPr>
          <w:rFonts w:ascii="Arial" w:hAnsi="Arial" w:cs="Arial"/>
          <w:lang w:eastAsia="pt-BR"/>
        </w:rPr>
        <w:t>;75:35</w:t>
      </w:r>
      <w:proofErr w:type="gramEnd"/>
      <w:r w:rsidRPr="00623091">
        <w:rPr>
          <w:rFonts w:ascii="Arial" w:hAnsi="Arial" w:cs="Arial"/>
          <w:lang w:eastAsia="pt-BR"/>
        </w:rPr>
        <w:t>–45.</w:t>
      </w:r>
    </w:p>
    <w:p w14:paraId="1498C40B"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r w:rsidRPr="00623091">
        <w:rPr>
          <w:rFonts w:ascii="Arial" w:hAnsi="Arial" w:cs="Arial"/>
          <w:lang w:eastAsia="pt-BR"/>
        </w:rPr>
        <w:t>Kumar S, Rastogi S, Kumar S, Mahendra P, Bansal M, Chandra L. Pain in trigeminal neuralgia: neurophysiology and measurement: a comprehensive review. J Med Life. 2013</w:t>
      </w:r>
      <w:proofErr w:type="gramStart"/>
      <w:r w:rsidRPr="00623091">
        <w:rPr>
          <w:rFonts w:ascii="Arial" w:hAnsi="Arial" w:cs="Arial"/>
          <w:lang w:eastAsia="pt-BR"/>
        </w:rPr>
        <w:t>;6:383</w:t>
      </w:r>
      <w:proofErr w:type="gramEnd"/>
      <w:r w:rsidRPr="00623091">
        <w:rPr>
          <w:rFonts w:ascii="Arial" w:hAnsi="Arial" w:cs="Arial"/>
          <w:lang w:eastAsia="pt-BR"/>
        </w:rPr>
        <w:t>–8.</w:t>
      </w:r>
    </w:p>
    <w:p w14:paraId="43A5A3A7"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r w:rsidRPr="00623091">
        <w:rPr>
          <w:rFonts w:ascii="Arial" w:hAnsi="Arial" w:cs="Arial"/>
          <w:lang w:eastAsia="pt-BR"/>
        </w:rPr>
        <w:t xml:space="preserve">Chakraborty AR, Sunshine K, Miller JP, Sweet JA. Current applications of ablative therapies for trigeminal neuralgia. </w:t>
      </w:r>
      <w:proofErr w:type="spellStart"/>
      <w:r w:rsidRPr="00623091">
        <w:rPr>
          <w:rFonts w:ascii="Arial" w:hAnsi="Arial" w:cs="Arial"/>
          <w:lang w:eastAsia="pt-BR"/>
        </w:rPr>
        <w:t>Neurosurg</w:t>
      </w:r>
      <w:proofErr w:type="spellEnd"/>
      <w:r w:rsidRPr="00623091">
        <w:rPr>
          <w:rFonts w:ascii="Arial" w:hAnsi="Arial" w:cs="Arial"/>
          <w:lang w:eastAsia="pt-BR"/>
        </w:rPr>
        <w:t xml:space="preserve"> </w:t>
      </w:r>
      <w:proofErr w:type="spellStart"/>
      <w:r w:rsidRPr="00623091">
        <w:rPr>
          <w:rFonts w:ascii="Arial" w:hAnsi="Arial" w:cs="Arial"/>
          <w:lang w:eastAsia="pt-BR"/>
        </w:rPr>
        <w:t>Clin</w:t>
      </w:r>
      <w:proofErr w:type="spellEnd"/>
      <w:r w:rsidRPr="00623091">
        <w:rPr>
          <w:rFonts w:ascii="Arial" w:hAnsi="Arial" w:cs="Arial"/>
          <w:lang w:eastAsia="pt-BR"/>
        </w:rPr>
        <w:t xml:space="preserve"> N Am. 2023</w:t>
      </w:r>
      <w:proofErr w:type="gramStart"/>
      <w:r w:rsidRPr="00623091">
        <w:rPr>
          <w:rFonts w:ascii="Arial" w:hAnsi="Arial" w:cs="Arial"/>
          <w:lang w:eastAsia="pt-BR"/>
        </w:rPr>
        <w:t>;34:285</w:t>
      </w:r>
      <w:proofErr w:type="gramEnd"/>
      <w:r w:rsidRPr="00623091">
        <w:rPr>
          <w:rFonts w:ascii="Arial" w:hAnsi="Arial" w:cs="Arial"/>
          <w:lang w:eastAsia="pt-BR"/>
        </w:rPr>
        <w:t>–90.</w:t>
      </w:r>
    </w:p>
    <w:p w14:paraId="44840659"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proofErr w:type="spellStart"/>
      <w:r w:rsidRPr="00623091">
        <w:rPr>
          <w:rFonts w:ascii="Arial" w:hAnsi="Arial" w:cs="Arial"/>
          <w:lang w:eastAsia="pt-BR"/>
        </w:rPr>
        <w:t>Houshi</w:t>
      </w:r>
      <w:proofErr w:type="spellEnd"/>
      <w:r w:rsidRPr="00623091">
        <w:rPr>
          <w:rFonts w:ascii="Arial" w:hAnsi="Arial" w:cs="Arial"/>
          <w:lang w:eastAsia="pt-BR"/>
        </w:rPr>
        <w:t xml:space="preserve"> S, </w:t>
      </w:r>
      <w:proofErr w:type="spellStart"/>
      <w:r w:rsidRPr="00623091">
        <w:rPr>
          <w:rFonts w:ascii="Arial" w:hAnsi="Arial" w:cs="Arial"/>
          <w:lang w:eastAsia="pt-BR"/>
        </w:rPr>
        <w:t>Tavallaei</w:t>
      </w:r>
      <w:proofErr w:type="spellEnd"/>
      <w:r w:rsidRPr="00623091">
        <w:rPr>
          <w:rFonts w:ascii="Arial" w:hAnsi="Arial" w:cs="Arial"/>
          <w:lang w:eastAsia="pt-BR"/>
        </w:rPr>
        <w:t xml:space="preserve"> MJ, </w:t>
      </w:r>
      <w:proofErr w:type="spellStart"/>
      <w:r w:rsidRPr="00623091">
        <w:rPr>
          <w:rFonts w:ascii="Arial" w:hAnsi="Arial" w:cs="Arial"/>
          <w:lang w:eastAsia="pt-BR"/>
        </w:rPr>
        <w:t>Barzegar</w:t>
      </w:r>
      <w:proofErr w:type="spellEnd"/>
      <w:r w:rsidRPr="00623091">
        <w:rPr>
          <w:rFonts w:ascii="Arial" w:hAnsi="Arial" w:cs="Arial"/>
          <w:lang w:eastAsia="pt-BR"/>
        </w:rPr>
        <w:t xml:space="preserve"> M, </w:t>
      </w:r>
      <w:proofErr w:type="spellStart"/>
      <w:r w:rsidRPr="00623091">
        <w:rPr>
          <w:rFonts w:ascii="Arial" w:hAnsi="Arial" w:cs="Arial"/>
          <w:lang w:eastAsia="pt-BR"/>
        </w:rPr>
        <w:t>Afshari-Safavi</w:t>
      </w:r>
      <w:proofErr w:type="spellEnd"/>
      <w:r w:rsidRPr="00623091">
        <w:rPr>
          <w:rFonts w:ascii="Arial" w:hAnsi="Arial" w:cs="Arial"/>
          <w:lang w:eastAsia="pt-BR"/>
        </w:rPr>
        <w:t xml:space="preserve"> A, </w:t>
      </w:r>
      <w:proofErr w:type="spellStart"/>
      <w:r w:rsidRPr="00623091">
        <w:rPr>
          <w:rFonts w:ascii="Arial" w:hAnsi="Arial" w:cs="Arial"/>
          <w:lang w:eastAsia="pt-BR"/>
        </w:rPr>
        <w:t>Vaheb</w:t>
      </w:r>
      <w:proofErr w:type="spellEnd"/>
      <w:r w:rsidRPr="00623091">
        <w:rPr>
          <w:rFonts w:ascii="Arial" w:hAnsi="Arial" w:cs="Arial"/>
          <w:lang w:eastAsia="pt-BR"/>
        </w:rPr>
        <w:t xml:space="preserve"> S, </w:t>
      </w:r>
      <w:proofErr w:type="spellStart"/>
      <w:r w:rsidRPr="00623091">
        <w:rPr>
          <w:rFonts w:ascii="Arial" w:hAnsi="Arial" w:cs="Arial"/>
          <w:lang w:eastAsia="pt-BR"/>
        </w:rPr>
        <w:t>Mirmosayyeb</w:t>
      </w:r>
      <w:proofErr w:type="spellEnd"/>
      <w:r w:rsidRPr="00623091">
        <w:rPr>
          <w:rFonts w:ascii="Arial" w:hAnsi="Arial" w:cs="Arial"/>
          <w:lang w:eastAsia="pt-BR"/>
        </w:rPr>
        <w:t xml:space="preserve"> O, et al. Prevalence of trigeminal neuralgia in multiple sclerosis: a systematic review and meta-analysis. </w:t>
      </w:r>
      <w:proofErr w:type="spellStart"/>
      <w:r w:rsidRPr="00623091">
        <w:rPr>
          <w:rFonts w:ascii="Arial" w:hAnsi="Arial" w:cs="Arial"/>
          <w:lang w:eastAsia="pt-BR"/>
        </w:rPr>
        <w:t>Mult</w:t>
      </w:r>
      <w:proofErr w:type="spellEnd"/>
      <w:r w:rsidRPr="00623091">
        <w:rPr>
          <w:rFonts w:ascii="Arial" w:hAnsi="Arial" w:cs="Arial"/>
          <w:lang w:eastAsia="pt-BR"/>
        </w:rPr>
        <w:t xml:space="preserve"> </w:t>
      </w:r>
      <w:proofErr w:type="spellStart"/>
      <w:r w:rsidRPr="00623091">
        <w:rPr>
          <w:rFonts w:ascii="Arial" w:hAnsi="Arial" w:cs="Arial"/>
          <w:lang w:eastAsia="pt-BR"/>
        </w:rPr>
        <w:t>Scler</w:t>
      </w:r>
      <w:proofErr w:type="spellEnd"/>
      <w:r w:rsidRPr="00623091">
        <w:rPr>
          <w:rFonts w:ascii="Arial" w:hAnsi="Arial" w:cs="Arial"/>
          <w:lang w:eastAsia="pt-BR"/>
        </w:rPr>
        <w:t xml:space="preserve"> </w:t>
      </w:r>
      <w:proofErr w:type="spellStart"/>
      <w:r w:rsidRPr="00623091">
        <w:rPr>
          <w:rFonts w:ascii="Arial" w:hAnsi="Arial" w:cs="Arial"/>
          <w:lang w:eastAsia="pt-BR"/>
        </w:rPr>
        <w:t>Relat</w:t>
      </w:r>
      <w:proofErr w:type="spellEnd"/>
      <w:r w:rsidRPr="00623091">
        <w:rPr>
          <w:rFonts w:ascii="Arial" w:hAnsi="Arial" w:cs="Arial"/>
          <w:lang w:eastAsia="pt-BR"/>
        </w:rPr>
        <w:t xml:space="preserve"> </w:t>
      </w:r>
      <w:proofErr w:type="spellStart"/>
      <w:r w:rsidRPr="00623091">
        <w:rPr>
          <w:rFonts w:ascii="Arial" w:hAnsi="Arial" w:cs="Arial"/>
          <w:lang w:eastAsia="pt-BR"/>
        </w:rPr>
        <w:t>Disord</w:t>
      </w:r>
      <w:proofErr w:type="spellEnd"/>
      <w:r w:rsidRPr="00623091">
        <w:rPr>
          <w:rFonts w:ascii="Arial" w:hAnsi="Arial" w:cs="Arial"/>
          <w:lang w:eastAsia="pt-BR"/>
        </w:rPr>
        <w:t>. 2022</w:t>
      </w:r>
      <w:proofErr w:type="gramStart"/>
      <w:r w:rsidRPr="00623091">
        <w:rPr>
          <w:rFonts w:ascii="Arial" w:hAnsi="Arial" w:cs="Arial"/>
          <w:lang w:eastAsia="pt-BR"/>
        </w:rPr>
        <w:t>;57:103472</w:t>
      </w:r>
      <w:proofErr w:type="gramEnd"/>
      <w:r w:rsidRPr="00623091">
        <w:rPr>
          <w:rFonts w:ascii="Arial" w:hAnsi="Arial" w:cs="Arial"/>
          <w:lang w:eastAsia="pt-BR"/>
        </w:rPr>
        <w:t>.</w:t>
      </w:r>
    </w:p>
    <w:p w14:paraId="17F46584"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r w:rsidRPr="00623091">
        <w:rPr>
          <w:rFonts w:ascii="Arial" w:hAnsi="Arial" w:cs="Arial"/>
          <w:lang w:eastAsia="pt-BR"/>
        </w:rPr>
        <w:t xml:space="preserve">Bendtsen L, Zakrzewska JM, Abbott J, </w:t>
      </w:r>
      <w:proofErr w:type="spellStart"/>
      <w:r w:rsidRPr="00623091">
        <w:rPr>
          <w:rFonts w:ascii="Arial" w:hAnsi="Arial" w:cs="Arial"/>
          <w:lang w:eastAsia="pt-BR"/>
        </w:rPr>
        <w:t>Braschinsky</w:t>
      </w:r>
      <w:proofErr w:type="spellEnd"/>
      <w:r w:rsidRPr="00623091">
        <w:rPr>
          <w:rFonts w:ascii="Arial" w:hAnsi="Arial" w:cs="Arial"/>
          <w:lang w:eastAsia="pt-BR"/>
        </w:rPr>
        <w:t xml:space="preserve"> M, Di Stefano G, </w:t>
      </w:r>
      <w:proofErr w:type="spellStart"/>
      <w:r w:rsidRPr="00623091">
        <w:rPr>
          <w:rFonts w:ascii="Arial" w:hAnsi="Arial" w:cs="Arial"/>
          <w:lang w:eastAsia="pt-BR"/>
        </w:rPr>
        <w:t>Donnet</w:t>
      </w:r>
      <w:proofErr w:type="spellEnd"/>
      <w:r w:rsidRPr="00623091">
        <w:rPr>
          <w:rFonts w:ascii="Arial" w:hAnsi="Arial" w:cs="Arial"/>
          <w:lang w:eastAsia="pt-BR"/>
        </w:rPr>
        <w:t xml:space="preserve"> A, </w:t>
      </w:r>
      <w:proofErr w:type="spellStart"/>
      <w:r w:rsidRPr="00623091">
        <w:rPr>
          <w:rFonts w:ascii="Arial" w:hAnsi="Arial" w:cs="Arial"/>
          <w:lang w:eastAsia="pt-BR"/>
        </w:rPr>
        <w:t>Eide</w:t>
      </w:r>
      <w:proofErr w:type="spellEnd"/>
      <w:r w:rsidRPr="00623091">
        <w:rPr>
          <w:rFonts w:ascii="Arial" w:hAnsi="Arial" w:cs="Arial"/>
          <w:lang w:eastAsia="pt-BR"/>
        </w:rPr>
        <w:t xml:space="preserve"> PK, Leal PRL, Maarbjerg S, May A, </w:t>
      </w:r>
      <w:proofErr w:type="spellStart"/>
      <w:r w:rsidRPr="00623091">
        <w:rPr>
          <w:rFonts w:ascii="Arial" w:hAnsi="Arial" w:cs="Arial"/>
          <w:lang w:eastAsia="pt-BR"/>
        </w:rPr>
        <w:t>Nurmikko</w:t>
      </w:r>
      <w:proofErr w:type="spellEnd"/>
      <w:r w:rsidRPr="00623091">
        <w:rPr>
          <w:rFonts w:ascii="Arial" w:hAnsi="Arial" w:cs="Arial"/>
          <w:lang w:eastAsia="pt-BR"/>
        </w:rPr>
        <w:t xml:space="preserve"> T, </w:t>
      </w:r>
      <w:proofErr w:type="spellStart"/>
      <w:r w:rsidRPr="00623091">
        <w:rPr>
          <w:rFonts w:ascii="Arial" w:hAnsi="Arial" w:cs="Arial"/>
          <w:lang w:eastAsia="pt-BR"/>
        </w:rPr>
        <w:t>Obermann</w:t>
      </w:r>
      <w:proofErr w:type="spellEnd"/>
      <w:r w:rsidRPr="00623091">
        <w:rPr>
          <w:rFonts w:ascii="Arial" w:hAnsi="Arial" w:cs="Arial"/>
          <w:lang w:eastAsia="pt-BR"/>
        </w:rPr>
        <w:t xml:space="preserve"> M, Jensen TS, </w:t>
      </w:r>
      <w:proofErr w:type="spellStart"/>
      <w:r w:rsidRPr="00623091">
        <w:rPr>
          <w:rFonts w:ascii="Arial" w:hAnsi="Arial" w:cs="Arial"/>
          <w:lang w:eastAsia="pt-BR"/>
        </w:rPr>
        <w:t>Cruccu</w:t>
      </w:r>
      <w:proofErr w:type="spellEnd"/>
      <w:r w:rsidRPr="00623091">
        <w:rPr>
          <w:rFonts w:ascii="Arial" w:hAnsi="Arial" w:cs="Arial"/>
          <w:lang w:eastAsia="pt-BR"/>
        </w:rPr>
        <w:t xml:space="preserve"> G. European Academy of Neurology guideline on trigeminal neuralgia. Eur J Neurol. 2019</w:t>
      </w:r>
      <w:proofErr w:type="gramStart"/>
      <w:r w:rsidRPr="00623091">
        <w:rPr>
          <w:rFonts w:ascii="Arial" w:hAnsi="Arial" w:cs="Arial"/>
          <w:lang w:eastAsia="pt-BR"/>
        </w:rPr>
        <w:t>;26:831</w:t>
      </w:r>
      <w:proofErr w:type="gramEnd"/>
      <w:r w:rsidRPr="00623091">
        <w:rPr>
          <w:rFonts w:ascii="Arial" w:hAnsi="Arial" w:cs="Arial"/>
          <w:lang w:eastAsia="pt-BR"/>
        </w:rPr>
        <w:t>–49.</w:t>
      </w:r>
    </w:p>
    <w:p w14:paraId="15E742FC"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r w:rsidRPr="00623091">
        <w:rPr>
          <w:rFonts w:ascii="Arial" w:hAnsi="Arial" w:cs="Arial"/>
          <w:lang w:eastAsia="pt-BR"/>
        </w:rPr>
        <w:t>Benoliel R, Svensson P, Evers S, et al. The IASP classification of chronic pain for ICD-11: chronic secondary headache or orofacial pain. Pain. 2019</w:t>
      </w:r>
      <w:proofErr w:type="gramStart"/>
      <w:r w:rsidRPr="00623091">
        <w:rPr>
          <w:rFonts w:ascii="Arial" w:hAnsi="Arial" w:cs="Arial"/>
          <w:lang w:eastAsia="pt-BR"/>
        </w:rPr>
        <w:t>;160:60</w:t>
      </w:r>
      <w:proofErr w:type="gramEnd"/>
      <w:r w:rsidRPr="00623091">
        <w:rPr>
          <w:rFonts w:ascii="Arial" w:hAnsi="Arial" w:cs="Arial"/>
          <w:lang w:eastAsia="pt-BR"/>
        </w:rPr>
        <w:t xml:space="preserve">–8. </w:t>
      </w:r>
    </w:p>
    <w:p w14:paraId="640182B4"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r w:rsidRPr="00623091">
        <w:rPr>
          <w:rFonts w:ascii="Arial" w:hAnsi="Arial" w:cs="Arial"/>
          <w:lang w:eastAsia="pt-BR"/>
        </w:rPr>
        <w:t>Bendtsen L, Zakrzewska JM, Abbott J, et al. European Academy of Neurology guideline on trigeminal neuralgia. Eur J Neurol. 2019</w:t>
      </w:r>
      <w:proofErr w:type="gramStart"/>
      <w:r w:rsidRPr="00623091">
        <w:rPr>
          <w:rFonts w:ascii="Arial" w:hAnsi="Arial" w:cs="Arial"/>
          <w:lang w:eastAsia="pt-BR"/>
        </w:rPr>
        <w:t>;26:831</w:t>
      </w:r>
      <w:proofErr w:type="gramEnd"/>
      <w:r w:rsidRPr="00623091">
        <w:rPr>
          <w:rFonts w:ascii="Arial" w:hAnsi="Arial" w:cs="Arial"/>
          <w:lang w:eastAsia="pt-BR"/>
        </w:rPr>
        <w:t>–49.</w:t>
      </w:r>
    </w:p>
    <w:p w14:paraId="29002655"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r w:rsidRPr="00623091">
        <w:rPr>
          <w:rFonts w:ascii="Arial" w:hAnsi="Arial" w:cs="Arial"/>
          <w:lang w:eastAsia="pt-BR"/>
        </w:rPr>
        <w:t xml:space="preserve">Gusmão S, Magaldi M, Arantes A. Trigeminal radiofrequency rhizotomy for the treatment of trigeminal neuralgia: results and technical modification. </w:t>
      </w:r>
      <w:proofErr w:type="spellStart"/>
      <w:r w:rsidRPr="00623091">
        <w:rPr>
          <w:rFonts w:ascii="Arial" w:hAnsi="Arial" w:cs="Arial"/>
          <w:lang w:eastAsia="pt-BR"/>
        </w:rPr>
        <w:t>Arq</w:t>
      </w:r>
      <w:proofErr w:type="spellEnd"/>
      <w:r w:rsidRPr="00623091">
        <w:rPr>
          <w:rFonts w:ascii="Arial" w:hAnsi="Arial" w:cs="Arial"/>
          <w:lang w:eastAsia="pt-BR"/>
        </w:rPr>
        <w:t xml:space="preserve"> </w:t>
      </w:r>
      <w:proofErr w:type="spellStart"/>
      <w:r w:rsidRPr="00623091">
        <w:rPr>
          <w:rFonts w:ascii="Arial" w:hAnsi="Arial" w:cs="Arial"/>
          <w:lang w:eastAsia="pt-BR"/>
        </w:rPr>
        <w:t>Neuropsiquiatr</w:t>
      </w:r>
      <w:proofErr w:type="spellEnd"/>
      <w:r w:rsidRPr="00623091">
        <w:rPr>
          <w:rFonts w:ascii="Arial" w:hAnsi="Arial" w:cs="Arial"/>
          <w:lang w:eastAsia="pt-BR"/>
        </w:rPr>
        <w:t>. 2003</w:t>
      </w:r>
      <w:proofErr w:type="gramStart"/>
      <w:r w:rsidRPr="00623091">
        <w:rPr>
          <w:rFonts w:ascii="Arial" w:hAnsi="Arial" w:cs="Arial"/>
          <w:lang w:eastAsia="pt-BR"/>
        </w:rPr>
        <w:t>;61:434</w:t>
      </w:r>
      <w:proofErr w:type="gramEnd"/>
      <w:r w:rsidRPr="00623091">
        <w:rPr>
          <w:rFonts w:ascii="Arial" w:hAnsi="Arial" w:cs="Arial"/>
          <w:lang w:eastAsia="pt-BR"/>
        </w:rPr>
        <w:t xml:space="preserve">–40. </w:t>
      </w:r>
    </w:p>
    <w:p w14:paraId="05CB56C9"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r w:rsidRPr="00623091">
        <w:rPr>
          <w:rFonts w:ascii="Arial" w:hAnsi="Arial" w:cs="Arial"/>
          <w:lang w:eastAsia="pt-BR"/>
        </w:rPr>
        <w:t xml:space="preserve">Yamaki T. Venous compression as an etiology of trigeminal neuralgia: Systematic review and meta-analysis. J </w:t>
      </w:r>
      <w:proofErr w:type="spellStart"/>
      <w:r w:rsidRPr="00623091">
        <w:rPr>
          <w:rFonts w:ascii="Arial" w:hAnsi="Arial" w:cs="Arial"/>
          <w:lang w:eastAsia="pt-BR"/>
        </w:rPr>
        <w:t>Neurosurg</w:t>
      </w:r>
      <w:proofErr w:type="spellEnd"/>
      <w:r w:rsidRPr="00623091">
        <w:rPr>
          <w:rFonts w:ascii="Arial" w:hAnsi="Arial" w:cs="Arial"/>
          <w:lang w:eastAsia="pt-BR"/>
        </w:rPr>
        <w:t>. 2021;134(4):1100–7. doi:10.3171/2021.1.JNS202072.</w:t>
      </w:r>
    </w:p>
    <w:p w14:paraId="64CD1091"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proofErr w:type="spellStart"/>
      <w:r w:rsidRPr="00623091">
        <w:rPr>
          <w:rFonts w:ascii="Arial" w:hAnsi="Arial" w:cs="Arial"/>
          <w:lang w:eastAsia="pt-BR"/>
        </w:rPr>
        <w:t>Alzeeralhouseini</w:t>
      </w:r>
      <w:proofErr w:type="spellEnd"/>
      <w:r w:rsidRPr="00623091">
        <w:rPr>
          <w:rFonts w:ascii="Arial" w:hAnsi="Arial" w:cs="Arial"/>
          <w:lang w:eastAsia="pt-BR"/>
        </w:rPr>
        <w:t xml:space="preserve"> A, </w:t>
      </w:r>
      <w:proofErr w:type="spellStart"/>
      <w:r w:rsidRPr="00623091">
        <w:rPr>
          <w:rFonts w:ascii="Arial" w:hAnsi="Arial" w:cs="Arial"/>
          <w:lang w:eastAsia="pt-BR"/>
        </w:rPr>
        <w:t>Moisak</w:t>
      </w:r>
      <w:proofErr w:type="spellEnd"/>
      <w:r w:rsidRPr="00623091">
        <w:rPr>
          <w:rFonts w:ascii="Arial" w:hAnsi="Arial" w:cs="Arial"/>
          <w:lang w:eastAsia="pt-BR"/>
        </w:rPr>
        <w:t xml:space="preserve"> G, </w:t>
      </w:r>
      <w:proofErr w:type="spellStart"/>
      <w:r w:rsidRPr="00623091">
        <w:rPr>
          <w:rFonts w:ascii="Arial" w:hAnsi="Arial" w:cs="Arial"/>
          <w:lang w:eastAsia="pt-BR"/>
        </w:rPr>
        <w:t>Labzina</w:t>
      </w:r>
      <w:proofErr w:type="spellEnd"/>
      <w:r w:rsidRPr="00623091">
        <w:rPr>
          <w:rFonts w:ascii="Arial" w:hAnsi="Arial" w:cs="Arial"/>
          <w:lang w:eastAsia="pt-BR"/>
        </w:rPr>
        <w:t xml:space="preserve"> E, </w:t>
      </w:r>
      <w:proofErr w:type="spellStart"/>
      <w:r w:rsidRPr="00623091">
        <w:rPr>
          <w:rFonts w:ascii="Arial" w:hAnsi="Arial" w:cs="Arial"/>
          <w:lang w:eastAsia="pt-BR"/>
        </w:rPr>
        <w:t>Rzaev</w:t>
      </w:r>
      <w:proofErr w:type="spellEnd"/>
      <w:r w:rsidRPr="00623091">
        <w:rPr>
          <w:rFonts w:ascii="Arial" w:hAnsi="Arial" w:cs="Arial"/>
          <w:lang w:eastAsia="pt-BR"/>
        </w:rPr>
        <w:t xml:space="preserve"> J. Trigeminal neuralgia caused by venous compression: a comprehensive literature review. </w:t>
      </w:r>
      <w:proofErr w:type="spellStart"/>
      <w:r w:rsidRPr="00623091">
        <w:rPr>
          <w:rFonts w:ascii="Arial" w:hAnsi="Arial" w:cs="Arial"/>
          <w:lang w:eastAsia="pt-BR"/>
        </w:rPr>
        <w:t>Neurosurg</w:t>
      </w:r>
      <w:proofErr w:type="spellEnd"/>
      <w:r w:rsidRPr="00623091">
        <w:rPr>
          <w:rFonts w:ascii="Arial" w:hAnsi="Arial" w:cs="Arial"/>
          <w:lang w:eastAsia="pt-BR"/>
        </w:rPr>
        <w:t xml:space="preserve"> Rev. 2022</w:t>
      </w:r>
      <w:proofErr w:type="gramStart"/>
      <w:r w:rsidRPr="00623091">
        <w:rPr>
          <w:rFonts w:ascii="Arial" w:hAnsi="Arial" w:cs="Arial"/>
          <w:lang w:eastAsia="pt-BR"/>
        </w:rPr>
        <w:t>;45:1029</w:t>
      </w:r>
      <w:proofErr w:type="gramEnd"/>
      <w:r w:rsidRPr="00623091">
        <w:rPr>
          <w:rFonts w:ascii="Arial" w:hAnsi="Arial" w:cs="Arial"/>
          <w:lang w:eastAsia="pt-BR"/>
        </w:rPr>
        <w:t>–40.</w:t>
      </w:r>
    </w:p>
    <w:p w14:paraId="2A0189AE"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r w:rsidRPr="00623091">
        <w:rPr>
          <w:rFonts w:ascii="Arial" w:hAnsi="Arial" w:cs="Arial"/>
          <w:lang w:eastAsia="pt-BR"/>
        </w:rPr>
        <w:t xml:space="preserve">Bezerra GMS, Leal PRL, Cavalcante-Neto JF, Rivera A. Microvascular decompression using autologous muscle graft for trigeminal neuralgia: a case series and meta-analysis. </w:t>
      </w:r>
      <w:proofErr w:type="spellStart"/>
      <w:r w:rsidRPr="00623091">
        <w:rPr>
          <w:rFonts w:ascii="Arial" w:hAnsi="Arial" w:cs="Arial"/>
          <w:lang w:eastAsia="pt-BR"/>
        </w:rPr>
        <w:t>Acta</w:t>
      </w:r>
      <w:proofErr w:type="spellEnd"/>
      <w:r w:rsidRPr="00623091">
        <w:rPr>
          <w:rFonts w:ascii="Arial" w:hAnsi="Arial" w:cs="Arial"/>
          <w:lang w:eastAsia="pt-BR"/>
        </w:rPr>
        <w:t xml:space="preserve"> </w:t>
      </w:r>
      <w:proofErr w:type="spellStart"/>
      <w:r w:rsidRPr="00623091">
        <w:rPr>
          <w:rFonts w:ascii="Arial" w:hAnsi="Arial" w:cs="Arial"/>
          <w:lang w:eastAsia="pt-BR"/>
        </w:rPr>
        <w:t>Neurochir</w:t>
      </w:r>
      <w:proofErr w:type="spellEnd"/>
      <w:r w:rsidRPr="00623091">
        <w:rPr>
          <w:rFonts w:ascii="Arial" w:hAnsi="Arial" w:cs="Arial"/>
          <w:lang w:eastAsia="pt-BR"/>
        </w:rPr>
        <w:t xml:space="preserve"> (Wien). 2023;165(12):3833–43. doi:10.1007/s00701-023-05871-5.</w:t>
      </w:r>
    </w:p>
    <w:p w14:paraId="180BAD7B"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r w:rsidRPr="00623091">
        <w:rPr>
          <w:rFonts w:ascii="Arial" w:hAnsi="Arial" w:cs="Arial"/>
          <w:lang w:eastAsia="pt-BR"/>
        </w:rPr>
        <w:lastRenderedPageBreak/>
        <w:t xml:space="preserve">Jagannath PM, Venkataramana NK, Bansal A, Ravichandra M. Outcome of microvascular decompression for trigeminal neuralgia using autologous muscle graft: a five-year prospective study. Asian J </w:t>
      </w:r>
      <w:proofErr w:type="spellStart"/>
      <w:r w:rsidRPr="00623091">
        <w:rPr>
          <w:rFonts w:ascii="Arial" w:hAnsi="Arial" w:cs="Arial"/>
          <w:lang w:eastAsia="pt-BR"/>
        </w:rPr>
        <w:t>Neurosurg</w:t>
      </w:r>
      <w:proofErr w:type="spellEnd"/>
      <w:r w:rsidRPr="00623091">
        <w:rPr>
          <w:rFonts w:ascii="Arial" w:hAnsi="Arial" w:cs="Arial"/>
          <w:lang w:eastAsia="pt-BR"/>
        </w:rPr>
        <w:t xml:space="preserve">. 2012;7(3):125–30. </w:t>
      </w:r>
    </w:p>
    <w:p w14:paraId="130B1649"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r w:rsidRPr="00623091">
        <w:rPr>
          <w:rFonts w:ascii="Arial" w:hAnsi="Arial" w:cs="Arial"/>
          <w:lang w:eastAsia="pt-BR"/>
        </w:rPr>
        <w:t>Cho D-Y, Chang CG-S, Wang Y-C, Wang F-H, Shen C-C, Yang D-Y. Repeat operations in failed microvascular decompression for trigeminal neuralgia. Neurosurgery. 1994;35(4):665–70.</w:t>
      </w:r>
    </w:p>
    <w:p w14:paraId="2B62B6C1"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r w:rsidRPr="00623091">
        <w:rPr>
          <w:rFonts w:ascii="Arial" w:hAnsi="Arial" w:cs="Arial"/>
          <w:lang w:eastAsia="pt-BR"/>
        </w:rPr>
        <w:t xml:space="preserve">Megerian CA, Busaba NY, McKenna MJ, </w:t>
      </w:r>
      <w:proofErr w:type="spellStart"/>
      <w:r w:rsidRPr="00623091">
        <w:rPr>
          <w:rFonts w:ascii="Arial" w:hAnsi="Arial" w:cs="Arial"/>
          <w:lang w:eastAsia="pt-BR"/>
        </w:rPr>
        <w:t>Ojemann</w:t>
      </w:r>
      <w:proofErr w:type="spellEnd"/>
      <w:r w:rsidRPr="00623091">
        <w:rPr>
          <w:rFonts w:ascii="Arial" w:hAnsi="Arial" w:cs="Arial"/>
          <w:lang w:eastAsia="pt-BR"/>
        </w:rPr>
        <w:t xml:space="preserve"> RG. Teflon granuloma presenting as an enlarging, gadolinium enhancing, posterior fossa mass with progressive hearing loss following microvascular decompression. Am J Otol. 1995;16(6):783–6.</w:t>
      </w:r>
    </w:p>
    <w:p w14:paraId="0509C17D"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r w:rsidRPr="00623091">
        <w:rPr>
          <w:rFonts w:ascii="Arial" w:hAnsi="Arial" w:cs="Arial"/>
          <w:lang w:eastAsia="pt-BR"/>
        </w:rPr>
        <w:t xml:space="preserve">Cheng J, Meng J, Liu W, Zhang H, Hui X, Lei D. Nerve atrophy in trigeminal neuralgia due to neurovascular compression and its association with surgical outcomes after microvascular decompression. J </w:t>
      </w:r>
      <w:proofErr w:type="spellStart"/>
      <w:r w:rsidRPr="00623091">
        <w:rPr>
          <w:rFonts w:ascii="Arial" w:hAnsi="Arial" w:cs="Arial"/>
          <w:lang w:eastAsia="pt-BR"/>
        </w:rPr>
        <w:t>Neurosurg</w:t>
      </w:r>
      <w:proofErr w:type="spellEnd"/>
      <w:r w:rsidRPr="00623091">
        <w:rPr>
          <w:rFonts w:ascii="Arial" w:hAnsi="Arial" w:cs="Arial"/>
          <w:lang w:eastAsia="pt-BR"/>
        </w:rPr>
        <w:t>. 2023;139(2):402–9.</w:t>
      </w:r>
    </w:p>
    <w:p w14:paraId="625094CD"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r w:rsidRPr="00623091">
        <w:rPr>
          <w:rFonts w:ascii="Arial" w:hAnsi="Arial" w:cs="Arial"/>
          <w:lang w:eastAsia="pt-BR"/>
        </w:rPr>
        <w:t>Zhao W, Yin C, Ma L, Ding M, Kong W, Wang Y. Predictive value of MRI for identifying symptomatic neurovascular compressions in classical trigeminal neuralgia: a PRISMA-compliant meta-analysis. BMC Neurol. 2024</w:t>
      </w:r>
      <w:proofErr w:type="gramStart"/>
      <w:r w:rsidRPr="00623091">
        <w:rPr>
          <w:rFonts w:ascii="Arial" w:hAnsi="Arial" w:cs="Arial"/>
          <w:lang w:eastAsia="pt-BR"/>
        </w:rPr>
        <w:t>;24:466</w:t>
      </w:r>
      <w:proofErr w:type="gramEnd"/>
      <w:r w:rsidRPr="00623091">
        <w:rPr>
          <w:rFonts w:ascii="Arial" w:hAnsi="Arial" w:cs="Arial"/>
          <w:lang w:eastAsia="pt-BR"/>
        </w:rPr>
        <w:t>.</w:t>
      </w:r>
    </w:p>
    <w:p w14:paraId="486965BF" w14:textId="77777777" w:rsidR="00623091" w:rsidRPr="00623091" w:rsidRDefault="00623091" w:rsidP="00623091">
      <w:pPr>
        <w:pStyle w:val="ListParagraph"/>
        <w:numPr>
          <w:ilvl w:val="0"/>
          <w:numId w:val="32"/>
        </w:numPr>
        <w:spacing w:before="100" w:beforeAutospacing="1" w:after="100" w:afterAutospacing="1"/>
        <w:ind w:left="1701" w:right="1302"/>
        <w:jc w:val="both"/>
        <w:rPr>
          <w:rFonts w:ascii="Arial" w:hAnsi="Arial" w:cs="Arial"/>
          <w:lang w:eastAsia="pt-BR"/>
        </w:rPr>
      </w:pPr>
      <w:r w:rsidRPr="00F629D2">
        <w:rPr>
          <w:rFonts w:ascii="Arial" w:hAnsi="Arial" w:cs="Arial"/>
          <w:lang w:val="pt-BR" w:eastAsia="pt-BR"/>
        </w:rPr>
        <w:t xml:space="preserve">Gambeta E, Chichorro JG, Zamponi GW. </w:t>
      </w:r>
      <w:r w:rsidRPr="00623091">
        <w:rPr>
          <w:rFonts w:ascii="Arial" w:hAnsi="Arial" w:cs="Arial"/>
          <w:lang w:eastAsia="pt-BR"/>
        </w:rPr>
        <w:t>Trigeminal neuralgia: An overview from pathophysiology to pharmacological treatments. Front Neurol. 2023;14:0001–15</w:t>
      </w:r>
    </w:p>
    <w:p w14:paraId="174F4DBB" w14:textId="123318C6" w:rsidR="00FC2917" w:rsidRPr="00623091" w:rsidRDefault="00FC2917" w:rsidP="00623091">
      <w:pPr>
        <w:spacing w:before="100" w:beforeAutospacing="1" w:after="100" w:afterAutospacing="1"/>
        <w:ind w:left="1701" w:right="1302"/>
        <w:jc w:val="both"/>
        <w:rPr>
          <w:rFonts w:ascii="Arial" w:hAnsi="Arial" w:cs="Arial"/>
          <w:lang w:eastAsia="pt-BR"/>
        </w:rPr>
      </w:pPr>
    </w:p>
    <w:sectPr w:rsidR="00FC2917" w:rsidRPr="00623091" w:rsidSect="00F139A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852C5" w14:textId="77777777" w:rsidR="00BC4137" w:rsidRDefault="00BC4137" w:rsidP="00C37E61">
      <w:r>
        <w:separator/>
      </w:r>
    </w:p>
  </w:endnote>
  <w:endnote w:type="continuationSeparator" w:id="0">
    <w:p w14:paraId="0C644105" w14:textId="77777777" w:rsidR="00BC4137" w:rsidRDefault="00BC413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EA38B" w14:textId="77777777" w:rsidR="00FC2917" w:rsidRDefault="00FC2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FDE6" w14:textId="77777777" w:rsidR="00FC2917" w:rsidRPr="00C37E61" w:rsidRDefault="00FC2917"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917CD" w14:textId="77777777" w:rsidR="00FC2917" w:rsidRDefault="00FC2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1A492" w14:textId="77777777" w:rsidR="00BC4137" w:rsidRDefault="00BC4137" w:rsidP="00C37E61">
      <w:r>
        <w:separator/>
      </w:r>
    </w:p>
  </w:footnote>
  <w:footnote w:type="continuationSeparator" w:id="0">
    <w:p w14:paraId="211B6F64" w14:textId="77777777" w:rsidR="00BC4137" w:rsidRDefault="00BC413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BFDD2" w14:textId="77777777" w:rsidR="00FC2917" w:rsidRDefault="00BC4137">
    <w:pPr>
      <w:pStyle w:val="Header"/>
    </w:pPr>
    <w:r>
      <w:rPr>
        <w:noProof/>
      </w:rPr>
      <w:pict w14:anchorId="5865C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35641" o:spid="_x0000_s2052" type="#_x0000_t136" style="position:absolute;margin-left:0;margin-top:0;width:520.65pt;height:57.85pt;rotation:315;z-index:-2516597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C4E97" w14:textId="77777777" w:rsidR="00FC2917" w:rsidRDefault="00BC4137">
    <w:pPr>
      <w:pStyle w:val="Header"/>
    </w:pPr>
    <w:r>
      <w:rPr>
        <w:noProof/>
      </w:rPr>
      <w:pict w14:anchorId="1301B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35642" o:spid="_x0000_s2053" type="#_x0000_t136" style="position:absolute;margin-left:0;margin-top:0;width:520.65pt;height:57.85pt;rotation:315;z-index:-25165875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AA64" w14:textId="77777777" w:rsidR="00FC2917" w:rsidRDefault="00BC4137">
    <w:pPr>
      <w:pStyle w:val="Header"/>
    </w:pPr>
    <w:r>
      <w:rPr>
        <w:noProof/>
      </w:rPr>
      <w:pict w14:anchorId="59A54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35640" o:spid="_x0000_s2054" type="#_x0000_t136" style="position:absolute;margin-left:0;margin-top:0;width:520.65pt;height:57.85pt;rotation:315;z-index:-2516577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E836318"/>
    <w:multiLevelType w:val="hybridMultilevel"/>
    <w:tmpl w:val="D37E088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728A7"/>
    <w:multiLevelType w:val="hybridMultilevel"/>
    <w:tmpl w:val="B260BD34"/>
    <w:lvl w:ilvl="0" w:tplc="0416000F">
      <w:start w:val="1"/>
      <w:numFmt w:val="decimal"/>
      <w:lvlText w:val="%1."/>
      <w:lvlJc w:val="left"/>
      <w:pPr>
        <w:ind w:left="6456" w:hanging="360"/>
      </w:pPr>
    </w:lvl>
    <w:lvl w:ilvl="1" w:tplc="04160019" w:tentative="1">
      <w:start w:val="1"/>
      <w:numFmt w:val="lowerLetter"/>
      <w:lvlText w:val="%2."/>
      <w:lvlJc w:val="left"/>
      <w:pPr>
        <w:ind w:left="7176" w:hanging="360"/>
      </w:pPr>
    </w:lvl>
    <w:lvl w:ilvl="2" w:tplc="0416001B" w:tentative="1">
      <w:start w:val="1"/>
      <w:numFmt w:val="lowerRoman"/>
      <w:lvlText w:val="%3."/>
      <w:lvlJc w:val="right"/>
      <w:pPr>
        <w:ind w:left="7896" w:hanging="180"/>
      </w:pPr>
    </w:lvl>
    <w:lvl w:ilvl="3" w:tplc="0416000F" w:tentative="1">
      <w:start w:val="1"/>
      <w:numFmt w:val="decimal"/>
      <w:lvlText w:val="%4."/>
      <w:lvlJc w:val="left"/>
      <w:pPr>
        <w:ind w:left="8616" w:hanging="360"/>
      </w:pPr>
    </w:lvl>
    <w:lvl w:ilvl="4" w:tplc="04160019" w:tentative="1">
      <w:start w:val="1"/>
      <w:numFmt w:val="lowerLetter"/>
      <w:lvlText w:val="%5."/>
      <w:lvlJc w:val="left"/>
      <w:pPr>
        <w:ind w:left="9336" w:hanging="360"/>
      </w:pPr>
    </w:lvl>
    <w:lvl w:ilvl="5" w:tplc="0416001B" w:tentative="1">
      <w:start w:val="1"/>
      <w:numFmt w:val="lowerRoman"/>
      <w:lvlText w:val="%6."/>
      <w:lvlJc w:val="right"/>
      <w:pPr>
        <w:ind w:left="10056" w:hanging="180"/>
      </w:pPr>
    </w:lvl>
    <w:lvl w:ilvl="6" w:tplc="0416000F" w:tentative="1">
      <w:start w:val="1"/>
      <w:numFmt w:val="decimal"/>
      <w:lvlText w:val="%7."/>
      <w:lvlJc w:val="left"/>
      <w:pPr>
        <w:ind w:left="10776" w:hanging="360"/>
      </w:pPr>
    </w:lvl>
    <w:lvl w:ilvl="7" w:tplc="04160019" w:tentative="1">
      <w:start w:val="1"/>
      <w:numFmt w:val="lowerLetter"/>
      <w:lvlText w:val="%8."/>
      <w:lvlJc w:val="left"/>
      <w:pPr>
        <w:ind w:left="11496" w:hanging="360"/>
      </w:pPr>
    </w:lvl>
    <w:lvl w:ilvl="8" w:tplc="0416001B" w:tentative="1">
      <w:start w:val="1"/>
      <w:numFmt w:val="lowerRoman"/>
      <w:lvlText w:val="%9."/>
      <w:lvlJc w:val="right"/>
      <w:pPr>
        <w:ind w:left="12216"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xNDMzsTA1NjY3MDJX0lEKTi0uzszPAykwqgUA/rDFwCwAAAA="/>
  </w:docVars>
  <w:rsids>
    <w:rsidRoot w:val="00AA6219"/>
    <w:rsid w:val="00000F8F"/>
    <w:rsid w:val="0000600E"/>
    <w:rsid w:val="00025B4D"/>
    <w:rsid w:val="00030174"/>
    <w:rsid w:val="0004579C"/>
    <w:rsid w:val="000474D4"/>
    <w:rsid w:val="00050E38"/>
    <w:rsid w:val="00071517"/>
    <w:rsid w:val="00085D8E"/>
    <w:rsid w:val="000A36E9"/>
    <w:rsid w:val="000A47FA"/>
    <w:rsid w:val="000A65D3"/>
    <w:rsid w:val="000B1E33"/>
    <w:rsid w:val="000B5E14"/>
    <w:rsid w:val="000C494E"/>
    <w:rsid w:val="000D2277"/>
    <w:rsid w:val="000D689F"/>
    <w:rsid w:val="000E7B7B"/>
    <w:rsid w:val="000E7D62"/>
    <w:rsid w:val="000F2B30"/>
    <w:rsid w:val="000F4222"/>
    <w:rsid w:val="000F5E5C"/>
    <w:rsid w:val="00103357"/>
    <w:rsid w:val="00123C9F"/>
    <w:rsid w:val="00126190"/>
    <w:rsid w:val="00130F17"/>
    <w:rsid w:val="001320BF"/>
    <w:rsid w:val="0014468C"/>
    <w:rsid w:val="00163BC4"/>
    <w:rsid w:val="00164609"/>
    <w:rsid w:val="00173191"/>
    <w:rsid w:val="001804D5"/>
    <w:rsid w:val="001879B1"/>
    <w:rsid w:val="00191062"/>
    <w:rsid w:val="0019204C"/>
    <w:rsid w:val="00192B72"/>
    <w:rsid w:val="001A1F89"/>
    <w:rsid w:val="001A29D8"/>
    <w:rsid w:val="001A5CAA"/>
    <w:rsid w:val="001B0427"/>
    <w:rsid w:val="001C07C8"/>
    <w:rsid w:val="001C397F"/>
    <w:rsid w:val="001C56A4"/>
    <w:rsid w:val="001D26E1"/>
    <w:rsid w:val="001D3A51"/>
    <w:rsid w:val="001E10D2"/>
    <w:rsid w:val="001E25B4"/>
    <w:rsid w:val="001E44FE"/>
    <w:rsid w:val="001F632D"/>
    <w:rsid w:val="00200595"/>
    <w:rsid w:val="00203691"/>
    <w:rsid w:val="00204835"/>
    <w:rsid w:val="00231920"/>
    <w:rsid w:val="0023195C"/>
    <w:rsid w:val="0024031D"/>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37875"/>
    <w:rsid w:val="00347BAC"/>
    <w:rsid w:val="00350042"/>
    <w:rsid w:val="003512C2"/>
    <w:rsid w:val="00371FB6"/>
    <w:rsid w:val="00372AB8"/>
    <w:rsid w:val="003762AF"/>
    <w:rsid w:val="003763C1"/>
    <w:rsid w:val="00376BBE"/>
    <w:rsid w:val="00377CCF"/>
    <w:rsid w:val="003819B9"/>
    <w:rsid w:val="0038356A"/>
    <w:rsid w:val="00391CAE"/>
    <w:rsid w:val="0039224F"/>
    <w:rsid w:val="003A43A4"/>
    <w:rsid w:val="003A7E18"/>
    <w:rsid w:val="003B4021"/>
    <w:rsid w:val="003C4C86"/>
    <w:rsid w:val="003C6258"/>
    <w:rsid w:val="003E2904"/>
    <w:rsid w:val="003F5A3A"/>
    <w:rsid w:val="003F6D7B"/>
    <w:rsid w:val="00401927"/>
    <w:rsid w:val="0040361A"/>
    <w:rsid w:val="0041027F"/>
    <w:rsid w:val="00412475"/>
    <w:rsid w:val="00423789"/>
    <w:rsid w:val="00426374"/>
    <w:rsid w:val="00440F43"/>
    <w:rsid w:val="00441B6F"/>
    <w:rsid w:val="00446221"/>
    <w:rsid w:val="00447453"/>
    <w:rsid w:val="00450E62"/>
    <w:rsid w:val="004539DB"/>
    <w:rsid w:val="004628EA"/>
    <w:rsid w:val="004716A3"/>
    <w:rsid w:val="00471A80"/>
    <w:rsid w:val="004A6582"/>
    <w:rsid w:val="004B7607"/>
    <w:rsid w:val="004D305E"/>
    <w:rsid w:val="004D4277"/>
    <w:rsid w:val="004F3966"/>
    <w:rsid w:val="00502516"/>
    <w:rsid w:val="00505F06"/>
    <w:rsid w:val="00506828"/>
    <w:rsid w:val="00514096"/>
    <w:rsid w:val="00515D3C"/>
    <w:rsid w:val="0051686B"/>
    <w:rsid w:val="0053056E"/>
    <w:rsid w:val="00554FDA"/>
    <w:rsid w:val="005652CE"/>
    <w:rsid w:val="005B3C05"/>
    <w:rsid w:val="005C1B18"/>
    <w:rsid w:val="005C3F0A"/>
    <w:rsid w:val="005C784C"/>
    <w:rsid w:val="005D17F6"/>
    <w:rsid w:val="005D3A53"/>
    <w:rsid w:val="005E5539"/>
    <w:rsid w:val="005F55A0"/>
    <w:rsid w:val="00602BF5"/>
    <w:rsid w:val="0061691F"/>
    <w:rsid w:val="00617FDD"/>
    <w:rsid w:val="00623091"/>
    <w:rsid w:val="00633614"/>
    <w:rsid w:val="00633F68"/>
    <w:rsid w:val="00634E2E"/>
    <w:rsid w:val="00636EB2"/>
    <w:rsid w:val="006375B8"/>
    <w:rsid w:val="00651DC1"/>
    <w:rsid w:val="006522D4"/>
    <w:rsid w:val="0066510A"/>
    <w:rsid w:val="00665804"/>
    <w:rsid w:val="00673311"/>
    <w:rsid w:val="00673F9F"/>
    <w:rsid w:val="006751EC"/>
    <w:rsid w:val="006848CC"/>
    <w:rsid w:val="00686953"/>
    <w:rsid w:val="00687DEA"/>
    <w:rsid w:val="00687E67"/>
    <w:rsid w:val="006935A4"/>
    <w:rsid w:val="00694619"/>
    <w:rsid w:val="006967F7"/>
    <w:rsid w:val="006A250C"/>
    <w:rsid w:val="006B21D3"/>
    <w:rsid w:val="006B4946"/>
    <w:rsid w:val="006B57D0"/>
    <w:rsid w:val="006D30FF"/>
    <w:rsid w:val="006D6940"/>
    <w:rsid w:val="006F11EC"/>
    <w:rsid w:val="006F5F3A"/>
    <w:rsid w:val="0070082C"/>
    <w:rsid w:val="00706B56"/>
    <w:rsid w:val="00723975"/>
    <w:rsid w:val="007369E6"/>
    <w:rsid w:val="00737F94"/>
    <w:rsid w:val="00746E59"/>
    <w:rsid w:val="00754C9A"/>
    <w:rsid w:val="0075599A"/>
    <w:rsid w:val="00761D52"/>
    <w:rsid w:val="00762A31"/>
    <w:rsid w:val="007707A5"/>
    <w:rsid w:val="0077749E"/>
    <w:rsid w:val="00790ADA"/>
    <w:rsid w:val="00795A83"/>
    <w:rsid w:val="007A3B40"/>
    <w:rsid w:val="007A7023"/>
    <w:rsid w:val="007B4B49"/>
    <w:rsid w:val="007D2288"/>
    <w:rsid w:val="007E0160"/>
    <w:rsid w:val="007E088F"/>
    <w:rsid w:val="007F3051"/>
    <w:rsid w:val="007F507A"/>
    <w:rsid w:val="007F7B32"/>
    <w:rsid w:val="00804BC2"/>
    <w:rsid w:val="0081431A"/>
    <w:rsid w:val="00816353"/>
    <w:rsid w:val="00816630"/>
    <w:rsid w:val="0083216F"/>
    <w:rsid w:val="00857FF3"/>
    <w:rsid w:val="00860000"/>
    <w:rsid w:val="00863BD3"/>
    <w:rsid w:val="008641ED"/>
    <w:rsid w:val="00866D66"/>
    <w:rsid w:val="008671C6"/>
    <w:rsid w:val="0087053F"/>
    <w:rsid w:val="00875803"/>
    <w:rsid w:val="00876EA5"/>
    <w:rsid w:val="00886C03"/>
    <w:rsid w:val="00896DDF"/>
    <w:rsid w:val="008A2CC6"/>
    <w:rsid w:val="008A397F"/>
    <w:rsid w:val="008B2BAB"/>
    <w:rsid w:val="008B459E"/>
    <w:rsid w:val="008D4E8B"/>
    <w:rsid w:val="008E13AE"/>
    <w:rsid w:val="008E1506"/>
    <w:rsid w:val="008E710C"/>
    <w:rsid w:val="008F69D6"/>
    <w:rsid w:val="0090134C"/>
    <w:rsid w:val="00902823"/>
    <w:rsid w:val="00907F1C"/>
    <w:rsid w:val="00915CA6"/>
    <w:rsid w:val="009219AE"/>
    <w:rsid w:val="00927834"/>
    <w:rsid w:val="00927A7A"/>
    <w:rsid w:val="009500A6"/>
    <w:rsid w:val="009536AF"/>
    <w:rsid w:val="00957C18"/>
    <w:rsid w:val="00960DD6"/>
    <w:rsid w:val="009659BA"/>
    <w:rsid w:val="00983040"/>
    <w:rsid w:val="009B3FB9"/>
    <w:rsid w:val="009C2465"/>
    <w:rsid w:val="009D35A0"/>
    <w:rsid w:val="009D7EB7"/>
    <w:rsid w:val="009E048A"/>
    <w:rsid w:val="009E08E9"/>
    <w:rsid w:val="009E3DB9"/>
    <w:rsid w:val="009E6E35"/>
    <w:rsid w:val="009F000D"/>
    <w:rsid w:val="009F0EDA"/>
    <w:rsid w:val="009F102B"/>
    <w:rsid w:val="00A020B1"/>
    <w:rsid w:val="00A03B96"/>
    <w:rsid w:val="00A05B19"/>
    <w:rsid w:val="00A1134E"/>
    <w:rsid w:val="00A12B16"/>
    <w:rsid w:val="00A24E7E"/>
    <w:rsid w:val="00A258C3"/>
    <w:rsid w:val="00A347C0"/>
    <w:rsid w:val="00A34B38"/>
    <w:rsid w:val="00A51431"/>
    <w:rsid w:val="00A539AD"/>
    <w:rsid w:val="00A603C5"/>
    <w:rsid w:val="00A72154"/>
    <w:rsid w:val="00A75486"/>
    <w:rsid w:val="00A80C15"/>
    <w:rsid w:val="00A86376"/>
    <w:rsid w:val="00A94063"/>
    <w:rsid w:val="00AA6219"/>
    <w:rsid w:val="00AA6CA6"/>
    <w:rsid w:val="00AA74E0"/>
    <w:rsid w:val="00AB703F"/>
    <w:rsid w:val="00AB7C90"/>
    <w:rsid w:val="00AC6BB8"/>
    <w:rsid w:val="00AE008F"/>
    <w:rsid w:val="00B01FCD"/>
    <w:rsid w:val="00B121EF"/>
    <w:rsid w:val="00B1757C"/>
    <w:rsid w:val="00B1776C"/>
    <w:rsid w:val="00B223C8"/>
    <w:rsid w:val="00B255FC"/>
    <w:rsid w:val="00B2765E"/>
    <w:rsid w:val="00B34E2A"/>
    <w:rsid w:val="00B3514D"/>
    <w:rsid w:val="00B40245"/>
    <w:rsid w:val="00B44532"/>
    <w:rsid w:val="00B51365"/>
    <w:rsid w:val="00B52583"/>
    <w:rsid w:val="00B52896"/>
    <w:rsid w:val="00B75885"/>
    <w:rsid w:val="00B82004"/>
    <w:rsid w:val="00B95236"/>
    <w:rsid w:val="00B96769"/>
    <w:rsid w:val="00B96BD9"/>
    <w:rsid w:val="00B97145"/>
    <w:rsid w:val="00B9746C"/>
    <w:rsid w:val="00BA1B01"/>
    <w:rsid w:val="00BA2641"/>
    <w:rsid w:val="00BB27BC"/>
    <w:rsid w:val="00BB37AA"/>
    <w:rsid w:val="00BC4137"/>
    <w:rsid w:val="00BC53A0"/>
    <w:rsid w:val="00BD54E7"/>
    <w:rsid w:val="00BE15C8"/>
    <w:rsid w:val="00BE62AD"/>
    <w:rsid w:val="00BF121F"/>
    <w:rsid w:val="00BF1F80"/>
    <w:rsid w:val="00BF2F0D"/>
    <w:rsid w:val="00C0470D"/>
    <w:rsid w:val="00C166EF"/>
    <w:rsid w:val="00C17EB0"/>
    <w:rsid w:val="00C21E32"/>
    <w:rsid w:val="00C27F5F"/>
    <w:rsid w:val="00C30A0F"/>
    <w:rsid w:val="00C34A68"/>
    <w:rsid w:val="00C37E61"/>
    <w:rsid w:val="00C62D05"/>
    <w:rsid w:val="00C67686"/>
    <w:rsid w:val="00C70F1B"/>
    <w:rsid w:val="00C71A47"/>
    <w:rsid w:val="00C7464C"/>
    <w:rsid w:val="00C85588"/>
    <w:rsid w:val="00C87523"/>
    <w:rsid w:val="00CB1803"/>
    <w:rsid w:val="00CB7269"/>
    <w:rsid w:val="00CC5EAB"/>
    <w:rsid w:val="00CD6755"/>
    <w:rsid w:val="00CD6856"/>
    <w:rsid w:val="00CE0089"/>
    <w:rsid w:val="00CE793C"/>
    <w:rsid w:val="00CF193C"/>
    <w:rsid w:val="00D1335A"/>
    <w:rsid w:val="00D173F1"/>
    <w:rsid w:val="00D2734C"/>
    <w:rsid w:val="00D44F58"/>
    <w:rsid w:val="00D457A2"/>
    <w:rsid w:val="00D46859"/>
    <w:rsid w:val="00D50425"/>
    <w:rsid w:val="00D528C8"/>
    <w:rsid w:val="00D6340F"/>
    <w:rsid w:val="00D74CB0"/>
    <w:rsid w:val="00D8295D"/>
    <w:rsid w:val="00D92BA3"/>
    <w:rsid w:val="00DC2A65"/>
    <w:rsid w:val="00DD1056"/>
    <w:rsid w:val="00DE15F0"/>
    <w:rsid w:val="00DE5663"/>
    <w:rsid w:val="00DE78AA"/>
    <w:rsid w:val="00E053D0"/>
    <w:rsid w:val="00E15994"/>
    <w:rsid w:val="00E22FD8"/>
    <w:rsid w:val="00E3114E"/>
    <w:rsid w:val="00E31A70"/>
    <w:rsid w:val="00E35B02"/>
    <w:rsid w:val="00E50A51"/>
    <w:rsid w:val="00E54641"/>
    <w:rsid w:val="00E66496"/>
    <w:rsid w:val="00E66B35"/>
    <w:rsid w:val="00E66E10"/>
    <w:rsid w:val="00E769F6"/>
    <w:rsid w:val="00E8407C"/>
    <w:rsid w:val="00E84F3C"/>
    <w:rsid w:val="00EA012C"/>
    <w:rsid w:val="00EC0D56"/>
    <w:rsid w:val="00EC6A55"/>
    <w:rsid w:val="00EC7B1F"/>
    <w:rsid w:val="00ED0288"/>
    <w:rsid w:val="00EE52CB"/>
    <w:rsid w:val="00EF581D"/>
    <w:rsid w:val="00EF7FD8"/>
    <w:rsid w:val="00F06F59"/>
    <w:rsid w:val="00F139A8"/>
    <w:rsid w:val="00F17988"/>
    <w:rsid w:val="00F33AF4"/>
    <w:rsid w:val="00F36198"/>
    <w:rsid w:val="00F469F0"/>
    <w:rsid w:val="00F53273"/>
    <w:rsid w:val="00F629D2"/>
    <w:rsid w:val="00F6311B"/>
    <w:rsid w:val="00F755E4"/>
    <w:rsid w:val="00F77D02"/>
    <w:rsid w:val="00FB3A86"/>
    <w:rsid w:val="00FB5D4D"/>
    <w:rsid w:val="00FC291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AFB44F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en"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3B4021"/>
    <w:rPr>
      <w:b/>
      <w:bCs/>
    </w:rPr>
  </w:style>
  <w:style w:type="paragraph" w:styleId="ListParagraph">
    <w:name w:val="List Paragraph"/>
    <w:basedOn w:val="Normal"/>
    <w:uiPriority w:val="34"/>
    <w:qFormat/>
    <w:rsid w:val="003F6D7B"/>
    <w:pPr>
      <w:ind w:left="720"/>
      <w:contextualSpacing/>
    </w:pPr>
  </w:style>
  <w:style w:type="paragraph" w:styleId="NormalWeb">
    <w:name w:val="Normal (Web)"/>
    <w:basedOn w:val="Normal"/>
    <w:uiPriority w:val="99"/>
    <w:semiHidden/>
    <w:unhideWhenUsed/>
    <w:rsid w:val="00816353"/>
    <w:pPr>
      <w:spacing w:before="100" w:beforeAutospacing="1" w:after="100" w:afterAutospacing="1"/>
    </w:pPr>
    <w:rPr>
      <w:rFonts w:ascii="Times New Roman" w:hAnsi="Times New Roman"/>
      <w:sz w:val="24"/>
      <w:szCs w:val="24"/>
      <w:lang w:eastAsia="pt-BR"/>
    </w:rPr>
  </w:style>
  <w:style w:type="paragraph" w:styleId="CommentSubject">
    <w:name w:val="annotation subject"/>
    <w:basedOn w:val="CommentText"/>
    <w:next w:val="CommentText"/>
    <w:link w:val="CommentSubjectChar"/>
    <w:semiHidden/>
    <w:unhideWhenUsed/>
    <w:rsid w:val="0019204C"/>
    <w:rPr>
      <w:rFonts w:ascii="Helvetica" w:hAnsi="Helvetica"/>
      <w:b/>
      <w:bCs/>
      <w:lang w:eastAsia="en-US"/>
    </w:rPr>
  </w:style>
  <w:style w:type="character" w:customStyle="1" w:styleId="CommentSubjectChar">
    <w:name w:val="Comment Subject Char"/>
    <w:basedOn w:val="CommentTextChar"/>
    <w:link w:val="CommentSubject"/>
    <w:semiHidden/>
    <w:rsid w:val="0019204C"/>
    <w:rPr>
      <w:rFonts w:ascii="Helvetica" w:hAnsi="Helvetica"/>
      <w:b/>
      <w:bCs/>
      <w:lang w:val="en" w:eastAsia="nb-NO"/>
    </w:rPr>
  </w:style>
  <w:style w:type="paragraph" w:styleId="Revision">
    <w:name w:val="Revision"/>
    <w:hidden/>
    <w:uiPriority w:val="99"/>
    <w:semiHidden/>
    <w:rsid w:val="00A80C15"/>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7073876">
      <w:bodyDiv w:val="1"/>
      <w:marLeft w:val="0"/>
      <w:marRight w:val="0"/>
      <w:marTop w:val="0"/>
      <w:marBottom w:val="0"/>
      <w:divBdr>
        <w:top w:val="none" w:sz="0" w:space="0" w:color="auto"/>
        <w:left w:val="none" w:sz="0" w:space="0" w:color="auto"/>
        <w:bottom w:val="none" w:sz="0" w:space="0" w:color="auto"/>
        <w:right w:val="none" w:sz="0" w:space="0" w:color="auto"/>
      </w:divBdr>
    </w:div>
    <w:div w:id="75370325">
      <w:bodyDiv w:val="1"/>
      <w:marLeft w:val="0"/>
      <w:marRight w:val="0"/>
      <w:marTop w:val="0"/>
      <w:marBottom w:val="0"/>
      <w:divBdr>
        <w:top w:val="none" w:sz="0" w:space="0" w:color="auto"/>
        <w:left w:val="none" w:sz="0" w:space="0" w:color="auto"/>
        <w:bottom w:val="none" w:sz="0" w:space="0" w:color="auto"/>
        <w:right w:val="none" w:sz="0" w:space="0" w:color="auto"/>
      </w:divBdr>
    </w:div>
    <w:div w:id="9308827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7911919">
      <w:bodyDiv w:val="1"/>
      <w:marLeft w:val="0"/>
      <w:marRight w:val="0"/>
      <w:marTop w:val="0"/>
      <w:marBottom w:val="0"/>
      <w:divBdr>
        <w:top w:val="none" w:sz="0" w:space="0" w:color="auto"/>
        <w:left w:val="none" w:sz="0" w:space="0" w:color="auto"/>
        <w:bottom w:val="none" w:sz="0" w:space="0" w:color="auto"/>
        <w:right w:val="none" w:sz="0" w:space="0" w:color="auto"/>
      </w:divBdr>
      <w:divsChild>
        <w:div w:id="2101221088">
          <w:marLeft w:val="0"/>
          <w:marRight w:val="0"/>
          <w:marTop w:val="0"/>
          <w:marBottom w:val="0"/>
          <w:divBdr>
            <w:top w:val="none" w:sz="0" w:space="0" w:color="auto"/>
            <w:left w:val="none" w:sz="0" w:space="0" w:color="auto"/>
            <w:bottom w:val="none" w:sz="0" w:space="0" w:color="auto"/>
            <w:right w:val="none" w:sz="0" w:space="0" w:color="auto"/>
          </w:divBdr>
          <w:divsChild>
            <w:div w:id="1065107504">
              <w:marLeft w:val="0"/>
              <w:marRight w:val="0"/>
              <w:marTop w:val="0"/>
              <w:marBottom w:val="0"/>
              <w:divBdr>
                <w:top w:val="none" w:sz="0" w:space="0" w:color="auto"/>
                <w:left w:val="none" w:sz="0" w:space="0" w:color="auto"/>
                <w:bottom w:val="none" w:sz="0" w:space="0" w:color="auto"/>
                <w:right w:val="none" w:sz="0" w:space="0" w:color="auto"/>
              </w:divBdr>
              <w:divsChild>
                <w:div w:id="1638949806">
                  <w:marLeft w:val="0"/>
                  <w:marRight w:val="0"/>
                  <w:marTop w:val="0"/>
                  <w:marBottom w:val="0"/>
                  <w:divBdr>
                    <w:top w:val="none" w:sz="0" w:space="0" w:color="auto"/>
                    <w:left w:val="none" w:sz="0" w:space="0" w:color="auto"/>
                    <w:bottom w:val="none" w:sz="0" w:space="0" w:color="auto"/>
                    <w:right w:val="none" w:sz="0" w:space="0" w:color="auto"/>
                  </w:divBdr>
                  <w:divsChild>
                    <w:div w:id="601648071">
                      <w:marLeft w:val="0"/>
                      <w:marRight w:val="0"/>
                      <w:marTop w:val="0"/>
                      <w:marBottom w:val="0"/>
                      <w:divBdr>
                        <w:top w:val="none" w:sz="0" w:space="0" w:color="auto"/>
                        <w:left w:val="none" w:sz="0" w:space="0" w:color="auto"/>
                        <w:bottom w:val="none" w:sz="0" w:space="0" w:color="auto"/>
                        <w:right w:val="none" w:sz="0" w:space="0" w:color="auto"/>
                      </w:divBdr>
                      <w:divsChild>
                        <w:div w:id="1775401713">
                          <w:marLeft w:val="0"/>
                          <w:marRight w:val="0"/>
                          <w:marTop w:val="0"/>
                          <w:marBottom w:val="0"/>
                          <w:divBdr>
                            <w:top w:val="none" w:sz="0" w:space="0" w:color="auto"/>
                            <w:left w:val="none" w:sz="0" w:space="0" w:color="auto"/>
                            <w:bottom w:val="none" w:sz="0" w:space="0" w:color="auto"/>
                            <w:right w:val="none" w:sz="0" w:space="0" w:color="auto"/>
                          </w:divBdr>
                          <w:divsChild>
                            <w:div w:id="1240556053">
                              <w:marLeft w:val="0"/>
                              <w:marRight w:val="0"/>
                              <w:marTop w:val="0"/>
                              <w:marBottom w:val="0"/>
                              <w:divBdr>
                                <w:top w:val="none" w:sz="0" w:space="0" w:color="auto"/>
                                <w:left w:val="none" w:sz="0" w:space="0" w:color="auto"/>
                                <w:bottom w:val="none" w:sz="0" w:space="0" w:color="auto"/>
                                <w:right w:val="none" w:sz="0" w:space="0" w:color="auto"/>
                              </w:divBdr>
                              <w:divsChild>
                                <w:div w:id="882523352">
                                  <w:marLeft w:val="0"/>
                                  <w:marRight w:val="0"/>
                                  <w:marTop w:val="0"/>
                                  <w:marBottom w:val="0"/>
                                  <w:divBdr>
                                    <w:top w:val="none" w:sz="0" w:space="0" w:color="auto"/>
                                    <w:left w:val="none" w:sz="0" w:space="0" w:color="auto"/>
                                    <w:bottom w:val="none" w:sz="0" w:space="0" w:color="auto"/>
                                    <w:right w:val="none" w:sz="0" w:space="0" w:color="auto"/>
                                  </w:divBdr>
                                  <w:divsChild>
                                    <w:div w:id="14115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240004">
      <w:bodyDiv w:val="1"/>
      <w:marLeft w:val="0"/>
      <w:marRight w:val="0"/>
      <w:marTop w:val="0"/>
      <w:marBottom w:val="0"/>
      <w:divBdr>
        <w:top w:val="none" w:sz="0" w:space="0" w:color="auto"/>
        <w:left w:val="none" w:sz="0" w:space="0" w:color="auto"/>
        <w:bottom w:val="none" w:sz="0" w:space="0" w:color="auto"/>
        <w:right w:val="none" w:sz="0" w:space="0" w:color="auto"/>
      </w:divBdr>
    </w:div>
    <w:div w:id="303244478">
      <w:bodyDiv w:val="1"/>
      <w:marLeft w:val="0"/>
      <w:marRight w:val="0"/>
      <w:marTop w:val="0"/>
      <w:marBottom w:val="0"/>
      <w:divBdr>
        <w:top w:val="none" w:sz="0" w:space="0" w:color="auto"/>
        <w:left w:val="none" w:sz="0" w:space="0" w:color="auto"/>
        <w:bottom w:val="none" w:sz="0" w:space="0" w:color="auto"/>
        <w:right w:val="none" w:sz="0" w:space="0" w:color="auto"/>
      </w:divBdr>
    </w:div>
    <w:div w:id="324937225">
      <w:bodyDiv w:val="1"/>
      <w:marLeft w:val="0"/>
      <w:marRight w:val="0"/>
      <w:marTop w:val="0"/>
      <w:marBottom w:val="0"/>
      <w:divBdr>
        <w:top w:val="none" w:sz="0" w:space="0" w:color="auto"/>
        <w:left w:val="none" w:sz="0" w:space="0" w:color="auto"/>
        <w:bottom w:val="none" w:sz="0" w:space="0" w:color="auto"/>
        <w:right w:val="none" w:sz="0" w:space="0" w:color="auto"/>
      </w:divBdr>
    </w:div>
    <w:div w:id="431783440">
      <w:bodyDiv w:val="1"/>
      <w:marLeft w:val="0"/>
      <w:marRight w:val="0"/>
      <w:marTop w:val="0"/>
      <w:marBottom w:val="0"/>
      <w:divBdr>
        <w:top w:val="none" w:sz="0" w:space="0" w:color="auto"/>
        <w:left w:val="none" w:sz="0" w:space="0" w:color="auto"/>
        <w:bottom w:val="none" w:sz="0" w:space="0" w:color="auto"/>
        <w:right w:val="none" w:sz="0" w:space="0" w:color="auto"/>
      </w:divBdr>
    </w:div>
    <w:div w:id="447237535">
      <w:bodyDiv w:val="1"/>
      <w:marLeft w:val="0"/>
      <w:marRight w:val="0"/>
      <w:marTop w:val="0"/>
      <w:marBottom w:val="0"/>
      <w:divBdr>
        <w:top w:val="none" w:sz="0" w:space="0" w:color="auto"/>
        <w:left w:val="none" w:sz="0" w:space="0" w:color="auto"/>
        <w:bottom w:val="none" w:sz="0" w:space="0" w:color="auto"/>
        <w:right w:val="none" w:sz="0" w:space="0" w:color="auto"/>
      </w:divBdr>
    </w:div>
    <w:div w:id="486016142">
      <w:bodyDiv w:val="1"/>
      <w:marLeft w:val="0"/>
      <w:marRight w:val="0"/>
      <w:marTop w:val="0"/>
      <w:marBottom w:val="0"/>
      <w:divBdr>
        <w:top w:val="none" w:sz="0" w:space="0" w:color="auto"/>
        <w:left w:val="none" w:sz="0" w:space="0" w:color="auto"/>
        <w:bottom w:val="none" w:sz="0" w:space="0" w:color="auto"/>
        <w:right w:val="none" w:sz="0" w:space="0" w:color="auto"/>
      </w:divBdr>
    </w:div>
    <w:div w:id="487675865">
      <w:bodyDiv w:val="1"/>
      <w:marLeft w:val="0"/>
      <w:marRight w:val="0"/>
      <w:marTop w:val="0"/>
      <w:marBottom w:val="0"/>
      <w:divBdr>
        <w:top w:val="none" w:sz="0" w:space="0" w:color="auto"/>
        <w:left w:val="none" w:sz="0" w:space="0" w:color="auto"/>
        <w:bottom w:val="none" w:sz="0" w:space="0" w:color="auto"/>
        <w:right w:val="none" w:sz="0" w:space="0" w:color="auto"/>
      </w:divBdr>
    </w:div>
    <w:div w:id="58943511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8820748">
      <w:bodyDiv w:val="1"/>
      <w:marLeft w:val="0"/>
      <w:marRight w:val="0"/>
      <w:marTop w:val="0"/>
      <w:marBottom w:val="0"/>
      <w:divBdr>
        <w:top w:val="none" w:sz="0" w:space="0" w:color="auto"/>
        <w:left w:val="none" w:sz="0" w:space="0" w:color="auto"/>
        <w:bottom w:val="none" w:sz="0" w:space="0" w:color="auto"/>
        <w:right w:val="none" w:sz="0" w:space="0" w:color="auto"/>
      </w:divBdr>
    </w:div>
    <w:div w:id="745035102">
      <w:bodyDiv w:val="1"/>
      <w:marLeft w:val="0"/>
      <w:marRight w:val="0"/>
      <w:marTop w:val="0"/>
      <w:marBottom w:val="0"/>
      <w:divBdr>
        <w:top w:val="none" w:sz="0" w:space="0" w:color="auto"/>
        <w:left w:val="none" w:sz="0" w:space="0" w:color="auto"/>
        <w:bottom w:val="none" w:sz="0" w:space="0" w:color="auto"/>
        <w:right w:val="none" w:sz="0" w:space="0" w:color="auto"/>
      </w:divBdr>
    </w:div>
    <w:div w:id="819007265">
      <w:bodyDiv w:val="1"/>
      <w:marLeft w:val="0"/>
      <w:marRight w:val="0"/>
      <w:marTop w:val="0"/>
      <w:marBottom w:val="0"/>
      <w:divBdr>
        <w:top w:val="none" w:sz="0" w:space="0" w:color="auto"/>
        <w:left w:val="none" w:sz="0" w:space="0" w:color="auto"/>
        <w:bottom w:val="none" w:sz="0" w:space="0" w:color="auto"/>
        <w:right w:val="none" w:sz="0" w:space="0" w:color="auto"/>
      </w:divBdr>
    </w:div>
    <w:div w:id="825826491">
      <w:bodyDiv w:val="1"/>
      <w:marLeft w:val="0"/>
      <w:marRight w:val="0"/>
      <w:marTop w:val="0"/>
      <w:marBottom w:val="0"/>
      <w:divBdr>
        <w:top w:val="none" w:sz="0" w:space="0" w:color="auto"/>
        <w:left w:val="none" w:sz="0" w:space="0" w:color="auto"/>
        <w:bottom w:val="none" w:sz="0" w:space="0" w:color="auto"/>
        <w:right w:val="none" w:sz="0" w:space="0" w:color="auto"/>
      </w:divBdr>
    </w:div>
    <w:div w:id="862982290">
      <w:bodyDiv w:val="1"/>
      <w:marLeft w:val="0"/>
      <w:marRight w:val="0"/>
      <w:marTop w:val="0"/>
      <w:marBottom w:val="0"/>
      <w:divBdr>
        <w:top w:val="none" w:sz="0" w:space="0" w:color="auto"/>
        <w:left w:val="none" w:sz="0" w:space="0" w:color="auto"/>
        <w:bottom w:val="none" w:sz="0" w:space="0" w:color="auto"/>
        <w:right w:val="none" w:sz="0" w:space="0" w:color="auto"/>
      </w:divBdr>
    </w:div>
    <w:div w:id="96354006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287135">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020371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149019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82425138">
      <w:bodyDiv w:val="1"/>
      <w:marLeft w:val="0"/>
      <w:marRight w:val="0"/>
      <w:marTop w:val="0"/>
      <w:marBottom w:val="0"/>
      <w:divBdr>
        <w:top w:val="none" w:sz="0" w:space="0" w:color="auto"/>
        <w:left w:val="none" w:sz="0" w:space="0" w:color="auto"/>
        <w:bottom w:val="none" w:sz="0" w:space="0" w:color="auto"/>
        <w:right w:val="none" w:sz="0" w:space="0" w:color="auto"/>
      </w:divBdr>
    </w:div>
    <w:div w:id="1626500186">
      <w:bodyDiv w:val="1"/>
      <w:marLeft w:val="0"/>
      <w:marRight w:val="0"/>
      <w:marTop w:val="0"/>
      <w:marBottom w:val="0"/>
      <w:divBdr>
        <w:top w:val="none" w:sz="0" w:space="0" w:color="auto"/>
        <w:left w:val="none" w:sz="0" w:space="0" w:color="auto"/>
        <w:bottom w:val="none" w:sz="0" w:space="0" w:color="auto"/>
        <w:right w:val="none" w:sz="0" w:space="0" w:color="auto"/>
      </w:divBdr>
    </w:div>
    <w:div w:id="167618053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8895593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7031045">
      <w:bodyDiv w:val="1"/>
      <w:marLeft w:val="0"/>
      <w:marRight w:val="0"/>
      <w:marTop w:val="0"/>
      <w:marBottom w:val="0"/>
      <w:divBdr>
        <w:top w:val="none" w:sz="0" w:space="0" w:color="auto"/>
        <w:left w:val="none" w:sz="0" w:space="0" w:color="auto"/>
        <w:bottom w:val="none" w:sz="0" w:space="0" w:color="auto"/>
        <w:right w:val="none" w:sz="0" w:space="0" w:color="auto"/>
      </w:divBdr>
    </w:div>
    <w:div w:id="2033413745">
      <w:bodyDiv w:val="1"/>
      <w:marLeft w:val="0"/>
      <w:marRight w:val="0"/>
      <w:marTop w:val="0"/>
      <w:marBottom w:val="0"/>
      <w:divBdr>
        <w:top w:val="none" w:sz="0" w:space="0" w:color="auto"/>
        <w:left w:val="none" w:sz="0" w:space="0" w:color="auto"/>
        <w:bottom w:val="none" w:sz="0" w:space="0" w:color="auto"/>
        <w:right w:val="none" w:sz="0" w:space="0" w:color="auto"/>
      </w:divBdr>
    </w:div>
    <w:div w:id="20478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9C038-3C16-418D-B561-2857CB63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218</TotalTime>
  <Pages>7</Pages>
  <Words>2169</Words>
  <Characters>12367</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14507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71</cp:revision>
  <cp:lastPrinted>1999-07-06T11:00:00Z</cp:lastPrinted>
  <dcterms:created xsi:type="dcterms:W3CDTF">2025-06-02T19:09:00Z</dcterms:created>
  <dcterms:modified xsi:type="dcterms:W3CDTF">2025-06-05T07:33:00Z</dcterms:modified>
</cp:coreProperties>
</file>