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66CE9" w14:textId="401B0733" w:rsidR="00107067" w:rsidRDefault="00107067" w:rsidP="00107067">
      <w:pPr>
        <w:spacing w:after="0" w:line="240" w:lineRule="auto"/>
        <w:jc w:val="center"/>
        <w:rPr>
          <w:rFonts w:ascii="Times New Roman" w:hAnsi="Times New Roman" w:cs="Times New Roman"/>
          <w:b/>
          <w:sz w:val="24"/>
          <w:szCs w:val="24"/>
        </w:rPr>
      </w:pPr>
      <w:r w:rsidRPr="00E552A1">
        <w:rPr>
          <w:rFonts w:ascii="Times New Roman" w:hAnsi="Times New Roman" w:cs="Times New Roman"/>
          <w:b/>
          <w:sz w:val="24"/>
          <w:szCs w:val="24"/>
        </w:rPr>
        <w:t xml:space="preserve">Awareness and Adoption of UPI Facilities </w:t>
      </w:r>
      <w:r w:rsidR="00CE6130" w:rsidRPr="00E552A1">
        <w:rPr>
          <w:rFonts w:ascii="Times New Roman" w:hAnsi="Times New Roman" w:cs="Times New Roman"/>
          <w:b/>
          <w:sz w:val="24"/>
          <w:szCs w:val="24"/>
        </w:rPr>
        <w:t>among</w:t>
      </w:r>
      <w:r w:rsidRPr="00E552A1">
        <w:rPr>
          <w:rFonts w:ascii="Times New Roman" w:hAnsi="Times New Roman" w:cs="Times New Roman"/>
          <w:b/>
          <w:sz w:val="24"/>
          <w:szCs w:val="24"/>
        </w:rPr>
        <w:t xml:space="preserve"> Working-Class Women in </w:t>
      </w:r>
      <w:r w:rsidR="00CE6130" w:rsidRPr="00E552A1">
        <w:rPr>
          <w:rFonts w:ascii="Times New Roman" w:hAnsi="Times New Roman" w:cs="Times New Roman"/>
          <w:b/>
          <w:sz w:val="24"/>
          <w:szCs w:val="24"/>
        </w:rPr>
        <w:t>An</w:t>
      </w:r>
      <w:r w:rsidRPr="00E552A1">
        <w:rPr>
          <w:rFonts w:ascii="Times New Roman" w:hAnsi="Times New Roman" w:cs="Times New Roman"/>
          <w:b/>
          <w:sz w:val="24"/>
          <w:szCs w:val="24"/>
        </w:rPr>
        <w:t xml:space="preserve"> Academic Institution</w:t>
      </w:r>
      <w:r w:rsidR="005D487C">
        <w:rPr>
          <w:rFonts w:ascii="Times New Roman" w:hAnsi="Times New Roman" w:cs="Times New Roman"/>
          <w:b/>
          <w:sz w:val="24"/>
          <w:szCs w:val="24"/>
        </w:rPr>
        <w:t>- A Study with Special reference to Assam Agricultural University, Jorhat</w:t>
      </w:r>
    </w:p>
    <w:p w14:paraId="4BF3CC44" w14:textId="77777777" w:rsidR="002C5FC8" w:rsidRPr="00E552A1" w:rsidRDefault="002C5FC8" w:rsidP="00107067">
      <w:pPr>
        <w:spacing w:after="0" w:line="240" w:lineRule="auto"/>
        <w:jc w:val="center"/>
        <w:rPr>
          <w:b/>
        </w:rPr>
      </w:pPr>
    </w:p>
    <w:p w14:paraId="27FCE7AF" w14:textId="77777777" w:rsidR="00107067" w:rsidRDefault="00107067" w:rsidP="00107067">
      <w:pPr>
        <w:spacing w:after="0" w:line="240" w:lineRule="auto"/>
        <w:jc w:val="both"/>
      </w:pPr>
    </w:p>
    <w:p w14:paraId="62FFF5C5" w14:textId="77777777" w:rsidR="002F0C61" w:rsidRDefault="002F0C61" w:rsidP="002F0C61">
      <w:pPr>
        <w:spacing w:before="100" w:beforeAutospacing="1" w:after="100" w:afterAutospacing="1" w:line="240" w:lineRule="auto"/>
        <w:jc w:val="both"/>
        <w:rPr>
          <w:rFonts w:ascii="Times New Roman" w:eastAsia="Times New Roman" w:hAnsi="Times New Roman" w:cs="Times New Roman"/>
          <w:b/>
          <w:bCs/>
          <w:sz w:val="24"/>
          <w:szCs w:val="24"/>
        </w:rPr>
      </w:pPr>
      <w:r w:rsidRPr="00E552A1">
        <w:rPr>
          <w:rFonts w:ascii="Times New Roman" w:eastAsia="Times New Roman" w:hAnsi="Times New Roman" w:cs="Times New Roman"/>
          <w:b/>
          <w:bCs/>
          <w:sz w:val="24"/>
          <w:szCs w:val="24"/>
        </w:rPr>
        <w:t>Abstract</w:t>
      </w:r>
    </w:p>
    <w:p w14:paraId="51C8652C" w14:textId="634428DA" w:rsidR="00D8428C" w:rsidRDefault="00D8428C" w:rsidP="009E49B7">
      <w:pPr>
        <w:pStyle w:val="NormalWeb"/>
        <w:jc w:val="both"/>
      </w:pPr>
      <w:r w:rsidRPr="008D65A0">
        <w:t>The rapid growth of digital payment systems in India has reshaped the financial ecosystem, with the Unified Payments Interface (UPI) playing a key role in enabling fast, secure, and cashless transactions. UPI allows users to transfer money instantly using mobile phones, contributing significantly to financial inclusion, especially in underserved areas. Despite its widespread adoption, gaps remain in awareness and usage, particularly among specific demographic groups. This study examines the awareness, usage patterns, and perceptions of UPI services among working-class women at Assam Agricultural University, Jorhat. A random sample of 50 respondents was surveyed using a structured questionnaire, and the data were analyzed using descriptive statistics, t-tests, and Garret ranking techniques. Although most respondents owned Android smartphones and held savings accounts, only 42 per cent had installed banking apps. Awareness of mobile banking was reported by 56 per cent, and online security concerns were prevalent 49 per cent were aware of internet fraud, while 5 per cent had experienced financial loss due to cybercrime. UPI was mainly used for small transactions like mobile recharges, grocery shopping, and DTH payments, with limited use for higher-value payments such as utility bills or rent. Interestingly, educational level showed no significant impact on UPI adoption. The findings underscore the need for targeted digital literacy initiatives, simplified user interfaces, and stronger cyber security awareness. In conclusion, while UPI has revolutionized its effective use among working-class women requires focused efforts to build trust, enhance accessibility, and promote financial empowerment through inclusive digital practices.</w:t>
      </w:r>
    </w:p>
    <w:p w14:paraId="7CA03B01" w14:textId="77777777" w:rsidR="007A1A8D" w:rsidRPr="00EE363D" w:rsidRDefault="007A1A8D" w:rsidP="009E49B7">
      <w:pPr>
        <w:pStyle w:val="NormalWeb"/>
        <w:jc w:val="both"/>
      </w:pPr>
    </w:p>
    <w:p w14:paraId="4195C5E7" w14:textId="77777777" w:rsidR="00931E50" w:rsidRPr="009B0F72" w:rsidRDefault="00931E50" w:rsidP="00931E50">
      <w:pPr>
        <w:jc w:val="both"/>
        <w:rPr>
          <w:rFonts w:ascii="Times New Roman" w:hAnsi="Times New Roman" w:cs="Times New Roman"/>
          <w:b/>
          <w:sz w:val="24"/>
          <w:szCs w:val="24"/>
        </w:rPr>
      </w:pPr>
      <w:r w:rsidRPr="009B0F72">
        <w:rPr>
          <w:rFonts w:ascii="Times New Roman" w:hAnsi="Times New Roman" w:cs="Times New Roman"/>
          <w:b/>
          <w:sz w:val="24"/>
          <w:szCs w:val="24"/>
        </w:rPr>
        <w:t>Key Words</w:t>
      </w:r>
    </w:p>
    <w:p w14:paraId="29D5FD38" w14:textId="77777777" w:rsidR="00931E50" w:rsidRPr="007A1A8D" w:rsidRDefault="00931E50" w:rsidP="00931E50">
      <w:pPr>
        <w:jc w:val="both"/>
        <w:rPr>
          <w:rFonts w:ascii="Times New Roman" w:hAnsi="Times New Roman" w:cs="Times New Roman"/>
          <w:i/>
          <w:iCs/>
          <w:sz w:val="24"/>
          <w:szCs w:val="24"/>
        </w:rPr>
      </w:pPr>
      <w:r w:rsidRPr="007A1A8D">
        <w:rPr>
          <w:rFonts w:ascii="Times New Roman" w:hAnsi="Times New Roman" w:cs="Times New Roman"/>
          <w:i/>
          <w:iCs/>
          <w:sz w:val="24"/>
          <w:szCs w:val="24"/>
        </w:rPr>
        <w:t>Digital Payments, Unified Payment Interface (UPI), Financial Inclusion, Working Women, Digital Literacy, Mobile Banking</w:t>
      </w:r>
    </w:p>
    <w:p w14:paraId="11602011" w14:textId="77777777" w:rsidR="00931E50" w:rsidRPr="00F94228" w:rsidRDefault="00931E50" w:rsidP="00931E50">
      <w:pPr>
        <w:spacing w:line="360" w:lineRule="auto"/>
        <w:jc w:val="both"/>
        <w:rPr>
          <w:rFonts w:ascii="Times New Roman" w:hAnsi="Times New Roman" w:cs="Times New Roman"/>
          <w:b/>
          <w:sz w:val="24"/>
          <w:szCs w:val="24"/>
          <w:lang w:val="en-GB"/>
        </w:rPr>
      </w:pPr>
      <w:r w:rsidRPr="00F94228">
        <w:rPr>
          <w:rFonts w:ascii="Times New Roman" w:hAnsi="Times New Roman" w:cs="Times New Roman"/>
          <w:b/>
          <w:sz w:val="24"/>
          <w:szCs w:val="24"/>
          <w:lang w:val="en-GB"/>
        </w:rPr>
        <w:t>Introduction</w:t>
      </w:r>
    </w:p>
    <w:p w14:paraId="3BB9E323" w14:textId="77777777" w:rsidR="008D65A0" w:rsidRPr="00CD60A8" w:rsidRDefault="008D65A0" w:rsidP="008D65A0">
      <w:pPr>
        <w:spacing w:line="360" w:lineRule="auto"/>
        <w:jc w:val="both"/>
        <w:rPr>
          <w:rFonts w:ascii="Times New Roman" w:hAnsi="Times New Roman" w:cs="Times New Roman"/>
          <w:sz w:val="24"/>
          <w:szCs w:val="24"/>
          <w:lang w:val="en-GB"/>
        </w:rPr>
      </w:pPr>
      <w:r w:rsidRPr="00117F9A">
        <w:rPr>
          <w:rFonts w:ascii="Times New Roman" w:hAnsi="Times New Roman" w:cs="Times New Roman"/>
          <w:sz w:val="24"/>
          <w:szCs w:val="24"/>
        </w:rPr>
        <w:t>As of March 2022, India's Currency in Circulation (CIC) reached ₹31.33 lakh crore, accounting for 13.7% of its GDP, up from ₹13 lakh crore in 2014. This indicates a substantial rise in cash usage over the years.</w:t>
      </w:r>
      <w:r w:rsidRPr="00CD60A8">
        <w:rPr>
          <w:rFonts w:ascii="Times New Roman" w:hAnsi="Times New Roman" w:cs="Times New Roman"/>
          <w:sz w:val="24"/>
          <w:szCs w:val="24"/>
        </w:rPr>
        <w:t xml:space="preserve"> </w:t>
      </w:r>
      <w:r w:rsidRPr="00117F9A">
        <w:rPr>
          <w:rFonts w:ascii="Times New Roman" w:hAnsi="Times New Roman" w:cs="Times New Roman"/>
          <w:sz w:val="24"/>
          <w:szCs w:val="24"/>
        </w:rPr>
        <w:t>A high dependency on cash brings with it several challenges, such as production and storage costs, risks associated with counterfeit currency, and, most importantly, the lack of a digital transaction trail</w:t>
      </w:r>
      <w:r w:rsidRPr="00CD60A8">
        <w:rPr>
          <w:rFonts w:ascii="Times New Roman" w:hAnsi="Times New Roman" w:cs="Times New Roman"/>
          <w:sz w:val="24"/>
          <w:szCs w:val="24"/>
        </w:rPr>
        <w:t xml:space="preserve">, </w:t>
      </w:r>
      <w:r w:rsidRPr="00117F9A">
        <w:rPr>
          <w:rFonts w:ascii="Times New Roman" w:hAnsi="Times New Roman" w:cs="Times New Roman"/>
          <w:sz w:val="24"/>
          <w:szCs w:val="24"/>
        </w:rPr>
        <w:t>contributing to tax evasion. These issues are expected to be further magnified as the economy continues to grow</w:t>
      </w:r>
      <w:r w:rsidRPr="00CD60A8">
        <w:rPr>
          <w:rFonts w:ascii="Times New Roman" w:hAnsi="Times New Roman" w:cs="Times New Roman"/>
          <w:sz w:val="24"/>
          <w:szCs w:val="24"/>
        </w:rPr>
        <w:t xml:space="preserve"> </w:t>
      </w:r>
      <w:r w:rsidRPr="00CD60A8">
        <w:rPr>
          <w:rFonts w:ascii="Times New Roman" w:hAnsi="Times New Roman" w:cs="Times New Roman"/>
          <w:sz w:val="24"/>
          <w:szCs w:val="24"/>
          <w:lang w:val="en-GB"/>
        </w:rPr>
        <w:t>(</w:t>
      </w:r>
      <w:proofErr w:type="spellStart"/>
      <w:r w:rsidRPr="00CD60A8">
        <w:rPr>
          <w:rFonts w:ascii="Times New Roman" w:hAnsi="Times New Roman" w:cs="Times New Roman"/>
          <w:sz w:val="24"/>
          <w:szCs w:val="24"/>
          <w:lang w:val="en-GB"/>
        </w:rPr>
        <w:t>Gochhwal</w:t>
      </w:r>
      <w:proofErr w:type="spellEnd"/>
      <w:r w:rsidRPr="00CD60A8">
        <w:rPr>
          <w:rFonts w:ascii="Times New Roman" w:hAnsi="Times New Roman" w:cs="Times New Roman"/>
          <w:sz w:val="24"/>
          <w:szCs w:val="24"/>
          <w:lang w:val="en-GB"/>
        </w:rPr>
        <w:t>, 2017).</w:t>
      </w:r>
    </w:p>
    <w:p w14:paraId="654B8091" w14:textId="77777777" w:rsidR="008D65A0" w:rsidRPr="00CD60A8" w:rsidRDefault="008D65A0" w:rsidP="008D65A0">
      <w:pPr>
        <w:spacing w:line="360" w:lineRule="auto"/>
        <w:jc w:val="both"/>
        <w:rPr>
          <w:rFonts w:ascii="Times New Roman" w:hAnsi="Times New Roman" w:cs="Times New Roman"/>
          <w:sz w:val="24"/>
          <w:szCs w:val="24"/>
          <w:lang w:val="en-GB"/>
        </w:rPr>
      </w:pPr>
      <w:r w:rsidRPr="00117F9A">
        <w:rPr>
          <w:rFonts w:ascii="Times New Roman" w:hAnsi="Times New Roman" w:cs="Times New Roman"/>
          <w:sz w:val="24"/>
          <w:szCs w:val="24"/>
        </w:rPr>
        <w:lastRenderedPageBreak/>
        <w:t>To modernize the payment landscape and reduce cash reliance, the Reserve Bank of India (RBI) has introduced several initiatives promoting digital payments. Among the most impactful was the establishment of the National Payments Corporation of India (NPCI), tasked with developing affordable retail digital payment systems. In August 2016, NPCI launched the Unified Payments Interface (UPI)—a mobile-based payment platform that enables real-time bank transfers. UPI takes advantage of India’s high mobile penetration by transforming smartphones into digital wallets for consumers and merchants, thereby advancing the goal of universalizing digital payments</w:t>
      </w:r>
      <w:r w:rsidRPr="00CD60A8">
        <w:rPr>
          <w:rFonts w:ascii="Times New Roman" w:hAnsi="Times New Roman" w:cs="Times New Roman"/>
          <w:sz w:val="24"/>
          <w:szCs w:val="24"/>
        </w:rPr>
        <w:t xml:space="preserve"> </w:t>
      </w:r>
      <w:r w:rsidRPr="00CD60A8">
        <w:rPr>
          <w:rFonts w:ascii="Times New Roman" w:hAnsi="Times New Roman" w:cs="Times New Roman"/>
          <w:sz w:val="24"/>
          <w:szCs w:val="24"/>
          <w:lang w:val="en-GB"/>
        </w:rPr>
        <w:t>(World Bank, 2023; Reserve Bank of India, 2023).</w:t>
      </w:r>
    </w:p>
    <w:p w14:paraId="1C902620" w14:textId="77777777" w:rsidR="008D65A0" w:rsidRPr="00CD60A8" w:rsidRDefault="008D65A0" w:rsidP="008D65A0">
      <w:pPr>
        <w:spacing w:line="360" w:lineRule="auto"/>
        <w:jc w:val="both"/>
        <w:rPr>
          <w:rFonts w:ascii="Times New Roman" w:hAnsi="Times New Roman" w:cs="Times New Roman"/>
          <w:sz w:val="24"/>
          <w:szCs w:val="24"/>
          <w:lang w:val="en-GB"/>
        </w:rPr>
      </w:pPr>
      <w:r w:rsidRPr="00CD60A8">
        <w:rPr>
          <w:rFonts w:ascii="Times New Roman" w:hAnsi="Times New Roman" w:cs="Times New Roman"/>
          <w:sz w:val="24"/>
          <w:szCs w:val="24"/>
          <w:lang w:val="en-GB"/>
        </w:rPr>
        <w:t>India is rapidly progressing toward digitization, particularly after the announcement of demonetization on 8 November 2016. This policy shift significantly accelerated the adoption of digital payments, offering fintech companies an unprecedented opportunity to expand their market presence. UPI is widely regarded as a convenient and user-friendly method for online transactions, especially among youth and students (Kolte &amp; Humbe, 2020). Multiple factors have contributed to the rise of digital payments: increased smartphone penetration, support from non-banking financial institutions, simplified payment interfaces, the growth of the fintech sector, and government incentives such as tax breaks and digital literacy campaigns. These developments have collectively fostered a favourable environment for digital payment adoption in India (Neema &amp; Neema, 2016).</w:t>
      </w:r>
    </w:p>
    <w:p w14:paraId="3F3950D2" w14:textId="4DA388E1" w:rsidR="008D65A0" w:rsidRDefault="008D65A0" w:rsidP="008D65A0">
      <w:pPr>
        <w:spacing w:line="360" w:lineRule="auto"/>
        <w:jc w:val="both"/>
        <w:rPr>
          <w:rFonts w:ascii="Times New Roman" w:hAnsi="Times New Roman" w:cs="Times New Roman"/>
          <w:sz w:val="24"/>
          <w:szCs w:val="24"/>
        </w:rPr>
      </w:pPr>
      <w:r w:rsidRPr="004B4C70">
        <w:rPr>
          <w:rFonts w:ascii="Times New Roman" w:hAnsi="Times New Roman" w:cs="Times New Roman"/>
          <w:sz w:val="24"/>
          <w:szCs w:val="24"/>
        </w:rPr>
        <w:t>According to the report, individuals are increasingly cognizant of digital payment systems and opt for UPI applications due to their user-friendly interface and robust security measures</w:t>
      </w:r>
      <w:r>
        <w:rPr>
          <w:rFonts w:ascii="Times New Roman" w:hAnsi="Times New Roman" w:cs="Times New Roman"/>
          <w:sz w:val="24"/>
          <w:szCs w:val="24"/>
        </w:rPr>
        <w:t xml:space="preserve"> (Sonali and Kamaraj, 2024)</w:t>
      </w:r>
      <w:r w:rsidRPr="004B4C70">
        <w:rPr>
          <w:rFonts w:ascii="Times New Roman" w:hAnsi="Times New Roman" w:cs="Times New Roman"/>
          <w:sz w:val="24"/>
          <w:szCs w:val="24"/>
        </w:rPr>
        <w:t>.</w:t>
      </w:r>
      <w:r>
        <w:rPr>
          <w:rFonts w:ascii="Times New Roman" w:hAnsi="Times New Roman" w:cs="Times New Roman"/>
          <w:sz w:val="24"/>
          <w:szCs w:val="24"/>
        </w:rPr>
        <w:t xml:space="preserve"> </w:t>
      </w:r>
      <w:r w:rsidRPr="008E764E">
        <w:rPr>
          <w:rFonts w:ascii="Times New Roman" w:hAnsi="Times New Roman" w:cs="Times New Roman"/>
          <w:sz w:val="24"/>
          <w:szCs w:val="24"/>
        </w:rPr>
        <w:t>Interoperability between banks is also a unique feature of UPI. Unlike e-wallets earlier, a user doesn’t need to store money in a separate wallet for each app</w:t>
      </w:r>
      <w:r>
        <w:rPr>
          <w:rFonts w:ascii="Times New Roman" w:hAnsi="Times New Roman" w:cs="Times New Roman"/>
          <w:sz w:val="24"/>
          <w:szCs w:val="24"/>
        </w:rPr>
        <w:t xml:space="preserve"> (Narayanan,2021).</w:t>
      </w:r>
      <w:r w:rsidRPr="00994419">
        <w:rPr>
          <w:rFonts w:ascii="Times New Roman" w:hAnsi="Times New Roman" w:cs="Times New Roman"/>
          <w:sz w:val="24"/>
          <w:szCs w:val="24"/>
        </w:rPr>
        <w:t xml:space="preserve"> </w:t>
      </w:r>
      <w:r w:rsidRPr="005D487C">
        <w:rPr>
          <w:rFonts w:ascii="Times New Roman" w:hAnsi="Times New Roman" w:cs="Times New Roman"/>
          <w:sz w:val="24"/>
          <w:szCs w:val="24"/>
        </w:rPr>
        <w:t>Digital payments often involve lower transaction fees compared to traditional methods</w:t>
      </w:r>
      <w:r>
        <w:rPr>
          <w:rFonts w:ascii="Times New Roman" w:hAnsi="Times New Roman" w:cs="Times New Roman"/>
          <w:sz w:val="24"/>
          <w:szCs w:val="24"/>
        </w:rPr>
        <w:t xml:space="preserve"> and also</w:t>
      </w:r>
      <w:r w:rsidRPr="005D487C">
        <w:rPr>
          <w:rFonts w:ascii="Times New Roman" w:hAnsi="Times New Roman" w:cs="Times New Roman"/>
          <w:sz w:val="24"/>
          <w:szCs w:val="24"/>
        </w:rPr>
        <w:t xml:space="preserve"> can eliminate the need for money orders or cashier's checks, which often come with additional fees</w:t>
      </w:r>
      <w:r>
        <w:rPr>
          <w:rFonts w:ascii="Times New Roman" w:hAnsi="Times New Roman" w:cs="Times New Roman"/>
          <w:sz w:val="24"/>
          <w:szCs w:val="24"/>
        </w:rPr>
        <w:t xml:space="preserve"> (Vipin, 2020).</w:t>
      </w:r>
    </w:p>
    <w:p w14:paraId="14DE61D5" w14:textId="77777777" w:rsidR="008D65A0" w:rsidRPr="00117F9A" w:rsidRDefault="008D65A0" w:rsidP="008D65A0">
      <w:pPr>
        <w:spacing w:after="160" w:line="360" w:lineRule="auto"/>
        <w:jc w:val="both"/>
        <w:rPr>
          <w:rFonts w:ascii="Times New Roman" w:hAnsi="Times New Roman" w:cs="Times New Roman"/>
          <w:sz w:val="24"/>
          <w:szCs w:val="24"/>
        </w:rPr>
      </w:pPr>
      <w:r w:rsidRPr="004B4C70">
        <w:rPr>
          <w:rFonts w:ascii="Times New Roman" w:hAnsi="Times New Roman" w:cs="Times New Roman"/>
          <w:sz w:val="24"/>
          <w:szCs w:val="24"/>
        </w:rPr>
        <w:t xml:space="preserve"> </w:t>
      </w:r>
      <w:r w:rsidRPr="00117F9A">
        <w:rPr>
          <w:rFonts w:ascii="Times New Roman" w:hAnsi="Times New Roman" w:cs="Times New Roman"/>
          <w:sz w:val="24"/>
          <w:szCs w:val="24"/>
        </w:rPr>
        <w:t xml:space="preserve">This research paper delves into the awareness and adoption of UPI among working women in India, aiming to identify the factors influencing their engagement with digital payments. While over 200 million women have access to mobile internet, only 37% report using it, and an even smaller percentage actively engage in digital financial transactions. Barriers such as limited </w:t>
      </w:r>
      <w:r w:rsidRPr="00117F9A">
        <w:rPr>
          <w:rFonts w:ascii="Times New Roman" w:hAnsi="Times New Roman" w:cs="Times New Roman"/>
          <w:sz w:val="24"/>
          <w:szCs w:val="24"/>
        </w:rPr>
        <w:lastRenderedPageBreak/>
        <w:t>digital literacy, concerns over security, and lack of trust in digital platforms continue to impede widespread adoption.</w:t>
      </w:r>
      <w:r w:rsidRPr="00CD60A8">
        <w:rPr>
          <w:rFonts w:ascii="Times New Roman" w:hAnsi="Times New Roman" w:cs="Times New Roman"/>
          <w:sz w:val="24"/>
          <w:szCs w:val="24"/>
        </w:rPr>
        <w:t xml:space="preserve"> </w:t>
      </w:r>
    </w:p>
    <w:p w14:paraId="20C4BD3D" w14:textId="02E7D500" w:rsidR="00931E50" w:rsidRDefault="008D65A0" w:rsidP="008D65A0">
      <w:pPr>
        <w:spacing w:after="160" w:line="360" w:lineRule="auto"/>
        <w:jc w:val="both"/>
        <w:rPr>
          <w:rFonts w:ascii="Times New Roman" w:hAnsi="Times New Roman" w:cs="Times New Roman"/>
          <w:sz w:val="24"/>
          <w:szCs w:val="24"/>
          <w:lang w:val="en-GB"/>
        </w:rPr>
      </w:pPr>
      <w:r w:rsidRPr="00117F9A">
        <w:rPr>
          <w:rFonts w:ascii="Times New Roman" w:hAnsi="Times New Roman" w:cs="Times New Roman"/>
          <w:sz w:val="24"/>
          <w:szCs w:val="24"/>
        </w:rPr>
        <w:t>Particularly for working women</w:t>
      </w:r>
      <w:r>
        <w:rPr>
          <w:rFonts w:ascii="Times New Roman" w:hAnsi="Times New Roman" w:cs="Times New Roman"/>
          <w:sz w:val="24"/>
          <w:szCs w:val="24"/>
        </w:rPr>
        <w:t xml:space="preserve"> </w:t>
      </w:r>
      <w:r w:rsidRPr="00117F9A">
        <w:rPr>
          <w:rFonts w:ascii="Times New Roman" w:hAnsi="Times New Roman" w:cs="Times New Roman"/>
          <w:sz w:val="24"/>
          <w:szCs w:val="24"/>
        </w:rPr>
        <w:t>who often juggle professional responsibilities with household management</w:t>
      </w:r>
      <w:r>
        <w:rPr>
          <w:rFonts w:ascii="Times New Roman" w:hAnsi="Times New Roman" w:cs="Times New Roman"/>
          <w:sz w:val="24"/>
          <w:szCs w:val="24"/>
        </w:rPr>
        <w:t xml:space="preserve">, digitalization can majorly enhance women’s social and financial autonomy (Kulkarni, 2021). </w:t>
      </w:r>
      <w:r w:rsidRPr="00117F9A">
        <w:rPr>
          <w:rFonts w:ascii="Times New Roman" w:hAnsi="Times New Roman" w:cs="Times New Roman"/>
          <w:sz w:val="24"/>
          <w:szCs w:val="24"/>
        </w:rPr>
        <w:t xml:space="preserve"> Understanding the unique challenges and motivations of this demographic is crucial for designing targeted interventions that promote UPI adoption.</w:t>
      </w:r>
      <w:r>
        <w:rPr>
          <w:rFonts w:ascii="Times New Roman" w:hAnsi="Times New Roman" w:cs="Times New Roman"/>
          <w:sz w:val="24"/>
          <w:szCs w:val="24"/>
        </w:rPr>
        <w:t xml:space="preserve"> Therefore, t</w:t>
      </w:r>
      <w:r w:rsidR="00931E50" w:rsidRPr="00144FFC">
        <w:rPr>
          <w:rFonts w:ascii="Times New Roman" w:hAnsi="Times New Roman" w:cs="Times New Roman"/>
          <w:sz w:val="24"/>
          <w:szCs w:val="24"/>
        </w:rPr>
        <w:t>he</w:t>
      </w:r>
      <w:r w:rsidR="00931E50" w:rsidRPr="00407169">
        <w:rPr>
          <w:rFonts w:ascii="Times New Roman" w:hAnsi="Times New Roman" w:cs="Times New Roman"/>
          <w:sz w:val="24"/>
          <w:szCs w:val="24"/>
        </w:rPr>
        <w:t xml:space="preserve"> present study seeks to understand</w:t>
      </w:r>
      <w:r w:rsidR="00931E50">
        <w:t xml:space="preserve"> </w:t>
      </w:r>
      <w:r w:rsidR="00931E50">
        <w:rPr>
          <w:rFonts w:ascii="Times New Roman" w:hAnsi="Times New Roman" w:cs="Times New Roman"/>
          <w:sz w:val="24"/>
          <w:szCs w:val="24"/>
          <w:lang w:val="en-GB"/>
        </w:rPr>
        <w:t xml:space="preserve">the </w:t>
      </w:r>
    </w:p>
    <w:p w14:paraId="76AA58C5" w14:textId="77777777" w:rsidR="007A1A8D" w:rsidRPr="008D65A0" w:rsidRDefault="007A1A8D" w:rsidP="008D65A0">
      <w:pPr>
        <w:spacing w:after="160" w:line="360" w:lineRule="auto"/>
        <w:jc w:val="both"/>
        <w:rPr>
          <w:rFonts w:ascii="Times New Roman" w:hAnsi="Times New Roman" w:cs="Times New Roman"/>
          <w:sz w:val="24"/>
          <w:szCs w:val="24"/>
        </w:rPr>
      </w:pPr>
    </w:p>
    <w:p w14:paraId="369C9970" w14:textId="77777777" w:rsidR="00931E50" w:rsidRPr="00407169" w:rsidRDefault="00931E50" w:rsidP="00931E50">
      <w:pPr>
        <w:pStyle w:val="ListParagraph"/>
        <w:numPr>
          <w:ilvl w:val="0"/>
          <w:numId w:val="2"/>
        </w:numPr>
        <w:spacing w:line="360" w:lineRule="auto"/>
        <w:jc w:val="both"/>
        <w:rPr>
          <w:rFonts w:ascii="Times New Roman" w:hAnsi="Times New Roman" w:cs="Times New Roman"/>
          <w:sz w:val="24"/>
          <w:szCs w:val="24"/>
        </w:rPr>
      </w:pPr>
      <w:r w:rsidRPr="00407169">
        <w:rPr>
          <w:rFonts w:ascii="Times New Roman" w:hAnsi="Times New Roman" w:cs="Times New Roman"/>
          <w:sz w:val="24"/>
          <w:szCs w:val="24"/>
        </w:rPr>
        <w:t>Level of awareness and actual usage of UPI services among working women belonging to various age and income groups at Assam Agricultural University, Jorhat.</w:t>
      </w:r>
    </w:p>
    <w:p w14:paraId="30B73415" w14:textId="77777777" w:rsidR="00931E50" w:rsidRDefault="00931E50" w:rsidP="00931E50">
      <w:pPr>
        <w:numPr>
          <w:ilvl w:val="0"/>
          <w:numId w:val="2"/>
        </w:numPr>
        <w:jc w:val="both"/>
        <w:rPr>
          <w:rFonts w:ascii="Times New Roman" w:hAnsi="Times New Roman" w:cs="Times New Roman"/>
          <w:sz w:val="24"/>
          <w:szCs w:val="24"/>
        </w:rPr>
      </w:pPr>
      <w:r w:rsidRPr="00407169">
        <w:rPr>
          <w:rFonts w:ascii="Times New Roman" w:hAnsi="Times New Roman" w:cs="Times New Roman"/>
          <w:sz w:val="24"/>
          <w:szCs w:val="24"/>
        </w:rPr>
        <w:t>To examine the challenges and perceptions related to the safety, accessibility, and usability of UPI services among the respondents</w:t>
      </w:r>
    </w:p>
    <w:p w14:paraId="414DFE65" w14:textId="77777777" w:rsidR="007A1A8D" w:rsidRDefault="007A1A8D" w:rsidP="007A1A8D">
      <w:pPr>
        <w:ind w:left="720"/>
        <w:jc w:val="both"/>
        <w:rPr>
          <w:rFonts w:ascii="Times New Roman" w:hAnsi="Times New Roman" w:cs="Times New Roman"/>
          <w:sz w:val="24"/>
          <w:szCs w:val="24"/>
        </w:rPr>
      </w:pPr>
    </w:p>
    <w:p w14:paraId="7F55CDA9" w14:textId="77777777" w:rsidR="00107067" w:rsidRPr="00107067" w:rsidRDefault="00107067" w:rsidP="00107067">
      <w:pPr>
        <w:spacing w:before="100" w:beforeAutospacing="1" w:after="100" w:afterAutospacing="1" w:line="240" w:lineRule="auto"/>
        <w:jc w:val="both"/>
        <w:rPr>
          <w:rFonts w:ascii="Times New Roman" w:eastAsia="Times New Roman" w:hAnsi="Times New Roman" w:cs="Times New Roman"/>
          <w:sz w:val="24"/>
          <w:szCs w:val="24"/>
        </w:rPr>
      </w:pPr>
      <w:r w:rsidRPr="00107067">
        <w:rPr>
          <w:rFonts w:ascii="Times New Roman" w:eastAsia="Times New Roman" w:hAnsi="Times New Roman" w:cs="Times New Roman"/>
          <w:b/>
          <w:bCs/>
          <w:sz w:val="24"/>
          <w:szCs w:val="24"/>
        </w:rPr>
        <w:t>3. Methodology</w:t>
      </w:r>
    </w:p>
    <w:p w14:paraId="209A6BF1" w14:textId="2C3BFB3D" w:rsidR="00297690" w:rsidRPr="008D65A0" w:rsidRDefault="00297690" w:rsidP="008D65A0">
      <w:pPr>
        <w:spacing w:before="100" w:beforeAutospacing="1" w:after="100" w:afterAutospacing="1" w:line="360" w:lineRule="auto"/>
        <w:jc w:val="both"/>
        <w:rPr>
          <w:rFonts w:ascii="Times New Roman" w:eastAsia="Times New Roman" w:hAnsi="Times New Roman" w:cs="Times New Roman"/>
          <w:sz w:val="24"/>
          <w:szCs w:val="24"/>
        </w:rPr>
      </w:pPr>
      <w:r w:rsidRPr="008D65A0">
        <w:rPr>
          <w:rFonts w:ascii="Times New Roman" w:eastAsia="Times New Roman" w:hAnsi="Times New Roman" w:cs="Times New Roman"/>
          <w:sz w:val="24"/>
          <w:szCs w:val="24"/>
        </w:rPr>
        <w:t>A cross-sectional survey design was employed to investigate the awareness, usage patterns, and user perceptions of Unified Payments Interface (UPI) services among working-class women. A total of 50 respondents were selected using a random sampling technique from various departments of Assam Agricultural University, Jorhat</w:t>
      </w:r>
      <w:r w:rsidR="00410425" w:rsidRPr="008D65A0">
        <w:rPr>
          <w:rFonts w:ascii="Times New Roman" w:eastAsia="Times New Roman" w:hAnsi="Times New Roman" w:cs="Times New Roman"/>
          <w:sz w:val="24"/>
          <w:szCs w:val="24"/>
        </w:rPr>
        <w:t>, Assam</w:t>
      </w:r>
      <w:r w:rsidRPr="008D65A0">
        <w:rPr>
          <w:rFonts w:ascii="Times New Roman" w:eastAsia="Times New Roman" w:hAnsi="Times New Roman" w:cs="Times New Roman"/>
          <w:sz w:val="24"/>
          <w:szCs w:val="24"/>
        </w:rPr>
        <w:t>.</w:t>
      </w:r>
    </w:p>
    <w:p w14:paraId="2C7F7206" w14:textId="06AC46A0" w:rsidR="00297690" w:rsidRPr="008D65A0" w:rsidRDefault="00297690" w:rsidP="008D65A0">
      <w:pPr>
        <w:spacing w:before="100" w:beforeAutospacing="1" w:after="100" w:afterAutospacing="1" w:line="360" w:lineRule="auto"/>
        <w:jc w:val="both"/>
        <w:rPr>
          <w:rFonts w:ascii="Times New Roman" w:eastAsia="Times New Roman" w:hAnsi="Times New Roman" w:cs="Times New Roman"/>
          <w:sz w:val="24"/>
          <w:szCs w:val="24"/>
        </w:rPr>
      </w:pPr>
      <w:r w:rsidRPr="008D65A0">
        <w:rPr>
          <w:rFonts w:ascii="Times New Roman" w:eastAsia="Times New Roman" w:hAnsi="Times New Roman" w:cs="Times New Roman"/>
          <w:sz w:val="24"/>
          <w:szCs w:val="24"/>
        </w:rPr>
        <w:t xml:space="preserve">Data were collected through a structured questionnaire, which comprised four sections: (i) </w:t>
      </w:r>
      <w:r w:rsidR="00B85651" w:rsidRPr="008D65A0">
        <w:rPr>
          <w:rFonts w:ascii="Times New Roman" w:eastAsia="Times New Roman" w:hAnsi="Times New Roman" w:cs="Times New Roman"/>
          <w:sz w:val="24"/>
          <w:szCs w:val="24"/>
        </w:rPr>
        <w:t>D</w:t>
      </w:r>
      <w:r w:rsidRPr="008D65A0">
        <w:rPr>
          <w:rFonts w:ascii="Times New Roman" w:eastAsia="Times New Roman" w:hAnsi="Times New Roman" w:cs="Times New Roman"/>
          <w:sz w:val="24"/>
          <w:szCs w:val="24"/>
        </w:rPr>
        <w:t xml:space="preserve">emographic profile, (ii) </w:t>
      </w:r>
      <w:r w:rsidR="00B85651" w:rsidRPr="008D65A0">
        <w:rPr>
          <w:rFonts w:ascii="Times New Roman" w:eastAsia="Times New Roman" w:hAnsi="Times New Roman" w:cs="Times New Roman"/>
          <w:sz w:val="24"/>
          <w:szCs w:val="24"/>
        </w:rPr>
        <w:t>A</w:t>
      </w:r>
      <w:r w:rsidRPr="008D65A0">
        <w:rPr>
          <w:rFonts w:ascii="Times New Roman" w:eastAsia="Times New Roman" w:hAnsi="Times New Roman" w:cs="Times New Roman"/>
          <w:sz w:val="24"/>
          <w:szCs w:val="24"/>
        </w:rPr>
        <w:t xml:space="preserve">wareness of UPI services, (iii) </w:t>
      </w:r>
      <w:r w:rsidR="00B85651" w:rsidRPr="008D65A0">
        <w:rPr>
          <w:rFonts w:ascii="Times New Roman" w:eastAsia="Times New Roman" w:hAnsi="Times New Roman" w:cs="Times New Roman"/>
          <w:sz w:val="24"/>
          <w:szCs w:val="24"/>
        </w:rPr>
        <w:t>U</w:t>
      </w:r>
      <w:r w:rsidRPr="008D65A0">
        <w:rPr>
          <w:rFonts w:ascii="Times New Roman" w:eastAsia="Times New Roman" w:hAnsi="Times New Roman" w:cs="Times New Roman"/>
          <w:sz w:val="24"/>
          <w:szCs w:val="24"/>
        </w:rPr>
        <w:t>sage behavior, and (iv) Perceived advantages and challenges associated with UPI transactions. Prior to administration, the questionnaire was reviewed for content validity by subject matter experts.</w:t>
      </w:r>
    </w:p>
    <w:p w14:paraId="0C4E6FF2" w14:textId="4D6B8A9A" w:rsidR="00297690" w:rsidRPr="008D65A0" w:rsidRDefault="00297690" w:rsidP="008D65A0">
      <w:pPr>
        <w:spacing w:before="100" w:beforeAutospacing="1" w:after="100" w:afterAutospacing="1" w:line="360" w:lineRule="auto"/>
        <w:jc w:val="both"/>
        <w:rPr>
          <w:rFonts w:ascii="Times New Roman" w:eastAsia="Times New Roman" w:hAnsi="Times New Roman" w:cs="Times New Roman"/>
          <w:sz w:val="24"/>
          <w:szCs w:val="24"/>
        </w:rPr>
      </w:pPr>
      <w:r w:rsidRPr="008D65A0">
        <w:rPr>
          <w:rFonts w:ascii="Times New Roman" w:eastAsia="Times New Roman" w:hAnsi="Times New Roman" w:cs="Times New Roman"/>
          <w:sz w:val="24"/>
          <w:szCs w:val="24"/>
        </w:rPr>
        <w:t xml:space="preserve">Quantitative data obtained from the responses were analyzed using descriptive statistics, including frequencies and percentages, to summarize participant characteristics and response trends. Inferential analysis was conducted using the Student’s t-test to examine statistical significance between selected variables. Additionally, the Garret Ranking Technique was applied </w:t>
      </w:r>
      <w:r w:rsidRPr="008D65A0">
        <w:rPr>
          <w:rFonts w:ascii="Times New Roman" w:eastAsia="Times New Roman" w:hAnsi="Times New Roman" w:cs="Times New Roman"/>
          <w:sz w:val="24"/>
          <w:szCs w:val="24"/>
        </w:rPr>
        <w:lastRenderedPageBreak/>
        <w:t>to identify and prioritize the key factors influencing user preferences and perceived challenges related to UPI service utilization.</w:t>
      </w:r>
    </w:p>
    <w:p w14:paraId="473A1024" w14:textId="31BD9173" w:rsidR="00297690" w:rsidRPr="00107067" w:rsidRDefault="00297690" w:rsidP="008D65A0">
      <w:pPr>
        <w:spacing w:before="100" w:beforeAutospacing="1" w:after="100" w:afterAutospacing="1" w:line="360" w:lineRule="auto"/>
        <w:jc w:val="both"/>
        <w:rPr>
          <w:rFonts w:ascii="Times New Roman" w:eastAsia="Times New Roman" w:hAnsi="Times New Roman" w:cs="Times New Roman"/>
          <w:sz w:val="24"/>
          <w:szCs w:val="24"/>
        </w:rPr>
      </w:pPr>
      <w:r w:rsidRPr="008D65A0">
        <w:rPr>
          <w:rFonts w:ascii="Times New Roman" w:eastAsia="Times New Roman" w:hAnsi="Times New Roman" w:cs="Times New Roman"/>
          <w:sz w:val="24"/>
          <w:szCs w:val="24"/>
        </w:rPr>
        <w:t>All analyses were performed using standard statistical software, and results were interpreted within the context of the study objectives.</w:t>
      </w:r>
    </w:p>
    <w:p w14:paraId="6438DE0E" w14:textId="77777777" w:rsidR="009E49B7" w:rsidRDefault="009E49B7" w:rsidP="003B687B">
      <w:pPr>
        <w:spacing w:before="100" w:beforeAutospacing="1" w:after="100" w:afterAutospacing="1" w:line="240" w:lineRule="auto"/>
        <w:jc w:val="both"/>
        <w:rPr>
          <w:rFonts w:ascii="Times New Roman" w:eastAsia="Times New Roman" w:hAnsi="Times New Roman" w:cs="Times New Roman"/>
          <w:b/>
          <w:bCs/>
          <w:sz w:val="24"/>
          <w:szCs w:val="24"/>
        </w:rPr>
      </w:pPr>
    </w:p>
    <w:p w14:paraId="6DB15FFB" w14:textId="39DCBC84" w:rsidR="003B687B" w:rsidRPr="003B687B" w:rsidRDefault="003B687B" w:rsidP="003B687B">
      <w:pPr>
        <w:spacing w:before="100" w:beforeAutospacing="1" w:after="100" w:afterAutospacing="1" w:line="240" w:lineRule="auto"/>
        <w:jc w:val="both"/>
        <w:rPr>
          <w:rFonts w:ascii="Times New Roman" w:eastAsia="Times New Roman" w:hAnsi="Times New Roman" w:cs="Times New Roman"/>
          <w:b/>
          <w:bCs/>
          <w:sz w:val="24"/>
          <w:szCs w:val="24"/>
        </w:rPr>
      </w:pPr>
      <w:r w:rsidRPr="003B687B">
        <w:rPr>
          <w:rFonts w:ascii="Times New Roman" w:eastAsia="Times New Roman" w:hAnsi="Times New Roman" w:cs="Times New Roman"/>
          <w:b/>
          <w:bCs/>
          <w:sz w:val="24"/>
          <w:szCs w:val="24"/>
        </w:rPr>
        <w:t>4. Results</w:t>
      </w:r>
    </w:p>
    <w:p w14:paraId="48BC21CF" w14:textId="77777777" w:rsidR="003B687B" w:rsidRPr="003B687B" w:rsidRDefault="003B687B" w:rsidP="003B687B">
      <w:pPr>
        <w:spacing w:before="100" w:beforeAutospacing="1" w:after="100" w:afterAutospacing="1" w:line="240" w:lineRule="auto"/>
        <w:jc w:val="both"/>
        <w:rPr>
          <w:rFonts w:ascii="Times New Roman" w:eastAsia="Times New Roman" w:hAnsi="Times New Roman" w:cs="Times New Roman"/>
          <w:b/>
          <w:bCs/>
          <w:sz w:val="24"/>
          <w:szCs w:val="24"/>
        </w:rPr>
      </w:pPr>
      <w:r w:rsidRPr="003B687B">
        <w:rPr>
          <w:rFonts w:ascii="Times New Roman" w:eastAsia="Times New Roman" w:hAnsi="Times New Roman" w:cs="Times New Roman"/>
          <w:b/>
          <w:bCs/>
          <w:sz w:val="24"/>
          <w:szCs w:val="24"/>
        </w:rPr>
        <w:t>4.1 Demographic Profile of Respondents</w:t>
      </w:r>
    </w:p>
    <w:p w14:paraId="5FB8A43F" w14:textId="4981EAF1" w:rsidR="007A1A8D" w:rsidRDefault="003B687B" w:rsidP="007A1A8D">
      <w:pPr>
        <w:spacing w:before="100" w:beforeAutospacing="1" w:after="100" w:afterAutospacing="1" w:line="360" w:lineRule="auto"/>
        <w:ind w:firstLine="720"/>
        <w:jc w:val="both"/>
        <w:rPr>
          <w:rFonts w:ascii="Times New Roman" w:eastAsia="Times New Roman" w:hAnsi="Times New Roman" w:cs="Times New Roman"/>
          <w:bCs/>
          <w:sz w:val="24"/>
          <w:szCs w:val="24"/>
        </w:rPr>
      </w:pPr>
      <w:r w:rsidRPr="003B687B">
        <w:rPr>
          <w:rFonts w:ascii="Times New Roman" w:eastAsia="Times New Roman" w:hAnsi="Times New Roman" w:cs="Times New Roman"/>
          <w:bCs/>
          <w:sz w:val="24"/>
          <w:szCs w:val="24"/>
        </w:rPr>
        <w:t>Age Distribution: The majority of respondents (47%) were aged between 35–45 years, followed by 33</w:t>
      </w:r>
      <w:r w:rsidR="004142D5">
        <w:rPr>
          <w:rFonts w:ascii="Times New Roman" w:eastAsia="Times New Roman" w:hAnsi="Times New Roman" w:cs="Times New Roman"/>
          <w:bCs/>
          <w:sz w:val="24"/>
          <w:szCs w:val="24"/>
        </w:rPr>
        <w:t xml:space="preserve"> per cent </w:t>
      </w:r>
      <w:r w:rsidRPr="003B687B">
        <w:rPr>
          <w:rFonts w:ascii="Times New Roman" w:eastAsia="Times New Roman" w:hAnsi="Times New Roman" w:cs="Times New Roman"/>
          <w:bCs/>
          <w:sz w:val="24"/>
          <w:szCs w:val="24"/>
        </w:rPr>
        <w:t>in the 25–35 age group, and 20</w:t>
      </w:r>
      <w:r w:rsidR="004142D5">
        <w:rPr>
          <w:rFonts w:ascii="Times New Roman" w:eastAsia="Times New Roman" w:hAnsi="Times New Roman" w:cs="Times New Roman"/>
          <w:bCs/>
          <w:sz w:val="24"/>
          <w:szCs w:val="24"/>
        </w:rPr>
        <w:t xml:space="preserve"> per </w:t>
      </w:r>
      <w:r w:rsidR="008F235B">
        <w:rPr>
          <w:rFonts w:ascii="Times New Roman" w:eastAsia="Times New Roman" w:hAnsi="Times New Roman" w:cs="Times New Roman"/>
          <w:bCs/>
          <w:sz w:val="24"/>
          <w:szCs w:val="24"/>
        </w:rPr>
        <w:t xml:space="preserve">cent </w:t>
      </w:r>
      <w:r w:rsidR="008F235B" w:rsidRPr="003B687B">
        <w:rPr>
          <w:rFonts w:ascii="Times New Roman" w:eastAsia="Times New Roman" w:hAnsi="Times New Roman" w:cs="Times New Roman"/>
          <w:bCs/>
          <w:sz w:val="24"/>
          <w:szCs w:val="24"/>
        </w:rPr>
        <w:t>in</w:t>
      </w:r>
      <w:r w:rsidRPr="003B687B">
        <w:rPr>
          <w:rFonts w:ascii="Times New Roman" w:eastAsia="Times New Roman" w:hAnsi="Times New Roman" w:cs="Times New Roman"/>
          <w:bCs/>
          <w:sz w:val="24"/>
          <w:szCs w:val="24"/>
        </w:rPr>
        <w:t xml:space="preserve"> the 45–55 age group</w:t>
      </w:r>
      <w:r w:rsidR="00FC6306">
        <w:rPr>
          <w:rFonts w:ascii="Times New Roman" w:eastAsia="Times New Roman" w:hAnsi="Times New Roman" w:cs="Times New Roman"/>
          <w:bCs/>
          <w:sz w:val="24"/>
          <w:szCs w:val="24"/>
        </w:rPr>
        <w:t xml:space="preserve"> (Fig.1)</w:t>
      </w:r>
      <w:r w:rsidRPr="003B687B">
        <w:rPr>
          <w:rFonts w:ascii="Times New Roman" w:eastAsia="Times New Roman" w:hAnsi="Times New Roman" w:cs="Times New Roman"/>
          <w:bCs/>
          <w:sz w:val="24"/>
          <w:szCs w:val="24"/>
        </w:rPr>
        <w:t>.</w:t>
      </w:r>
      <w:r w:rsidR="00623541">
        <w:rPr>
          <w:rFonts w:ascii="Times New Roman" w:eastAsia="Times New Roman" w:hAnsi="Times New Roman" w:cs="Times New Roman"/>
          <w:bCs/>
          <w:sz w:val="24"/>
          <w:szCs w:val="24"/>
        </w:rPr>
        <w:t xml:space="preserve"> </w:t>
      </w:r>
      <w:r w:rsidRPr="008F235B">
        <w:rPr>
          <w:rFonts w:ascii="Times New Roman" w:eastAsia="Times New Roman" w:hAnsi="Times New Roman" w:cs="Times New Roman"/>
          <w:b/>
          <w:bCs/>
          <w:sz w:val="24"/>
          <w:szCs w:val="24"/>
        </w:rPr>
        <w:t>Educational Qualification:</w:t>
      </w:r>
      <w:r w:rsidRPr="003B687B">
        <w:rPr>
          <w:rFonts w:ascii="Times New Roman" w:eastAsia="Times New Roman" w:hAnsi="Times New Roman" w:cs="Times New Roman"/>
          <w:bCs/>
          <w:sz w:val="24"/>
          <w:szCs w:val="24"/>
        </w:rPr>
        <w:t xml:space="preserve"> About 56.66</w:t>
      </w:r>
      <w:r w:rsidR="004142D5">
        <w:rPr>
          <w:rFonts w:ascii="Times New Roman" w:eastAsia="Times New Roman" w:hAnsi="Times New Roman" w:cs="Times New Roman"/>
          <w:bCs/>
          <w:sz w:val="24"/>
          <w:szCs w:val="24"/>
        </w:rPr>
        <w:t xml:space="preserve"> per cent </w:t>
      </w:r>
      <w:r w:rsidRPr="003B687B">
        <w:rPr>
          <w:rFonts w:ascii="Times New Roman" w:eastAsia="Times New Roman" w:hAnsi="Times New Roman" w:cs="Times New Roman"/>
          <w:bCs/>
          <w:sz w:val="24"/>
          <w:szCs w:val="24"/>
        </w:rPr>
        <w:t>of respondents had education up to high school. Graduates and postgraduates accounted for 13.33</w:t>
      </w:r>
      <w:r w:rsidR="004142D5">
        <w:rPr>
          <w:rFonts w:ascii="Times New Roman" w:eastAsia="Times New Roman" w:hAnsi="Times New Roman" w:cs="Times New Roman"/>
          <w:bCs/>
          <w:sz w:val="24"/>
          <w:szCs w:val="24"/>
        </w:rPr>
        <w:t xml:space="preserve"> per cent </w:t>
      </w:r>
      <w:r w:rsidRPr="003B687B">
        <w:rPr>
          <w:rFonts w:ascii="Times New Roman" w:eastAsia="Times New Roman" w:hAnsi="Times New Roman" w:cs="Times New Roman"/>
          <w:bCs/>
          <w:sz w:val="24"/>
          <w:szCs w:val="24"/>
        </w:rPr>
        <w:t>each, while 6.66</w:t>
      </w:r>
      <w:r w:rsidR="004142D5">
        <w:rPr>
          <w:rFonts w:ascii="Times New Roman" w:eastAsia="Times New Roman" w:hAnsi="Times New Roman" w:cs="Times New Roman"/>
          <w:bCs/>
          <w:sz w:val="24"/>
          <w:szCs w:val="24"/>
        </w:rPr>
        <w:t xml:space="preserve"> per cent </w:t>
      </w:r>
      <w:r w:rsidRPr="003B687B">
        <w:rPr>
          <w:rFonts w:ascii="Times New Roman" w:eastAsia="Times New Roman" w:hAnsi="Times New Roman" w:cs="Times New Roman"/>
          <w:bCs/>
          <w:sz w:val="24"/>
          <w:szCs w:val="24"/>
        </w:rPr>
        <w:t>had completed higher secondary education, and another 6.66</w:t>
      </w:r>
      <w:r w:rsidR="004142D5">
        <w:rPr>
          <w:rFonts w:ascii="Times New Roman" w:eastAsia="Times New Roman" w:hAnsi="Times New Roman" w:cs="Times New Roman"/>
          <w:bCs/>
          <w:sz w:val="24"/>
          <w:szCs w:val="24"/>
        </w:rPr>
        <w:t xml:space="preserve"> per cent</w:t>
      </w:r>
      <w:r w:rsidRPr="003B687B">
        <w:rPr>
          <w:rFonts w:ascii="Times New Roman" w:eastAsia="Times New Roman" w:hAnsi="Times New Roman" w:cs="Times New Roman"/>
          <w:bCs/>
          <w:sz w:val="24"/>
          <w:szCs w:val="24"/>
        </w:rPr>
        <w:t xml:space="preserve"> were uneducated</w:t>
      </w:r>
      <w:r w:rsidR="00FC6306">
        <w:rPr>
          <w:rFonts w:ascii="Times New Roman" w:eastAsia="Times New Roman" w:hAnsi="Times New Roman" w:cs="Times New Roman"/>
          <w:bCs/>
          <w:sz w:val="24"/>
          <w:szCs w:val="24"/>
        </w:rPr>
        <w:t xml:space="preserve"> (Fig 2).</w:t>
      </w:r>
      <w:r w:rsidR="00623541">
        <w:rPr>
          <w:rFonts w:ascii="Times New Roman" w:eastAsia="Times New Roman" w:hAnsi="Times New Roman" w:cs="Times New Roman"/>
          <w:bCs/>
          <w:sz w:val="24"/>
          <w:szCs w:val="24"/>
        </w:rPr>
        <w:t xml:space="preserve"> </w:t>
      </w:r>
    </w:p>
    <w:tbl>
      <w:tblPr>
        <w:tblStyle w:val="TableGrid"/>
        <w:tblW w:w="0" w:type="auto"/>
        <w:tblLook w:val="04A0" w:firstRow="1" w:lastRow="0" w:firstColumn="1" w:lastColumn="0" w:noHBand="0" w:noVBand="1"/>
      </w:tblPr>
      <w:tblGrid>
        <w:gridCol w:w="4839"/>
        <w:gridCol w:w="4511"/>
      </w:tblGrid>
      <w:tr w:rsidR="003C69B9" w14:paraId="1CEA9882" w14:textId="77777777" w:rsidTr="00761073">
        <w:tc>
          <w:tcPr>
            <w:tcW w:w="4866" w:type="dxa"/>
          </w:tcPr>
          <w:p w14:paraId="1D8FAD45" w14:textId="77777777" w:rsidR="003C69B9" w:rsidRDefault="003C69B9" w:rsidP="003C69B9">
            <w:pPr>
              <w:jc w:val="both"/>
              <w:rPr>
                <w:rFonts w:ascii="Times New Roman" w:eastAsia="Times New Roman" w:hAnsi="Times New Roman" w:cs="Times New Roman"/>
                <w:b/>
                <w:bCs/>
                <w:sz w:val="24"/>
                <w:szCs w:val="24"/>
              </w:rPr>
            </w:pPr>
          </w:p>
          <w:p w14:paraId="2BF6FD52" w14:textId="77777777" w:rsidR="003C69B9" w:rsidRDefault="003C69B9" w:rsidP="003C69B9">
            <w:pPr>
              <w:jc w:val="both"/>
              <w:rPr>
                <w:rFonts w:ascii="Times New Roman" w:eastAsia="Times New Roman" w:hAnsi="Times New Roman" w:cs="Times New Roman"/>
                <w:b/>
                <w:bCs/>
                <w:sz w:val="24"/>
                <w:szCs w:val="24"/>
              </w:rPr>
            </w:pPr>
            <w:r w:rsidRPr="003C69B9">
              <w:rPr>
                <w:rFonts w:ascii="Times New Roman" w:eastAsia="Times New Roman" w:hAnsi="Times New Roman" w:cs="Times New Roman"/>
                <w:b/>
                <w:bCs/>
                <w:noProof/>
                <w:sz w:val="24"/>
                <w:szCs w:val="24"/>
              </w:rPr>
              <w:drawing>
                <wp:inline distT="0" distB="0" distL="0" distR="0" wp14:anchorId="4D7C24B8" wp14:editId="2E9993F1">
                  <wp:extent cx="2933700" cy="1990725"/>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PNG"/>
                          <pic:cNvPicPr/>
                        </pic:nvPicPr>
                        <pic:blipFill>
                          <a:blip r:embed="rId7">
                            <a:extLst>
                              <a:ext uri="{28A0092B-C50C-407E-A947-70E740481C1C}">
                                <a14:useLocalDpi xmlns:a14="http://schemas.microsoft.com/office/drawing/2010/main" val="0"/>
                              </a:ext>
                            </a:extLst>
                          </a:blip>
                          <a:stretch>
                            <a:fillRect/>
                          </a:stretch>
                        </pic:blipFill>
                        <pic:spPr>
                          <a:xfrm>
                            <a:off x="0" y="0"/>
                            <a:ext cx="2948555" cy="2000805"/>
                          </a:xfrm>
                          <a:prstGeom prst="rect">
                            <a:avLst/>
                          </a:prstGeom>
                        </pic:spPr>
                      </pic:pic>
                    </a:graphicData>
                  </a:graphic>
                </wp:inline>
              </w:drawing>
            </w:r>
          </w:p>
          <w:p w14:paraId="3D60F0AE" w14:textId="77777777" w:rsidR="003C69B9" w:rsidRDefault="003C69B9" w:rsidP="003C69B9">
            <w:pPr>
              <w:jc w:val="both"/>
              <w:rPr>
                <w:rFonts w:ascii="Times New Roman" w:eastAsia="Times New Roman" w:hAnsi="Times New Roman" w:cs="Times New Roman"/>
                <w:b/>
                <w:bCs/>
                <w:sz w:val="24"/>
                <w:szCs w:val="24"/>
              </w:rPr>
            </w:pPr>
          </w:p>
        </w:tc>
        <w:tc>
          <w:tcPr>
            <w:tcW w:w="4710" w:type="dxa"/>
          </w:tcPr>
          <w:p w14:paraId="4AFE1E66" w14:textId="77777777" w:rsidR="003C69B9" w:rsidRDefault="003C69B9" w:rsidP="003C69B9">
            <w:pPr>
              <w:jc w:val="both"/>
              <w:rPr>
                <w:rFonts w:ascii="Times New Roman" w:eastAsia="Times New Roman" w:hAnsi="Times New Roman" w:cs="Times New Roman"/>
                <w:b/>
                <w:bCs/>
                <w:sz w:val="24"/>
                <w:szCs w:val="24"/>
              </w:rPr>
            </w:pPr>
          </w:p>
          <w:p w14:paraId="11E10B12" w14:textId="77777777" w:rsidR="003C69B9" w:rsidRDefault="003C69B9" w:rsidP="003C69B9">
            <w:pPr>
              <w:jc w:val="both"/>
              <w:rPr>
                <w:rFonts w:ascii="Times New Roman" w:eastAsia="Times New Roman" w:hAnsi="Times New Roman" w:cs="Times New Roman"/>
                <w:b/>
                <w:bCs/>
                <w:sz w:val="24"/>
                <w:szCs w:val="24"/>
              </w:rPr>
            </w:pPr>
            <w:r w:rsidRPr="003C69B9">
              <w:rPr>
                <w:rFonts w:ascii="Times New Roman" w:eastAsia="Times New Roman" w:hAnsi="Times New Roman" w:cs="Times New Roman"/>
                <w:b/>
                <w:bCs/>
                <w:noProof/>
                <w:sz w:val="24"/>
                <w:szCs w:val="24"/>
              </w:rPr>
              <w:drawing>
                <wp:inline distT="0" distB="0" distL="0" distR="0" wp14:anchorId="54CD4A02" wp14:editId="629D172D">
                  <wp:extent cx="2723939" cy="2047875"/>
                  <wp:effectExtent l="19050" t="0" r="211"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ducation.PNG"/>
                          <pic:cNvPicPr/>
                        </pic:nvPicPr>
                        <pic:blipFill>
                          <a:blip r:embed="rId8">
                            <a:extLst>
                              <a:ext uri="{28A0092B-C50C-407E-A947-70E740481C1C}">
                                <a14:useLocalDpi xmlns:a14="http://schemas.microsoft.com/office/drawing/2010/main" val="0"/>
                              </a:ext>
                            </a:extLst>
                          </a:blip>
                          <a:stretch>
                            <a:fillRect/>
                          </a:stretch>
                        </pic:blipFill>
                        <pic:spPr>
                          <a:xfrm>
                            <a:off x="0" y="0"/>
                            <a:ext cx="2728389" cy="2051221"/>
                          </a:xfrm>
                          <a:prstGeom prst="rect">
                            <a:avLst/>
                          </a:prstGeom>
                        </pic:spPr>
                      </pic:pic>
                    </a:graphicData>
                  </a:graphic>
                </wp:inline>
              </w:drawing>
            </w:r>
          </w:p>
          <w:p w14:paraId="0172671E" w14:textId="77777777" w:rsidR="003C69B9" w:rsidRDefault="003C69B9" w:rsidP="003C69B9">
            <w:pPr>
              <w:jc w:val="both"/>
              <w:rPr>
                <w:rFonts w:ascii="Times New Roman" w:eastAsia="Times New Roman" w:hAnsi="Times New Roman" w:cs="Times New Roman"/>
                <w:b/>
                <w:bCs/>
                <w:sz w:val="24"/>
                <w:szCs w:val="24"/>
              </w:rPr>
            </w:pPr>
          </w:p>
        </w:tc>
      </w:tr>
      <w:tr w:rsidR="003C69B9" w14:paraId="6D93A93D" w14:textId="77777777" w:rsidTr="00761073">
        <w:tc>
          <w:tcPr>
            <w:tcW w:w="4866" w:type="dxa"/>
          </w:tcPr>
          <w:p w14:paraId="6EE965F4" w14:textId="77777777" w:rsidR="003C69B9" w:rsidRPr="00513B3D" w:rsidRDefault="003C69B9" w:rsidP="006335A9">
            <w:pPr>
              <w:jc w:val="center"/>
              <w:rPr>
                <w:rFonts w:ascii="Times New Roman" w:hAnsi="Times New Roman" w:cs="Times New Roman"/>
                <w:sz w:val="24"/>
                <w:szCs w:val="24"/>
              </w:rPr>
            </w:pPr>
            <w:r w:rsidRPr="00513B3D">
              <w:rPr>
                <w:rFonts w:ascii="Times New Roman" w:hAnsi="Times New Roman" w:cs="Times New Roman"/>
                <w:sz w:val="24"/>
                <w:szCs w:val="24"/>
              </w:rPr>
              <w:t>Figure 1. The age group of the respondents</w:t>
            </w:r>
          </w:p>
          <w:p w14:paraId="0AF925DC" w14:textId="77777777" w:rsidR="003C69B9" w:rsidRDefault="003C69B9" w:rsidP="003C69B9">
            <w:pPr>
              <w:jc w:val="both"/>
              <w:rPr>
                <w:rFonts w:ascii="Times New Roman" w:eastAsia="Times New Roman" w:hAnsi="Times New Roman" w:cs="Times New Roman"/>
                <w:b/>
                <w:bCs/>
                <w:sz w:val="24"/>
                <w:szCs w:val="24"/>
              </w:rPr>
            </w:pPr>
          </w:p>
        </w:tc>
        <w:tc>
          <w:tcPr>
            <w:tcW w:w="4710" w:type="dxa"/>
          </w:tcPr>
          <w:p w14:paraId="132E2D7C" w14:textId="77777777" w:rsidR="003C69B9" w:rsidRDefault="003C69B9" w:rsidP="006335A9">
            <w:pPr>
              <w:jc w:val="center"/>
              <w:rPr>
                <w:rFonts w:ascii="Times New Roman" w:eastAsia="Times New Roman" w:hAnsi="Times New Roman" w:cs="Times New Roman"/>
                <w:b/>
                <w:bCs/>
                <w:sz w:val="24"/>
                <w:szCs w:val="24"/>
              </w:rPr>
            </w:pPr>
            <w:r w:rsidRPr="00513B3D">
              <w:rPr>
                <w:rFonts w:ascii="Times New Roman" w:hAnsi="Times New Roman" w:cs="Times New Roman"/>
                <w:sz w:val="24"/>
                <w:szCs w:val="24"/>
              </w:rPr>
              <w:t>Figure 2. The educational level of the respondents</w:t>
            </w:r>
          </w:p>
        </w:tc>
      </w:tr>
      <w:tr w:rsidR="003C69B9" w14:paraId="189527FF" w14:textId="77777777" w:rsidTr="00761073">
        <w:trPr>
          <w:trHeight w:val="2731"/>
        </w:trPr>
        <w:tc>
          <w:tcPr>
            <w:tcW w:w="4866" w:type="dxa"/>
          </w:tcPr>
          <w:p w14:paraId="54D07608" w14:textId="77777777" w:rsidR="003C69B9" w:rsidRDefault="003C69B9" w:rsidP="003B687B">
            <w:pPr>
              <w:spacing w:before="100" w:beforeAutospacing="1" w:after="100" w:afterAutospacing="1"/>
              <w:jc w:val="both"/>
              <w:rPr>
                <w:rFonts w:ascii="Times New Roman" w:eastAsia="Times New Roman" w:hAnsi="Times New Roman" w:cs="Times New Roman"/>
                <w:b/>
                <w:bCs/>
                <w:sz w:val="24"/>
                <w:szCs w:val="24"/>
              </w:rPr>
            </w:pPr>
            <w:r w:rsidRPr="003C69B9">
              <w:rPr>
                <w:rFonts w:ascii="Times New Roman" w:eastAsia="Times New Roman" w:hAnsi="Times New Roman" w:cs="Times New Roman"/>
                <w:b/>
                <w:bCs/>
                <w:noProof/>
                <w:sz w:val="24"/>
                <w:szCs w:val="24"/>
              </w:rPr>
              <w:lastRenderedPageBreak/>
              <w:drawing>
                <wp:anchor distT="0" distB="0" distL="114300" distR="114300" simplePos="0" relativeHeight="251659264" behindDoc="1" locked="0" layoutInCell="1" allowOverlap="1" wp14:anchorId="3F8EFB21" wp14:editId="016C925F">
                  <wp:simplePos x="0" y="0"/>
                  <wp:positionH relativeFrom="column">
                    <wp:posOffset>-3059</wp:posOffset>
                  </wp:positionH>
                  <wp:positionV relativeFrom="paragraph">
                    <wp:posOffset>62346</wp:posOffset>
                  </wp:positionV>
                  <wp:extent cx="2686050" cy="1592690"/>
                  <wp:effectExtent l="0" t="0" r="0" b="0"/>
                  <wp:wrapTight wrapText="bothSides">
                    <wp:wrapPolygon edited="0">
                      <wp:start x="0" y="0"/>
                      <wp:lineTo x="0" y="21445"/>
                      <wp:lineTo x="21447" y="21445"/>
                      <wp:lineTo x="21447" y="0"/>
                      <wp:lineTo x="0" y="0"/>
                    </wp:wrapPolygon>
                  </wp:wrapTight>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cupation.PNG"/>
                          <pic:cNvPicPr/>
                        </pic:nvPicPr>
                        <pic:blipFill>
                          <a:blip r:embed="rId9">
                            <a:extLst>
                              <a:ext uri="{28A0092B-C50C-407E-A947-70E740481C1C}">
                                <a14:useLocalDpi xmlns:a14="http://schemas.microsoft.com/office/drawing/2010/main" val="0"/>
                              </a:ext>
                            </a:extLst>
                          </a:blip>
                          <a:stretch>
                            <a:fillRect/>
                          </a:stretch>
                        </pic:blipFill>
                        <pic:spPr>
                          <a:xfrm>
                            <a:off x="0" y="0"/>
                            <a:ext cx="2686050" cy="1592690"/>
                          </a:xfrm>
                          <a:prstGeom prst="rect">
                            <a:avLst/>
                          </a:prstGeom>
                        </pic:spPr>
                      </pic:pic>
                    </a:graphicData>
                  </a:graphic>
                </wp:anchor>
              </w:drawing>
            </w:r>
          </w:p>
        </w:tc>
        <w:tc>
          <w:tcPr>
            <w:tcW w:w="4710" w:type="dxa"/>
          </w:tcPr>
          <w:p w14:paraId="5C4CE7E6" w14:textId="77777777" w:rsidR="003C69B9" w:rsidRDefault="003C69B9" w:rsidP="00761073">
            <w:pPr>
              <w:spacing w:before="100" w:beforeAutospacing="1"/>
              <w:jc w:val="both"/>
              <w:rPr>
                <w:rFonts w:ascii="Times New Roman" w:eastAsia="Times New Roman" w:hAnsi="Times New Roman" w:cs="Times New Roman"/>
                <w:b/>
                <w:bCs/>
                <w:sz w:val="24"/>
                <w:szCs w:val="24"/>
              </w:rPr>
            </w:pPr>
            <w:r w:rsidRPr="003C69B9">
              <w:rPr>
                <w:rFonts w:ascii="Times New Roman" w:eastAsia="Times New Roman" w:hAnsi="Times New Roman" w:cs="Times New Roman"/>
                <w:b/>
                <w:bCs/>
                <w:noProof/>
                <w:sz w:val="24"/>
                <w:szCs w:val="24"/>
              </w:rPr>
              <w:drawing>
                <wp:anchor distT="0" distB="0" distL="114300" distR="114300" simplePos="0" relativeHeight="251660288" behindDoc="1" locked="0" layoutInCell="1" allowOverlap="1" wp14:anchorId="5093C5F9" wp14:editId="376F4A62">
                  <wp:simplePos x="0" y="0"/>
                  <wp:positionH relativeFrom="column">
                    <wp:posOffset>3868</wp:posOffset>
                  </wp:positionH>
                  <wp:positionV relativeFrom="paragraph">
                    <wp:posOffset>48491</wp:posOffset>
                  </wp:positionV>
                  <wp:extent cx="2612992" cy="1559433"/>
                  <wp:effectExtent l="0" t="0" r="0" b="0"/>
                  <wp:wrapTight wrapText="bothSides">
                    <wp:wrapPolygon edited="0">
                      <wp:start x="0" y="0"/>
                      <wp:lineTo x="0" y="21380"/>
                      <wp:lineTo x="21421" y="21380"/>
                      <wp:lineTo x="21421" y="0"/>
                      <wp:lineTo x="0" y="0"/>
                    </wp:wrapPolygon>
                  </wp:wrapTight>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come.PNG"/>
                          <pic:cNvPicPr/>
                        </pic:nvPicPr>
                        <pic:blipFill>
                          <a:blip r:embed="rId10">
                            <a:extLst>
                              <a:ext uri="{28A0092B-C50C-407E-A947-70E740481C1C}">
                                <a14:useLocalDpi xmlns:a14="http://schemas.microsoft.com/office/drawing/2010/main" val="0"/>
                              </a:ext>
                            </a:extLst>
                          </a:blip>
                          <a:stretch>
                            <a:fillRect/>
                          </a:stretch>
                        </pic:blipFill>
                        <pic:spPr>
                          <a:xfrm>
                            <a:off x="0" y="0"/>
                            <a:ext cx="2612992" cy="1559433"/>
                          </a:xfrm>
                          <a:prstGeom prst="rect">
                            <a:avLst/>
                          </a:prstGeom>
                        </pic:spPr>
                      </pic:pic>
                    </a:graphicData>
                  </a:graphic>
                </wp:anchor>
              </w:drawing>
            </w:r>
          </w:p>
          <w:p w14:paraId="0D6937FA" w14:textId="77777777" w:rsidR="003C69B9" w:rsidRDefault="003C69B9" w:rsidP="00761073">
            <w:pPr>
              <w:jc w:val="both"/>
              <w:rPr>
                <w:rFonts w:ascii="Times New Roman" w:eastAsia="Times New Roman" w:hAnsi="Times New Roman" w:cs="Times New Roman"/>
                <w:b/>
                <w:bCs/>
                <w:sz w:val="24"/>
                <w:szCs w:val="24"/>
              </w:rPr>
            </w:pPr>
          </w:p>
        </w:tc>
      </w:tr>
      <w:tr w:rsidR="003C69B9" w14:paraId="1A999D63" w14:textId="77777777" w:rsidTr="00761073">
        <w:tc>
          <w:tcPr>
            <w:tcW w:w="4866" w:type="dxa"/>
          </w:tcPr>
          <w:p w14:paraId="2D2C21A1" w14:textId="77777777" w:rsidR="003C69B9" w:rsidRDefault="003C69B9" w:rsidP="006335A9">
            <w:pPr>
              <w:jc w:val="center"/>
              <w:rPr>
                <w:rFonts w:ascii="Times New Roman" w:eastAsia="Times New Roman" w:hAnsi="Times New Roman" w:cs="Times New Roman"/>
                <w:b/>
                <w:bCs/>
                <w:sz w:val="24"/>
                <w:szCs w:val="24"/>
              </w:rPr>
            </w:pPr>
            <w:r w:rsidRPr="00513B3D">
              <w:rPr>
                <w:rFonts w:ascii="Times New Roman" w:hAnsi="Times New Roman" w:cs="Times New Roman"/>
                <w:sz w:val="24"/>
                <w:szCs w:val="24"/>
              </w:rPr>
              <w:t>Figure 3. Occupation of the respondents</w:t>
            </w:r>
          </w:p>
        </w:tc>
        <w:tc>
          <w:tcPr>
            <w:tcW w:w="4710" w:type="dxa"/>
          </w:tcPr>
          <w:p w14:paraId="1112D59D" w14:textId="77777777" w:rsidR="003C69B9" w:rsidRDefault="003C69B9" w:rsidP="003C69B9">
            <w:pPr>
              <w:jc w:val="both"/>
              <w:rPr>
                <w:rFonts w:ascii="Times New Roman" w:eastAsia="Times New Roman" w:hAnsi="Times New Roman" w:cs="Times New Roman"/>
                <w:b/>
                <w:bCs/>
                <w:sz w:val="24"/>
                <w:szCs w:val="24"/>
              </w:rPr>
            </w:pPr>
            <w:r w:rsidRPr="00513B3D">
              <w:rPr>
                <w:rFonts w:ascii="Times New Roman" w:hAnsi="Times New Roman" w:cs="Times New Roman"/>
                <w:sz w:val="24"/>
                <w:szCs w:val="24"/>
              </w:rPr>
              <w:t>Figure 4. Monthly Income of the respondents</w:t>
            </w:r>
          </w:p>
        </w:tc>
      </w:tr>
      <w:tr w:rsidR="00761073" w14:paraId="3589E36E" w14:textId="77777777" w:rsidTr="0035640C">
        <w:trPr>
          <w:trHeight w:val="3100"/>
        </w:trPr>
        <w:tc>
          <w:tcPr>
            <w:tcW w:w="9576" w:type="dxa"/>
            <w:gridSpan w:val="2"/>
          </w:tcPr>
          <w:p w14:paraId="12379F08" w14:textId="77777777" w:rsidR="00761073" w:rsidRDefault="00761073" w:rsidP="00761073">
            <w:pPr>
              <w:spacing w:before="100" w:beforeAutospacing="1" w:after="100" w:afterAutospacing="1"/>
              <w:jc w:val="center"/>
              <w:rPr>
                <w:rFonts w:ascii="Times New Roman" w:eastAsia="Times New Roman" w:hAnsi="Times New Roman" w:cs="Times New Roman"/>
                <w:b/>
                <w:bCs/>
                <w:sz w:val="24"/>
                <w:szCs w:val="24"/>
              </w:rPr>
            </w:pPr>
          </w:p>
          <w:p w14:paraId="7ADCB4FE" w14:textId="77777777" w:rsidR="00761073" w:rsidRDefault="00761073" w:rsidP="003B687B">
            <w:pPr>
              <w:spacing w:before="100" w:beforeAutospacing="1" w:after="100" w:afterAutospacing="1"/>
              <w:jc w:val="both"/>
              <w:rPr>
                <w:rFonts w:ascii="Times New Roman" w:eastAsia="Times New Roman" w:hAnsi="Times New Roman" w:cs="Times New Roman"/>
                <w:b/>
                <w:bCs/>
                <w:sz w:val="24"/>
                <w:szCs w:val="24"/>
              </w:rPr>
            </w:pPr>
          </w:p>
          <w:p w14:paraId="0018723B" w14:textId="77777777" w:rsidR="00761073" w:rsidRDefault="00761073" w:rsidP="003B687B">
            <w:pPr>
              <w:spacing w:before="100" w:beforeAutospacing="1" w:after="100" w:afterAutospacing="1"/>
              <w:jc w:val="both"/>
              <w:rPr>
                <w:rFonts w:ascii="Times New Roman" w:eastAsia="Times New Roman" w:hAnsi="Times New Roman" w:cs="Times New Roman"/>
                <w:b/>
                <w:bCs/>
                <w:sz w:val="24"/>
                <w:szCs w:val="24"/>
              </w:rPr>
            </w:pPr>
          </w:p>
          <w:p w14:paraId="44E301F2" w14:textId="77777777" w:rsidR="00761073" w:rsidRDefault="00761073" w:rsidP="003B687B">
            <w:pPr>
              <w:spacing w:before="100" w:beforeAutospacing="1" w:after="100" w:afterAutospacing="1"/>
              <w:jc w:val="both"/>
              <w:rPr>
                <w:rFonts w:ascii="Times New Roman" w:eastAsia="Times New Roman" w:hAnsi="Times New Roman" w:cs="Times New Roman"/>
                <w:b/>
                <w:bCs/>
                <w:sz w:val="24"/>
                <w:szCs w:val="24"/>
              </w:rPr>
            </w:pPr>
          </w:p>
          <w:p w14:paraId="53CE89D0" w14:textId="77777777" w:rsidR="00761073" w:rsidRDefault="00761073" w:rsidP="00761073">
            <w:pPr>
              <w:spacing w:before="100" w:beforeAutospacing="1" w:after="100" w:afterAutospacing="1"/>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1" locked="0" layoutInCell="1" allowOverlap="1" wp14:anchorId="447D35DF" wp14:editId="1288766B">
                  <wp:simplePos x="0" y="0"/>
                  <wp:positionH relativeFrom="column">
                    <wp:posOffset>1619250</wp:posOffset>
                  </wp:positionH>
                  <wp:positionV relativeFrom="paragraph">
                    <wp:posOffset>-1149985</wp:posOffset>
                  </wp:positionV>
                  <wp:extent cx="2720975" cy="1495425"/>
                  <wp:effectExtent l="19050" t="0" r="3175" b="0"/>
                  <wp:wrapTight wrapText="bothSides">
                    <wp:wrapPolygon edited="0">
                      <wp:start x="-151" y="0"/>
                      <wp:lineTo x="-151" y="21462"/>
                      <wp:lineTo x="21625" y="21462"/>
                      <wp:lineTo x="21625" y="0"/>
                      <wp:lineTo x="-151" y="0"/>
                    </wp:wrapPolygon>
                  </wp:wrapTight>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mily.PNG"/>
                          <pic:cNvPicPr/>
                        </pic:nvPicPr>
                        <pic:blipFill>
                          <a:blip r:embed="rId11">
                            <a:extLst>
                              <a:ext uri="{28A0092B-C50C-407E-A947-70E740481C1C}">
                                <a14:useLocalDpi xmlns:a14="http://schemas.microsoft.com/office/drawing/2010/main" val="0"/>
                              </a:ext>
                            </a:extLst>
                          </a:blip>
                          <a:stretch>
                            <a:fillRect/>
                          </a:stretch>
                        </pic:blipFill>
                        <pic:spPr>
                          <a:xfrm>
                            <a:off x="0" y="0"/>
                            <a:ext cx="2720975" cy="1495425"/>
                          </a:xfrm>
                          <a:prstGeom prst="rect">
                            <a:avLst/>
                          </a:prstGeom>
                        </pic:spPr>
                      </pic:pic>
                    </a:graphicData>
                  </a:graphic>
                </wp:anchor>
              </w:drawing>
            </w:r>
          </w:p>
        </w:tc>
      </w:tr>
      <w:tr w:rsidR="00761073" w14:paraId="7F29AA39" w14:textId="77777777" w:rsidTr="0035640C">
        <w:trPr>
          <w:trHeight w:val="422"/>
        </w:trPr>
        <w:tc>
          <w:tcPr>
            <w:tcW w:w="9576" w:type="dxa"/>
            <w:gridSpan w:val="2"/>
          </w:tcPr>
          <w:p w14:paraId="05E6B7E6" w14:textId="77777777" w:rsidR="00761073" w:rsidRDefault="00761073" w:rsidP="00761073">
            <w:pPr>
              <w:jc w:val="center"/>
              <w:rPr>
                <w:rFonts w:ascii="Times New Roman" w:eastAsia="Times New Roman" w:hAnsi="Times New Roman" w:cs="Times New Roman"/>
                <w:b/>
                <w:bCs/>
                <w:sz w:val="24"/>
                <w:szCs w:val="24"/>
              </w:rPr>
            </w:pPr>
            <w:r w:rsidRPr="00513B3D">
              <w:rPr>
                <w:rFonts w:ascii="Times New Roman" w:hAnsi="Times New Roman" w:cs="Times New Roman"/>
                <w:sz w:val="24"/>
                <w:szCs w:val="24"/>
              </w:rPr>
              <w:t>Figure 5. The family type of the respondents</w:t>
            </w:r>
          </w:p>
        </w:tc>
      </w:tr>
    </w:tbl>
    <w:p w14:paraId="7C744B55" w14:textId="77777777" w:rsidR="0035640C" w:rsidRDefault="0035640C" w:rsidP="0035640C">
      <w:pPr>
        <w:spacing w:after="100" w:afterAutospacing="1"/>
        <w:jc w:val="both"/>
        <w:rPr>
          <w:rFonts w:ascii="Times New Roman" w:eastAsia="Times New Roman" w:hAnsi="Times New Roman" w:cs="Times New Roman"/>
          <w:b/>
          <w:bCs/>
          <w:sz w:val="24"/>
          <w:szCs w:val="24"/>
        </w:rPr>
      </w:pPr>
    </w:p>
    <w:p w14:paraId="79C84338" w14:textId="181EF08D" w:rsidR="009E49B7" w:rsidRPr="007A1A8D" w:rsidRDefault="00401910" w:rsidP="0035640C">
      <w:pPr>
        <w:spacing w:after="100" w:afterAutospacing="1"/>
        <w:jc w:val="both"/>
        <w:rPr>
          <w:rFonts w:ascii="Times New Roman" w:eastAsia="Times New Roman" w:hAnsi="Times New Roman" w:cs="Times New Roman"/>
          <w:bCs/>
          <w:sz w:val="24"/>
          <w:szCs w:val="24"/>
        </w:rPr>
      </w:pPr>
      <w:r w:rsidRPr="008F235B">
        <w:rPr>
          <w:rFonts w:ascii="Times New Roman" w:eastAsia="Times New Roman" w:hAnsi="Times New Roman" w:cs="Times New Roman"/>
          <w:b/>
          <w:bCs/>
          <w:sz w:val="24"/>
          <w:szCs w:val="24"/>
        </w:rPr>
        <w:t>Occupation:</w:t>
      </w:r>
      <w:r w:rsidRPr="003B687B">
        <w:rPr>
          <w:rFonts w:ascii="Times New Roman" w:eastAsia="Times New Roman" w:hAnsi="Times New Roman" w:cs="Times New Roman"/>
          <w:bCs/>
          <w:sz w:val="24"/>
          <w:szCs w:val="24"/>
        </w:rPr>
        <w:t xml:space="preserve"> Respondents were engaged in various roles</w:t>
      </w:r>
      <w:r>
        <w:rPr>
          <w:rFonts w:ascii="Times New Roman" w:eastAsia="Times New Roman" w:hAnsi="Times New Roman" w:cs="Times New Roman"/>
          <w:bCs/>
          <w:sz w:val="24"/>
          <w:szCs w:val="24"/>
        </w:rPr>
        <w:t xml:space="preserve"> – </w:t>
      </w:r>
      <w:r w:rsidRPr="003B687B">
        <w:rPr>
          <w:rFonts w:ascii="Times New Roman" w:eastAsia="Times New Roman" w:hAnsi="Times New Roman" w:cs="Times New Roman"/>
          <w:bCs/>
          <w:sz w:val="24"/>
          <w:szCs w:val="24"/>
        </w:rPr>
        <w:t>40</w:t>
      </w:r>
      <w:r>
        <w:rPr>
          <w:rFonts w:ascii="Times New Roman" w:eastAsia="Times New Roman" w:hAnsi="Times New Roman" w:cs="Times New Roman"/>
          <w:bCs/>
          <w:sz w:val="24"/>
          <w:szCs w:val="24"/>
        </w:rPr>
        <w:t xml:space="preserve"> per cent </w:t>
      </w:r>
      <w:r w:rsidRPr="003B687B">
        <w:rPr>
          <w:rFonts w:ascii="Times New Roman" w:eastAsia="Times New Roman" w:hAnsi="Times New Roman" w:cs="Times New Roman"/>
          <w:bCs/>
          <w:sz w:val="24"/>
          <w:szCs w:val="24"/>
        </w:rPr>
        <w:t>as general workers, 23.33</w:t>
      </w:r>
      <w:r w:rsidRPr="004142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per cent</w:t>
      </w:r>
      <w:r w:rsidRPr="003B687B">
        <w:rPr>
          <w:rFonts w:ascii="Times New Roman" w:eastAsia="Times New Roman" w:hAnsi="Times New Roman" w:cs="Times New Roman"/>
          <w:bCs/>
          <w:sz w:val="24"/>
          <w:szCs w:val="24"/>
        </w:rPr>
        <w:t xml:space="preserve"> in security services, 20</w:t>
      </w:r>
      <w:r w:rsidRPr="004142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per cent</w:t>
      </w:r>
      <w:r w:rsidRPr="003B687B">
        <w:rPr>
          <w:rFonts w:ascii="Times New Roman" w:eastAsia="Times New Roman" w:hAnsi="Times New Roman" w:cs="Times New Roman"/>
          <w:bCs/>
          <w:sz w:val="24"/>
          <w:szCs w:val="24"/>
        </w:rPr>
        <w:t xml:space="preserve"> as mess workers, and 16.66</w:t>
      </w:r>
      <w:r w:rsidRPr="004142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per cent</w:t>
      </w:r>
      <w:r w:rsidRPr="003B687B">
        <w:rPr>
          <w:rFonts w:ascii="Times New Roman" w:eastAsia="Times New Roman" w:hAnsi="Times New Roman" w:cs="Times New Roman"/>
          <w:bCs/>
          <w:sz w:val="24"/>
          <w:szCs w:val="24"/>
        </w:rPr>
        <w:t xml:space="preserve"> as clerical staff</w:t>
      </w:r>
      <w:r>
        <w:rPr>
          <w:rFonts w:ascii="Times New Roman" w:eastAsia="Times New Roman" w:hAnsi="Times New Roman" w:cs="Times New Roman"/>
          <w:bCs/>
          <w:sz w:val="24"/>
          <w:szCs w:val="24"/>
        </w:rPr>
        <w:t xml:space="preserve"> (Fig 3)</w:t>
      </w:r>
      <w:r w:rsidRPr="003B687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Regarding monthly income of the respondents showed that a</w:t>
      </w:r>
      <w:r w:rsidRPr="003B687B">
        <w:rPr>
          <w:rFonts w:ascii="Times New Roman" w:eastAsia="Times New Roman" w:hAnsi="Times New Roman" w:cs="Times New Roman"/>
          <w:bCs/>
          <w:sz w:val="24"/>
          <w:szCs w:val="24"/>
        </w:rPr>
        <w:t xml:space="preserve"> significant portion (63.33%) earned between ₹10,000–₹25,000 monthly, 33.33</w:t>
      </w:r>
      <w:r w:rsidRPr="004142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per cent</w:t>
      </w:r>
      <w:r w:rsidRPr="003B687B">
        <w:rPr>
          <w:rFonts w:ascii="Times New Roman" w:eastAsia="Times New Roman" w:hAnsi="Times New Roman" w:cs="Times New Roman"/>
          <w:bCs/>
          <w:sz w:val="24"/>
          <w:szCs w:val="24"/>
        </w:rPr>
        <w:t xml:space="preserve"> earned ₹25,000–₹50,000, and 3.33</w:t>
      </w:r>
      <w:r w:rsidRPr="004142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per cent</w:t>
      </w:r>
      <w:r w:rsidRPr="003B687B">
        <w:rPr>
          <w:rFonts w:ascii="Times New Roman" w:eastAsia="Times New Roman" w:hAnsi="Times New Roman" w:cs="Times New Roman"/>
          <w:bCs/>
          <w:sz w:val="24"/>
          <w:szCs w:val="24"/>
        </w:rPr>
        <w:t xml:space="preserve"> earned above ₹50,000</w:t>
      </w:r>
      <w:r>
        <w:rPr>
          <w:rFonts w:ascii="Times New Roman" w:eastAsia="Times New Roman" w:hAnsi="Times New Roman" w:cs="Times New Roman"/>
          <w:bCs/>
          <w:sz w:val="24"/>
          <w:szCs w:val="24"/>
        </w:rPr>
        <w:t xml:space="preserve"> (Fig 4)</w:t>
      </w:r>
      <w:r w:rsidRPr="003B687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3B687B">
        <w:rPr>
          <w:rFonts w:ascii="Times New Roman" w:eastAsia="Times New Roman" w:hAnsi="Times New Roman" w:cs="Times New Roman"/>
          <w:bCs/>
          <w:sz w:val="24"/>
          <w:szCs w:val="24"/>
        </w:rPr>
        <w:t>Family Type: The majority (70%) belonged to nuclear families, whi</w:t>
      </w:r>
      <w:r>
        <w:rPr>
          <w:rFonts w:ascii="Times New Roman" w:eastAsia="Times New Roman" w:hAnsi="Times New Roman" w:cs="Times New Roman"/>
          <w:bCs/>
          <w:sz w:val="24"/>
          <w:szCs w:val="24"/>
        </w:rPr>
        <w:t>le 30</w:t>
      </w:r>
      <w:r w:rsidRPr="004142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per cent were from joint families (Fig 5).</w:t>
      </w:r>
    </w:p>
    <w:p w14:paraId="4D0304ED" w14:textId="77777777" w:rsidR="003B687B" w:rsidRPr="003B687B" w:rsidRDefault="003B687B" w:rsidP="0035640C">
      <w:pPr>
        <w:spacing w:after="100" w:afterAutospacing="1"/>
        <w:jc w:val="both"/>
        <w:rPr>
          <w:rFonts w:ascii="Times New Roman" w:eastAsia="Times New Roman" w:hAnsi="Times New Roman" w:cs="Times New Roman"/>
          <w:b/>
          <w:bCs/>
          <w:sz w:val="24"/>
          <w:szCs w:val="24"/>
        </w:rPr>
      </w:pPr>
      <w:r w:rsidRPr="003B687B">
        <w:rPr>
          <w:rFonts w:ascii="Times New Roman" w:eastAsia="Times New Roman" w:hAnsi="Times New Roman" w:cs="Times New Roman"/>
          <w:b/>
          <w:bCs/>
          <w:sz w:val="24"/>
          <w:szCs w:val="24"/>
        </w:rPr>
        <w:t>4.2 Awareness and Usage of UPI</w:t>
      </w:r>
    </w:p>
    <w:p w14:paraId="07E0E38C" w14:textId="58F73D11" w:rsidR="003B687B" w:rsidRPr="003B687B" w:rsidRDefault="00FC6306" w:rsidP="00623541">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Analysis of data in Table 1</w:t>
      </w:r>
      <w:r w:rsidRPr="00FC630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revealed that, 90</w:t>
      </w:r>
      <w:r w:rsidR="004142D5" w:rsidRPr="004142D5">
        <w:rPr>
          <w:rFonts w:ascii="Times New Roman" w:eastAsia="Times New Roman" w:hAnsi="Times New Roman" w:cs="Times New Roman"/>
          <w:bCs/>
          <w:sz w:val="24"/>
          <w:szCs w:val="24"/>
        </w:rPr>
        <w:t xml:space="preserve"> </w:t>
      </w:r>
      <w:r w:rsidR="004142D5">
        <w:rPr>
          <w:rFonts w:ascii="Times New Roman" w:eastAsia="Times New Roman" w:hAnsi="Times New Roman" w:cs="Times New Roman"/>
          <w:bCs/>
          <w:sz w:val="24"/>
          <w:szCs w:val="24"/>
        </w:rPr>
        <w:t>per cent</w:t>
      </w:r>
      <w:r w:rsidR="003B687B" w:rsidRPr="003B687B">
        <w:rPr>
          <w:rFonts w:ascii="Times New Roman" w:eastAsia="Times New Roman" w:hAnsi="Times New Roman" w:cs="Times New Roman"/>
          <w:bCs/>
          <w:sz w:val="24"/>
          <w:szCs w:val="24"/>
        </w:rPr>
        <w:t xml:space="preserve"> of respondents owned Android smart</w:t>
      </w:r>
      <w:r>
        <w:rPr>
          <w:rFonts w:ascii="Times New Roman" w:eastAsia="Times New Roman" w:hAnsi="Times New Roman" w:cs="Times New Roman"/>
          <w:bCs/>
          <w:sz w:val="24"/>
          <w:szCs w:val="24"/>
        </w:rPr>
        <w:t xml:space="preserve"> </w:t>
      </w:r>
      <w:r w:rsidR="003B687B" w:rsidRPr="003B687B">
        <w:rPr>
          <w:rFonts w:ascii="Times New Roman" w:eastAsia="Times New Roman" w:hAnsi="Times New Roman" w:cs="Times New Roman"/>
          <w:bCs/>
          <w:sz w:val="24"/>
          <w:szCs w:val="24"/>
        </w:rPr>
        <w:t>phones.</w:t>
      </w:r>
      <w:r w:rsidR="00623541">
        <w:rPr>
          <w:rFonts w:ascii="Times New Roman" w:eastAsia="Times New Roman" w:hAnsi="Times New Roman" w:cs="Times New Roman"/>
          <w:bCs/>
          <w:sz w:val="24"/>
          <w:szCs w:val="24"/>
        </w:rPr>
        <w:t xml:space="preserve"> </w:t>
      </w:r>
      <w:r w:rsidR="003B687B" w:rsidRPr="003B687B">
        <w:rPr>
          <w:rFonts w:ascii="Times New Roman" w:eastAsia="Times New Roman" w:hAnsi="Times New Roman" w:cs="Times New Roman"/>
          <w:bCs/>
          <w:sz w:val="24"/>
          <w:szCs w:val="24"/>
        </w:rPr>
        <w:t>Only 42</w:t>
      </w:r>
      <w:r w:rsidR="004142D5" w:rsidRPr="004142D5">
        <w:rPr>
          <w:rFonts w:ascii="Times New Roman" w:eastAsia="Times New Roman" w:hAnsi="Times New Roman" w:cs="Times New Roman"/>
          <w:bCs/>
          <w:sz w:val="24"/>
          <w:szCs w:val="24"/>
        </w:rPr>
        <w:t xml:space="preserve"> </w:t>
      </w:r>
      <w:r w:rsidR="004142D5">
        <w:rPr>
          <w:rFonts w:ascii="Times New Roman" w:eastAsia="Times New Roman" w:hAnsi="Times New Roman" w:cs="Times New Roman"/>
          <w:bCs/>
          <w:sz w:val="24"/>
          <w:szCs w:val="24"/>
        </w:rPr>
        <w:t>per cent</w:t>
      </w:r>
      <w:r w:rsidR="003B687B" w:rsidRPr="003B687B">
        <w:rPr>
          <w:rFonts w:ascii="Times New Roman" w:eastAsia="Times New Roman" w:hAnsi="Times New Roman" w:cs="Times New Roman"/>
          <w:bCs/>
          <w:sz w:val="24"/>
          <w:szCs w:val="24"/>
        </w:rPr>
        <w:t xml:space="preserve"> had installed banking applications.</w:t>
      </w:r>
      <w:r w:rsidR="0015334D">
        <w:rPr>
          <w:rFonts w:ascii="Times New Roman" w:eastAsia="Times New Roman" w:hAnsi="Times New Roman" w:cs="Times New Roman"/>
          <w:bCs/>
          <w:sz w:val="24"/>
          <w:szCs w:val="24"/>
        </w:rPr>
        <w:t xml:space="preserve"> </w:t>
      </w:r>
      <w:r w:rsidR="004142D5">
        <w:rPr>
          <w:rFonts w:ascii="Times New Roman" w:eastAsia="Times New Roman" w:hAnsi="Times New Roman" w:cs="Times New Roman"/>
          <w:bCs/>
          <w:sz w:val="24"/>
          <w:szCs w:val="24"/>
        </w:rPr>
        <w:t>A</w:t>
      </w:r>
      <w:r w:rsidR="00B65744">
        <w:rPr>
          <w:rFonts w:ascii="Times New Roman" w:eastAsia="Times New Roman" w:hAnsi="Times New Roman" w:cs="Times New Roman"/>
          <w:bCs/>
          <w:sz w:val="24"/>
          <w:szCs w:val="24"/>
        </w:rPr>
        <w:t>bout</w:t>
      </w:r>
      <w:r w:rsidR="004142D5">
        <w:rPr>
          <w:rFonts w:ascii="Times New Roman" w:eastAsia="Times New Roman" w:hAnsi="Times New Roman" w:cs="Times New Roman"/>
          <w:bCs/>
          <w:sz w:val="24"/>
          <w:szCs w:val="24"/>
        </w:rPr>
        <w:t xml:space="preserve"> </w:t>
      </w:r>
      <w:r w:rsidR="003B687B" w:rsidRPr="003B687B">
        <w:rPr>
          <w:rFonts w:ascii="Times New Roman" w:eastAsia="Times New Roman" w:hAnsi="Times New Roman" w:cs="Times New Roman"/>
          <w:bCs/>
          <w:sz w:val="24"/>
          <w:szCs w:val="24"/>
        </w:rPr>
        <w:t>56</w:t>
      </w:r>
      <w:r w:rsidR="004142D5" w:rsidRPr="004142D5">
        <w:rPr>
          <w:rFonts w:ascii="Times New Roman" w:eastAsia="Times New Roman" w:hAnsi="Times New Roman" w:cs="Times New Roman"/>
          <w:bCs/>
          <w:sz w:val="24"/>
          <w:szCs w:val="24"/>
        </w:rPr>
        <w:t xml:space="preserve"> </w:t>
      </w:r>
      <w:r w:rsidR="004142D5">
        <w:rPr>
          <w:rFonts w:ascii="Times New Roman" w:eastAsia="Times New Roman" w:hAnsi="Times New Roman" w:cs="Times New Roman"/>
          <w:bCs/>
          <w:sz w:val="24"/>
          <w:szCs w:val="24"/>
        </w:rPr>
        <w:t>per cent</w:t>
      </w:r>
      <w:r w:rsidR="003B687B" w:rsidRPr="003B687B">
        <w:rPr>
          <w:rFonts w:ascii="Times New Roman" w:eastAsia="Times New Roman" w:hAnsi="Times New Roman" w:cs="Times New Roman"/>
          <w:bCs/>
          <w:sz w:val="24"/>
          <w:szCs w:val="24"/>
        </w:rPr>
        <w:t xml:space="preserve"> were aware of mobile banking services.</w:t>
      </w:r>
      <w:r w:rsidR="00623541">
        <w:rPr>
          <w:rFonts w:ascii="Times New Roman" w:eastAsia="Times New Roman" w:hAnsi="Times New Roman" w:cs="Times New Roman"/>
          <w:bCs/>
          <w:sz w:val="24"/>
          <w:szCs w:val="24"/>
        </w:rPr>
        <w:t xml:space="preserve"> </w:t>
      </w:r>
      <w:r w:rsidR="004142D5">
        <w:rPr>
          <w:rFonts w:ascii="Times New Roman" w:eastAsia="Times New Roman" w:hAnsi="Times New Roman" w:cs="Times New Roman"/>
          <w:bCs/>
          <w:sz w:val="24"/>
          <w:szCs w:val="24"/>
        </w:rPr>
        <w:t xml:space="preserve">Almost half of the </w:t>
      </w:r>
      <w:r w:rsidR="00B65744">
        <w:rPr>
          <w:rFonts w:ascii="Times New Roman" w:eastAsia="Times New Roman" w:hAnsi="Times New Roman" w:cs="Times New Roman"/>
          <w:bCs/>
          <w:sz w:val="24"/>
          <w:szCs w:val="24"/>
        </w:rPr>
        <w:t>respondent’s</w:t>
      </w:r>
      <w:r w:rsidR="004142D5">
        <w:rPr>
          <w:rFonts w:ascii="Times New Roman" w:eastAsia="Times New Roman" w:hAnsi="Times New Roman" w:cs="Times New Roman"/>
          <w:bCs/>
          <w:sz w:val="24"/>
          <w:szCs w:val="24"/>
        </w:rPr>
        <w:t xml:space="preserve"> </w:t>
      </w:r>
      <w:r w:rsidR="00881B8E">
        <w:rPr>
          <w:rFonts w:ascii="Times New Roman" w:eastAsia="Times New Roman" w:hAnsi="Times New Roman" w:cs="Times New Roman"/>
          <w:bCs/>
          <w:sz w:val="24"/>
          <w:szCs w:val="24"/>
        </w:rPr>
        <w:t>i.e.</w:t>
      </w:r>
      <w:r w:rsidR="004142D5">
        <w:rPr>
          <w:rFonts w:ascii="Times New Roman" w:eastAsia="Times New Roman" w:hAnsi="Times New Roman" w:cs="Times New Roman"/>
          <w:bCs/>
          <w:sz w:val="24"/>
          <w:szCs w:val="24"/>
        </w:rPr>
        <w:t xml:space="preserve"> </w:t>
      </w:r>
      <w:r w:rsidR="003B687B" w:rsidRPr="003B687B">
        <w:rPr>
          <w:rFonts w:ascii="Times New Roman" w:eastAsia="Times New Roman" w:hAnsi="Times New Roman" w:cs="Times New Roman"/>
          <w:bCs/>
          <w:sz w:val="24"/>
          <w:szCs w:val="24"/>
        </w:rPr>
        <w:t>49</w:t>
      </w:r>
      <w:r w:rsidR="004142D5" w:rsidRPr="004142D5">
        <w:rPr>
          <w:rFonts w:ascii="Times New Roman" w:eastAsia="Times New Roman" w:hAnsi="Times New Roman" w:cs="Times New Roman"/>
          <w:bCs/>
          <w:sz w:val="24"/>
          <w:szCs w:val="24"/>
        </w:rPr>
        <w:t xml:space="preserve"> </w:t>
      </w:r>
      <w:r w:rsidR="004142D5">
        <w:rPr>
          <w:rFonts w:ascii="Times New Roman" w:eastAsia="Times New Roman" w:hAnsi="Times New Roman" w:cs="Times New Roman"/>
          <w:bCs/>
          <w:sz w:val="24"/>
          <w:szCs w:val="24"/>
        </w:rPr>
        <w:t>per cent</w:t>
      </w:r>
      <w:r w:rsidR="003B687B" w:rsidRPr="003B687B">
        <w:rPr>
          <w:rFonts w:ascii="Times New Roman" w:eastAsia="Times New Roman" w:hAnsi="Times New Roman" w:cs="Times New Roman"/>
          <w:bCs/>
          <w:sz w:val="24"/>
          <w:szCs w:val="24"/>
        </w:rPr>
        <w:t xml:space="preserve"> of respondent</w:t>
      </w:r>
      <w:r w:rsidR="004142D5">
        <w:rPr>
          <w:rFonts w:ascii="Times New Roman" w:eastAsia="Times New Roman" w:hAnsi="Times New Roman" w:cs="Times New Roman"/>
          <w:bCs/>
          <w:sz w:val="24"/>
          <w:szCs w:val="24"/>
        </w:rPr>
        <w:t xml:space="preserve">s </w:t>
      </w:r>
      <w:r w:rsidR="008F235B">
        <w:rPr>
          <w:rFonts w:ascii="Times New Roman" w:eastAsia="Times New Roman" w:hAnsi="Times New Roman" w:cs="Times New Roman"/>
          <w:bCs/>
          <w:sz w:val="24"/>
          <w:szCs w:val="24"/>
        </w:rPr>
        <w:t>was</w:t>
      </w:r>
      <w:r w:rsidR="004142D5">
        <w:rPr>
          <w:rFonts w:ascii="Times New Roman" w:eastAsia="Times New Roman" w:hAnsi="Times New Roman" w:cs="Times New Roman"/>
          <w:bCs/>
          <w:sz w:val="24"/>
          <w:szCs w:val="24"/>
        </w:rPr>
        <w:t xml:space="preserve"> aware of internet frauds and a very meager per cent (5</w:t>
      </w:r>
      <w:r w:rsidR="003B687B" w:rsidRPr="003B687B">
        <w:rPr>
          <w:rFonts w:ascii="Times New Roman" w:eastAsia="Times New Roman" w:hAnsi="Times New Roman" w:cs="Times New Roman"/>
          <w:bCs/>
          <w:sz w:val="24"/>
          <w:szCs w:val="24"/>
        </w:rPr>
        <w:t>%</w:t>
      </w:r>
      <w:r w:rsidR="004142D5">
        <w:rPr>
          <w:rFonts w:ascii="Times New Roman" w:eastAsia="Times New Roman" w:hAnsi="Times New Roman" w:cs="Times New Roman"/>
          <w:bCs/>
          <w:sz w:val="24"/>
          <w:szCs w:val="24"/>
        </w:rPr>
        <w:t>)</w:t>
      </w:r>
      <w:r w:rsidR="003B687B" w:rsidRPr="003B687B">
        <w:rPr>
          <w:rFonts w:ascii="Times New Roman" w:eastAsia="Times New Roman" w:hAnsi="Times New Roman" w:cs="Times New Roman"/>
          <w:bCs/>
          <w:sz w:val="24"/>
          <w:szCs w:val="24"/>
        </w:rPr>
        <w:t xml:space="preserve"> had experienced financial losses due to cyber incidents.</w:t>
      </w:r>
      <w:r w:rsidR="0015334D">
        <w:rPr>
          <w:rFonts w:ascii="Times New Roman" w:eastAsia="Times New Roman" w:hAnsi="Times New Roman" w:cs="Times New Roman"/>
          <w:bCs/>
          <w:sz w:val="24"/>
          <w:szCs w:val="24"/>
        </w:rPr>
        <w:t xml:space="preserve"> </w:t>
      </w:r>
      <w:r w:rsidR="003B687B" w:rsidRPr="003B687B">
        <w:rPr>
          <w:rFonts w:ascii="Times New Roman" w:eastAsia="Times New Roman" w:hAnsi="Times New Roman" w:cs="Times New Roman"/>
          <w:bCs/>
          <w:sz w:val="24"/>
          <w:szCs w:val="24"/>
        </w:rPr>
        <w:t>UPI usage was primarily for mobile recharges, DTH payments, grocery shopping, and small transactions.</w:t>
      </w:r>
      <w:r w:rsidR="00623541">
        <w:rPr>
          <w:rFonts w:ascii="Times New Roman" w:eastAsia="Times New Roman" w:hAnsi="Times New Roman" w:cs="Times New Roman"/>
          <w:bCs/>
          <w:sz w:val="24"/>
          <w:szCs w:val="24"/>
        </w:rPr>
        <w:t xml:space="preserve"> </w:t>
      </w:r>
      <w:r w:rsidR="003B687B" w:rsidRPr="003B687B">
        <w:rPr>
          <w:rFonts w:ascii="Times New Roman" w:eastAsia="Times New Roman" w:hAnsi="Times New Roman" w:cs="Times New Roman"/>
          <w:bCs/>
          <w:sz w:val="24"/>
          <w:szCs w:val="24"/>
        </w:rPr>
        <w:t>Usage for large expenses like rent, utility bills, and investments was minimal.</w:t>
      </w:r>
    </w:p>
    <w:p w14:paraId="59863777" w14:textId="77777777" w:rsidR="00FC0185" w:rsidRPr="00623541" w:rsidRDefault="00FC0185" w:rsidP="00FC0185">
      <w:pPr>
        <w:spacing w:after="0"/>
        <w:jc w:val="both"/>
        <w:rPr>
          <w:rFonts w:ascii="Times New Roman" w:hAnsi="Times New Roman" w:cs="Times New Roman"/>
          <w:sz w:val="24"/>
          <w:szCs w:val="24"/>
        </w:rPr>
      </w:pPr>
      <w:r w:rsidRPr="00623541">
        <w:rPr>
          <w:rFonts w:ascii="Times New Roman" w:hAnsi="Times New Roman" w:cs="Times New Roman"/>
          <w:sz w:val="24"/>
          <w:szCs w:val="24"/>
        </w:rPr>
        <w:lastRenderedPageBreak/>
        <w:t>Table 1. Knowledge of respondents on UPI payment facility</w:t>
      </w:r>
    </w:p>
    <w:tbl>
      <w:tblPr>
        <w:tblStyle w:val="TableGrid"/>
        <w:tblW w:w="0" w:type="auto"/>
        <w:tblLook w:val="04A0" w:firstRow="1" w:lastRow="0" w:firstColumn="1" w:lastColumn="0" w:noHBand="0" w:noVBand="1"/>
      </w:tblPr>
      <w:tblGrid>
        <w:gridCol w:w="4786"/>
        <w:gridCol w:w="2126"/>
        <w:gridCol w:w="2330"/>
      </w:tblGrid>
      <w:tr w:rsidR="00FC0185" w14:paraId="691CACB8" w14:textId="77777777" w:rsidTr="00C96CC1">
        <w:tc>
          <w:tcPr>
            <w:tcW w:w="4786" w:type="dxa"/>
          </w:tcPr>
          <w:p w14:paraId="0D0AC69F" w14:textId="77777777" w:rsidR="00FC0185" w:rsidRDefault="00FC0185" w:rsidP="00C96CC1">
            <w:pPr>
              <w:jc w:val="both"/>
              <w:rPr>
                <w:rFonts w:ascii="Times New Roman" w:hAnsi="Times New Roman" w:cs="Times New Roman"/>
                <w:sz w:val="24"/>
                <w:szCs w:val="24"/>
              </w:rPr>
            </w:pPr>
            <w:r>
              <w:rPr>
                <w:rFonts w:ascii="Times New Roman" w:hAnsi="Times New Roman" w:cs="Times New Roman"/>
                <w:sz w:val="24"/>
                <w:szCs w:val="24"/>
              </w:rPr>
              <w:t>Statement</w:t>
            </w:r>
          </w:p>
          <w:p w14:paraId="717274EF" w14:textId="77777777" w:rsidR="00FC0185" w:rsidRDefault="00FC0185" w:rsidP="00C96CC1">
            <w:pPr>
              <w:jc w:val="both"/>
              <w:rPr>
                <w:rFonts w:ascii="Times New Roman" w:hAnsi="Times New Roman" w:cs="Times New Roman"/>
                <w:sz w:val="24"/>
                <w:szCs w:val="24"/>
              </w:rPr>
            </w:pPr>
          </w:p>
        </w:tc>
        <w:tc>
          <w:tcPr>
            <w:tcW w:w="2126" w:type="dxa"/>
          </w:tcPr>
          <w:p w14:paraId="4EFCF759"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Yes</w:t>
            </w:r>
          </w:p>
        </w:tc>
        <w:tc>
          <w:tcPr>
            <w:tcW w:w="2330" w:type="dxa"/>
          </w:tcPr>
          <w:p w14:paraId="59A9FB5B"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No</w:t>
            </w:r>
          </w:p>
        </w:tc>
      </w:tr>
      <w:tr w:rsidR="00FC0185" w14:paraId="1BACF368" w14:textId="77777777" w:rsidTr="00C96CC1">
        <w:tc>
          <w:tcPr>
            <w:tcW w:w="4786" w:type="dxa"/>
          </w:tcPr>
          <w:p w14:paraId="0C1B06CF" w14:textId="77777777" w:rsidR="00FC0185" w:rsidRDefault="00FC0185" w:rsidP="00C96CC1">
            <w:pPr>
              <w:jc w:val="both"/>
              <w:rPr>
                <w:rFonts w:ascii="Times New Roman" w:hAnsi="Times New Roman" w:cs="Times New Roman"/>
                <w:sz w:val="24"/>
                <w:szCs w:val="24"/>
              </w:rPr>
            </w:pPr>
            <w:r w:rsidRPr="008D7CF8">
              <w:rPr>
                <w:rFonts w:ascii="Times New Roman" w:hAnsi="Times New Roman" w:cs="Times New Roman"/>
                <w:sz w:val="24"/>
                <w:szCs w:val="24"/>
              </w:rPr>
              <w:t xml:space="preserve">Do you have </w:t>
            </w:r>
            <w:r>
              <w:rPr>
                <w:rFonts w:ascii="Times New Roman" w:hAnsi="Times New Roman" w:cs="Times New Roman"/>
                <w:sz w:val="24"/>
                <w:szCs w:val="24"/>
              </w:rPr>
              <w:t>an Android</w:t>
            </w:r>
            <w:r w:rsidRPr="008D7CF8">
              <w:rPr>
                <w:rFonts w:ascii="Times New Roman" w:hAnsi="Times New Roman" w:cs="Times New Roman"/>
                <w:sz w:val="24"/>
                <w:szCs w:val="24"/>
              </w:rPr>
              <w:t xml:space="preserve"> phone</w:t>
            </w:r>
          </w:p>
        </w:tc>
        <w:tc>
          <w:tcPr>
            <w:tcW w:w="2126" w:type="dxa"/>
          </w:tcPr>
          <w:p w14:paraId="03E0DF43"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45</w:t>
            </w:r>
          </w:p>
          <w:p w14:paraId="64E1B952"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(90.00)</w:t>
            </w:r>
          </w:p>
        </w:tc>
        <w:tc>
          <w:tcPr>
            <w:tcW w:w="2330" w:type="dxa"/>
          </w:tcPr>
          <w:p w14:paraId="428F7088"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5</w:t>
            </w:r>
          </w:p>
          <w:p w14:paraId="13DCE0E8"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(10.00)</w:t>
            </w:r>
          </w:p>
        </w:tc>
      </w:tr>
      <w:tr w:rsidR="00FC0185" w14:paraId="67B4B32F" w14:textId="77777777" w:rsidTr="00C96CC1">
        <w:tc>
          <w:tcPr>
            <w:tcW w:w="4786" w:type="dxa"/>
          </w:tcPr>
          <w:p w14:paraId="5502AF6D" w14:textId="77777777" w:rsidR="00FC0185" w:rsidRDefault="00FC0185" w:rsidP="00C96CC1">
            <w:pPr>
              <w:jc w:val="both"/>
              <w:rPr>
                <w:rFonts w:ascii="Times New Roman" w:hAnsi="Times New Roman" w:cs="Times New Roman"/>
                <w:sz w:val="24"/>
                <w:szCs w:val="24"/>
              </w:rPr>
            </w:pPr>
            <w:r w:rsidRPr="00FB0583">
              <w:rPr>
                <w:rFonts w:ascii="Times New Roman" w:hAnsi="Times New Roman" w:cs="Times New Roman"/>
                <w:sz w:val="24"/>
                <w:szCs w:val="24"/>
              </w:rPr>
              <w:t xml:space="preserve">Do you know how to use </w:t>
            </w:r>
            <w:r>
              <w:rPr>
                <w:rFonts w:ascii="Times New Roman" w:hAnsi="Times New Roman" w:cs="Times New Roman"/>
                <w:sz w:val="24"/>
                <w:szCs w:val="24"/>
              </w:rPr>
              <w:t xml:space="preserve">an </w:t>
            </w:r>
            <w:r w:rsidRPr="00FB0583">
              <w:rPr>
                <w:rFonts w:ascii="Times New Roman" w:hAnsi="Times New Roman" w:cs="Times New Roman"/>
                <w:sz w:val="24"/>
                <w:szCs w:val="24"/>
              </w:rPr>
              <w:t>android phone</w:t>
            </w:r>
          </w:p>
        </w:tc>
        <w:tc>
          <w:tcPr>
            <w:tcW w:w="2126" w:type="dxa"/>
          </w:tcPr>
          <w:p w14:paraId="6310CFD9"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41</w:t>
            </w:r>
          </w:p>
          <w:p w14:paraId="17029D36"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(82.00)</w:t>
            </w:r>
          </w:p>
        </w:tc>
        <w:tc>
          <w:tcPr>
            <w:tcW w:w="2330" w:type="dxa"/>
          </w:tcPr>
          <w:p w14:paraId="5A55F13D"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9</w:t>
            </w:r>
          </w:p>
          <w:p w14:paraId="2E149C16"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(18.00)</w:t>
            </w:r>
          </w:p>
        </w:tc>
      </w:tr>
      <w:tr w:rsidR="00FC0185" w14:paraId="527A96DF" w14:textId="77777777" w:rsidTr="00C96CC1">
        <w:tc>
          <w:tcPr>
            <w:tcW w:w="4786" w:type="dxa"/>
          </w:tcPr>
          <w:p w14:paraId="1A4AFEF3" w14:textId="77777777" w:rsidR="00FC0185" w:rsidRDefault="00FC0185" w:rsidP="00C96CC1">
            <w:pPr>
              <w:jc w:val="both"/>
              <w:rPr>
                <w:rFonts w:ascii="Times New Roman" w:hAnsi="Times New Roman" w:cs="Times New Roman"/>
                <w:sz w:val="24"/>
                <w:szCs w:val="24"/>
              </w:rPr>
            </w:pPr>
            <w:r>
              <w:rPr>
                <w:rFonts w:ascii="Times New Roman" w:hAnsi="Times New Roman" w:cs="Times New Roman"/>
                <w:sz w:val="24"/>
                <w:szCs w:val="24"/>
              </w:rPr>
              <w:t>Is any banking app installed</w:t>
            </w:r>
          </w:p>
        </w:tc>
        <w:tc>
          <w:tcPr>
            <w:tcW w:w="2126" w:type="dxa"/>
          </w:tcPr>
          <w:p w14:paraId="4A2360D5"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21</w:t>
            </w:r>
          </w:p>
          <w:p w14:paraId="4A4699D4"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(42.00)</w:t>
            </w:r>
          </w:p>
        </w:tc>
        <w:tc>
          <w:tcPr>
            <w:tcW w:w="2330" w:type="dxa"/>
          </w:tcPr>
          <w:p w14:paraId="11883AAD"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29</w:t>
            </w:r>
          </w:p>
          <w:p w14:paraId="323FBE77"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(58.00)</w:t>
            </w:r>
          </w:p>
        </w:tc>
      </w:tr>
      <w:tr w:rsidR="00FC0185" w14:paraId="159CD8C3" w14:textId="77777777" w:rsidTr="00C96CC1">
        <w:tc>
          <w:tcPr>
            <w:tcW w:w="4786" w:type="dxa"/>
          </w:tcPr>
          <w:p w14:paraId="43FAD954" w14:textId="77777777" w:rsidR="00FC0185" w:rsidRDefault="00FC0185" w:rsidP="00C96CC1">
            <w:pPr>
              <w:jc w:val="both"/>
              <w:rPr>
                <w:rFonts w:ascii="Times New Roman" w:hAnsi="Times New Roman" w:cs="Times New Roman"/>
                <w:sz w:val="24"/>
                <w:szCs w:val="24"/>
              </w:rPr>
            </w:pPr>
            <w:r>
              <w:rPr>
                <w:rFonts w:ascii="Times New Roman" w:hAnsi="Times New Roman" w:cs="Times New Roman"/>
                <w:sz w:val="24"/>
                <w:szCs w:val="24"/>
              </w:rPr>
              <w:t>Are you aware of mobile banking services</w:t>
            </w:r>
          </w:p>
        </w:tc>
        <w:tc>
          <w:tcPr>
            <w:tcW w:w="2126" w:type="dxa"/>
          </w:tcPr>
          <w:p w14:paraId="09705013"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28</w:t>
            </w:r>
          </w:p>
          <w:p w14:paraId="34BC933D"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(56.00)</w:t>
            </w:r>
          </w:p>
        </w:tc>
        <w:tc>
          <w:tcPr>
            <w:tcW w:w="2330" w:type="dxa"/>
          </w:tcPr>
          <w:p w14:paraId="416956B0"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22</w:t>
            </w:r>
          </w:p>
          <w:p w14:paraId="012F7B61"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(44.00)</w:t>
            </w:r>
          </w:p>
        </w:tc>
      </w:tr>
      <w:tr w:rsidR="00FC0185" w14:paraId="2609B107" w14:textId="77777777" w:rsidTr="00C96CC1">
        <w:tc>
          <w:tcPr>
            <w:tcW w:w="4786" w:type="dxa"/>
          </w:tcPr>
          <w:p w14:paraId="3D345DE0" w14:textId="77777777" w:rsidR="00FC0185" w:rsidRDefault="00FC0185" w:rsidP="00C96CC1">
            <w:pPr>
              <w:jc w:val="both"/>
              <w:rPr>
                <w:rFonts w:ascii="Times New Roman" w:hAnsi="Times New Roman" w:cs="Times New Roman"/>
                <w:sz w:val="24"/>
                <w:szCs w:val="24"/>
              </w:rPr>
            </w:pPr>
            <w:r>
              <w:rPr>
                <w:rFonts w:ascii="Times New Roman" w:hAnsi="Times New Roman" w:cs="Times New Roman"/>
                <w:sz w:val="24"/>
                <w:szCs w:val="24"/>
              </w:rPr>
              <w:t>Do you think mobile banking is safe</w:t>
            </w:r>
          </w:p>
        </w:tc>
        <w:tc>
          <w:tcPr>
            <w:tcW w:w="2126" w:type="dxa"/>
          </w:tcPr>
          <w:p w14:paraId="1D021FB9"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24</w:t>
            </w:r>
          </w:p>
          <w:p w14:paraId="7587C6FC"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(48.00)</w:t>
            </w:r>
          </w:p>
        </w:tc>
        <w:tc>
          <w:tcPr>
            <w:tcW w:w="2330" w:type="dxa"/>
          </w:tcPr>
          <w:p w14:paraId="74E99606"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26</w:t>
            </w:r>
          </w:p>
          <w:p w14:paraId="402D5459"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(52.00)</w:t>
            </w:r>
          </w:p>
        </w:tc>
      </w:tr>
      <w:tr w:rsidR="00FC0185" w14:paraId="3E9DDA0E" w14:textId="77777777" w:rsidTr="00C96CC1">
        <w:tc>
          <w:tcPr>
            <w:tcW w:w="4786" w:type="dxa"/>
          </w:tcPr>
          <w:p w14:paraId="5CD91316" w14:textId="77777777" w:rsidR="00FC0185" w:rsidRDefault="00FC0185" w:rsidP="00C96CC1">
            <w:pPr>
              <w:jc w:val="both"/>
              <w:rPr>
                <w:rFonts w:ascii="Times New Roman" w:hAnsi="Times New Roman" w:cs="Times New Roman"/>
                <w:sz w:val="24"/>
                <w:szCs w:val="24"/>
              </w:rPr>
            </w:pPr>
            <w:r>
              <w:rPr>
                <w:rFonts w:ascii="Times New Roman" w:hAnsi="Times New Roman" w:cs="Times New Roman"/>
                <w:sz w:val="24"/>
                <w:szCs w:val="24"/>
              </w:rPr>
              <w:t>Do you think mobile banking benefits you</w:t>
            </w:r>
          </w:p>
        </w:tc>
        <w:tc>
          <w:tcPr>
            <w:tcW w:w="2126" w:type="dxa"/>
          </w:tcPr>
          <w:p w14:paraId="0EBE2004"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26</w:t>
            </w:r>
          </w:p>
          <w:p w14:paraId="2EDEF7F2"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(52.00)</w:t>
            </w:r>
          </w:p>
        </w:tc>
        <w:tc>
          <w:tcPr>
            <w:tcW w:w="2330" w:type="dxa"/>
          </w:tcPr>
          <w:p w14:paraId="3ADAC51F"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24</w:t>
            </w:r>
          </w:p>
          <w:p w14:paraId="75C917AA"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(48.00)</w:t>
            </w:r>
          </w:p>
        </w:tc>
      </w:tr>
    </w:tbl>
    <w:p w14:paraId="48C32A52" w14:textId="77777777" w:rsidR="00FC0185" w:rsidRDefault="00FC0185" w:rsidP="00FC0185">
      <w:pPr>
        <w:jc w:val="both"/>
        <w:rPr>
          <w:rFonts w:ascii="Times New Roman" w:hAnsi="Times New Roman" w:cs="Times New Roman"/>
          <w:sz w:val="24"/>
          <w:szCs w:val="24"/>
        </w:rPr>
      </w:pPr>
    </w:p>
    <w:p w14:paraId="023B6076" w14:textId="77777777" w:rsidR="003B687B" w:rsidRPr="003B687B" w:rsidRDefault="003B687B" w:rsidP="0015334D">
      <w:pPr>
        <w:spacing w:after="0" w:line="360" w:lineRule="auto"/>
        <w:jc w:val="both"/>
        <w:rPr>
          <w:rFonts w:ascii="Times New Roman" w:eastAsia="Times New Roman" w:hAnsi="Times New Roman" w:cs="Times New Roman"/>
          <w:b/>
          <w:bCs/>
          <w:sz w:val="24"/>
          <w:szCs w:val="24"/>
        </w:rPr>
      </w:pPr>
      <w:r w:rsidRPr="003B687B">
        <w:rPr>
          <w:rFonts w:ascii="Times New Roman" w:eastAsia="Times New Roman" w:hAnsi="Times New Roman" w:cs="Times New Roman"/>
          <w:b/>
          <w:bCs/>
          <w:sz w:val="24"/>
          <w:szCs w:val="24"/>
        </w:rPr>
        <w:t>4.3 Statistical Analysis</w:t>
      </w:r>
    </w:p>
    <w:p w14:paraId="3AF04C16" w14:textId="77777777" w:rsidR="003B687B" w:rsidRDefault="003B687B" w:rsidP="003C69B9">
      <w:pPr>
        <w:spacing w:after="0" w:line="360" w:lineRule="auto"/>
        <w:ind w:firstLine="720"/>
        <w:jc w:val="both"/>
        <w:rPr>
          <w:rFonts w:ascii="Times New Roman" w:eastAsia="Times New Roman" w:hAnsi="Times New Roman" w:cs="Times New Roman"/>
          <w:bCs/>
          <w:sz w:val="24"/>
          <w:szCs w:val="24"/>
        </w:rPr>
      </w:pPr>
      <w:r w:rsidRPr="003B687B">
        <w:rPr>
          <w:rFonts w:ascii="Times New Roman" w:eastAsia="Times New Roman" w:hAnsi="Times New Roman" w:cs="Times New Roman"/>
          <w:bCs/>
          <w:sz w:val="24"/>
          <w:szCs w:val="24"/>
        </w:rPr>
        <w:t>Educational Level and UPI Usage: The t-test showed no significant difference in UPI usage between respondents with lower education levels and those with higher qualifications</w:t>
      </w:r>
      <w:r w:rsidR="00793D5B">
        <w:rPr>
          <w:rFonts w:ascii="Times New Roman" w:eastAsia="Times New Roman" w:hAnsi="Times New Roman" w:cs="Times New Roman"/>
          <w:bCs/>
          <w:sz w:val="24"/>
          <w:szCs w:val="24"/>
        </w:rPr>
        <w:t xml:space="preserve"> (Table 2)</w:t>
      </w:r>
      <w:r w:rsidRPr="003B687B">
        <w:rPr>
          <w:rFonts w:ascii="Times New Roman" w:eastAsia="Times New Roman" w:hAnsi="Times New Roman" w:cs="Times New Roman"/>
          <w:bCs/>
          <w:sz w:val="24"/>
          <w:szCs w:val="24"/>
        </w:rPr>
        <w:t>.</w:t>
      </w:r>
      <w:r w:rsidR="00421056">
        <w:rPr>
          <w:rFonts w:ascii="Times New Roman" w:eastAsia="Times New Roman" w:hAnsi="Times New Roman" w:cs="Times New Roman"/>
          <w:bCs/>
          <w:sz w:val="24"/>
          <w:szCs w:val="24"/>
        </w:rPr>
        <w:t xml:space="preserve"> </w:t>
      </w:r>
      <w:r w:rsidRPr="003B687B">
        <w:rPr>
          <w:rFonts w:ascii="Times New Roman" w:eastAsia="Times New Roman" w:hAnsi="Times New Roman" w:cs="Times New Roman"/>
          <w:bCs/>
          <w:sz w:val="24"/>
          <w:szCs w:val="24"/>
        </w:rPr>
        <w:t>Preference for UPI Usage</w:t>
      </w:r>
      <w:r w:rsidR="00793D5B">
        <w:rPr>
          <w:rFonts w:ascii="Times New Roman" w:eastAsia="Times New Roman" w:hAnsi="Times New Roman" w:cs="Times New Roman"/>
          <w:bCs/>
          <w:sz w:val="24"/>
          <w:szCs w:val="24"/>
        </w:rPr>
        <w:t xml:space="preserve"> (Table 3)</w:t>
      </w:r>
      <w:r w:rsidRPr="003B687B">
        <w:rPr>
          <w:rFonts w:ascii="Times New Roman" w:eastAsia="Times New Roman" w:hAnsi="Times New Roman" w:cs="Times New Roman"/>
          <w:bCs/>
          <w:sz w:val="24"/>
          <w:szCs w:val="24"/>
        </w:rPr>
        <w:t>: Garret ranking revealed mobile recharge as the top use, followed by DTH payments, grocery shopping, general shopping, vegetable purchases, rent payments, electricity bills, and loan repayments.</w:t>
      </w:r>
    </w:p>
    <w:p w14:paraId="2FA3AAD5" w14:textId="77777777" w:rsidR="00FC0185" w:rsidRPr="00623541" w:rsidRDefault="00FC0185" w:rsidP="00FC0185">
      <w:pPr>
        <w:spacing w:after="0"/>
        <w:jc w:val="both"/>
        <w:rPr>
          <w:rFonts w:ascii="Times New Roman" w:hAnsi="Times New Roman" w:cs="Times New Roman"/>
          <w:sz w:val="24"/>
          <w:szCs w:val="24"/>
        </w:rPr>
      </w:pPr>
      <w:r w:rsidRPr="00623541">
        <w:rPr>
          <w:rFonts w:ascii="Times New Roman" w:hAnsi="Times New Roman" w:cs="Times New Roman"/>
          <w:sz w:val="24"/>
          <w:szCs w:val="24"/>
        </w:rPr>
        <w:t>Table 2. t-test value for usage of UPI payment facility</w:t>
      </w:r>
    </w:p>
    <w:tbl>
      <w:tblPr>
        <w:tblStyle w:val="TableGrid"/>
        <w:tblW w:w="0" w:type="auto"/>
        <w:tblLook w:val="04A0" w:firstRow="1" w:lastRow="0" w:firstColumn="1" w:lastColumn="0" w:noHBand="0" w:noVBand="1"/>
      </w:tblPr>
      <w:tblGrid>
        <w:gridCol w:w="2802"/>
        <w:gridCol w:w="2126"/>
        <w:gridCol w:w="2003"/>
        <w:gridCol w:w="2311"/>
      </w:tblGrid>
      <w:tr w:rsidR="00FC0185" w:rsidRPr="006F7517" w14:paraId="2E54DD34" w14:textId="77777777" w:rsidTr="00C96CC1">
        <w:tc>
          <w:tcPr>
            <w:tcW w:w="2802" w:type="dxa"/>
          </w:tcPr>
          <w:p w14:paraId="34DD78C2" w14:textId="77777777" w:rsidR="00FC0185" w:rsidRPr="006F7517" w:rsidRDefault="00FC0185" w:rsidP="00C96CC1">
            <w:pPr>
              <w:jc w:val="center"/>
              <w:rPr>
                <w:rFonts w:ascii="Times New Roman" w:hAnsi="Times New Roman" w:cs="Times New Roman"/>
                <w:b/>
                <w:sz w:val="24"/>
                <w:szCs w:val="24"/>
              </w:rPr>
            </w:pPr>
            <w:r w:rsidRPr="006F7517">
              <w:rPr>
                <w:rFonts w:ascii="Times New Roman" w:hAnsi="Times New Roman"/>
                <w:b/>
                <w:bCs/>
                <w:sz w:val="24"/>
                <w:szCs w:val="24"/>
              </w:rPr>
              <w:t>Details</w:t>
            </w:r>
          </w:p>
        </w:tc>
        <w:tc>
          <w:tcPr>
            <w:tcW w:w="2126" w:type="dxa"/>
          </w:tcPr>
          <w:p w14:paraId="2F6E79FA" w14:textId="77777777" w:rsidR="00FC0185" w:rsidRPr="006F7517" w:rsidRDefault="00FC0185" w:rsidP="00C96CC1">
            <w:pPr>
              <w:spacing w:before="40" w:after="40"/>
              <w:jc w:val="center"/>
              <w:rPr>
                <w:rFonts w:ascii="Times New Roman" w:hAnsi="Times New Roman"/>
                <w:b/>
                <w:bCs/>
                <w:sz w:val="24"/>
                <w:szCs w:val="24"/>
              </w:rPr>
            </w:pPr>
            <w:r w:rsidRPr="006F7517">
              <w:rPr>
                <w:rFonts w:ascii="Times New Roman" w:hAnsi="Times New Roman"/>
                <w:b/>
                <w:bCs/>
                <w:sz w:val="24"/>
                <w:szCs w:val="24"/>
              </w:rPr>
              <w:t>Mean</w:t>
            </w:r>
          </w:p>
        </w:tc>
        <w:tc>
          <w:tcPr>
            <w:tcW w:w="2003" w:type="dxa"/>
          </w:tcPr>
          <w:p w14:paraId="3C4A3AF2" w14:textId="77777777" w:rsidR="00FC0185" w:rsidRPr="006F7517" w:rsidRDefault="00FC0185" w:rsidP="00C96CC1">
            <w:pPr>
              <w:spacing w:before="40" w:after="40"/>
              <w:jc w:val="center"/>
              <w:rPr>
                <w:rFonts w:ascii="Times New Roman" w:hAnsi="Times New Roman"/>
                <w:b/>
                <w:bCs/>
                <w:sz w:val="24"/>
                <w:szCs w:val="24"/>
              </w:rPr>
            </w:pPr>
            <w:r w:rsidRPr="006F7517">
              <w:rPr>
                <w:rFonts w:ascii="Times New Roman" w:hAnsi="Times New Roman"/>
                <w:b/>
                <w:bCs/>
                <w:sz w:val="24"/>
                <w:szCs w:val="24"/>
              </w:rPr>
              <w:t>S.D</w:t>
            </w:r>
          </w:p>
        </w:tc>
        <w:tc>
          <w:tcPr>
            <w:tcW w:w="2311" w:type="dxa"/>
          </w:tcPr>
          <w:p w14:paraId="06C42890" w14:textId="77777777" w:rsidR="00FC0185" w:rsidRPr="006F7517" w:rsidRDefault="00FC0185" w:rsidP="00C96CC1">
            <w:pPr>
              <w:jc w:val="center"/>
              <w:rPr>
                <w:rFonts w:ascii="Times New Roman" w:hAnsi="Times New Roman" w:cs="Times New Roman"/>
                <w:b/>
                <w:sz w:val="24"/>
                <w:szCs w:val="24"/>
              </w:rPr>
            </w:pPr>
            <w:r w:rsidRPr="006F7517">
              <w:rPr>
                <w:rFonts w:ascii="Times New Roman" w:hAnsi="Times New Roman" w:cs="Times New Roman"/>
                <w:b/>
                <w:sz w:val="24"/>
                <w:szCs w:val="24"/>
              </w:rPr>
              <w:t>t-value</w:t>
            </w:r>
          </w:p>
        </w:tc>
      </w:tr>
      <w:tr w:rsidR="00FC0185" w:rsidRPr="006F7517" w14:paraId="0D807ECA" w14:textId="77777777" w:rsidTr="00C96CC1">
        <w:tc>
          <w:tcPr>
            <w:tcW w:w="2802" w:type="dxa"/>
          </w:tcPr>
          <w:p w14:paraId="08B6D2E9" w14:textId="77777777" w:rsidR="00FC0185" w:rsidRPr="006F7517" w:rsidRDefault="00FC0185" w:rsidP="00C96CC1">
            <w:pPr>
              <w:jc w:val="center"/>
              <w:rPr>
                <w:rFonts w:ascii="Times New Roman" w:hAnsi="Times New Roman"/>
                <w:bCs/>
                <w:sz w:val="24"/>
                <w:szCs w:val="24"/>
              </w:rPr>
            </w:pPr>
          </w:p>
          <w:p w14:paraId="68C5DEE7" w14:textId="77777777" w:rsidR="00FC0185" w:rsidRPr="006F7517" w:rsidRDefault="00FC0185" w:rsidP="00C96CC1">
            <w:pPr>
              <w:jc w:val="center"/>
              <w:rPr>
                <w:rFonts w:ascii="Times New Roman" w:hAnsi="Times New Roman" w:cs="Times New Roman"/>
                <w:sz w:val="24"/>
                <w:szCs w:val="24"/>
              </w:rPr>
            </w:pPr>
            <w:r>
              <w:rPr>
                <w:rFonts w:ascii="Times New Roman" w:hAnsi="Times New Roman"/>
                <w:bCs/>
                <w:sz w:val="24"/>
                <w:szCs w:val="24"/>
              </w:rPr>
              <w:t>Low/No Education</w:t>
            </w:r>
          </w:p>
        </w:tc>
        <w:tc>
          <w:tcPr>
            <w:tcW w:w="2126" w:type="dxa"/>
          </w:tcPr>
          <w:p w14:paraId="0A052ED8" w14:textId="77777777" w:rsidR="00FC0185" w:rsidRPr="006F7517" w:rsidRDefault="00FC0185" w:rsidP="00C96CC1">
            <w:pPr>
              <w:jc w:val="center"/>
              <w:rPr>
                <w:rFonts w:ascii="Times New Roman" w:hAnsi="Times New Roman" w:cs="Times New Roman"/>
                <w:sz w:val="24"/>
                <w:szCs w:val="24"/>
              </w:rPr>
            </w:pPr>
          </w:p>
          <w:p w14:paraId="03E2CFAB"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9.80</w:t>
            </w:r>
          </w:p>
        </w:tc>
        <w:tc>
          <w:tcPr>
            <w:tcW w:w="2003" w:type="dxa"/>
          </w:tcPr>
          <w:p w14:paraId="2F457344" w14:textId="77777777" w:rsidR="00FC0185" w:rsidRPr="006F7517" w:rsidRDefault="00FC0185" w:rsidP="00C96CC1">
            <w:pPr>
              <w:jc w:val="center"/>
              <w:rPr>
                <w:rFonts w:ascii="Times New Roman" w:hAnsi="Times New Roman" w:cs="Times New Roman"/>
                <w:sz w:val="24"/>
                <w:szCs w:val="24"/>
              </w:rPr>
            </w:pPr>
          </w:p>
          <w:p w14:paraId="1663CE9F"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3.302</w:t>
            </w:r>
          </w:p>
        </w:tc>
        <w:tc>
          <w:tcPr>
            <w:tcW w:w="2311" w:type="dxa"/>
            <w:vMerge w:val="restart"/>
          </w:tcPr>
          <w:p w14:paraId="0DFA7837" w14:textId="77777777" w:rsidR="00FC0185" w:rsidRPr="006F7517" w:rsidRDefault="00FC0185" w:rsidP="00C96CC1">
            <w:pPr>
              <w:jc w:val="center"/>
              <w:rPr>
                <w:rFonts w:ascii="Times New Roman" w:hAnsi="Times New Roman" w:cs="Times New Roman"/>
                <w:sz w:val="24"/>
                <w:szCs w:val="24"/>
              </w:rPr>
            </w:pPr>
          </w:p>
          <w:p w14:paraId="5CE29046" w14:textId="77777777" w:rsidR="00FC0185" w:rsidRDefault="00FC0185" w:rsidP="00C96CC1">
            <w:pPr>
              <w:spacing w:before="40" w:after="40"/>
              <w:jc w:val="center"/>
              <w:rPr>
                <w:rFonts w:ascii="Times New Roman" w:hAnsi="Times New Roman"/>
                <w:sz w:val="24"/>
                <w:szCs w:val="24"/>
              </w:rPr>
            </w:pPr>
          </w:p>
          <w:p w14:paraId="7AC5B367" w14:textId="77777777" w:rsidR="00FC0185" w:rsidRPr="006F7517" w:rsidRDefault="00FC0185" w:rsidP="00FC0185">
            <w:pPr>
              <w:spacing w:before="40" w:after="40"/>
              <w:jc w:val="center"/>
              <w:rPr>
                <w:rFonts w:ascii="Times New Roman" w:hAnsi="Times New Roman" w:cs="Times New Roman"/>
                <w:sz w:val="24"/>
                <w:szCs w:val="24"/>
              </w:rPr>
            </w:pPr>
            <w:r w:rsidRPr="006F7517">
              <w:rPr>
                <w:rFonts w:ascii="Times New Roman" w:hAnsi="Times New Roman"/>
                <w:sz w:val="24"/>
                <w:szCs w:val="24"/>
              </w:rPr>
              <w:t>0.166</w:t>
            </w:r>
            <w:r w:rsidRPr="006F7517">
              <w:rPr>
                <w:rFonts w:ascii="Times New Roman" w:hAnsi="Times New Roman"/>
                <w:sz w:val="24"/>
                <w:szCs w:val="24"/>
                <w:vertAlign w:val="superscript"/>
              </w:rPr>
              <w:t>N.S</w:t>
            </w:r>
          </w:p>
        </w:tc>
      </w:tr>
      <w:tr w:rsidR="00FC0185" w:rsidRPr="006F7517" w14:paraId="2DC05E63" w14:textId="77777777" w:rsidTr="00C96CC1">
        <w:tc>
          <w:tcPr>
            <w:tcW w:w="2802" w:type="dxa"/>
          </w:tcPr>
          <w:p w14:paraId="158CD557" w14:textId="77777777" w:rsidR="00FC0185" w:rsidRPr="006F7517" w:rsidRDefault="00FC0185" w:rsidP="00C96CC1">
            <w:pPr>
              <w:jc w:val="center"/>
              <w:rPr>
                <w:rFonts w:ascii="Times New Roman" w:hAnsi="Times New Roman"/>
                <w:bCs/>
                <w:sz w:val="24"/>
                <w:szCs w:val="24"/>
              </w:rPr>
            </w:pPr>
          </w:p>
          <w:p w14:paraId="56E128CB" w14:textId="77777777" w:rsidR="00FC0185" w:rsidRPr="006F7517" w:rsidRDefault="00FC0185" w:rsidP="00C96CC1">
            <w:pPr>
              <w:jc w:val="center"/>
              <w:rPr>
                <w:rFonts w:ascii="Times New Roman" w:hAnsi="Times New Roman" w:cs="Times New Roman"/>
                <w:sz w:val="24"/>
                <w:szCs w:val="24"/>
              </w:rPr>
            </w:pPr>
            <w:r>
              <w:rPr>
                <w:rFonts w:ascii="Times New Roman" w:hAnsi="Times New Roman"/>
                <w:bCs/>
                <w:sz w:val="24"/>
                <w:szCs w:val="24"/>
              </w:rPr>
              <w:t>Higher Education</w:t>
            </w:r>
          </w:p>
        </w:tc>
        <w:tc>
          <w:tcPr>
            <w:tcW w:w="2126" w:type="dxa"/>
          </w:tcPr>
          <w:p w14:paraId="16E6EACF" w14:textId="77777777" w:rsidR="00FC0185" w:rsidRPr="006F7517" w:rsidRDefault="00FC0185" w:rsidP="00C96CC1">
            <w:pPr>
              <w:jc w:val="center"/>
              <w:rPr>
                <w:rFonts w:ascii="Times New Roman" w:hAnsi="Times New Roman" w:cs="Times New Roman"/>
                <w:sz w:val="24"/>
                <w:szCs w:val="24"/>
              </w:rPr>
            </w:pPr>
          </w:p>
          <w:p w14:paraId="33CAD2BA"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9.60</w:t>
            </w:r>
          </w:p>
        </w:tc>
        <w:tc>
          <w:tcPr>
            <w:tcW w:w="2003" w:type="dxa"/>
          </w:tcPr>
          <w:p w14:paraId="07030702" w14:textId="77777777" w:rsidR="00FC0185" w:rsidRPr="006F7517" w:rsidRDefault="00FC0185" w:rsidP="00C96CC1">
            <w:pPr>
              <w:jc w:val="center"/>
              <w:rPr>
                <w:rFonts w:ascii="Times New Roman" w:hAnsi="Times New Roman" w:cs="Times New Roman"/>
                <w:sz w:val="24"/>
                <w:szCs w:val="24"/>
              </w:rPr>
            </w:pPr>
          </w:p>
          <w:p w14:paraId="1A309E9D"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2.633</w:t>
            </w:r>
          </w:p>
        </w:tc>
        <w:tc>
          <w:tcPr>
            <w:tcW w:w="2311" w:type="dxa"/>
            <w:vMerge/>
          </w:tcPr>
          <w:p w14:paraId="56419A11" w14:textId="77777777" w:rsidR="00FC0185" w:rsidRPr="006F7517" w:rsidRDefault="00FC0185" w:rsidP="00C96CC1">
            <w:pPr>
              <w:jc w:val="center"/>
              <w:rPr>
                <w:rFonts w:ascii="Times New Roman" w:hAnsi="Times New Roman" w:cs="Times New Roman"/>
                <w:sz w:val="24"/>
                <w:szCs w:val="24"/>
              </w:rPr>
            </w:pPr>
          </w:p>
        </w:tc>
      </w:tr>
    </w:tbl>
    <w:p w14:paraId="47F1B822" w14:textId="77777777" w:rsidR="00FC0185" w:rsidRDefault="00FC0185" w:rsidP="00FC0185">
      <w:pPr>
        <w:jc w:val="both"/>
        <w:rPr>
          <w:rFonts w:ascii="Times New Roman" w:hAnsi="Times New Roman" w:cs="Times New Roman"/>
          <w:sz w:val="24"/>
          <w:szCs w:val="24"/>
        </w:rPr>
      </w:pPr>
    </w:p>
    <w:p w14:paraId="1F31C4B9" w14:textId="77777777" w:rsidR="00FC0185" w:rsidRPr="00623541" w:rsidRDefault="00FC0185" w:rsidP="00FC0185">
      <w:pPr>
        <w:spacing w:after="0"/>
        <w:jc w:val="both"/>
        <w:rPr>
          <w:rFonts w:ascii="Times New Roman" w:hAnsi="Times New Roman" w:cs="Times New Roman"/>
          <w:sz w:val="24"/>
          <w:szCs w:val="24"/>
        </w:rPr>
      </w:pPr>
      <w:r w:rsidRPr="00623541">
        <w:rPr>
          <w:rFonts w:ascii="Times New Roman" w:hAnsi="Times New Roman" w:cs="Times New Roman"/>
          <w:sz w:val="24"/>
          <w:szCs w:val="24"/>
        </w:rPr>
        <w:t xml:space="preserve">Table. 3 Preference of UPI for different payment purposes </w:t>
      </w:r>
    </w:p>
    <w:tbl>
      <w:tblPr>
        <w:tblStyle w:val="TableGrid"/>
        <w:tblW w:w="4867" w:type="pct"/>
        <w:tblLook w:val="04A0" w:firstRow="1" w:lastRow="0" w:firstColumn="1" w:lastColumn="0" w:noHBand="0" w:noVBand="1"/>
      </w:tblPr>
      <w:tblGrid>
        <w:gridCol w:w="3116"/>
        <w:gridCol w:w="3116"/>
        <w:gridCol w:w="2869"/>
      </w:tblGrid>
      <w:tr w:rsidR="00FC0185" w14:paraId="0817EC12" w14:textId="77777777" w:rsidTr="00C96CC1">
        <w:tc>
          <w:tcPr>
            <w:tcW w:w="1712" w:type="pct"/>
          </w:tcPr>
          <w:p w14:paraId="5354B4EA" w14:textId="77777777" w:rsidR="00FC0185" w:rsidRPr="006F7517" w:rsidRDefault="00FC0185" w:rsidP="00FC0185">
            <w:pPr>
              <w:jc w:val="center"/>
              <w:rPr>
                <w:rFonts w:ascii="Times New Roman" w:hAnsi="Times New Roman" w:cs="Times New Roman"/>
                <w:b/>
                <w:sz w:val="24"/>
                <w:szCs w:val="24"/>
              </w:rPr>
            </w:pPr>
            <w:r w:rsidRPr="006F7517">
              <w:rPr>
                <w:rFonts w:ascii="Times New Roman" w:hAnsi="Times New Roman" w:cs="Times New Roman"/>
                <w:b/>
                <w:sz w:val="24"/>
                <w:szCs w:val="24"/>
              </w:rPr>
              <w:t>Payment type</w:t>
            </w:r>
          </w:p>
          <w:p w14:paraId="73AD4853" w14:textId="77777777" w:rsidR="00FC0185" w:rsidRPr="006F7517" w:rsidRDefault="00FC0185" w:rsidP="00C96CC1">
            <w:pPr>
              <w:jc w:val="center"/>
              <w:rPr>
                <w:rFonts w:ascii="Times New Roman" w:hAnsi="Times New Roman" w:cs="Times New Roman"/>
                <w:b/>
                <w:sz w:val="24"/>
                <w:szCs w:val="24"/>
              </w:rPr>
            </w:pPr>
          </w:p>
        </w:tc>
        <w:tc>
          <w:tcPr>
            <w:tcW w:w="1712" w:type="pct"/>
          </w:tcPr>
          <w:p w14:paraId="59BC97C1" w14:textId="77777777" w:rsidR="00FC0185" w:rsidRPr="006F7517" w:rsidRDefault="00FC0185" w:rsidP="00C96CC1">
            <w:pPr>
              <w:jc w:val="center"/>
              <w:rPr>
                <w:rFonts w:ascii="Times New Roman" w:hAnsi="Times New Roman" w:cs="Times New Roman"/>
                <w:b/>
                <w:sz w:val="24"/>
                <w:szCs w:val="24"/>
              </w:rPr>
            </w:pPr>
            <w:r w:rsidRPr="006F7517">
              <w:rPr>
                <w:rFonts w:ascii="Times New Roman" w:hAnsi="Times New Roman" w:cs="Times New Roman"/>
                <w:b/>
                <w:sz w:val="24"/>
                <w:szCs w:val="24"/>
              </w:rPr>
              <w:t>Mean</w:t>
            </w:r>
          </w:p>
        </w:tc>
        <w:tc>
          <w:tcPr>
            <w:tcW w:w="1576" w:type="pct"/>
          </w:tcPr>
          <w:p w14:paraId="3316ADD7" w14:textId="77777777" w:rsidR="00FC0185" w:rsidRPr="006F7517" w:rsidRDefault="00FC0185" w:rsidP="00C96CC1">
            <w:pPr>
              <w:jc w:val="center"/>
              <w:rPr>
                <w:rFonts w:ascii="Times New Roman" w:hAnsi="Times New Roman" w:cs="Times New Roman"/>
                <w:b/>
                <w:sz w:val="24"/>
                <w:szCs w:val="24"/>
              </w:rPr>
            </w:pPr>
            <w:r w:rsidRPr="006F7517">
              <w:rPr>
                <w:rFonts w:ascii="Times New Roman" w:hAnsi="Times New Roman" w:cs="Times New Roman"/>
                <w:b/>
                <w:sz w:val="24"/>
                <w:szCs w:val="24"/>
              </w:rPr>
              <w:t>Rank</w:t>
            </w:r>
          </w:p>
        </w:tc>
      </w:tr>
      <w:tr w:rsidR="00FC0185" w14:paraId="460F1ACE" w14:textId="77777777" w:rsidTr="008F235B">
        <w:trPr>
          <w:trHeight w:val="386"/>
        </w:trPr>
        <w:tc>
          <w:tcPr>
            <w:tcW w:w="1712" w:type="pct"/>
          </w:tcPr>
          <w:p w14:paraId="18C835A6" w14:textId="77777777" w:rsidR="00FC0185" w:rsidRPr="006F7517" w:rsidRDefault="00FC0185" w:rsidP="00C96CC1">
            <w:pPr>
              <w:pStyle w:val="ListParagraph"/>
              <w:ind w:left="0"/>
              <w:jc w:val="center"/>
              <w:rPr>
                <w:rFonts w:ascii="Times New Roman" w:hAnsi="Times New Roman" w:cs="Times New Roman"/>
                <w:sz w:val="24"/>
                <w:szCs w:val="24"/>
              </w:rPr>
            </w:pPr>
            <w:r w:rsidRPr="006F7517">
              <w:rPr>
                <w:rFonts w:ascii="Times New Roman" w:hAnsi="Times New Roman" w:cs="Times New Roman"/>
                <w:sz w:val="24"/>
                <w:szCs w:val="24"/>
              </w:rPr>
              <w:t>DTH</w:t>
            </w:r>
          </w:p>
        </w:tc>
        <w:tc>
          <w:tcPr>
            <w:tcW w:w="1712" w:type="pct"/>
          </w:tcPr>
          <w:p w14:paraId="53BEE33E" w14:textId="77777777" w:rsidR="00FC0185" w:rsidRPr="006F7517" w:rsidRDefault="00FC0185" w:rsidP="008F235B">
            <w:pPr>
              <w:jc w:val="center"/>
              <w:rPr>
                <w:rFonts w:ascii="Times New Roman" w:hAnsi="Times New Roman" w:cs="Times New Roman"/>
                <w:sz w:val="24"/>
                <w:szCs w:val="24"/>
              </w:rPr>
            </w:pPr>
            <w:r w:rsidRPr="006F7517">
              <w:rPr>
                <w:rFonts w:ascii="Times New Roman" w:hAnsi="Times New Roman" w:cs="Times New Roman"/>
                <w:color w:val="000000"/>
                <w:sz w:val="24"/>
                <w:szCs w:val="24"/>
              </w:rPr>
              <w:t>66.13793</w:t>
            </w:r>
          </w:p>
        </w:tc>
        <w:tc>
          <w:tcPr>
            <w:tcW w:w="1576" w:type="pct"/>
          </w:tcPr>
          <w:p w14:paraId="5D20955E"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2</w:t>
            </w:r>
          </w:p>
        </w:tc>
      </w:tr>
      <w:tr w:rsidR="00FC0185" w14:paraId="1CE52D98" w14:textId="77777777" w:rsidTr="00C96CC1">
        <w:tc>
          <w:tcPr>
            <w:tcW w:w="1712" w:type="pct"/>
          </w:tcPr>
          <w:p w14:paraId="4C841AA4" w14:textId="77777777" w:rsidR="00FC0185" w:rsidRPr="006F7517" w:rsidRDefault="00FC0185" w:rsidP="00C96CC1">
            <w:pPr>
              <w:pStyle w:val="ListParagraph"/>
              <w:ind w:left="0"/>
              <w:jc w:val="center"/>
              <w:rPr>
                <w:rFonts w:ascii="Times New Roman" w:hAnsi="Times New Roman" w:cs="Times New Roman"/>
                <w:sz w:val="24"/>
                <w:szCs w:val="24"/>
              </w:rPr>
            </w:pPr>
            <w:r w:rsidRPr="006F7517">
              <w:rPr>
                <w:rFonts w:ascii="Times New Roman" w:hAnsi="Times New Roman" w:cs="Times New Roman"/>
                <w:sz w:val="24"/>
                <w:szCs w:val="24"/>
              </w:rPr>
              <w:t xml:space="preserve">Mobile </w:t>
            </w:r>
            <w:r>
              <w:rPr>
                <w:rFonts w:ascii="Times New Roman" w:hAnsi="Times New Roman" w:cs="Times New Roman"/>
                <w:sz w:val="24"/>
                <w:szCs w:val="24"/>
              </w:rPr>
              <w:t>Recharge</w:t>
            </w:r>
          </w:p>
        </w:tc>
        <w:tc>
          <w:tcPr>
            <w:tcW w:w="1712" w:type="pct"/>
          </w:tcPr>
          <w:p w14:paraId="02FEDC33"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68.4139</w:t>
            </w:r>
          </w:p>
        </w:tc>
        <w:tc>
          <w:tcPr>
            <w:tcW w:w="1576" w:type="pct"/>
          </w:tcPr>
          <w:p w14:paraId="0652431C"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1</w:t>
            </w:r>
          </w:p>
        </w:tc>
      </w:tr>
      <w:tr w:rsidR="00FC0185" w14:paraId="683BF483" w14:textId="77777777" w:rsidTr="00C96CC1">
        <w:tc>
          <w:tcPr>
            <w:tcW w:w="1712" w:type="pct"/>
          </w:tcPr>
          <w:p w14:paraId="1F12CEF8" w14:textId="77777777" w:rsidR="00FC0185" w:rsidRPr="006F7517" w:rsidRDefault="00FC0185" w:rsidP="00C96CC1">
            <w:pPr>
              <w:pStyle w:val="ListParagraph"/>
              <w:ind w:left="0"/>
              <w:jc w:val="center"/>
              <w:rPr>
                <w:rFonts w:ascii="Times New Roman" w:hAnsi="Times New Roman" w:cs="Times New Roman"/>
                <w:sz w:val="24"/>
                <w:szCs w:val="24"/>
              </w:rPr>
            </w:pPr>
            <w:r w:rsidRPr="006F7517">
              <w:rPr>
                <w:rFonts w:ascii="Times New Roman" w:hAnsi="Times New Roman" w:cs="Times New Roman"/>
                <w:sz w:val="24"/>
                <w:szCs w:val="24"/>
              </w:rPr>
              <w:t>Grocery payment</w:t>
            </w:r>
          </w:p>
        </w:tc>
        <w:tc>
          <w:tcPr>
            <w:tcW w:w="1712" w:type="pct"/>
          </w:tcPr>
          <w:p w14:paraId="2F9AB183"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65.31034</w:t>
            </w:r>
          </w:p>
        </w:tc>
        <w:tc>
          <w:tcPr>
            <w:tcW w:w="1576" w:type="pct"/>
          </w:tcPr>
          <w:p w14:paraId="5C98AD44"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3</w:t>
            </w:r>
          </w:p>
        </w:tc>
      </w:tr>
      <w:tr w:rsidR="00FC0185" w14:paraId="2C4E6528" w14:textId="77777777" w:rsidTr="00C96CC1">
        <w:tc>
          <w:tcPr>
            <w:tcW w:w="1712" w:type="pct"/>
          </w:tcPr>
          <w:p w14:paraId="5F202FD6" w14:textId="77777777" w:rsidR="00FC0185" w:rsidRPr="006F7517" w:rsidRDefault="00FC0185" w:rsidP="00C96CC1">
            <w:pPr>
              <w:pStyle w:val="ListParagraph"/>
              <w:ind w:left="0"/>
              <w:jc w:val="center"/>
              <w:rPr>
                <w:rFonts w:ascii="Times New Roman" w:hAnsi="Times New Roman" w:cs="Times New Roman"/>
                <w:sz w:val="24"/>
                <w:szCs w:val="24"/>
              </w:rPr>
            </w:pPr>
            <w:r w:rsidRPr="006F7517">
              <w:rPr>
                <w:rFonts w:ascii="Times New Roman" w:hAnsi="Times New Roman" w:cs="Times New Roman"/>
                <w:sz w:val="24"/>
                <w:szCs w:val="24"/>
              </w:rPr>
              <w:t>Vegetable payment</w:t>
            </w:r>
          </w:p>
        </w:tc>
        <w:tc>
          <w:tcPr>
            <w:tcW w:w="1712" w:type="pct"/>
          </w:tcPr>
          <w:p w14:paraId="70D8144F"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63.55172</w:t>
            </w:r>
          </w:p>
        </w:tc>
        <w:tc>
          <w:tcPr>
            <w:tcW w:w="1576" w:type="pct"/>
          </w:tcPr>
          <w:p w14:paraId="2C90064C"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5</w:t>
            </w:r>
          </w:p>
        </w:tc>
      </w:tr>
      <w:tr w:rsidR="00FC0185" w14:paraId="1CAEA197" w14:textId="77777777" w:rsidTr="00C96CC1">
        <w:tc>
          <w:tcPr>
            <w:tcW w:w="1712" w:type="pct"/>
          </w:tcPr>
          <w:p w14:paraId="568B7750" w14:textId="77777777" w:rsidR="00FC0185" w:rsidRPr="006F7517" w:rsidRDefault="00FC0185" w:rsidP="00C96CC1">
            <w:pPr>
              <w:pStyle w:val="ListParagraph"/>
              <w:ind w:left="0"/>
              <w:jc w:val="center"/>
              <w:rPr>
                <w:rFonts w:ascii="Times New Roman" w:hAnsi="Times New Roman" w:cs="Times New Roman"/>
                <w:sz w:val="24"/>
                <w:szCs w:val="24"/>
              </w:rPr>
            </w:pPr>
            <w:r w:rsidRPr="006F7517">
              <w:rPr>
                <w:rFonts w:ascii="Times New Roman" w:hAnsi="Times New Roman" w:cs="Times New Roman"/>
                <w:sz w:val="24"/>
                <w:szCs w:val="24"/>
              </w:rPr>
              <w:t>Electric bill</w:t>
            </w:r>
          </w:p>
        </w:tc>
        <w:tc>
          <w:tcPr>
            <w:tcW w:w="1712" w:type="pct"/>
          </w:tcPr>
          <w:p w14:paraId="3F6D125A"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61.58621</w:t>
            </w:r>
          </w:p>
        </w:tc>
        <w:tc>
          <w:tcPr>
            <w:tcW w:w="1576" w:type="pct"/>
          </w:tcPr>
          <w:p w14:paraId="5665DBD0"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7</w:t>
            </w:r>
          </w:p>
        </w:tc>
      </w:tr>
      <w:tr w:rsidR="00FC0185" w14:paraId="3F87D89A" w14:textId="77777777" w:rsidTr="00C96CC1">
        <w:tc>
          <w:tcPr>
            <w:tcW w:w="1712" w:type="pct"/>
          </w:tcPr>
          <w:p w14:paraId="7279EE53" w14:textId="77777777" w:rsidR="00FC0185" w:rsidRPr="006F7517" w:rsidRDefault="00FC0185" w:rsidP="00C96CC1">
            <w:pPr>
              <w:pStyle w:val="ListParagraph"/>
              <w:ind w:left="0"/>
              <w:jc w:val="center"/>
              <w:rPr>
                <w:rFonts w:ascii="Times New Roman" w:hAnsi="Times New Roman" w:cs="Times New Roman"/>
                <w:sz w:val="24"/>
                <w:szCs w:val="24"/>
              </w:rPr>
            </w:pPr>
            <w:r w:rsidRPr="006F7517">
              <w:rPr>
                <w:rFonts w:ascii="Times New Roman" w:hAnsi="Times New Roman" w:cs="Times New Roman"/>
                <w:sz w:val="24"/>
                <w:szCs w:val="24"/>
              </w:rPr>
              <w:t>Shopping</w:t>
            </w:r>
          </w:p>
        </w:tc>
        <w:tc>
          <w:tcPr>
            <w:tcW w:w="1712" w:type="pct"/>
          </w:tcPr>
          <w:p w14:paraId="4AB8E980"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63.75862</w:t>
            </w:r>
          </w:p>
        </w:tc>
        <w:tc>
          <w:tcPr>
            <w:tcW w:w="1576" w:type="pct"/>
          </w:tcPr>
          <w:p w14:paraId="32E2BD60"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4</w:t>
            </w:r>
          </w:p>
        </w:tc>
      </w:tr>
      <w:tr w:rsidR="00FC0185" w14:paraId="5E204086" w14:textId="77777777" w:rsidTr="00C96CC1">
        <w:tc>
          <w:tcPr>
            <w:tcW w:w="1712" w:type="pct"/>
          </w:tcPr>
          <w:p w14:paraId="598D65C8" w14:textId="77777777" w:rsidR="00FC0185" w:rsidRPr="006F7517" w:rsidRDefault="00FC0185" w:rsidP="00C96CC1">
            <w:pPr>
              <w:pStyle w:val="ListParagraph"/>
              <w:ind w:left="0"/>
              <w:jc w:val="center"/>
              <w:rPr>
                <w:rFonts w:ascii="Times New Roman" w:hAnsi="Times New Roman" w:cs="Times New Roman"/>
                <w:sz w:val="24"/>
                <w:szCs w:val="24"/>
              </w:rPr>
            </w:pPr>
            <w:r w:rsidRPr="006F7517">
              <w:rPr>
                <w:rFonts w:ascii="Times New Roman" w:hAnsi="Times New Roman" w:cs="Times New Roman"/>
                <w:sz w:val="24"/>
                <w:szCs w:val="24"/>
              </w:rPr>
              <w:t>Loan</w:t>
            </w:r>
          </w:p>
        </w:tc>
        <w:tc>
          <w:tcPr>
            <w:tcW w:w="1712" w:type="pct"/>
          </w:tcPr>
          <w:p w14:paraId="2086A1B2"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60.55172</w:t>
            </w:r>
          </w:p>
        </w:tc>
        <w:tc>
          <w:tcPr>
            <w:tcW w:w="1576" w:type="pct"/>
          </w:tcPr>
          <w:p w14:paraId="67F5DCB0"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8</w:t>
            </w:r>
          </w:p>
        </w:tc>
      </w:tr>
      <w:tr w:rsidR="00FC0185" w14:paraId="6A728DE4" w14:textId="77777777" w:rsidTr="00C96CC1">
        <w:tc>
          <w:tcPr>
            <w:tcW w:w="1712" w:type="pct"/>
          </w:tcPr>
          <w:p w14:paraId="165846CC" w14:textId="77777777" w:rsidR="00FC0185" w:rsidRPr="006F7517" w:rsidRDefault="00FC0185" w:rsidP="00C96CC1">
            <w:pPr>
              <w:pStyle w:val="ListParagraph"/>
              <w:ind w:left="0"/>
              <w:jc w:val="center"/>
              <w:rPr>
                <w:rFonts w:ascii="Times New Roman" w:hAnsi="Times New Roman" w:cs="Times New Roman"/>
                <w:sz w:val="24"/>
                <w:szCs w:val="24"/>
              </w:rPr>
            </w:pPr>
            <w:r w:rsidRPr="006F7517">
              <w:rPr>
                <w:rFonts w:ascii="Times New Roman" w:hAnsi="Times New Roman" w:cs="Times New Roman"/>
                <w:sz w:val="24"/>
                <w:szCs w:val="24"/>
              </w:rPr>
              <w:t>House rent</w:t>
            </w:r>
          </w:p>
        </w:tc>
        <w:tc>
          <w:tcPr>
            <w:tcW w:w="1712" w:type="pct"/>
          </w:tcPr>
          <w:p w14:paraId="53A0CC16"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62</w:t>
            </w:r>
          </w:p>
        </w:tc>
        <w:tc>
          <w:tcPr>
            <w:tcW w:w="1576" w:type="pct"/>
          </w:tcPr>
          <w:p w14:paraId="5AC248E0"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6</w:t>
            </w:r>
          </w:p>
        </w:tc>
      </w:tr>
    </w:tbl>
    <w:p w14:paraId="53FB5FD2" w14:textId="77777777" w:rsidR="003B687B" w:rsidRPr="003B687B" w:rsidRDefault="003B687B" w:rsidP="003B687B">
      <w:pPr>
        <w:spacing w:after="0" w:line="360" w:lineRule="auto"/>
        <w:jc w:val="both"/>
        <w:rPr>
          <w:rFonts w:ascii="Times New Roman" w:eastAsia="Times New Roman" w:hAnsi="Times New Roman" w:cs="Times New Roman"/>
          <w:b/>
          <w:bCs/>
          <w:sz w:val="24"/>
          <w:szCs w:val="24"/>
        </w:rPr>
      </w:pPr>
      <w:r w:rsidRPr="003B687B">
        <w:rPr>
          <w:rFonts w:ascii="Times New Roman" w:eastAsia="Times New Roman" w:hAnsi="Times New Roman" w:cs="Times New Roman"/>
          <w:b/>
          <w:bCs/>
          <w:sz w:val="24"/>
          <w:szCs w:val="24"/>
        </w:rPr>
        <w:lastRenderedPageBreak/>
        <w:t>5. Discussion</w:t>
      </w:r>
    </w:p>
    <w:p w14:paraId="6D97D547" w14:textId="2D38DE35" w:rsidR="003B687B" w:rsidRPr="00881B8E" w:rsidRDefault="003B687B" w:rsidP="00881B8E">
      <w:pPr>
        <w:spacing w:line="360" w:lineRule="auto"/>
        <w:jc w:val="both"/>
        <w:rPr>
          <w:rFonts w:ascii="Times New Roman" w:hAnsi="Times New Roman" w:cs="Times New Roman"/>
          <w:sz w:val="24"/>
          <w:szCs w:val="24"/>
        </w:rPr>
      </w:pPr>
      <w:r w:rsidRPr="00D47667">
        <w:rPr>
          <w:rFonts w:ascii="Times New Roman" w:eastAsia="Times New Roman" w:hAnsi="Times New Roman" w:cs="Times New Roman"/>
          <w:bCs/>
          <w:color w:val="000000" w:themeColor="text1"/>
          <w:sz w:val="24"/>
          <w:szCs w:val="24"/>
        </w:rPr>
        <w:t>The demographic data suggest that the study sample comprised primarily middle-aged individuals from nuclear families, with a moderate level of education and income. These characteristics likely influenced their comfort with digital payment systems like UPI.</w:t>
      </w:r>
      <w:r w:rsidR="00D47667" w:rsidRPr="00D47667">
        <w:rPr>
          <w:rFonts w:ascii="Times New Roman" w:eastAsia="Times New Roman" w:hAnsi="Times New Roman" w:cs="Times New Roman"/>
          <w:bCs/>
          <w:color w:val="000000" w:themeColor="text1"/>
          <w:sz w:val="24"/>
          <w:szCs w:val="24"/>
        </w:rPr>
        <w:t xml:space="preserve"> </w:t>
      </w:r>
      <w:r w:rsidR="00D47667" w:rsidRPr="00D47667">
        <w:rPr>
          <w:rFonts w:ascii="Times New Roman" w:hAnsi="Times New Roman" w:cs="Times New Roman"/>
          <w:color w:val="000000" w:themeColor="text1"/>
          <w:sz w:val="24"/>
          <w:szCs w:val="24"/>
        </w:rPr>
        <w:t xml:space="preserve">Recent study shows that the majority of the </w:t>
      </w:r>
      <w:r w:rsidR="00D47667" w:rsidRPr="00D47667">
        <w:rPr>
          <w:rFonts w:ascii="Times New Roman" w:hAnsi="Times New Roman" w:cs="Times New Roman"/>
          <w:color w:val="000000" w:themeColor="text1"/>
          <w:sz w:val="24"/>
          <w:szCs w:val="24"/>
        </w:rPr>
        <w:t xml:space="preserve">older </w:t>
      </w:r>
      <w:r w:rsidR="00D47667" w:rsidRPr="00D47667">
        <w:rPr>
          <w:rFonts w:ascii="Times New Roman" w:hAnsi="Times New Roman" w:cs="Times New Roman"/>
          <w:color w:val="000000" w:themeColor="text1"/>
          <w:sz w:val="24"/>
          <w:szCs w:val="24"/>
        </w:rPr>
        <w:t>women respondents</w:t>
      </w:r>
      <w:r w:rsidR="00D47667" w:rsidRPr="00D47667">
        <w:rPr>
          <w:rFonts w:ascii="Times New Roman" w:hAnsi="Times New Roman" w:cs="Times New Roman"/>
          <w:color w:val="000000" w:themeColor="text1"/>
          <w:sz w:val="24"/>
          <w:szCs w:val="24"/>
        </w:rPr>
        <w:t xml:space="preserve"> (&gt;40 years)</w:t>
      </w:r>
      <w:r w:rsidR="00D47667" w:rsidRPr="00D47667">
        <w:rPr>
          <w:rFonts w:ascii="Times New Roman" w:hAnsi="Times New Roman" w:cs="Times New Roman"/>
          <w:color w:val="000000" w:themeColor="text1"/>
          <w:sz w:val="24"/>
          <w:szCs w:val="24"/>
        </w:rPr>
        <w:t xml:space="preserve"> have installed UPI on their own mobile but they still tend to prefer cash transactions over UPI in day-to-day life. The study also indicates that the age and occupation of women have an impact on the awareness about the knowledge of UPI and its configuration. (Thakkar, 2022).</w:t>
      </w:r>
      <w:r w:rsidR="00881B8E">
        <w:rPr>
          <w:rFonts w:ascii="Times New Roman" w:hAnsi="Times New Roman" w:cs="Times New Roman"/>
          <w:color w:val="000000" w:themeColor="text1"/>
          <w:sz w:val="24"/>
          <w:szCs w:val="24"/>
        </w:rPr>
        <w:t xml:space="preserve"> Shivam and Pranshu (2020) </w:t>
      </w:r>
      <w:r w:rsidR="00881B8E" w:rsidRPr="008E764E">
        <w:rPr>
          <w:rFonts w:ascii="Times New Roman" w:hAnsi="Times New Roman" w:cs="Times New Roman"/>
          <w:sz w:val="24"/>
          <w:szCs w:val="24"/>
        </w:rPr>
        <w:t xml:space="preserve">concluded that elderly people are not at all attracted to use mobile payment applications for digital payments and education, </w:t>
      </w:r>
      <w:r w:rsidR="00881B8E">
        <w:rPr>
          <w:rFonts w:ascii="Times New Roman" w:hAnsi="Times New Roman" w:cs="Times New Roman"/>
          <w:sz w:val="24"/>
          <w:szCs w:val="24"/>
        </w:rPr>
        <w:t xml:space="preserve">whereas </w:t>
      </w:r>
      <w:r w:rsidR="00881B8E" w:rsidRPr="008E764E">
        <w:rPr>
          <w:rFonts w:ascii="Times New Roman" w:hAnsi="Times New Roman" w:cs="Times New Roman"/>
          <w:sz w:val="24"/>
          <w:szCs w:val="24"/>
        </w:rPr>
        <w:t>undergraduate and postgraduates are more attracted towards mobile payment application.</w:t>
      </w:r>
    </w:p>
    <w:p w14:paraId="213C8C10" w14:textId="458043CD" w:rsidR="00D47667" w:rsidRDefault="003B687B" w:rsidP="00881B8E">
      <w:pPr>
        <w:spacing w:before="100" w:beforeAutospacing="1" w:after="100" w:afterAutospacing="1" w:line="360" w:lineRule="auto"/>
        <w:ind w:firstLine="720"/>
        <w:jc w:val="both"/>
        <w:rPr>
          <w:rFonts w:ascii="Times New Roman" w:eastAsia="Times New Roman" w:hAnsi="Times New Roman" w:cs="Times New Roman"/>
          <w:bCs/>
          <w:sz w:val="24"/>
          <w:szCs w:val="24"/>
        </w:rPr>
      </w:pPr>
      <w:r w:rsidRPr="003B687B">
        <w:rPr>
          <w:rFonts w:ascii="Times New Roman" w:eastAsia="Times New Roman" w:hAnsi="Times New Roman" w:cs="Times New Roman"/>
          <w:bCs/>
          <w:sz w:val="24"/>
          <w:szCs w:val="24"/>
        </w:rPr>
        <w:t xml:space="preserve">The high rate of smartphone ownership (90%) indicates strong potential for digital banking. However, the comparatively low usage of banking apps (42%) and moderate awareness of mobile banking (56%) reflect a gap between technological access and digital financial adoption. </w:t>
      </w:r>
      <w:r w:rsidR="00D47667">
        <w:rPr>
          <w:rFonts w:ascii="Times New Roman" w:hAnsi="Times New Roman" w:cs="Times New Roman"/>
          <w:sz w:val="24"/>
          <w:szCs w:val="24"/>
        </w:rPr>
        <w:t>The</w:t>
      </w:r>
      <w:r w:rsidR="00D47667" w:rsidRPr="000F2550">
        <w:rPr>
          <w:rFonts w:ascii="Times New Roman" w:hAnsi="Times New Roman" w:cs="Times New Roman"/>
          <w:sz w:val="24"/>
          <w:szCs w:val="24"/>
        </w:rPr>
        <w:t xml:space="preserve"> perceived credibility/trust is an important determinant of technology adoption in urban women</w:t>
      </w:r>
      <w:r w:rsidR="00D47667">
        <w:rPr>
          <w:rFonts w:ascii="Times New Roman" w:hAnsi="Times New Roman" w:cs="Times New Roman"/>
          <w:sz w:val="24"/>
          <w:szCs w:val="24"/>
        </w:rPr>
        <w:t xml:space="preserve"> (</w:t>
      </w:r>
      <w:r w:rsidR="00D47667">
        <w:rPr>
          <w:rFonts w:ascii="Times New Roman" w:hAnsi="Times New Roman" w:cs="Times New Roman"/>
          <w:sz w:val="24"/>
          <w:szCs w:val="24"/>
        </w:rPr>
        <w:t>Manrai et al., 2022</w:t>
      </w:r>
      <w:r w:rsidR="00D47667">
        <w:rPr>
          <w:rFonts w:ascii="Times New Roman" w:hAnsi="Times New Roman" w:cs="Times New Roman"/>
          <w:sz w:val="24"/>
          <w:szCs w:val="24"/>
        </w:rPr>
        <w:t>).</w:t>
      </w:r>
      <w:r w:rsidR="00D47667">
        <w:rPr>
          <w:rFonts w:ascii="Times New Roman" w:hAnsi="Times New Roman" w:cs="Times New Roman"/>
          <w:sz w:val="24"/>
          <w:szCs w:val="24"/>
        </w:rPr>
        <w:t xml:space="preserve"> </w:t>
      </w:r>
      <w:r w:rsidRPr="003B687B">
        <w:rPr>
          <w:rFonts w:ascii="Times New Roman" w:eastAsia="Times New Roman" w:hAnsi="Times New Roman" w:cs="Times New Roman"/>
          <w:bCs/>
          <w:sz w:val="24"/>
          <w:szCs w:val="24"/>
        </w:rPr>
        <w:t>This suggests the need for more targeted digital literacy initiatives, especially focusing on financial technologies.</w:t>
      </w:r>
      <w:r w:rsidR="00421056">
        <w:rPr>
          <w:rFonts w:ascii="Times New Roman" w:eastAsia="Times New Roman" w:hAnsi="Times New Roman" w:cs="Times New Roman"/>
          <w:bCs/>
          <w:sz w:val="24"/>
          <w:szCs w:val="24"/>
        </w:rPr>
        <w:t xml:space="preserve"> </w:t>
      </w:r>
      <w:r w:rsidRPr="003B687B">
        <w:rPr>
          <w:rFonts w:ascii="Times New Roman" w:eastAsia="Times New Roman" w:hAnsi="Times New Roman" w:cs="Times New Roman"/>
          <w:bCs/>
          <w:sz w:val="24"/>
          <w:szCs w:val="24"/>
        </w:rPr>
        <w:t xml:space="preserve">Security concerns are significant barriers to adoption. </w:t>
      </w:r>
    </w:p>
    <w:p w14:paraId="38BBDD81" w14:textId="7D1E2A0A" w:rsidR="00881B8E" w:rsidRDefault="003B687B" w:rsidP="00881B8E">
      <w:pPr>
        <w:spacing w:line="360" w:lineRule="auto"/>
        <w:jc w:val="both"/>
        <w:rPr>
          <w:rFonts w:ascii="Times New Roman" w:hAnsi="Times New Roman" w:cs="Times New Roman"/>
          <w:sz w:val="24"/>
          <w:szCs w:val="24"/>
        </w:rPr>
      </w:pPr>
      <w:r w:rsidRPr="003B687B">
        <w:rPr>
          <w:rFonts w:ascii="Times New Roman" w:eastAsia="Times New Roman" w:hAnsi="Times New Roman" w:cs="Times New Roman"/>
          <w:bCs/>
          <w:sz w:val="24"/>
          <w:szCs w:val="24"/>
        </w:rPr>
        <w:t>With 49</w:t>
      </w:r>
      <w:r w:rsidR="006335A9" w:rsidRPr="006335A9">
        <w:rPr>
          <w:rFonts w:ascii="Times New Roman" w:eastAsia="Times New Roman" w:hAnsi="Times New Roman" w:cs="Times New Roman"/>
          <w:bCs/>
          <w:sz w:val="24"/>
          <w:szCs w:val="24"/>
        </w:rPr>
        <w:t xml:space="preserve"> </w:t>
      </w:r>
      <w:r w:rsidR="006335A9">
        <w:rPr>
          <w:rFonts w:ascii="Times New Roman" w:eastAsia="Times New Roman" w:hAnsi="Times New Roman" w:cs="Times New Roman"/>
          <w:bCs/>
          <w:sz w:val="24"/>
          <w:szCs w:val="24"/>
        </w:rPr>
        <w:t>per cent</w:t>
      </w:r>
      <w:r w:rsidRPr="003B687B">
        <w:rPr>
          <w:rFonts w:ascii="Times New Roman" w:eastAsia="Times New Roman" w:hAnsi="Times New Roman" w:cs="Times New Roman"/>
          <w:bCs/>
          <w:sz w:val="24"/>
          <w:szCs w:val="24"/>
        </w:rPr>
        <w:t xml:space="preserve"> aware of cyber threats and 5</w:t>
      </w:r>
      <w:r w:rsidR="006335A9" w:rsidRPr="006335A9">
        <w:rPr>
          <w:rFonts w:ascii="Times New Roman" w:eastAsia="Times New Roman" w:hAnsi="Times New Roman" w:cs="Times New Roman"/>
          <w:bCs/>
          <w:sz w:val="24"/>
          <w:szCs w:val="24"/>
        </w:rPr>
        <w:t xml:space="preserve"> </w:t>
      </w:r>
      <w:r w:rsidR="006335A9">
        <w:rPr>
          <w:rFonts w:ascii="Times New Roman" w:eastAsia="Times New Roman" w:hAnsi="Times New Roman" w:cs="Times New Roman"/>
          <w:bCs/>
          <w:sz w:val="24"/>
          <w:szCs w:val="24"/>
        </w:rPr>
        <w:t>per cent</w:t>
      </w:r>
      <w:r w:rsidRPr="003B687B">
        <w:rPr>
          <w:rFonts w:ascii="Times New Roman" w:eastAsia="Times New Roman" w:hAnsi="Times New Roman" w:cs="Times New Roman"/>
          <w:bCs/>
          <w:sz w:val="24"/>
          <w:szCs w:val="24"/>
        </w:rPr>
        <w:t xml:space="preserve"> having experienced financial fraud, apprehensions about online transactions may be discouraging wider UPI use. </w:t>
      </w:r>
      <w:r w:rsidR="00D47667">
        <w:rPr>
          <w:rFonts w:ascii="Times New Roman" w:hAnsi="Times New Roman" w:cs="Times New Roman"/>
          <w:sz w:val="24"/>
          <w:szCs w:val="24"/>
        </w:rPr>
        <w:t>In a recent study,</w:t>
      </w:r>
      <w:r w:rsidR="00D47667" w:rsidRPr="00DA3AA8">
        <w:rPr>
          <w:rFonts w:ascii="Times New Roman" w:hAnsi="Times New Roman" w:cs="Times New Roman"/>
          <w:sz w:val="24"/>
          <w:szCs w:val="24"/>
        </w:rPr>
        <w:t xml:space="preserve"> 81.4% of people faced problems</w:t>
      </w:r>
      <w:r w:rsidR="00D47667">
        <w:rPr>
          <w:rFonts w:ascii="Times New Roman" w:hAnsi="Times New Roman" w:cs="Times New Roman"/>
          <w:sz w:val="24"/>
          <w:szCs w:val="24"/>
        </w:rPr>
        <w:t xml:space="preserve"> such as</w:t>
      </w:r>
      <w:r w:rsidR="00D47667">
        <w:rPr>
          <w:rFonts w:ascii="Times New Roman" w:hAnsi="Times New Roman" w:cs="Times New Roman"/>
          <w:sz w:val="24"/>
          <w:szCs w:val="24"/>
        </w:rPr>
        <w:t xml:space="preserve"> </w:t>
      </w:r>
      <w:r w:rsidR="00D47667" w:rsidRPr="00DA3AA8">
        <w:rPr>
          <w:rFonts w:ascii="Times New Roman" w:hAnsi="Times New Roman" w:cs="Times New Roman"/>
          <w:sz w:val="24"/>
          <w:szCs w:val="24"/>
        </w:rPr>
        <w:t>pending transaction while using UPI</w:t>
      </w:r>
      <w:r w:rsidR="00D47667">
        <w:rPr>
          <w:rFonts w:ascii="Times New Roman" w:hAnsi="Times New Roman" w:cs="Times New Roman"/>
          <w:sz w:val="24"/>
          <w:szCs w:val="24"/>
        </w:rPr>
        <w:t xml:space="preserve"> (Kumar,2022).</w:t>
      </w:r>
      <w:r w:rsidR="00881B8E">
        <w:rPr>
          <w:rFonts w:ascii="Times New Roman" w:hAnsi="Times New Roman" w:cs="Times New Roman"/>
          <w:sz w:val="24"/>
          <w:szCs w:val="24"/>
        </w:rPr>
        <w:t xml:space="preserve"> </w:t>
      </w:r>
      <w:r w:rsidR="00881B8E">
        <w:rPr>
          <w:rFonts w:ascii="Times New Roman" w:eastAsia="Times New Roman" w:hAnsi="Times New Roman" w:cs="Times New Roman"/>
          <w:bCs/>
          <w:sz w:val="24"/>
          <w:szCs w:val="24"/>
        </w:rPr>
        <w:t xml:space="preserve">In comparison, </w:t>
      </w:r>
      <w:r w:rsidR="00881B8E" w:rsidRPr="00DA3AA8">
        <w:rPr>
          <w:rFonts w:ascii="Times New Roman" w:hAnsi="Times New Roman" w:cs="Times New Roman"/>
          <w:sz w:val="24"/>
          <w:szCs w:val="24"/>
        </w:rPr>
        <w:t>UPI is considered to be more user-friendly and safer than other online banking or digital payment methods</w:t>
      </w:r>
      <w:r w:rsidR="00881B8E">
        <w:rPr>
          <w:rFonts w:ascii="Times New Roman" w:hAnsi="Times New Roman" w:cs="Times New Roman"/>
          <w:sz w:val="24"/>
          <w:szCs w:val="24"/>
        </w:rPr>
        <w:t xml:space="preserve"> (Mahesh and Bhat, 2021).</w:t>
      </w:r>
    </w:p>
    <w:p w14:paraId="74DDE466" w14:textId="1A2D808C" w:rsidR="003B687B" w:rsidRPr="003B687B" w:rsidRDefault="003B687B" w:rsidP="00881B8E">
      <w:pPr>
        <w:spacing w:before="100" w:beforeAutospacing="1" w:after="100" w:afterAutospacing="1" w:line="360" w:lineRule="auto"/>
        <w:ind w:firstLine="720"/>
        <w:jc w:val="both"/>
        <w:rPr>
          <w:rFonts w:ascii="Times New Roman" w:eastAsia="Times New Roman" w:hAnsi="Times New Roman" w:cs="Times New Roman"/>
          <w:bCs/>
          <w:sz w:val="24"/>
          <w:szCs w:val="24"/>
        </w:rPr>
      </w:pPr>
      <w:r w:rsidRPr="003B687B">
        <w:rPr>
          <w:rFonts w:ascii="Times New Roman" w:eastAsia="Times New Roman" w:hAnsi="Times New Roman" w:cs="Times New Roman"/>
          <w:bCs/>
          <w:sz w:val="24"/>
          <w:szCs w:val="24"/>
        </w:rPr>
        <w:t>Trust-building measures and consumer protection mechanisms must be emphasized to improve uptake.</w:t>
      </w:r>
      <w:r w:rsidR="00421056">
        <w:rPr>
          <w:rFonts w:ascii="Times New Roman" w:eastAsia="Times New Roman" w:hAnsi="Times New Roman" w:cs="Times New Roman"/>
          <w:bCs/>
          <w:sz w:val="24"/>
          <w:szCs w:val="24"/>
        </w:rPr>
        <w:t xml:space="preserve"> </w:t>
      </w:r>
      <w:r w:rsidRPr="003B687B">
        <w:rPr>
          <w:rFonts w:ascii="Times New Roman" w:eastAsia="Times New Roman" w:hAnsi="Times New Roman" w:cs="Times New Roman"/>
          <w:bCs/>
          <w:sz w:val="24"/>
          <w:szCs w:val="24"/>
        </w:rPr>
        <w:t>The statistical analysis confirms that education level does not significantly impact UPI usage—implying that even individuals with minimal formal education can adopt digital payments if they are properly guided. The Garret ranking emphasizes the use of UPI for low-risk, everyday expenses like recharges and groceries, while more sensitive or high-value payments such as rent and loans are less commonly transacted digitally.</w:t>
      </w:r>
      <w:r w:rsidR="00421056">
        <w:rPr>
          <w:rFonts w:ascii="Times New Roman" w:eastAsia="Times New Roman" w:hAnsi="Times New Roman" w:cs="Times New Roman"/>
          <w:bCs/>
          <w:sz w:val="24"/>
          <w:szCs w:val="24"/>
        </w:rPr>
        <w:t xml:space="preserve"> </w:t>
      </w:r>
      <w:r w:rsidRPr="003B687B">
        <w:rPr>
          <w:rFonts w:ascii="Times New Roman" w:eastAsia="Times New Roman" w:hAnsi="Times New Roman" w:cs="Times New Roman"/>
          <w:bCs/>
          <w:sz w:val="24"/>
          <w:szCs w:val="24"/>
        </w:rPr>
        <w:t xml:space="preserve">This reflects both </w:t>
      </w:r>
      <w:r w:rsidR="006335A9" w:rsidRPr="003B687B">
        <w:rPr>
          <w:rFonts w:ascii="Times New Roman" w:eastAsia="Times New Roman" w:hAnsi="Times New Roman" w:cs="Times New Roman"/>
          <w:bCs/>
          <w:sz w:val="24"/>
          <w:szCs w:val="24"/>
        </w:rPr>
        <w:lastRenderedPageBreak/>
        <w:t>behavio</w:t>
      </w:r>
      <w:r w:rsidR="006335A9">
        <w:rPr>
          <w:rFonts w:ascii="Times New Roman" w:eastAsia="Times New Roman" w:hAnsi="Times New Roman" w:cs="Times New Roman"/>
          <w:bCs/>
          <w:sz w:val="24"/>
          <w:szCs w:val="24"/>
        </w:rPr>
        <w:t>r</w:t>
      </w:r>
      <w:r w:rsidR="006335A9" w:rsidRPr="003B687B">
        <w:rPr>
          <w:rFonts w:ascii="Times New Roman" w:eastAsia="Times New Roman" w:hAnsi="Times New Roman" w:cs="Times New Roman"/>
          <w:bCs/>
          <w:sz w:val="24"/>
          <w:szCs w:val="24"/>
        </w:rPr>
        <w:t>al</w:t>
      </w:r>
      <w:r w:rsidRPr="003B687B">
        <w:rPr>
          <w:rFonts w:ascii="Times New Roman" w:eastAsia="Times New Roman" w:hAnsi="Times New Roman" w:cs="Times New Roman"/>
          <w:bCs/>
          <w:sz w:val="24"/>
          <w:szCs w:val="24"/>
        </w:rPr>
        <w:t xml:space="preserve"> caution and limited confidence in digital financial tools for high-stakes transactions.</w:t>
      </w:r>
      <w:r w:rsidR="00881B8E" w:rsidRPr="00881B8E">
        <w:rPr>
          <w:rFonts w:ascii="Times New Roman" w:hAnsi="Times New Roman" w:cs="Times New Roman"/>
          <w:sz w:val="24"/>
          <w:szCs w:val="24"/>
        </w:rPr>
        <w:t xml:space="preserve"> </w:t>
      </w:r>
      <w:r w:rsidR="00881B8E">
        <w:rPr>
          <w:rFonts w:ascii="Times New Roman" w:hAnsi="Times New Roman" w:cs="Times New Roman"/>
          <w:sz w:val="24"/>
          <w:szCs w:val="24"/>
        </w:rPr>
        <w:t xml:space="preserve">Kumar (2022) observed that </w:t>
      </w:r>
      <w:r w:rsidR="00881B8E" w:rsidRPr="00DA3AA8">
        <w:rPr>
          <w:rFonts w:ascii="Times New Roman" w:hAnsi="Times New Roman" w:cs="Times New Roman"/>
          <w:sz w:val="24"/>
          <w:szCs w:val="24"/>
        </w:rPr>
        <w:t>73.4% of people</w:t>
      </w:r>
      <w:r w:rsidR="00881B8E">
        <w:rPr>
          <w:rFonts w:ascii="Times New Roman" w:hAnsi="Times New Roman" w:cs="Times New Roman"/>
          <w:sz w:val="24"/>
          <w:szCs w:val="24"/>
        </w:rPr>
        <w:t xml:space="preserve"> use UPI to</w:t>
      </w:r>
      <w:r w:rsidR="00881B8E" w:rsidRPr="00DA3AA8">
        <w:rPr>
          <w:rFonts w:ascii="Times New Roman" w:hAnsi="Times New Roman" w:cs="Times New Roman"/>
          <w:sz w:val="24"/>
          <w:szCs w:val="24"/>
        </w:rPr>
        <w:t xml:space="preserve"> buy grocery items,</w:t>
      </w:r>
      <w:r w:rsidR="00881B8E">
        <w:rPr>
          <w:rFonts w:ascii="Times New Roman" w:hAnsi="Times New Roman" w:cs="Times New Roman"/>
          <w:sz w:val="24"/>
          <w:szCs w:val="24"/>
        </w:rPr>
        <w:t xml:space="preserve"> </w:t>
      </w:r>
      <w:r w:rsidR="00881B8E" w:rsidRPr="00DA3AA8">
        <w:rPr>
          <w:rFonts w:ascii="Times New Roman" w:hAnsi="Times New Roman" w:cs="Times New Roman"/>
          <w:sz w:val="24"/>
          <w:szCs w:val="24"/>
        </w:rPr>
        <w:t>and personal items.</w:t>
      </w:r>
      <w:r w:rsidRPr="003B687B">
        <w:rPr>
          <w:rFonts w:ascii="Times New Roman" w:eastAsia="Times New Roman" w:hAnsi="Times New Roman" w:cs="Times New Roman"/>
          <w:bCs/>
          <w:sz w:val="24"/>
          <w:szCs w:val="24"/>
        </w:rPr>
        <w:t xml:space="preserve"> Addressing these trust deficits and improving user experience can help expand the functional scope of UPI usage.</w:t>
      </w:r>
    </w:p>
    <w:p w14:paraId="7F901490" w14:textId="77777777" w:rsidR="00107067" w:rsidRPr="00107067" w:rsidRDefault="00107067" w:rsidP="00107067">
      <w:pPr>
        <w:spacing w:before="100" w:beforeAutospacing="1" w:after="100" w:afterAutospacing="1" w:line="240" w:lineRule="auto"/>
        <w:jc w:val="both"/>
        <w:rPr>
          <w:rFonts w:ascii="Times New Roman" w:eastAsia="Times New Roman" w:hAnsi="Times New Roman" w:cs="Times New Roman"/>
          <w:sz w:val="24"/>
          <w:szCs w:val="24"/>
        </w:rPr>
      </w:pPr>
      <w:r w:rsidRPr="00107067">
        <w:rPr>
          <w:rFonts w:ascii="Times New Roman" w:eastAsia="Times New Roman" w:hAnsi="Times New Roman" w:cs="Times New Roman"/>
          <w:b/>
          <w:bCs/>
          <w:sz w:val="24"/>
          <w:szCs w:val="24"/>
        </w:rPr>
        <w:t>5. Conclusion</w:t>
      </w:r>
    </w:p>
    <w:p w14:paraId="09EE2454" w14:textId="525F8A29" w:rsidR="00931E50" w:rsidRPr="00EE363D" w:rsidRDefault="00931E50" w:rsidP="005E231D">
      <w:pPr>
        <w:jc w:val="both"/>
        <w:rPr>
          <w:rFonts w:ascii="Times New Roman" w:hAnsi="Times New Roman" w:cs="Times New Roman"/>
          <w:sz w:val="24"/>
          <w:szCs w:val="24"/>
        </w:rPr>
      </w:pPr>
      <w:r>
        <w:rPr>
          <w:rFonts w:ascii="Times New Roman" w:hAnsi="Times New Roman" w:cs="Times New Roman"/>
          <w:b/>
          <w:sz w:val="24"/>
        </w:rPr>
        <w:tab/>
      </w:r>
      <w:r w:rsidRPr="00EE363D">
        <w:rPr>
          <w:rFonts w:ascii="Times New Roman" w:hAnsi="Times New Roman" w:cs="Times New Roman"/>
          <w:sz w:val="24"/>
          <w:szCs w:val="24"/>
        </w:rPr>
        <w:t>Digitalization has transformed financial transactions by offering convenience, speed, and transparency. This study highlights that while UPI usage is growing, particularly for minor and retail payments, working-class women still face barriers due to limited awareness, safety concerns, and low confidence in digital platforms.</w:t>
      </w:r>
      <w:r>
        <w:rPr>
          <w:rFonts w:ascii="Times New Roman" w:hAnsi="Times New Roman" w:cs="Times New Roman"/>
          <w:sz w:val="24"/>
          <w:szCs w:val="24"/>
        </w:rPr>
        <w:t xml:space="preserve"> </w:t>
      </w:r>
      <w:r w:rsidRPr="00EE363D">
        <w:rPr>
          <w:rFonts w:ascii="Times New Roman" w:hAnsi="Times New Roman" w:cs="Times New Roman"/>
          <w:sz w:val="24"/>
          <w:szCs w:val="24"/>
        </w:rPr>
        <w:t>Although most respondents possess b</w:t>
      </w:r>
      <w:r>
        <w:rPr>
          <w:rFonts w:ascii="Times New Roman" w:hAnsi="Times New Roman" w:cs="Times New Roman"/>
          <w:sz w:val="24"/>
          <w:szCs w:val="24"/>
        </w:rPr>
        <w:t xml:space="preserve">ank accounts and mobile phones, </w:t>
      </w:r>
      <w:r w:rsidRPr="00EE363D">
        <w:rPr>
          <w:rFonts w:ascii="Times New Roman" w:hAnsi="Times New Roman" w:cs="Times New Roman"/>
          <w:sz w:val="24"/>
          <w:szCs w:val="24"/>
        </w:rPr>
        <w:t>a significant proportion remains hesitant to engage fully with UPI due to fear of fraud and lack of support in financial decision-making.</w:t>
      </w:r>
      <w:r>
        <w:rPr>
          <w:rFonts w:ascii="Times New Roman" w:hAnsi="Times New Roman" w:cs="Times New Roman"/>
          <w:sz w:val="24"/>
          <w:szCs w:val="24"/>
        </w:rPr>
        <w:t xml:space="preserve"> Thus, t</w:t>
      </w:r>
      <w:r w:rsidRPr="0036143F">
        <w:rPr>
          <w:rFonts w:ascii="Times New Roman" w:hAnsi="Times New Roman" w:cs="Times New Roman"/>
          <w:sz w:val="24"/>
          <w:szCs w:val="24"/>
        </w:rPr>
        <w:t>he study draws attention to the "last-mile" gap in digital literacy and security awareness, especially among marginalized groups, aligning with concerns raised by the World Bank (2022) about unequal digital access.</w:t>
      </w:r>
    </w:p>
    <w:p w14:paraId="0FF45022" w14:textId="1F44884D" w:rsidR="00931E50" w:rsidRDefault="00931E50" w:rsidP="005E231D">
      <w:pPr>
        <w:jc w:val="both"/>
        <w:rPr>
          <w:rFonts w:ascii="Times New Roman" w:hAnsi="Times New Roman" w:cs="Times New Roman"/>
          <w:sz w:val="24"/>
          <w:szCs w:val="24"/>
        </w:rPr>
      </w:pPr>
      <w:r w:rsidRPr="00EE363D">
        <w:rPr>
          <w:rFonts w:ascii="Times New Roman" w:hAnsi="Times New Roman" w:cs="Times New Roman"/>
          <w:sz w:val="24"/>
          <w:szCs w:val="24"/>
        </w:rPr>
        <w:t>The study concludes that trust, awareness, and user education are key</w:t>
      </w:r>
      <w:r>
        <w:rPr>
          <w:rFonts w:ascii="Times New Roman" w:hAnsi="Times New Roman" w:cs="Times New Roman"/>
          <w:sz w:val="24"/>
          <w:szCs w:val="24"/>
        </w:rPr>
        <w:t>s</w:t>
      </w:r>
      <w:r w:rsidRPr="00EE363D">
        <w:rPr>
          <w:rFonts w:ascii="Times New Roman" w:hAnsi="Times New Roman" w:cs="Times New Roman"/>
          <w:sz w:val="24"/>
          <w:szCs w:val="24"/>
        </w:rPr>
        <w:t xml:space="preserve"> to increasing UPI adoption among women. Strengthening cyber</w:t>
      </w:r>
      <w:r>
        <w:rPr>
          <w:rFonts w:ascii="Times New Roman" w:hAnsi="Times New Roman" w:cs="Times New Roman"/>
          <w:sz w:val="24"/>
          <w:szCs w:val="24"/>
        </w:rPr>
        <w:t xml:space="preserve"> </w:t>
      </w:r>
      <w:r w:rsidRPr="00EE363D">
        <w:rPr>
          <w:rFonts w:ascii="Times New Roman" w:hAnsi="Times New Roman" w:cs="Times New Roman"/>
          <w:sz w:val="24"/>
          <w:szCs w:val="24"/>
        </w:rPr>
        <w:t>security, improving user experience, and launching targeted training programs can empower women to make informed digital transactions.</w:t>
      </w:r>
      <w:r>
        <w:rPr>
          <w:rFonts w:ascii="Times New Roman" w:hAnsi="Times New Roman" w:cs="Times New Roman"/>
          <w:sz w:val="24"/>
          <w:szCs w:val="24"/>
        </w:rPr>
        <w:t xml:space="preserve"> In a study, </w:t>
      </w:r>
      <w:proofErr w:type="spellStart"/>
      <w:r w:rsidR="007A1A8D">
        <w:rPr>
          <w:rFonts w:ascii="Times New Roman" w:hAnsi="Times New Roman" w:cs="Times New Roman"/>
          <w:sz w:val="24"/>
          <w:szCs w:val="24"/>
        </w:rPr>
        <w:t>Velmathi</w:t>
      </w:r>
      <w:proofErr w:type="spellEnd"/>
      <w:r w:rsidR="007A1A8D">
        <w:rPr>
          <w:rFonts w:ascii="Times New Roman" w:hAnsi="Times New Roman" w:cs="Times New Roman"/>
          <w:sz w:val="24"/>
          <w:szCs w:val="24"/>
        </w:rPr>
        <w:t xml:space="preserve"> (2019) suggested that necessary steps have to be taken to create awareness on e-banking/internet banking services as most of the people do not trust digital payment system as they have presumed it as complicated. </w:t>
      </w:r>
      <w:r w:rsidR="007A1A8D" w:rsidRPr="00EE363D">
        <w:rPr>
          <w:rFonts w:ascii="Times New Roman" w:hAnsi="Times New Roman" w:cs="Times New Roman"/>
          <w:sz w:val="24"/>
          <w:szCs w:val="24"/>
        </w:rPr>
        <w:t xml:space="preserve"> </w:t>
      </w:r>
    </w:p>
    <w:p w14:paraId="6DEAD6DC" w14:textId="16082AD2" w:rsidR="00C95875" w:rsidRDefault="007A1A8D" w:rsidP="005E231D">
      <w:pPr>
        <w:jc w:val="both"/>
        <w:rPr>
          <w:rFonts w:ascii="Times New Roman" w:hAnsi="Times New Roman" w:cs="Times New Roman"/>
          <w:sz w:val="24"/>
          <w:szCs w:val="24"/>
        </w:rPr>
      </w:pPr>
      <w:r w:rsidRPr="007A1A8D">
        <w:rPr>
          <w:rFonts w:ascii="Times New Roman" w:hAnsi="Times New Roman" w:cs="Times New Roman"/>
          <w:sz w:val="24"/>
          <w:szCs w:val="24"/>
        </w:rPr>
        <w:t>However, the lack of correlation between education level and UPI usage indicates that with the right support and awareness efforts, digital payment systems can be successfully adopted across educational backgrounds.</w:t>
      </w:r>
      <w:r w:rsidR="00931E50" w:rsidRPr="00EE363D">
        <w:rPr>
          <w:rFonts w:ascii="Times New Roman" w:hAnsi="Times New Roman" w:cs="Times New Roman"/>
          <w:sz w:val="24"/>
          <w:szCs w:val="24"/>
        </w:rPr>
        <w:t xml:space="preserve"> Moreover, enhancing financial inclusion through digital literacy not only benefits individual users but also contributes to broader economic development.</w:t>
      </w:r>
      <w:r w:rsidRPr="007A1A8D">
        <w:rPr>
          <w:rFonts w:ascii="Times New Roman" w:hAnsi="Times New Roman" w:cs="Times New Roman"/>
          <w:sz w:val="24"/>
          <w:szCs w:val="24"/>
        </w:rPr>
        <w:t xml:space="preserve"> </w:t>
      </w:r>
      <w:r w:rsidR="00931E50" w:rsidRPr="00EE363D">
        <w:rPr>
          <w:rFonts w:ascii="Times New Roman" w:hAnsi="Times New Roman" w:cs="Times New Roman"/>
          <w:sz w:val="24"/>
          <w:szCs w:val="24"/>
        </w:rPr>
        <w:t>To ensure that no group is left behind in India’s digital transformation, dedicated outreach and support for working-class women are vital.</w:t>
      </w:r>
      <w:r>
        <w:rPr>
          <w:rFonts w:ascii="Times New Roman" w:hAnsi="Times New Roman" w:cs="Times New Roman"/>
          <w:sz w:val="24"/>
          <w:szCs w:val="24"/>
        </w:rPr>
        <w:t xml:space="preserve"> </w:t>
      </w:r>
      <w:r w:rsidRPr="007A1A8D">
        <w:rPr>
          <w:rFonts w:ascii="Times New Roman" w:hAnsi="Times New Roman" w:cs="Times New Roman"/>
          <w:sz w:val="24"/>
          <w:szCs w:val="24"/>
        </w:rPr>
        <w:t>Strengthening these areas can bridge the digital divide and promote more inclusive financial participation.</w:t>
      </w:r>
    </w:p>
    <w:p w14:paraId="2BB65988" w14:textId="77777777" w:rsidR="00107067" w:rsidRPr="007B14AA" w:rsidRDefault="00107067" w:rsidP="00107067">
      <w:pPr>
        <w:spacing w:before="100" w:beforeAutospacing="1" w:after="100" w:afterAutospacing="1" w:line="240" w:lineRule="auto"/>
        <w:jc w:val="both"/>
        <w:rPr>
          <w:rFonts w:ascii="Times New Roman" w:eastAsia="Times New Roman" w:hAnsi="Times New Roman" w:cs="Times New Roman"/>
          <w:sz w:val="24"/>
          <w:szCs w:val="24"/>
        </w:rPr>
      </w:pPr>
      <w:r w:rsidRPr="00E552A1">
        <w:rPr>
          <w:rFonts w:ascii="Times New Roman" w:eastAsia="Times New Roman" w:hAnsi="Times New Roman" w:cs="Times New Roman"/>
          <w:b/>
          <w:bCs/>
          <w:sz w:val="24"/>
          <w:szCs w:val="24"/>
        </w:rPr>
        <w:t>References</w:t>
      </w:r>
    </w:p>
    <w:p w14:paraId="265B2777" w14:textId="340132E0" w:rsidR="007B14AA" w:rsidRDefault="007B14AA" w:rsidP="005E231D">
      <w:pPr>
        <w:pStyle w:val="ListParagraph"/>
        <w:numPr>
          <w:ilvl w:val="0"/>
          <w:numId w:val="9"/>
        </w:numPr>
        <w:ind w:left="992" w:hanging="635"/>
        <w:jc w:val="both"/>
        <w:rPr>
          <w:rFonts w:ascii="Times New Roman" w:hAnsi="Times New Roman" w:cs="Times New Roman"/>
          <w:sz w:val="24"/>
          <w:szCs w:val="24"/>
        </w:rPr>
      </w:pPr>
      <w:r w:rsidRPr="007B14AA">
        <w:rPr>
          <w:rFonts w:ascii="Times New Roman" w:hAnsi="Times New Roman" w:cs="Times New Roman"/>
          <w:sz w:val="24"/>
          <w:szCs w:val="24"/>
        </w:rPr>
        <w:t xml:space="preserve">Gochhwal, R. (2017). Unified payment interface—An advancement in payment systems. American Journal of Industrial and Business Management, </w:t>
      </w:r>
      <w:r w:rsidRPr="002028FE">
        <w:rPr>
          <w:rFonts w:ascii="Times New Roman" w:hAnsi="Times New Roman" w:cs="Times New Roman"/>
          <w:b/>
          <w:sz w:val="24"/>
          <w:szCs w:val="24"/>
        </w:rPr>
        <w:t>7</w:t>
      </w:r>
      <w:r w:rsidRPr="007B14AA">
        <w:rPr>
          <w:rFonts w:ascii="Times New Roman" w:hAnsi="Times New Roman" w:cs="Times New Roman"/>
          <w:sz w:val="24"/>
          <w:szCs w:val="24"/>
        </w:rPr>
        <w:t xml:space="preserve">(10), 1174–1191. </w:t>
      </w:r>
      <w:r w:rsidR="007B7696" w:rsidRPr="007B7696">
        <w:rPr>
          <w:rFonts w:ascii="Times New Roman" w:hAnsi="Times New Roman" w:cs="Times New Roman"/>
          <w:sz w:val="24"/>
          <w:szCs w:val="24"/>
        </w:rPr>
        <w:t>https://doi.org/10.4236/ajibm.2017.71008</w:t>
      </w:r>
      <w:r w:rsidR="007B7696">
        <w:rPr>
          <w:rFonts w:ascii="Times New Roman" w:hAnsi="Times New Roman" w:cs="Times New Roman"/>
          <w:sz w:val="24"/>
          <w:szCs w:val="24"/>
        </w:rPr>
        <w:t>4</w:t>
      </w:r>
    </w:p>
    <w:p w14:paraId="1205B97B" w14:textId="77777777" w:rsidR="007B14AA" w:rsidRPr="007B14AA" w:rsidRDefault="007B14AA" w:rsidP="005E231D">
      <w:pPr>
        <w:pStyle w:val="ListParagraph"/>
        <w:numPr>
          <w:ilvl w:val="0"/>
          <w:numId w:val="9"/>
        </w:numPr>
        <w:ind w:left="992" w:hanging="635"/>
        <w:jc w:val="both"/>
        <w:rPr>
          <w:rFonts w:ascii="Times New Roman" w:hAnsi="Times New Roman" w:cs="Times New Roman"/>
          <w:sz w:val="24"/>
          <w:szCs w:val="24"/>
        </w:rPr>
      </w:pPr>
      <w:r w:rsidRPr="007B14AA">
        <w:rPr>
          <w:rFonts w:ascii="Times New Roman" w:hAnsi="Times New Roman" w:cs="Times New Roman"/>
          <w:sz w:val="24"/>
          <w:szCs w:val="24"/>
        </w:rPr>
        <w:t>Kapri, A., &amp; Karna, N. (2023). Unified Payment Interface: A way towards a cashless journey. E-Commerce for Future &amp; Trends, 10(1), 35–39.</w:t>
      </w:r>
    </w:p>
    <w:p w14:paraId="00A94E79" w14:textId="77777777" w:rsidR="007B14AA" w:rsidRDefault="007B14AA" w:rsidP="005E231D">
      <w:pPr>
        <w:pStyle w:val="ListParagraph"/>
        <w:numPr>
          <w:ilvl w:val="0"/>
          <w:numId w:val="9"/>
        </w:numPr>
        <w:ind w:left="992" w:hanging="635"/>
        <w:jc w:val="both"/>
        <w:rPr>
          <w:rFonts w:ascii="Times New Roman" w:hAnsi="Times New Roman" w:cs="Times New Roman"/>
          <w:sz w:val="24"/>
          <w:szCs w:val="24"/>
        </w:rPr>
      </w:pPr>
      <w:r w:rsidRPr="007B14AA">
        <w:rPr>
          <w:rFonts w:ascii="Times New Roman" w:hAnsi="Times New Roman" w:cs="Times New Roman"/>
          <w:sz w:val="24"/>
          <w:szCs w:val="24"/>
        </w:rPr>
        <w:lastRenderedPageBreak/>
        <w:t>Khan, S., &amp; Jain, S. (2018). A study on the usage of e-payments for sustainable growth of online business. IOSR Journal of Business and Management (IOSR-JBM), 20(5), 74–81.</w:t>
      </w:r>
    </w:p>
    <w:p w14:paraId="5849541E" w14:textId="31D018FE" w:rsidR="00B25A36" w:rsidRPr="006A4A00" w:rsidRDefault="00B25A36" w:rsidP="005E231D">
      <w:pPr>
        <w:pStyle w:val="ListParagraph"/>
        <w:numPr>
          <w:ilvl w:val="0"/>
          <w:numId w:val="9"/>
        </w:numPr>
        <w:spacing w:line="360" w:lineRule="auto"/>
        <w:ind w:left="992" w:hanging="635"/>
        <w:jc w:val="both"/>
        <w:rPr>
          <w:rFonts w:ascii="Times New Roman" w:hAnsi="Times New Roman" w:cs="Times New Roman"/>
          <w:sz w:val="24"/>
          <w:szCs w:val="24"/>
          <w:lang w:val="en-GB"/>
        </w:rPr>
      </w:pPr>
      <w:r w:rsidRPr="00B25A36">
        <w:rPr>
          <w:rFonts w:ascii="Times New Roman" w:hAnsi="Times New Roman" w:cs="Times New Roman"/>
          <w:sz w:val="24"/>
          <w:szCs w:val="24"/>
        </w:rPr>
        <w:t>Kolte, D.M. and Humbe, D.V.R., 2020. Study of UPI/BHIM payment system in India. International Journal of Science and Research (IJSR), </w:t>
      </w:r>
      <w:r w:rsidRPr="00B25A36">
        <w:rPr>
          <w:rFonts w:ascii="Times New Roman" w:hAnsi="Times New Roman" w:cs="Times New Roman"/>
          <w:i/>
          <w:iCs/>
          <w:sz w:val="24"/>
          <w:szCs w:val="24"/>
        </w:rPr>
        <w:t>9</w:t>
      </w:r>
      <w:r w:rsidRPr="00B25A36">
        <w:rPr>
          <w:rFonts w:ascii="Times New Roman" w:hAnsi="Times New Roman" w:cs="Times New Roman"/>
          <w:sz w:val="24"/>
          <w:szCs w:val="24"/>
        </w:rPr>
        <w:t>(12), 228-232.</w:t>
      </w:r>
    </w:p>
    <w:p w14:paraId="0A3F0D0F" w14:textId="3CE92A9F" w:rsidR="006A4A00" w:rsidRPr="00562B79" w:rsidRDefault="006A4A00" w:rsidP="005E231D">
      <w:pPr>
        <w:pStyle w:val="ListParagraph"/>
        <w:numPr>
          <w:ilvl w:val="0"/>
          <w:numId w:val="9"/>
        </w:numPr>
        <w:ind w:left="992" w:hanging="635"/>
        <w:jc w:val="both"/>
        <w:rPr>
          <w:rFonts w:ascii="Times New Roman" w:hAnsi="Times New Roman" w:cs="Times New Roman"/>
          <w:sz w:val="24"/>
          <w:szCs w:val="24"/>
        </w:rPr>
      </w:pPr>
      <w:r w:rsidRPr="00562B79">
        <w:rPr>
          <w:rFonts w:ascii="Times New Roman" w:hAnsi="Times New Roman" w:cs="Times New Roman"/>
          <w:sz w:val="24"/>
          <w:szCs w:val="24"/>
        </w:rPr>
        <w:t>Kulkarni, L., &amp; Ghosh, A. (2021). Gender disparity in the digitalization of financial services: challenges and promises for women’s financial inclusion in India. </w:t>
      </w:r>
      <w:r w:rsidRPr="000520DD">
        <w:rPr>
          <w:rFonts w:ascii="Times New Roman" w:hAnsi="Times New Roman" w:cs="Times New Roman"/>
          <w:sz w:val="24"/>
          <w:szCs w:val="24"/>
        </w:rPr>
        <w:t>Gender, Technology and Development</w:t>
      </w:r>
      <w:r w:rsidRPr="00562B79">
        <w:rPr>
          <w:rFonts w:ascii="Times New Roman" w:hAnsi="Times New Roman" w:cs="Times New Roman"/>
          <w:sz w:val="24"/>
          <w:szCs w:val="24"/>
        </w:rPr>
        <w:t>, </w:t>
      </w:r>
      <w:r w:rsidRPr="00562B79">
        <w:rPr>
          <w:rFonts w:ascii="Times New Roman" w:hAnsi="Times New Roman" w:cs="Times New Roman"/>
          <w:i/>
          <w:iCs/>
          <w:sz w:val="24"/>
          <w:szCs w:val="24"/>
        </w:rPr>
        <w:t>25</w:t>
      </w:r>
      <w:r w:rsidRPr="00562B79">
        <w:rPr>
          <w:rFonts w:ascii="Times New Roman" w:hAnsi="Times New Roman" w:cs="Times New Roman"/>
          <w:sz w:val="24"/>
          <w:szCs w:val="24"/>
        </w:rPr>
        <w:t>(2), 233–250. https://doi.org/10.1080/09718524.2021.1911022</w:t>
      </w:r>
    </w:p>
    <w:p w14:paraId="3CD245C0" w14:textId="77777777" w:rsidR="007B14AA" w:rsidRPr="007B14AA" w:rsidRDefault="007B14AA" w:rsidP="005E231D">
      <w:pPr>
        <w:pStyle w:val="ListParagraph"/>
        <w:numPr>
          <w:ilvl w:val="0"/>
          <w:numId w:val="9"/>
        </w:numPr>
        <w:ind w:left="992" w:hanging="635"/>
        <w:jc w:val="both"/>
        <w:rPr>
          <w:rFonts w:ascii="Times New Roman" w:hAnsi="Times New Roman" w:cs="Times New Roman"/>
          <w:sz w:val="24"/>
          <w:szCs w:val="24"/>
        </w:rPr>
      </w:pPr>
      <w:r w:rsidRPr="007B14AA">
        <w:rPr>
          <w:rFonts w:ascii="Times New Roman" w:hAnsi="Times New Roman" w:cs="Times New Roman"/>
          <w:sz w:val="24"/>
          <w:szCs w:val="24"/>
        </w:rPr>
        <w:t>Kumar, P. A. (2022). A study on customer satisfaction of using UPI apps &amp; transactions &amp; payments (BBA Project). Sathyabama Institute of Science and Technology, Chennai.</w:t>
      </w:r>
    </w:p>
    <w:p w14:paraId="69CAAB7E" w14:textId="17516309" w:rsidR="007B14AA" w:rsidRDefault="007B14AA" w:rsidP="005E231D">
      <w:pPr>
        <w:pStyle w:val="ListParagraph"/>
        <w:numPr>
          <w:ilvl w:val="0"/>
          <w:numId w:val="9"/>
        </w:numPr>
        <w:ind w:left="992" w:hanging="635"/>
        <w:jc w:val="both"/>
        <w:rPr>
          <w:rFonts w:ascii="Times New Roman" w:hAnsi="Times New Roman" w:cs="Times New Roman"/>
          <w:sz w:val="24"/>
          <w:szCs w:val="24"/>
        </w:rPr>
      </w:pPr>
      <w:r w:rsidRPr="007B14AA">
        <w:rPr>
          <w:rFonts w:ascii="Times New Roman" w:hAnsi="Times New Roman" w:cs="Times New Roman"/>
          <w:sz w:val="24"/>
          <w:szCs w:val="24"/>
        </w:rPr>
        <w:t>Mahesh, A., &amp; Bhat, G. (2021). Digital payment service in India—A case study of Unified Payment Interface. International Journal of Case Studies in Business, IT, and Education, 5(1), 256–265.</w:t>
      </w:r>
      <w:r w:rsidR="00DA3AA8" w:rsidRPr="00DA3AA8">
        <w:t xml:space="preserve"> </w:t>
      </w:r>
      <w:r w:rsidR="00DA3AA8" w:rsidRPr="00DA3AA8">
        <w:rPr>
          <w:rFonts w:ascii="Times New Roman" w:hAnsi="Times New Roman" w:cs="Times New Roman"/>
          <w:sz w:val="24"/>
          <w:szCs w:val="24"/>
        </w:rPr>
        <w:t>http://doi.org/10.5281/zenodo.509120</w:t>
      </w:r>
      <w:r w:rsidR="00DA3AA8">
        <w:rPr>
          <w:rFonts w:ascii="Times New Roman" w:hAnsi="Times New Roman" w:cs="Times New Roman"/>
          <w:sz w:val="24"/>
          <w:szCs w:val="24"/>
        </w:rPr>
        <w:t>7</w:t>
      </w:r>
    </w:p>
    <w:p w14:paraId="7EE7FB48" w14:textId="337C985F" w:rsidR="000F2550" w:rsidRDefault="000F2550" w:rsidP="005E231D">
      <w:pPr>
        <w:pStyle w:val="ListParagraph"/>
        <w:numPr>
          <w:ilvl w:val="0"/>
          <w:numId w:val="9"/>
        </w:numPr>
        <w:ind w:left="992" w:hanging="635"/>
        <w:jc w:val="both"/>
        <w:rPr>
          <w:rFonts w:ascii="Times New Roman" w:hAnsi="Times New Roman" w:cs="Times New Roman"/>
          <w:sz w:val="24"/>
          <w:szCs w:val="24"/>
        </w:rPr>
      </w:pPr>
      <w:r w:rsidRPr="000F2550">
        <w:rPr>
          <w:rFonts w:ascii="Times New Roman" w:hAnsi="Times New Roman" w:cs="Times New Roman"/>
          <w:sz w:val="24"/>
          <w:szCs w:val="24"/>
        </w:rPr>
        <w:t>Manrai, R., Yadav, P. D., &amp; Goel, U. (2022). Factors affecting adoption of digital payments by urban women: understanding the moderating role of perceived financial risk. Technology Analysis &amp; Strategic Management, 36(10), 2385–2397. https://doi.org/10.1080/09537325.2022.2139237</w:t>
      </w:r>
    </w:p>
    <w:p w14:paraId="157D1577" w14:textId="6FFB19B3" w:rsidR="006A4A00" w:rsidRPr="006A4A00" w:rsidRDefault="006A4A00" w:rsidP="005E231D">
      <w:pPr>
        <w:pStyle w:val="ListParagraph"/>
        <w:numPr>
          <w:ilvl w:val="0"/>
          <w:numId w:val="9"/>
        </w:numPr>
        <w:ind w:left="992" w:hanging="635"/>
        <w:jc w:val="both"/>
        <w:rPr>
          <w:rFonts w:ascii="Times New Roman" w:hAnsi="Times New Roman" w:cs="Times New Roman"/>
          <w:sz w:val="24"/>
          <w:szCs w:val="24"/>
        </w:rPr>
      </w:pPr>
      <w:r w:rsidRPr="007B14AA">
        <w:rPr>
          <w:rFonts w:ascii="Times New Roman" w:hAnsi="Times New Roman" w:cs="Times New Roman"/>
          <w:sz w:val="24"/>
          <w:szCs w:val="24"/>
        </w:rPr>
        <w:t>Narayanan, J. (2021). A study on growth of UPI apps in India after COVID outbreak. International Journal of Emerging Technologies and Innovative Research, 8(9), c333–c338.</w:t>
      </w:r>
    </w:p>
    <w:p w14:paraId="1F21EB53" w14:textId="77777777" w:rsidR="007B14AA" w:rsidRPr="007B14AA" w:rsidRDefault="007B14AA" w:rsidP="005E231D">
      <w:pPr>
        <w:pStyle w:val="ListParagraph"/>
        <w:numPr>
          <w:ilvl w:val="0"/>
          <w:numId w:val="9"/>
        </w:numPr>
        <w:ind w:left="992" w:hanging="635"/>
        <w:jc w:val="both"/>
        <w:rPr>
          <w:rFonts w:ascii="Times New Roman" w:hAnsi="Times New Roman" w:cs="Times New Roman"/>
          <w:sz w:val="24"/>
          <w:szCs w:val="24"/>
        </w:rPr>
      </w:pPr>
      <w:r w:rsidRPr="007B14AA">
        <w:rPr>
          <w:rFonts w:ascii="Times New Roman" w:hAnsi="Times New Roman" w:cs="Times New Roman"/>
          <w:sz w:val="24"/>
          <w:szCs w:val="24"/>
        </w:rPr>
        <w:t>Neema, K., &amp; Neema, A. (2016). UPI (Unified Payment Interface)–A new technique of digital payment: An explorative study. International Journal of Current Research in Multidisciplinary, 3(10), 1–10.</w:t>
      </w:r>
    </w:p>
    <w:p w14:paraId="014858C4" w14:textId="77777777" w:rsidR="007B14AA" w:rsidRPr="00B25A36" w:rsidRDefault="007B14AA" w:rsidP="005E231D">
      <w:pPr>
        <w:pStyle w:val="ListParagraph"/>
        <w:numPr>
          <w:ilvl w:val="0"/>
          <w:numId w:val="9"/>
        </w:numPr>
        <w:ind w:left="992" w:hanging="635"/>
        <w:jc w:val="both"/>
        <w:rPr>
          <w:rFonts w:ascii="Times New Roman" w:hAnsi="Times New Roman" w:cs="Times New Roman"/>
          <w:sz w:val="24"/>
          <w:szCs w:val="24"/>
        </w:rPr>
      </w:pPr>
      <w:r w:rsidRPr="007B14AA">
        <w:rPr>
          <w:rFonts w:ascii="Times New Roman" w:hAnsi="Times New Roman" w:cs="Times New Roman"/>
          <w:sz w:val="24"/>
          <w:szCs w:val="24"/>
        </w:rPr>
        <w:t xml:space="preserve">Reserve Bank of India. (2023). Handbook of Statistics on the Indian Economy 2022–23. Retrieved from </w:t>
      </w:r>
      <w:hyperlink r:id="rId12" w:history="1">
        <w:r w:rsidR="00CB766C" w:rsidRPr="002814B6">
          <w:rPr>
            <w:rStyle w:val="Hyperlink"/>
            <w:rFonts w:ascii="Times New Roman" w:hAnsi="Times New Roman" w:cs="Times New Roman"/>
            <w:sz w:val="24"/>
            <w:szCs w:val="24"/>
          </w:rPr>
          <w:t>https://www.rbi.org.in</w:t>
        </w:r>
      </w:hyperlink>
    </w:p>
    <w:p w14:paraId="664A6D50" w14:textId="77777777" w:rsidR="006A4A00" w:rsidRDefault="00B25A36" w:rsidP="005E231D">
      <w:pPr>
        <w:pStyle w:val="ListParagraph"/>
        <w:numPr>
          <w:ilvl w:val="0"/>
          <w:numId w:val="9"/>
        </w:numPr>
        <w:ind w:left="992" w:hanging="635"/>
        <w:jc w:val="both"/>
        <w:rPr>
          <w:rFonts w:ascii="Times New Roman" w:hAnsi="Times New Roman" w:cs="Times New Roman"/>
          <w:sz w:val="24"/>
          <w:szCs w:val="24"/>
        </w:rPr>
      </w:pPr>
      <w:r w:rsidRPr="00B25A36">
        <w:rPr>
          <w:rFonts w:ascii="Times New Roman" w:hAnsi="Times New Roman" w:cs="Times New Roman"/>
          <w:sz w:val="24"/>
          <w:szCs w:val="24"/>
        </w:rPr>
        <w:t>Shivam, T., &amp; Pranshu, D. (2020). A Study on Adoption of Digital Payment through Mobile Payment Application with Reference to Gujarat State</w:t>
      </w:r>
      <w:r w:rsidRPr="00B25A36">
        <w:rPr>
          <w:rFonts w:ascii="Times New Roman" w:hAnsi="Times New Roman" w:cs="Times New Roman"/>
          <w:b/>
          <w:bCs/>
          <w:sz w:val="24"/>
          <w:szCs w:val="24"/>
        </w:rPr>
        <w:t xml:space="preserve">. </w:t>
      </w:r>
      <w:r w:rsidRPr="00B25A36">
        <w:rPr>
          <w:rFonts w:ascii="Times New Roman" w:hAnsi="Times New Roman" w:cs="Times New Roman"/>
          <w:sz w:val="24"/>
          <w:szCs w:val="24"/>
        </w:rPr>
        <w:t>International Journal of Trend in Scientific Research and Development, 4(3), URL: </w:t>
      </w:r>
      <w:hyperlink r:id="rId13" w:history="1">
        <w:r w:rsidRPr="00B25A36">
          <w:rPr>
            <w:rStyle w:val="Hyperlink"/>
            <w:rFonts w:ascii="Times New Roman" w:hAnsi="Times New Roman" w:cs="Times New Roman"/>
            <w:sz w:val="24"/>
            <w:szCs w:val="24"/>
          </w:rPr>
          <w:t>https://www.ijtsrd.com/papers/ijtsrd30790.pdf</w:t>
        </w:r>
      </w:hyperlink>
    </w:p>
    <w:p w14:paraId="459AD034" w14:textId="0BFB908C" w:rsidR="00562B79" w:rsidRDefault="00562B79" w:rsidP="005E231D">
      <w:pPr>
        <w:pStyle w:val="ListParagraph"/>
        <w:numPr>
          <w:ilvl w:val="0"/>
          <w:numId w:val="9"/>
        </w:numPr>
        <w:ind w:left="992" w:hanging="635"/>
        <w:jc w:val="both"/>
        <w:rPr>
          <w:rFonts w:ascii="Times New Roman" w:hAnsi="Times New Roman" w:cs="Times New Roman"/>
          <w:sz w:val="24"/>
          <w:szCs w:val="24"/>
        </w:rPr>
      </w:pPr>
      <w:r w:rsidRPr="00562B79">
        <w:rPr>
          <w:rFonts w:ascii="Times New Roman" w:hAnsi="Times New Roman" w:cs="Times New Roman"/>
          <w:sz w:val="24"/>
          <w:szCs w:val="24"/>
        </w:rPr>
        <w:t xml:space="preserve">Sonali, </w:t>
      </w:r>
      <w:r>
        <w:rPr>
          <w:rFonts w:ascii="Times New Roman" w:hAnsi="Times New Roman" w:cs="Times New Roman"/>
          <w:sz w:val="24"/>
          <w:szCs w:val="24"/>
        </w:rPr>
        <w:t>M</w:t>
      </w:r>
      <w:r w:rsidRPr="00562B79">
        <w:rPr>
          <w:rFonts w:ascii="Times New Roman" w:hAnsi="Times New Roman" w:cs="Times New Roman"/>
          <w:sz w:val="24"/>
          <w:szCs w:val="24"/>
        </w:rPr>
        <w:t>.</w:t>
      </w:r>
      <w:r>
        <w:rPr>
          <w:rFonts w:ascii="Times New Roman" w:hAnsi="Times New Roman" w:cs="Times New Roman"/>
          <w:sz w:val="24"/>
          <w:szCs w:val="24"/>
        </w:rPr>
        <w:t>D</w:t>
      </w:r>
      <w:r w:rsidRPr="00562B79">
        <w:rPr>
          <w:rFonts w:ascii="Times New Roman" w:hAnsi="Times New Roman" w:cs="Times New Roman"/>
          <w:sz w:val="24"/>
          <w:szCs w:val="24"/>
        </w:rPr>
        <w:t xml:space="preserve">. and kamaraj, </w:t>
      </w:r>
      <w:r>
        <w:rPr>
          <w:rFonts w:ascii="Times New Roman" w:hAnsi="Times New Roman" w:cs="Times New Roman"/>
          <w:sz w:val="24"/>
          <w:szCs w:val="24"/>
        </w:rPr>
        <w:t>R</w:t>
      </w:r>
      <w:r w:rsidRPr="00562B79">
        <w:rPr>
          <w:rFonts w:ascii="Times New Roman" w:hAnsi="Times New Roman" w:cs="Times New Roman"/>
          <w:sz w:val="24"/>
          <w:szCs w:val="24"/>
        </w:rPr>
        <w:t xml:space="preserve">. </w:t>
      </w:r>
      <w:r>
        <w:rPr>
          <w:rFonts w:ascii="Times New Roman" w:hAnsi="Times New Roman" w:cs="Times New Roman"/>
          <w:sz w:val="24"/>
          <w:szCs w:val="24"/>
        </w:rPr>
        <w:t>(</w:t>
      </w:r>
      <w:r w:rsidRPr="00562B79">
        <w:rPr>
          <w:rFonts w:ascii="Times New Roman" w:hAnsi="Times New Roman" w:cs="Times New Roman"/>
          <w:sz w:val="24"/>
          <w:szCs w:val="24"/>
        </w:rPr>
        <w:t>2024</w:t>
      </w:r>
      <w:r>
        <w:rPr>
          <w:rFonts w:ascii="Times New Roman" w:hAnsi="Times New Roman" w:cs="Times New Roman"/>
          <w:sz w:val="24"/>
          <w:szCs w:val="24"/>
        </w:rPr>
        <w:t>)</w:t>
      </w:r>
      <w:r w:rsidRPr="00562B79">
        <w:rPr>
          <w:rFonts w:ascii="Times New Roman" w:hAnsi="Times New Roman" w:cs="Times New Roman"/>
          <w:sz w:val="24"/>
          <w:szCs w:val="24"/>
        </w:rPr>
        <w:t xml:space="preserve">. A study on customer awareness and satisfaction of </w:t>
      </w:r>
      <w:r>
        <w:rPr>
          <w:rFonts w:ascii="Times New Roman" w:hAnsi="Times New Roman" w:cs="Times New Roman"/>
          <w:sz w:val="24"/>
          <w:szCs w:val="24"/>
        </w:rPr>
        <w:t>UPI</w:t>
      </w:r>
      <w:r w:rsidRPr="00562B79">
        <w:rPr>
          <w:rFonts w:ascii="Times New Roman" w:hAnsi="Times New Roman" w:cs="Times New Roman"/>
          <w:sz w:val="24"/>
          <w:szCs w:val="24"/>
        </w:rPr>
        <w:t xml:space="preserve"> transaction with special reference to kelambakkam block.</w:t>
      </w:r>
    </w:p>
    <w:p w14:paraId="11154B59" w14:textId="77777777" w:rsidR="006A4A00" w:rsidRDefault="006A4A00" w:rsidP="005E231D">
      <w:pPr>
        <w:pStyle w:val="ListParagraph"/>
        <w:numPr>
          <w:ilvl w:val="0"/>
          <w:numId w:val="9"/>
        </w:numPr>
        <w:ind w:left="992" w:hanging="635"/>
        <w:jc w:val="both"/>
        <w:rPr>
          <w:rFonts w:ascii="Times New Roman" w:hAnsi="Times New Roman" w:cs="Times New Roman"/>
          <w:sz w:val="24"/>
          <w:szCs w:val="24"/>
        </w:rPr>
      </w:pPr>
      <w:r w:rsidRPr="006A4A00">
        <w:rPr>
          <w:rFonts w:ascii="Times New Roman" w:hAnsi="Times New Roman" w:cs="Times New Roman"/>
          <w:sz w:val="24"/>
          <w:szCs w:val="24"/>
        </w:rPr>
        <w:t>Thakkar, J., &amp; Thakkar, P. (2022). Digital Payments Revolution: A Study of Awareness, Acceptance, and Usage of Unified Payments Interface Technology Among Selected Women in India. 2022 OPJU International Technology Conference on Emerging Technologies for Sustainable Development (OTCON), Raigarh, Chhattisgarh, India, 2023, 1-6.</w:t>
      </w:r>
    </w:p>
    <w:p w14:paraId="780D7510" w14:textId="77777777" w:rsidR="006A4A00" w:rsidRDefault="00B25A36" w:rsidP="005E231D">
      <w:pPr>
        <w:pStyle w:val="ListParagraph"/>
        <w:numPr>
          <w:ilvl w:val="0"/>
          <w:numId w:val="9"/>
        </w:numPr>
        <w:ind w:left="992" w:hanging="635"/>
        <w:jc w:val="both"/>
        <w:rPr>
          <w:rFonts w:ascii="Times New Roman" w:hAnsi="Times New Roman" w:cs="Times New Roman"/>
          <w:sz w:val="24"/>
          <w:szCs w:val="24"/>
        </w:rPr>
      </w:pPr>
      <w:r w:rsidRPr="006A4A00">
        <w:rPr>
          <w:rFonts w:ascii="Times New Roman" w:hAnsi="Times New Roman" w:cs="Times New Roman"/>
          <w:sz w:val="24"/>
          <w:szCs w:val="24"/>
        </w:rPr>
        <w:lastRenderedPageBreak/>
        <w:t>Velmathi, N. (2019). A Study on Digital Payment Awareness among Small Scale Vendors. International Journal of Trend in Scientific Research and Development, 4 (1), URL: </w:t>
      </w:r>
      <w:hyperlink r:id="rId14" w:history="1">
        <w:r w:rsidRPr="006A4A00">
          <w:rPr>
            <w:rStyle w:val="Hyperlink"/>
            <w:rFonts w:ascii="Times New Roman" w:hAnsi="Times New Roman" w:cs="Times New Roman"/>
            <w:sz w:val="24"/>
            <w:szCs w:val="24"/>
          </w:rPr>
          <w:t>https://www.ijtsrd.com/papers/ijtsrd29649.pdf</w:t>
        </w:r>
      </w:hyperlink>
    </w:p>
    <w:p w14:paraId="3C3B8CD7" w14:textId="77777777" w:rsidR="006A4A00" w:rsidRDefault="00B25A36" w:rsidP="005E231D">
      <w:pPr>
        <w:pStyle w:val="ListParagraph"/>
        <w:numPr>
          <w:ilvl w:val="0"/>
          <w:numId w:val="9"/>
        </w:numPr>
        <w:ind w:left="992" w:hanging="635"/>
        <w:jc w:val="both"/>
        <w:rPr>
          <w:rFonts w:ascii="Times New Roman" w:hAnsi="Times New Roman" w:cs="Times New Roman"/>
          <w:sz w:val="24"/>
          <w:szCs w:val="24"/>
        </w:rPr>
      </w:pPr>
      <w:r w:rsidRPr="006A4A00">
        <w:rPr>
          <w:rFonts w:ascii="Times New Roman" w:hAnsi="Times New Roman" w:cs="Times New Roman"/>
          <w:sz w:val="24"/>
          <w:szCs w:val="24"/>
        </w:rPr>
        <w:t>Vipin, C. A. (2020</w:t>
      </w:r>
      <w:r w:rsidRPr="006A4A00">
        <w:rPr>
          <w:rFonts w:ascii="Times New Roman" w:hAnsi="Times New Roman" w:cs="Times New Roman"/>
          <w:b/>
          <w:bCs/>
          <w:sz w:val="24"/>
          <w:szCs w:val="24"/>
        </w:rPr>
        <w:t xml:space="preserve">). </w:t>
      </w:r>
      <w:r w:rsidRPr="006A4A00">
        <w:rPr>
          <w:rFonts w:ascii="Times New Roman" w:hAnsi="Times New Roman" w:cs="Times New Roman"/>
          <w:sz w:val="24"/>
          <w:szCs w:val="24"/>
        </w:rPr>
        <w:t>Digital Payment Evolution: Trends, Technologies, and Transformations. International Journal of Trend in Scientific Research and Development, ISSN: 2456-6470, Vol.4(3), URL: </w:t>
      </w:r>
      <w:hyperlink r:id="rId15" w:history="1">
        <w:r w:rsidRPr="006A4A00">
          <w:rPr>
            <w:rStyle w:val="Hyperlink"/>
            <w:rFonts w:ascii="Times New Roman" w:hAnsi="Times New Roman" w:cs="Times New Roman"/>
            <w:sz w:val="24"/>
            <w:szCs w:val="24"/>
          </w:rPr>
          <w:t>https://ww</w:t>
        </w:r>
        <w:r w:rsidRPr="006A4A00">
          <w:rPr>
            <w:rStyle w:val="Hyperlink"/>
            <w:rFonts w:ascii="Times New Roman" w:hAnsi="Times New Roman" w:cs="Times New Roman"/>
            <w:sz w:val="24"/>
            <w:szCs w:val="24"/>
          </w:rPr>
          <w:t>w</w:t>
        </w:r>
        <w:r w:rsidRPr="006A4A00">
          <w:rPr>
            <w:rStyle w:val="Hyperlink"/>
            <w:rFonts w:ascii="Times New Roman" w:hAnsi="Times New Roman" w:cs="Times New Roman"/>
            <w:sz w:val="24"/>
            <w:szCs w:val="24"/>
          </w:rPr>
          <w:t>.ijtsrd.com/papers/ijtsrd30788.pdf</w:t>
        </w:r>
      </w:hyperlink>
    </w:p>
    <w:p w14:paraId="2456395A" w14:textId="77777777" w:rsidR="006A4A00" w:rsidRDefault="00CB766C" w:rsidP="005E231D">
      <w:pPr>
        <w:pStyle w:val="ListParagraph"/>
        <w:numPr>
          <w:ilvl w:val="0"/>
          <w:numId w:val="9"/>
        </w:numPr>
        <w:ind w:left="992" w:hanging="635"/>
        <w:jc w:val="both"/>
        <w:rPr>
          <w:rFonts w:ascii="Times New Roman" w:hAnsi="Times New Roman" w:cs="Times New Roman"/>
          <w:sz w:val="24"/>
          <w:szCs w:val="24"/>
        </w:rPr>
      </w:pPr>
      <w:r w:rsidRPr="006A4A00">
        <w:rPr>
          <w:rFonts w:ascii="Times New Roman" w:hAnsi="Times New Roman" w:cs="Times New Roman"/>
          <w:sz w:val="24"/>
          <w:szCs w:val="24"/>
        </w:rPr>
        <w:t>World Bank, 2022. The Global Findex Database 2021: Financial Inclusion, Digital Payments, and Resilience in the Age of COVID-19. Washington, DC: World Bank. Available at: https://globalfindex.worldbank.org/ [Accessed 22 May 2025].</w:t>
      </w:r>
    </w:p>
    <w:p w14:paraId="0563B04E" w14:textId="1BE5ABC0" w:rsidR="006A4A00" w:rsidRDefault="007B14AA" w:rsidP="005E231D">
      <w:pPr>
        <w:pStyle w:val="ListParagraph"/>
        <w:numPr>
          <w:ilvl w:val="0"/>
          <w:numId w:val="9"/>
        </w:numPr>
        <w:ind w:left="992" w:hanging="635"/>
        <w:jc w:val="both"/>
        <w:rPr>
          <w:rFonts w:ascii="Times New Roman" w:hAnsi="Times New Roman" w:cs="Times New Roman"/>
          <w:sz w:val="24"/>
          <w:szCs w:val="24"/>
        </w:rPr>
      </w:pPr>
      <w:r w:rsidRPr="006A4A00">
        <w:rPr>
          <w:rFonts w:ascii="Times New Roman" w:hAnsi="Times New Roman" w:cs="Times New Roman"/>
          <w:sz w:val="24"/>
          <w:szCs w:val="24"/>
        </w:rPr>
        <w:t xml:space="preserve">World Bank. (2023). Broad money (% of GDP). Retrieved from </w:t>
      </w:r>
      <w:hyperlink r:id="rId16" w:history="1">
        <w:r w:rsidR="00EA2E00" w:rsidRPr="006A4A00">
          <w:rPr>
            <w:rStyle w:val="Hyperlink"/>
            <w:rFonts w:ascii="Times New Roman" w:hAnsi="Times New Roman" w:cs="Times New Roman"/>
            <w:sz w:val="24"/>
            <w:szCs w:val="24"/>
          </w:rPr>
          <w:t>https://data.worldbank.org/indicator/FM.LBL.BMNY.GD.ZS</w:t>
        </w:r>
      </w:hyperlink>
    </w:p>
    <w:p w14:paraId="2DABAF5D" w14:textId="77777777" w:rsidR="00562B79" w:rsidRPr="00562B79" w:rsidRDefault="00562B79" w:rsidP="00562B79">
      <w:pPr>
        <w:ind w:left="357"/>
        <w:jc w:val="both"/>
        <w:rPr>
          <w:rFonts w:ascii="Times New Roman" w:hAnsi="Times New Roman" w:cs="Times New Roman"/>
          <w:sz w:val="24"/>
          <w:szCs w:val="24"/>
        </w:rPr>
      </w:pPr>
    </w:p>
    <w:p w14:paraId="201D203D" w14:textId="683A8640" w:rsidR="00931E50" w:rsidRDefault="006D3020">
      <w:r>
        <w:t>Appendix</w:t>
      </w:r>
    </w:p>
    <w:p w14:paraId="186A7A69" w14:textId="77777777" w:rsidR="00931E50" w:rsidRPr="00315F1F" w:rsidRDefault="00315F1F">
      <w:pPr>
        <w:rPr>
          <w:rFonts w:ascii="Times New Roman" w:hAnsi="Times New Roman" w:cs="Times New Roman"/>
          <w:b/>
          <w:sz w:val="24"/>
          <w:szCs w:val="24"/>
        </w:rPr>
      </w:pPr>
      <w:r w:rsidRPr="00315F1F">
        <w:rPr>
          <w:rFonts w:ascii="Times New Roman" w:hAnsi="Times New Roman" w:cs="Times New Roman"/>
          <w:b/>
          <w:sz w:val="24"/>
          <w:szCs w:val="24"/>
        </w:rPr>
        <w:t>Structured Questionnaire</w:t>
      </w:r>
    </w:p>
    <w:p w14:paraId="47E6D51A" w14:textId="77777777" w:rsidR="00931E50" w:rsidRPr="00332EFA" w:rsidRDefault="00931E50" w:rsidP="00332EFA">
      <w:pPr>
        <w:spacing w:after="0" w:line="240" w:lineRule="auto"/>
        <w:ind w:left="720" w:hanging="360"/>
        <w:rPr>
          <w:rFonts w:ascii="Times New Roman" w:hAnsi="Times New Roman" w:cs="Times New Roman"/>
          <w:sz w:val="24"/>
          <w:szCs w:val="24"/>
          <w:u w:val="single"/>
        </w:rPr>
      </w:pPr>
      <w:r w:rsidRPr="00332EFA">
        <w:rPr>
          <w:rFonts w:ascii="Times New Roman" w:hAnsi="Times New Roman" w:cs="Times New Roman"/>
          <w:sz w:val="24"/>
          <w:szCs w:val="24"/>
          <w:u w:val="single"/>
        </w:rPr>
        <w:t>Background details:-</w:t>
      </w:r>
    </w:p>
    <w:p w14:paraId="7D8A20CE" w14:textId="77777777" w:rsidR="00931E50" w:rsidRPr="00332EFA" w:rsidRDefault="00931E50" w:rsidP="00332EFA">
      <w:pPr>
        <w:spacing w:after="0" w:line="240" w:lineRule="auto"/>
        <w:ind w:left="720" w:hanging="360"/>
        <w:rPr>
          <w:rFonts w:ascii="Times New Roman" w:hAnsi="Times New Roman" w:cs="Times New Roman"/>
          <w:sz w:val="24"/>
          <w:szCs w:val="24"/>
        </w:rPr>
      </w:pPr>
      <w:r w:rsidRPr="00332EFA">
        <w:rPr>
          <w:rFonts w:ascii="Times New Roman" w:hAnsi="Times New Roman" w:cs="Times New Roman"/>
          <w:sz w:val="24"/>
          <w:szCs w:val="24"/>
        </w:rPr>
        <w:t xml:space="preserve">Name: </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Age:</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p>
    <w:p w14:paraId="37198149" w14:textId="77777777" w:rsidR="00931E50" w:rsidRPr="00332EFA" w:rsidRDefault="00931E50" w:rsidP="00332EFA">
      <w:pPr>
        <w:spacing w:after="0" w:line="240" w:lineRule="auto"/>
        <w:ind w:left="720" w:hanging="360"/>
        <w:rPr>
          <w:rFonts w:ascii="Times New Roman" w:hAnsi="Times New Roman" w:cs="Times New Roman"/>
          <w:sz w:val="24"/>
          <w:szCs w:val="24"/>
        </w:rPr>
      </w:pPr>
      <w:r w:rsidRPr="00332EFA">
        <w:rPr>
          <w:rFonts w:ascii="Times New Roman" w:hAnsi="Times New Roman" w:cs="Times New Roman"/>
          <w:sz w:val="24"/>
          <w:szCs w:val="24"/>
        </w:rPr>
        <w:t>Sex:</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Education:</w:t>
      </w:r>
      <w:r w:rsidRPr="00332EFA">
        <w:rPr>
          <w:rFonts w:ascii="Times New Roman" w:hAnsi="Times New Roman" w:cs="Times New Roman"/>
          <w:sz w:val="24"/>
          <w:szCs w:val="24"/>
        </w:rPr>
        <w:tab/>
      </w:r>
      <w:r w:rsidRPr="00332EFA">
        <w:rPr>
          <w:rFonts w:ascii="Times New Roman" w:hAnsi="Times New Roman" w:cs="Times New Roman"/>
          <w:sz w:val="24"/>
          <w:szCs w:val="24"/>
        </w:rPr>
        <w:tab/>
      </w:r>
    </w:p>
    <w:p w14:paraId="6881B07F" w14:textId="77777777" w:rsidR="00931E50" w:rsidRPr="00332EFA" w:rsidRDefault="00931E50" w:rsidP="00332EFA">
      <w:pPr>
        <w:spacing w:after="0" w:line="240" w:lineRule="auto"/>
        <w:ind w:left="720" w:hanging="360"/>
        <w:rPr>
          <w:rFonts w:ascii="Times New Roman" w:hAnsi="Times New Roman" w:cs="Times New Roman"/>
          <w:sz w:val="24"/>
          <w:szCs w:val="24"/>
        </w:rPr>
      </w:pPr>
      <w:r w:rsidRPr="00332EFA">
        <w:rPr>
          <w:rFonts w:ascii="Times New Roman" w:hAnsi="Times New Roman" w:cs="Times New Roman"/>
          <w:sz w:val="24"/>
          <w:szCs w:val="24"/>
        </w:rPr>
        <w:t>Occupation:</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Family type:</w:t>
      </w:r>
    </w:p>
    <w:p w14:paraId="525CF651" w14:textId="77777777" w:rsidR="00931E50" w:rsidRPr="00332EFA" w:rsidRDefault="00931E50" w:rsidP="00332EFA">
      <w:pPr>
        <w:spacing w:after="0" w:line="240" w:lineRule="auto"/>
        <w:ind w:left="720" w:hanging="360"/>
        <w:rPr>
          <w:rFonts w:ascii="Times New Roman" w:hAnsi="Times New Roman" w:cs="Times New Roman"/>
          <w:sz w:val="24"/>
          <w:szCs w:val="24"/>
        </w:rPr>
      </w:pPr>
      <w:r w:rsidRPr="00332EFA">
        <w:rPr>
          <w:rFonts w:ascii="Times New Roman" w:hAnsi="Times New Roman" w:cs="Times New Roman"/>
          <w:sz w:val="24"/>
          <w:szCs w:val="24"/>
        </w:rPr>
        <w:t>No.of members: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Income:</w:t>
      </w:r>
    </w:p>
    <w:p w14:paraId="536256C5" w14:textId="77777777" w:rsidR="00931E50" w:rsidRPr="00332EFA" w:rsidRDefault="00931E50" w:rsidP="00332EFA">
      <w:pPr>
        <w:spacing w:after="0" w:line="240" w:lineRule="auto"/>
        <w:ind w:left="720" w:hanging="360"/>
        <w:rPr>
          <w:rFonts w:ascii="Times New Roman" w:hAnsi="Times New Roman" w:cs="Times New Roman"/>
          <w:sz w:val="24"/>
          <w:szCs w:val="24"/>
        </w:rPr>
      </w:pPr>
    </w:p>
    <w:p w14:paraId="7EA79922" w14:textId="77777777" w:rsidR="00931E50" w:rsidRPr="00401910" w:rsidRDefault="00401910" w:rsidP="00332EFA">
      <w:pPr>
        <w:spacing w:after="0" w:line="240" w:lineRule="auto"/>
        <w:ind w:left="720" w:hanging="360"/>
        <w:rPr>
          <w:rFonts w:ascii="Times New Roman" w:hAnsi="Times New Roman" w:cs="Times New Roman"/>
          <w:b/>
          <w:sz w:val="24"/>
          <w:szCs w:val="24"/>
        </w:rPr>
      </w:pPr>
      <w:r w:rsidRPr="00401910">
        <w:rPr>
          <w:rFonts w:ascii="Times New Roman" w:hAnsi="Times New Roman" w:cs="Times New Roman"/>
          <w:b/>
          <w:sz w:val="24"/>
          <w:szCs w:val="24"/>
        </w:rPr>
        <w:t>PART</w:t>
      </w:r>
      <w:r>
        <w:rPr>
          <w:rFonts w:ascii="Times New Roman" w:hAnsi="Times New Roman" w:cs="Times New Roman"/>
          <w:b/>
          <w:sz w:val="24"/>
          <w:szCs w:val="24"/>
        </w:rPr>
        <w:t xml:space="preserve"> </w:t>
      </w:r>
      <w:r w:rsidRPr="00401910">
        <w:rPr>
          <w:rFonts w:ascii="Times New Roman" w:hAnsi="Times New Roman" w:cs="Times New Roman"/>
          <w:b/>
          <w:sz w:val="24"/>
          <w:szCs w:val="24"/>
        </w:rPr>
        <w:t>-</w:t>
      </w:r>
      <w:r>
        <w:rPr>
          <w:rFonts w:ascii="Times New Roman" w:hAnsi="Times New Roman" w:cs="Times New Roman"/>
          <w:b/>
          <w:sz w:val="24"/>
          <w:szCs w:val="24"/>
        </w:rPr>
        <w:t xml:space="preserve"> Ι</w:t>
      </w:r>
      <w:r w:rsidR="00931E50" w:rsidRPr="00401910">
        <w:rPr>
          <w:rFonts w:ascii="Times New Roman" w:hAnsi="Times New Roman" w:cs="Times New Roman"/>
          <w:b/>
          <w:sz w:val="24"/>
          <w:szCs w:val="24"/>
        </w:rPr>
        <w:t xml:space="preserve"> </w:t>
      </w:r>
    </w:p>
    <w:p w14:paraId="7EAA97D2" w14:textId="77777777" w:rsidR="00931E50" w:rsidRPr="00332EFA" w:rsidRDefault="00931E50" w:rsidP="00332EFA">
      <w:pPr>
        <w:pStyle w:val="ListParagraph"/>
        <w:numPr>
          <w:ilvl w:val="0"/>
          <w:numId w:val="18"/>
        </w:numPr>
        <w:spacing w:after="0" w:line="240" w:lineRule="auto"/>
        <w:ind w:left="709" w:hanging="425"/>
        <w:rPr>
          <w:rFonts w:ascii="Times New Roman" w:hAnsi="Times New Roman" w:cs="Times New Roman"/>
          <w:sz w:val="24"/>
          <w:szCs w:val="24"/>
        </w:rPr>
      </w:pPr>
      <w:r w:rsidRPr="00332EFA">
        <w:rPr>
          <w:rFonts w:ascii="Times New Roman" w:hAnsi="Times New Roman" w:cs="Times New Roman"/>
          <w:sz w:val="24"/>
          <w:szCs w:val="24"/>
        </w:rPr>
        <w:t>Do you have android phone</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p>
    <w:p w14:paraId="718F57D6" w14:textId="77777777" w:rsidR="00931E50" w:rsidRPr="00332EFA" w:rsidRDefault="00931E50" w:rsidP="00332EFA">
      <w:pPr>
        <w:pStyle w:val="ListParagraph"/>
        <w:spacing w:after="0" w:line="240" w:lineRule="auto"/>
        <w:rPr>
          <w:rFonts w:ascii="Times New Roman" w:hAnsi="Times New Roman" w:cs="Times New Roman"/>
          <w:sz w:val="24"/>
          <w:szCs w:val="24"/>
        </w:rPr>
      </w:pPr>
      <w:r w:rsidRPr="00332EFA">
        <w:rPr>
          <w:rFonts w:ascii="Times New Roman" w:hAnsi="Times New Roman" w:cs="Times New Roman"/>
          <w:sz w:val="24"/>
          <w:szCs w:val="24"/>
        </w:rPr>
        <w:t>a)Yes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23299305" w14:textId="77777777" w:rsidR="00931E50" w:rsidRPr="00332EFA" w:rsidRDefault="00931E50" w:rsidP="00332EFA">
      <w:pPr>
        <w:pStyle w:val="ListParagraph"/>
        <w:numPr>
          <w:ilvl w:val="0"/>
          <w:numId w:val="18"/>
        </w:numPr>
        <w:spacing w:after="0" w:line="240" w:lineRule="auto"/>
        <w:ind w:left="709" w:hanging="425"/>
        <w:rPr>
          <w:rFonts w:ascii="Times New Roman" w:hAnsi="Times New Roman" w:cs="Times New Roman"/>
          <w:sz w:val="24"/>
          <w:szCs w:val="24"/>
        </w:rPr>
      </w:pPr>
      <w:r w:rsidRPr="00332EFA">
        <w:rPr>
          <w:rFonts w:ascii="Times New Roman" w:hAnsi="Times New Roman" w:cs="Times New Roman"/>
          <w:sz w:val="24"/>
          <w:szCs w:val="24"/>
        </w:rPr>
        <w:t>Do you know how to use android phone</w:t>
      </w:r>
      <w:r w:rsidRPr="00332EFA">
        <w:rPr>
          <w:rFonts w:ascii="Times New Roman" w:hAnsi="Times New Roman" w:cs="Times New Roman"/>
          <w:sz w:val="24"/>
          <w:szCs w:val="24"/>
        </w:rPr>
        <w:tab/>
      </w:r>
    </w:p>
    <w:p w14:paraId="0CF9FE69" w14:textId="77777777" w:rsidR="00931E50" w:rsidRPr="00332EFA" w:rsidRDefault="00931E50" w:rsidP="00332EFA">
      <w:pPr>
        <w:spacing w:after="0" w:line="240" w:lineRule="auto"/>
        <w:ind w:firstLine="709"/>
        <w:rPr>
          <w:rFonts w:ascii="Times New Roman" w:hAnsi="Times New Roman" w:cs="Times New Roman"/>
          <w:sz w:val="24"/>
          <w:szCs w:val="24"/>
        </w:rPr>
      </w:pPr>
      <w:r w:rsidRPr="00332EFA">
        <w:rPr>
          <w:rFonts w:ascii="Times New Roman" w:hAnsi="Times New Roman" w:cs="Times New Roman"/>
          <w:sz w:val="24"/>
          <w:szCs w:val="24"/>
        </w:rPr>
        <w:t>a)Yes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6DA1C295" w14:textId="77777777" w:rsidR="00931E50" w:rsidRPr="00332EFA" w:rsidRDefault="00931E50" w:rsidP="00332EFA">
      <w:pPr>
        <w:pStyle w:val="ListParagraph"/>
        <w:numPr>
          <w:ilvl w:val="0"/>
          <w:numId w:val="18"/>
        </w:numPr>
        <w:spacing w:after="0" w:line="240" w:lineRule="auto"/>
        <w:ind w:left="709" w:hanging="425"/>
        <w:rPr>
          <w:rFonts w:ascii="Times New Roman" w:hAnsi="Times New Roman" w:cs="Times New Roman"/>
          <w:sz w:val="24"/>
          <w:szCs w:val="24"/>
        </w:rPr>
      </w:pPr>
      <w:r w:rsidRPr="00332EFA">
        <w:rPr>
          <w:rFonts w:ascii="Times New Roman" w:hAnsi="Times New Roman" w:cs="Times New Roman"/>
          <w:sz w:val="24"/>
          <w:szCs w:val="24"/>
        </w:rPr>
        <w:t>Is any banking app installed</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p>
    <w:p w14:paraId="71B2B00F" w14:textId="77777777" w:rsidR="00931E50" w:rsidRPr="00332EFA" w:rsidRDefault="00931E50" w:rsidP="00332EFA">
      <w:pPr>
        <w:spacing w:after="0" w:line="240" w:lineRule="auto"/>
        <w:ind w:firstLine="709"/>
        <w:rPr>
          <w:rFonts w:ascii="Times New Roman" w:hAnsi="Times New Roman" w:cs="Times New Roman"/>
          <w:sz w:val="24"/>
          <w:szCs w:val="24"/>
        </w:rPr>
      </w:pPr>
      <w:r w:rsidRPr="00332EFA">
        <w:rPr>
          <w:rFonts w:ascii="Times New Roman" w:hAnsi="Times New Roman" w:cs="Times New Roman"/>
          <w:sz w:val="24"/>
          <w:szCs w:val="24"/>
        </w:rPr>
        <w:t>a)Yes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6F1918DF" w14:textId="77777777" w:rsidR="00931E50" w:rsidRPr="00332EFA" w:rsidRDefault="00931E50" w:rsidP="00332EFA">
      <w:pPr>
        <w:pStyle w:val="ListParagraph"/>
        <w:numPr>
          <w:ilvl w:val="0"/>
          <w:numId w:val="18"/>
        </w:numPr>
        <w:spacing w:after="0" w:line="240" w:lineRule="auto"/>
        <w:ind w:left="709"/>
        <w:rPr>
          <w:rFonts w:ascii="Times New Roman" w:hAnsi="Times New Roman" w:cs="Times New Roman"/>
          <w:sz w:val="24"/>
          <w:szCs w:val="24"/>
        </w:rPr>
      </w:pPr>
      <w:r w:rsidRPr="00332EFA">
        <w:rPr>
          <w:rFonts w:ascii="Times New Roman" w:hAnsi="Times New Roman" w:cs="Times New Roman"/>
          <w:sz w:val="24"/>
          <w:szCs w:val="24"/>
        </w:rPr>
        <w:t>Are you aware of mobile banking services</w:t>
      </w:r>
      <w:r w:rsidRPr="00332EFA">
        <w:rPr>
          <w:rFonts w:ascii="Times New Roman" w:hAnsi="Times New Roman" w:cs="Times New Roman"/>
          <w:sz w:val="24"/>
          <w:szCs w:val="24"/>
        </w:rPr>
        <w:tab/>
      </w:r>
      <w:r w:rsidRPr="00332EFA">
        <w:rPr>
          <w:rFonts w:ascii="Times New Roman" w:hAnsi="Times New Roman" w:cs="Times New Roman"/>
          <w:sz w:val="24"/>
          <w:szCs w:val="24"/>
        </w:rPr>
        <w:tab/>
      </w:r>
    </w:p>
    <w:p w14:paraId="30DC12BB" w14:textId="77777777" w:rsidR="00931E50" w:rsidRPr="00332EFA" w:rsidRDefault="00931E50" w:rsidP="00332EFA">
      <w:pPr>
        <w:spacing w:after="0" w:line="240" w:lineRule="auto"/>
        <w:ind w:firstLine="709"/>
        <w:rPr>
          <w:rFonts w:ascii="Times New Roman" w:hAnsi="Times New Roman" w:cs="Times New Roman"/>
          <w:sz w:val="24"/>
          <w:szCs w:val="24"/>
        </w:rPr>
      </w:pPr>
      <w:r w:rsidRPr="00332EFA">
        <w:rPr>
          <w:rFonts w:ascii="Times New Roman" w:hAnsi="Times New Roman" w:cs="Times New Roman"/>
          <w:sz w:val="24"/>
          <w:szCs w:val="24"/>
        </w:rPr>
        <w:t>a)Yes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05C7632F" w14:textId="77777777" w:rsidR="00931E50" w:rsidRPr="00332EFA" w:rsidRDefault="00931E50" w:rsidP="00332EFA">
      <w:pPr>
        <w:pStyle w:val="ListParagraph"/>
        <w:numPr>
          <w:ilvl w:val="0"/>
          <w:numId w:val="18"/>
        </w:numPr>
        <w:spacing w:after="0" w:line="240" w:lineRule="auto"/>
        <w:ind w:left="709"/>
        <w:rPr>
          <w:rFonts w:ascii="Times New Roman" w:hAnsi="Times New Roman" w:cs="Times New Roman"/>
          <w:sz w:val="24"/>
          <w:szCs w:val="24"/>
        </w:rPr>
      </w:pPr>
      <w:r w:rsidRPr="00332EFA">
        <w:rPr>
          <w:rFonts w:ascii="Times New Roman" w:hAnsi="Times New Roman" w:cs="Times New Roman"/>
          <w:sz w:val="24"/>
          <w:szCs w:val="24"/>
        </w:rPr>
        <w:t>Do you think mobile banking is safe</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p>
    <w:p w14:paraId="4D34ADFB" w14:textId="77777777" w:rsidR="00931E50" w:rsidRPr="00332EFA" w:rsidRDefault="00931E50" w:rsidP="00332EFA">
      <w:pPr>
        <w:spacing w:after="0" w:line="240" w:lineRule="auto"/>
        <w:ind w:firstLine="709"/>
        <w:rPr>
          <w:rFonts w:ascii="Times New Roman" w:hAnsi="Times New Roman" w:cs="Times New Roman"/>
          <w:sz w:val="24"/>
          <w:szCs w:val="24"/>
        </w:rPr>
      </w:pPr>
      <w:r w:rsidRPr="00332EFA">
        <w:rPr>
          <w:rFonts w:ascii="Times New Roman" w:hAnsi="Times New Roman" w:cs="Times New Roman"/>
          <w:sz w:val="24"/>
          <w:szCs w:val="24"/>
        </w:rPr>
        <w:t>a)Yes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790360F4" w14:textId="77777777" w:rsidR="00931E50" w:rsidRPr="00332EFA" w:rsidRDefault="00931E50" w:rsidP="00332EFA">
      <w:pPr>
        <w:pStyle w:val="ListParagraph"/>
        <w:numPr>
          <w:ilvl w:val="0"/>
          <w:numId w:val="18"/>
        </w:numPr>
        <w:spacing w:after="0" w:line="240" w:lineRule="auto"/>
        <w:ind w:left="709"/>
        <w:rPr>
          <w:rFonts w:ascii="Times New Roman" w:hAnsi="Times New Roman" w:cs="Times New Roman"/>
          <w:sz w:val="24"/>
          <w:szCs w:val="24"/>
        </w:rPr>
      </w:pPr>
      <w:r w:rsidRPr="00332EFA">
        <w:rPr>
          <w:rFonts w:ascii="Times New Roman" w:hAnsi="Times New Roman" w:cs="Times New Roman"/>
          <w:sz w:val="24"/>
          <w:szCs w:val="24"/>
        </w:rPr>
        <w:tab/>
        <w:t>Do you think mobile banking benefits you</w:t>
      </w:r>
      <w:r w:rsidRPr="00332EFA">
        <w:rPr>
          <w:rFonts w:ascii="Times New Roman" w:hAnsi="Times New Roman" w:cs="Times New Roman"/>
          <w:sz w:val="24"/>
          <w:szCs w:val="24"/>
        </w:rPr>
        <w:tab/>
      </w:r>
      <w:r w:rsidRPr="00332EFA">
        <w:rPr>
          <w:rFonts w:ascii="Times New Roman" w:hAnsi="Times New Roman" w:cs="Times New Roman"/>
          <w:sz w:val="24"/>
          <w:szCs w:val="24"/>
        </w:rPr>
        <w:tab/>
      </w:r>
    </w:p>
    <w:p w14:paraId="11AB6AA1" w14:textId="77777777" w:rsidR="00931E50" w:rsidRPr="00332EFA" w:rsidRDefault="00931E50" w:rsidP="00332EFA">
      <w:pPr>
        <w:spacing w:after="0" w:line="240" w:lineRule="auto"/>
        <w:ind w:firstLine="709"/>
        <w:rPr>
          <w:rFonts w:ascii="Times New Roman" w:hAnsi="Times New Roman" w:cs="Times New Roman"/>
          <w:sz w:val="24"/>
          <w:szCs w:val="24"/>
        </w:rPr>
      </w:pPr>
      <w:r w:rsidRPr="00332EFA">
        <w:rPr>
          <w:rFonts w:ascii="Times New Roman" w:hAnsi="Times New Roman" w:cs="Times New Roman"/>
          <w:sz w:val="24"/>
          <w:szCs w:val="24"/>
        </w:rPr>
        <w:t>a)Yes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0B669083" w14:textId="77777777" w:rsidR="005E231D" w:rsidRDefault="005E231D" w:rsidP="00332EFA">
      <w:pPr>
        <w:spacing w:after="0" w:line="240" w:lineRule="auto"/>
        <w:rPr>
          <w:rFonts w:ascii="Times New Roman" w:hAnsi="Times New Roman" w:cs="Times New Roman"/>
          <w:b/>
          <w:sz w:val="24"/>
          <w:szCs w:val="24"/>
        </w:rPr>
      </w:pPr>
    </w:p>
    <w:p w14:paraId="5FB61E2A" w14:textId="77777777" w:rsidR="005E231D" w:rsidRDefault="005E231D" w:rsidP="00332EFA">
      <w:pPr>
        <w:spacing w:after="0" w:line="240" w:lineRule="auto"/>
        <w:rPr>
          <w:rFonts w:ascii="Times New Roman" w:hAnsi="Times New Roman" w:cs="Times New Roman"/>
          <w:b/>
          <w:sz w:val="24"/>
          <w:szCs w:val="24"/>
        </w:rPr>
      </w:pPr>
    </w:p>
    <w:p w14:paraId="7013498A" w14:textId="283D43E1" w:rsidR="00931E50" w:rsidRPr="00401910" w:rsidRDefault="00401910" w:rsidP="00332EFA">
      <w:pPr>
        <w:spacing w:after="0" w:line="240" w:lineRule="auto"/>
        <w:rPr>
          <w:rFonts w:ascii="Times New Roman" w:hAnsi="Times New Roman" w:cs="Times New Roman"/>
          <w:b/>
          <w:sz w:val="24"/>
          <w:szCs w:val="24"/>
        </w:rPr>
      </w:pPr>
      <w:r w:rsidRPr="00401910">
        <w:rPr>
          <w:rFonts w:ascii="Times New Roman" w:hAnsi="Times New Roman" w:cs="Times New Roman"/>
          <w:b/>
          <w:sz w:val="24"/>
          <w:szCs w:val="24"/>
        </w:rPr>
        <w:t xml:space="preserve">PART - </w:t>
      </w:r>
      <w:r w:rsidR="00931E50" w:rsidRPr="00401910">
        <w:rPr>
          <w:rFonts w:ascii="Times New Roman" w:hAnsi="Times New Roman" w:cs="Times New Roman"/>
          <w:b/>
          <w:sz w:val="24"/>
          <w:szCs w:val="24"/>
        </w:rPr>
        <w:t>ΙΙ.</w:t>
      </w:r>
    </w:p>
    <w:p w14:paraId="2EF92F24" w14:textId="77777777" w:rsidR="00931E50" w:rsidRPr="00332EFA" w:rsidRDefault="00931E50" w:rsidP="00401910">
      <w:pPr>
        <w:pStyle w:val="ListParagraph"/>
        <w:numPr>
          <w:ilvl w:val="0"/>
          <w:numId w:val="10"/>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Are you familiar with UPI payment?</w:t>
      </w:r>
    </w:p>
    <w:p w14:paraId="2892433C"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0E2A0F65" w14:textId="77777777" w:rsidR="00931E50" w:rsidRPr="00332EFA" w:rsidRDefault="00931E50" w:rsidP="00401910">
      <w:pPr>
        <w:pStyle w:val="ListParagraph"/>
        <w:numPr>
          <w:ilvl w:val="0"/>
          <w:numId w:val="11"/>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7E9D4AD0"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734C0572" w14:textId="77777777" w:rsidR="00931E50" w:rsidRPr="00332EFA" w:rsidRDefault="00931E50" w:rsidP="00401910">
      <w:pPr>
        <w:pStyle w:val="ListParagraph"/>
        <w:numPr>
          <w:ilvl w:val="0"/>
          <w:numId w:val="10"/>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lastRenderedPageBreak/>
        <w:t>Do you know about UPI online transaction?</w:t>
      </w:r>
    </w:p>
    <w:p w14:paraId="4679D83B"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4B6925FA" w14:textId="77777777" w:rsidR="00931E50" w:rsidRPr="00332EFA" w:rsidRDefault="00931E50" w:rsidP="00401910">
      <w:pPr>
        <w:pStyle w:val="ListParagraph"/>
        <w:numPr>
          <w:ilvl w:val="0"/>
          <w:numId w:val="12"/>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1BE2B9CB"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63FE6FA5" w14:textId="77777777" w:rsidR="00931E50" w:rsidRPr="00332EFA" w:rsidRDefault="00931E50" w:rsidP="00401910">
      <w:pPr>
        <w:pStyle w:val="ListParagraph"/>
        <w:numPr>
          <w:ilvl w:val="0"/>
          <w:numId w:val="10"/>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Have you transferred money using UPI payment facility?</w:t>
      </w:r>
    </w:p>
    <w:p w14:paraId="330DF10C"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38E5269C" w14:textId="77777777" w:rsidR="00931E50" w:rsidRPr="00332EFA" w:rsidRDefault="00931E50" w:rsidP="00401910">
      <w:pPr>
        <w:pStyle w:val="ListParagraph"/>
        <w:numPr>
          <w:ilvl w:val="0"/>
          <w:numId w:val="13"/>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4A0712ED"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0C6DE94A" w14:textId="77777777" w:rsidR="00931E50" w:rsidRPr="00332EFA" w:rsidRDefault="00931E50" w:rsidP="00401910">
      <w:pPr>
        <w:pStyle w:val="ListParagraph"/>
        <w:numPr>
          <w:ilvl w:val="0"/>
          <w:numId w:val="10"/>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Which type of UPI payment have you used?</w:t>
      </w:r>
    </w:p>
    <w:p w14:paraId="6F9B7187"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395F4A58" w14:textId="77777777" w:rsidR="00931E50" w:rsidRPr="00332EFA" w:rsidRDefault="00931E50" w:rsidP="00401910">
      <w:pPr>
        <w:pStyle w:val="ListParagraph"/>
        <w:numPr>
          <w:ilvl w:val="0"/>
          <w:numId w:val="14"/>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17B3E704"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6BB23E25" w14:textId="77777777" w:rsidR="00931E50" w:rsidRPr="00332EFA" w:rsidRDefault="00931E50" w:rsidP="00401910">
      <w:pPr>
        <w:pStyle w:val="ListParagraph"/>
        <w:numPr>
          <w:ilvl w:val="0"/>
          <w:numId w:val="10"/>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 xml:space="preserve">UPI payment facility is very reliable </w:t>
      </w:r>
    </w:p>
    <w:p w14:paraId="30070C66"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197381BE" w14:textId="77777777" w:rsidR="00931E50" w:rsidRPr="00332EFA" w:rsidRDefault="00931E50" w:rsidP="00401910">
      <w:pPr>
        <w:pStyle w:val="ListParagraph"/>
        <w:numPr>
          <w:ilvl w:val="0"/>
          <w:numId w:val="15"/>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7F4523F2"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1A80F786" w14:textId="77777777" w:rsidR="00931E50" w:rsidRPr="00332EFA" w:rsidRDefault="00931E50" w:rsidP="00401910">
      <w:pPr>
        <w:pStyle w:val="ListParagraph"/>
        <w:numPr>
          <w:ilvl w:val="0"/>
          <w:numId w:val="10"/>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Do you know how to check your balance through UPI?</w:t>
      </w:r>
    </w:p>
    <w:p w14:paraId="60A485DA"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22AFE28D" w14:textId="77777777" w:rsidR="00931E50" w:rsidRPr="00332EFA" w:rsidRDefault="00931E50" w:rsidP="00401910">
      <w:pPr>
        <w:pStyle w:val="ListParagraph"/>
        <w:numPr>
          <w:ilvl w:val="0"/>
          <w:numId w:val="16"/>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5092F358"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308E52AF" w14:textId="77777777" w:rsidR="00931E50" w:rsidRPr="00332EFA" w:rsidRDefault="00931E50" w:rsidP="00401910">
      <w:pPr>
        <w:pStyle w:val="ListParagraph"/>
        <w:numPr>
          <w:ilvl w:val="0"/>
          <w:numId w:val="10"/>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Do you think, UPI is useful to everyone?</w:t>
      </w:r>
    </w:p>
    <w:p w14:paraId="5F06C3A3"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218C29AC" w14:textId="77777777" w:rsidR="00931E50" w:rsidRPr="00332EFA" w:rsidRDefault="00931E50" w:rsidP="00401910">
      <w:pPr>
        <w:pStyle w:val="ListParagraph"/>
        <w:numPr>
          <w:ilvl w:val="0"/>
          <w:numId w:val="17"/>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19275CB7" w14:textId="77777777" w:rsidR="00931E50" w:rsidRPr="00332EFA" w:rsidRDefault="00931E50" w:rsidP="00332EFA">
      <w:pPr>
        <w:pStyle w:val="ListParagraph"/>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263"/>
        <w:gridCol w:w="1418"/>
        <w:gridCol w:w="1417"/>
        <w:gridCol w:w="1276"/>
        <w:gridCol w:w="1276"/>
        <w:gridCol w:w="1366"/>
      </w:tblGrid>
      <w:tr w:rsidR="00931E50" w:rsidRPr="00332EFA" w14:paraId="13E907C9" w14:textId="77777777" w:rsidTr="00A34669">
        <w:trPr>
          <w:jc w:val="center"/>
        </w:trPr>
        <w:tc>
          <w:tcPr>
            <w:tcW w:w="2263" w:type="dxa"/>
          </w:tcPr>
          <w:p w14:paraId="161C98EC"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Payment type</w:t>
            </w:r>
          </w:p>
        </w:tc>
        <w:tc>
          <w:tcPr>
            <w:tcW w:w="1418" w:type="dxa"/>
          </w:tcPr>
          <w:p w14:paraId="6223514D"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Strongly agree</w:t>
            </w:r>
          </w:p>
        </w:tc>
        <w:tc>
          <w:tcPr>
            <w:tcW w:w="1417" w:type="dxa"/>
          </w:tcPr>
          <w:p w14:paraId="7FF2E051"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Agree</w:t>
            </w:r>
          </w:p>
        </w:tc>
        <w:tc>
          <w:tcPr>
            <w:tcW w:w="1276" w:type="dxa"/>
          </w:tcPr>
          <w:p w14:paraId="23949277"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Neutral</w:t>
            </w:r>
          </w:p>
        </w:tc>
        <w:tc>
          <w:tcPr>
            <w:tcW w:w="1276" w:type="dxa"/>
          </w:tcPr>
          <w:p w14:paraId="15C3AFA2"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Disagree</w:t>
            </w:r>
          </w:p>
        </w:tc>
        <w:tc>
          <w:tcPr>
            <w:tcW w:w="1366" w:type="dxa"/>
          </w:tcPr>
          <w:p w14:paraId="0F358982"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Strongly disagree</w:t>
            </w:r>
          </w:p>
        </w:tc>
      </w:tr>
      <w:tr w:rsidR="00931E50" w:rsidRPr="00332EFA" w14:paraId="506C7D18" w14:textId="77777777" w:rsidTr="00A34669">
        <w:trPr>
          <w:jc w:val="center"/>
        </w:trPr>
        <w:tc>
          <w:tcPr>
            <w:tcW w:w="2263" w:type="dxa"/>
          </w:tcPr>
          <w:p w14:paraId="6DDC6F67"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DTH</w:t>
            </w:r>
          </w:p>
        </w:tc>
        <w:tc>
          <w:tcPr>
            <w:tcW w:w="1418" w:type="dxa"/>
          </w:tcPr>
          <w:p w14:paraId="3CAAA3E6" w14:textId="77777777" w:rsidR="00931E50" w:rsidRPr="00332EFA" w:rsidRDefault="00931E50" w:rsidP="00332EFA">
            <w:pPr>
              <w:pStyle w:val="ListParagraph"/>
              <w:ind w:left="0"/>
              <w:rPr>
                <w:rFonts w:ascii="Times New Roman" w:hAnsi="Times New Roman" w:cs="Times New Roman"/>
                <w:sz w:val="24"/>
                <w:szCs w:val="24"/>
              </w:rPr>
            </w:pPr>
          </w:p>
          <w:p w14:paraId="795E9487" w14:textId="77777777" w:rsidR="00931E50" w:rsidRPr="00332EFA" w:rsidRDefault="00931E50" w:rsidP="00332EFA">
            <w:pPr>
              <w:pStyle w:val="ListParagraph"/>
              <w:ind w:left="0"/>
              <w:rPr>
                <w:rFonts w:ascii="Times New Roman" w:hAnsi="Times New Roman" w:cs="Times New Roman"/>
                <w:sz w:val="24"/>
                <w:szCs w:val="24"/>
              </w:rPr>
            </w:pPr>
          </w:p>
        </w:tc>
        <w:tc>
          <w:tcPr>
            <w:tcW w:w="1417" w:type="dxa"/>
          </w:tcPr>
          <w:p w14:paraId="3C75076A"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70AA3776"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4D1E8E6C" w14:textId="77777777" w:rsidR="00931E50" w:rsidRPr="00332EFA" w:rsidRDefault="00931E50" w:rsidP="00332EFA">
            <w:pPr>
              <w:pStyle w:val="ListParagraph"/>
              <w:ind w:left="0"/>
              <w:rPr>
                <w:rFonts w:ascii="Times New Roman" w:hAnsi="Times New Roman" w:cs="Times New Roman"/>
                <w:sz w:val="24"/>
                <w:szCs w:val="24"/>
              </w:rPr>
            </w:pPr>
          </w:p>
        </w:tc>
        <w:tc>
          <w:tcPr>
            <w:tcW w:w="1366" w:type="dxa"/>
          </w:tcPr>
          <w:p w14:paraId="284A9615" w14:textId="77777777" w:rsidR="00931E50" w:rsidRPr="00332EFA" w:rsidRDefault="00931E50" w:rsidP="00332EFA">
            <w:pPr>
              <w:pStyle w:val="ListParagraph"/>
              <w:ind w:left="0"/>
              <w:rPr>
                <w:rFonts w:ascii="Times New Roman" w:hAnsi="Times New Roman" w:cs="Times New Roman"/>
                <w:sz w:val="24"/>
                <w:szCs w:val="24"/>
              </w:rPr>
            </w:pPr>
          </w:p>
        </w:tc>
      </w:tr>
      <w:tr w:rsidR="00931E50" w:rsidRPr="00332EFA" w14:paraId="2750D9CC" w14:textId="77777777" w:rsidTr="00A34669">
        <w:trPr>
          <w:jc w:val="center"/>
        </w:trPr>
        <w:tc>
          <w:tcPr>
            <w:tcW w:w="2263" w:type="dxa"/>
          </w:tcPr>
          <w:p w14:paraId="6D07D6E9"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Mobile recharge</w:t>
            </w:r>
          </w:p>
        </w:tc>
        <w:tc>
          <w:tcPr>
            <w:tcW w:w="1418" w:type="dxa"/>
          </w:tcPr>
          <w:p w14:paraId="60CC96A3" w14:textId="77777777" w:rsidR="00931E50" w:rsidRPr="00332EFA" w:rsidRDefault="00931E50" w:rsidP="00332EFA">
            <w:pPr>
              <w:pStyle w:val="ListParagraph"/>
              <w:ind w:left="0"/>
              <w:rPr>
                <w:rFonts w:ascii="Times New Roman" w:hAnsi="Times New Roman" w:cs="Times New Roman"/>
                <w:sz w:val="24"/>
                <w:szCs w:val="24"/>
              </w:rPr>
            </w:pPr>
          </w:p>
          <w:p w14:paraId="23BBDDEF" w14:textId="77777777" w:rsidR="00931E50" w:rsidRPr="00332EFA" w:rsidRDefault="00931E50" w:rsidP="00332EFA">
            <w:pPr>
              <w:pStyle w:val="ListParagraph"/>
              <w:ind w:left="0"/>
              <w:rPr>
                <w:rFonts w:ascii="Times New Roman" w:hAnsi="Times New Roman" w:cs="Times New Roman"/>
                <w:sz w:val="24"/>
                <w:szCs w:val="24"/>
              </w:rPr>
            </w:pPr>
          </w:p>
        </w:tc>
        <w:tc>
          <w:tcPr>
            <w:tcW w:w="1417" w:type="dxa"/>
          </w:tcPr>
          <w:p w14:paraId="793DD0D2"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5380EE91"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144D0845" w14:textId="77777777" w:rsidR="00931E50" w:rsidRPr="00332EFA" w:rsidRDefault="00931E50" w:rsidP="00332EFA">
            <w:pPr>
              <w:pStyle w:val="ListParagraph"/>
              <w:ind w:left="0"/>
              <w:rPr>
                <w:rFonts w:ascii="Times New Roman" w:hAnsi="Times New Roman" w:cs="Times New Roman"/>
                <w:sz w:val="24"/>
                <w:szCs w:val="24"/>
              </w:rPr>
            </w:pPr>
          </w:p>
        </w:tc>
        <w:tc>
          <w:tcPr>
            <w:tcW w:w="1366" w:type="dxa"/>
          </w:tcPr>
          <w:p w14:paraId="6A42FF81" w14:textId="77777777" w:rsidR="00931E50" w:rsidRPr="00332EFA" w:rsidRDefault="00931E50" w:rsidP="00332EFA">
            <w:pPr>
              <w:pStyle w:val="ListParagraph"/>
              <w:ind w:left="0"/>
              <w:rPr>
                <w:rFonts w:ascii="Times New Roman" w:hAnsi="Times New Roman" w:cs="Times New Roman"/>
                <w:sz w:val="24"/>
                <w:szCs w:val="24"/>
              </w:rPr>
            </w:pPr>
          </w:p>
        </w:tc>
      </w:tr>
      <w:tr w:rsidR="00931E50" w:rsidRPr="00332EFA" w14:paraId="30204CBA" w14:textId="77777777" w:rsidTr="00A34669">
        <w:trPr>
          <w:jc w:val="center"/>
        </w:trPr>
        <w:tc>
          <w:tcPr>
            <w:tcW w:w="2263" w:type="dxa"/>
          </w:tcPr>
          <w:p w14:paraId="63C02A18"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Grocery payment</w:t>
            </w:r>
          </w:p>
        </w:tc>
        <w:tc>
          <w:tcPr>
            <w:tcW w:w="1418" w:type="dxa"/>
          </w:tcPr>
          <w:p w14:paraId="5E1BC364" w14:textId="77777777" w:rsidR="00931E50" w:rsidRPr="00332EFA" w:rsidRDefault="00931E50" w:rsidP="00332EFA">
            <w:pPr>
              <w:pStyle w:val="ListParagraph"/>
              <w:ind w:left="0"/>
              <w:rPr>
                <w:rFonts w:ascii="Times New Roman" w:hAnsi="Times New Roman" w:cs="Times New Roman"/>
                <w:sz w:val="24"/>
                <w:szCs w:val="24"/>
              </w:rPr>
            </w:pPr>
          </w:p>
          <w:p w14:paraId="6A23CA03" w14:textId="77777777" w:rsidR="00931E50" w:rsidRPr="00332EFA" w:rsidRDefault="00931E50" w:rsidP="00332EFA">
            <w:pPr>
              <w:pStyle w:val="ListParagraph"/>
              <w:ind w:left="0"/>
              <w:rPr>
                <w:rFonts w:ascii="Times New Roman" w:hAnsi="Times New Roman" w:cs="Times New Roman"/>
                <w:sz w:val="24"/>
                <w:szCs w:val="24"/>
              </w:rPr>
            </w:pPr>
          </w:p>
        </w:tc>
        <w:tc>
          <w:tcPr>
            <w:tcW w:w="1417" w:type="dxa"/>
          </w:tcPr>
          <w:p w14:paraId="7A09CA80"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64AA828A"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7C5ED3A7" w14:textId="77777777" w:rsidR="00931E50" w:rsidRPr="00332EFA" w:rsidRDefault="00931E50" w:rsidP="00332EFA">
            <w:pPr>
              <w:pStyle w:val="ListParagraph"/>
              <w:ind w:left="0"/>
              <w:rPr>
                <w:rFonts w:ascii="Times New Roman" w:hAnsi="Times New Roman" w:cs="Times New Roman"/>
                <w:sz w:val="24"/>
                <w:szCs w:val="24"/>
              </w:rPr>
            </w:pPr>
          </w:p>
        </w:tc>
        <w:tc>
          <w:tcPr>
            <w:tcW w:w="1366" w:type="dxa"/>
          </w:tcPr>
          <w:p w14:paraId="5CEAA09B" w14:textId="77777777" w:rsidR="00931E50" w:rsidRPr="00332EFA" w:rsidRDefault="00931E50" w:rsidP="00332EFA">
            <w:pPr>
              <w:pStyle w:val="ListParagraph"/>
              <w:ind w:left="0"/>
              <w:rPr>
                <w:rFonts w:ascii="Times New Roman" w:hAnsi="Times New Roman" w:cs="Times New Roman"/>
                <w:sz w:val="24"/>
                <w:szCs w:val="24"/>
              </w:rPr>
            </w:pPr>
          </w:p>
        </w:tc>
      </w:tr>
      <w:tr w:rsidR="00931E50" w:rsidRPr="00332EFA" w14:paraId="53DA1DF4" w14:textId="77777777" w:rsidTr="00A34669">
        <w:trPr>
          <w:jc w:val="center"/>
        </w:trPr>
        <w:tc>
          <w:tcPr>
            <w:tcW w:w="2263" w:type="dxa"/>
          </w:tcPr>
          <w:p w14:paraId="622C3D0E"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Vegetable payment</w:t>
            </w:r>
          </w:p>
        </w:tc>
        <w:tc>
          <w:tcPr>
            <w:tcW w:w="1418" w:type="dxa"/>
          </w:tcPr>
          <w:p w14:paraId="562F38D9" w14:textId="77777777" w:rsidR="00931E50" w:rsidRPr="00332EFA" w:rsidRDefault="00931E50" w:rsidP="00332EFA">
            <w:pPr>
              <w:pStyle w:val="ListParagraph"/>
              <w:ind w:left="0"/>
              <w:rPr>
                <w:rFonts w:ascii="Times New Roman" w:hAnsi="Times New Roman" w:cs="Times New Roman"/>
                <w:sz w:val="24"/>
                <w:szCs w:val="24"/>
              </w:rPr>
            </w:pPr>
          </w:p>
          <w:p w14:paraId="6CA4B2D9" w14:textId="77777777" w:rsidR="00931E50" w:rsidRPr="00332EFA" w:rsidRDefault="00931E50" w:rsidP="00332EFA">
            <w:pPr>
              <w:pStyle w:val="ListParagraph"/>
              <w:ind w:left="0"/>
              <w:rPr>
                <w:rFonts w:ascii="Times New Roman" w:hAnsi="Times New Roman" w:cs="Times New Roman"/>
                <w:sz w:val="24"/>
                <w:szCs w:val="24"/>
              </w:rPr>
            </w:pPr>
          </w:p>
        </w:tc>
        <w:tc>
          <w:tcPr>
            <w:tcW w:w="1417" w:type="dxa"/>
          </w:tcPr>
          <w:p w14:paraId="056E1CC1"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6C51DD92"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1BAE127E" w14:textId="77777777" w:rsidR="00931E50" w:rsidRPr="00332EFA" w:rsidRDefault="00931E50" w:rsidP="00332EFA">
            <w:pPr>
              <w:pStyle w:val="ListParagraph"/>
              <w:ind w:left="0"/>
              <w:rPr>
                <w:rFonts w:ascii="Times New Roman" w:hAnsi="Times New Roman" w:cs="Times New Roman"/>
                <w:sz w:val="24"/>
                <w:szCs w:val="24"/>
              </w:rPr>
            </w:pPr>
          </w:p>
        </w:tc>
        <w:tc>
          <w:tcPr>
            <w:tcW w:w="1366" w:type="dxa"/>
          </w:tcPr>
          <w:p w14:paraId="00082758" w14:textId="77777777" w:rsidR="00931E50" w:rsidRPr="00332EFA" w:rsidRDefault="00931E50" w:rsidP="00332EFA">
            <w:pPr>
              <w:pStyle w:val="ListParagraph"/>
              <w:ind w:left="0"/>
              <w:rPr>
                <w:rFonts w:ascii="Times New Roman" w:hAnsi="Times New Roman" w:cs="Times New Roman"/>
                <w:sz w:val="24"/>
                <w:szCs w:val="24"/>
              </w:rPr>
            </w:pPr>
          </w:p>
        </w:tc>
      </w:tr>
      <w:tr w:rsidR="00931E50" w:rsidRPr="00332EFA" w14:paraId="3EAAFC32" w14:textId="77777777" w:rsidTr="00A34669">
        <w:trPr>
          <w:jc w:val="center"/>
        </w:trPr>
        <w:tc>
          <w:tcPr>
            <w:tcW w:w="2263" w:type="dxa"/>
          </w:tcPr>
          <w:p w14:paraId="71BC0250"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Electric bill</w:t>
            </w:r>
          </w:p>
        </w:tc>
        <w:tc>
          <w:tcPr>
            <w:tcW w:w="1418" w:type="dxa"/>
          </w:tcPr>
          <w:p w14:paraId="54B1BB63" w14:textId="77777777" w:rsidR="00931E50" w:rsidRPr="00332EFA" w:rsidRDefault="00931E50" w:rsidP="00332EFA">
            <w:pPr>
              <w:pStyle w:val="ListParagraph"/>
              <w:ind w:left="0"/>
              <w:rPr>
                <w:rFonts w:ascii="Times New Roman" w:hAnsi="Times New Roman" w:cs="Times New Roman"/>
                <w:sz w:val="24"/>
                <w:szCs w:val="24"/>
              </w:rPr>
            </w:pPr>
          </w:p>
          <w:p w14:paraId="416E966A" w14:textId="77777777" w:rsidR="00931E50" w:rsidRPr="00332EFA" w:rsidRDefault="00931E50" w:rsidP="00332EFA">
            <w:pPr>
              <w:pStyle w:val="ListParagraph"/>
              <w:ind w:left="0"/>
              <w:rPr>
                <w:rFonts w:ascii="Times New Roman" w:hAnsi="Times New Roman" w:cs="Times New Roman"/>
                <w:sz w:val="24"/>
                <w:szCs w:val="24"/>
              </w:rPr>
            </w:pPr>
          </w:p>
        </w:tc>
        <w:tc>
          <w:tcPr>
            <w:tcW w:w="1417" w:type="dxa"/>
          </w:tcPr>
          <w:p w14:paraId="4A8D24FE"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23D0FEDD"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23CE2EEA" w14:textId="77777777" w:rsidR="00931E50" w:rsidRPr="00332EFA" w:rsidRDefault="00931E50" w:rsidP="00332EFA">
            <w:pPr>
              <w:pStyle w:val="ListParagraph"/>
              <w:ind w:left="0"/>
              <w:rPr>
                <w:rFonts w:ascii="Times New Roman" w:hAnsi="Times New Roman" w:cs="Times New Roman"/>
                <w:sz w:val="24"/>
                <w:szCs w:val="24"/>
              </w:rPr>
            </w:pPr>
          </w:p>
        </w:tc>
        <w:tc>
          <w:tcPr>
            <w:tcW w:w="1366" w:type="dxa"/>
          </w:tcPr>
          <w:p w14:paraId="37EA9D8D" w14:textId="77777777" w:rsidR="00931E50" w:rsidRPr="00332EFA" w:rsidRDefault="00931E50" w:rsidP="00332EFA">
            <w:pPr>
              <w:pStyle w:val="ListParagraph"/>
              <w:ind w:left="0"/>
              <w:rPr>
                <w:rFonts w:ascii="Times New Roman" w:hAnsi="Times New Roman" w:cs="Times New Roman"/>
                <w:sz w:val="24"/>
                <w:szCs w:val="24"/>
              </w:rPr>
            </w:pPr>
          </w:p>
        </w:tc>
      </w:tr>
      <w:tr w:rsidR="00931E50" w:rsidRPr="00332EFA" w14:paraId="7E7B91B6" w14:textId="77777777" w:rsidTr="005E231D">
        <w:trPr>
          <w:trHeight w:val="379"/>
          <w:jc w:val="center"/>
        </w:trPr>
        <w:tc>
          <w:tcPr>
            <w:tcW w:w="2263" w:type="dxa"/>
          </w:tcPr>
          <w:p w14:paraId="4099D910"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Shopping</w:t>
            </w:r>
          </w:p>
        </w:tc>
        <w:tc>
          <w:tcPr>
            <w:tcW w:w="1418" w:type="dxa"/>
          </w:tcPr>
          <w:p w14:paraId="69291EEA" w14:textId="77777777" w:rsidR="00931E50" w:rsidRPr="00332EFA" w:rsidRDefault="00931E50" w:rsidP="00332EFA">
            <w:pPr>
              <w:pStyle w:val="ListParagraph"/>
              <w:ind w:left="0"/>
              <w:rPr>
                <w:rFonts w:ascii="Times New Roman" w:hAnsi="Times New Roman" w:cs="Times New Roman"/>
                <w:sz w:val="24"/>
                <w:szCs w:val="24"/>
              </w:rPr>
            </w:pPr>
          </w:p>
          <w:p w14:paraId="6993EA9F" w14:textId="77777777" w:rsidR="00931E50" w:rsidRPr="00332EFA" w:rsidRDefault="00931E50" w:rsidP="00332EFA">
            <w:pPr>
              <w:pStyle w:val="ListParagraph"/>
              <w:ind w:left="0"/>
              <w:rPr>
                <w:rFonts w:ascii="Times New Roman" w:hAnsi="Times New Roman" w:cs="Times New Roman"/>
                <w:sz w:val="24"/>
                <w:szCs w:val="24"/>
              </w:rPr>
            </w:pPr>
          </w:p>
        </w:tc>
        <w:tc>
          <w:tcPr>
            <w:tcW w:w="1417" w:type="dxa"/>
          </w:tcPr>
          <w:p w14:paraId="6A9CBA03"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199906A5"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1EA09D98" w14:textId="77777777" w:rsidR="00931E50" w:rsidRPr="00332EFA" w:rsidRDefault="00931E50" w:rsidP="00332EFA">
            <w:pPr>
              <w:pStyle w:val="ListParagraph"/>
              <w:ind w:left="0"/>
              <w:rPr>
                <w:rFonts w:ascii="Times New Roman" w:hAnsi="Times New Roman" w:cs="Times New Roman"/>
                <w:sz w:val="24"/>
                <w:szCs w:val="24"/>
              </w:rPr>
            </w:pPr>
          </w:p>
        </w:tc>
        <w:tc>
          <w:tcPr>
            <w:tcW w:w="1366" w:type="dxa"/>
          </w:tcPr>
          <w:p w14:paraId="12CA85CC" w14:textId="77777777" w:rsidR="00931E50" w:rsidRPr="00332EFA" w:rsidRDefault="00931E50" w:rsidP="00332EFA">
            <w:pPr>
              <w:pStyle w:val="ListParagraph"/>
              <w:ind w:left="0"/>
              <w:rPr>
                <w:rFonts w:ascii="Times New Roman" w:hAnsi="Times New Roman" w:cs="Times New Roman"/>
                <w:sz w:val="24"/>
                <w:szCs w:val="24"/>
              </w:rPr>
            </w:pPr>
          </w:p>
        </w:tc>
      </w:tr>
      <w:tr w:rsidR="00931E50" w:rsidRPr="00332EFA" w14:paraId="1077700F" w14:textId="77777777" w:rsidTr="00A34669">
        <w:trPr>
          <w:jc w:val="center"/>
        </w:trPr>
        <w:tc>
          <w:tcPr>
            <w:tcW w:w="2263" w:type="dxa"/>
          </w:tcPr>
          <w:p w14:paraId="6591F291"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Loan</w:t>
            </w:r>
          </w:p>
        </w:tc>
        <w:tc>
          <w:tcPr>
            <w:tcW w:w="1418" w:type="dxa"/>
          </w:tcPr>
          <w:p w14:paraId="2B13A3D5" w14:textId="77777777" w:rsidR="00931E50" w:rsidRPr="00332EFA" w:rsidRDefault="00931E50" w:rsidP="00332EFA">
            <w:pPr>
              <w:pStyle w:val="ListParagraph"/>
              <w:ind w:left="0"/>
              <w:rPr>
                <w:rFonts w:ascii="Times New Roman" w:hAnsi="Times New Roman" w:cs="Times New Roman"/>
                <w:sz w:val="24"/>
                <w:szCs w:val="24"/>
              </w:rPr>
            </w:pPr>
          </w:p>
          <w:p w14:paraId="2B80DF39" w14:textId="77777777" w:rsidR="00931E50" w:rsidRPr="00332EFA" w:rsidRDefault="00931E50" w:rsidP="00332EFA">
            <w:pPr>
              <w:pStyle w:val="ListParagraph"/>
              <w:ind w:left="0"/>
              <w:rPr>
                <w:rFonts w:ascii="Times New Roman" w:hAnsi="Times New Roman" w:cs="Times New Roman"/>
                <w:sz w:val="24"/>
                <w:szCs w:val="24"/>
              </w:rPr>
            </w:pPr>
          </w:p>
        </w:tc>
        <w:tc>
          <w:tcPr>
            <w:tcW w:w="1417" w:type="dxa"/>
          </w:tcPr>
          <w:p w14:paraId="0A005411"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49A5D928"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7A88AA38" w14:textId="77777777" w:rsidR="00931E50" w:rsidRPr="00332EFA" w:rsidRDefault="00931E50" w:rsidP="00332EFA">
            <w:pPr>
              <w:pStyle w:val="ListParagraph"/>
              <w:ind w:left="0"/>
              <w:rPr>
                <w:rFonts w:ascii="Times New Roman" w:hAnsi="Times New Roman" w:cs="Times New Roman"/>
                <w:sz w:val="24"/>
                <w:szCs w:val="24"/>
              </w:rPr>
            </w:pPr>
          </w:p>
        </w:tc>
        <w:tc>
          <w:tcPr>
            <w:tcW w:w="1366" w:type="dxa"/>
          </w:tcPr>
          <w:p w14:paraId="67F72C9D" w14:textId="77777777" w:rsidR="00931E50" w:rsidRPr="00332EFA" w:rsidRDefault="00931E50" w:rsidP="00332EFA">
            <w:pPr>
              <w:pStyle w:val="ListParagraph"/>
              <w:ind w:left="0"/>
              <w:rPr>
                <w:rFonts w:ascii="Times New Roman" w:hAnsi="Times New Roman" w:cs="Times New Roman"/>
                <w:sz w:val="24"/>
                <w:szCs w:val="24"/>
              </w:rPr>
            </w:pPr>
          </w:p>
        </w:tc>
      </w:tr>
      <w:tr w:rsidR="00931E50" w:rsidRPr="00332EFA" w14:paraId="463EF98B" w14:textId="77777777" w:rsidTr="00A34669">
        <w:trPr>
          <w:jc w:val="center"/>
        </w:trPr>
        <w:tc>
          <w:tcPr>
            <w:tcW w:w="2263" w:type="dxa"/>
          </w:tcPr>
          <w:p w14:paraId="5112ADF0"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House rent</w:t>
            </w:r>
          </w:p>
        </w:tc>
        <w:tc>
          <w:tcPr>
            <w:tcW w:w="1418" w:type="dxa"/>
          </w:tcPr>
          <w:p w14:paraId="54A7BCC2" w14:textId="77777777" w:rsidR="00931E50" w:rsidRPr="00332EFA" w:rsidRDefault="00931E50" w:rsidP="00332EFA">
            <w:pPr>
              <w:pStyle w:val="ListParagraph"/>
              <w:ind w:left="0"/>
              <w:rPr>
                <w:rFonts w:ascii="Times New Roman" w:hAnsi="Times New Roman" w:cs="Times New Roman"/>
                <w:sz w:val="24"/>
                <w:szCs w:val="24"/>
              </w:rPr>
            </w:pPr>
          </w:p>
          <w:p w14:paraId="42013FE2" w14:textId="77777777" w:rsidR="00931E50" w:rsidRPr="00332EFA" w:rsidRDefault="00931E50" w:rsidP="00332EFA">
            <w:pPr>
              <w:pStyle w:val="ListParagraph"/>
              <w:ind w:left="0"/>
              <w:rPr>
                <w:rFonts w:ascii="Times New Roman" w:hAnsi="Times New Roman" w:cs="Times New Roman"/>
                <w:sz w:val="24"/>
                <w:szCs w:val="24"/>
              </w:rPr>
            </w:pPr>
          </w:p>
        </w:tc>
        <w:tc>
          <w:tcPr>
            <w:tcW w:w="1417" w:type="dxa"/>
          </w:tcPr>
          <w:p w14:paraId="44FCA009"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2A94586E"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181141AA" w14:textId="77777777" w:rsidR="00931E50" w:rsidRPr="00332EFA" w:rsidRDefault="00931E50" w:rsidP="00332EFA">
            <w:pPr>
              <w:pStyle w:val="ListParagraph"/>
              <w:ind w:left="0"/>
              <w:rPr>
                <w:rFonts w:ascii="Times New Roman" w:hAnsi="Times New Roman" w:cs="Times New Roman"/>
                <w:sz w:val="24"/>
                <w:szCs w:val="24"/>
              </w:rPr>
            </w:pPr>
          </w:p>
        </w:tc>
        <w:tc>
          <w:tcPr>
            <w:tcW w:w="1366" w:type="dxa"/>
          </w:tcPr>
          <w:p w14:paraId="6910D818" w14:textId="77777777" w:rsidR="00931E50" w:rsidRPr="00332EFA" w:rsidRDefault="00931E50" w:rsidP="00332EFA">
            <w:pPr>
              <w:pStyle w:val="ListParagraph"/>
              <w:ind w:left="0"/>
              <w:rPr>
                <w:rFonts w:ascii="Times New Roman" w:hAnsi="Times New Roman" w:cs="Times New Roman"/>
                <w:sz w:val="24"/>
                <w:szCs w:val="24"/>
              </w:rPr>
            </w:pPr>
          </w:p>
        </w:tc>
      </w:tr>
    </w:tbl>
    <w:p w14:paraId="78F827C1" w14:textId="77777777" w:rsidR="00931E50" w:rsidRPr="00FB0583" w:rsidRDefault="00931E50" w:rsidP="00332EFA">
      <w:pPr>
        <w:spacing w:after="0"/>
        <w:rPr>
          <w:rFonts w:ascii="Times New Roman" w:hAnsi="Times New Roman" w:cs="Times New Roman"/>
          <w:sz w:val="24"/>
          <w:szCs w:val="24"/>
        </w:rPr>
      </w:pPr>
    </w:p>
    <w:p w14:paraId="631A0448" w14:textId="77777777" w:rsidR="00931E50" w:rsidRDefault="00931E50" w:rsidP="00931E50">
      <w:pPr>
        <w:pStyle w:val="ListParagraph"/>
        <w:spacing w:line="600" w:lineRule="auto"/>
        <w:rPr>
          <w:rFonts w:ascii="Times New Roman" w:hAnsi="Times New Roman" w:cs="Times New Roman"/>
          <w:sz w:val="24"/>
          <w:szCs w:val="24"/>
        </w:rPr>
      </w:pPr>
    </w:p>
    <w:p w14:paraId="78233105" w14:textId="77777777" w:rsidR="00931E50" w:rsidRDefault="00931E50" w:rsidP="00931E50">
      <w:pPr>
        <w:pStyle w:val="ListParagraph"/>
        <w:spacing w:line="600" w:lineRule="auto"/>
        <w:rPr>
          <w:rFonts w:ascii="Times New Roman" w:hAnsi="Times New Roman" w:cs="Times New Roman"/>
          <w:sz w:val="24"/>
          <w:szCs w:val="24"/>
        </w:rPr>
      </w:pPr>
    </w:p>
    <w:p w14:paraId="791C781C" w14:textId="77777777" w:rsidR="00931E50" w:rsidRPr="00837A6F" w:rsidRDefault="00931E50" w:rsidP="00931E50">
      <w:pPr>
        <w:pStyle w:val="ListParagraph"/>
        <w:spacing w:line="360" w:lineRule="auto"/>
        <w:rPr>
          <w:rFonts w:ascii="Times New Roman" w:hAnsi="Times New Roman" w:cs="Times New Roman"/>
          <w:sz w:val="24"/>
          <w:szCs w:val="24"/>
        </w:rPr>
      </w:pPr>
    </w:p>
    <w:p w14:paraId="5438CE92" w14:textId="77777777" w:rsidR="00D93FDD" w:rsidRDefault="00D93FDD"/>
    <w:p w14:paraId="22598F62" w14:textId="77777777" w:rsidR="00D93FDD" w:rsidRDefault="00D93FDD"/>
    <w:p w14:paraId="60DE5BFF" w14:textId="77777777" w:rsidR="00D93FDD" w:rsidRDefault="00D93FDD" w:rsidP="00D93FDD">
      <w:pPr>
        <w:jc w:val="both"/>
        <w:rPr>
          <w:rFonts w:ascii="Times New Roman" w:hAnsi="Times New Roman" w:cs="Times New Roman"/>
          <w:sz w:val="24"/>
          <w:szCs w:val="24"/>
        </w:rPr>
      </w:pPr>
    </w:p>
    <w:p w14:paraId="2786CDDB" w14:textId="77777777" w:rsidR="006A4A00" w:rsidRDefault="006A4A00" w:rsidP="00D93FDD">
      <w:pPr>
        <w:jc w:val="both"/>
        <w:rPr>
          <w:rFonts w:ascii="Times New Roman" w:hAnsi="Times New Roman" w:cs="Times New Roman"/>
          <w:sz w:val="24"/>
          <w:szCs w:val="24"/>
        </w:rPr>
      </w:pPr>
    </w:p>
    <w:p w14:paraId="2781E9E3" w14:textId="77777777" w:rsidR="008E764E" w:rsidRDefault="008E764E" w:rsidP="00D93FDD">
      <w:pPr>
        <w:jc w:val="both"/>
        <w:rPr>
          <w:rFonts w:ascii="Times New Roman" w:hAnsi="Times New Roman" w:cs="Times New Roman"/>
          <w:sz w:val="24"/>
          <w:szCs w:val="24"/>
        </w:rPr>
      </w:pPr>
    </w:p>
    <w:p w14:paraId="75CBCBC5" w14:textId="77777777" w:rsidR="008E764E" w:rsidRDefault="008E764E" w:rsidP="00D93FDD">
      <w:pPr>
        <w:jc w:val="both"/>
        <w:rPr>
          <w:rFonts w:ascii="Times New Roman" w:hAnsi="Times New Roman" w:cs="Times New Roman"/>
          <w:sz w:val="24"/>
          <w:szCs w:val="24"/>
        </w:rPr>
      </w:pPr>
    </w:p>
    <w:p w14:paraId="4AC3DD1F" w14:textId="6E16BD07" w:rsidR="00DA3AA8" w:rsidRDefault="00DA3AA8" w:rsidP="00D93FDD">
      <w:pPr>
        <w:jc w:val="both"/>
        <w:rPr>
          <w:rFonts w:ascii="Times New Roman" w:hAnsi="Times New Roman" w:cs="Times New Roman"/>
          <w:sz w:val="24"/>
          <w:szCs w:val="24"/>
        </w:rPr>
      </w:pPr>
      <w:r>
        <w:rPr>
          <w:rFonts w:ascii="Times New Roman" w:hAnsi="Times New Roman" w:cs="Times New Roman"/>
          <w:sz w:val="24"/>
          <w:szCs w:val="24"/>
        </w:rPr>
        <w:t xml:space="preserve"> </w:t>
      </w:r>
    </w:p>
    <w:p w14:paraId="25B27B94" w14:textId="77777777" w:rsidR="004B4C70" w:rsidRDefault="004B4C70" w:rsidP="00D93FDD">
      <w:pPr>
        <w:jc w:val="both"/>
        <w:rPr>
          <w:rFonts w:ascii="Times New Roman" w:hAnsi="Times New Roman" w:cs="Times New Roman"/>
          <w:sz w:val="24"/>
          <w:szCs w:val="24"/>
        </w:rPr>
      </w:pPr>
    </w:p>
    <w:p w14:paraId="118CE488" w14:textId="77777777" w:rsidR="004B4C70" w:rsidRPr="000F2550" w:rsidRDefault="004B4C70" w:rsidP="00D93FDD">
      <w:pPr>
        <w:jc w:val="both"/>
        <w:rPr>
          <w:rFonts w:ascii="Times New Roman" w:hAnsi="Times New Roman" w:cs="Times New Roman"/>
          <w:b/>
          <w:bCs/>
          <w:sz w:val="24"/>
          <w:szCs w:val="24"/>
        </w:rPr>
      </w:pPr>
    </w:p>
    <w:p w14:paraId="06F01AC2" w14:textId="77777777" w:rsidR="006A4A00" w:rsidRDefault="006A4A00" w:rsidP="00D93FDD">
      <w:pPr>
        <w:jc w:val="both"/>
        <w:rPr>
          <w:rFonts w:ascii="Times New Roman" w:hAnsi="Times New Roman" w:cs="Times New Roman"/>
          <w:sz w:val="24"/>
          <w:szCs w:val="24"/>
        </w:rPr>
      </w:pPr>
    </w:p>
    <w:sectPr w:rsidR="006A4A00" w:rsidSect="0029457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FB982" w14:textId="77777777" w:rsidR="00707D85" w:rsidRDefault="00707D85" w:rsidP="0040010F">
      <w:pPr>
        <w:spacing w:after="0" w:line="240" w:lineRule="auto"/>
      </w:pPr>
      <w:r>
        <w:separator/>
      </w:r>
    </w:p>
  </w:endnote>
  <w:endnote w:type="continuationSeparator" w:id="0">
    <w:p w14:paraId="1F8CE681" w14:textId="77777777" w:rsidR="00707D85" w:rsidRDefault="00707D85" w:rsidP="00400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268D5" w14:textId="77777777" w:rsidR="0040010F" w:rsidRDefault="00400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5241" w14:textId="77777777" w:rsidR="0040010F" w:rsidRDefault="00400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9986" w14:textId="77777777" w:rsidR="0040010F" w:rsidRDefault="00400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8E88A" w14:textId="77777777" w:rsidR="00707D85" w:rsidRDefault="00707D85" w:rsidP="0040010F">
      <w:pPr>
        <w:spacing w:after="0" w:line="240" w:lineRule="auto"/>
      </w:pPr>
      <w:r>
        <w:separator/>
      </w:r>
    </w:p>
  </w:footnote>
  <w:footnote w:type="continuationSeparator" w:id="0">
    <w:p w14:paraId="561065AE" w14:textId="77777777" w:rsidR="00707D85" w:rsidRDefault="00707D85" w:rsidP="00400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0289" w14:textId="69F719E0" w:rsidR="0040010F" w:rsidRDefault="007E3EE0">
    <w:pPr>
      <w:pStyle w:val="Header"/>
    </w:pPr>
    <w:r>
      <w:rPr>
        <w:noProof/>
      </w:rPr>
      <w:pict w14:anchorId="5E4DC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03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BDEE" w14:textId="044C5F3C" w:rsidR="0040010F" w:rsidRDefault="007E3EE0">
    <w:pPr>
      <w:pStyle w:val="Header"/>
    </w:pPr>
    <w:r>
      <w:rPr>
        <w:noProof/>
      </w:rPr>
      <w:pict w14:anchorId="58D52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03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C20FB" w14:textId="16643055" w:rsidR="0040010F" w:rsidRDefault="007E3EE0">
    <w:pPr>
      <w:pStyle w:val="Header"/>
    </w:pPr>
    <w:r>
      <w:rPr>
        <w:noProof/>
      </w:rPr>
      <w:pict w14:anchorId="7285E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03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731D"/>
    <w:multiLevelType w:val="multilevel"/>
    <w:tmpl w:val="E66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92D96"/>
    <w:multiLevelType w:val="multilevel"/>
    <w:tmpl w:val="0A244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670CD"/>
    <w:multiLevelType w:val="multilevel"/>
    <w:tmpl w:val="8B384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E593B"/>
    <w:multiLevelType w:val="hybridMultilevel"/>
    <w:tmpl w:val="49DC111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0F11D20"/>
    <w:multiLevelType w:val="hybridMultilevel"/>
    <w:tmpl w:val="7D98CA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942E50"/>
    <w:multiLevelType w:val="hybridMultilevel"/>
    <w:tmpl w:val="49DC111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0157243"/>
    <w:multiLevelType w:val="hybridMultilevel"/>
    <w:tmpl w:val="49DC111A"/>
    <w:lvl w:ilvl="0" w:tplc="95ECFB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191718B"/>
    <w:multiLevelType w:val="hybridMultilevel"/>
    <w:tmpl w:val="85D6E150"/>
    <w:lvl w:ilvl="0" w:tplc="0409000F">
      <w:start w:val="1"/>
      <w:numFmt w:val="decimal"/>
      <w:lvlText w:val="%1."/>
      <w:lvlJc w:val="left"/>
      <w:pPr>
        <w:ind w:left="720" w:hanging="360"/>
      </w:pPr>
      <w:rPr>
        <w:rFonts w:hint="default"/>
        <w:b/>
        <w:bCs/>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E3E76"/>
    <w:multiLevelType w:val="hybridMultilevel"/>
    <w:tmpl w:val="80C0A9D8"/>
    <w:lvl w:ilvl="0" w:tplc="637E77A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D096F06"/>
    <w:multiLevelType w:val="hybridMultilevel"/>
    <w:tmpl w:val="85D6E150"/>
    <w:lvl w:ilvl="0" w:tplc="FFFFFFFF">
      <w:start w:val="1"/>
      <w:numFmt w:val="decimal"/>
      <w:lvlText w:val="%1."/>
      <w:lvlJc w:val="left"/>
      <w:pPr>
        <w:ind w:left="720" w:hanging="360"/>
      </w:pPr>
      <w:rPr>
        <w:rFonts w:hint="default"/>
        <w:b/>
        <w:bCs/>
        <w:w w:val="1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D559F8"/>
    <w:multiLevelType w:val="hybridMultilevel"/>
    <w:tmpl w:val="94A856CA"/>
    <w:lvl w:ilvl="0" w:tplc="F2180F98">
      <w:start w:val="1"/>
      <w:numFmt w:val="upperLetter"/>
      <w:lvlText w:val="%1."/>
      <w:lvlJc w:val="left"/>
      <w:pPr>
        <w:ind w:left="720" w:hanging="360"/>
      </w:pPr>
      <w:rPr>
        <w:rFonts w:hint="default"/>
        <w:b/>
        <w:bCs/>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F2D63"/>
    <w:multiLevelType w:val="hybridMultilevel"/>
    <w:tmpl w:val="49DC111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E09305C"/>
    <w:multiLevelType w:val="hybridMultilevel"/>
    <w:tmpl w:val="49DC111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0760A10"/>
    <w:multiLevelType w:val="multilevel"/>
    <w:tmpl w:val="9762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904A0A"/>
    <w:multiLevelType w:val="hybridMultilevel"/>
    <w:tmpl w:val="49DC111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2B16C20"/>
    <w:multiLevelType w:val="multilevel"/>
    <w:tmpl w:val="C922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2439FB"/>
    <w:multiLevelType w:val="multilevel"/>
    <w:tmpl w:val="3F200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E0056A"/>
    <w:multiLevelType w:val="hybridMultilevel"/>
    <w:tmpl w:val="BAF265C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6E4F25EF"/>
    <w:multiLevelType w:val="multilevel"/>
    <w:tmpl w:val="D430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072889"/>
    <w:multiLevelType w:val="hybridMultilevel"/>
    <w:tmpl w:val="76F64F4A"/>
    <w:lvl w:ilvl="0" w:tplc="1D84DB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983149">
    <w:abstractNumId w:val="18"/>
  </w:num>
  <w:num w:numId="2" w16cid:durableId="1891919989">
    <w:abstractNumId w:val="2"/>
  </w:num>
  <w:num w:numId="3" w16cid:durableId="385838263">
    <w:abstractNumId w:val="15"/>
  </w:num>
  <w:num w:numId="4" w16cid:durableId="2109496290">
    <w:abstractNumId w:val="0"/>
  </w:num>
  <w:num w:numId="5" w16cid:durableId="1754474741">
    <w:abstractNumId w:val="16"/>
  </w:num>
  <w:num w:numId="6" w16cid:durableId="409012324">
    <w:abstractNumId w:val="1"/>
  </w:num>
  <w:num w:numId="7" w16cid:durableId="1150755332">
    <w:abstractNumId w:val="10"/>
  </w:num>
  <w:num w:numId="8" w16cid:durableId="1841309548">
    <w:abstractNumId w:val="19"/>
  </w:num>
  <w:num w:numId="9" w16cid:durableId="1902403345">
    <w:abstractNumId w:val="7"/>
  </w:num>
  <w:num w:numId="10" w16cid:durableId="1779132027">
    <w:abstractNumId w:val="4"/>
  </w:num>
  <w:num w:numId="11" w16cid:durableId="1288466503">
    <w:abstractNumId w:val="6"/>
  </w:num>
  <w:num w:numId="12" w16cid:durableId="126046316">
    <w:abstractNumId w:val="8"/>
  </w:num>
  <w:num w:numId="13" w16cid:durableId="379482882">
    <w:abstractNumId w:val="11"/>
  </w:num>
  <w:num w:numId="14" w16cid:durableId="1686513818">
    <w:abstractNumId w:val="5"/>
  </w:num>
  <w:num w:numId="15" w16cid:durableId="443378764">
    <w:abstractNumId w:val="14"/>
  </w:num>
  <w:num w:numId="16" w16cid:durableId="1152865511">
    <w:abstractNumId w:val="3"/>
  </w:num>
  <w:num w:numId="17" w16cid:durableId="2064209478">
    <w:abstractNumId w:val="12"/>
  </w:num>
  <w:num w:numId="18" w16cid:durableId="1186597378">
    <w:abstractNumId w:val="17"/>
  </w:num>
  <w:num w:numId="19" w16cid:durableId="646326791">
    <w:abstractNumId w:val="13"/>
  </w:num>
  <w:num w:numId="20" w16cid:durableId="429467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67"/>
    <w:rsid w:val="0001503E"/>
    <w:rsid w:val="000520DD"/>
    <w:rsid w:val="00087FE7"/>
    <w:rsid w:val="000F2550"/>
    <w:rsid w:val="00107067"/>
    <w:rsid w:val="0015334D"/>
    <w:rsid w:val="00172B81"/>
    <w:rsid w:val="002028FE"/>
    <w:rsid w:val="00226A5A"/>
    <w:rsid w:val="00267CFB"/>
    <w:rsid w:val="00294572"/>
    <w:rsid w:val="00297690"/>
    <w:rsid w:val="0029784B"/>
    <w:rsid w:val="002B44FC"/>
    <w:rsid w:val="002C2367"/>
    <w:rsid w:val="002C40BA"/>
    <w:rsid w:val="002C5FC8"/>
    <w:rsid w:val="002F0C38"/>
    <w:rsid w:val="002F0C61"/>
    <w:rsid w:val="00313C37"/>
    <w:rsid w:val="00315F1F"/>
    <w:rsid w:val="00332EFA"/>
    <w:rsid w:val="0035640C"/>
    <w:rsid w:val="00362F04"/>
    <w:rsid w:val="003A27CC"/>
    <w:rsid w:val="003B687B"/>
    <w:rsid w:val="003C69B9"/>
    <w:rsid w:val="003C6CF5"/>
    <w:rsid w:val="0040010F"/>
    <w:rsid w:val="00401910"/>
    <w:rsid w:val="00410425"/>
    <w:rsid w:val="004142D5"/>
    <w:rsid w:val="00421056"/>
    <w:rsid w:val="00422FF4"/>
    <w:rsid w:val="00432F3D"/>
    <w:rsid w:val="004A0B7F"/>
    <w:rsid w:val="004B4C70"/>
    <w:rsid w:val="004C79BC"/>
    <w:rsid w:val="00513B3D"/>
    <w:rsid w:val="0054547E"/>
    <w:rsid w:val="00562B79"/>
    <w:rsid w:val="005D487C"/>
    <w:rsid w:val="005E13F0"/>
    <w:rsid w:val="005E231D"/>
    <w:rsid w:val="005E7D83"/>
    <w:rsid w:val="006138E3"/>
    <w:rsid w:val="00623541"/>
    <w:rsid w:val="006335A9"/>
    <w:rsid w:val="006A4A00"/>
    <w:rsid w:val="006D3020"/>
    <w:rsid w:val="006F536F"/>
    <w:rsid w:val="00707D85"/>
    <w:rsid w:val="00724667"/>
    <w:rsid w:val="00761073"/>
    <w:rsid w:val="00793D5B"/>
    <w:rsid w:val="007A1A8D"/>
    <w:rsid w:val="007A6849"/>
    <w:rsid w:val="007B14AA"/>
    <w:rsid w:val="007B7696"/>
    <w:rsid w:val="007E3EE0"/>
    <w:rsid w:val="008759C3"/>
    <w:rsid w:val="00881B8E"/>
    <w:rsid w:val="008A54ED"/>
    <w:rsid w:val="008D65A0"/>
    <w:rsid w:val="008E764E"/>
    <w:rsid w:val="008F235B"/>
    <w:rsid w:val="00931E50"/>
    <w:rsid w:val="00995FA6"/>
    <w:rsid w:val="009A5605"/>
    <w:rsid w:val="009E49B7"/>
    <w:rsid w:val="00AD03DE"/>
    <w:rsid w:val="00AE3656"/>
    <w:rsid w:val="00B249B8"/>
    <w:rsid w:val="00B25A36"/>
    <w:rsid w:val="00B65744"/>
    <w:rsid w:val="00B85651"/>
    <w:rsid w:val="00BF373C"/>
    <w:rsid w:val="00BF72CD"/>
    <w:rsid w:val="00C95875"/>
    <w:rsid w:val="00CB73D9"/>
    <w:rsid w:val="00CB766C"/>
    <w:rsid w:val="00CD23AC"/>
    <w:rsid w:val="00CE6130"/>
    <w:rsid w:val="00D47667"/>
    <w:rsid w:val="00D4796F"/>
    <w:rsid w:val="00D52C04"/>
    <w:rsid w:val="00D8428C"/>
    <w:rsid w:val="00D93FDD"/>
    <w:rsid w:val="00DA0107"/>
    <w:rsid w:val="00DA3AA8"/>
    <w:rsid w:val="00DC1E03"/>
    <w:rsid w:val="00E342EC"/>
    <w:rsid w:val="00E95CAC"/>
    <w:rsid w:val="00EA2E00"/>
    <w:rsid w:val="00EC37AE"/>
    <w:rsid w:val="00ED3D30"/>
    <w:rsid w:val="00EE4E3D"/>
    <w:rsid w:val="00F06E61"/>
    <w:rsid w:val="00F403F5"/>
    <w:rsid w:val="00F62857"/>
    <w:rsid w:val="00FA0B7A"/>
    <w:rsid w:val="00FC0185"/>
    <w:rsid w:val="00FC6306"/>
    <w:rsid w:val="00FD1278"/>
    <w:rsid w:val="00FD7A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AF9F17"/>
  <w15:docId w15:val="{0DFA1F15-7E41-48B9-8D38-7ADEE7FA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B14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067"/>
    <w:pPr>
      <w:ind w:left="720"/>
      <w:contextualSpacing/>
    </w:pPr>
  </w:style>
  <w:style w:type="table" w:styleId="TableGrid">
    <w:name w:val="Table Grid"/>
    <w:basedOn w:val="TableNormal"/>
    <w:uiPriority w:val="39"/>
    <w:rsid w:val="00D93FDD"/>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3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FDD"/>
    <w:rPr>
      <w:rFonts w:ascii="Tahoma" w:hAnsi="Tahoma" w:cs="Tahoma"/>
      <w:sz w:val="16"/>
      <w:szCs w:val="16"/>
    </w:rPr>
  </w:style>
  <w:style w:type="character" w:styleId="Hyperlink">
    <w:name w:val="Hyperlink"/>
    <w:basedOn w:val="DefaultParagraphFont"/>
    <w:uiPriority w:val="99"/>
    <w:unhideWhenUsed/>
    <w:rsid w:val="00172B81"/>
    <w:rPr>
      <w:color w:val="0000FF" w:themeColor="hyperlink"/>
      <w:u w:val="single"/>
    </w:rPr>
  </w:style>
  <w:style w:type="character" w:customStyle="1" w:styleId="Heading3Char">
    <w:name w:val="Heading 3 Char"/>
    <w:basedOn w:val="DefaultParagraphFont"/>
    <w:link w:val="Heading3"/>
    <w:uiPriority w:val="9"/>
    <w:rsid w:val="007B14AA"/>
    <w:rPr>
      <w:rFonts w:ascii="Times New Roman" w:eastAsia="Times New Roman" w:hAnsi="Times New Roman" w:cs="Times New Roman"/>
      <w:b/>
      <w:bCs/>
      <w:sz w:val="27"/>
      <w:szCs w:val="27"/>
    </w:rPr>
  </w:style>
  <w:style w:type="character" w:styleId="Strong">
    <w:name w:val="Strong"/>
    <w:basedOn w:val="DefaultParagraphFont"/>
    <w:uiPriority w:val="22"/>
    <w:qFormat/>
    <w:rsid w:val="007B14AA"/>
    <w:rPr>
      <w:b/>
      <w:bCs/>
    </w:rPr>
  </w:style>
  <w:style w:type="character" w:styleId="Emphasis">
    <w:name w:val="Emphasis"/>
    <w:basedOn w:val="DefaultParagraphFont"/>
    <w:uiPriority w:val="20"/>
    <w:qFormat/>
    <w:rsid w:val="007B14AA"/>
    <w:rPr>
      <w:i/>
      <w:iCs/>
    </w:rPr>
  </w:style>
  <w:style w:type="character" w:customStyle="1" w:styleId="UnresolvedMention1">
    <w:name w:val="Unresolved Mention1"/>
    <w:basedOn w:val="DefaultParagraphFont"/>
    <w:uiPriority w:val="99"/>
    <w:semiHidden/>
    <w:unhideWhenUsed/>
    <w:rsid w:val="008759C3"/>
    <w:rPr>
      <w:color w:val="605E5C"/>
      <w:shd w:val="clear" w:color="auto" w:fill="E1DFDD"/>
    </w:rPr>
  </w:style>
  <w:style w:type="paragraph" w:styleId="Header">
    <w:name w:val="header"/>
    <w:basedOn w:val="Normal"/>
    <w:link w:val="HeaderChar"/>
    <w:uiPriority w:val="99"/>
    <w:unhideWhenUsed/>
    <w:rsid w:val="00400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10F"/>
  </w:style>
  <w:style w:type="paragraph" w:styleId="Footer">
    <w:name w:val="footer"/>
    <w:basedOn w:val="Normal"/>
    <w:link w:val="FooterChar"/>
    <w:uiPriority w:val="99"/>
    <w:unhideWhenUsed/>
    <w:rsid w:val="00400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10F"/>
  </w:style>
  <w:style w:type="paragraph" w:styleId="NormalWeb">
    <w:name w:val="Normal (Web)"/>
    <w:basedOn w:val="Normal"/>
    <w:uiPriority w:val="99"/>
    <w:unhideWhenUsed/>
    <w:rsid w:val="00D8428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B7696"/>
    <w:rPr>
      <w:color w:val="605E5C"/>
      <w:shd w:val="clear" w:color="auto" w:fill="E1DFDD"/>
    </w:rPr>
  </w:style>
  <w:style w:type="character" w:styleId="FollowedHyperlink">
    <w:name w:val="FollowedHyperlink"/>
    <w:basedOn w:val="DefaultParagraphFont"/>
    <w:uiPriority w:val="99"/>
    <w:semiHidden/>
    <w:unhideWhenUsed/>
    <w:rsid w:val="00DA3A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7943">
      <w:bodyDiv w:val="1"/>
      <w:marLeft w:val="0"/>
      <w:marRight w:val="0"/>
      <w:marTop w:val="0"/>
      <w:marBottom w:val="0"/>
      <w:divBdr>
        <w:top w:val="none" w:sz="0" w:space="0" w:color="auto"/>
        <w:left w:val="none" w:sz="0" w:space="0" w:color="auto"/>
        <w:bottom w:val="none" w:sz="0" w:space="0" w:color="auto"/>
        <w:right w:val="none" w:sz="0" w:space="0" w:color="auto"/>
      </w:divBdr>
    </w:div>
    <w:div w:id="744842512">
      <w:bodyDiv w:val="1"/>
      <w:marLeft w:val="0"/>
      <w:marRight w:val="0"/>
      <w:marTop w:val="0"/>
      <w:marBottom w:val="0"/>
      <w:divBdr>
        <w:top w:val="none" w:sz="0" w:space="0" w:color="auto"/>
        <w:left w:val="none" w:sz="0" w:space="0" w:color="auto"/>
        <w:bottom w:val="none" w:sz="0" w:space="0" w:color="auto"/>
        <w:right w:val="none" w:sz="0" w:space="0" w:color="auto"/>
      </w:divBdr>
    </w:div>
    <w:div w:id="1124226969">
      <w:bodyDiv w:val="1"/>
      <w:marLeft w:val="0"/>
      <w:marRight w:val="0"/>
      <w:marTop w:val="0"/>
      <w:marBottom w:val="0"/>
      <w:divBdr>
        <w:top w:val="none" w:sz="0" w:space="0" w:color="auto"/>
        <w:left w:val="none" w:sz="0" w:space="0" w:color="auto"/>
        <w:bottom w:val="none" w:sz="0" w:space="0" w:color="auto"/>
        <w:right w:val="none" w:sz="0" w:space="0" w:color="auto"/>
      </w:divBdr>
      <w:divsChild>
        <w:div w:id="604196658">
          <w:marLeft w:val="0"/>
          <w:marRight w:val="0"/>
          <w:marTop w:val="0"/>
          <w:marBottom w:val="0"/>
          <w:divBdr>
            <w:top w:val="none" w:sz="0" w:space="0" w:color="auto"/>
            <w:left w:val="none" w:sz="0" w:space="0" w:color="auto"/>
            <w:bottom w:val="none" w:sz="0" w:space="0" w:color="auto"/>
            <w:right w:val="none" w:sz="0" w:space="0" w:color="auto"/>
          </w:divBdr>
          <w:divsChild>
            <w:div w:id="20790811">
              <w:marLeft w:val="0"/>
              <w:marRight w:val="0"/>
              <w:marTop w:val="0"/>
              <w:marBottom w:val="0"/>
              <w:divBdr>
                <w:top w:val="none" w:sz="0" w:space="0" w:color="auto"/>
                <w:left w:val="none" w:sz="0" w:space="0" w:color="auto"/>
                <w:bottom w:val="none" w:sz="0" w:space="0" w:color="auto"/>
                <w:right w:val="none" w:sz="0" w:space="0" w:color="auto"/>
              </w:divBdr>
              <w:divsChild>
                <w:div w:id="1377847728">
                  <w:marLeft w:val="0"/>
                  <w:marRight w:val="0"/>
                  <w:marTop w:val="0"/>
                  <w:marBottom w:val="0"/>
                  <w:divBdr>
                    <w:top w:val="none" w:sz="0" w:space="0" w:color="auto"/>
                    <w:left w:val="none" w:sz="0" w:space="0" w:color="auto"/>
                    <w:bottom w:val="none" w:sz="0" w:space="0" w:color="auto"/>
                    <w:right w:val="none" w:sz="0" w:space="0" w:color="auto"/>
                  </w:divBdr>
                  <w:divsChild>
                    <w:div w:id="1940409995">
                      <w:marLeft w:val="0"/>
                      <w:marRight w:val="0"/>
                      <w:marTop w:val="0"/>
                      <w:marBottom w:val="0"/>
                      <w:divBdr>
                        <w:top w:val="none" w:sz="0" w:space="0" w:color="auto"/>
                        <w:left w:val="none" w:sz="0" w:space="0" w:color="auto"/>
                        <w:bottom w:val="none" w:sz="0" w:space="0" w:color="auto"/>
                        <w:right w:val="none" w:sz="0" w:space="0" w:color="auto"/>
                      </w:divBdr>
                      <w:divsChild>
                        <w:div w:id="2090227057">
                          <w:marLeft w:val="0"/>
                          <w:marRight w:val="0"/>
                          <w:marTop w:val="0"/>
                          <w:marBottom w:val="0"/>
                          <w:divBdr>
                            <w:top w:val="none" w:sz="0" w:space="0" w:color="auto"/>
                            <w:left w:val="none" w:sz="0" w:space="0" w:color="auto"/>
                            <w:bottom w:val="none" w:sz="0" w:space="0" w:color="auto"/>
                            <w:right w:val="none" w:sz="0" w:space="0" w:color="auto"/>
                          </w:divBdr>
                          <w:divsChild>
                            <w:div w:id="324826837">
                              <w:marLeft w:val="0"/>
                              <w:marRight w:val="0"/>
                              <w:marTop w:val="0"/>
                              <w:marBottom w:val="0"/>
                              <w:divBdr>
                                <w:top w:val="none" w:sz="0" w:space="0" w:color="auto"/>
                                <w:left w:val="none" w:sz="0" w:space="0" w:color="auto"/>
                                <w:bottom w:val="none" w:sz="0" w:space="0" w:color="auto"/>
                                <w:right w:val="none" w:sz="0" w:space="0" w:color="auto"/>
                              </w:divBdr>
                              <w:divsChild>
                                <w:div w:id="2019307380">
                                  <w:marLeft w:val="0"/>
                                  <w:marRight w:val="0"/>
                                  <w:marTop w:val="0"/>
                                  <w:marBottom w:val="0"/>
                                  <w:divBdr>
                                    <w:top w:val="none" w:sz="0" w:space="0" w:color="auto"/>
                                    <w:left w:val="none" w:sz="0" w:space="0" w:color="auto"/>
                                    <w:bottom w:val="none" w:sz="0" w:space="0" w:color="auto"/>
                                    <w:right w:val="none" w:sz="0" w:space="0" w:color="auto"/>
                                  </w:divBdr>
                                  <w:divsChild>
                                    <w:div w:id="15386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14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jtsrd.com/papers/ijtsrd30790.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rbi.org.i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ata.worldbank.org/indicator/FM.LBL.BMNY.GD.Z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jtsrd.com/papers/ijtsrd30788.pdf"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ijtsrd.com/papers/ijtsrd29649.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 meenu</cp:lastModifiedBy>
  <cp:revision>2</cp:revision>
  <dcterms:created xsi:type="dcterms:W3CDTF">2025-06-05T20:48:00Z</dcterms:created>
  <dcterms:modified xsi:type="dcterms:W3CDTF">2025-06-05T20:48:00Z</dcterms:modified>
</cp:coreProperties>
</file>