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6"/>
        <w:gridCol w:w="15765"/>
      </w:tblGrid>
      <w:tr w:rsidR="00E528CF" w:rsidRPr="00F36589">
        <w:trPr>
          <w:trHeight w:val="290"/>
        </w:trPr>
        <w:tc>
          <w:tcPr>
            <w:tcW w:w="20931" w:type="dxa"/>
            <w:gridSpan w:val="2"/>
            <w:tcBorders>
              <w:bottom w:val="single" w:sz="4" w:space="0" w:color="000000"/>
            </w:tcBorders>
          </w:tcPr>
          <w:p w:rsidR="00E528CF" w:rsidRPr="00F36589" w:rsidRDefault="00E528CF">
            <w:pPr>
              <w:pStyle w:val="Heading2"/>
              <w:snapToGrid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E528CF" w:rsidRPr="00F36589">
        <w:trPr>
          <w:trHeight w:val="29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658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28CF" w:rsidRPr="00F36589" w:rsidRDefault="005A5B5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="00945BFE" w:rsidRPr="00F36589">
                <w:rPr>
                  <w:rStyle w:val="Hyperlink"/>
                  <w:rFonts w:ascii="Arial" w:hAnsi="Arial" w:cs="Arial"/>
                  <w:sz w:val="20"/>
                  <w:szCs w:val="20"/>
                </w:rPr>
                <w:t>South Asian Journal of Social Studies and Economics</w:t>
              </w:r>
            </w:hyperlink>
          </w:p>
        </w:tc>
      </w:tr>
      <w:tr w:rsidR="00E528CF" w:rsidRPr="00F36589">
        <w:trPr>
          <w:trHeight w:val="29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658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28CF" w:rsidRPr="00F36589" w:rsidRDefault="005428C1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65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</w:t>
            </w:r>
            <w:r w:rsidR="00AA2F16" w:rsidRPr="00F365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SAJSSE</w:t>
            </w:r>
            <w:r w:rsidRPr="00F365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_138971</w:t>
            </w:r>
          </w:p>
        </w:tc>
      </w:tr>
      <w:tr w:rsidR="00E528CF" w:rsidRPr="00F36589">
        <w:trPr>
          <w:trHeight w:val="65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65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28CF" w:rsidRPr="00F36589" w:rsidRDefault="005428C1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6589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PLANNING LIFESTYLE AND REGENERATING THE POTENTIAL OF TEACHERS IN PUBLIC ELEMENTARY SCHOOLS: A DESCRIPTIVE STUDY</w:t>
            </w:r>
          </w:p>
        </w:tc>
      </w:tr>
      <w:tr w:rsidR="00E528CF" w:rsidRPr="00F36589">
        <w:trPr>
          <w:trHeight w:val="33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658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528CF" w:rsidRPr="00F36589" w:rsidRDefault="005428C1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6589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E528CF" w:rsidRPr="00F36589" w:rsidRDefault="00E528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528CF" w:rsidRPr="00F36589" w:rsidRDefault="00E528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528CF" w:rsidRPr="00F36589" w:rsidRDefault="00E528CF">
      <w:pPr>
        <w:pStyle w:val="BodyText"/>
        <w:ind w:left="144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528CF" w:rsidRPr="00F36589" w:rsidRDefault="00E528CF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9"/>
        <w:gridCol w:w="9356"/>
        <w:gridCol w:w="6442"/>
      </w:tblGrid>
      <w:tr w:rsidR="00E528CF" w:rsidRPr="00F36589">
        <w:tc>
          <w:tcPr>
            <w:tcW w:w="20931" w:type="dxa"/>
            <w:gridSpan w:val="3"/>
            <w:tcBorders>
              <w:bottom w:val="single" w:sz="4" w:space="0" w:color="000000"/>
            </w:tcBorders>
          </w:tcPr>
          <w:p w:rsidR="00E528CF" w:rsidRPr="00F36589" w:rsidRDefault="005428C1">
            <w:pPr>
              <w:pStyle w:val="Heading2"/>
              <w:jc w:val="left"/>
              <w:rPr>
                <w:rFonts w:ascii="Arial" w:hAnsi="Arial" w:cs="Arial"/>
              </w:rPr>
            </w:pPr>
            <w:r w:rsidRPr="00F3658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36589">
              <w:rPr>
                <w:rFonts w:ascii="Arial" w:hAnsi="Arial" w:cs="Arial"/>
                <w:lang w:val="en-GB"/>
              </w:rPr>
              <w:t xml:space="preserve"> Comments</w:t>
            </w:r>
          </w:p>
          <w:p w:rsidR="00E528CF" w:rsidRPr="00F36589" w:rsidRDefault="00E528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528CF" w:rsidRPr="00F36589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E528CF">
            <w:pPr>
              <w:pStyle w:val="Heading2"/>
              <w:snapToGrid w:val="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6589">
              <w:rPr>
                <w:rFonts w:ascii="Arial" w:hAnsi="Arial" w:cs="Arial"/>
                <w:lang w:val="en-GB"/>
              </w:rPr>
              <w:t>Reviewer’s comment</w:t>
            </w:r>
          </w:p>
          <w:p w:rsidR="00E528CF" w:rsidRPr="00F36589" w:rsidRDefault="005428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58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E528CF" w:rsidRPr="00F36589" w:rsidRDefault="00E528C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3658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E528CF" w:rsidRPr="00F36589" w:rsidRDefault="00E528CF">
            <w:pPr>
              <w:pStyle w:val="Heading2"/>
              <w:jc w:val="left"/>
              <w:rPr>
                <w:rFonts w:ascii="Arial" w:eastAsia="Calibri" w:hAnsi="Arial" w:cs="Arial"/>
                <w:b w:val="0"/>
                <w:kern w:val="2"/>
                <w:lang w:val="en-GB"/>
              </w:rPr>
            </w:pPr>
          </w:p>
        </w:tc>
      </w:tr>
      <w:tr w:rsidR="00E528CF" w:rsidRPr="00F36589">
        <w:trPr>
          <w:trHeight w:val="1264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E528CF" w:rsidRPr="00F36589" w:rsidRDefault="00E528CF">
            <w:pPr>
              <w:ind w:left="360"/>
              <w:rPr>
                <w:rFonts w:ascii="Arial" w:eastAsia="MS Mincho;ＭＳ 明朝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Fonts w:ascii="Arial" w:hAnsi="Arial" w:cs="Arial"/>
                <w:sz w:val="20"/>
                <w:szCs w:val="20"/>
              </w:rPr>
              <w:t xml:space="preserve">This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manuscript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reveals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life planning and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professional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growth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teachers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 xml:space="preserve">and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great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importance to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community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 reliable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methodology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allows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generalizations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similar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context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value of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lies in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fact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by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school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administrations and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policymakers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human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resource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8CF" w:rsidRPr="00F36589" w:rsidRDefault="005428C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Fonts w:ascii="Arial" w:hAnsi="Arial" w:cs="Arial"/>
                <w:sz w:val="20"/>
                <w:szCs w:val="20"/>
              </w:rPr>
              <w:t xml:space="preserve">The article has a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structure,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logical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proper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and compliance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ethical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author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explores an important and relevant topic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professional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well-being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teachers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qualitatively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performed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both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methodological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analytical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aspects.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E528CF">
            <w:pPr>
              <w:pStyle w:val="Heading2"/>
              <w:snapToGrid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28CF" w:rsidRPr="00F36589">
        <w:trPr>
          <w:trHeight w:val="1262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65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E528CF" w:rsidRPr="00F36589" w:rsidRDefault="005428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65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E528CF" w:rsidRPr="00F36589" w:rsidRDefault="00E528C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Fonts w:ascii="Arial" w:hAnsi="Arial" w:cs="Arial"/>
                <w:sz w:val="20"/>
                <w:szCs w:val="20"/>
              </w:rPr>
              <w:t xml:space="preserve">Yes,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reflects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the content and focus of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. It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does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not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need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replaced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E528CF">
            <w:pPr>
              <w:pStyle w:val="Heading2"/>
              <w:snapToGrid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28CF" w:rsidRPr="00F36589">
        <w:trPr>
          <w:trHeight w:val="1262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F3658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E528CF" w:rsidRPr="00F36589" w:rsidRDefault="00E528C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Fonts w:ascii="Arial" w:hAnsi="Arial" w:cs="Arial"/>
                <w:sz w:val="20"/>
                <w:szCs w:val="20"/>
              </w:rPr>
              <w:t xml:space="preserve">Yes, the abstract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concisely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presents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and conclusions. One can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only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suggest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 xml:space="preserve">strengthening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E528CF">
            <w:pPr>
              <w:pStyle w:val="Heading2"/>
              <w:snapToGrid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28CF" w:rsidRPr="00F36589">
        <w:trPr>
          <w:trHeight w:val="704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3658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Fonts w:ascii="Arial" w:hAnsi="Arial" w:cs="Arial"/>
                <w:sz w:val="20"/>
                <w:szCs w:val="20"/>
              </w:rPr>
              <w:t xml:space="preserve">Yes.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methodology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described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analysis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performed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correctly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the conclusions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logically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follow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. There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validity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8CF" w:rsidRPr="00F36589" w:rsidRDefault="005428C1">
            <w:pPr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Strengths: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Quantitative descriptive-correlation design, good level of </w:t>
            </w:r>
            <w:r w:rsidR="004B02CE" w:rsidRPr="00F36589">
              <w:rPr>
                <w:rFonts w:ascii="Arial" w:hAnsi="Arial" w:cs="Arial"/>
                <w:sz w:val="20"/>
                <w:szCs w:val="20"/>
              </w:rPr>
              <w:t>representativeness,</w:t>
            </w:r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 xml:space="preserve"> pilot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testing; high reliability of instruments, </w:t>
            </w:r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 xml:space="preserve">use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of proven </w:t>
            </w:r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 xml:space="preserve">statistical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methods </w:t>
            </w:r>
            <w:proofErr w:type="gramStart"/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>( mean</w:t>
            </w:r>
            <w:proofErr w:type="gramEnd"/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, Pearson, multiple regression </w:t>
            </w:r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 xml:space="preserve">) </w:t>
            </w:r>
            <w:r w:rsidRPr="00F365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8CF" w:rsidRPr="00F36589" w:rsidRDefault="005428C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Possible </w:t>
            </w:r>
            <w:proofErr w:type="spellStart"/>
            <w:proofErr w:type="gram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improvements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were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control variables (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age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experience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could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have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affected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E528CF">
            <w:pPr>
              <w:pStyle w:val="Heading2"/>
              <w:snapToGrid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28CF" w:rsidRPr="00F36589">
        <w:trPr>
          <w:trHeight w:val="7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65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Fonts w:ascii="Arial" w:hAnsi="Arial" w:cs="Arial"/>
                <w:sz w:val="20"/>
                <w:szCs w:val="20"/>
              </w:rPr>
              <w:t xml:space="preserve">Yes, modern sources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were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mainly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2020–2024). All sources are relevant to the topic of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. There are international and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regional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sources.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Some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literature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has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hyperlinks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to open sources. </w:t>
            </w:r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>There is an error in the reference in the first source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E528CF">
            <w:pPr>
              <w:pStyle w:val="Heading2"/>
              <w:snapToGrid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28CF" w:rsidRPr="00F36589">
        <w:trPr>
          <w:trHeight w:val="3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F36589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:rsidR="00E528CF" w:rsidRPr="00F36589" w:rsidRDefault="00E528CF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Fonts w:ascii="Arial" w:hAnsi="Arial" w:cs="Arial"/>
                <w:sz w:val="20"/>
                <w:szCs w:val="20"/>
              </w:rPr>
              <w:t xml:space="preserve">Yes,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logical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. The style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for a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journal.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E528CF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528CF" w:rsidRPr="00F36589">
        <w:trPr>
          <w:trHeight w:val="1178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Heading2"/>
              <w:jc w:val="left"/>
              <w:rPr>
                <w:rFonts w:ascii="Arial" w:hAnsi="Arial" w:cs="Arial"/>
              </w:rPr>
            </w:pPr>
            <w:r w:rsidRPr="00F3658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3658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3658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E528CF" w:rsidRPr="00F36589" w:rsidRDefault="00E528C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5428C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Fonts w:ascii="Arial" w:hAnsi="Arial" w:cs="Arial"/>
                <w:sz w:val="20"/>
                <w:szCs w:val="20"/>
              </w:rPr>
              <w:t xml:space="preserve">This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strong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>, high-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article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combines a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focus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rationale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findings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useful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school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administrations,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ministries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professional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programs, and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further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8CF" w:rsidRPr="00F36589" w:rsidRDefault="005428C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 xml:space="preserve">The article is based on an existing </w:t>
            </w:r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model </w:t>
            </w:r>
            <w:r w:rsidRPr="00F36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 xml:space="preserve">(not described in the paper) </w:t>
            </w:r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of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priorities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teacher's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life,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affects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his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professional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functioning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health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well-being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 xml:space="preserve">has many types and directions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 xml:space="preserve">To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assess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 xml:space="preserve">The most important ones are selected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Influence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-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ability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to influence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in the team,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organize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one's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life; </w:t>
            </w:r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Engagement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- active participation in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school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life, initiatives,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professional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communities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 xml:space="preserve">and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Accountability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responsibility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oneself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colleagues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adherence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to plans</w:t>
            </w:r>
          </w:p>
          <w:p w:rsidR="00E528CF" w:rsidRPr="00F36589" w:rsidRDefault="005428C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 xml:space="preserve">These component models are associated with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renewable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589">
              <w:rPr>
                <w:rFonts w:ascii="Arial" w:hAnsi="Arial" w:cs="Arial"/>
                <w:sz w:val="20"/>
                <w:szCs w:val="20"/>
                <w:lang w:val="uk-UA"/>
              </w:rPr>
              <w:t>potential ,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foundation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of </w:t>
            </w:r>
            <w:r w:rsidRPr="00F36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 xml:space="preserve">pedagogical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resilience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allows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teachers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remain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motivated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effective, and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resilient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even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challenging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circumstances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key to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maintaining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especially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in public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primary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schools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teachers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often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high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workloads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flexibility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, motivation, self-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reflection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, and adaptation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allow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teachers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maintain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productivity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energy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optimism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professional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8CF" w:rsidRPr="00F36589" w:rsidRDefault="005428C1">
            <w:pPr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Specifics of elementary school: </w:t>
            </w:r>
            <w:r w:rsidRPr="00F36589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Greater emotional contact with children. Working with younger students requires greater emotional stability and empathy. Less academic workload, but more educational responsibility</w:t>
            </w:r>
          </w:p>
          <w:p w:rsidR="00E528CF" w:rsidRPr="00F36589" w:rsidRDefault="00E528CF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shd w:val="clear" w:color="auto" w:fill="FF8000"/>
              </w:rPr>
            </w:pPr>
          </w:p>
          <w:p w:rsidR="00E528CF" w:rsidRPr="00F36589" w:rsidRDefault="005428C1">
            <w:pPr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Limitations of generalizability of results </w:t>
            </w:r>
            <w:r w:rsidRPr="00F36589">
              <w:rPr>
                <w:rStyle w:val="Strong"/>
                <w:rFonts w:ascii="Arial" w:hAnsi="Arial" w:cs="Arial"/>
                <w:sz w:val="20"/>
                <w:szCs w:val="20"/>
                <w:lang w:val="uk-UA"/>
              </w:rPr>
              <w:t xml:space="preserve">in </w:t>
            </w:r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the sample: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The study included </w:t>
            </w:r>
            <w:r w:rsidRPr="00F36589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141 elementary school teachers in </w:t>
            </w:r>
            <w:proofErr w:type="spellStart"/>
            <w:r w:rsidRPr="00F36589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Malalag</w:t>
            </w:r>
            <w:proofErr w:type="spellEnd"/>
            <w:r w:rsidRPr="00F36589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District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, which is </w:t>
            </w:r>
            <w:r w:rsidRPr="00F36589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 local sample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. They work in </w:t>
            </w:r>
            <w:r w:rsidRPr="00F36589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a specific educational environment, management system, and culture </w:t>
            </w:r>
            <w:r w:rsidRPr="00F36589">
              <w:rPr>
                <w:rFonts w:ascii="Arial" w:hAnsi="Arial" w:cs="Arial"/>
                <w:sz w:val="20"/>
                <w:szCs w:val="20"/>
              </w:rPr>
              <w:t>that is inherent in Philippine education.</w:t>
            </w:r>
          </w:p>
          <w:p w:rsidR="00E528CF" w:rsidRPr="00F36589" w:rsidRDefault="00E528CF">
            <w:pPr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  <w:p w:rsidR="00E528CF" w:rsidRPr="00F36589" w:rsidRDefault="005428C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589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can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as a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hypothesis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or basis for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expanding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proofErr w:type="gramStart"/>
            <w:r w:rsidRPr="00F36589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extrapolate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caution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taking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account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context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, position,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educational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adapt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>ideas</w:t>
            </w:r>
            <w:proofErr w:type="spellEnd"/>
            <w:r w:rsidRPr="00F36589">
              <w:rPr>
                <w:rStyle w:val="Strong"/>
                <w:rFonts w:ascii="Arial" w:hAnsi="Arial" w:cs="Arial"/>
                <w:sz w:val="20"/>
                <w:szCs w:val="20"/>
              </w:rPr>
              <w:t xml:space="preserve"> of the </w:t>
            </w:r>
            <w:r w:rsidRPr="00F36589">
              <w:rPr>
                <w:rFonts w:ascii="Arial" w:hAnsi="Arial" w:cs="Arial"/>
                <w:sz w:val="20"/>
                <w:szCs w:val="20"/>
              </w:rPr>
              <w:t xml:space="preserve">planning and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support program to the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needs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categories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36589">
              <w:rPr>
                <w:rFonts w:ascii="Arial" w:hAnsi="Arial" w:cs="Arial"/>
                <w:sz w:val="20"/>
                <w:szCs w:val="20"/>
              </w:rPr>
              <w:t>teachers</w:t>
            </w:r>
            <w:proofErr w:type="spellEnd"/>
            <w:r w:rsidRPr="00F365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8CF" w:rsidRPr="00F36589" w:rsidRDefault="00E528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CF" w:rsidRPr="00F36589" w:rsidRDefault="00E528CF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E1451E" w:rsidRPr="00F36589" w:rsidRDefault="00E145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1451E" w:rsidRPr="00F36589" w:rsidRDefault="00E145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5"/>
        <w:gridCol w:w="7152"/>
      </w:tblGrid>
      <w:tr w:rsidR="00E1451E" w:rsidRPr="00F36589" w:rsidTr="0096099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51E" w:rsidRPr="00F36589" w:rsidRDefault="00E1451E" w:rsidP="00E1451E">
            <w:pPr>
              <w:suppressAutoHyphens w:val="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/>
              </w:rPr>
            </w:pPr>
            <w:bookmarkStart w:id="0" w:name="_Hlk156057883"/>
            <w:bookmarkStart w:id="1" w:name="_Hlk156057704"/>
            <w:r w:rsidRPr="00F3658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 w:eastAsia="en-US"/>
              </w:rPr>
              <w:t>PART  2:</w:t>
            </w:r>
            <w:r w:rsidRPr="00F3658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/>
              </w:rPr>
              <w:t xml:space="preserve"> </w:t>
            </w:r>
          </w:p>
          <w:p w:rsidR="00E1451E" w:rsidRPr="00F36589" w:rsidRDefault="00E1451E" w:rsidP="00E1451E">
            <w:pPr>
              <w:suppressAutoHyphens w:val="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/>
              </w:rPr>
            </w:pPr>
          </w:p>
        </w:tc>
      </w:tr>
      <w:tr w:rsidR="00E1451E" w:rsidRPr="00F36589" w:rsidTr="0096099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51E" w:rsidRPr="00F36589" w:rsidRDefault="00E1451E" w:rsidP="00E1451E">
            <w:pPr>
              <w:suppressAutoHyphens w:val="0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1E" w:rsidRPr="00F36589" w:rsidRDefault="00E1451E" w:rsidP="00E1451E">
            <w:pPr>
              <w:keepNext/>
              <w:suppressAutoHyphens w:val="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</w:pPr>
            <w:r w:rsidRPr="00F365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E1451E" w:rsidRPr="00F36589" w:rsidRDefault="00E1451E" w:rsidP="00E1451E">
            <w:pPr>
              <w:keepNext/>
              <w:suppressAutoHyphens w:val="0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 w:eastAsia="en-US"/>
              </w:rPr>
            </w:pPr>
            <w:r w:rsidRPr="00F365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>Author’s comment</w:t>
            </w:r>
            <w:r w:rsidRPr="00F36589">
              <w:rPr>
                <w:rFonts w:ascii="Arial" w:eastAsia="MS Mincho" w:hAnsi="Arial" w:cs="Arial"/>
                <w:bCs/>
                <w:sz w:val="20"/>
                <w:szCs w:val="20"/>
                <w:lang w:val="en-GB" w:eastAsia="en-US"/>
              </w:rPr>
              <w:t xml:space="preserve"> </w:t>
            </w:r>
            <w:r w:rsidRPr="00F36589">
              <w:rPr>
                <w:rFonts w:ascii="Arial" w:eastAsia="MS Mincho" w:hAnsi="Arial" w:cs="Arial"/>
                <w:bCs/>
                <w:i/>
                <w:sz w:val="20"/>
                <w:szCs w:val="20"/>
                <w:lang w:val="en-GB"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1451E" w:rsidRPr="00F36589" w:rsidTr="0096099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51E" w:rsidRPr="00F36589" w:rsidRDefault="00E1451E" w:rsidP="00E1451E">
            <w:pPr>
              <w:suppressAutoHyphens w:val="0"/>
              <w:rPr>
                <w:rFonts w:ascii="Arial" w:eastAsia="Arial Unicode MS" w:hAnsi="Arial" w:cs="Arial"/>
                <w:b/>
                <w:sz w:val="20"/>
                <w:szCs w:val="20"/>
                <w:lang w:val="en-GB" w:eastAsia="en-US"/>
              </w:rPr>
            </w:pPr>
            <w:r w:rsidRPr="00F36589">
              <w:rPr>
                <w:rFonts w:ascii="Arial" w:eastAsia="Arial Unicode MS" w:hAnsi="Arial" w:cs="Arial"/>
                <w:b/>
                <w:sz w:val="20"/>
                <w:szCs w:val="20"/>
                <w:lang w:val="en-GB" w:eastAsia="en-US"/>
              </w:rPr>
              <w:t xml:space="preserve">Are there ethical issues in this manuscript? </w:t>
            </w:r>
          </w:p>
          <w:p w:rsidR="00E1451E" w:rsidRPr="00F36589" w:rsidRDefault="00E1451E" w:rsidP="00E1451E">
            <w:pPr>
              <w:suppressAutoHyphens w:val="0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51E" w:rsidRPr="00F36589" w:rsidRDefault="00E1451E" w:rsidP="00E1451E">
            <w:pPr>
              <w:suppressAutoHyphens w:val="0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</w:pPr>
            <w:r w:rsidRPr="00F365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 xml:space="preserve">(If yes, </w:t>
            </w:r>
            <w:proofErr w:type="gramStart"/>
            <w:r w:rsidRPr="00F365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>Kindly</w:t>
            </w:r>
            <w:proofErr w:type="gramEnd"/>
            <w:r w:rsidRPr="00F365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 xml:space="preserve"> please write down the ethical issues here in details)</w:t>
            </w:r>
          </w:p>
          <w:p w:rsidR="00E1451E" w:rsidRPr="00F36589" w:rsidRDefault="00E1451E" w:rsidP="00E1451E">
            <w:pPr>
              <w:suppressAutoHyphens w:val="0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  <w:p w:rsidR="00E1451E" w:rsidRPr="00F36589" w:rsidRDefault="00E1451E" w:rsidP="00E1451E">
            <w:pPr>
              <w:suppressAutoHyphens w:val="0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E1451E" w:rsidRPr="00F36589" w:rsidRDefault="00E1451E" w:rsidP="00E1451E">
            <w:pPr>
              <w:suppressAutoHyphens w:val="0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  <w:p w:rsidR="00E1451E" w:rsidRPr="00F36589" w:rsidRDefault="00E1451E" w:rsidP="00E1451E">
            <w:pPr>
              <w:suppressAutoHyphens w:val="0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  <w:p w:rsidR="00E1451E" w:rsidRPr="00F36589" w:rsidRDefault="00E1451E" w:rsidP="00E1451E">
            <w:pPr>
              <w:suppressAutoHyphens w:val="0"/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</w:tr>
      <w:bookmarkEnd w:id="0"/>
    </w:tbl>
    <w:p w:rsidR="00E1451E" w:rsidRPr="00F36589" w:rsidRDefault="00E1451E" w:rsidP="00E1451E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36589" w:rsidRPr="00F36589" w:rsidRDefault="00F36589" w:rsidP="00F3658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F36589" w:rsidRPr="00F36589" w:rsidRDefault="00F36589" w:rsidP="00F36589">
      <w:pPr>
        <w:suppressAutoHyphens w:val="0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F36589">
        <w:rPr>
          <w:rFonts w:ascii="Arial" w:hAnsi="Arial" w:cs="Arial"/>
          <w:b/>
          <w:sz w:val="20"/>
          <w:szCs w:val="20"/>
          <w:u w:val="single"/>
          <w:lang w:eastAsia="en-US"/>
        </w:rPr>
        <w:t>Reviewer details:</w:t>
      </w:r>
    </w:p>
    <w:p w:rsidR="00F36589" w:rsidRPr="00F36589" w:rsidRDefault="00F36589" w:rsidP="00E1451E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F36589" w:rsidRPr="00F36589" w:rsidRDefault="00F36589" w:rsidP="00F3658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bookmarkStart w:id="2" w:name="_Hlk201672152"/>
      <w:r w:rsidRPr="00F36589">
        <w:rPr>
          <w:rFonts w:ascii="Arial" w:hAnsi="Arial" w:cs="Arial"/>
          <w:b/>
          <w:sz w:val="20"/>
          <w:szCs w:val="20"/>
          <w:lang w:eastAsia="en-US"/>
        </w:rPr>
        <w:t xml:space="preserve">Volodymyr </w:t>
      </w:r>
      <w:proofErr w:type="spellStart"/>
      <w:r w:rsidRPr="00F36589">
        <w:rPr>
          <w:rFonts w:ascii="Arial" w:hAnsi="Arial" w:cs="Arial"/>
          <w:b/>
          <w:sz w:val="20"/>
          <w:szCs w:val="20"/>
          <w:lang w:eastAsia="en-US"/>
        </w:rPr>
        <w:t>Kukharenko</w:t>
      </w:r>
      <w:proofErr w:type="spellEnd"/>
      <w:r w:rsidRPr="00F36589">
        <w:rPr>
          <w:rFonts w:ascii="Arial" w:hAnsi="Arial" w:cs="Arial"/>
          <w:b/>
          <w:sz w:val="20"/>
          <w:szCs w:val="20"/>
          <w:lang w:eastAsia="en-US"/>
        </w:rPr>
        <w:t xml:space="preserve">, </w:t>
      </w:r>
      <w:proofErr w:type="spellStart"/>
      <w:r w:rsidRPr="00F36589">
        <w:rPr>
          <w:rFonts w:ascii="Arial" w:hAnsi="Arial" w:cs="Arial"/>
          <w:b/>
          <w:sz w:val="20"/>
          <w:szCs w:val="20"/>
          <w:lang w:eastAsia="en-US"/>
        </w:rPr>
        <w:t>Kharkiv</w:t>
      </w:r>
      <w:proofErr w:type="spellEnd"/>
      <w:r w:rsidRPr="00F36589">
        <w:rPr>
          <w:rFonts w:ascii="Arial" w:hAnsi="Arial" w:cs="Arial"/>
          <w:b/>
          <w:sz w:val="20"/>
          <w:szCs w:val="20"/>
          <w:lang w:eastAsia="en-US"/>
        </w:rPr>
        <w:t xml:space="preserve"> National Automobile and </w:t>
      </w:r>
      <w:proofErr w:type="spellStart"/>
      <w:r w:rsidRPr="00F36589">
        <w:rPr>
          <w:rFonts w:ascii="Arial" w:hAnsi="Arial" w:cs="Arial"/>
          <w:b/>
          <w:sz w:val="20"/>
          <w:szCs w:val="20"/>
          <w:lang w:eastAsia="en-US"/>
        </w:rPr>
        <w:t>Highwey</w:t>
      </w:r>
      <w:proofErr w:type="spellEnd"/>
      <w:r w:rsidRPr="00F36589">
        <w:rPr>
          <w:rFonts w:ascii="Arial" w:hAnsi="Arial" w:cs="Arial"/>
          <w:b/>
          <w:sz w:val="20"/>
          <w:szCs w:val="20"/>
          <w:lang w:eastAsia="en-US"/>
        </w:rPr>
        <w:t xml:space="preserve"> University</w:t>
      </w:r>
      <w:r w:rsidRPr="00F36589">
        <w:rPr>
          <w:rFonts w:ascii="Arial" w:hAnsi="Arial" w:cs="Arial"/>
          <w:b/>
          <w:sz w:val="20"/>
          <w:szCs w:val="20"/>
          <w:lang w:eastAsia="en-US"/>
        </w:rPr>
        <w:t xml:space="preserve">, </w:t>
      </w:r>
      <w:r w:rsidRPr="00F36589">
        <w:rPr>
          <w:rFonts w:ascii="Arial" w:hAnsi="Arial" w:cs="Arial"/>
          <w:b/>
          <w:sz w:val="20"/>
          <w:szCs w:val="20"/>
          <w:lang w:eastAsia="en-US"/>
        </w:rPr>
        <w:t>Ukraine</w:t>
      </w:r>
    </w:p>
    <w:bookmarkEnd w:id="1"/>
    <w:bookmarkEnd w:id="2"/>
    <w:p w:rsidR="00E1451E" w:rsidRPr="00F36589" w:rsidRDefault="00E1451E" w:rsidP="00E1451E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E1451E" w:rsidRPr="00F36589" w:rsidRDefault="00E145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3" w:name="_GoBack"/>
      <w:bookmarkEnd w:id="3"/>
    </w:p>
    <w:sectPr w:rsidR="00E1451E" w:rsidRPr="00F36589">
      <w:headerReference w:type="default" r:id="rId8"/>
      <w:footerReference w:type="default" r:id="rId9"/>
      <w:pgSz w:w="23811" w:h="16838" w:orient="landscape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B54" w:rsidRDefault="005A5B54">
      <w:r>
        <w:separator/>
      </w:r>
    </w:p>
  </w:endnote>
  <w:endnote w:type="continuationSeparator" w:id="0">
    <w:p w:rsidR="005A5B54" w:rsidRDefault="005A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CF" w:rsidRDefault="005428C1">
    <w:pPr>
      <w:pStyle w:val="Footer"/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B54" w:rsidRDefault="005A5B54">
      <w:r>
        <w:separator/>
      </w:r>
    </w:p>
  </w:footnote>
  <w:footnote w:type="continuationSeparator" w:id="0">
    <w:p w:rsidR="005A5B54" w:rsidRDefault="005A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CF" w:rsidRDefault="00E528CF">
    <w:pPr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E528CF" w:rsidRDefault="005428C1">
    <w:pPr>
      <w:spacing w:before="280" w:after="280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02B0"/>
    <w:multiLevelType w:val="multilevel"/>
    <w:tmpl w:val="75F473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8CF"/>
    <w:rsid w:val="00006DD8"/>
    <w:rsid w:val="004B02CE"/>
    <w:rsid w:val="005428C1"/>
    <w:rsid w:val="00567087"/>
    <w:rsid w:val="005A5B54"/>
    <w:rsid w:val="00945BFE"/>
    <w:rsid w:val="009B6066"/>
    <w:rsid w:val="00AA2F16"/>
    <w:rsid w:val="00E1451E"/>
    <w:rsid w:val="00E528CF"/>
    <w:rsid w:val="00F3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38AD"/>
  <w15:docId w15:val="{D07CFD4F-03AB-4454-8430-6EEF25F5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jc w:val="both"/>
      <w:outlineLvl w:val="1"/>
    </w:pPr>
    <w:rPr>
      <w:rFonts w:ascii="Helvetica" w:eastAsia="MS Mincho;ＭＳ 明朝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next w:val="BodyText"/>
    <w:uiPriority w:val="9"/>
    <w:semiHidden/>
    <w:unhideWhenUsed/>
    <w:qFormat/>
    <w:pPr>
      <w:numPr>
        <w:ilvl w:val="3"/>
        <w:numId w:val="1"/>
      </w:numPr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Heading2Char">
    <w:name w:val="Heading 2 Char"/>
    <w:qFormat/>
    <w:rPr>
      <w:rFonts w:ascii="Helvetica" w:eastAsia="MS Mincho;ＭＳ 明朝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qFormat/>
    <w:rPr>
      <w:rFonts w:ascii="Helvetica" w:eastAsia="MS Mincho;ＭＳ 明朝" w:hAnsi="Helvetica" w:cs="Helvetica"/>
      <w:sz w:val="24"/>
      <w:szCs w:val="24"/>
      <w:lang w:val="fr-FR"/>
    </w:r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styleId="Strong">
    <w:name w:val="Strong"/>
    <w:qFormat/>
    <w:rPr>
      <w:b/>
      <w:bCs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Helvetica" w:eastAsia="MS Mincho;ＭＳ 明朝" w:hAnsi="Helvetica" w:cs="Helvetica"/>
      <w:lang w:val="fr-FR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1">
    <w:name w:val="Верхній і нижній колонтитули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Revision">
    <w:name w:val="Revision"/>
    <w:qFormat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a2">
    <w:name w:val="Вміст таблиці"/>
    <w:basedOn w:val="Normal"/>
    <w:qFormat/>
    <w:pPr>
      <w:widowControl w:val="0"/>
      <w:suppressLineNumbers/>
    </w:pPr>
  </w:style>
  <w:style w:type="paragraph" w:customStyle="1" w:styleId="a3">
    <w:name w:val="Заголовок таблиці"/>
    <w:basedOn w:val="a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outh%20Asian%20Journal%20of%20Social%20Studies%20and%20Econom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8</cp:revision>
  <dcterms:created xsi:type="dcterms:W3CDTF">2025-06-23T05:19:00Z</dcterms:created>
  <dcterms:modified xsi:type="dcterms:W3CDTF">2025-06-24T10:12:00Z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2011-08-01T12:21:00Z</dcterms:created>
  <dc:creator>anonymous</dc:creator>
  <dc:description/>
  <cp:keywords/>
  <dc:language>en-US</dc:language>
  <cp:lastModifiedBy/>
  <dcterms:modified xsi:type="dcterms:W3CDTF">2025-06-22T16:21:23Z</dcterms:modified>
  <cp:revision>114</cp:revision>
  <dc:subject/>
  <dc:title/>
</cp:coreProperties>
</file>